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A24" w:rsidRDefault="00653C8D">
      <w:pPr>
        <w:pStyle w:val="Tekstprzypisudolnego"/>
      </w:pPr>
      <w:r>
        <w:t xml:space="preserve">                                                                                                                                   </w:t>
      </w:r>
    </w:p>
    <w:p w:rsidR="00FC2A24" w:rsidRDefault="00FC2A24">
      <w:pPr>
        <w:pStyle w:val="Tekstprzypisudolnego"/>
      </w:pPr>
    </w:p>
    <w:p w:rsidR="00FC2A24" w:rsidRDefault="00FC2A24">
      <w:pPr>
        <w:pStyle w:val="Tekstprzypisudolnego"/>
      </w:pPr>
    </w:p>
    <w:p w:rsidR="00FC2A24" w:rsidRDefault="00FC2A24">
      <w:pPr>
        <w:pStyle w:val="Tekstprzypisudolnego"/>
      </w:pPr>
    </w:p>
    <w:p w:rsidR="00FC2A24" w:rsidRDefault="00FC2A24">
      <w:pPr>
        <w:pStyle w:val="Tekstprzypisudolnego"/>
      </w:pPr>
    </w:p>
    <w:p w:rsidR="003C11F8" w:rsidRPr="003C11F8" w:rsidRDefault="00DE1ADB" w:rsidP="003C11F8">
      <w:pPr>
        <w:pStyle w:val="Tekstprzypisudolneg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GMINA KOŃSKIE</w:t>
      </w:r>
    </w:p>
    <w:p w:rsidR="00FC2A24" w:rsidRDefault="00FC2A24">
      <w:pPr>
        <w:pStyle w:val="Tekstprzypisudolnego"/>
      </w:pPr>
    </w:p>
    <w:p w:rsidR="00FC2A24" w:rsidRDefault="00FC2A24">
      <w:pPr>
        <w:jc w:val="both"/>
        <w:rPr>
          <w:sz w:val="20"/>
          <w:szCs w:val="20"/>
        </w:rPr>
      </w:pPr>
    </w:p>
    <w:p w:rsidR="003C11F8" w:rsidRDefault="003C11F8">
      <w:pPr>
        <w:jc w:val="both"/>
        <w:rPr>
          <w:b/>
          <w:sz w:val="28"/>
        </w:rPr>
      </w:pPr>
    </w:p>
    <w:p w:rsidR="00FC2A24" w:rsidRDefault="00FC2A24" w:rsidP="003C11F8">
      <w:pPr>
        <w:rPr>
          <w:b/>
          <w:sz w:val="28"/>
        </w:rPr>
      </w:pPr>
    </w:p>
    <w:p w:rsidR="003C11F8" w:rsidRDefault="003C11F8" w:rsidP="003C11F8">
      <w:pPr>
        <w:rPr>
          <w:b/>
          <w:sz w:val="28"/>
        </w:rPr>
      </w:pPr>
    </w:p>
    <w:p w:rsidR="003C11F8" w:rsidRDefault="003C11F8" w:rsidP="003C11F8">
      <w:pPr>
        <w:rPr>
          <w:b/>
          <w:sz w:val="28"/>
        </w:rPr>
      </w:pPr>
    </w:p>
    <w:p w:rsidR="00FC2A24" w:rsidRDefault="00FC2A24">
      <w:pPr>
        <w:jc w:val="center"/>
        <w:rPr>
          <w:b/>
          <w:sz w:val="28"/>
        </w:rPr>
      </w:pPr>
    </w:p>
    <w:p w:rsidR="00FC2A24" w:rsidRDefault="00FC2A24">
      <w:pPr>
        <w:jc w:val="center"/>
        <w:rPr>
          <w:b/>
          <w:sz w:val="28"/>
        </w:rPr>
      </w:pPr>
    </w:p>
    <w:p w:rsidR="003C11F8" w:rsidRDefault="003C11F8">
      <w:pPr>
        <w:jc w:val="center"/>
        <w:rPr>
          <w:b/>
          <w:sz w:val="28"/>
        </w:rPr>
      </w:pPr>
    </w:p>
    <w:p w:rsidR="00FC2A24" w:rsidRPr="003C11F8" w:rsidRDefault="00FC2A24">
      <w:pPr>
        <w:jc w:val="center"/>
        <w:rPr>
          <w:b/>
          <w:sz w:val="28"/>
        </w:rPr>
      </w:pPr>
      <w:r w:rsidRPr="003C11F8">
        <w:rPr>
          <w:b/>
          <w:sz w:val="28"/>
        </w:rPr>
        <w:t>SZCZEGÓŁOWA SPECYFIKACJA TECHNICZNA</w:t>
      </w:r>
    </w:p>
    <w:p w:rsidR="00FC2A24" w:rsidRDefault="00FC2A24" w:rsidP="003C11F8">
      <w:pPr>
        <w:rPr>
          <w:b/>
          <w:sz w:val="28"/>
        </w:rPr>
      </w:pPr>
    </w:p>
    <w:p w:rsidR="003C11F8" w:rsidRDefault="003C11F8" w:rsidP="003C11F8">
      <w:pPr>
        <w:rPr>
          <w:b/>
          <w:sz w:val="28"/>
        </w:rPr>
      </w:pPr>
    </w:p>
    <w:p w:rsidR="00FC2A24" w:rsidRDefault="00FC2A24">
      <w:pPr>
        <w:jc w:val="center"/>
        <w:rPr>
          <w:b/>
          <w:sz w:val="28"/>
        </w:rPr>
      </w:pPr>
    </w:p>
    <w:p w:rsidR="00FC2A24" w:rsidRPr="003C11F8" w:rsidRDefault="00FC2A24">
      <w:pPr>
        <w:jc w:val="center"/>
        <w:rPr>
          <w:b/>
          <w:sz w:val="36"/>
          <w:szCs w:val="36"/>
        </w:rPr>
      </w:pPr>
      <w:r w:rsidRPr="003C11F8">
        <w:rPr>
          <w:b/>
          <w:sz w:val="36"/>
          <w:szCs w:val="36"/>
        </w:rPr>
        <w:t>D - 07.01.01</w:t>
      </w:r>
    </w:p>
    <w:p w:rsidR="00FC2A24" w:rsidRPr="003C11F8" w:rsidRDefault="00FC2A24">
      <w:pPr>
        <w:jc w:val="center"/>
        <w:rPr>
          <w:b/>
          <w:sz w:val="36"/>
          <w:szCs w:val="36"/>
        </w:rPr>
      </w:pPr>
    </w:p>
    <w:p w:rsidR="00FC2A24" w:rsidRDefault="00FC2A24">
      <w:pPr>
        <w:jc w:val="center"/>
        <w:rPr>
          <w:b/>
          <w:sz w:val="40"/>
          <w:szCs w:val="40"/>
          <w:u w:val="single"/>
        </w:rPr>
      </w:pPr>
      <w:r w:rsidRPr="003C11F8">
        <w:rPr>
          <w:b/>
          <w:sz w:val="40"/>
          <w:szCs w:val="40"/>
          <w:u w:val="single"/>
        </w:rPr>
        <w:t>OZNAKOWANIE  POZIOME</w:t>
      </w:r>
    </w:p>
    <w:p w:rsidR="00FC2A24" w:rsidRDefault="00FC2A24" w:rsidP="00F15402">
      <w:pPr>
        <w:jc w:val="center"/>
        <w:rPr>
          <w:b/>
          <w:sz w:val="28"/>
        </w:rPr>
      </w:pPr>
    </w:p>
    <w:p w:rsidR="00FC2A24" w:rsidRDefault="00FC2A24">
      <w:pPr>
        <w:jc w:val="both"/>
        <w:rPr>
          <w:b/>
          <w:sz w:val="28"/>
        </w:rPr>
      </w:pPr>
    </w:p>
    <w:p w:rsidR="00FC2A24" w:rsidRDefault="00FC2A24">
      <w:pPr>
        <w:jc w:val="both"/>
        <w:rPr>
          <w:b/>
          <w:sz w:val="28"/>
        </w:rPr>
      </w:pPr>
    </w:p>
    <w:p w:rsidR="00FC2A24" w:rsidRDefault="00FC2A24">
      <w:pPr>
        <w:jc w:val="both"/>
        <w:rPr>
          <w:b/>
          <w:sz w:val="28"/>
        </w:rPr>
      </w:pPr>
    </w:p>
    <w:p w:rsidR="00FC2A24" w:rsidRDefault="00FC2A24">
      <w:pPr>
        <w:jc w:val="both"/>
        <w:rPr>
          <w:b/>
          <w:sz w:val="28"/>
        </w:rPr>
      </w:pPr>
    </w:p>
    <w:p w:rsidR="00FC2A24" w:rsidRDefault="00FC2A24">
      <w:pPr>
        <w:jc w:val="both"/>
        <w:rPr>
          <w:b/>
          <w:sz w:val="28"/>
        </w:rPr>
      </w:pPr>
    </w:p>
    <w:p w:rsidR="00FC2A24" w:rsidRDefault="00FC2A24">
      <w:pPr>
        <w:jc w:val="both"/>
        <w:rPr>
          <w:b/>
          <w:sz w:val="28"/>
        </w:rPr>
      </w:pPr>
    </w:p>
    <w:p w:rsidR="00FC2A24" w:rsidRDefault="00FC2A24">
      <w:pPr>
        <w:jc w:val="both"/>
        <w:rPr>
          <w:b/>
          <w:sz w:val="28"/>
        </w:rPr>
      </w:pPr>
    </w:p>
    <w:p w:rsidR="00FC2A24" w:rsidRDefault="00FC2A24">
      <w:pPr>
        <w:jc w:val="both"/>
        <w:rPr>
          <w:b/>
          <w:sz w:val="28"/>
        </w:rPr>
      </w:pPr>
    </w:p>
    <w:p w:rsidR="00FC2A24" w:rsidRDefault="00FC2A24">
      <w:pPr>
        <w:jc w:val="both"/>
        <w:rPr>
          <w:b/>
          <w:sz w:val="28"/>
        </w:rPr>
      </w:pPr>
    </w:p>
    <w:p w:rsidR="00FC2A24" w:rsidRDefault="00FC2A24">
      <w:pPr>
        <w:jc w:val="both"/>
        <w:rPr>
          <w:b/>
          <w:sz w:val="28"/>
        </w:rPr>
      </w:pPr>
    </w:p>
    <w:p w:rsidR="00FC2A24" w:rsidRDefault="00FC2A24">
      <w:pPr>
        <w:jc w:val="both"/>
        <w:rPr>
          <w:b/>
          <w:sz w:val="28"/>
        </w:rPr>
      </w:pPr>
    </w:p>
    <w:p w:rsidR="00F15402" w:rsidRDefault="00F15402">
      <w:pPr>
        <w:jc w:val="both"/>
        <w:rPr>
          <w:b/>
          <w:sz w:val="28"/>
        </w:rPr>
      </w:pPr>
    </w:p>
    <w:p w:rsidR="00F15402" w:rsidRDefault="00F15402">
      <w:pPr>
        <w:jc w:val="both"/>
        <w:rPr>
          <w:b/>
          <w:sz w:val="28"/>
        </w:rPr>
      </w:pPr>
    </w:p>
    <w:p w:rsidR="00F15402" w:rsidRDefault="00F15402">
      <w:pPr>
        <w:jc w:val="both"/>
        <w:rPr>
          <w:b/>
          <w:sz w:val="28"/>
        </w:rPr>
      </w:pPr>
    </w:p>
    <w:p w:rsidR="00F15402" w:rsidRPr="00F15402" w:rsidRDefault="003B5C0B" w:rsidP="00F15402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201</w:t>
      </w:r>
      <w:r w:rsidR="00594C9D">
        <w:rPr>
          <w:b/>
          <w:sz w:val="36"/>
          <w:szCs w:val="36"/>
          <w:u w:val="single"/>
        </w:rPr>
        <w:t>9</w:t>
      </w:r>
      <w:r w:rsidR="00F15402" w:rsidRPr="00F15402">
        <w:rPr>
          <w:b/>
          <w:sz w:val="36"/>
          <w:szCs w:val="36"/>
          <w:u w:val="single"/>
        </w:rPr>
        <w:t xml:space="preserve"> r.</w:t>
      </w:r>
    </w:p>
    <w:p w:rsidR="00FC2A24" w:rsidRDefault="00FC2A24">
      <w:pPr>
        <w:jc w:val="both"/>
        <w:rPr>
          <w:b/>
          <w:sz w:val="27"/>
        </w:rPr>
      </w:pPr>
    </w:p>
    <w:p w:rsidR="00FC2A24" w:rsidRDefault="00FC2A24">
      <w:pPr>
        <w:jc w:val="both"/>
        <w:rPr>
          <w:sz w:val="19"/>
        </w:rPr>
      </w:pPr>
      <w:r>
        <w:rPr>
          <w:sz w:val="19"/>
        </w:rPr>
        <w:t xml:space="preserve"> </w:t>
      </w:r>
    </w:p>
    <w:p w:rsidR="00193C41" w:rsidRDefault="00193C41">
      <w:pPr>
        <w:jc w:val="both"/>
        <w:rPr>
          <w:sz w:val="19"/>
        </w:rPr>
      </w:pPr>
    </w:p>
    <w:p w:rsidR="00DE1ADB" w:rsidRDefault="00DE1ADB">
      <w:pPr>
        <w:jc w:val="both"/>
        <w:rPr>
          <w:sz w:val="19"/>
        </w:rPr>
      </w:pPr>
    </w:p>
    <w:p w:rsidR="00DE1ADB" w:rsidRDefault="00DE1ADB">
      <w:pPr>
        <w:jc w:val="both"/>
        <w:rPr>
          <w:sz w:val="19"/>
        </w:rPr>
      </w:pPr>
    </w:p>
    <w:p w:rsidR="00DE1ADB" w:rsidRDefault="00DE1ADB">
      <w:pPr>
        <w:jc w:val="both"/>
        <w:rPr>
          <w:sz w:val="19"/>
        </w:rPr>
      </w:pPr>
    </w:p>
    <w:p w:rsidR="00FC2A24" w:rsidRDefault="00FC2A24">
      <w:pPr>
        <w:pStyle w:val="Nagwek4"/>
        <w:rPr>
          <w:noProof/>
        </w:rPr>
      </w:pPr>
      <w:r>
        <w:lastRenderedPageBreak/>
        <w:t>SPIS TREŚCI</w:t>
      </w:r>
      <w:r>
        <w:rPr>
          <w:b w:val="0"/>
        </w:rPr>
        <w:t xml:space="preserve">  </w:t>
      </w:r>
      <w:bookmarkStart w:id="0" w:name="_Toc404150096"/>
      <w:bookmarkStart w:id="1" w:name="_Toc416830698"/>
      <w:r>
        <w:fldChar w:fldCharType="begin"/>
      </w:r>
      <w:r>
        <w:instrText xml:space="preserve"> TOC \o "1-2" \h \z </w:instrText>
      </w:r>
      <w:r>
        <w:fldChar w:fldCharType="separate"/>
      </w:r>
    </w:p>
    <w:p w:rsidR="00FC2A24" w:rsidRDefault="002221D1">
      <w:pPr>
        <w:pStyle w:val="Spistreci1"/>
        <w:rPr>
          <w:b w:val="0"/>
          <w:caps w:val="0"/>
          <w:sz w:val="24"/>
          <w:szCs w:val="24"/>
        </w:rPr>
      </w:pPr>
      <w:hyperlink w:anchor="_Toc441731600" w:history="1">
        <w:r w:rsidR="00FC2A24">
          <w:rPr>
            <w:rStyle w:val="Hipercze"/>
          </w:rPr>
          <w:t>1. WSTĘP</w:t>
        </w:r>
        <w:r w:rsidR="00FC2A24">
          <w:rPr>
            <w:webHidden/>
          </w:rPr>
          <w:tab/>
        </w:r>
        <w:r w:rsidR="00FC2A24">
          <w:rPr>
            <w:webHidden/>
          </w:rPr>
          <w:fldChar w:fldCharType="begin"/>
        </w:r>
        <w:r w:rsidR="00FC2A24">
          <w:rPr>
            <w:webHidden/>
          </w:rPr>
          <w:instrText xml:space="preserve"> PAGEREF _Toc441731600 \h </w:instrText>
        </w:r>
        <w:r w:rsidR="00FC2A24">
          <w:rPr>
            <w:webHidden/>
          </w:rPr>
        </w:r>
        <w:r w:rsidR="00FC2A24">
          <w:rPr>
            <w:webHidden/>
          </w:rPr>
          <w:fldChar w:fldCharType="separate"/>
        </w:r>
        <w:r w:rsidR="00EA3D34">
          <w:rPr>
            <w:webHidden/>
          </w:rPr>
          <w:t>3</w:t>
        </w:r>
        <w:r w:rsidR="00FC2A24">
          <w:rPr>
            <w:webHidden/>
          </w:rPr>
          <w:fldChar w:fldCharType="end"/>
        </w:r>
      </w:hyperlink>
    </w:p>
    <w:p w:rsidR="00FC2A24" w:rsidRDefault="002221D1">
      <w:pPr>
        <w:pStyle w:val="Spistreci2"/>
        <w:tabs>
          <w:tab w:val="right" w:leader="dot" w:pos="9061"/>
        </w:tabs>
        <w:rPr>
          <w:noProof/>
        </w:rPr>
      </w:pPr>
      <w:hyperlink w:anchor="_Toc441731601" w:history="1">
        <w:r w:rsidR="00FC2A24">
          <w:rPr>
            <w:rStyle w:val="Hipercze"/>
            <w:noProof/>
          </w:rPr>
          <w:t>1.1. Przedmiot SST</w:t>
        </w:r>
        <w:r w:rsidR="00FC2A24">
          <w:rPr>
            <w:noProof/>
            <w:webHidden/>
          </w:rPr>
          <w:tab/>
        </w:r>
        <w:r w:rsidR="00FC2A24">
          <w:rPr>
            <w:noProof/>
            <w:webHidden/>
          </w:rPr>
          <w:fldChar w:fldCharType="begin"/>
        </w:r>
        <w:r w:rsidR="00FC2A24">
          <w:rPr>
            <w:noProof/>
            <w:webHidden/>
          </w:rPr>
          <w:instrText xml:space="preserve"> PAGEREF _Toc441731601 \h </w:instrText>
        </w:r>
        <w:r w:rsidR="00FC2A24">
          <w:rPr>
            <w:noProof/>
            <w:webHidden/>
          </w:rPr>
        </w:r>
        <w:r w:rsidR="00FC2A24">
          <w:rPr>
            <w:noProof/>
            <w:webHidden/>
          </w:rPr>
          <w:fldChar w:fldCharType="separate"/>
        </w:r>
        <w:r w:rsidR="00EA3D34">
          <w:rPr>
            <w:noProof/>
            <w:webHidden/>
          </w:rPr>
          <w:t>3</w:t>
        </w:r>
        <w:r w:rsidR="00FC2A24">
          <w:rPr>
            <w:noProof/>
            <w:webHidden/>
          </w:rPr>
          <w:fldChar w:fldCharType="end"/>
        </w:r>
      </w:hyperlink>
    </w:p>
    <w:p w:rsidR="00FC2A24" w:rsidRDefault="002221D1">
      <w:pPr>
        <w:pStyle w:val="Spistreci2"/>
        <w:tabs>
          <w:tab w:val="right" w:leader="dot" w:pos="9061"/>
        </w:tabs>
        <w:rPr>
          <w:noProof/>
        </w:rPr>
      </w:pPr>
      <w:hyperlink w:anchor="_Toc441731602" w:history="1">
        <w:r w:rsidR="00FC2A24">
          <w:rPr>
            <w:rStyle w:val="Hipercze"/>
            <w:noProof/>
          </w:rPr>
          <w:t>1.2. Zakres stosowania SST</w:t>
        </w:r>
        <w:r w:rsidR="00FC2A24">
          <w:rPr>
            <w:noProof/>
            <w:webHidden/>
          </w:rPr>
          <w:tab/>
        </w:r>
        <w:r w:rsidR="00FC2A24">
          <w:rPr>
            <w:noProof/>
            <w:webHidden/>
          </w:rPr>
          <w:fldChar w:fldCharType="begin"/>
        </w:r>
        <w:r w:rsidR="00FC2A24">
          <w:rPr>
            <w:noProof/>
            <w:webHidden/>
          </w:rPr>
          <w:instrText xml:space="preserve"> PAGEREF _Toc441731602 \h </w:instrText>
        </w:r>
        <w:r w:rsidR="00FC2A24">
          <w:rPr>
            <w:noProof/>
            <w:webHidden/>
          </w:rPr>
        </w:r>
        <w:r w:rsidR="00FC2A24">
          <w:rPr>
            <w:noProof/>
            <w:webHidden/>
          </w:rPr>
          <w:fldChar w:fldCharType="separate"/>
        </w:r>
        <w:r w:rsidR="00EA3D34">
          <w:rPr>
            <w:noProof/>
            <w:webHidden/>
          </w:rPr>
          <w:t>3</w:t>
        </w:r>
        <w:r w:rsidR="00FC2A24">
          <w:rPr>
            <w:noProof/>
            <w:webHidden/>
          </w:rPr>
          <w:fldChar w:fldCharType="end"/>
        </w:r>
      </w:hyperlink>
    </w:p>
    <w:p w:rsidR="00FC2A24" w:rsidRDefault="002221D1">
      <w:pPr>
        <w:pStyle w:val="Spistreci2"/>
        <w:tabs>
          <w:tab w:val="right" w:leader="dot" w:pos="9061"/>
        </w:tabs>
        <w:rPr>
          <w:noProof/>
        </w:rPr>
      </w:pPr>
      <w:hyperlink w:anchor="_Toc441731603" w:history="1">
        <w:r w:rsidR="00FC2A24">
          <w:rPr>
            <w:rStyle w:val="Hipercze"/>
            <w:noProof/>
          </w:rPr>
          <w:t>1.3. Zakres robót objętych SST</w:t>
        </w:r>
        <w:r w:rsidR="00FC2A24">
          <w:rPr>
            <w:noProof/>
            <w:webHidden/>
          </w:rPr>
          <w:tab/>
        </w:r>
        <w:r w:rsidR="00FC2A24">
          <w:rPr>
            <w:noProof/>
            <w:webHidden/>
          </w:rPr>
          <w:fldChar w:fldCharType="begin"/>
        </w:r>
        <w:r w:rsidR="00FC2A24">
          <w:rPr>
            <w:noProof/>
            <w:webHidden/>
          </w:rPr>
          <w:instrText xml:space="preserve"> PAGEREF _Toc441731603 \h </w:instrText>
        </w:r>
        <w:r w:rsidR="00FC2A24">
          <w:rPr>
            <w:noProof/>
            <w:webHidden/>
          </w:rPr>
        </w:r>
        <w:r w:rsidR="00FC2A24">
          <w:rPr>
            <w:noProof/>
            <w:webHidden/>
          </w:rPr>
          <w:fldChar w:fldCharType="separate"/>
        </w:r>
        <w:r w:rsidR="00EA3D34">
          <w:rPr>
            <w:noProof/>
            <w:webHidden/>
          </w:rPr>
          <w:t>3</w:t>
        </w:r>
        <w:r w:rsidR="00FC2A24">
          <w:rPr>
            <w:noProof/>
            <w:webHidden/>
          </w:rPr>
          <w:fldChar w:fldCharType="end"/>
        </w:r>
      </w:hyperlink>
    </w:p>
    <w:p w:rsidR="00FC2A24" w:rsidRDefault="002221D1">
      <w:pPr>
        <w:pStyle w:val="Spistreci2"/>
        <w:tabs>
          <w:tab w:val="right" w:leader="dot" w:pos="9061"/>
        </w:tabs>
        <w:rPr>
          <w:noProof/>
        </w:rPr>
      </w:pPr>
      <w:hyperlink w:anchor="_Toc441731604" w:history="1">
        <w:r w:rsidR="00FC2A24">
          <w:rPr>
            <w:rStyle w:val="Hipercze"/>
            <w:noProof/>
          </w:rPr>
          <w:t>1.4. Określenia podstawowe</w:t>
        </w:r>
        <w:r w:rsidR="00FC2A24">
          <w:rPr>
            <w:noProof/>
            <w:webHidden/>
          </w:rPr>
          <w:tab/>
        </w:r>
        <w:r w:rsidR="00FC2A24">
          <w:rPr>
            <w:noProof/>
            <w:webHidden/>
          </w:rPr>
          <w:fldChar w:fldCharType="begin"/>
        </w:r>
        <w:r w:rsidR="00FC2A24">
          <w:rPr>
            <w:noProof/>
            <w:webHidden/>
          </w:rPr>
          <w:instrText xml:space="preserve"> PAGEREF _Toc441731604 \h </w:instrText>
        </w:r>
        <w:r w:rsidR="00FC2A24">
          <w:rPr>
            <w:noProof/>
            <w:webHidden/>
          </w:rPr>
        </w:r>
        <w:r w:rsidR="00FC2A24">
          <w:rPr>
            <w:noProof/>
            <w:webHidden/>
          </w:rPr>
          <w:fldChar w:fldCharType="separate"/>
        </w:r>
        <w:r w:rsidR="00EA3D34">
          <w:rPr>
            <w:noProof/>
            <w:webHidden/>
          </w:rPr>
          <w:t>3</w:t>
        </w:r>
        <w:r w:rsidR="00FC2A24">
          <w:rPr>
            <w:noProof/>
            <w:webHidden/>
          </w:rPr>
          <w:fldChar w:fldCharType="end"/>
        </w:r>
      </w:hyperlink>
    </w:p>
    <w:p w:rsidR="00FC2A24" w:rsidRDefault="002221D1">
      <w:pPr>
        <w:pStyle w:val="Spistreci2"/>
        <w:tabs>
          <w:tab w:val="right" w:leader="dot" w:pos="9061"/>
        </w:tabs>
        <w:rPr>
          <w:noProof/>
        </w:rPr>
      </w:pPr>
      <w:hyperlink w:anchor="_Toc441731605" w:history="1">
        <w:r w:rsidR="00FC2A24">
          <w:rPr>
            <w:rStyle w:val="Hipercze"/>
            <w:noProof/>
          </w:rPr>
          <w:t>1.5. Ogólne wymagania dotyczące robót</w:t>
        </w:r>
        <w:r w:rsidR="00FC2A24">
          <w:rPr>
            <w:noProof/>
            <w:webHidden/>
          </w:rPr>
          <w:tab/>
        </w:r>
        <w:r w:rsidR="00FC2A24">
          <w:rPr>
            <w:noProof/>
            <w:webHidden/>
          </w:rPr>
          <w:fldChar w:fldCharType="begin"/>
        </w:r>
        <w:r w:rsidR="00FC2A24">
          <w:rPr>
            <w:noProof/>
            <w:webHidden/>
          </w:rPr>
          <w:instrText xml:space="preserve"> PAGEREF _Toc441731605 \h </w:instrText>
        </w:r>
        <w:r w:rsidR="00FC2A24">
          <w:rPr>
            <w:noProof/>
            <w:webHidden/>
          </w:rPr>
        </w:r>
        <w:r w:rsidR="00FC2A24">
          <w:rPr>
            <w:noProof/>
            <w:webHidden/>
          </w:rPr>
          <w:fldChar w:fldCharType="separate"/>
        </w:r>
        <w:r w:rsidR="00EA3D34">
          <w:rPr>
            <w:noProof/>
            <w:webHidden/>
          </w:rPr>
          <w:t>4</w:t>
        </w:r>
        <w:r w:rsidR="00FC2A24">
          <w:rPr>
            <w:noProof/>
            <w:webHidden/>
          </w:rPr>
          <w:fldChar w:fldCharType="end"/>
        </w:r>
      </w:hyperlink>
    </w:p>
    <w:p w:rsidR="00FC2A24" w:rsidRDefault="002221D1">
      <w:pPr>
        <w:pStyle w:val="Spistreci1"/>
        <w:rPr>
          <w:b w:val="0"/>
          <w:caps w:val="0"/>
          <w:sz w:val="24"/>
          <w:szCs w:val="24"/>
        </w:rPr>
      </w:pPr>
      <w:hyperlink w:anchor="_Toc441731606" w:history="1">
        <w:r w:rsidR="00FC2A24">
          <w:rPr>
            <w:rStyle w:val="Hipercze"/>
          </w:rPr>
          <w:t>2. materiały</w:t>
        </w:r>
        <w:r w:rsidR="00FC2A24">
          <w:rPr>
            <w:webHidden/>
          </w:rPr>
          <w:tab/>
        </w:r>
        <w:r w:rsidR="00FC2A24">
          <w:rPr>
            <w:webHidden/>
          </w:rPr>
          <w:fldChar w:fldCharType="begin"/>
        </w:r>
        <w:r w:rsidR="00FC2A24">
          <w:rPr>
            <w:webHidden/>
          </w:rPr>
          <w:instrText xml:space="preserve"> PAGEREF _Toc441731606 \h </w:instrText>
        </w:r>
        <w:r w:rsidR="00FC2A24">
          <w:rPr>
            <w:webHidden/>
          </w:rPr>
        </w:r>
        <w:r w:rsidR="00FC2A24">
          <w:rPr>
            <w:webHidden/>
          </w:rPr>
          <w:fldChar w:fldCharType="separate"/>
        </w:r>
        <w:r w:rsidR="00EA3D34">
          <w:rPr>
            <w:webHidden/>
          </w:rPr>
          <w:t>4</w:t>
        </w:r>
        <w:r w:rsidR="00FC2A24">
          <w:rPr>
            <w:webHidden/>
          </w:rPr>
          <w:fldChar w:fldCharType="end"/>
        </w:r>
      </w:hyperlink>
    </w:p>
    <w:p w:rsidR="00FC2A24" w:rsidRDefault="002221D1">
      <w:pPr>
        <w:pStyle w:val="Spistreci2"/>
        <w:tabs>
          <w:tab w:val="right" w:leader="dot" w:pos="9061"/>
        </w:tabs>
        <w:rPr>
          <w:noProof/>
        </w:rPr>
      </w:pPr>
      <w:hyperlink w:anchor="_Toc441731607" w:history="1">
        <w:r w:rsidR="00FC2A24">
          <w:rPr>
            <w:rStyle w:val="Hipercze"/>
            <w:noProof/>
          </w:rPr>
          <w:t>2.1. Ogólne wymagania dotyczące materiałów</w:t>
        </w:r>
        <w:r w:rsidR="00FC2A24">
          <w:rPr>
            <w:noProof/>
            <w:webHidden/>
          </w:rPr>
          <w:tab/>
        </w:r>
        <w:r w:rsidR="00FC2A24">
          <w:rPr>
            <w:noProof/>
            <w:webHidden/>
          </w:rPr>
          <w:fldChar w:fldCharType="begin"/>
        </w:r>
        <w:r w:rsidR="00FC2A24">
          <w:rPr>
            <w:noProof/>
            <w:webHidden/>
          </w:rPr>
          <w:instrText xml:space="preserve"> PAGEREF _Toc441731607 \h </w:instrText>
        </w:r>
        <w:r w:rsidR="00FC2A24">
          <w:rPr>
            <w:noProof/>
            <w:webHidden/>
          </w:rPr>
        </w:r>
        <w:r w:rsidR="00FC2A24">
          <w:rPr>
            <w:noProof/>
            <w:webHidden/>
          </w:rPr>
          <w:fldChar w:fldCharType="separate"/>
        </w:r>
        <w:r w:rsidR="00EA3D34">
          <w:rPr>
            <w:noProof/>
            <w:webHidden/>
          </w:rPr>
          <w:t>4</w:t>
        </w:r>
        <w:r w:rsidR="00FC2A24">
          <w:rPr>
            <w:noProof/>
            <w:webHidden/>
          </w:rPr>
          <w:fldChar w:fldCharType="end"/>
        </w:r>
      </w:hyperlink>
    </w:p>
    <w:p w:rsidR="00FC2A24" w:rsidRDefault="002221D1">
      <w:pPr>
        <w:pStyle w:val="Spistreci2"/>
        <w:tabs>
          <w:tab w:val="right" w:leader="dot" w:pos="9061"/>
        </w:tabs>
        <w:rPr>
          <w:noProof/>
        </w:rPr>
      </w:pPr>
      <w:hyperlink w:anchor="_Toc441731608" w:history="1">
        <w:r w:rsidR="00FC2A24">
          <w:rPr>
            <w:rStyle w:val="Hipercze"/>
            <w:noProof/>
          </w:rPr>
          <w:t>2.2. Dokument dopuszczający do stosowania materiałów</w:t>
        </w:r>
        <w:r w:rsidR="00FC2A24">
          <w:rPr>
            <w:noProof/>
            <w:webHidden/>
          </w:rPr>
          <w:tab/>
        </w:r>
        <w:r w:rsidR="00FC2A24">
          <w:rPr>
            <w:noProof/>
            <w:webHidden/>
          </w:rPr>
          <w:fldChar w:fldCharType="begin"/>
        </w:r>
        <w:r w:rsidR="00FC2A24">
          <w:rPr>
            <w:noProof/>
            <w:webHidden/>
          </w:rPr>
          <w:instrText xml:space="preserve"> PAGEREF _Toc441731608 \h </w:instrText>
        </w:r>
        <w:r w:rsidR="00FC2A24">
          <w:rPr>
            <w:noProof/>
            <w:webHidden/>
          </w:rPr>
        </w:r>
        <w:r w:rsidR="00FC2A24">
          <w:rPr>
            <w:noProof/>
            <w:webHidden/>
          </w:rPr>
          <w:fldChar w:fldCharType="separate"/>
        </w:r>
        <w:r w:rsidR="00EA3D34">
          <w:rPr>
            <w:noProof/>
            <w:webHidden/>
          </w:rPr>
          <w:t>4</w:t>
        </w:r>
        <w:r w:rsidR="00FC2A24">
          <w:rPr>
            <w:noProof/>
            <w:webHidden/>
          </w:rPr>
          <w:fldChar w:fldCharType="end"/>
        </w:r>
      </w:hyperlink>
    </w:p>
    <w:p w:rsidR="00FC2A24" w:rsidRDefault="002221D1">
      <w:pPr>
        <w:pStyle w:val="Spistreci2"/>
        <w:tabs>
          <w:tab w:val="right" w:leader="dot" w:pos="9061"/>
        </w:tabs>
        <w:rPr>
          <w:noProof/>
        </w:rPr>
      </w:pPr>
      <w:hyperlink w:anchor="_Toc441731609" w:history="1">
        <w:r w:rsidR="00FC2A24">
          <w:rPr>
            <w:rStyle w:val="Hipercze"/>
            <w:noProof/>
          </w:rPr>
          <w:t>2.3. Badanie materiałów, których jakość budzi wątpliwość</w:t>
        </w:r>
        <w:r w:rsidR="00FC2A24">
          <w:rPr>
            <w:noProof/>
            <w:webHidden/>
          </w:rPr>
          <w:tab/>
        </w:r>
        <w:r w:rsidR="00FC2A24">
          <w:rPr>
            <w:noProof/>
            <w:webHidden/>
          </w:rPr>
          <w:fldChar w:fldCharType="begin"/>
        </w:r>
        <w:r w:rsidR="00FC2A24">
          <w:rPr>
            <w:noProof/>
            <w:webHidden/>
          </w:rPr>
          <w:instrText xml:space="preserve"> PAGEREF _Toc441731609 \h </w:instrText>
        </w:r>
        <w:r w:rsidR="00FC2A24">
          <w:rPr>
            <w:noProof/>
            <w:webHidden/>
          </w:rPr>
        </w:r>
        <w:r w:rsidR="00FC2A24">
          <w:rPr>
            <w:noProof/>
            <w:webHidden/>
          </w:rPr>
          <w:fldChar w:fldCharType="separate"/>
        </w:r>
        <w:r w:rsidR="00EA3D34">
          <w:rPr>
            <w:noProof/>
            <w:webHidden/>
          </w:rPr>
          <w:t>4</w:t>
        </w:r>
        <w:r w:rsidR="00FC2A24">
          <w:rPr>
            <w:noProof/>
            <w:webHidden/>
          </w:rPr>
          <w:fldChar w:fldCharType="end"/>
        </w:r>
      </w:hyperlink>
    </w:p>
    <w:p w:rsidR="00FC2A24" w:rsidRDefault="002221D1">
      <w:pPr>
        <w:pStyle w:val="Spistreci2"/>
        <w:tabs>
          <w:tab w:val="right" w:leader="dot" w:pos="9061"/>
        </w:tabs>
        <w:rPr>
          <w:noProof/>
        </w:rPr>
      </w:pPr>
      <w:hyperlink w:anchor="_Toc441731610" w:history="1">
        <w:r w:rsidR="00FC2A24">
          <w:rPr>
            <w:rStyle w:val="Hipercze"/>
            <w:noProof/>
          </w:rPr>
          <w:t>2.4. Oznakowanie opakowań</w:t>
        </w:r>
        <w:r w:rsidR="00FC2A24">
          <w:rPr>
            <w:noProof/>
            <w:webHidden/>
          </w:rPr>
          <w:tab/>
        </w:r>
        <w:r w:rsidR="00FC2A24">
          <w:rPr>
            <w:noProof/>
            <w:webHidden/>
          </w:rPr>
          <w:fldChar w:fldCharType="begin"/>
        </w:r>
        <w:r w:rsidR="00FC2A24">
          <w:rPr>
            <w:noProof/>
            <w:webHidden/>
          </w:rPr>
          <w:instrText xml:space="preserve"> PAGEREF _Toc441731610 \h </w:instrText>
        </w:r>
        <w:r w:rsidR="00FC2A24">
          <w:rPr>
            <w:noProof/>
            <w:webHidden/>
          </w:rPr>
        </w:r>
        <w:r w:rsidR="00FC2A24">
          <w:rPr>
            <w:noProof/>
            <w:webHidden/>
          </w:rPr>
          <w:fldChar w:fldCharType="separate"/>
        </w:r>
        <w:r w:rsidR="00EA3D34">
          <w:rPr>
            <w:noProof/>
            <w:webHidden/>
          </w:rPr>
          <w:t>4</w:t>
        </w:r>
        <w:r w:rsidR="00FC2A24">
          <w:rPr>
            <w:noProof/>
            <w:webHidden/>
          </w:rPr>
          <w:fldChar w:fldCharType="end"/>
        </w:r>
      </w:hyperlink>
    </w:p>
    <w:p w:rsidR="00FC2A24" w:rsidRDefault="002221D1">
      <w:pPr>
        <w:pStyle w:val="Spistreci2"/>
        <w:tabs>
          <w:tab w:val="right" w:leader="dot" w:pos="9061"/>
        </w:tabs>
        <w:rPr>
          <w:noProof/>
        </w:rPr>
      </w:pPr>
      <w:hyperlink w:anchor="_Toc441731611" w:history="1">
        <w:r w:rsidR="00FC2A24">
          <w:rPr>
            <w:rStyle w:val="Hipercze"/>
            <w:noProof/>
          </w:rPr>
          <w:t>2.5. Przepisy określające wymagania dla materiałów</w:t>
        </w:r>
        <w:r w:rsidR="00FC2A24">
          <w:rPr>
            <w:noProof/>
            <w:webHidden/>
          </w:rPr>
          <w:tab/>
        </w:r>
        <w:r w:rsidR="00FC2A24">
          <w:rPr>
            <w:noProof/>
            <w:webHidden/>
          </w:rPr>
          <w:fldChar w:fldCharType="begin"/>
        </w:r>
        <w:r w:rsidR="00FC2A24">
          <w:rPr>
            <w:noProof/>
            <w:webHidden/>
          </w:rPr>
          <w:instrText xml:space="preserve"> PAGEREF _Toc441731611 \h </w:instrText>
        </w:r>
        <w:r w:rsidR="00FC2A24">
          <w:rPr>
            <w:noProof/>
            <w:webHidden/>
          </w:rPr>
        </w:r>
        <w:r w:rsidR="00FC2A24">
          <w:rPr>
            <w:noProof/>
            <w:webHidden/>
          </w:rPr>
          <w:fldChar w:fldCharType="separate"/>
        </w:r>
        <w:r w:rsidR="00EA3D34">
          <w:rPr>
            <w:noProof/>
            <w:webHidden/>
          </w:rPr>
          <w:t>5</w:t>
        </w:r>
        <w:r w:rsidR="00FC2A24">
          <w:rPr>
            <w:noProof/>
            <w:webHidden/>
          </w:rPr>
          <w:fldChar w:fldCharType="end"/>
        </w:r>
      </w:hyperlink>
    </w:p>
    <w:p w:rsidR="00FC2A24" w:rsidRDefault="002221D1">
      <w:pPr>
        <w:pStyle w:val="Spistreci2"/>
        <w:tabs>
          <w:tab w:val="right" w:leader="dot" w:pos="9061"/>
        </w:tabs>
        <w:rPr>
          <w:noProof/>
        </w:rPr>
      </w:pPr>
      <w:hyperlink w:anchor="_Toc441731612" w:history="1">
        <w:r w:rsidR="00FC2A24">
          <w:rPr>
            <w:rStyle w:val="Hipercze"/>
            <w:noProof/>
          </w:rPr>
          <w:t>2.6. Wymagania wobec materiałów do poziomego znakowania dróg</w:t>
        </w:r>
        <w:r w:rsidR="00FC2A24">
          <w:rPr>
            <w:noProof/>
            <w:webHidden/>
          </w:rPr>
          <w:tab/>
        </w:r>
        <w:r w:rsidR="00FC2A24">
          <w:rPr>
            <w:noProof/>
            <w:webHidden/>
          </w:rPr>
          <w:fldChar w:fldCharType="begin"/>
        </w:r>
        <w:r w:rsidR="00FC2A24">
          <w:rPr>
            <w:noProof/>
            <w:webHidden/>
          </w:rPr>
          <w:instrText xml:space="preserve"> PAGEREF _Toc441731612 \h </w:instrText>
        </w:r>
        <w:r w:rsidR="00FC2A24">
          <w:rPr>
            <w:noProof/>
            <w:webHidden/>
          </w:rPr>
        </w:r>
        <w:r w:rsidR="00FC2A24">
          <w:rPr>
            <w:noProof/>
            <w:webHidden/>
          </w:rPr>
          <w:fldChar w:fldCharType="separate"/>
        </w:r>
        <w:r w:rsidR="00EA3D34">
          <w:rPr>
            <w:noProof/>
            <w:webHidden/>
          </w:rPr>
          <w:t>5</w:t>
        </w:r>
        <w:r w:rsidR="00FC2A24">
          <w:rPr>
            <w:noProof/>
            <w:webHidden/>
          </w:rPr>
          <w:fldChar w:fldCharType="end"/>
        </w:r>
      </w:hyperlink>
    </w:p>
    <w:p w:rsidR="00FC2A24" w:rsidRDefault="002221D1">
      <w:pPr>
        <w:pStyle w:val="Spistreci2"/>
        <w:tabs>
          <w:tab w:val="right" w:leader="dot" w:pos="9061"/>
        </w:tabs>
        <w:rPr>
          <w:noProof/>
        </w:rPr>
      </w:pPr>
      <w:hyperlink w:anchor="_Toc441731613" w:history="1">
        <w:r w:rsidR="00FC2A24">
          <w:rPr>
            <w:rStyle w:val="Hipercze"/>
            <w:noProof/>
          </w:rPr>
          <w:t>2.7. Przechowywanie i składowanie materiałów</w:t>
        </w:r>
        <w:r w:rsidR="00FC2A24">
          <w:rPr>
            <w:noProof/>
            <w:webHidden/>
          </w:rPr>
          <w:tab/>
        </w:r>
        <w:r w:rsidR="00FC2A24">
          <w:rPr>
            <w:noProof/>
            <w:webHidden/>
          </w:rPr>
          <w:fldChar w:fldCharType="begin"/>
        </w:r>
        <w:r w:rsidR="00FC2A24">
          <w:rPr>
            <w:noProof/>
            <w:webHidden/>
          </w:rPr>
          <w:instrText xml:space="preserve"> PAGEREF _Toc441731613 \h </w:instrText>
        </w:r>
        <w:r w:rsidR="00FC2A24">
          <w:rPr>
            <w:noProof/>
            <w:webHidden/>
          </w:rPr>
        </w:r>
        <w:r w:rsidR="00FC2A24">
          <w:rPr>
            <w:noProof/>
            <w:webHidden/>
          </w:rPr>
          <w:fldChar w:fldCharType="separate"/>
        </w:r>
        <w:r w:rsidR="00EA3D34">
          <w:rPr>
            <w:noProof/>
            <w:webHidden/>
          </w:rPr>
          <w:t>6</w:t>
        </w:r>
        <w:r w:rsidR="00FC2A24">
          <w:rPr>
            <w:noProof/>
            <w:webHidden/>
          </w:rPr>
          <w:fldChar w:fldCharType="end"/>
        </w:r>
      </w:hyperlink>
    </w:p>
    <w:p w:rsidR="00FC2A24" w:rsidRDefault="002221D1">
      <w:pPr>
        <w:pStyle w:val="Spistreci1"/>
        <w:rPr>
          <w:b w:val="0"/>
          <w:caps w:val="0"/>
          <w:sz w:val="24"/>
          <w:szCs w:val="24"/>
        </w:rPr>
      </w:pPr>
      <w:hyperlink w:anchor="_Toc441731614" w:history="1">
        <w:r w:rsidR="00FC2A24">
          <w:rPr>
            <w:rStyle w:val="Hipercze"/>
          </w:rPr>
          <w:t>3. sprzęt</w:t>
        </w:r>
        <w:r w:rsidR="00FC2A24">
          <w:rPr>
            <w:webHidden/>
          </w:rPr>
          <w:tab/>
        </w:r>
        <w:r w:rsidR="00FC2A24">
          <w:rPr>
            <w:webHidden/>
          </w:rPr>
          <w:fldChar w:fldCharType="begin"/>
        </w:r>
        <w:r w:rsidR="00FC2A24">
          <w:rPr>
            <w:webHidden/>
          </w:rPr>
          <w:instrText xml:space="preserve"> PAGEREF _Toc441731614 \h </w:instrText>
        </w:r>
        <w:r w:rsidR="00FC2A24">
          <w:rPr>
            <w:webHidden/>
          </w:rPr>
        </w:r>
        <w:r w:rsidR="00FC2A24">
          <w:rPr>
            <w:webHidden/>
          </w:rPr>
          <w:fldChar w:fldCharType="separate"/>
        </w:r>
        <w:r w:rsidR="00EA3D34">
          <w:rPr>
            <w:webHidden/>
          </w:rPr>
          <w:t>6</w:t>
        </w:r>
        <w:r w:rsidR="00FC2A24">
          <w:rPr>
            <w:webHidden/>
          </w:rPr>
          <w:fldChar w:fldCharType="end"/>
        </w:r>
      </w:hyperlink>
    </w:p>
    <w:p w:rsidR="00FC2A24" w:rsidRDefault="002221D1">
      <w:pPr>
        <w:pStyle w:val="Spistreci2"/>
        <w:tabs>
          <w:tab w:val="right" w:leader="dot" w:pos="9061"/>
        </w:tabs>
        <w:rPr>
          <w:noProof/>
        </w:rPr>
      </w:pPr>
      <w:hyperlink w:anchor="_Toc441731615" w:history="1">
        <w:r w:rsidR="00FC2A24">
          <w:rPr>
            <w:rStyle w:val="Hipercze"/>
            <w:noProof/>
          </w:rPr>
          <w:t>3.1. Ogólne wymagania dotyczące sprzętu</w:t>
        </w:r>
        <w:r w:rsidR="00FC2A24">
          <w:rPr>
            <w:noProof/>
            <w:webHidden/>
          </w:rPr>
          <w:tab/>
        </w:r>
        <w:r w:rsidR="00FC2A24">
          <w:rPr>
            <w:noProof/>
            <w:webHidden/>
          </w:rPr>
          <w:fldChar w:fldCharType="begin"/>
        </w:r>
        <w:r w:rsidR="00FC2A24">
          <w:rPr>
            <w:noProof/>
            <w:webHidden/>
          </w:rPr>
          <w:instrText xml:space="preserve"> PAGEREF _Toc441731615 \h </w:instrText>
        </w:r>
        <w:r w:rsidR="00FC2A24">
          <w:rPr>
            <w:noProof/>
            <w:webHidden/>
          </w:rPr>
        </w:r>
        <w:r w:rsidR="00FC2A24">
          <w:rPr>
            <w:noProof/>
            <w:webHidden/>
          </w:rPr>
          <w:fldChar w:fldCharType="separate"/>
        </w:r>
        <w:r w:rsidR="00EA3D34">
          <w:rPr>
            <w:noProof/>
            <w:webHidden/>
          </w:rPr>
          <w:t>6</w:t>
        </w:r>
        <w:r w:rsidR="00FC2A24">
          <w:rPr>
            <w:noProof/>
            <w:webHidden/>
          </w:rPr>
          <w:fldChar w:fldCharType="end"/>
        </w:r>
      </w:hyperlink>
    </w:p>
    <w:p w:rsidR="00FC2A24" w:rsidRDefault="002221D1">
      <w:pPr>
        <w:pStyle w:val="Spistreci2"/>
        <w:tabs>
          <w:tab w:val="right" w:leader="dot" w:pos="9061"/>
        </w:tabs>
        <w:rPr>
          <w:noProof/>
        </w:rPr>
      </w:pPr>
      <w:hyperlink w:anchor="_Toc441731616" w:history="1">
        <w:r w:rsidR="00FC2A24">
          <w:rPr>
            <w:rStyle w:val="Hipercze"/>
            <w:noProof/>
          </w:rPr>
          <w:t>3.2. Sprzęt do wykonania oznakowania poziomego</w:t>
        </w:r>
        <w:r w:rsidR="00FC2A24">
          <w:rPr>
            <w:noProof/>
            <w:webHidden/>
          </w:rPr>
          <w:tab/>
        </w:r>
        <w:r w:rsidR="00FC2A24">
          <w:rPr>
            <w:noProof/>
            <w:webHidden/>
          </w:rPr>
          <w:fldChar w:fldCharType="begin"/>
        </w:r>
        <w:r w:rsidR="00FC2A24">
          <w:rPr>
            <w:noProof/>
            <w:webHidden/>
          </w:rPr>
          <w:instrText xml:space="preserve"> PAGEREF _Toc441731616 \h </w:instrText>
        </w:r>
        <w:r w:rsidR="00FC2A24">
          <w:rPr>
            <w:noProof/>
            <w:webHidden/>
          </w:rPr>
        </w:r>
        <w:r w:rsidR="00FC2A24">
          <w:rPr>
            <w:noProof/>
            <w:webHidden/>
          </w:rPr>
          <w:fldChar w:fldCharType="separate"/>
        </w:r>
        <w:r w:rsidR="00EA3D34">
          <w:rPr>
            <w:noProof/>
            <w:webHidden/>
          </w:rPr>
          <w:t>6</w:t>
        </w:r>
        <w:r w:rsidR="00FC2A24">
          <w:rPr>
            <w:noProof/>
            <w:webHidden/>
          </w:rPr>
          <w:fldChar w:fldCharType="end"/>
        </w:r>
      </w:hyperlink>
    </w:p>
    <w:p w:rsidR="00FC2A24" w:rsidRDefault="002221D1">
      <w:pPr>
        <w:pStyle w:val="Spistreci1"/>
        <w:rPr>
          <w:b w:val="0"/>
          <w:caps w:val="0"/>
          <w:sz w:val="24"/>
          <w:szCs w:val="24"/>
        </w:rPr>
      </w:pPr>
      <w:hyperlink w:anchor="_Toc441731617" w:history="1">
        <w:r w:rsidR="00FC2A24">
          <w:rPr>
            <w:rStyle w:val="Hipercze"/>
          </w:rPr>
          <w:t>4. transport</w:t>
        </w:r>
        <w:r w:rsidR="00FC2A24">
          <w:rPr>
            <w:webHidden/>
          </w:rPr>
          <w:tab/>
        </w:r>
        <w:r w:rsidR="00FC2A24">
          <w:rPr>
            <w:webHidden/>
          </w:rPr>
          <w:fldChar w:fldCharType="begin"/>
        </w:r>
        <w:r w:rsidR="00FC2A24">
          <w:rPr>
            <w:webHidden/>
          </w:rPr>
          <w:instrText xml:space="preserve"> PAGEREF _Toc441731617 \h </w:instrText>
        </w:r>
        <w:r w:rsidR="00FC2A24">
          <w:rPr>
            <w:webHidden/>
          </w:rPr>
        </w:r>
        <w:r w:rsidR="00FC2A24">
          <w:rPr>
            <w:webHidden/>
          </w:rPr>
          <w:fldChar w:fldCharType="separate"/>
        </w:r>
        <w:r w:rsidR="00EA3D34">
          <w:rPr>
            <w:webHidden/>
          </w:rPr>
          <w:t>7</w:t>
        </w:r>
        <w:r w:rsidR="00FC2A24">
          <w:rPr>
            <w:webHidden/>
          </w:rPr>
          <w:fldChar w:fldCharType="end"/>
        </w:r>
      </w:hyperlink>
    </w:p>
    <w:p w:rsidR="00FC2A24" w:rsidRDefault="002221D1">
      <w:pPr>
        <w:pStyle w:val="Spistreci2"/>
        <w:tabs>
          <w:tab w:val="right" w:leader="dot" w:pos="9061"/>
        </w:tabs>
        <w:rPr>
          <w:noProof/>
        </w:rPr>
      </w:pPr>
      <w:hyperlink w:anchor="_Toc441731618" w:history="1">
        <w:r w:rsidR="00FC2A24">
          <w:rPr>
            <w:rStyle w:val="Hipercze"/>
            <w:noProof/>
          </w:rPr>
          <w:t>4.1. Ogólne wymagania dotyczące transportu</w:t>
        </w:r>
        <w:r w:rsidR="00FC2A24">
          <w:rPr>
            <w:noProof/>
            <w:webHidden/>
          </w:rPr>
          <w:tab/>
        </w:r>
        <w:r w:rsidR="00FC2A24">
          <w:rPr>
            <w:noProof/>
            <w:webHidden/>
          </w:rPr>
          <w:fldChar w:fldCharType="begin"/>
        </w:r>
        <w:r w:rsidR="00FC2A24">
          <w:rPr>
            <w:noProof/>
            <w:webHidden/>
          </w:rPr>
          <w:instrText xml:space="preserve"> PAGEREF _Toc441731618 \h </w:instrText>
        </w:r>
        <w:r w:rsidR="00FC2A24">
          <w:rPr>
            <w:noProof/>
            <w:webHidden/>
          </w:rPr>
        </w:r>
        <w:r w:rsidR="00FC2A24">
          <w:rPr>
            <w:noProof/>
            <w:webHidden/>
          </w:rPr>
          <w:fldChar w:fldCharType="separate"/>
        </w:r>
        <w:r w:rsidR="00EA3D34">
          <w:rPr>
            <w:noProof/>
            <w:webHidden/>
          </w:rPr>
          <w:t>7</w:t>
        </w:r>
        <w:r w:rsidR="00FC2A24">
          <w:rPr>
            <w:noProof/>
            <w:webHidden/>
          </w:rPr>
          <w:fldChar w:fldCharType="end"/>
        </w:r>
      </w:hyperlink>
    </w:p>
    <w:p w:rsidR="00FC2A24" w:rsidRDefault="002221D1">
      <w:pPr>
        <w:pStyle w:val="Spistreci2"/>
        <w:tabs>
          <w:tab w:val="right" w:leader="dot" w:pos="9061"/>
        </w:tabs>
        <w:rPr>
          <w:noProof/>
        </w:rPr>
      </w:pPr>
      <w:hyperlink w:anchor="_Toc441731619" w:history="1">
        <w:r w:rsidR="00FC2A24">
          <w:rPr>
            <w:rStyle w:val="Hipercze"/>
            <w:noProof/>
          </w:rPr>
          <w:t>4.2. Przewóz materiałów do poziomego znakowania dróg</w:t>
        </w:r>
        <w:r w:rsidR="00FC2A24">
          <w:rPr>
            <w:noProof/>
            <w:webHidden/>
          </w:rPr>
          <w:tab/>
        </w:r>
        <w:r w:rsidR="00FC2A24">
          <w:rPr>
            <w:noProof/>
            <w:webHidden/>
          </w:rPr>
          <w:fldChar w:fldCharType="begin"/>
        </w:r>
        <w:r w:rsidR="00FC2A24">
          <w:rPr>
            <w:noProof/>
            <w:webHidden/>
          </w:rPr>
          <w:instrText xml:space="preserve"> PAGEREF _Toc441731619 \h </w:instrText>
        </w:r>
        <w:r w:rsidR="00FC2A24">
          <w:rPr>
            <w:noProof/>
            <w:webHidden/>
          </w:rPr>
        </w:r>
        <w:r w:rsidR="00FC2A24">
          <w:rPr>
            <w:noProof/>
            <w:webHidden/>
          </w:rPr>
          <w:fldChar w:fldCharType="separate"/>
        </w:r>
        <w:r w:rsidR="00EA3D34">
          <w:rPr>
            <w:noProof/>
            <w:webHidden/>
          </w:rPr>
          <w:t>7</w:t>
        </w:r>
        <w:r w:rsidR="00FC2A24">
          <w:rPr>
            <w:noProof/>
            <w:webHidden/>
          </w:rPr>
          <w:fldChar w:fldCharType="end"/>
        </w:r>
      </w:hyperlink>
    </w:p>
    <w:p w:rsidR="00FC2A24" w:rsidRDefault="002221D1">
      <w:pPr>
        <w:pStyle w:val="Spistreci1"/>
        <w:rPr>
          <w:b w:val="0"/>
          <w:caps w:val="0"/>
          <w:sz w:val="24"/>
          <w:szCs w:val="24"/>
        </w:rPr>
      </w:pPr>
      <w:hyperlink w:anchor="_Toc441731620" w:history="1">
        <w:r w:rsidR="00FC2A24">
          <w:rPr>
            <w:rStyle w:val="Hipercze"/>
          </w:rPr>
          <w:t>5. wykonanie robót</w:t>
        </w:r>
        <w:r w:rsidR="00FC2A24">
          <w:rPr>
            <w:webHidden/>
          </w:rPr>
          <w:tab/>
        </w:r>
        <w:r w:rsidR="00FC2A24">
          <w:rPr>
            <w:webHidden/>
          </w:rPr>
          <w:fldChar w:fldCharType="begin"/>
        </w:r>
        <w:r w:rsidR="00FC2A24">
          <w:rPr>
            <w:webHidden/>
          </w:rPr>
          <w:instrText xml:space="preserve"> PAGEREF _Toc441731620 \h </w:instrText>
        </w:r>
        <w:r w:rsidR="00FC2A24">
          <w:rPr>
            <w:webHidden/>
          </w:rPr>
        </w:r>
        <w:r w:rsidR="00FC2A24">
          <w:rPr>
            <w:webHidden/>
          </w:rPr>
          <w:fldChar w:fldCharType="separate"/>
        </w:r>
        <w:r w:rsidR="00EA3D34">
          <w:rPr>
            <w:webHidden/>
          </w:rPr>
          <w:t>7</w:t>
        </w:r>
        <w:r w:rsidR="00FC2A24">
          <w:rPr>
            <w:webHidden/>
          </w:rPr>
          <w:fldChar w:fldCharType="end"/>
        </w:r>
      </w:hyperlink>
    </w:p>
    <w:p w:rsidR="00FC2A24" w:rsidRDefault="002221D1">
      <w:pPr>
        <w:pStyle w:val="Spistreci2"/>
        <w:tabs>
          <w:tab w:val="right" w:leader="dot" w:pos="9061"/>
        </w:tabs>
        <w:rPr>
          <w:noProof/>
        </w:rPr>
      </w:pPr>
      <w:hyperlink w:anchor="_Toc441731621" w:history="1">
        <w:r w:rsidR="00FC2A24">
          <w:rPr>
            <w:rStyle w:val="Hipercze"/>
            <w:noProof/>
          </w:rPr>
          <w:t>5.1. Ogólne zasady wykonania robót</w:t>
        </w:r>
        <w:r w:rsidR="00FC2A24">
          <w:rPr>
            <w:noProof/>
            <w:webHidden/>
          </w:rPr>
          <w:tab/>
        </w:r>
        <w:r w:rsidR="00FC2A24">
          <w:rPr>
            <w:noProof/>
            <w:webHidden/>
          </w:rPr>
          <w:fldChar w:fldCharType="begin"/>
        </w:r>
        <w:r w:rsidR="00FC2A24">
          <w:rPr>
            <w:noProof/>
            <w:webHidden/>
          </w:rPr>
          <w:instrText xml:space="preserve"> PAGEREF _Toc441731621 \h </w:instrText>
        </w:r>
        <w:r w:rsidR="00FC2A24">
          <w:rPr>
            <w:noProof/>
            <w:webHidden/>
          </w:rPr>
        </w:r>
        <w:r w:rsidR="00FC2A24">
          <w:rPr>
            <w:noProof/>
            <w:webHidden/>
          </w:rPr>
          <w:fldChar w:fldCharType="separate"/>
        </w:r>
        <w:r w:rsidR="00EA3D34">
          <w:rPr>
            <w:noProof/>
            <w:webHidden/>
          </w:rPr>
          <w:t>7</w:t>
        </w:r>
        <w:r w:rsidR="00FC2A24">
          <w:rPr>
            <w:noProof/>
            <w:webHidden/>
          </w:rPr>
          <w:fldChar w:fldCharType="end"/>
        </w:r>
      </w:hyperlink>
    </w:p>
    <w:p w:rsidR="00FC2A24" w:rsidRDefault="002221D1">
      <w:pPr>
        <w:pStyle w:val="Spistreci2"/>
        <w:tabs>
          <w:tab w:val="right" w:leader="dot" w:pos="9061"/>
        </w:tabs>
        <w:rPr>
          <w:noProof/>
        </w:rPr>
      </w:pPr>
      <w:hyperlink w:anchor="_Toc441731622" w:history="1">
        <w:r w:rsidR="00FC2A24">
          <w:rPr>
            <w:rStyle w:val="Hipercze"/>
            <w:noProof/>
          </w:rPr>
          <w:t>5.2. Warunki atmosferyczne</w:t>
        </w:r>
        <w:r w:rsidR="00FC2A24">
          <w:rPr>
            <w:noProof/>
            <w:webHidden/>
          </w:rPr>
          <w:tab/>
        </w:r>
        <w:r w:rsidR="00FC2A24">
          <w:rPr>
            <w:noProof/>
            <w:webHidden/>
          </w:rPr>
          <w:fldChar w:fldCharType="begin"/>
        </w:r>
        <w:r w:rsidR="00FC2A24">
          <w:rPr>
            <w:noProof/>
            <w:webHidden/>
          </w:rPr>
          <w:instrText xml:space="preserve"> PAGEREF _Toc441731622 \h </w:instrText>
        </w:r>
        <w:r w:rsidR="00FC2A24">
          <w:rPr>
            <w:noProof/>
            <w:webHidden/>
          </w:rPr>
        </w:r>
        <w:r w:rsidR="00FC2A24">
          <w:rPr>
            <w:noProof/>
            <w:webHidden/>
          </w:rPr>
          <w:fldChar w:fldCharType="separate"/>
        </w:r>
        <w:r w:rsidR="00EA3D34">
          <w:rPr>
            <w:noProof/>
            <w:webHidden/>
          </w:rPr>
          <w:t>7</w:t>
        </w:r>
        <w:r w:rsidR="00FC2A24">
          <w:rPr>
            <w:noProof/>
            <w:webHidden/>
          </w:rPr>
          <w:fldChar w:fldCharType="end"/>
        </w:r>
      </w:hyperlink>
    </w:p>
    <w:p w:rsidR="00FC2A24" w:rsidRDefault="002221D1">
      <w:pPr>
        <w:pStyle w:val="Spistreci2"/>
        <w:tabs>
          <w:tab w:val="right" w:leader="dot" w:pos="9061"/>
        </w:tabs>
        <w:rPr>
          <w:noProof/>
        </w:rPr>
      </w:pPr>
      <w:hyperlink w:anchor="_Toc441731623" w:history="1">
        <w:r w:rsidR="00FC2A24">
          <w:rPr>
            <w:rStyle w:val="Hipercze"/>
            <w:noProof/>
          </w:rPr>
          <w:t>5.3. Jednorodność nawierzchni znakowanej</w:t>
        </w:r>
        <w:r w:rsidR="00FC2A24">
          <w:rPr>
            <w:noProof/>
            <w:webHidden/>
          </w:rPr>
          <w:tab/>
        </w:r>
        <w:r w:rsidR="00FC2A24">
          <w:rPr>
            <w:noProof/>
            <w:webHidden/>
          </w:rPr>
          <w:fldChar w:fldCharType="begin"/>
        </w:r>
        <w:r w:rsidR="00FC2A24">
          <w:rPr>
            <w:noProof/>
            <w:webHidden/>
          </w:rPr>
          <w:instrText xml:space="preserve"> PAGEREF _Toc441731623 \h </w:instrText>
        </w:r>
        <w:r w:rsidR="00FC2A24">
          <w:rPr>
            <w:noProof/>
            <w:webHidden/>
          </w:rPr>
        </w:r>
        <w:r w:rsidR="00FC2A24">
          <w:rPr>
            <w:noProof/>
            <w:webHidden/>
          </w:rPr>
          <w:fldChar w:fldCharType="separate"/>
        </w:r>
        <w:r w:rsidR="00EA3D34">
          <w:rPr>
            <w:noProof/>
            <w:webHidden/>
          </w:rPr>
          <w:t>7</w:t>
        </w:r>
        <w:r w:rsidR="00FC2A24">
          <w:rPr>
            <w:noProof/>
            <w:webHidden/>
          </w:rPr>
          <w:fldChar w:fldCharType="end"/>
        </w:r>
      </w:hyperlink>
    </w:p>
    <w:p w:rsidR="00FC2A24" w:rsidRDefault="002221D1">
      <w:pPr>
        <w:pStyle w:val="Spistreci2"/>
        <w:tabs>
          <w:tab w:val="right" w:leader="dot" w:pos="9061"/>
        </w:tabs>
        <w:rPr>
          <w:noProof/>
        </w:rPr>
      </w:pPr>
      <w:hyperlink w:anchor="_Toc441731624" w:history="1">
        <w:r w:rsidR="00FC2A24">
          <w:rPr>
            <w:rStyle w:val="Hipercze"/>
            <w:noProof/>
          </w:rPr>
          <w:t>5.4. Przygotowanie podłoża do wykonania znakowania</w:t>
        </w:r>
        <w:r w:rsidR="00FC2A24">
          <w:rPr>
            <w:noProof/>
            <w:webHidden/>
          </w:rPr>
          <w:tab/>
        </w:r>
        <w:r w:rsidR="00FC2A24">
          <w:rPr>
            <w:noProof/>
            <w:webHidden/>
          </w:rPr>
          <w:fldChar w:fldCharType="begin"/>
        </w:r>
        <w:r w:rsidR="00FC2A24">
          <w:rPr>
            <w:noProof/>
            <w:webHidden/>
          </w:rPr>
          <w:instrText xml:space="preserve"> PAGEREF _Toc441731624 \h </w:instrText>
        </w:r>
        <w:r w:rsidR="00FC2A24">
          <w:rPr>
            <w:noProof/>
            <w:webHidden/>
          </w:rPr>
        </w:r>
        <w:r w:rsidR="00FC2A24">
          <w:rPr>
            <w:noProof/>
            <w:webHidden/>
          </w:rPr>
          <w:fldChar w:fldCharType="separate"/>
        </w:r>
        <w:r w:rsidR="00EA3D34">
          <w:rPr>
            <w:noProof/>
            <w:webHidden/>
          </w:rPr>
          <w:t>7</w:t>
        </w:r>
        <w:r w:rsidR="00FC2A24">
          <w:rPr>
            <w:noProof/>
            <w:webHidden/>
          </w:rPr>
          <w:fldChar w:fldCharType="end"/>
        </w:r>
      </w:hyperlink>
    </w:p>
    <w:p w:rsidR="00FC2A24" w:rsidRDefault="002221D1">
      <w:pPr>
        <w:pStyle w:val="Spistreci2"/>
        <w:tabs>
          <w:tab w:val="right" w:leader="dot" w:pos="9061"/>
        </w:tabs>
        <w:rPr>
          <w:noProof/>
        </w:rPr>
      </w:pPr>
      <w:hyperlink w:anchor="_Toc441731625" w:history="1">
        <w:r w:rsidR="00FC2A24">
          <w:rPr>
            <w:rStyle w:val="Hipercze"/>
            <w:noProof/>
          </w:rPr>
          <w:t>5.5. Przedznakowanie</w:t>
        </w:r>
        <w:r w:rsidR="00FC2A24">
          <w:rPr>
            <w:noProof/>
            <w:webHidden/>
          </w:rPr>
          <w:tab/>
        </w:r>
        <w:r w:rsidR="00FC2A24">
          <w:rPr>
            <w:noProof/>
            <w:webHidden/>
          </w:rPr>
          <w:fldChar w:fldCharType="begin"/>
        </w:r>
        <w:r w:rsidR="00FC2A24">
          <w:rPr>
            <w:noProof/>
            <w:webHidden/>
          </w:rPr>
          <w:instrText xml:space="preserve"> PAGEREF _Toc441731625 \h </w:instrText>
        </w:r>
        <w:r w:rsidR="00FC2A24">
          <w:rPr>
            <w:noProof/>
            <w:webHidden/>
          </w:rPr>
        </w:r>
        <w:r w:rsidR="00FC2A24">
          <w:rPr>
            <w:noProof/>
            <w:webHidden/>
          </w:rPr>
          <w:fldChar w:fldCharType="separate"/>
        </w:r>
        <w:r w:rsidR="00EA3D34">
          <w:rPr>
            <w:noProof/>
            <w:webHidden/>
          </w:rPr>
          <w:t>7</w:t>
        </w:r>
        <w:r w:rsidR="00FC2A24">
          <w:rPr>
            <w:noProof/>
            <w:webHidden/>
          </w:rPr>
          <w:fldChar w:fldCharType="end"/>
        </w:r>
      </w:hyperlink>
    </w:p>
    <w:p w:rsidR="00FC2A24" w:rsidRDefault="002221D1">
      <w:pPr>
        <w:pStyle w:val="Spistreci2"/>
        <w:tabs>
          <w:tab w:val="right" w:leader="dot" w:pos="9061"/>
        </w:tabs>
        <w:rPr>
          <w:noProof/>
        </w:rPr>
      </w:pPr>
      <w:hyperlink w:anchor="_Toc441731626" w:history="1">
        <w:r w:rsidR="00FC2A24">
          <w:rPr>
            <w:rStyle w:val="Hipercze"/>
            <w:noProof/>
          </w:rPr>
          <w:t>5.6. Wykonanie znakowania drogi</w:t>
        </w:r>
        <w:r w:rsidR="00FC2A24">
          <w:rPr>
            <w:noProof/>
            <w:webHidden/>
          </w:rPr>
          <w:tab/>
        </w:r>
        <w:r w:rsidR="00FC2A24">
          <w:rPr>
            <w:noProof/>
            <w:webHidden/>
          </w:rPr>
          <w:fldChar w:fldCharType="begin"/>
        </w:r>
        <w:r w:rsidR="00FC2A24">
          <w:rPr>
            <w:noProof/>
            <w:webHidden/>
          </w:rPr>
          <w:instrText xml:space="preserve"> PAGEREF _Toc441731626 \h </w:instrText>
        </w:r>
        <w:r w:rsidR="00FC2A24">
          <w:rPr>
            <w:noProof/>
            <w:webHidden/>
          </w:rPr>
        </w:r>
        <w:r w:rsidR="00FC2A24">
          <w:rPr>
            <w:noProof/>
            <w:webHidden/>
          </w:rPr>
          <w:fldChar w:fldCharType="separate"/>
        </w:r>
        <w:r w:rsidR="00EA3D34">
          <w:rPr>
            <w:noProof/>
            <w:webHidden/>
          </w:rPr>
          <w:t>8</w:t>
        </w:r>
        <w:r w:rsidR="00FC2A24">
          <w:rPr>
            <w:noProof/>
            <w:webHidden/>
          </w:rPr>
          <w:fldChar w:fldCharType="end"/>
        </w:r>
      </w:hyperlink>
    </w:p>
    <w:p w:rsidR="00FC2A24" w:rsidRDefault="002221D1">
      <w:pPr>
        <w:pStyle w:val="Spistreci2"/>
        <w:tabs>
          <w:tab w:val="right" w:leader="dot" w:pos="9061"/>
        </w:tabs>
        <w:rPr>
          <w:noProof/>
        </w:rPr>
      </w:pPr>
      <w:hyperlink w:anchor="_Toc441731627" w:history="1">
        <w:r w:rsidR="00FC2A24">
          <w:rPr>
            <w:rStyle w:val="Hipercze"/>
            <w:noProof/>
          </w:rPr>
          <w:t>5.6.1.  Dostarczenie materiałów i spełnienie zaleceń producenta materiałów</w:t>
        </w:r>
        <w:r w:rsidR="00FC2A24">
          <w:rPr>
            <w:noProof/>
            <w:webHidden/>
          </w:rPr>
          <w:tab/>
        </w:r>
        <w:r w:rsidR="00FC2A24">
          <w:rPr>
            <w:noProof/>
            <w:webHidden/>
          </w:rPr>
          <w:fldChar w:fldCharType="begin"/>
        </w:r>
        <w:r w:rsidR="00FC2A24">
          <w:rPr>
            <w:noProof/>
            <w:webHidden/>
          </w:rPr>
          <w:instrText xml:space="preserve"> PAGEREF _Toc441731627 \h </w:instrText>
        </w:r>
        <w:r w:rsidR="00FC2A24">
          <w:rPr>
            <w:noProof/>
            <w:webHidden/>
          </w:rPr>
        </w:r>
        <w:r w:rsidR="00FC2A24">
          <w:rPr>
            <w:noProof/>
            <w:webHidden/>
          </w:rPr>
          <w:fldChar w:fldCharType="separate"/>
        </w:r>
        <w:r w:rsidR="00EA3D34">
          <w:rPr>
            <w:noProof/>
            <w:webHidden/>
          </w:rPr>
          <w:t>8</w:t>
        </w:r>
        <w:r w:rsidR="00FC2A24">
          <w:rPr>
            <w:noProof/>
            <w:webHidden/>
          </w:rPr>
          <w:fldChar w:fldCharType="end"/>
        </w:r>
      </w:hyperlink>
    </w:p>
    <w:p w:rsidR="00FC2A24" w:rsidRDefault="002221D1">
      <w:pPr>
        <w:pStyle w:val="Spistreci2"/>
        <w:tabs>
          <w:tab w:val="right" w:leader="dot" w:pos="9061"/>
        </w:tabs>
        <w:rPr>
          <w:noProof/>
        </w:rPr>
      </w:pPr>
      <w:hyperlink w:anchor="_Toc441731628" w:history="1">
        <w:r w:rsidR="00FC2A24">
          <w:rPr>
            <w:rStyle w:val="Hipercze"/>
            <w:noProof/>
          </w:rPr>
          <w:t>5.7. Usuwanie oznakowania poziomego</w:t>
        </w:r>
        <w:r w:rsidR="00FC2A24">
          <w:rPr>
            <w:noProof/>
            <w:webHidden/>
          </w:rPr>
          <w:tab/>
        </w:r>
        <w:r w:rsidR="00FC2A24">
          <w:rPr>
            <w:noProof/>
            <w:webHidden/>
          </w:rPr>
          <w:fldChar w:fldCharType="begin"/>
        </w:r>
        <w:r w:rsidR="00FC2A24">
          <w:rPr>
            <w:noProof/>
            <w:webHidden/>
          </w:rPr>
          <w:instrText xml:space="preserve"> PAGEREF _Toc441731628 \h </w:instrText>
        </w:r>
        <w:r w:rsidR="00FC2A24">
          <w:rPr>
            <w:noProof/>
            <w:webHidden/>
          </w:rPr>
        </w:r>
        <w:r w:rsidR="00FC2A24">
          <w:rPr>
            <w:noProof/>
            <w:webHidden/>
          </w:rPr>
          <w:fldChar w:fldCharType="separate"/>
        </w:r>
        <w:r w:rsidR="00EA3D34">
          <w:rPr>
            <w:noProof/>
            <w:webHidden/>
          </w:rPr>
          <w:t>8</w:t>
        </w:r>
        <w:r w:rsidR="00FC2A24">
          <w:rPr>
            <w:noProof/>
            <w:webHidden/>
          </w:rPr>
          <w:fldChar w:fldCharType="end"/>
        </w:r>
      </w:hyperlink>
    </w:p>
    <w:p w:rsidR="00FC2A24" w:rsidRDefault="002221D1">
      <w:pPr>
        <w:pStyle w:val="Spistreci1"/>
        <w:rPr>
          <w:b w:val="0"/>
          <w:caps w:val="0"/>
          <w:sz w:val="24"/>
          <w:szCs w:val="24"/>
        </w:rPr>
      </w:pPr>
      <w:hyperlink w:anchor="_Toc441731629" w:history="1">
        <w:r w:rsidR="00FC2A24">
          <w:rPr>
            <w:rStyle w:val="Hipercze"/>
          </w:rPr>
          <w:t>6. kontrola jakości robót</w:t>
        </w:r>
        <w:r w:rsidR="00FC2A24">
          <w:rPr>
            <w:webHidden/>
          </w:rPr>
          <w:tab/>
        </w:r>
        <w:r w:rsidR="00FC2A24">
          <w:rPr>
            <w:webHidden/>
          </w:rPr>
          <w:fldChar w:fldCharType="begin"/>
        </w:r>
        <w:r w:rsidR="00FC2A24">
          <w:rPr>
            <w:webHidden/>
          </w:rPr>
          <w:instrText xml:space="preserve"> PAGEREF _Toc441731629 \h </w:instrText>
        </w:r>
        <w:r w:rsidR="00FC2A24">
          <w:rPr>
            <w:webHidden/>
          </w:rPr>
        </w:r>
        <w:r w:rsidR="00FC2A24">
          <w:rPr>
            <w:webHidden/>
          </w:rPr>
          <w:fldChar w:fldCharType="separate"/>
        </w:r>
        <w:r w:rsidR="00EA3D34">
          <w:rPr>
            <w:webHidden/>
          </w:rPr>
          <w:t>9</w:t>
        </w:r>
        <w:r w:rsidR="00FC2A24">
          <w:rPr>
            <w:webHidden/>
          </w:rPr>
          <w:fldChar w:fldCharType="end"/>
        </w:r>
      </w:hyperlink>
    </w:p>
    <w:p w:rsidR="00FC2A24" w:rsidRDefault="002221D1">
      <w:pPr>
        <w:pStyle w:val="Spistreci2"/>
        <w:tabs>
          <w:tab w:val="right" w:leader="dot" w:pos="9061"/>
        </w:tabs>
        <w:rPr>
          <w:noProof/>
        </w:rPr>
      </w:pPr>
      <w:hyperlink w:anchor="_Toc441731630" w:history="1">
        <w:r w:rsidR="00FC2A24">
          <w:rPr>
            <w:rStyle w:val="Hipercze"/>
            <w:noProof/>
          </w:rPr>
          <w:t>6.1. Ogólne zasady kontroli jakości robót</w:t>
        </w:r>
        <w:r w:rsidR="00FC2A24">
          <w:rPr>
            <w:noProof/>
            <w:webHidden/>
          </w:rPr>
          <w:tab/>
        </w:r>
        <w:r w:rsidR="00FC2A24">
          <w:rPr>
            <w:noProof/>
            <w:webHidden/>
          </w:rPr>
          <w:fldChar w:fldCharType="begin"/>
        </w:r>
        <w:r w:rsidR="00FC2A24">
          <w:rPr>
            <w:noProof/>
            <w:webHidden/>
          </w:rPr>
          <w:instrText xml:space="preserve"> PAGEREF _Toc441731630 \h </w:instrText>
        </w:r>
        <w:r w:rsidR="00FC2A24">
          <w:rPr>
            <w:noProof/>
            <w:webHidden/>
          </w:rPr>
        </w:r>
        <w:r w:rsidR="00FC2A24">
          <w:rPr>
            <w:noProof/>
            <w:webHidden/>
          </w:rPr>
          <w:fldChar w:fldCharType="separate"/>
        </w:r>
        <w:r w:rsidR="00EA3D34">
          <w:rPr>
            <w:noProof/>
            <w:webHidden/>
          </w:rPr>
          <w:t>9</w:t>
        </w:r>
        <w:r w:rsidR="00FC2A24">
          <w:rPr>
            <w:noProof/>
            <w:webHidden/>
          </w:rPr>
          <w:fldChar w:fldCharType="end"/>
        </w:r>
      </w:hyperlink>
    </w:p>
    <w:p w:rsidR="00FC2A24" w:rsidRDefault="002221D1">
      <w:pPr>
        <w:pStyle w:val="Spistreci2"/>
        <w:tabs>
          <w:tab w:val="right" w:leader="dot" w:pos="9061"/>
        </w:tabs>
        <w:rPr>
          <w:noProof/>
        </w:rPr>
      </w:pPr>
      <w:hyperlink w:anchor="_Toc441731631" w:history="1">
        <w:r w:rsidR="00FC2A24">
          <w:rPr>
            <w:rStyle w:val="Hipercze"/>
            <w:noProof/>
          </w:rPr>
          <w:t>6.2. Badanie przygotowania podłoża i przedznakowania</w:t>
        </w:r>
        <w:r w:rsidR="00FC2A24">
          <w:rPr>
            <w:noProof/>
            <w:webHidden/>
          </w:rPr>
          <w:tab/>
        </w:r>
        <w:r w:rsidR="00FC2A24">
          <w:rPr>
            <w:noProof/>
            <w:webHidden/>
          </w:rPr>
          <w:fldChar w:fldCharType="begin"/>
        </w:r>
        <w:r w:rsidR="00FC2A24">
          <w:rPr>
            <w:noProof/>
            <w:webHidden/>
          </w:rPr>
          <w:instrText xml:space="preserve"> PAGEREF _Toc441731631 \h </w:instrText>
        </w:r>
        <w:r w:rsidR="00FC2A24">
          <w:rPr>
            <w:noProof/>
            <w:webHidden/>
          </w:rPr>
        </w:r>
        <w:r w:rsidR="00FC2A24">
          <w:rPr>
            <w:noProof/>
            <w:webHidden/>
          </w:rPr>
          <w:fldChar w:fldCharType="separate"/>
        </w:r>
        <w:r w:rsidR="00EA3D34">
          <w:rPr>
            <w:noProof/>
            <w:webHidden/>
          </w:rPr>
          <w:t>9</w:t>
        </w:r>
        <w:r w:rsidR="00FC2A24">
          <w:rPr>
            <w:noProof/>
            <w:webHidden/>
          </w:rPr>
          <w:fldChar w:fldCharType="end"/>
        </w:r>
      </w:hyperlink>
    </w:p>
    <w:p w:rsidR="00FC2A24" w:rsidRDefault="002221D1">
      <w:pPr>
        <w:pStyle w:val="Spistreci2"/>
        <w:tabs>
          <w:tab w:val="right" w:leader="dot" w:pos="9061"/>
        </w:tabs>
        <w:rPr>
          <w:noProof/>
        </w:rPr>
      </w:pPr>
      <w:hyperlink w:anchor="_Toc441731632" w:history="1">
        <w:r w:rsidR="00FC2A24">
          <w:rPr>
            <w:rStyle w:val="Hipercze"/>
            <w:noProof/>
          </w:rPr>
          <w:t>6.3. Badania wykonania oznakowania poziomego</w:t>
        </w:r>
        <w:r w:rsidR="00FC2A24">
          <w:rPr>
            <w:noProof/>
            <w:webHidden/>
          </w:rPr>
          <w:tab/>
        </w:r>
        <w:r w:rsidR="00FC2A24">
          <w:rPr>
            <w:noProof/>
            <w:webHidden/>
          </w:rPr>
          <w:fldChar w:fldCharType="begin"/>
        </w:r>
        <w:r w:rsidR="00FC2A24">
          <w:rPr>
            <w:noProof/>
            <w:webHidden/>
          </w:rPr>
          <w:instrText xml:space="preserve"> PAGEREF _Toc441731632 \h </w:instrText>
        </w:r>
        <w:r w:rsidR="00FC2A24">
          <w:rPr>
            <w:noProof/>
            <w:webHidden/>
          </w:rPr>
        </w:r>
        <w:r w:rsidR="00FC2A24">
          <w:rPr>
            <w:noProof/>
            <w:webHidden/>
          </w:rPr>
          <w:fldChar w:fldCharType="separate"/>
        </w:r>
        <w:r w:rsidR="00EA3D34">
          <w:rPr>
            <w:noProof/>
            <w:webHidden/>
          </w:rPr>
          <w:t>9</w:t>
        </w:r>
        <w:r w:rsidR="00FC2A24">
          <w:rPr>
            <w:noProof/>
            <w:webHidden/>
          </w:rPr>
          <w:fldChar w:fldCharType="end"/>
        </w:r>
      </w:hyperlink>
    </w:p>
    <w:p w:rsidR="00FC2A24" w:rsidRDefault="002221D1">
      <w:pPr>
        <w:pStyle w:val="Spistreci2"/>
        <w:tabs>
          <w:tab w:val="right" w:leader="dot" w:pos="9061"/>
        </w:tabs>
        <w:rPr>
          <w:noProof/>
        </w:rPr>
      </w:pPr>
      <w:hyperlink w:anchor="_Toc441731633" w:history="1">
        <w:r w:rsidR="00FC2A24">
          <w:rPr>
            <w:rStyle w:val="Hipercze"/>
            <w:noProof/>
          </w:rPr>
          <w:t>6.4. Tolerancje wymiarów oznakowania</w:t>
        </w:r>
        <w:r w:rsidR="00FC2A24">
          <w:rPr>
            <w:noProof/>
            <w:webHidden/>
          </w:rPr>
          <w:tab/>
        </w:r>
        <w:r w:rsidR="00FC2A24">
          <w:rPr>
            <w:noProof/>
            <w:webHidden/>
          </w:rPr>
          <w:fldChar w:fldCharType="begin"/>
        </w:r>
        <w:r w:rsidR="00FC2A24">
          <w:rPr>
            <w:noProof/>
            <w:webHidden/>
          </w:rPr>
          <w:instrText xml:space="preserve"> PAGEREF _Toc441731633 \h </w:instrText>
        </w:r>
        <w:r w:rsidR="00FC2A24">
          <w:rPr>
            <w:noProof/>
            <w:webHidden/>
          </w:rPr>
        </w:r>
        <w:r w:rsidR="00FC2A24">
          <w:rPr>
            <w:noProof/>
            <w:webHidden/>
          </w:rPr>
          <w:fldChar w:fldCharType="separate"/>
        </w:r>
        <w:r w:rsidR="00EA3D34">
          <w:rPr>
            <w:noProof/>
            <w:webHidden/>
          </w:rPr>
          <w:t>12</w:t>
        </w:r>
        <w:r w:rsidR="00FC2A24">
          <w:rPr>
            <w:noProof/>
            <w:webHidden/>
          </w:rPr>
          <w:fldChar w:fldCharType="end"/>
        </w:r>
      </w:hyperlink>
    </w:p>
    <w:p w:rsidR="00FC2A24" w:rsidRDefault="002221D1">
      <w:pPr>
        <w:pStyle w:val="Spistreci1"/>
        <w:rPr>
          <w:b w:val="0"/>
          <w:caps w:val="0"/>
          <w:sz w:val="24"/>
          <w:szCs w:val="24"/>
        </w:rPr>
      </w:pPr>
      <w:hyperlink w:anchor="_Toc441731634" w:history="1">
        <w:r w:rsidR="00FC2A24">
          <w:rPr>
            <w:rStyle w:val="Hipercze"/>
          </w:rPr>
          <w:t>7. Obmiar robót</w:t>
        </w:r>
        <w:r w:rsidR="00FC2A24">
          <w:rPr>
            <w:webHidden/>
          </w:rPr>
          <w:tab/>
        </w:r>
        <w:r w:rsidR="00FC2A24">
          <w:rPr>
            <w:webHidden/>
          </w:rPr>
          <w:fldChar w:fldCharType="begin"/>
        </w:r>
        <w:r w:rsidR="00FC2A24">
          <w:rPr>
            <w:webHidden/>
          </w:rPr>
          <w:instrText xml:space="preserve"> PAGEREF _Toc441731634 \h </w:instrText>
        </w:r>
        <w:r w:rsidR="00FC2A24">
          <w:rPr>
            <w:webHidden/>
          </w:rPr>
        </w:r>
        <w:r w:rsidR="00FC2A24">
          <w:rPr>
            <w:webHidden/>
          </w:rPr>
          <w:fldChar w:fldCharType="separate"/>
        </w:r>
        <w:r w:rsidR="00EA3D34">
          <w:rPr>
            <w:webHidden/>
          </w:rPr>
          <w:t>12</w:t>
        </w:r>
        <w:r w:rsidR="00FC2A24">
          <w:rPr>
            <w:webHidden/>
          </w:rPr>
          <w:fldChar w:fldCharType="end"/>
        </w:r>
      </w:hyperlink>
    </w:p>
    <w:p w:rsidR="00FC2A24" w:rsidRDefault="002221D1">
      <w:pPr>
        <w:pStyle w:val="Spistreci2"/>
        <w:tabs>
          <w:tab w:val="right" w:leader="dot" w:pos="9061"/>
        </w:tabs>
        <w:rPr>
          <w:noProof/>
        </w:rPr>
      </w:pPr>
      <w:hyperlink w:anchor="_Toc441731635" w:history="1">
        <w:r w:rsidR="00FC2A24">
          <w:rPr>
            <w:rStyle w:val="Hipercze"/>
            <w:noProof/>
          </w:rPr>
          <w:t>7.1. Ogólne zasady obmiaru robót</w:t>
        </w:r>
        <w:r w:rsidR="00FC2A24">
          <w:rPr>
            <w:noProof/>
            <w:webHidden/>
          </w:rPr>
          <w:tab/>
        </w:r>
        <w:r w:rsidR="00FC2A24">
          <w:rPr>
            <w:noProof/>
            <w:webHidden/>
          </w:rPr>
          <w:fldChar w:fldCharType="begin"/>
        </w:r>
        <w:r w:rsidR="00FC2A24">
          <w:rPr>
            <w:noProof/>
            <w:webHidden/>
          </w:rPr>
          <w:instrText xml:space="preserve"> PAGEREF _Toc441731635 \h </w:instrText>
        </w:r>
        <w:r w:rsidR="00FC2A24">
          <w:rPr>
            <w:noProof/>
            <w:webHidden/>
          </w:rPr>
        </w:r>
        <w:r w:rsidR="00FC2A24">
          <w:rPr>
            <w:noProof/>
            <w:webHidden/>
          </w:rPr>
          <w:fldChar w:fldCharType="separate"/>
        </w:r>
        <w:r w:rsidR="00EA3D34">
          <w:rPr>
            <w:noProof/>
            <w:webHidden/>
          </w:rPr>
          <w:t>12</w:t>
        </w:r>
        <w:r w:rsidR="00FC2A24">
          <w:rPr>
            <w:noProof/>
            <w:webHidden/>
          </w:rPr>
          <w:fldChar w:fldCharType="end"/>
        </w:r>
      </w:hyperlink>
    </w:p>
    <w:p w:rsidR="00FC2A24" w:rsidRDefault="002221D1">
      <w:pPr>
        <w:pStyle w:val="Spistreci2"/>
        <w:tabs>
          <w:tab w:val="right" w:leader="dot" w:pos="9061"/>
        </w:tabs>
        <w:rPr>
          <w:noProof/>
        </w:rPr>
      </w:pPr>
      <w:hyperlink w:anchor="_Toc441731636" w:history="1">
        <w:r w:rsidR="00FC2A24">
          <w:rPr>
            <w:rStyle w:val="Hipercze"/>
            <w:noProof/>
          </w:rPr>
          <w:t>7.2. Jednostka obmiarowa</w:t>
        </w:r>
        <w:r w:rsidR="00FC2A24">
          <w:rPr>
            <w:noProof/>
            <w:webHidden/>
          </w:rPr>
          <w:tab/>
        </w:r>
        <w:r w:rsidR="00FC2A24">
          <w:rPr>
            <w:noProof/>
            <w:webHidden/>
          </w:rPr>
          <w:fldChar w:fldCharType="begin"/>
        </w:r>
        <w:r w:rsidR="00FC2A24">
          <w:rPr>
            <w:noProof/>
            <w:webHidden/>
          </w:rPr>
          <w:instrText xml:space="preserve"> PAGEREF _Toc441731636 \h </w:instrText>
        </w:r>
        <w:r w:rsidR="00FC2A24">
          <w:rPr>
            <w:noProof/>
            <w:webHidden/>
          </w:rPr>
        </w:r>
        <w:r w:rsidR="00FC2A24">
          <w:rPr>
            <w:noProof/>
            <w:webHidden/>
          </w:rPr>
          <w:fldChar w:fldCharType="separate"/>
        </w:r>
        <w:r w:rsidR="00EA3D34">
          <w:rPr>
            <w:noProof/>
            <w:webHidden/>
          </w:rPr>
          <w:t>13</w:t>
        </w:r>
        <w:r w:rsidR="00FC2A24">
          <w:rPr>
            <w:noProof/>
            <w:webHidden/>
          </w:rPr>
          <w:fldChar w:fldCharType="end"/>
        </w:r>
      </w:hyperlink>
    </w:p>
    <w:p w:rsidR="00FC2A24" w:rsidRDefault="002221D1">
      <w:pPr>
        <w:pStyle w:val="Spistreci1"/>
        <w:rPr>
          <w:b w:val="0"/>
          <w:caps w:val="0"/>
          <w:sz w:val="24"/>
          <w:szCs w:val="24"/>
        </w:rPr>
      </w:pPr>
      <w:hyperlink w:anchor="_Toc441731637" w:history="1">
        <w:r w:rsidR="00FC2A24">
          <w:rPr>
            <w:rStyle w:val="Hipercze"/>
          </w:rPr>
          <w:t>8. odbiór robót</w:t>
        </w:r>
        <w:r w:rsidR="00FC2A24">
          <w:rPr>
            <w:webHidden/>
          </w:rPr>
          <w:tab/>
        </w:r>
        <w:r w:rsidR="00FC2A24">
          <w:rPr>
            <w:webHidden/>
          </w:rPr>
          <w:fldChar w:fldCharType="begin"/>
        </w:r>
        <w:r w:rsidR="00FC2A24">
          <w:rPr>
            <w:webHidden/>
          </w:rPr>
          <w:instrText xml:space="preserve"> PAGEREF _Toc441731637 \h </w:instrText>
        </w:r>
        <w:r w:rsidR="00FC2A24">
          <w:rPr>
            <w:webHidden/>
          </w:rPr>
        </w:r>
        <w:r w:rsidR="00FC2A24">
          <w:rPr>
            <w:webHidden/>
          </w:rPr>
          <w:fldChar w:fldCharType="separate"/>
        </w:r>
        <w:r w:rsidR="00EA3D34">
          <w:rPr>
            <w:webHidden/>
          </w:rPr>
          <w:t>13</w:t>
        </w:r>
        <w:r w:rsidR="00FC2A24">
          <w:rPr>
            <w:webHidden/>
          </w:rPr>
          <w:fldChar w:fldCharType="end"/>
        </w:r>
      </w:hyperlink>
    </w:p>
    <w:p w:rsidR="00FC2A24" w:rsidRDefault="002221D1">
      <w:pPr>
        <w:pStyle w:val="Spistreci2"/>
        <w:tabs>
          <w:tab w:val="right" w:leader="dot" w:pos="9061"/>
        </w:tabs>
        <w:rPr>
          <w:noProof/>
        </w:rPr>
      </w:pPr>
      <w:hyperlink w:anchor="_Toc441731638" w:history="1">
        <w:r w:rsidR="00FC2A24">
          <w:rPr>
            <w:rStyle w:val="Hipercze"/>
            <w:noProof/>
          </w:rPr>
          <w:t>8.1. Ogólne zasady odbioru robót</w:t>
        </w:r>
        <w:r w:rsidR="00FC2A24">
          <w:rPr>
            <w:noProof/>
            <w:webHidden/>
          </w:rPr>
          <w:tab/>
        </w:r>
        <w:r w:rsidR="00FC2A24">
          <w:rPr>
            <w:noProof/>
            <w:webHidden/>
          </w:rPr>
          <w:fldChar w:fldCharType="begin"/>
        </w:r>
        <w:r w:rsidR="00FC2A24">
          <w:rPr>
            <w:noProof/>
            <w:webHidden/>
          </w:rPr>
          <w:instrText xml:space="preserve"> PAGEREF _Toc441731638 \h </w:instrText>
        </w:r>
        <w:r w:rsidR="00FC2A24">
          <w:rPr>
            <w:noProof/>
            <w:webHidden/>
          </w:rPr>
        </w:r>
        <w:r w:rsidR="00FC2A24">
          <w:rPr>
            <w:noProof/>
            <w:webHidden/>
          </w:rPr>
          <w:fldChar w:fldCharType="separate"/>
        </w:r>
        <w:r w:rsidR="00EA3D34">
          <w:rPr>
            <w:noProof/>
            <w:webHidden/>
          </w:rPr>
          <w:t>13</w:t>
        </w:r>
        <w:r w:rsidR="00FC2A24">
          <w:rPr>
            <w:noProof/>
            <w:webHidden/>
          </w:rPr>
          <w:fldChar w:fldCharType="end"/>
        </w:r>
      </w:hyperlink>
    </w:p>
    <w:p w:rsidR="00FC2A24" w:rsidRDefault="002221D1">
      <w:pPr>
        <w:pStyle w:val="Spistreci2"/>
        <w:tabs>
          <w:tab w:val="right" w:leader="dot" w:pos="9061"/>
        </w:tabs>
        <w:rPr>
          <w:noProof/>
        </w:rPr>
      </w:pPr>
      <w:hyperlink w:anchor="_Toc441731639" w:history="1">
        <w:r w:rsidR="00FC2A24">
          <w:rPr>
            <w:rStyle w:val="Hipercze"/>
            <w:noProof/>
          </w:rPr>
          <w:t>8.2. Odbiór robót zanikających i ulegających zakryciu</w:t>
        </w:r>
        <w:r w:rsidR="00FC2A24">
          <w:rPr>
            <w:noProof/>
            <w:webHidden/>
          </w:rPr>
          <w:tab/>
        </w:r>
        <w:r w:rsidR="00FC2A24">
          <w:rPr>
            <w:noProof/>
            <w:webHidden/>
          </w:rPr>
          <w:fldChar w:fldCharType="begin"/>
        </w:r>
        <w:r w:rsidR="00FC2A24">
          <w:rPr>
            <w:noProof/>
            <w:webHidden/>
          </w:rPr>
          <w:instrText xml:space="preserve"> PAGEREF _Toc441731639 \h </w:instrText>
        </w:r>
        <w:r w:rsidR="00FC2A24">
          <w:rPr>
            <w:noProof/>
            <w:webHidden/>
          </w:rPr>
        </w:r>
        <w:r w:rsidR="00FC2A24">
          <w:rPr>
            <w:noProof/>
            <w:webHidden/>
          </w:rPr>
          <w:fldChar w:fldCharType="separate"/>
        </w:r>
        <w:r w:rsidR="00EA3D34">
          <w:rPr>
            <w:noProof/>
            <w:webHidden/>
          </w:rPr>
          <w:t>13</w:t>
        </w:r>
        <w:r w:rsidR="00FC2A24">
          <w:rPr>
            <w:noProof/>
            <w:webHidden/>
          </w:rPr>
          <w:fldChar w:fldCharType="end"/>
        </w:r>
      </w:hyperlink>
    </w:p>
    <w:p w:rsidR="00FC2A24" w:rsidRDefault="002221D1">
      <w:pPr>
        <w:pStyle w:val="Spistreci2"/>
        <w:tabs>
          <w:tab w:val="right" w:leader="dot" w:pos="9061"/>
        </w:tabs>
        <w:rPr>
          <w:noProof/>
        </w:rPr>
      </w:pPr>
      <w:hyperlink w:anchor="_Toc441731640" w:history="1">
        <w:r w:rsidR="00FC2A24">
          <w:rPr>
            <w:rStyle w:val="Hipercze"/>
            <w:noProof/>
          </w:rPr>
          <w:t>8.3. Odbiór ostateczny</w:t>
        </w:r>
        <w:r w:rsidR="00FC2A24">
          <w:rPr>
            <w:noProof/>
            <w:webHidden/>
          </w:rPr>
          <w:tab/>
        </w:r>
        <w:r w:rsidR="00FC2A24">
          <w:rPr>
            <w:noProof/>
            <w:webHidden/>
          </w:rPr>
          <w:fldChar w:fldCharType="begin"/>
        </w:r>
        <w:r w:rsidR="00FC2A24">
          <w:rPr>
            <w:noProof/>
            <w:webHidden/>
          </w:rPr>
          <w:instrText xml:space="preserve"> PAGEREF _Toc441731640 \h </w:instrText>
        </w:r>
        <w:r w:rsidR="00FC2A24">
          <w:rPr>
            <w:noProof/>
            <w:webHidden/>
          </w:rPr>
        </w:r>
        <w:r w:rsidR="00FC2A24">
          <w:rPr>
            <w:noProof/>
            <w:webHidden/>
          </w:rPr>
          <w:fldChar w:fldCharType="separate"/>
        </w:r>
        <w:r w:rsidR="00EA3D34">
          <w:rPr>
            <w:noProof/>
            <w:webHidden/>
          </w:rPr>
          <w:t>13</w:t>
        </w:r>
        <w:r w:rsidR="00FC2A24">
          <w:rPr>
            <w:noProof/>
            <w:webHidden/>
          </w:rPr>
          <w:fldChar w:fldCharType="end"/>
        </w:r>
      </w:hyperlink>
    </w:p>
    <w:p w:rsidR="00FC2A24" w:rsidRDefault="002221D1">
      <w:pPr>
        <w:pStyle w:val="Spistreci2"/>
        <w:tabs>
          <w:tab w:val="right" w:leader="dot" w:pos="9061"/>
        </w:tabs>
        <w:rPr>
          <w:noProof/>
        </w:rPr>
      </w:pPr>
      <w:hyperlink w:anchor="_Toc441731641" w:history="1">
        <w:r w:rsidR="00FC2A24">
          <w:rPr>
            <w:rStyle w:val="Hipercze"/>
            <w:noProof/>
          </w:rPr>
          <w:t>8.4. Odbiór pogwarancyjny</w:t>
        </w:r>
        <w:r w:rsidR="00FC2A24">
          <w:rPr>
            <w:noProof/>
            <w:webHidden/>
          </w:rPr>
          <w:tab/>
        </w:r>
        <w:r w:rsidR="00FC2A24">
          <w:rPr>
            <w:noProof/>
            <w:webHidden/>
          </w:rPr>
          <w:fldChar w:fldCharType="begin"/>
        </w:r>
        <w:r w:rsidR="00FC2A24">
          <w:rPr>
            <w:noProof/>
            <w:webHidden/>
          </w:rPr>
          <w:instrText xml:space="preserve"> PAGEREF _Toc441731641 \h </w:instrText>
        </w:r>
        <w:r w:rsidR="00FC2A24">
          <w:rPr>
            <w:noProof/>
            <w:webHidden/>
          </w:rPr>
        </w:r>
        <w:r w:rsidR="00FC2A24">
          <w:rPr>
            <w:noProof/>
            <w:webHidden/>
          </w:rPr>
          <w:fldChar w:fldCharType="separate"/>
        </w:r>
        <w:r w:rsidR="00EA3D34">
          <w:rPr>
            <w:noProof/>
            <w:webHidden/>
          </w:rPr>
          <w:t>13</w:t>
        </w:r>
        <w:r w:rsidR="00FC2A24">
          <w:rPr>
            <w:noProof/>
            <w:webHidden/>
          </w:rPr>
          <w:fldChar w:fldCharType="end"/>
        </w:r>
      </w:hyperlink>
    </w:p>
    <w:p w:rsidR="00FC2A24" w:rsidRDefault="002221D1">
      <w:pPr>
        <w:pStyle w:val="Spistreci1"/>
        <w:rPr>
          <w:b w:val="0"/>
          <w:caps w:val="0"/>
          <w:sz w:val="24"/>
          <w:szCs w:val="24"/>
        </w:rPr>
      </w:pPr>
      <w:hyperlink w:anchor="_Toc441731642" w:history="1">
        <w:r w:rsidR="00FC2A24">
          <w:rPr>
            <w:rStyle w:val="Hipercze"/>
          </w:rPr>
          <w:t>9. podstawa płatności</w:t>
        </w:r>
        <w:r w:rsidR="00FC2A24">
          <w:rPr>
            <w:webHidden/>
          </w:rPr>
          <w:tab/>
        </w:r>
        <w:r w:rsidR="00FC2A24">
          <w:rPr>
            <w:webHidden/>
          </w:rPr>
          <w:fldChar w:fldCharType="begin"/>
        </w:r>
        <w:r w:rsidR="00FC2A24">
          <w:rPr>
            <w:webHidden/>
          </w:rPr>
          <w:instrText xml:space="preserve"> PAGEREF _Toc441731642 \h </w:instrText>
        </w:r>
        <w:r w:rsidR="00FC2A24">
          <w:rPr>
            <w:webHidden/>
          </w:rPr>
        </w:r>
        <w:r w:rsidR="00FC2A24">
          <w:rPr>
            <w:webHidden/>
          </w:rPr>
          <w:fldChar w:fldCharType="separate"/>
        </w:r>
        <w:r w:rsidR="00EA3D34">
          <w:rPr>
            <w:webHidden/>
          </w:rPr>
          <w:t>14</w:t>
        </w:r>
        <w:r w:rsidR="00FC2A24">
          <w:rPr>
            <w:webHidden/>
          </w:rPr>
          <w:fldChar w:fldCharType="end"/>
        </w:r>
      </w:hyperlink>
    </w:p>
    <w:p w:rsidR="00FC2A24" w:rsidRDefault="002221D1">
      <w:pPr>
        <w:pStyle w:val="Spistreci2"/>
        <w:tabs>
          <w:tab w:val="right" w:leader="dot" w:pos="9061"/>
        </w:tabs>
        <w:rPr>
          <w:noProof/>
        </w:rPr>
      </w:pPr>
      <w:hyperlink w:anchor="_Toc441731643" w:history="1">
        <w:r w:rsidR="00FC2A24">
          <w:rPr>
            <w:rStyle w:val="Hipercze"/>
            <w:noProof/>
          </w:rPr>
          <w:t>9.1. Ogólne ustalenia dotyczące podstawy płatności</w:t>
        </w:r>
        <w:r w:rsidR="00FC2A24">
          <w:rPr>
            <w:noProof/>
            <w:webHidden/>
          </w:rPr>
          <w:tab/>
        </w:r>
        <w:r w:rsidR="00FC2A24">
          <w:rPr>
            <w:noProof/>
            <w:webHidden/>
          </w:rPr>
          <w:fldChar w:fldCharType="begin"/>
        </w:r>
        <w:r w:rsidR="00FC2A24">
          <w:rPr>
            <w:noProof/>
            <w:webHidden/>
          </w:rPr>
          <w:instrText xml:space="preserve"> PAGEREF _Toc441731643 \h </w:instrText>
        </w:r>
        <w:r w:rsidR="00FC2A24">
          <w:rPr>
            <w:noProof/>
            <w:webHidden/>
          </w:rPr>
        </w:r>
        <w:r w:rsidR="00FC2A24">
          <w:rPr>
            <w:noProof/>
            <w:webHidden/>
          </w:rPr>
          <w:fldChar w:fldCharType="separate"/>
        </w:r>
        <w:r w:rsidR="00EA3D34">
          <w:rPr>
            <w:noProof/>
            <w:webHidden/>
          </w:rPr>
          <w:t>14</w:t>
        </w:r>
        <w:r w:rsidR="00FC2A24">
          <w:rPr>
            <w:noProof/>
            <w:webHidden/>
          </w:rPr>
          <w:fldChar w:fldCharType="end"/>
        </w:r>
      </w:hyperlink>
    </w:p>
    <w:p w:rsidR="00FC2A24" w:rsidRDefault="002221D1">
      <w:pPr>
        <w:pStyle w:val="Spistreci2"/>
        <w:tabs>
          <w:tab w:val="right" w:leader="dot" w:pos="9061"/>
        </w:tabs>
        <w:rPr>
          <w:noProof/>
        </w:rPr>
      </w:pPr>
      <w:hyperlink w:anchor="_Toc441731644" w:history="1">
        <w:r w:rsidR="00FC2A24">
          <w:rPr>
            <w:rStyle w:val="Hipercze"/>
            <w:noProof/>
          </w:rPr>
          <w:t>9.2. Cena jednostki obmiarowej</w:t>
        </w:r>
        <w:r w:rsidR="00FC2A24">
          <w:rPr>
            <w:noProof/>
            <w:webHidden/>
          </w:rPr>
          <w:tab/>
        </w:r>
        <w:r w:rsidR="00FC2A24">
          <w:rPr>
            <w:noProof/>
            <w:webHidden/>
          </w:rPr>
          <w:fldChar w:fldCharType="begin"/>
        </w:r>
        <w:r w:rsidR="00FC2A24">
          <w:rPr>
            <w:noProof/>
            <w:webHidden/>
          </w:rPr>
          <w:instrText xml:space="preserve"> PAGEREF _Toc441731644 \h </w:instrText>
        </w:r>
        <w:r w:rsidR="00FC2A24">
          <w:rPr>
            <w:noProof/>
            <w:webHidden/>
          </w:rPr>
        </w:r>
        <w:r w:rsidR="00FC2A24">
          <w:rPr>
            <w:noProof/>
            <w:webHidden/>
          </w:rPr>
          <w:fldChar w:fldCharType="separate"/>
        </w:r>
        <w:r w:rsidR="00EA3D34">
          <w:rPr>
            <w:noProof/>
            <w:webHidden/>
          </w:rPr>
          <w:t>14</w:t>
        </w:r>
        <w:r w:rsidR="00FC2A24">
          <w:rPr>
            <w:noProof/>
            <w:webHidden/>
          </w:rPr>
          <w:fldChar w:fldCharType="end"/>
        </w:r>
      </w:hyperlink>
    </w:p>
    <w:p w:rsidR="00FC2A24" w:rsidRDefault="002221D1">
      <w:pPr>
        <w:pStyle w:val="Spistreci1"/>
        <w:rPr>
          <w:b w:val="0"/>
          <w:caps w:val="0"/>
          <w:sz w:val="24"/>
          <w:szCs w:val="24"/>
        </w:rPr>
      </w:pPr>
      <w:hyperlink w:anchor="_Toc441731645" w:history="1">
        <w:r w:rsidR="00FC2A24">
          <w:rPr>
            <w:rStyle w:val="Hipercze"/>
          </w:rPr>
          <w:t>10. przepisy związane</w:t>
        </w:r>
        <w:r w:rsidR="00FC2A24">
          <w:rPr>
            <w:webHidden/>
          </w:rPr>
          <w:tab/>
        </w:r>
        <w:r w:rsidR="00FC2A24">
          <w:rPr>
            <w:webHidden/>
          </w:rPr>
          <w:fldChar w:fldCharType="begin"/>
        </w:r>
        <w:r w:rsidR="00FC2A24">
          <w:rPr>
            <w:webHidden/>
          </w:rPr>
          <w:instrText xml:space="preserve"> PAGEREF _Toc441731645 \h </w:instrText>
        </w:r>
        <w:r w:rsidR="00FC2A24">
          <w:rPr>
            <w:webHidden/>
          </w:rPr>
        </w:r>
        <w:r w:rsidR="00FC2A24">
          <w:rPr>
            <w:webHidden/>
          </w:rPr>
          <w:fldChar w:fldCharType="separate"/>
        </w:r>
        <w:r w:rsidR="00EA3D34">
          <w:rPr>
            <w:webHidden/>
          </w:rPr>
          <w:t>14</w:t>
        </w:r>
        <w:r w:rsidR="00FC2A24">
          <w:rPr>
            <w:webHidden/>
          </w:rPr>
          <w:fldChar w:fldCharType="end"/>
        </w:r>
      </w:hyperlink>
    </w:p>
    <w:p w:rsidR="00FC2A24" w:rsidRDefault="002221D1">
      <w:pPr>
        <w:pStyle w:val="Spistreci2"/>
        <w:tabs>
          <w:tab w:val="right" w:leader="dot" w:pos="9061"/>
        </w:tabs>
        <w:rPr>
          <w:noProof/>
        </w:rPr>
      </w:pPr>
      <w:hyperlink w:anchor="_Toc441731646" w:history="1">
        <w:r w:rsidR="00FC2A24">
          <w:rPr>
            <w:rStyle w:val="Hipercze"/>
            <w:noProof/>
          </w:rPr>
          <w:t>10.1. Normy</w:t>
        </w:r>
        <w:r w:rsidR="00FC2A24">
          <w:rPr>
            <w:noProof/>
            <w:webHidden/>
          </w:rPr>
          <w:tab/>
        </w:r>
        <w:r w:rsidR="00FC2A24">
          <w:rPr>
            <w:noProof/>
            <w:webHidden/>
          </w:rPr>
          <w:fldChar w:fldCharType="begin"/>
        </w:r>
        <w:r w:rsidR="00FC2A24">
          <w:rPr>
            <w:noProof/>
            <w:webHidden/>
          </w:rPr>
          <w:instrText xml:space="preserve"> PAGEREF _Toc441731646 \h </w:instrText>
        </w:r>
        <w:r w:rsidR="00FC2A24">
          <w:rPr>
            <w:noProof/>
            <w:webHidden/>
          </w:rPr>
        </w:r>
        <w:r w:rsidR="00FC2A24">
          <w:rPr>
            <w:noProof/>
            <w:webHidden/>
          </w:rPr>
          <w:fldChar w:fldCharType="separate"/>
        </w:r>
        <w:r w:rsidR="00EA3D34">
          <w:rPr>
            <w:noProof/>
            <w:webHidden/>
          </w:rPr>
          <w:t>14</w:t>
        </w:r>
        <w:r w:rsidR="00FC2A24">
          <w:rPr>
            <w:noProof/>
            <w:webHidden/>
          </w:rPr>
          <w:fldChar w:fldCharType="end"/>
        </w:r>
      </w:hyperlink>
    </w:p>
    <w:p w:rsidR="00FC2A24" w:rsidRDefault="002221D1">
      <w:pPr>
        <w:pStyle w:val="Spistreci2"/>
        <w:tabs>
          <w:tab w:val="right" w:leader="dot" w:pos="9061"/>
        </w:tabs>
        <w:rPr>
          <w:noProof/>
        </w:rPr>
      </w:pPr>
      <w:hyperlink w:anchor="_Toc441731647" w:history="1">
        <w:r w:rsidR="00FC2A24">
          <w:rPr>
            <w:rStyle w:val="Hipercze"/>
            <w:noProof/>
          </w:rPr>
          <w:t>10.2. Inne dokumenty</w:t>
        </w:r>
        <w:r w:rsidR="00FC2A24">
          <w:rPr>
            <w:noProof/>
            <w:webHidden/>
          </w:rPr>
          <w:tab/>
        </w:r>
        <w:r w:rsidR="00FC2A24">
          <w:rPr>
            <w:noProof/>
            <w:webHidden/>
          </w:rPr>
          <w:fldChar w:fldCharType="begin"/>
        </w:r>
        <w:r w:rsidR="00FC2A24">
          <w:rPr>
            <w:noProof/>
            <w:webHidden/>
          </w:rPr>
          <w:instrText xml:space="preserve"> PAGEREF _Toc441731647 \h </w:instrText>
        </w:r>
        <w:r w:rsidR="00FC2A24">
          <w:rPr>
            <w:noProof/>
            <w:webHidden/>
          </w:rPr>
        </w:r>
        <w:r w:rsidR="00FC2A24">
          <w:rPr>
            <w:noProof/>
            <w:webHidden/>
          </w:rPr>
          <w:fldChar w:fldCharType="separate"/>
        </w:r>
        <w:r w:rsidR="00EA3D34">
          <w:rPr>
            <w:noProof/>
            <w:webHidden/>
          </w:rPr>
          <w:t>14</w:t>
        </w:r>
        <w:r w:rsidR="00FC2A24">
          <w:rPr>
            <w:noProof/>
            <w:webHidden/>
          </w:rPr>
          <w:fldChar w:fldCharType="end"/>
        </w:r>
      </w:hyperlink>
    </w:p>
    <w:p w:rsidR="00FC2A24" w:rsidRDefault="00FC2A24">
      <w:pPr>
        <w:pStyle w:val="Spistreci2"/>
      </w:pPr>
      <w:r>
        <w:fldChar w:fldCharType="end"/>
      </w:r>
    </w:p>
    <w:p w:rsidR="00FC2A24" w:rsidRDefault="00FC2A24">
      <w:pPr>
        <w:pStyle w:val="Nagwek1"/>
      </w:pPr>
      <w:r>
        <w:rPr>
          <w:b w:val="0"/>
        </w:rPr>
        <w:br w:type="page"/>
      </w:r>
      <w:bookmarkStart w:id="2" w:name="_Toc441731600"/>
      <w:r>
        <w:t>1. WSTĘP</w:t>
      </w:r>
      <w:bookmarkEnd w:id="0"/>
      <w:bookmarkEnd w:id="1"/>
      <w:bookmarkEnd w:id="2"/>
    </w:p>
    <w:p w:rsidR="00FC2A24" w:rsidRDefault="00FC2A24">
      <w:pPr>
        <w:pStyle w:val="Nagwek2"/>
      </w:pPr>
      <w:bookmarkStart w:id="3" w:name="_Toc405615031"/>
      <w:bookmarkStart w:id="4" w:name="_Toc407161179"/>
      <w:bookmarkStart w:id="5" w:name="_Toc441731601"/>
      <w:r>
        <w:t>1.1. Przedmiot SST</w:t>
      </w:r>
      <w:bookmarkEnd w:id="3"/>
      <w:bookmarkEnd w:id="4"/>
      <w:bookmarkEnd w:id="5"/>
    </w:p>
    <w:p w:rsidR="00FC2A24" w:rsidRPr="00D0301F" w:rsidRDefault="00FC2A24" w:rsidP="00F15402">
      <w:pPr>
        <w:pStyle w:val="Standardowytekst"/>
        <w:rPr>
          <w:b/>
        </w:rPr>
      </w:pPr>
      <w:r>
        <w:tab/>
        <w:t xml:space="preserve">Przedmiotem niniejszej szczegółowej specyfikacji technicznej (SST) są </w:t>
      </w:r>
      <w:r w:rsidRPr="00442F45">
        <w:rPr>
          <w:b/>
        </w:rPr>
        <w:t xml:space="preserve">wymagania dotyczące wykonania i odbioru </w:t>
      </w:r>
      <w:r w:rsidR="00442F45">
        <w:rPr>
          <w:b/>
        </w:rPr>
        <w:t>robót związanych z poziomym ozna</w:t>
      </w:r>
      <w:r w:rsidR="003B0B5C">
        <w:rPr>
          <w:b/>
        </w:rPr>
        <w:t>k</w:t>
      </w:r>
      <w:r w:rsidR="00EA3D34">
        <w:rPr>
          <w:b/>
        </w:rPr>
        <w:t xml:space="preserve">owaniem dróg </w:t>
      </w:r>
      <w:r w:rsidR="003B5C0B">
        <w:rPr>
          <w:b/>
        </w:rPr>
        <w:t>gminnych</w:t>
      </w:r>
      <w:r w:rsidR="00EA3D34">
        <w:rPr>
          <w:b/>
        </w:rPr>
        <w:t xml:space="preserve"> </w:t>
      </w:r>
      <w:r w:rsidR="00442F45">
        <w:rPr>
          <w:b/>
        </w:rPr>
        <w:t xml:space="preserve">na terenie </w:t>
      </w:r>
      <w:r w:rsidR="003B5C0B">
        <w:rPr>
          <w:b/>
        </w:rPr>
        <w:t>Miasta i Gminy Końskie</w:t>
      </w:r>
      <w:r w:rsidR="00442F45">
        <w:rPr>
          <w:b/>
        </w:rPr>
        <w:t xml:space="preserve"> </w:t>
      </w:r>
      <w:r w:rsidR="00442F45">
        <w:t>–</w:t>
      </w:r>
      <w:r w:rsidR="009A63BE">
        <w:t xml:space="preserve"> wykonanie znaków na jezdni farbą dwuskładnikową odblaskową </w:t>
      </w:r>
      <w:r w:rsidR="00E34484">
        <w:t>(</w:t>
      </w:r>
      <w:r w:rsidR="009A63BE" w:rsidRPr="00D0301F">
        <w:rPr>
          <w:b/>
        </w:rPr>
        <w:t>oznakowanie cienkowarstwowe</w:t>
      </w:r>
      <w:r w:rsidR="00E34484">
        <w:t>)</w:t>
      </w:r>
      <w:r w:rsidR="00B03DEB">
        <w:t xml:space="preserve"> </w:t>
      </w:r>
      <w:r w:rsidR="00D0301F">
        <w:t xml:space="preserve">i </w:t>
      </w:r>
      <w:r w:rsidR="00E34484" w:rsidRPr="00D0301F">
        <w:rPr>
          <w:b/>
        </w:rPr>
        <w:t>oznakowanie grubowarstwowe</w:t>
      </w:r>
      <w:r w:rsidR="00B03DEB">
        <w:t xml:space="preserve"> (</w:t>
      </w:r>
      <w:r w:rsidR="00E34484">
        <w:t>masami termopl</w:t>
      </w:r>
      <w:r w:rsidR="00B03DEB">
        <w:t>astycznymi i chemoutwardzalnymi</w:t>
      </w:r>
      <w:r w:rsidR="00E34484">
        <w:t xml:space="preserve">) oraz </w:t>
      </w:r>
      <w:r w:rsidR="00E34484" w:rsidRPr="00D0301F">
        <w:rPr>
          <w:b/>
        </w:rPr>
        <w:t>usuwanie istniejącego oznakowania</w:t>
      </w:r>
      <w:r w:rsidR="00E34484">
        <w:t xml:space="preserve"> </w:t>
      </w:r>
      <w:r w:rsidR="00E34484" w:rsidRPr="00D0301F">
        <w:rPr>
          <w:b/>
        </w:rPr>
        <w:t>poziomego.</w:t>
      </w:r>
    </w:p>
    <w:p w:rsidR="00442F45" w:rsidRPr="00442F45" w:rsidRDefault="00442F45" w:rsidP="00F15402">
      <w:pPr>
        <w:pStyle w:val="Standardowytekst"/>
      </w:pPr>
    </w:p>
    <w:p w:rsidR="00FC2A24" w:rsidRDefault="00FC2A24">
      <w:pPr>
        <w:pStyle w:val="Nagwek2"/>
      </w:pPr>
      <w:bookmarkStart w:id="6" w:name="_Toc405615032"/>
      <w:bookmarkStart w:id="7" w:name="_Toc407161180"/>
      <w:bookmarkStart w:id="8" w:name="_Toc441731602"/>
      <w:r>
        <w:t>1.2. Zakres stosowania SST</w:t>
      </w:r>
      <w:bookmarkEnd w:id="6"/>
      <w:bookmarkEnd w:id="7"/>
      <w:bookmarkEnd w:id="8"/>
    </w:p>
    <w:p w:rsidR="00FC2A24" w:rsidRDefault="00FC2A24">
      <w:pPr>
        <w:pStyle w:val="Standardowytekst"/>
      </w:pPr>
      <w:r>
        <w:tab/>
        <w:t>Szczegółowa specyfikacja techniczna (SST) jest stosowanej jako dokument przetargowy i kontraktowy przy zlecaniu i realizacji robót wymienionych w pkt.1.1.</w:t>
      </w:r>
      <w:r>
        <w:tab/>
      </w:r>
    </w:p>
    <w:p w:rsidR="00B03DEB" w:rsidRDefault="00B03DEB" w:rsidP="00B03DEB">
      <w:pPr>
        <w:pStyle w:val="Nagwek2"/>
      </w:pPr>
      <w:bookmarkStart w:id="9" w:name="_Toc405615033"/>
      <w:bookmarkStart w:id="10" w:name="_Toc407161181"/>
      <w:bookmarkStart w:id="11" w:name="_Toc441731603"/>
    </w:p>
    <w:p w:rsidR="00392055" w:rsidRDefault="00FC2A24" w:rsidP="00B03DEB">
      <w:pPr>
        <w:pStyle w:val="Nagwek2"/>
      </w:pPr>
      <w:r>
        <w:t>1.3. Zakres robót objętych SST</w:t>
      </w:r>
      <w:bookmarkEnd w:id="9"/>
      <w:bookmarkEnd w:id="10"/>
      <w:bookmarkEnd w:id="11"/>
      <w:r w:rsidR="00664D50">
        <w:t xml:space="preserve"> i terminy wykonania</w:t>
      </w:r>
    </w:p>
    <w:p w:rsidR="00392055" w:rsidRPr="00392055" w:rsidRDefault="00392055" w:rsidP="00392055"/>
    <w:p w:rsidR="00C35F74" w:rsidRDefault="00C35F74" w:rsidP="00392055">
      <w:pPr>
        <w:rPr>
          <w:b/>
          <w:sz w:val="28"/>
          <w:szCs w:val="28"/>
          <w:u w:val="single"/>
        </w:rPr>
      </w:pPr>
      <w:r w:rsidRPr="00392055">
        <w:t>-wykonanie  oznakowania poziomego</w:t>
      </w:r>
      <w:r w:rsidR="007F00B2">
        <w:t xml:space="preserve"> cienkowarstwowego </w:t>
      </w:r>
      <w:r w:rsidRPr="00392055">
        <w:t xml:space="preserve"> materiałami dwuskładnikowymi w ilości ok</w:t>
      </w:r>
      <w:r w:rsidRPr="00C7768B">
        <w:rPr>
          <w:sz w:val="28"/>
          <w:szCs w:val="28"/>
        </w:rPr>
        <w:t xml:space="preserve">. </w:t>
      </w:r>
      <w:r w:rsidR="003B5C0B">
        <w:rPr>
          <w:b/>
          <w:sz w:val="28"/>
          <w:szCs w:val="28"/>
          <w:u w:val="single"/>
        </w:rPr>
        <w:t xml:space="preserve">2 </w:t>
      </w:r>
      <w:r w:rsidR="00594C9D">
        <w:rPr>
          <w:b/>
          <w:sz w:val="28"/>
          <w:szCs w:val="28"/>
          <w:u w:val="single"/>
        </w:rPr>
        <w:t>5</w:t>
      </w:r>
      <w:r w:rsidR="00090679">
        <w:rPr>
          <w:b/>
          <w:sz w:val="28"/>
          <w:szCs w:val="28"/>
          <w:u w:val="single"/>
        </w:rPr>
        <w:t>00</w:t>
      </w:r>
      <w:r w:rsidR="00787E7D">
        <w:rPr>
          <w:b/>
          <w:sz w:val="28"/>
          <w:szCs w:val="28"/>
          <w:u w:val="single"/>
        </w:rPr>
        <w:t xml:space="preserve"> </w:t>
      </w:r>
      <w:r w:rsidRPr="00F15402">
        <w:rPr>
          <w:b/>
          <w:sz w:val="28"/>
          <w:szCs w:val="28"/>
          <w:u w:val="single"/>
        </w:rPr>
        <w:t>m</w:t>
      </w:r>
      <w:r w:rsidRPr="00B03DEB">
        <w:rPr>
          <w:b/>
          <w:sz w:val="28"/>
          <w:szCs w:val="28"/>
          <w:u w:val="single"/>
          <w:vertAlign w:val="superscript"/>
        </w:rPr>
        <w:t>2</w:t>
      </w:r>
    </w:p>
    <w:p w:rsidR="00C35F74" w:rsidRDefault="00C35F74" w:rsidP="00245B49">
      <w:pPr>
        <w:jc w:val="both"/>
        <w:rPr>
          <w:b/>
          <w:u w:val="single"/>
        </w:rPr>
      </w:pPr>
      <w:r w:rsidRPr="00FD65EA">
        <w:t xml:space="preserve">-wykonanie </w:t>
      </w:r>
      <w:r w:rsidR="00392055" w:rsidRPr="00FD65EA">
        <w:t xml:space="preserve">oznakowania poziomego grubowarstwowego </w:t>
      </w:r>
      <w:r w:rsidR="00090679" w:rsidRPr="00FD65EA">
        <w:t xml:space="preserve">(masami termoplastycznymi </w:t>
      </w:r>
      <w:r w:rsidR="00090679" w:rsidRPr="00FD65EA">
        <w:br/>
        <w:t xml:space="preserve">i chemoutwardzalnymi) </w:t>
      </w:r>
      <w:r w:rsidR="00193C41">
        <w:t>w ilości – o</w:t>
      </w:r>
    </w:p>
    <w:p w:rsidR="00193C41" w:rsidRPr="001543AB" w:rsidRDefault="00193C41" w:rsidP="00245B49">
      <w:pPr>
        <w:jc w:val="both"/>
        <w:rPr>
          <w:b/>
          <w:sz w:val="28"/>
          <w:szCs w:val="28"/>
          <w:u w:val="single"/>
          <w:vertAlign w:val="superscript"/>
        </w:rPr>
      </w:pPr>
    </w:p>
    <w:p w:rsidR="00245B49" w:rsidRDefault="00245B49" w:rsidP="00392055"/>
    <w:p w:rsidR="00245B49" w:rsidRDefault="00245B49" w:rsidP="00245B49">
      <w:pPr>
        <w:jc w:val="both"/>
      </w:pPr>
      <w:r>
        <w:t xml:space="preserve">Termin zakończenia robót – </w:t>
      </w:r>
      <w:r w:rsidR="00F15402">
        <w:t xml:space="preserve"> </w:t>
      </w:r>
      <w:r w:rsidR="00193C41">
        <w:t xml:space="preserve">do </w:t>
      </w:r>
      <w:r w:rsidR="00DE1ADB">
        <w:rPr>
          <w:b/>
          <w:sz w:val="28"/>
          <w:szCs w:val="28"/>
          <w:u w:val="single"/>
        </w:rPr>
        <w:t>15</w:t>
      </w:r>
      <w:r w:rsidR="00787E7D">
        <w:rPr>
          <w:b/>
          <w:sz w:val="28"/>
          <w:szCs w:val="28"/>
          <w:u w:val="single"/>
        </w:rPr>
        <w:t xml:space="preserve"> </w:t>
      </w:r>
      <w:r w:rsidR="00DE1ADB">
        <w:rPr>
          <w:b/>
          <w:sz w:val="28"/>
          <w:szCs w:val="28"/>
          <w:u w:val="single"/>
        </w:rPr>
        <w:t>maja</w:t>
      </w:r>
      <w:r w:rsidR="00193C41">
        <w:rPr>
          <w:b/>
          <w:sz w:val="28"/>
          <w:szCs w:val="28"/>
          <w:u w:val="single"/>
        </w:rPr>
        <w:t xml:space="preserve"> 201</w:t>
      </w:r>
      <w:r w:rsidR="00594C9D">
        <w:rPr>
          <w:b/>
          <w:sz w:val="28"/>
          <w:szCs w:val="28"/>
          <w:u w:val="single"/>
        </w:rPr>
        <w:t>9</w:t>
      </w:r>
      <w:bookmarkStart w:id="12" w:name="_GoBack"/>
      <w:bookmarkEnd w:id="12"/>
      <w:r w:rsidR="00193C41">
        <w:rPr>
          <w:b/>
          <w:sz w:val="28"/>
          <w:szCs w:val="28"/>
          <w:u w:val="single"/>
        </w:rPr>
        <w:t xml:space="preserve"> </w:t>
      </w:r>
    </w:p>
    <w:p w:rsidR="00F15402" w:rsidRDefault="00F15402" w:rsidP="00245B49">
      <w:pPr>
        <w:jc w:val="both"/>
      </w:pPr>
    </w:p>
    <w:p w:rsidR="00FC2A24" w:rsidRPr="00C35F74" w:rsidRDefault="00FC2A24">
      <w:pPr>
        <w:pStyle w:val="Nagwek2"/>
        <w:rPr>
          <w:b w:val="0"/>
        </w:rPr>
      </w:pPr>
      <w:bookmarkStart w:id="13" w:name="_Toc441731604"/>
      <w:r>
        <w:t>1.4. Określenia podstawowe</w:t>
      </w:r>
      <w:bookmarkEnd w:id="13"/>
    </w:p>
    <w:p w:rsidR="00FC2A24" w:rsidRDefault="00FC2A24">
      <w:pPr>
        <w:jc w:val="both"/>
      </w:pPr>
      <w:r>
        <w:rPr>
          <w:b/>
        </w:rPr>
        <w:t xml:space="preserve">1.4.1. </w:t>
      </w:r>
      <w:r>
        <w:t>Oznakowanie poziome - znaki drogowe poziome, umieszczone na nawierzchni w postaci linii ciągłych lub przerywanych, pojedynczych lub podwójnych, strzałek, napisów, symboli oraz innych linii związanych z oznaczeniem określonych miejsc na tej nawierzchni.</w:t>
      </w:r>
    </w:p>
    <w:p w:rsidR="00FC2A24" w:rsidRDefault="00FC2A24">
      <w:pPr>
        <w:spacing w:before="120"/>
        <w:jc w:val="both"/>
      </w:pPr>
      <w:r>
        <w:rPr>
          <w:b/>
        </w:rPr>
        <w:t xml:space="preserve">1.4.2. </w:t>
      </w:r>
      <w:r>
        <w:t>Znaki podłużne - linie równoległe do osi jezdni lub odchylone od niej pod niewielkim kątem, występujące jako linie segregacyjne lub krawędziowe, przerywane lub ciągłe.</w:t>
      </w:r>
    </w:p>
    <w:p w:rsidR="00FC2A24" w:rsidRDefault="00FC2A24">
      <w:pPr>
        <w:spacing w:before="120"/>
        <w:jc w:val="both"/>
      </w:pPr>
      <w:r>
        <w:rPr>
          <w:b/>
        </w:rPr>
        <w:t xml:space="preserve">1.4.3. </w:t>
      </w:r>
      <w:r>
        <w:t>Strzałki - znaki poziome na nawierzchni, występujące jako strzałki kierunkowe służące do wskazania dozwolonego kierunku jazdy oraz strzałki naprowadzające, które uprzedzają o konieczności opuszczenia pasa, na którym się znajdują.</w:t>
      </w:r>
    </w:p>
    <w:p w:rsidR="00FC2A24" w:rsidRDefault="00FC2A24">
      <w:pPr>
        <w:spacing w:before="120"/>
        <w:jc w:val="both"/>
      </w:pPr>
      <w:r>
        <w:rPr>
          <w:b/>
        </w:rPr>
        <w:t xml:space="preserve">1.4.4. </w:t>
      </w:r>
      <w:r>
        <w:t>Znaki poprzeczne - znaki wyznaczające miejsca przeznaczone do ruchu pieszych i rowerzystów w poprzek jezdni oraz miejsca zatrzymania pojazdów.</w:t>
      </w:r>
    </w:p>
    <w:p w:rsidR="00FC2A24" w:rsidRDefault="00FC2A24">
      <w:pPr>
        <w:spacing w:before="120"/>
        <w:jc w:val="both"/>
      </w:pPr>
      <w:r>
        <w:rPr>
          <w:b/>
        </w:rPr>
        <w:t xml:space="preserve">1.4.5. </w:t>
      </w:r>
      <w:r>
        <w:t>Znaki uzupełniające - znaki w postaci symboli, napisów, linii przystankowych oraz inne określające szczególne miejsca na nawierzchni.</w:t>
      </w:r>
    </w:p>
    <w:p w:rsidR="00FC2A24" w:rsidRDefault="00FC2A24">
      <w:pPr>
        <w:spacing w:before="120"/>
        <w:jc w:val="both"/>
      </w:pPr>
      <w:r>
        <w:rPr>
          <w:b/>
        </w:rPr>
        <w:t xml:space="preserve">1.4.6. </w:t>
      </w:r>
      <w:r>
        <w:t xml:space="preserve">Materiały do poziomego znakowania dróg - materiały zawierające rozpuszczalniki, wolne od rozpuszczalników lub punktowe elementy odblaskowe, które mogą zostać naniesione albo wbudowane przez malowanie, natryskiwanie, odlewanie, wytłaczanie, rolowanie, klejenie itp. na nawierzchnie drogowe, stosowane w temperaturze otoczenia lub w temperaturze podwyższonej. Materiały te powinny być </w:t>
      </w:r>
      <w:proofErr w:type="spellStart"/>
      <w:r>
        <w:t>retrorefleksyjne</w:t>
      </w:r>
      <w:proofErr w:type="spellEnd"/>
      <w:r>
        <w:t>.</w:t>
      </w:r>
    </w:p>
    <w:p w:rsidR="00FC2A24" w:rsidRDefault="00FC2A24">
      <w:pPr>
        <w:spacing w:before="120"/>
        <w:jc w:val="both"/>
      </w:pPr>
      <w:r>
        <w:rPr>
          <w:b/>
        </w:rPr>
        <w:t xml:space="preserve">1.4.7. </w:t>
      </w:r>
      <w:r>
        <w:t xml:space="preserve">Materiały do znakowania cienkowarstwowego - farby nakładane warstwą grubości od </w:t>
      </w:r>
      <w:smartTag w:uri="urn:schemas-microsoft-com:office:smarttags" w:element="metricconverter">
        <w:smartTagPr>
          <w:attr w:name="ProductID" w:val="0,3 mm"/>
        </w:smartTagPr>
        <w:r>
          <w:t>0,3 mm</w:t>
        </w:r>
      </w:smartTag>
      <w:r>
        <w:t xml:space="preserve"> do </w:t>
      </w:r>
      <w:smartTag w:uri="urn:schemas-microsoft-com:office:smarttags" w:element="metricconverter">
        <w:smartTagPr>
          <w:attr w:name="ProductID" w:val="0,8 mm"/>
        </w:smartTagPr>
        <w:r>
          <w:t>0,8 mm</w:t>
        </w:r>
      </w:smartTag>
      <w:r>
        <w:t>.</w:t>
      </w:r>
    </w:p>
    <w:p w:rsidR="00FC2A24" w:rsidRDefault="00FC2A24">
      <w:pPr>
        <w:spacing w:before="120"/>
        <w:jc w:val="both"/>
      </w:pPr>
      <w:r>
        <w:rPr>
          <w:b/>
        </w:rPr>
        <w:t xml:space="preserve">1.4.8. </w:t>
      </w:r>
      <w:r w:rsidRPr="00FD65EA">
        <w:t xml:space="preserve">Materiały do znakowania grubowarstwowego - materiały nakładane warstwą grubości od </w:t>
      </w:r>
      <w:smartTag w:uri="urn:schemas-microsoft-com:office:smarttags" w:element="metricconverter">
        <w:smartTagPr>
          <w:attr w:name="ProductID" w:val="0,9 mm"/>
        </w:smartTagPr>
        <w:r w:rsidRPr="00FD65EA">
          <w:t>0,9 mm</w:t>
        </w:r>
      </w:smartTag>
      <w:r w:rsidRPr="00FD65EA">
        <w:t xml:space="preserve"> do </w:t>
      </w:r>
      <w:smartTag w:uri="urn:schemas-microsoft-com:office:smarttags" w:element="metricconverter">
        <w:smartTagPr>
          <w:attr w:name="ProductID" w:val="5 mm"/>
        </w:smartTagPr>
        <w:r w:rsidRPr="00FD65EA">
          <w:t>5 mm</w:t>
        </w:r>
      </w:smartTag>
      <w:r w:rsidRPr="00FD65EA">
        <w:t>. Należą do nich chemoutwardzalne masy stosowane na zimno oraz masy termoplastyczne.</w:t>
      </w:r>
    </w:p>
    <w:p w:rsidR="00FC2A24" w:rsidRDefault="00FC2A24">
      <w:pPr>
        <w:spacing w:before="120"/>
        <w:jc w:val="both"/>
      </w:pPr>
      <w:r>
        <w:rPr>
          <w:b/>
        </w:rPr>
        <w:t xml:space="preserve">1.4.9. </w:t>
      </w:r>
      <w:r>
        <w:t xml:space="preserve">Materiały prefabrykowane - materiały, które łączy się z powierzchnią drogi przez klejenie, wtapianie, wbudowanie lub w inny sposób. Zalicza się do nich masy termoplastyczne w arkuszach do wtapiania oraz folie do </w:t>
      </w:r>
      <w:proofErr w:type="spellStart"/>
      <w:r>
        <w:t>oznakowań</w:t>
      </w:r>
      <w:proofErr w:type="spellEnd"/>
      <w:r>
        <w:t xml:space="preserve"> tymczasowych (żółte) i trwałych (białe) oraz punktowe elementy odblaskowe.</w:t>
      </w:r>
    </w:p>
    <w:p w:rsidR="00FC2A24" w:rsidRDefault="00FC2A24">
      <w:pPr>
        <w:spacing w:before="120"/>
        <w:jc w:val="both"/>
      </w:pPr>
      <w:r>
        <w:rPr>
          <w:b/>
        </w:rPr>
        <w:t>1.4.1</w:t>
      </w:r>
      <w:r w:rsidR="00D0301F">
        <w:rPr>
          <w:b/>
        </w:rPr>
        <w:t>0</w:t>
      </w:r>
      <w:r>
        <w:rPr>
          <w:b/>
        </w:rPr>
        <w:t xml:space="preserve">. </w:t>
      </w:r>
      <w:r>
        <w:t>Tymczasowe oznakowanie drogowe - oznakowanie z materiału o barwie żółtej, którego czas użytkowania wynosi do 3 miesięcy lub do czasu zakończenia robót.</w:t>
      </w:r>
    </w:p>
    <w:p w:rsidR="00FC2A24" w:rsidRDefault="00FC2A24">
      <w:pPr>
        <w:spacing w:before="120"/>
        <w:jc w:val="both"/>
      </w:pPr>
      <w:r>
        <w:rPr>
          <w:b/>
        </w:rPr>
        <w:t>1.4.1</w:t>
      </w:r>
      <w:r w:rsidR="00D0301F">
        <w:rPr>
          <w:b/>
        </w:rPr>
        <w:t>1</w:t>
      </w:r>
      <w:r>
        <w:rPr>
          <w:b/>
        </w:rPr>
        <w:t xml:space="preserve">. </w:t>
      </w:r>
      <w:r>
        <w:t>Okresowe oznakowanie drogowe - oznakowanie, którego czas użytkowania wynosi do 6 miesięcy.</w:t>
      </w:r>
    </w:p>
    <w:p w:rsidR="00FC2A24" w:rsidRDefault="00FC2A24">
      <w:pPr>
        <w:spacing w:before="120"/>
        <w:jc w:val="both"/>
      </w:pPr>
      <w:r>
        <w:rPr>
          <w:b/>
        </w:rPr>
        <w:t>1.4.1</w:t>
      </w:r>
      <w:r w:rsidR="00D0301F">
        <w:rPr>
          <w:b/>
        </w:rPr>
        <w:t>2</w:t>
      </w:r>
      <w:r>
        <w:rPr>
          <w:b/>
        </w:rPr>
        <w:t xml:space="preserve">. </w:t>
      </w:r>
      <w:r>
        <w:t>Kulki szklane - materiał do posypywania lub narzucania pod ciśnieniem na oznakowanie wykonane materiałami w stanie ciekłym, w celu uzyskania widzialności oznakowania w nocy.</w:t>
      </w:r>
    </w:p>
    <w:p w:rsidR="00FC2A24" w:rsidRDefault="00FC2A24">
      <w:pPr>
        <w:spacing w:before="120"/>
        <w:jc w:val="both"/>
      </w:pPr>
      <w:r>
        <w:rPr>
          <w:b/>
        </w:rPr>
        <w:t>1.4.1</w:t>
      </w:r>
      <w:r w:rsidR="00D0301F">
        <w:rPr>
          <w:b/>
        </w:rPr>
        <w:t>3</w:t>
      </w:r>
      <w:r>
        <w:rPr>
          <w:b/>
        </w:rPr>
        <w:t xml:space="preserve">. </w:t>
      </w:r>
      <w:r>
        <w:t xml:space="preserve">Materiał </w:t>
      </w:r>
      <w:proofErr w:type="spellStart"/>
      <w:r>
        <w:t>uszorstniający</w:t>
      </w:r>
      <w:proofErr w:type="spellEnd"/>
      <w:r>
        <w:t xml:space="preserve"> - kruszywo zapewniające oznakowaniu poziomemu właściwości antypoślizgowe.</w:t>
      </w:r>
    </w:p>
    <w:p w:rsidR="00FC2A24" w:rsidRDefault="00FC2A24">
      <w:pPr>
        <w:spacing w:before="120"/>
        <w:jc w:val="both"/>
      </w:pPr>
      <w:r>
        <w:rPr>
          <w:b/>
        </w:rPr>
        <w:t>1.4.1</w:t>
      </w:r>
      <w:r w:rsidR="00D0301F">
        <w:rPr>
          <w:b/>
        </w:rPr>
        <w:t>4</w:t>
      </w:r>
      <w:r>
        <w:rPr>
          <w:b/>
        </w:rPr>
        <w:t xml:space="preserve">. </w:t>
      </w:r>
      <w:r>
        <w:t xml:space="preserve">Pozostałe określenia są zgodne z obowiązującymi, odpowiednimi polskimi normami i z definicjami podanymi w SST D-M-00.00.00 „Wymagania ogólne” pkt 1.4. </w:t>
      </w:r>
    </w:p>
    <w:p w:rsidR="00FC2A24" w:rsidRDefault="00FC2A24">
      <w:pPr>
        <w:pStyle w:val="Nagwek2"/>
      </w:pPr>
      <w:bookmarkStart w:id="14" w:name="_Toc441731605"/>
      <w:r>
        <w:t>1.5. Ogólne wymagania dotyczące robót</w:t>
      </w:r>
      <w:bookmarkEnd w:id="14"/>
    </w:p>
    <w:p w:rsidR="00FC2A24" w:rsidRDefault="00FC2A24">
      <w:pPr>
        <w:spacing w:after="120"/>
        <w:jc w:val="both"/>
      </w:pPr>
      <w:r>
        <w:tab/>
        <w:t xml:space="preserve">Ogólne wymagania dotyczące robót podano w SST D-M-00.00.00 „Wymagania ogólne” pkt 1.5. </w:t>
      </w:r>
    </w:p>
    <w:p w:rsidR="00FC2A24" w:rsidRDefault="00FC2A24">
      <w:pPr>
        <w:pStyle w:val="Nagwek1"/>
      </w:pPr>
      <w:bookmarkStart w:id="15" w:name="_Toc441731606"/>
      <w:r>
        <w:t>2. materiały</w:t>
      </w:r>
      <w:bookmarkEnd w:id="15"/>
    </w:p>
    <w:p w:rsidR="00FC2A24" w:rsidRDefault="00FC2A24">
      <w:pPr>
        <w:pStyle w:val="Nagwek2"/>
      </w:pPr>
      <w:bookmarkStart w:id="16" w:name="_Toc441731607"/>
      <w:r>
        <w:t>2.1. Ogólne wymagania dotyczące materiałów</w:t>
      </w:r>
      <w:bookmarkEnd w:id="16"/>
    </w:p>
    <w:p w:rsidR="00FC2A24" w:rsidRDefault="00FC2A24">
      <w:pPr>
        <w:jc w:val="both"/>
      </w:pPr>
      <w:r>
        <w:tab/>
        <w:t>Ogólne wymagania dotyczące materiałów, ich pozyskiwania i składowania podano w SST D-M-00.00.00 „Wymagania ogólne” pkt 2.</w:t>
      </w:r>
    </w:p>
    <w:p w:rsidR="00FC2A24" w:rsidRDefault="00FC2A24">
      <w:pPr>
        <w:pStyle w:val="Nagwek2"/>
      </w:pPr>
      <w:bookmarkStart w:id="17" w:name="_Toc441731608"/>
      <w:r>
        <w:t>2.2. Dokument dopuszczający do stosowania materiałów</w:t>
      </w:r>
      <w:bookmarkEnd w:id="17"/>
    </w:p>
    <w:p w:rsidR="00FC2A24" w:rsidRDefault="00FC2A24">
      <w:pPr>
        <w:jc w:val="both"/>
      </w:pPr>
      <w:r>
        <w:tab/>
        <w:t>Każdy materiał używany przez Wykonawcę do poziomego znakowania dróg musi posiadać aprobatę techniczną.</w:t>
      </w:r>
    </w:p>
    <w:p w:rsidR="00FC2A24" w:rsidRDefault="00FC2A24">
      <w:pPr>
        <w:pStyle w:val="Nagwek2"/>
      </w:pPr>
      <w:bookmarkStart w:id="18" w:name="_Toc441731609"/>
      <w:r>
        <w:t>2.3. Badanie materiałów, których jakość budzi wątpliwość</w:t>
      </w:r>
      <w:bookmarkEnd w:id="18"/>
    </w:p>
    <w:p w:rsidR="00FC2A24" w:rsidRDefault="00FC2A24">
      <w:pPr>
        <w:jc w:val="both"/>
      </w:pPr>
      <w:r>
        <w:tab/>
        <w:t xml:space="preserve">Wykonawca powinien przeprowadzić dodatkowe badania tych materiałów, które budzą wątpliwości jego lub Inżyniera, co do jakości, w celu stwierdzenia czy odpowiadają one wymaganiom określonym w punkcie 2. Badania te Wykonawca zleci </w:t>
      </w:r>
      <w:proofErr w:type="spellStart"/>
      <w:r>
        <w:t>IBDiM</w:t>
      </w:r>
      <w:proofErr w:type="spellEnd"/>
      <w:r>
        <w:t xml:space="preserve"> lub akredytowanemu laboratorium. Badania powinny być wykonane zgodnie z „Warunkami technicznymi POD-</w:t>
      </w:r>
      <w:smartTag w:uri="urn:schemas-microsoft-com:office:smarttags" w:element="metricconverter">
        <w:smartTagPr>
          <w:attr w:name="ProductID" w:val="97”"/>
        </w:smartTagPr>
        <w:r>
          <w:t>97”</w:t>
        </w:r>
      </w:smartTag>
      <w:r>
        <w:t xml:space="preserve"> [4].</w:t>
      </w:r>
    </w:p>
    <w:p w:rsidR="00FC2A24" w:rsidRDefault="00FC2A24">
      <w:pPr>
        <w:pStyle w:val="Nagwek2"/>
      </w:pPr>
      <w:bookmarkStart w:id="19" w:name="_Toc441731610"/>
      <w:r>
        <w:t>2.4. Oznakowanie opakowań</w:t>
      </w:r>
      <w:bookmarkEnd w:id="19"/>
    </w:p>
    <w:p w:rsidR="00FC2A24" w:rsidRDefault="00FC2A24">
      <w:pPr>
        <w:jc w:val="both"/>
      </w:pPr>
      <w:r>
        <w:tab/>
        <w:t>Wykonawca powinien żądać od producenta, aby oznakowanie opakowań materiałów do poziomego znakowania dróg było wykonane zgodnie z PN-O-79252 [2], a ponadto aby na każdym opakowaniu był umieszczony trwały napis zawierający:</w:t>
      </w:r>
    </w:p>
    <w:p w:rsidR="00FC2A24" w:rsidRDefault="00FC2A24">
      <w:pPr>
        <w:numPr>
          <w:ilvl w:val="0"/>
          <w:numId w:val="1"/>
        </w:numPr>
        <w:jc w:val="both"/>
      </w:pPr>
      <w:r>
        <w:t>nazwę producenta i materiału do znakowania dróg,</w:t>
      </w:r>
    </w:p>
    <w:p w:rsidR="00FC2A24" w:rsidRDefault="00FC2A24">
      <w:pPr>
        <w:numPr>
          <w:ilvl w:val="0"/>
          <w:numId w:val="1"/>
        </w:numPr>
        <w:jc w:val="both"/>
      </w:pPr>
      <w:r>
        <w:t>masę brutto i netto,</w:t>
      </w:r>
    </w:p>
    <w:p w:rsidR="00FC2A24" w:rsidRDefault="00FC2A24">
      <w:pPr>
        <w:numPr>
          <w:ilvl w:val="0"/>
          <w:numId w:val="1"/>
        </w:numPr>
        <w:jc w:val="both"/>
      </w:pPr>
      <w:r>
        <w:t>numer partii i datę produkcji,</w:t>
      </w:r>
    </w:p>
    <w:p w:rsidR="00FC2A24" w:rsidRDefault="00FC2A24">
      <w:pPr>
        <w:numPr>
          <w:ilvl w:val="0"/>
          <w:numId w:val="1"/>
        </w:numPr>
        <w:jc w:val="both"/>
      </w:pPr>
      <w:r>
        <w:t>informację o szkodliwości i klasie zagrożenia pożarowego,</w:t>
      </w:r>
    </w:p>
    <w:p w:rsidR="00FC2A24" w:rsidRDefault="00FC2A24">
      <w:pPr>
        <w:numPr>
          <w:ilvl w:val="0"/>
          <w:numId w:val="1"/>
        </w:numPr>
        <w:jc w:val="both"/>
      </w:pPr>
      <w:r>
        <w:t>ewentualne wskazówki dla użytkowników.</w:t>
      </w:r>
    </w:p>
    <w:p w:rsidR="00FC2A24" w:rsidRDefault="00FC2A24">
      <w:pPr>
        <w:pStyle w:val="Nagwek2"/>
      </w:pPr>
      <w:bookmarkStart w:id="20" w:name="_Toc441731611"/>
      <w:r>
        <w:t>2.5. Przepisy określające wymagania dla materiałów</w:t>
      </w:r>
      <w:bookmarkEnd w:id="20"/>
    </w:p>
    <w:p w:rsidR="00FC2A24" w:rsidRDefault="00FC2A24">
      <w:pPr>
        <w:jc w:val="both"/>
      </w:pPr>
      <w:r>
        <w:tab/>
        <w:t>Podstawowe wymagania dotyczące materiałów podano w punkcie 2.6, a szczegółowe wymagania określone są w „Warunkach technicznych POD-</w:t>
      </w:r>
      <w:smartTag w:uri="urn:schemas-microsoft-com:office:smarttags" w:element="metricconverter">
        <w:smartTagPr>
          <w:attr w:name="ProductID" w:val="97”"/>
        </w:smartTagPr>
        <w:r>
          <w:t>97”</w:t>
        </w:r>
      </w:smartTag>
      <w:r>
        <w:t xml:space="preserve"> [4].</w:t>
      </w:r>
    </w:p>
    <w:p w:rsidR="00FC2A24" w:rsidRDefault="00FC2A24">
      <w:pPr>
        <w:pStyle w:val="Nagwek2"/>
      </w:pPr>
      <w:bookmarkStart w:id="21" w:name="_Toc441731612"/>
      <w:r>
        <w:t>2.6. Wymagania wobec materiałów do poziomego znakowania dróg</w:t>
      </w:r>
      <w:bookmarkEnd w:id="21"/>
    </w:p>
    <w:p w:rsidR="00FC2A24" w:rsidRDefault="00FC2A24">
      <w:pPr>
        <w:spacing w:after="120"/>
        <w:jc w:val="both"/>
      </w:pPr>
      <w:r>
        <w:rPr>
          <w:b/>
        </w:rPr>
        <w:t xml:space="preserve">2.6.1. </w:t>
      </w:r>
      <w:r>
        <w:t xml:space="preserve"> Materiały do znakowania cienkowarstwowego</w:t>
      </w:r>
    </w:p>
    <w:p w:rsidR="00FC2A24" w:rsidRDefault="00FC2A24">
      <w:pPr>
        <w:jc w:val="both"/>
      </w:pPr>
      <w:r>
        <w:tab/>
        <w:t xml:space="preserve">Materiałami do znakowania cienkowarstwowego powinny być farby nakładane warstwą grubości od </w:t>
      </w:r>
      <w:smartTag w:uri="urn:schemas-microsoft-com:office:smarttags" w:element="metricconverter">
        <w:smartTagPr>
          <w:attr w:name="ProductID" w:val="0,3 mm"/>
        </w:smartTagPr>
        <w:r>
          <w:t>0,3 mm</w:t>
        </w:r>
      </w:smartTag>
      <w:r>
        <w:t xml:space="preserve"> do </w:t>
      </w:r>
      <w:smartTag w:uri="urn:schemas-microsoft-com:office:smarttags" w:element="metricconverter">
        <w:smartTagPr>
          <w:attr w:name="ProductID" w:val="0,8 mm"/>
        </w:smartTagPr>
        <w:r>
          <w:t>0,8 mm</w:t>
        </w:r>
      </w:smartTag>
      <w:r>
        <w:t xml:space="preserve"> (na mokro). Powinny być nimi ciekłe produkty zawierające ciała stałe rozproszone w organicznym rozpuszczalniku lub wodzie, które mogą występować w układach jedno- lub wieloskładnikowych.</w:t>
      </w:r>
    </w:p>
    <w:p w:rsidR="00FC2A24" w:rsidRDefault="00FC2A24">
      <w:pPr>
        <w:jc w:val="both"/>
      </w:pPr>
      <w:r>
        <w:tab/>
        <w:t xml:space="preserve"> Podczas nakładania farb, do znakowania cienkowarstwowego, na nawierzchnię pędzlem, wałkiem lub przez natrysk, powinny one tworzyć warstwę kohezyjną w procesie odparowania i/lub w procesie chemicznym.</w:t>
      </w:r>
    </w:p>
    <w:p w:rsidR="00FC2A24" w:rsidRDefault="00FC2A24">
      <w:pPr>
        <w:spacing w:after="120"/>
        <w:jc w:val="both"/>
      </w:pPr>
      <w:r>
        <w:tab/>
        <w:t>Właściwości fizyczne materiałów do znakowania cienkowarstwowego określa aprobata techniczna odpowiadająca wymaganiom POD-97 [4].</w:t>
      </w:r>
    </w:p>
    <w:p w:rsidR="00FC2A24" w:rsidRPr="00FD65EA" w:rsidRDefault="00FC2A24">
      <w:pPr>
        <w:spacing w:after="120"/>
        <w:jc w:val="both"/>
      </w:pPr>
      <w:r>
        <w:rPr>
          <w:b/>
        </w:rPr>
        <w:t>2.6.2</w:t>
      </w:r>
      <w:r w:rsidRPr="00FD65EA">
        <w:rPr>
          <w:b/>
        </w:rPr>
        <w:t xml:space="preserve">. </w:t>
      </w:r>
      <w:r w:rsidRPr="00FD65EA">
        <w:t>Materiały do znakowania grubowarstwowego</w:t>
      </w:r>
    </w:p>
    <w:p w:rsidR="00FC2A24" w:rsidRPr="00FD65EA" w:rsidRDefault="00FC2A24">
      <w:pPr>
        <w:jc w:val="both"/>
      </w:pPr>
      <w:r w:rsidRPr="00FD65EA">
        <w:tab/>
        <w:t xml:space="preserve">Materiałami do znakowania grubowarstwowego powinny być materiały umożliwiające nakładanie ich warstwą grubości od </w:t>
      </w:r>
      <w:smartTag w:uri="urn:schemas-microsoft-com:office:smarttags" w:element="metricconverter">
        <w:smartTagPr>
          <w:attr w:name="ProductID" w:val="0,9 mm"/>
        </w:smartTagPr>
        <w:r w:rsidRPr="00FD65EA">
          <w:t>0,9 mm</w:t>
        </w:r>
      </w:smartTag>
      <w:r w:rsidRPr="00FD65EA">
        <w:t xml:space="preserve"> do </w:t>
      </w:r>
      <w:smartTag w:uri="urn:schemas-microsoft-com:office:smarttags" w:element="metricconverter">
        <w:smartTagPr>
          <w:attr w:name="ProductID" w:val="5 mm"/>
        </w:smartTagPr>
        <w:r w:rsidRPr="00FD65EA">
          <w:t>5 mm</w:t>
        </w:r>
      </w:smartTag>
      <w:r w:rsidRPr="00FD65EA">
        <w:t>, jak masy chemoutwardzalne stosowane na zimno oraz masy termoplastyczne.</w:t>
      </w:r>
    </w:p>
    <w:p w:rsidR="00FC2A24" w:rsidRPr="00FD65EA" w:rsidRDefault="00FC2A24">
      <w:pPr>
        <w:jc w:val="both"/>
      </w:pPr>
      <w:r w:rsidRPr="00FD65EA">
        <w:tab/>
        <w:t>Masy chemoutwardzalne powinny być substancjami jedno- lub dwuskładnikowymi, mieszanymi ze sobą w proporcjach ustalonych przez producenta i nakładanymi na nawierzchnię odpowiednim aplikatorem. Masy te powinny tworzyć warstwę kohezyjną w wyniku reakcji chemicznej.</w:t>
      </w:r>
    </w:p>
    <w:p w:rsidR="00FC2A24" w:rsidRPr="00FD65EA" w:rsidRDefault="00FC2A24">
      <w:pPr>
        <w:jc w:val="both"/>
      </w:pPr>
      <w:r w:rsidRPr="00FD65EA">
        <w:tab/>
        <w:t>Masy termoplastyczne powinny być substancjami nie zawierającymi rozpuszczalników, dostarczanymi w postaci bloków, granulek lub proszku. Przy stosowaniu powinny dać się podgrzewać do stopienia i aplikować ręcznie lub maszynowo. Masy te powinny tworzyć warstwę kohezyjną przez ochłodzenie.</w:t>
      </w:r>
    </w:p>
    <w:p w:rsidR="00FC2A24" w:rsidRDefault="00FC2A24">
      <w:pPr>
        <w:spacing w:after="120"/>
        <w:jc w:val="both"/>
      </w:pPr>
      <w:r w:rsidRPr="00FD65EA">
        <w:tab/>
        <w:t>Właściwości fizyczne materiałów do znakowania grubowarstwowego i wykonanych z nich elementów prefabrykowanych określa aprobata techniczna, odpowiadająca wymaganiom POD-97 [4].</w:t>
      </w:r>
    </w:p>
    <w:p w:rsidR="00FC2A24" w:rsidRDefault="00FC2A24">
      <w:pPr>
        <w:jc w:val="both"/>
      </w:pPr>
      <w:r>
        <w:rPr>
          <w:b/>
        </w:rPr>
        <w:t xml:space="preserve">2.6.3. </w:t>
      </w:r>
      <w:r>
        <w:t>Zawartość   składników   lotnych  w  materiałach   do  znakowania   cienko-   i grubo-</w:t>
      </w:r>
    </w:p>
    <w:p w:rsidR="00FC2A24" w:rsidRDefault="00FC2A24">
      <w:pPr>
        <w:spacing w:after="120"/>
        <w:jc w:val="both"/>
      </w:pPr>
      <w:r>
        <w:t xml:space="preserve">          warstwowego</w:t>
      </w:r>
    </w:p>
    <w:p w:rsidR="00FC2A24" w:rsidRDefault="00FC2A24">
      <w:pPr>
        <w:jc w:val="both"/>
      </w:pPr>
      <w:r>
        <w:tab/>
        <w:t>Zawartość składników lotnych (rozpuszczalników organicznych) nie powinna przekraczać w materiałach do znakowania:</w:t>
      </w:r>
    </w:p>
    <w:p w:rsidR="00FC2A24" w:rsidRDefault="00FC2A24">
      <w:pPr>
        <w:numPr>
          <w:ilvl w:val="0"/>
          <w:numId w:val="1"/>
        </w:numPr>
        <w:jc w:val="both"/>
      </w:pPr>
      <w:r>
        <w:t>cienkowarstwowego 30% (m/m),</w:t>
      </w:r>
    </w:p>
    <w:p w:rsidR="00FC2A24" w:rsidRDefault="00FC2A24">
      <w:pPr>
        <w:numPr>
          <w:ilvl w:val="0"/>
          <w:numId w:val="1"/>
        </w:numPr>
        <w:jc w:val="both"/>
      </w:pPr>
      <w:r>
        <w:t>grubowarstwowego 2% (m/m).</w:t>
      </w:r>
    </w:p>
    <w:p w:rsidR="00FC2A24" w:rsidRDefault="00FC2A24">
      <w:pPr>
        <w:jc w:val="both"/>
      </w:pPr>
      <w:r>
        <w:tab/>
        <w:t>Nie dopuszcza się stosowania materiałów zawierających rozpuszczalnik aromatyczny (jak np. toluen, ksylen) w ilości większej niż 10%. Nie dopuszcza się stosowania materiałów zawierających benzen i rozpuszczalniki chlorowane.</w:t>
      </w:r>
    </w:p>
    <w:p w:rsidR="00FC2A24" w:rsidRDefault="00FC2A24">
      <w:pPr>
        <w:spacing w:before="120"/>
        <w:jc w:val="both"/>
      </w:pPr>
      <w:r>
        <w:rPr>
          <w:b/>
        </w:rPr>
        <w:t xml:space="preserve">2.6.4. </w:t>
      </w:r>
      <w:r>
        <w:t>Kulki szklane</w:t>
      </w:r>
    </w:p>
    <w:p w:rsidR="00FC2A24" w:rsidRDefault="00FC2A24">
      <w:pPr>
        <w:spacing w:before="120"/>
        <w:jc w:val="both"/>
      </w:pPr>
      <w:r>
        <w:tab/>
        <w:t>Materiały w postaci kulek szklanych refleksyjnych do posypywania lub narzucania pod ciśnieniem na materiały do oznakowania powinny zapewniać widzialność w nocy poprzez odbicie powrotne w kierunku pojazdu wiązki światła wysyłanej przez reflektory pojazdu.</w:t>
      </w:r>
    </w:p>
    <w:p w:rsidR="00FC2A24" w:rsidRDefault="00FC2A24">
      <w:pPr>
        <w:jc w:val="both"/>
      </w:pPr>
      <w:r>
        <w:tab/>
        <w:t>Kulki szklane powinny charakteryzować się współczynnikiem załamania powyżej 1,50, wykazywać odporność na wodę i zawierać nie więcej niż 20% kulek z defektami.</w:t>
      </w:r>
    </w:p>
    <w:p w:rsidR="00FC2A24" w:rsidRDefault="00FC2A24">
      <w:pPr>
        <w:jc w:val="both"/>
      </w:pPr>
      <w:r>
        <w:tab/>
        <w:t xml:space="preserve">Kulki szklane </w:t>
      </w:r>
      <w:proofErr w:type="spellStart"/>
      <w:r>
        <w:t>hydrofobizowane</w:t>
      </w:r>
      <w:proofErr w:type="spellEnd"/>
      <w:r>
        <w:t xml:space="preserve"> powinny ponadto wykazywać stopień </w:t>
      </w:r>
      <w:proofErr w:type="spellStart"/>
      <w:r>
        <w:t>hydrofobizacji</w:t>
      </w:r>
      <w:proofErr w:type="spellEnd"/>
      <w:r>
        <w:t xml:space="preserve"> co najmniej 80%.</w:t>
      </w:r>
    </w:p>
    <w:p w:rsidR="00FC2A24" w:rsidRDefault="00FC2A24">
      <w:pPr>
        <w:jc w:val="both"/>
      </w:pPr>
      <w:r>
        <w:tab/>
        <w:t>Właściwości kulek szklanych określa aprobata techniczna, odpowiadająca wymaganiom POD-97 [4].</w:t>
      </w:r>
    </w:p>
    <w:p w:rsidR="00FC2A24" w:rsidRDefault="00FC2A24">
      <w:pPr>
        <w:spacing w:before="120"/>
        <w:jc w:val="both"/>
      </w:pPr>
      <w:r>
        <w:rPr>
          <w:b/>
        </w:rPr>
        <w:t xml:space="preserve">2.6.5. </w:t>
      </w:r>
      <w:r>
        <w:t xml:space="preserve">Materiał </w:t>
      </w:r>
      <w:proofErr w:type="spellStart"/>
      <w:r>
        <w:t>uszorstniający</w:t>
      </w:r>
      <w:proofErr w:type="spellEnd"/>
      <w:r>
        <w:t xml:space="preserve"> oznakowanie</w:t>
      </w:r>
    </w:p>
    <w:p w:rsidR="00FC2A24" w:rsidRDefault="00FC2A24">
      <w:pPr>
        <w:jc w:val="both"/>
      </w:pPr>
      <w:r>
        <w:tab/>
        <w:t xml:space="preserve">Materiał </w:t>
      </w:r>
      <w:proofErr w:type="spellStart"/>
      <w:r>
        <w:t>uszorstniający</w:t>
      </w:r>
      <w:proofErr w:type="spellEnd"/>
      <w:r>
        <w:t xml:space="preserve"> oznakowanie powinien składać się z naturalnego lub sztucznego twardego kruszywa (np. krystobalitu), stosowanego w celu zapewnienia oznakowaniu odpowiedniej szorstkości (właściwości antypoślizgowych). Materiał </w:t>
      </w:r>
      <w:proofErr w:type="spellStart"/>
      <w:r>
        <w:t>uszorstniający</w:t>
      </w:r>
      <w:proofErr w:type="spellEnd"/>
      <w:r>
        <w:t xml:space="preserve"> nie może zawierać więcej niż 1% cząstek mniejszych niż 90 </w:t>
      </w:r>
      <w:r>
        <w:sym w:font="Symbol" w:char="F06D"/>
      </w:r>
      <w:r>
        <w:t xml:space="preserve">m. Potrzeba stosowania materiału </w:t>
      </w:r>
      <w:proofErr w:type="spellStart"/>
      <w:r>
        <w:t>uszorstniającego</w:t>
      </w:r>
      <w:proofErr w:type="spellEnd"/>
      <w:r>
        <w:t xml:space="preserve"> powinna być określona w SST.</w:t>
      </w:r>
    </w:p>
    <w:p w:rsidR="00FC2A24" w:rsidRDefault="00FC2A24">
      <w:pPr>
        <w:jc w:val="both"/>
      </w:pPr>
      <w:r>
        <w:tab/>
        <w:t xml:space="preserve">Materiał </w:t>
      </w:r>
      <w:proofErr w:type="spellStart"/>
      <w:r>
        <w:t>uszorstniający</w:t>
      </w:r>
      <w:proofErr w:type="spellEnd"/>
      <w:r>
        <w:t xml:space="preserve"> oraz mieszanina kulek szklanych z materiałem </w:t>
      </w:r>
      <w:proofErr w:type="spellStart"/>
      <w:r>
        <w:t>uszorstniającym</w:t>
      </w:r>
      <w:proofErr w:type="spellEnd"/>
      <w:r>
        <w:t xml:space="preserve"> powinny odpowiadać wymaganiom określonym w aprobacie technicznej lub POD-97 [4].</w:t>
      </w:r>
    </w:p>
    <w:p w:rsidR="00FC2A24" w:rsidRDefault="00FC2A24">
      <w:pPr>
        <w:spacing w:before="120"/>
        <w:jc w:val="both"/>
      </w:pPr>
      <w:r>
        <w:rPr>
          <w:b/>
        </w:rPr>
        <w:t xml:space="preserve">2.6.7. </w:t>
      </w:r>
      <w:r>
        <w:t>Wymagania wobec materiałów ze względu na ochronę warunków pracy i środowiska</w:t>
      </w:r>
    </w:p>
    <w:p w:rsidR="00FC2A24" w:rsidRDefault="00FC2A24">
      <w:pPr>
        <w:spacing w:before="120"/>
        <w:jc w:val="both"/>
      </w:pPr>
      <w:r>
        <w:tab/>
        <w:t>Materiały stosowane do znakowania nawierzchni nie powinny zawierać substancji zagrażających zdrowiu ludzi i powodujących skażenie środowiska.</w:t>
      </w:r>
    </w:p>
    <w:p w:rsidR="00FC2A24" w:rsidRDefault="00FC2A24">
      <w:pPr>
        <w:pStyle w:val="Nagwek2"/>
      </w:pPr>
      <w:bookmarkStart w:id="22" w:name="_Toc441731613"/>
      <w:r>
        <w:t>2.7. Przechowywanie i składowanie materiałów</w:t>
      </w:r>
      <w:bookmarkEnd w:id="22"/>
    </w:p>
    <w:p w:rsidR="00FC2A24" w:rsidRDefault="00FC2A24">
      <w:pPr>
        <w:jc w:val="both"/>
      </w:pPr>
      <w:r>
        <w:tab/>
        <w:t>Materiały do znakowania cienko- i grubowarstwowego nawierzchni powinny zachować stałość swoich właściwości chemicznych i fizykochemicznych przez okres co najmniej 6 miesięcy składowania w warunkach określonych przez producenta.</w:t>
      </w:r>
    </w:p>
    <w:p w:rsidR="00FC2A24" w:rsidRDefault="00FC2A24">
      <w:pPr>
        <w:jc w:val="both"/>
      </w:pPr>
      <w:r>
        <w:tab/>
        <w:t>Materiały do poziomego znakowania dróg należy przechowywać w magazynach odpowiadających zaleceniom producenta, zwłaszcza zabezpieczających je od napromieniowania słonecznego, opadów i w temperaturze, dla:</w:t>
      </w:r>
    </w:p>
    <w:p w:rsidR="00FC2A24" w:rsidRDefault="00FC2A24">
      <w:pPr>
        <w:numPr>
          <w:ilvl w:val="0"/>
          <w:numId w:val="2"/>
        </w:numPr>
        <w:jc w:val="both"/>
      </w:pPr>
      <w:r>
        <w:t>farb wodorozcieńczalnych od 5</w:t>
      </w:r>
      <w:r>
        <w:rPr>
          <w:vertAlign w:val="superscript"/>
        </w:rPr>
        <w:t>o</w:t>
      </w:r>
      <w:r>
        <w:t xml:space="preserve"> do 40</w:t>
      </w:r>
      <w:r>
        <w:rPr>
          <w:vertAlign w:val="superscript"/>
        </w:rPr>
        <w:t>o</w:t>
      </w:r>
      <w:r>
        <w:t>C,</w:t>
      </w:r>
    </w:p>
    <w:p w:rsidR="00FC2A24" w:rsidRDefault="00FC2A24">
      <w:pPr>
        <w:numPr>
          <w:ilvl w:val="0"/>
          <w:numId w:val="2"/>
        </w:numPr>
        <w:jc w:val="both"/>
      </w:pPr>
      <w:r>
        <w:t>farb rozpuszczalnikowych od 0</w:t>
      </w:r>
      <w:r>
        <w:rPr>
          <w:vertAlign w:val="superscript"/>
        </w:rPr>
        <w:t>o</w:t>
      </w:r>
      <w:r>
        <w:t xml:space="preserve"> do 25</w:t>
      </w:r>
      <w:r>
        <w:rPr>
          <w:vertAlign w:val="superscript"/>
        </w:rPr>
        <w:t>o</w:t>
      </w:r>
      <w:r>
        <w:t>C,</w:t>
      </w:r>
    </w:p>
    <w:p w:rsidR="00FC2A24" w:rsidRDefault="00FC2A24">
      <w:pPr>
        <w:numPr>
          <w:ilvl w:val="0"/>
          <w:numId w:val="2"/>
        </w:numPr>
        <w:spacing w:after="120"/>
        <w:ind w:left="284" w:hanging="284"/>
        <w:jc w:val="both"/>
      </w:pPr>
      <w:r>
        <w:t>pozostałych materiałów - poniżej 40</w:t>
      </w:r>
      <w:r>
        <w:rPr>
          <w:vertAlign w:val="superscript"/>
        </w:rPr>
        <w:t>o</w:t>
      </w:r>
      <w:r>
        <w:t>C.</w:t>
      </w:r>
    </w:p>
    <w:p w:rsidR="00FC2A24" w:rsidRDefault="00FC2A24">
      <w:pPr>
        <w:pStyle w:val="Nagwek1"/>
      </w:pPr>
      <w:bookmarkStart w:id="23" w:name="_Toc441731614"/>
      <w:r>
        <w:t>3. sprzęt</w:t>
      </w:r>
      <w:bookmarkEnd w:id="23"/>
    </w:p>
    <w:p w:rsidR="00FC2A24" w:rsidRDefault="00FC2A24">
      <w:pPr>
        <w:pStyle w:val="Nagwek2"/>
      </w:pPr>
      <w:bookmarkStart w:id="24" w:name="_Toc441731615"/>
      <w:r>
        <w:t>3.1. Ogólne wymagania dotyczące sprzętu</w:t>
      </w:r>
      <w:bookmarkEnd w:id="24"/>
    </w:p>
    <w:p w:rsidR="00FC2A24" w:rsidRDefault="00FC2A24">
      <w:pPr>
        <w:jc w:val="both"/>
      </w:pPr>
      <w:r>
        <w:tab/>
        <w:t>Ogólne wymagania dotyczące sprzętu podano w SST D-M-00.00.00 „Wymagania ogólne” pkt 3.</w:t>
      </w:r>
    </w:p>
    <w:p w:rsidR="00FC2A24" w:rsidRDefault="00FC2A24">
      <w:pPr>
        <w:pStyle w:val="Nagwek2"/>
      </w:pPr>
      <w:bookmarkStart w:id="25" w:name="_Toc441731616"/>
      <w:r>
        <w:t>3.2. Sprzęt do wykonania oznakowania poziomego</w:t>
      </w:r>
      <w:bookmarkEnd w:id="25"/>
    </w:p>
    <w:p w:rsidR="00FC2A24" w:rsidRDefault="00FC2A24">
      <w:pPr>
        <w:jc w:val="both"/>
      </w:pPr>
      <w:r>
        <w:tab/>
        <w:t>Wykonawca przystępujący do wykonania oznakowania poziomego, w zależności od zakresu robót, powinien wykazać się możliwością korzystania z następującego sprzętu, zaakceptowanego przez Inżyniera:</w:t>
      </w:r>
    </w:p>
    <w:p w:rsidR="00FC2A24" w:rsidRDefault="00FC2A24">
      <w:pPr>
        <w:numPr>
          <w:ilvl w:val="0"/>
          <w:numId w:val="1"/>
        </w:numPr>
        <w:jc w:val="both"/>
      </w:pPr>
      <w:r>
        <w:t>szczotek mechanicznych (zaleca się stosowanie szczotek wyposażonych w urządzenia odpylające) oraz szczotek ręcznych,</w:t>
      </w:r>
    </w:p>
    <w:p w:rsidR="00FC2A24" w:rsidRDefault="00FC2A24">
      <w:pPr>
        <w:numPr>
          <w:ilvl w:val="0"/>
          <w:numId w:val="1"/>
        </w:numPr>
        <w:jc w:val="both"/>
      </w:pPr>
      <w:r>
        <w:t>frezarek,</w:t>
      </w:r>
    </w:p>
    <w:p w:rsidR="00FC5B33" w:rsidRDefault="00FC5B33">
      <w:pPr>
        <w:numPr>
          <w:ilvl w:val="0"/>
          <w:numId w:val="1"/>
        </w:numPr>
        <w:jc w:val="both"/>
      </w:pPr>
      <w:r>
        <w:t>sprzęt do usuwania oznakowania cienkowarstwowego – śrutownica – min. 1 szt.,</w:t>
      </w:r>
    </w:p>
    <w:p w:rsidR="00FC5B33" w:rsidRDefault="00FC5B33">
      <w:pPr>
        <w:numPr>
          <w:ilvl w:val="0"/>
          <w:numId w:val="1"/>
        </w:numPr>
        <w:jc w:val="both"/>
      </w:pPr>
      <w:r>
        <w:t xml:space="preserve">sprzęt do usuwania oznakowania </w:t>
      </w:r>
      <w:r w:rsidR="00661F2B">
        <w:t xml:space="preserve">cienkowarstwowego i </w:t>
      </w:r>
      <w:r>
        <w:t>grubowarstwowego metodą wodną – min. 1 szt.,</w:t>
      </w:r>
    </w:p>
    <w:p w:rsidR="00FC2A24" w:rsidRDefault="00FC2A24">
      <w:pPr>
        <w:numPr>
          <w:ilvl w:val="0"/>
          <w:numId w:val="1"/>
        </w:numPr>
        <w:jc w:val="both"/>
      </w:pPr>
      <w:r>
        <w:t>sprężarek,</w:t>
      </w:r>
    </w:p>
    <w:p w:rsidR="00FC2A24" w:rsidRDefault="00FC2A24">
      <w:pPr>
        <w:numPr>
          <w:ilvl w:val="0"/>
          <w:numId w:val="1"/>
        </w:numPr>
        <w:jc w:val="both"/>
      </w:pPr>
      <w:proofErr w:type="spellStart"/>
      <w:r>
        <w:t>malowarek</w:t>
      </w:r>
      <w:proofErr w:type="spellEnd"/>
      <w:r>
        <w:t>,</w:t>
      </w:r>
    </w:p>
    <w:p w:rsidR="00FC2A24" w:rsidRDefault="00FC2A24">
      <w:pPr>
        <w:numPr>
          <w:ilvl w:val="0"/>
          <w:numId w:val="1"/>
        </w:numPr>
        <w:jc w:val="both"/>
      </w:pPr>
      <w:r>
        <w:t>układarek mas termoplastycznych i chemoutwardzalnych,</w:t>
      </w:r>
    </w:p>
    <w:p w:rsidR="00FC2A24" w:rsidRDefault="00FC2A24">
      <w:pPr>
        <w:numPr>
          <w:ilvl w:val="0"/>
          <w:numId w:val="1"/>
        </w:numPr>
        <w:spacing w:after="120"/>
        <w:ind w:left="284" w:hanging="284"/>
        <w:jc w:val="both"/>
      </w:pPr>
      <w:r>
        <w:t>sprzętu do badań, określonych w SST.</w:t>
      </w:r>
    </w:p>
    <w:p w:rsidR="00FC2A24" w:rsidRDefault="00FC2A24">
      <w:pPr>
        <w:pStyle w:val="Nagwek1"/>
      </w:pPr>
      <w:bookmarkStart w:id="26" w:name="_Toc441731617"/>
      <w:r>
        <w:t>4. transport</w:t>
      </w:r>
      <w:bookmarkEnd w:id="26"/>
    </w:p>
    <w:p w:rsidR="00FC2A24" w:rsidRDefault="00FC2A24">
      <w:pPr>
        <w:pStyle w:val="Nagwek2"/>
      </w:pPr>
      <w:bookmarkStart w:id="27" w:name="_Toc441731618"/>
      <w:r>
        <w:t>4.1. Ogólne wymagania dotyczące transportu</w:t>
      </w:r>
      <w:bookmarkEnd w:id="27"/>
    </w:p>
    <w:p w:rsidR="00FC2A24" w:rsidRDefault="00FC2A24">
      <w:pPr>
        <w:jc w:val="both"/>
      </w:pPr>
      <w:r>
        <w:tab/>
        <w:t>Ogólne wymagania dotyczące transportu podano w SST D-M-00.00.00 „Wymagania ogólne” pkt 4.</w:t>
      </w:r>
    </w:p>
    <w:p w:rsidR="00FC2A24" w:rsidRDefault="00FC2A24">
      <w:pPr>
        <w:pStyle w:val="Nagwek2"/>
      </w:pPr>
      <w:bookmarkStart w:id="28" w:name="_Toc441731619"/>
      <w:r>
        <w:t>4.2. Przewóz materiałów do poziomego znakowania dróg</w:t>
      </w:r>
      <w:bookmarkEnd w:id="28"/>
    </w:p>
    <w:p w:rsidR="00FC2A24" w:rsidRDefault="00FC2A24">
      <w:pPr>
        <w:jc w:val="both"/>
      </w:pPr>
      <w:r>
        <w:tab/>
        <w:t xml:space="preserve">Materiały do poziomego znakowania dróg należy przewozić w pojemnikach zapewniających szczelność, bezpieczny transport i zachowanie wymaganych właściwości materiałów. Pojemniki powinny być oznakowane zgodnie z normą PN-O-79252 [2]. </w:t>
      </w:r>
    </w:p>
    <w:p w:rsidR="00FC2A24" w:rsidRDefault="00FC2A24">
      <w:pPr>
        <w:spacing w:after="120"/>
        <w:jc w:val="both"/>
      </w:pPr>
      <w:r>
        <w:tab/>
        <w:t>Materiały do znakowania poziomego należy przewozić krytymi środkami transportowymi, chroniąc opakowania przed uszkodzeniem mechanicznym, zgodnie z PN-C-81400 [1] oraz zgodnie z prawem przewozowym.</w:t>
      </w:r>
    </w:p>
    <w:p w:rsidR="00FC2A24" w:rsidRDefault="00FC2A24">
      <w:pPr>
        <w:pStyle w:val="Nagwek1"/>
      </w:pPr>
      <w:bookmarkStart w:id="29" w:name="_Toc441731620"/>
      <w:r>
        <w:t>5. wykonanie robót</w:t>
      </w:r>
      <w:bookmarkEnd w:id="29"/>
    </w:p>
    <w:p w:rsidR="00FC2A24" w:rsidRDefault="00FC2A24">
      <w:pPr>
        <w:pStyle w:val="Nagwek2"/>
      </w:pPr>
      <w:bookmarkStart w:id="30" w:name="_Toc441731621"/>
      <w:r>
        <w:t>5.1. Ogólne zasady wykonania robót</w:t>
      </w:r>
      <w:bookmarkEnd w:id="30"/>
    </w:p>
    <w:p w:rsidR="00FC2A24" w:rsidRDefault="00FC2A24">
      <w:pPr>
        <w:jc w:val="both"/>
      </w:pPr>
      <w:r>
        <w:tab/>
        <w:t>Ogólne zasady wykonania robót podano w SST D-M-00.00.00 „Wymagania ogólne” pkt 5.</w:t>
      </w:r>
    </w:p>
    <w:p w:rsidR="00FC2A24" w:rsidRDefault="00FC2A24">
      <w:pPr>
        <w:pStyle w:val="Nagwek2"/>
      </w:pPr>
      <w:bookmarkStart w:id="31" w:name="_Toc441731622"/>
      <w:r>
        <w:t>5.2. Warunki atmosferyczne</w:t>
      </w:r>
      <w:bookmarkEnd w:id="31"/>
    </w:p>
    <w:p w:rsidR="00FC2A24" w:rsidRDefault="00FC2A24">
      <w:pPr>
        <w:jc w:val="both"/>
      </w:pPr>
      <w:r>
        <w:tab/>
        <w:t>W czasie wykonywania oznakowania temperatura nawierzchni i powietrza powinna wynosić co najmniej 5</w:t>
      </w:r>
      <w:r>
        <w:rPr>
          <w:vertAlign w:val="superscript"/>
        </w:rPr>
        <w:t>o</w:t>
      </w:r>
      <w:r>
        <w:t>C, a wilgotność względna powietrza powinna być zgodna z zaleceniami producenta lub wynosić co najwyżej 85%.</w:t>
      </w:r>
    </w:p>
    <w:p w:rsidR="00FC2A24" w:rsidRDefault="00FC2A24">
      <w:pPr>
        <w:pStyle w:val="Nagwek2"/>
      </w:pPr>
      <w:bookmarkStart w:id="32" w:name="_Toc441731623"/>
      <w:r>
        <w:t>5.3. Jednorodność nawierzchni znakowanej</w:t>
      </w:r>
      <w:bookmarkEnd w:id="32"/>
    </w:p>
    <w:p w:rsidR="00FC2A24" w:rsidRDefault="00FC2A24">
      <w:pPr>
        <w:jc w:val="both"/>
      </w:pPr>
      <w:r>
        <w:tab/>
        <w:t>Poprawność wykonania znakowania wymaga jednorodności nawierzchni znakowanej. Nierównomierności i/albo miejsca łatania nawierzchni, które nie wyróżniają się od starej nawierzchni i nie mają większego rozmiaru niż 15% powierzchni znakowanej, uznaje się za powierzchnie jednorodne. Dla powierzchni niejednorodnych należy ustalić w SST wymagania wobec materiału do znakowania nawierzchni.</w:t>
      </w:r>
    </w:p>
    <w:p w:rsidR="00FC2A24" w:rsidRDefault="00FC2A24">
      <w:pPr>
        <w:pStyle w:val="Nagwek2"/>
      </w:pPr>
      <w:bookmarkStart w:id="33" w:name="_Toc441731624"/>
      <w:r>
        <w:t>5.4. Przygotowanie podłoża do wykonania znakowania</w:t>
      </w:r>
      <w:bookmarkEnd w:id="33"/>
    </w:p>
    <w:p w:rsidR="00FC2A24" w:rsidRDefault="00FC2A24">
      <w:pPr>
        <w:jc w:val="both"/>
      </w:pPr>
      <w:r>
        <w:tab/>
        <w:t>Przed wykonaniem znakowania poziomego należy oczyścić powierzchnię nawierzchni malowanej z pyłu, kurzu, piasku, smarów, olejów i innych zanieczyszczeń, przy użyciu sprzętu wymienionego w SST i zaakceptowanego przez Inżyniera.</w:t>
      </w:r>
    </w:p>
    <w:p w:rsidR="00FC2A24" w:rsidRDefault="00FC2A24">
      <w:pPr>
        <w:jc w:val="both"/>
      </w:pPr>
      <w:r>
        <w:tab/>
        <w:t>Powierzchnia nawierzchni przygotowana do wykonania oznakowania poziomego musi być czysta i sucha.</w:t>
      </w:r>
    </w:p>
    <w:p w:rsidR="00FC2A24" w:rsidRDefault="00FC2A24">
      <w:pPr>
        <w:pStyle w:val="Nagwek2"/>
      </w:pPr>
      <w:bookmarkStart w:id="34" w:name="_Toc441731625"/>
      <w:r>
        <w:t xml:space="preserve">5.5. </w:t>
      </w:r>
      <w:proofErr w:type="spellStart"/>
      <w:r>
        <w:t>Przedznakowanie</w:t>
      </w:r>
      <w:bookmarkEnd w:id="34"/>
      <w:proofErr w:type="spellEnd"/>
    </w:p>
    <w:p w:rsidR="00FC2A24" w:rsidRDefault="00FC2A24">
      <w:pPr>
        <w:jc w:val="both"/>
      </w:pPr>
      <w:r>
        <w:tab/>
        <w:t xml:space="preserve">W celu dokładnego wykonania poziomego oznakowania drogi, można wykonać </w:t>
      </w:r>
      <w:proofErr w:type="spellStart"/>
      <w:r>
        <w:t>przedznakowanie</w:t>
      </w:r>
      <w:proofErr w:type="spellEnd"/>
      <w:r>
        <w:t>, stosując się do ustaleń zawartych w dokumentacji projektowej, „Instrukcji o znakach drogowych poziomych” [3], SST i wskazaniach Inżyniera.</w:t>
      </w:r>
    </w:p>
    <w:p w:rsidR="00FC2A24" w:rsidRDefault="00FC2A24">
      <w:pPr>
        <w:jc w:val="both"/>
      </w:pPr>
      <w:r>
        <w:tab/>
        <w:t xml:space="preserve">Do wykonania </w:t>
      </w:r>
      <w:proofErr w:type="spellStart"/>
      <w:r>
        <w:t>przedznakowania</w:t>
      </w:r>
      <w:proofErr w:type="spellEnd"/>
      <w:r>
        <w:t xml:space="preserve"> można stosować nietrwałą farbę, np. farbę silnie rozcieńczoną rozpuszczalnikiem. Zaleca się wykonywanie </w:t>
      </w:r>
      <w:proofErr w:type="spellStart"/>
      <w:r>
        <w:t>przedznakowania</w:t>
      </w:r>
      <w:proofErr w:type="spellEnd"/>
      <w:r>
        <w:t xml:space="preserve"> w postaci cienkich linii lub kropek. Początek i koniec znakowania należy zaznaczyć małą kreską poprzeczną.</w:t>
      </w:r>
    </w:p>
    <w:p w:rsidR="00FC2A24" w:rsidRDefault="00FC2A24">
      <w:pPr>
        <w:jc w:val="both"/>
      </w:pPr>
      <w:r>
        <w:tab/>
        <w:t xml:space="preserve">W przypadku odnawiania znakowania drogi, gdy stare znakowanie jest wystarczająco czytelne i zgodne z dokumentacją projektową, można </w:t>
      </w:r>
      <w:proofErr w:type="spellStart"/>
      <w:r>
        <w:t>przedznakowania</w:t>
      </w:r>
      <w:proofErr w:type="spellEnd"/>
      <w:r>
        <w:t xml:space="preserve"> nie wykonywać.</w:t>
      </w:r>
    </w:p>
    <w:p w:rsidR="00FC2A24" w:rsidRDefault="00FC2A24">
      <w:pPr>
        <w:pStyle w:val="Nagwek2"/>
      </w:pPr>
      <w:bookmarkStart w:id="35" w:name="_Toc441731626"/>
      <w:r>
        <w:t>5.6. Wykonanie znakowania drogi</w:t>
      </w:r>
      <w:bookmarkEnd w:id="35"/>
    </w:p>
    <w:p w:rsidR="00FC2A24" w:rsidRDefault="00FC2A24">
      <w:pPr>
        <w:pStyle w:val="Nagwek2"/>
        <w:spacing w:before="0"/>
      </w:pPr>
      <w:bookmarkStart w:id="36" w:name="_Toc441731627"/>
      <w:r>
        <w:t>5.6.1.</w:t>
      </w:r>
      <w:r>
        <w:rPr>
          <w:b w:val="0"/>
        </w:rPr>
        <w:t xml:space="preserve"> </w:t>
      </w:r>
      <w:r>
        <w:t xml:space="preserve"> </w:t>
      </w:r>
      <w:r>
        <w:rPr>
          <w:b w:val="0"/>
        </w:rPr>
        <w:t>Dostarczenie materiałów i spełnienie zaleceń producenta materiałów</w:t>
      </w:r>
      <w:bookmarkEnd w:id="36"/>
    </w:p>
    <w:p w:rsidR="00FC2A24" w:rsidRDefault="00FC2A24">
      <w:pPr>
        <w:jc w:val="both"/>
      </w:pPr>
      <w:r>
        <w:tab/>
        <w:t>Materiały do znakowania drogi, spełniające wymagania podane w punkcie 2, powinny być dostarczone w oryginalnych opakowaniach handlowych i stosowane zgodnie z zaleceniami SST, producenta oraz wymaganiami znajdującymi się w aprobacie technicznej.</w:t>
      </w:r>
    </w:p>
    <w:p w:rsidR="00FC2A24" w:rsidRDefault="00FC2A24">
      <w:pPr>
        <w:spacing w:before="120"/>
        <w:jc w:val="both"/>
      </w:pPr>
      <w:r>
        <w:rPr>
          <w:b/>
        </w:rPr>
        <w:t xml:space="preserve">5.6.2. </w:t>
      </w:r>
      <w:r>
        <w:t>Wykonanie znakowania drogi materiałami cienkowarstwowymi</w:t>
      </w:r>
    </w:p>
    <w:p w:rsidR="00FC2A24" w:rsidRDefault="00FC2A24">
      <w:pPr>
        <w:spacing w:before="120"/>
        <w:jc w:val="both"/>
      </w:pPr>
      <w:r>
        <w:tab/>
        <w:t>Wykonanie znakowania powinno być zgodne z zaleceniami producenta materiałów, a w przypadku ich braku lub niepełnych danych - zgodne z poniższymi wskazaniami.</w:t>
      </w:r>
    </w:p>
    <w:p w:rsidR="00FC2A24" w:rsidRDefault="00FC2A24">
      <w:pPr>
        <w:jc w:val="both"/>
      </w:pPr>
      <w:r>
        <w:tab/>
        <w:t xml:space="preserve">Farbę do znakowania cienkowarstwowego po otwarciu opakowania należy wymieszać w czasie od 2 do 4 min do uzyskania pełnej jednorodności. Przed lub w czasie napełniania zbiornika </w:t>
      </w:r>
      <w:proofErr w:type="spellStart"/>
      <w:r>
        <w:t>malowarki</w:t>
      </w:r>
      <w:proofErr w:type="spellEnd"/>
      <w:r>
        <w:t xml:space="preserve"> zaleca się przecedzić farbę przez sito </w:t>
      </w:r>
      <w:smartTag w:uri="urn:schemas-microsoft-com:office:smarttags" w:element="metricconverter">
        <w:smartTagPr>
          <w:attr w:name="ProductID" w:val="0,6 mm"/>
        </w:smartTagPr>
        <w:r>
          <w:t>0,6 mm</w:t>
        </w:r>
      </w:smartTag>
      <w:r>
        <w:t>. Nie wolno stosować do malowania mechanicznego farby, w której osad na dnie opakowania nie daje się całkowicie wymieszać lub na jej powierzchni znajduje się kożuch.</w:t>
      </w:r>
    </w:p>
    <w:p w:rsidR="00FC2A24" w:rsidRDefault="00FC2A24">
      <w:pPr>
        <w:jc w:val="both"/>
      </w:pPr>
      <w:r>
        <w:tab/>
        <w:t xml:space="preserve">Farbę należy nakładać równomierną warstwą o grubości ustalonej w SST, zachowując wymiary i ostrość krawędzi. Grubość nanoszonej warstwy zaleca się kontrolować przy pomocy grzebienia pomiarowego na płytce szklanej lub metalowej podkładanej na drodze </w:t>
      </w:r>
      <w:proofErr w:type="spellStart"/>
      <w:r>
        <w:t>malowarki</w:t>
      </w:r>
      <w:proofErr w:type="spellEnd"/>
      <w:r>
        <w:t>. Ilość farby zużyta w czasie prac, określona przez średnie zużycie na metr kwadratowy nie może się różnić od ilości ustalonej, więcej niż o 20%.</w:t>
      </w:r>
    </w:p>
    <w:p w:rsidR="00FC2A24" w:rsidRDefault="00FC2A24">
      <w:pPr>
        <w:jc w:val="both"/>
      </w:pPr>
      <w:r>
        <w:tab/>
        <w:t xml:space="preserve">Wszystkie większe prace powinny być wykonane przy użyciu samojezdnych </w:t>
      </w:r>
      <w:proofErr w:type="spellStart"/>
      <w:r>
        <w:t>malowarek</w:t>
      </w:r>
      <w:proofErr w:type="spellEnd"/>
      <w:r>
        <w:t xml:space="preserve"> z automatycznym podziałem linii i posypywaniem kulkami szklanymi z ew. materiałem </w:t>
      </w:r>
      <w:proofErr w:type="spellStart"/>
      <w:r>
        <w:t>uszorstniającym</w:t>
      </w:r>
      <w:proofErr w:type="spellEnd"/>
      <w:r>
        <w:t>. W przypadku mniejszych prac, wielkość, wydajność i jakość sprzętu należy dostosować do zakresu i rozmiaru prac. Decyzję dotyczącą rodzaju sprzętu i sposobu wykonania znakowania podejmuje Inżynier na wniosek Wykonawcy.</w:t>
      </w:r>
    </w:p>
    <w:p w:rsidR="00FC2A24" w:rsidRDefault="00FC2A24">
      <w:pPr>
        <w:spacing w:before="120"/>
        <w:jc w:val="both"/>
      </w:pPr>
      <w:r>
        <w:rPr>
          <w:b/>
        </w:rPr>
        <w:t xml:space="preserve">5.6.3. </w:t>
      </w:r>
      <w:r>
        <w:t>Wykonanie znakowania drogi materiałami grubowarstwowymi</w:t>
      </w:r>
    </w:p>
    <w:p w:rsidR="00FC2A24" w:rsidRDefault="00FC2A24">
      <w:pPr>
        <w:spacing w:before="120"/>
        <w:jc w:val="both"/>
      </w:pPr>
      <w:r>
        <w:tab/>
        <w:t>Wykonanie znakowania powinno być zgodne z zaleceniami producenta materiałów, a w przypadku ich braku lub niepełnych danych - zgodne z poniższymi wskazaniami.</w:t>
      </w:r>
    </w:p>
    <w:p w:rsidR="00FC2A24" w:rsidRDefault="00FC2A24">
      <w:pPr>
        <w:jc w:val="both"/>
      </w:pPr>
      <w:r>
        <w:tab/>
        <w:t xml:space="preserve">Materiał znakujący należy nakładać równomierną warstwą o grubości ustalonej w SST, zachowując wymiary i ostrość krawędzi. Grubość nanoszonej warstwy zaleca się kontrolować przy pomocy grzebienia pomiarowego na płytce szklanej lub metalowej, podkładanej na drodze </w:t>
      </w:r>
      <w:proofErr w:type="spellStart"/>
      <w:r>
        <w:t>malowarki</w:t>
      </w:r>
      <w:proofErr w:type="spellEnd"/>
      <w:r>
        <w:t>. Ilość materiału zużyta w czasie prac, określona przez średnie zużycie na metr kwadratowy, nie może się różnić od ilości ustalonej, więcej niż o 20%.</w:t>
      </w:r>
    </w:p>
    <w:p w:rsidR="00FC2A24" w:rsidRDefault="00FC2A24">
      <w:pPr>
        <w:jc w:val="both"/>
      </w:pPr>
      <w:r>
        <w:tab/>
        <w:t xml:space="preserve">W przypadku mas termoplastycznych wszystkie większe prace powinny być wykonywane przy użyciu urządzeń samojezdnych z automatycznym podziałem linii i posypywaniem kulkami szklanymi z ew. materiałem </w:t>
      </w:r>
      <w:proofErr w:type="spellStart"/>
      <w:r>
        <w:t>uszorstniającym</w:t>
      </w:r>
      <w:proofErr w:type="spellEnd"/>
      <w:r>
        <w:t>. W przypadku mniejszych prac, wielkość, wydajność i jakość sprzętu należy dostosować do ich zakresu i rozmiaru. Decyzję dotyczącą rodzaju sprzętu i sposobu wykonania znakowania podejmuje Inżynier na wniosek Wykonawcy. W przypadku znakowania nawierzchni betonowej należy zastosować podkład (</w:t>
      </w:r>
      <w:proofErr w:type="spellStart"/>
      <w:r>
        <w:t>primer</w:t>
      </w:r>
      <w:proofErr w:type="spellEnd"/>
      <w:r>
        <w:t>) poprawiający przyczepność nakładanego termoplastu do nawierzchni.</w:t>
      </w:r>
    </w:p>
    <w:p w:rsidR="00FC2A24" w:rsidRDefault="00FC2A24">
      <w:pPr>
        <w:jc w:val="both"/>
      </w:pPr>
      <w:r>
        <w:tab/>
        <w:t>W przypadku dwuskładnikowych mas chemoutwardzalnych prace można wykonywać ręcznie, przy użyciu prostych urządzeń, np. typu „</w:t>
      </w:r>
      <w:proofErr w:type="spellStart"/>
      <w:r>
        <w:t>Plastomarker</w:t>
      </w:r>
      <w:proofErr w:type="spellEnd"/>
      <w:r>
        <w:t>” lub w inny sposób zaakceptowany przez Inżyniera.</w:t>
      </w:r>
    </w:p>
    <w:p w:rsidR="00FC2A24" w:rsidRDefault="00FC2A24">
      <w:pPr>
        <w:pStyle w:val="Nagwek2"/>
      </w:pPr>
      <w:bookmarkStart w:id="37" w:name="_Toc441731628"/>
      <w:r>
        <w:t>5.7. Usuwanie oznakowania poziomego</w:t>
      </w:r>
      <w:bookmarkEnd w:id="37"/>
    </w:p>
    <w:p w:rsidR="00FC2A24" w:rsidRDefault="00FC2A24">
      <w:pPr>
        <w:jc w:val="both"/>
      </w:pPr>
      <w:r>
        <w:tab/>
        <w:t>W przypadku konieczności usunięcia istniejącego oznakowania poziomego, czynność tę należy wykonać jak najmniej uszkadzając nawierzchnię.</w:t>
      </w:r>
    </w:p>
    <w:p w:rsidR="00FC2A24" w:rsidRDefault="00FC2A24">
      <w:pPr>
        <w:jc w:val="both"/>
      </w:pPr>
      <w:r>
        <w:tab/>
        <w:t>Zaleca się wykonywać usuwanie oznakowania:</w:t>
      </w:r>
    </w:p>
    <w:p w:rsidR="00FC2A24" w:rsidRDefault="00FC5B33" w:rsidP="00661F2B">
      <w:pPr>
        <w:numPr>
          <w:ilvl w:val="0"/>
          <w:numId w:val="1"/>
        </w:numPr>
        <w:jc w:val="both"/>
      </w:pPr>
      <w:r>
        <w:t>cienkowarstwowego, metodą: wodą pod wysokim ciśnieniem (</w:t>
      </w:r>
      <w:proofErr w:type="spellStart"/>
      <w:r>
        <w:t>waterblasting</w:t>
      </w:r>
      <w:proofErr w:type="spellEnd"/>
      <w:r>
        <w:t>)</w:t>
      </w:r>
      <w:r w:rsidR="00661F2B">
        <w:t xml:space="preserve"> </w:t>
      </w:r>
      <w:r w:rsidR="00661F2B">
        <w:br/>
        <w:t>z jednoczesnym oczyszczeniem nawierzchni,</w:t>
      </w:r>
    </w:p>
    <w:p w:rsidR="00FC2A24" w:rsidRDefault="00FC2A24">
      <w:pPr>
        <w:numPr>
          <w:ilvl w:val="0"/>
          <w:numId w:val="1"/>
        </w:numPr>
        <w:jc w:val="both"/>
      </w:pPr>
      <w:r>
        <w:t>grub</w:t>
      </w:r>
      <w:r w:rsidR="00086F39">
        <w:t>owarstwowego, metodą: wodą pod wysokim ciśnieniem (</w:t>
      </w:r>
      <w:proofErr w:type="spellStart"/>
      <w:r w:rsidR="00086F39">
        <w:t>waterblasting</w:t>
      </w:r>
      <w:proofErr w:type="spellEnd"/>
      <w:r w:rsidR="00086F39">
        <w:t xml:space="preserve">) </w:t>
      </w:r>
      <w:r w:rsidR="00086F39">
        <w:br/>
        <w:t>z jednoczesnym oczyszczeniem nawierzchni,</w:t>
      </w:r>
    </w:p>
    <w:p w:rsidR="00FC2A24" w:rsidRDefault="00FC2A24">
      <w:pPr>
        <w:numPr>
          <w:ilvl w:val="0"/>
          <w:numId w:val="1"/>
        </w:numPr>
        <w:jc w:val="both"/>
      </w:pPr>
      <w:r>
        <w:t>punktowego, prostymi narzędziami mechanicznymi.</w:t>
      </w:r>
    </w:p>
    <w:p w:rsidR="00FC2A24" w:rsidRDefault="00FC2A24">
      <w:pPr>
        <w:jc w:val="both"/>
      </w:pPr>
      <w:r>
        <w:tab/>
        <w:t>Środki zastosowane do usunięcia oznakowania nie mogą wpływać ujemnie na przyczepność nowego oznakowania do podłoża, na jego szorstkość, trwałość oraz na właściwości podłoża.</w:t>
      </w:r>
    </w:p>
    <w:p w:rsidR="00FC2A24" w:rsidRDefault="00FC2A24">
      <w:pPr>
        <w:spacing w:after="120"/>
        <w:jc w:val="both"/>
      </w:pPr>
      <w:r>
        <w:tab/>
        <w:t>Materiały pozostałe po usunięciu oznakowania należy usunąć z drogi tak, aby nie zanieczyszczały środowiska, w miejsce zaakceptowane przez Inżyniera.</w:t>
      </w:r>
    </w:p>
    <w:p w:rsidR="00FC2A24" w:rsidRDefault="00FC2A24">
      <w:pPr>
        <w:pStyle w:val="Nagwek1"/>
      </w:pPr>
      <w:bookmarkStart w:id="38" w:name="_Toc441731629"/>
      <w:r>
        <w:t>6. kontrola jakości robót</w:t>
      </w:r>
      <w:bookmarkEnd w:id="38"/>
    </w:p>
    <w:p w:rsidR="00FC2A24" w:rsidRDefault="00FC2A24">
      <w:pPr>
        <w:pStyle w:val="Nagwek2"/>
      </w:pPr>
      <w:bookmarkStart w:id="39" w:name="_Toc441731630"/>
      <w:r>
        <w:t>6.1. Ogólne zasady kontroli jakości robót</w:t>
      </w:r>
      <w:bookmarkEnd w:id="39"/>
    </w:p>
    <w:p w:rsidR="00FC2A24" w:rsidRDefault="00FC2A24">
      <w:pPr>
        <w:jc w:val="both"/>
      </w:pPr>
      <w:r>
        <w:tab/>
        <w:t>Ogólne zasady kontroli jakości robót podano w SST D-M-00.00.00 „Wymagania ogólne” pkt 6.</w:t>
      </w:r>
    </w:p>
    <w:p w:rsidR="00FC2A24" w:rsidRDefault="00FC2A24">
      <w:pPr>
        <w:pStyle w:val="Nagwek2"/>
      </w:pPr>
      <w:bookmarkStart w:id="40" w:name="_Toc441731631"/>
      <w:r>
        <w:t xml:space="preserve">6.2. Badanie przygotowania podłoża i </w:t>
      </w:r>
      <w:proofErr w:type="spellStart"/>
      <w:r>
        <w:t>przedznakowania</w:t>
      </w:r>
      <w:bookmarkEnd w:id="40"/>
      <w:proofErr w:type="spellEnd"/>
    </w:p>
    <w:p w:rsidR="00FC2A24" w:rsidRDefault="00FC2A24">
      <w:pPr>
        <w:jc w:val="both"/>
      </w:pPr>
      <w:r>
        <w:tab/>
        <w:t>Powierzchnia jezdni przed wykonaniem znakowania poziomego musi być całkowicie czysta i sucha.</w:t>
      </w:r>
    </w:p>
    <w:p w:rsidR="00FC2A24" w:rsidRDefault="00FC2A24">
      <w:pPr>
        <w:jc w:val="both"/>
      </w:pPr>
      <w:r>
        <w:tab/>
      </w:r>
      <w:proofErr w:type="spellStart"/>
      <w:r>
        <w:t>Przedznakowanie</w:t>
      </w:r>
      <w:proofErr w:type="spellEnd"/>
      <w:r>
        <w:t xml:space="preserve"> powinno być wykonane zgodnie z wymaganiami punktu 5.5.</w:t>
      </w:r>
    </w:p>
    <w:p w:rsidR="00FC2A24" w:rsidRDefault="00FC2A24">
      <w:pPr>
        <w:pStyle w:val="Nagwek2"/>
      </w:pPr>
      <w:bookmarkStart w:id="41" w:name="_Toc441731632"/>
      <w:r>
        <w:t>6.3. Badania wykonania oznakowania poziomego</w:t>
      </w:r>
      <w:bookmarkEnd w:id="41"/>
    </w:p>
    <w:p w:rsidR="00FC2A24" w:rsidRDefault="00FC2A24">
      <w:pPr>
        <w:jc w:val="both"/>
      </w:pPr>
      <w:r>
        <w:rPr>
          <w:b/>
        </w:rPr>
        <w:t xml:space="preserve">6.3.1. </w:t>
      </w:r>
      <w:r>
        <w:t>Wymagania wobec oznakowania poziomego</w:t>
      </w:r>
    </w:p>
    <w:p w:rsidR="00FC2A24" w:rsidRDefault="00FC2A24">
      <w:pPr>
        <w:spacing w:before="120"/>
        <w:jc w:val="both"/>
      </w:pPr>
      <w:r>
        <w:t>6.3.1.1. Widzialność w dzień</w:t>
      </w:r>
    </w:p>
    <w:p w:rsidR="00FC2A24" w:rsidRDefault="00FC2A24">
      <w:pPr>
        <w:spacing w:before="120"/>
        <w:jc w:val="both"/>
      </w:pPr>
      <w:r>
        <w:tab/>
        <w:t>Widzialność oznakowania w dzień jest określona współczynnikiem luminancji i barwą oznakowania.</w:t>
      </w:r>
    </w:p>
    <w:p w:rsidR="00FC2A24" w:rsidRDefault="00FC2A24">
      <w:pPr>
        <w:jc w:val="both"/>
      </w:pPr>
      <w:r>
        <w:tab/>
        <w:t>Do określenia odbicia światła dziennego lub odbicia oświetlenia drogi od oznakowania stosuje się współczynnik luminancji w świetle rozproszonym Q = L/E, gdzie:</w:t>
      </w:r>
    </w:p>
    <w:p w:rsidR="00FC2A24" w:rsidRDefault="00FC2A24">
      <w:pPr>
        <w:jc w:val="both"/>
      </w:pPr>
      <w:r>
        <w:t>Q - współczynnik luminancji w świetle rozproszonym,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>,</w:t>
      </w:r>
    </w:p>
    <w:p w:rsidR="00FC2A24" w:rsidRDefault="00FC2A24">
      <w:pPr>
        <w:jc w:val="both"/>
      </w:pPr>
      <w:r>
        <w:t>L - luminancja pola w świetle rozproszonym, mcd/m</w:t>
      </w:r>
      <w:r>
        <w:rPr>
          <w:vertAlign w:val="superscript"/>
        </w:rPr>
        <w:t>2</w:t>
      </w:r>
      <w:r>
        <w:t>,</w:t>
      </w:r>
    </w:p>
    <w:p w:rsidR="00FC2A24" w:rsidRDefault="00FC2A24">
      <w:pPr>
        <w:jc w:val="both"/>
      </w:pPr>
      <w:r>
        <w:t>E - oświetlenie płaszczyzny pola, lx.</w:t>
      </w:r>
    </w:p>
    <w:p w:rsidR="00FC2A24" w:rsidRDefault="00FC2A24">
      <w:pPr>
        <w:jc w:val="both"/>
      </w:pPr>
      <w:r>
        <w:tab/>
        <w:t>Pomiary luminancji w świetle rozproszonym wykonuje się w praktyce miernikiem luminancji wg POD-97 [4]. Wartość współczynnika Q powinna wynosić dla oznakowania świeżego, barwy:</w:t>
      </w:r>
    </w:p>
    <w:p w:rsidR="00FC2A24" w:rsidRDefault="00FC2A24">
      <w:pPr>
        <w:numPr>
          <w:ilvl w:val="0"/>
          <w:numId w:val="1"/>
        </w:numPr>
        <w:jc w:val="both"/>
      </w:pPr>
      <w:r>
        <w:t>białej na nawierzchni asfaltowej, co najmniej 130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>,</w:t>
      </w:r>
    </w:p>
    <w:p w:rsidR="00FC2A24" w:rsidRDefault="00FC2A24">
      <w:pPr>
        <w:numPr>
          <w:ilvl w:val="0"/>
          <w:numId w:val="1"/>
        </w:numPr>
        <w:jc w:val="both"/>
      </w:pPr>
      <w:r>
        <w:t>białej na nawierzchni betonowej, co najmniej 160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>,</w:t>
      </w:r>
    </w:p>
    <w:p w:rsidR="00FC2A24" w:rsidRDefault="00FC2A24">
      <w:pPr>
        <w:numPr>
          <w:ilvl w:val="0"/>
          <w:numId w:val="1"/>
        </w:numPr>
        <w:jc w:val="both"/>
      </w:pPr>
      <w:r>
        <w:t>żółtej, co najmniej 100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>.</w:t>
      </w:r>
    </w:p>
    <w:p w:rsidR="00FC2A24" w:rsidRDefault="00FC2A24">
      <w:pPr>
        <w:jc w:val="both"/>
      </w:pPr>
      <w:r>
        <w:tab/>
        <w:t xml:space="preserve">Pomiar współczynnika luminancji w świetle rozproszonym może być zastąpiony pomiarem współczynnika luminancji </w:t>
      </w:r>
      <w:r>
        <w:sym w:font="Symbol" w:char="F062"/>
      </w:r>
      <w:r>
        <w:t xml:space="preserve">, wg POD-97 [4]. Wartość współczynnika </w:t>
      </w:r>
      <w:r>
        <w:sym w:font="Symbol" w:char="F062"/>
      </w:r>
      <w:r>
        <w:t xml:space="preserve"> powinna wynosić dla oznakowania świeżego, barwy:</w:t>
      </w:r>
    </w:p>
    <w:p w:rsidR="00FC2A24" w:rsidRDefault="00FC2A24">
      <w:pPr>
        <w:numPr>
          <w:ilvl w:val="0"/>
          <w:numId w:val="1"/>
        </w:numPr>
        <w:jc w:val="both"/>
      </w:pPr>
      <w:r>
        <w:t>białej, co najmniej 0,60,</w:t>
      </w:r>
    </w:p>
    <w:p w:rsidR="00FC2A24" w:rsidRDefault="00FC2A24">
      <w:pPr>
        <w:numPr>
          <w:ilvl w:val="0"/>
          <w:numId w:val="1"/>
        </w:numPr>
        <w:jc w:val="both"/>
      </w:pPr>
      <w:r>
        <w:t>żółtej, co najmniej 0,40.</w:t>
      </w:r>
    </w:p>
    <w:p w:rsidR="00FC2A24" w:rsidRDefault="00FC2A24">
      <w:pPr>
        <w:jc w:val="both"/>
      </w:pPr>
      <w:r>
        <w:tab/>
        <w:t xml:space="preserve">Wartość współczynnika </w:t>
      </w:r>
      <w:r>
        <w:sym w:font="Symbol" w:char="F062"/>
      </w:r>
      <w:r>
        <w:t xml:space="preserve"> powinna wynosić dla oznakowania używanego barwy:</w:t>
      </w:r>
    </w:p>
    <w:p w:rsidR="00FC2A24" w:rsidRDefault="00FC2A24">
      <w:pPr>
        <w:numPr>
          <w:ilvl w:val="0"/>
          <w:numId w:val="1"/>
        </w:numPr>
        <w:jc w:val="both"/>
      </w:pPr>
      <w:r>
        <w:t>białej, po 12 miesiącach używalności, co najmniej 0,30,</w:t>
      </w:r>
    </w:p>
    <w:p w:rsidR="00FC2A24" w:rsidRDefault="00FC2A24">
      <w:pPr>
        <w:numPr>
          <w:ilvl w:val="0"/>
          <w:numId w:val="1"/>
        </w:numPr>
        <w:jc w:val="both"/>
      </w:pPr>
      <w:r>
        <w:t>żółtej, po 1 miesiącu używalności, co najmniej 0,20.</w:t>
      </w:r>
    </w:p>
    <w:p w:rsidR="00FC2A24" w:rsidRDefault="00FC2A24">
      <w:pPr>
        <w:jc w:val="both"/>
      </w:pPr>
      <w:r>
        <w:tab/>
        <w:t>Barwa oznakowania powinna być określona wg POD-97 [4] przez współrzędne chromatyczności x i y, które dla suchego oznakowania powinny leżeć w obszarze zdefiniowanym przez cztery punkty narożne:</w:t>
      </w:r>
    </w:p>
    <w:p w:rsidR="00661F2B" w:rsidRDefault="00661F2B">
      <w:pPr>
        <w:jc w:val="both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062"/>
        <w:gridCol w:w="1062"/>
        <w:gridCol w:w="1062"/>
        <w:gridCol w:w="1062"/>
        <w:gridCol w:w="1062"/>
      </w:tblGrid>
      <w:tr w:rsidR="00FC2A24">
        <w:tc>
          <w:tcPr>
            <w:tcW w:w="2197" w:type="dxa"/>
          </w:tcPr>
          <w:p w:rsidR="00FC2A24" w:rsidRDefault="00FC2A24">
            <w:pPr>
              <w:spacing w:after="60"/>
              <w:jc w:val="both"/>
            </w:pPr>
            <w:r>
              <w:t>Punkt narożny</w:t>
            </w:r>
          </w:p>
        </w:tc>
        <w:tc>
          <w:tcPr>
            <w:tcW w:w="1062" w:type="dxa"/>
          </w:tcPr>
          <w:p w:rsidR="00FC2A24" w:rsidRDefault="00FC2A24">
            <w:pPr>
              <w:spacing w:after="60"/>
              <w:jc w:val="both"/>
            </w:pPr>
          </w:p>
        </w:tc>
        <w:tc>
          <w:tcPr>
            <w:tcW w:w="1062" w:type="dxa"/>
          </w:tcPr>
          <w:p w:rsidR="00FC2A24" w:rsidRDefault="00FC2A24">
            <w:pPr>
              <w:spacing w:after="60"/>
              <w:jc w:val="both"/>
            </w:pPr>
            <w:r>
              <w:t>1</w:t>
            </w:r>
          </w:p>
        </w:tc>
        <w:tc>
          <w:tcPr>
            <w:tcW w:w="1062" w:type="dxa"/>
          </w:tcPr>
          <w:p w:rsidR="00FC2A24" w:rsidRDefault="00FC2A24">
            <w:pPr>
              <w:spacing w:after="60"/>
              <w:jc w:val="both"/>
            </w:pPr>
            <w:r>
              <w:t>2</w:t>
            </w:r>
          </w:p>
        </w:tc>
        <w:tc>
          <w:tcPr>
            <w:tcW w:w="1062" w:type="dxa"/>
          </w:tcPr>
          <w:p w:rsidR="00FC2A24" w:rsidRDefault="00FC2A24">
            <w:pPr>
              <w:spacing w:after="60"/>
              <w:jc w:val="both"/>
            </w:pPr>
            <w:r>
              <w:t>3</w:t>
            </w:r>
          </w:p>
        </w:tc>
        <w:tc>
          <w:tcPr>
            <w:tcW w:w="1062" w:type="dxa"/>
          </w:tcPr>
          <w:p w:rsidR="00FC2A24" w:rsidRDefault="00FC2A24">
            <w:pPr>
              <w:spacing w:after="60"/>
              <w:jc w:val="both"/>
            </w:pPr>
            <w:r>
              <w:t>4</w:t>
            </w:r>
          </w:p>
        </w:tc>
      </w:tr>
      <w:tr w:rsidR="00FC2A24">
        <w:tc>
          <w:tcPr>
            <w:tcW w:w="2197" w:type="dxa"/>
          </w:tcPr>
          <w:p w:rsidR="00FC2A24" w:rsidRDefault="00FC2A24">
            <w:pPr>
              <w:jc w:val="both"/>
            </w:pPr>
            <w:r>
              <w:t>Oznakowanie białe:</w:t>
            </w:r>
          </w:p>
        </w:tc>
        <w:tc>
          <w:tcPr>
            <w:tcW w:w="1062" w:type="dxa"/>
          </w:tcPr>
          <w:p w:rsidR="00FC2A24" w:rsidRDefault="00FC2A24">
            <w:pPr>
              <w:jc w:val="both"/>
            </w:pPr>
            <w:r>
              <w:t>x</w:t>
            </w:r>
          </w:p>
          <w:p w:rsidR="00FC2A24" w:rsidRDefault="00FC2A24">
            <w:pPr>
              <w:spacing w:after="60"/>
              <w:jc w:val="both"/>
            </w:pPr>
            <w:r>
              <w:t>y</w:t>
            </w:r>
          </w:p>
        </w:tc>
        <w:tc>
          <w:tcPr>
            <w:tcW w:w="1062" w:type="dxa"/>
          </w:tcPr>
          <w:p w:rsidR="00FC2A24" w:rsidRDefault="00FC2A24">
            <w:pPr>
              <w:jc w:val="both"/>
            </w:pPr>
            <w:r>
              <w:t>0,4</w:t>
            </w:r>
          </w:p>
          <w:p w:rsidR="00FC2A24" w:rsidRDefault="00FC2A24">
            <w:pPr>
              <w:jc w:val="both"/>
            </w:pPr>
            <w:r>
              <w:t>0,4</w:t>
            </w:r>
          </w:p>
        </w:tc>
        <w:tc>
          <w:tcPr>
            <w:tcW w:w="1062" w:type="dxa"/>
          </w:tcPr>
          <w:p w:rsidR="00FC2A24" w:rsidRDefault="00FC2A24">
            <w:pPr>
              <w:jc w:val="both"/>
            </w:pPr>
            <w:r>
              <w:t>0,3</w:t>
            </w:r>
          </w:p>
          <w:p w:rsidR="00FC2A24" w:rsidRDefault="00FC2A24">
            <w:pPr>
              <w:jc w:val="both"/>
            </w:pPr>
            <w:r>
              <w:t>0,3</w:t>
            </w:r>
          </w:p>
        </w:tc>
        <w:tc>
          <w:tcPr>
            <w:tcW w:w="1062" w:type="dxa"/>
          </w:tcPr>
          <w:p w:rsidR="00FC2A24" w:rsidRDefault="00FC2A24">
            <w:pPr>
              <w:jc w:val="both"/>
            </w:pPr>
            <w:r>
              <w:t>0,3</w:t>
            </w:r>
          </w:p>
          <w:p w:rsidR="00FC2A24" w:rsidRDefault="00FC2A24">
            <w:pPr>
              <w:jc w:val="both"/>
            </w:pPr>
            <w:r>
              <w:t>0,3</w:t>
            </w:r>
          </w:p>
        </w:tc>
        <w:tc>
          <w:tcPr>
            <w:tcW w:w="1062" w:type="dxa"/>
          </w:tcPr>
          <w:p w:rsidR="00FC2A24" w:rsidRDefault="00FC2A24">
            <w:pPr>
              <w:jc w:val="both"/>
            </w:pPr>
            <w:r>
              <w:t>0,34</w:t>
            </w:r>
          </w:p>
          <w:p w:rsidR="00FC2A24" w:rsidRDefault="00FC2A24">
            <w:pPr>
              <w:jc w:val="both"/>
            </w:pPr>
            <w:r>
              <w:t>0,38</w:t>
            </w:r>
          </w:p>
        </w:tc>
      </w:tr>
      <w:tr w:rsidR="00FC2A24">
        <w:tc>
          <w:tcPr>
            <w:tcW w:w="2197" w:type="dxa"/>
          </w:tcPr>
          <w:p w:rsidR="00FC2A24" w:rsidRDefault="00FC2A24">
            <w:pPr>
              <w:jc w:val="both"/>
            </w:pPr>
            <w:r>
              <w:t>Oznakowanie żółte:</w:t>
            </w:r>
          </w:p>
        </w:tc>
        <w:tc>
          <w:tcPr>
            <w:tcW w:w="1062" w:type="dxa"/>
          </w:tcPr>
          <w:p w:rsidR="00FC2A24" w:rsidRDefault="00FC2A24">
            <w:pPr>
              <w:jc w:val="both"/>
            </w:pPr>
            <w:r>
              <w:t>x</w:t>
            </w:r>
          </w:p>
          <w:p w:rsidR="00FC2A24" w:rsidRDefault="00FC2A24">
            <w:pPr>
              <w:jc w:val="both"/>
            </w:pPr>
            <w:r>
              <w:t>y</w:t>
            </w:r>
          </w:p>
        </w:tc>
        <w:tc>
          <w:tcPr>
            <w:tcW w:w="1062" w:type="dxa"/>
          </w:tcPr>
          <w:p w:rsidR="00FC2A24" w:rsidRDefault="00FC2A24">
            <w:pPr>
              <w:jc w:val="both"/>
            </w:pPr>
            <w:r>
              <w:t>0,5</w:t>
            </w:r>
          </w:p>
          <w:p w:rsidR="00FC2A24" w:rsidRDefault="00FC2A24">
            <w:pPr>
              <w:jc w:val="both"/>
            </w:pPr>
            <w:r>
              <w:t>0,4</w:t>
            </w:r>
          </w:p>
        </w:tc>
        <w:tc>
          <w:tcPr>
            <w:tcW w:w="1062" w:type="dxa"/>
          </w:tcPr>
          <w:p w:rsidR="00FC2A24" w:rsidRDefault="00FC2A24">
            <w:pPr>
              <w:jc w:val="both"/>
            </w:pPr>
            <w:r>
              <w:t>0,5</w:t>
            </w:r>
          </w:p>
          <w:p w:rsidR="00FC2A24" w:rsidRDefault="00FC2A24">
            <w:pPr>
              <w:jc w:val="both"/>
            </w:pPr>
            <w:r>
              <w:t>0,5</w:t>
            </w:r>
          </w:p>
        </w:tc>
        <w:tc>
          <w:tcPr>
            <w:tcW w:w="1062" w:type="dxa"/>
          </w:tcPr>
          <w:p w:rsidR="00FC2A24" w:rsidRDefault="00FC2A24">
            <w:pPr>
              <w:jc w:val="both"/>
            </w:pPr>
            <w:r>
              <w:t>0,5</w:t>
            </w:r>
          </w:p>
          <w:p w:rsidR="00FC2A24" w:rsidRDefault="00FC2A24">
            <w:pPr>
              <w:jc w:val="both"/>
            </w:pPr>
            <w:r>
              <w:t>0,5</w:t>
            </w:r>
          </w:p>
        </w:tc>
        <w:tc>
          <w:tcPr>
            <w:tcW w:w="1062" w:type="dxa"/>
          </w:tcPr>
          <w:p w:rsidR="00FC2A24" w:rsidRDefault="00FC2A24">
            <w:pPr>
              <w:jc w:val="both"/>
            </w:pPr>
            <w:r>
              <w:t>0,43</w:t>
            </w:r>
          </w:p>
          <w:p w:rsidR="00FC2A24" w:rsidRDefault="00FC2A24">
            <w:pPr>
              <w:jc w:val="both"/>
            </w:pPr>
            <w:r>
              <w:t>0,48</w:t>
            </w:r>
          </w:p>
        </w:tc>
      </w:tr>
    </w:tbl>
    <w:p w:rsidR="00FC2A24" w:rsidRDefault="00FC2A24">
      <w:pPr>
        <w:spacing w:before="120" w:after="120"/>
        <w:jc w:val="both"/>
      </w:pPr>
      <w:r>
        <w:t>6.3.1.2. Widzialność w nocy</w:t>
      </w:r>
    </w:p>
    <w:p w:rsidR="00FC2A24" w:rsidRDefault="00FC2A24">
      <w:pPr>
        <w:jc w:val="both"/>
      </w:pPr>
      <w:r>
        <w:tab/>
        <w:t>Za miarę widzialności w nocy przyjęto powierzchniowy współczynnik odblasku R</w:t>
      </w:r>
      <w:r>
        <w:rPr>
          <w:vertAlign w:val="subscript"/>
        </w:rPr>
        <w:t>L</w:t>
      </w:r>
      <w:r>
        <w:t>, określany wg POD-97 [4].</w:t>
      </w:r>
    </w:p>
    <w:p w:rsidR="00FC2A24" w:rsidRDefault="00FC2A24">
      <w:pPr>
        <w:jc w:val="both"/>
      </w:pPr>
      <w:r>
        <w:tab/>
        <w:t>Wartość współczynnika R</w:t>
      </w:r>
      <w:r>
        <w:rPr>
          <w:vertAlign w:val="subscript"/>
        </w:rPr>
        <w:t>L</w:t>
      </w:r>
      <w:r>
        <w:t xml:space="preserve"> powinna wynosić dla oznakowania świeżego w stanie suchym, barwy:</w:t>
      </w:r>
    </w:p>
    <w:p w:rsidR="00FC2A24" w:rsidRDefault="00FC2A24">
      <w:pPr>
        <w:numPr>
          <w:ilvl w:val="0"/>
          <w:numId w:val="1"/>
        </w:numPr>
        <w:jc w:val="both"/>
      </w:pPr>
      <w:r>
        <w:t xml:space="preserve">białej, co najmniej </w:t>
      </w:r>
      <w:r w:rsidR="004462B2">
        <w:t>150</w:t>
      </w:r>
      <w:r>
        <w:t xml:space="preserve">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>,</w:t>
      </w:r>
    </w:p>
    <w:p w:rsidR="00FC2A24" w:rsidRDefault="00FC2A24">
      <w:pPr>
        <w:numPr>
          <w:ilvl w:val="0"/>
          <w:numId w:val="1"/>
        </w:numPr>
        <w:jc w:val="both"/>
      </w:pPr>
      <w:r>
        <w:t xml:space="preserve">żółtej, co najmniej </w:t>
      </w:r>
      <w:r w:rsidR="004462B2">
        <w:t>100</w:t>
      </w:r>
      <w:r>
        <w:t xml:space="preserve">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>.</w:t>
      </w:r>
    </w:p>
    <w:p w:rsidR="00FC2A24" w:rsidRDefault="00FC2A24">
      <w:pPr>
        <w:jc w:val="both"/>
      </w:pPr>
      <w:r>
        <w:tab/>
        <w:t>Wartość współczynnika R</w:t>
      </w:r>
      <w:r>
        <w:rPr>
          <w:vertAlign w:val="subscript"/>
        </w:rPr>
        <w:t>L</w:t>
      </w:r>
      <w:r>
        <w:t xml:space="preserve"> powinna wynosić dla oznakowania używanego:</w:t>
      </w:r>
    </w:p>
    <w:p w:rsidR="00FC2A24" w:rsidRDefault="00FC2A24">
      <w:pPr>
        <w:jc w:val="both"/>
      </w:pPr>
      <w:r>
        <w:t>a) cienko- i grubowarstwowego barwy:</w:t>
      </w:r>
    </w:p>
    <w:p w:rsidR="00FC2A24" w:rsidRDefault="00FC2A24">
      <w:pPr>
        <w:numPr>
          <w:ilvl w:val="0"/>
          <w:numId w:val="1"/>
        </w:numPr>
        <w:jc w:val="both"/>
      </w:pPr>
      <w:r>
        <w:t xml:space="preserve">białej, po </w:t>
      </w:r>
      <w:r w:rsidR="00075A3C">
        <w:t>9</w:t>
      </w:r>
      <w:r>
        <w:t xml:space="preserve"> miesiącach eksploatacji, co najmniej 100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>,</w:t>
      </w:r>
    </w:p>
    <w:p w:rsidR="00FC2A24" w:rsidRDefault="00FC2A24">
      <w:pPr>
        <w:spacing w:before="120"/>
        <w:jc w:val="both"/>
      </w:pPr>
      <w:r>
        <w:t>6.3.1.3. Szorstkość oznakowania</w:t>
      </w:r>
    </w:p>
    <w:p w:rsidR="00FC2A24" w:rsidRDefault="00FC2A24">
      <w:pPr>
        <w:spacing w:before="120"/>
        <w:jc w:val="both"/>
      </w:pPr>
      <w:r>
        <w:tab/>
        <w:t>Miarą szorstkości oznakowania jest wartość wskaźnika szorstkości SRT (</w:t>
      </w:r>
      <w:proofErr w:type="spellStart"/>
      <w:r>
        <w:t>Skid</w:t>
      </w:r>
      <w:proofErr w:type="spellEnd"/>
      <w:r>
        <w:t xml:space="preserve"> </w:t>
      </w:r>
      <w:proofErr w:type="spellStart"/>
      <w:r>
        <w:t>Resistance</w:t>
      </w:r>
      <w:proofErr w:type="spellEnd"/>
      <w:r>
        <w:t xml:space="preserve"> Tester) mierzona wahadłem angielskim, wg POD-97 [4]. Wartość SRT symuluje warunki, w których pojazd wyposażony w typowe opony hamuje z blokadą kół przy prędkości </w:t>
      </w:r>
      <w:smartTag w:uri="urn:schemas-microsoft-com:office:smarttags" w:element="metricconverter">
        <w:smartTagPr>
          <w:attr w:name="ProductID" w:val="50 km/h"/>
        </w:smartTagPr>
        <w:r>
          <w:t>50 km/h</w:t>
        </w:r>
      </w:smartTag>
      <w:r>
        <w:t xml:space="preserve"> na mokrej  nawierzchni.</w:t>
      </w:r>
    </w:p>
    <w:p w:rsidR="00FC2A24" w:rsidRDefault="00FC2A24">
      <w:pPr>
        <w:jc w:val="both"/>
      </w:pPr>
      <w:r>
        <w:tab/>
        <w:t>Wymaga się, aby wartość wskaźnika szorstkości SRT wynosiła na oznakowaniu:</w:t>
      </w:r>
    </w:p>
    <w:p w:rsidR="00FC2A24" w:rsidRDefault="00FC2A24">
      <w:pPr>
        <w:numPr>
          <w:ilvl w:val="0"/>
          <w:numId w:val="1"/>
        </w:numPr>
        <w:jc w:val="both"/>
      </w:pPr>
      <w:r>
        <w:t>świeżym, co najmniej 50 jednostek SRT,</w:t>
      </w:r>
    </w:p>
    <w:p w:rsidR="00FC2A24" w:rsidRDefault="00FC2A24">
      <w:pPr>
        <w:numPr>
          <w:ilvl w:val="0"/>
          <w:numId w:val="1"/>
        </w:numPr>
        <w:jc w:val="both"/>
      </w:pPr>
      <w:r>
        <w:t>używanym, w ciągu całego okresu użytkowania, co najmniej 45 jednostek SRT.</w:t>
      </w:r>
    </w:p>
    <w:p w:rsidR="00FC2A24" w:rsidRDefault="00FC2A24">
      <w:pPr>
        <w:jc w:val="both"/>
      </w:pPr>
      <w:r>
        <w:tab/>
        <w:t>Dla punktowych elementów odblaskowych badań szorstkości nie wykonuje się.</w:t>
      </w:r>
    </w:p>
    <w:p w:rsidR="00FC2A24" w:rsidRDefault="00FC2A24">
      <w:pPr>
        <w:spacing w:before="120"/>
        <w:jc w:val="both"/>
      </w:pPr>
      <w:r>
        <w:t>6.3.1.4. Trwałość oznakowania</w:t>
      </w:r>
    </w:p>
    <w:p w:rsidR="00FC2A24" w:rsidRDefault="00FC2A24">
      <w:pPr>
        <w:spacing w:before="120"/>
        <w:jc w:val="both"/>
      </w:pPr>
      <w:r>
        <w:tab/>
        <w:t>Trwałość oznakowania oceniana jako stopień zużycia w 10-stopniowej skali na zasadzie porównania z wzorcami, wg POD-97 [4], powinna wynosić po 12-miesięcznym okresie eksploatacji oznakowania wykonanego:</w:t>
      </w:r>
    </w:p>
    <w:p w:rsidR="00FC2A24" w:rsidRDefault="00FC2A24">
      <w:pPr>
        <w:numPr>
          <w:ilvl w:val="0"/>
          <w:numId w:val="1"/>
        </w:numPr>
        <w:jc w:val="both"/>
      </w:pPr>
      <w:r>
        <w:t>farbami wodorozcieńczalnymi, co najmniej 5,</w:t>
      </w:r>
    </w:p>
    <w:p w:rsidR="00FC2A24" w:rsidRDefault="00FC2A24">
      <w:pPr>
        <w:numPr>
          <w:ilvl w:val="0"/>
          <w:numId w:val="1"/>
        </w:numPr>
        <w:jc w:val="both"/>
      </w:pPr>
      <w:r>
        <w:t>pozostałymi materiałami, co najmniej 6.</w:t>
      </w:r>
    </w:p>
    <w:p w:rsidR="00FC2A24" w:rsidRDefault="00FC2A24">
      <w:pPr>
        <w:keepNext/>
        <w:spacing w:before="120"/>
        <w:jc w:val="both"/>
      </w:pPr>
      <w:r>
        <w:t>6.3.1.5. Czas schnięcia oznakowania (wzgl. czas przejezdności oznakowania)</w:t>
      </w:r>
    </w:p>
    <w:p w:rsidR="00FC2A24" w:rsidRDefault="00FC2A24">
      <w:pPr>
        <w:spacing w:before="120"/>
        <w:jc w:val="both"/>
      </w:pPr>
      <w:r>
        <w:tab/>
        <w:t>Za czas schnięcia oznakowania przyjmuje się czas upływający między wykonaniem oznakowania a jego oddaniem do ruchu.</w:t>
      </w:r>
    </w:p>
    <w:p w:rsidR="00FC2A24" w:rsidRDefault="00FC2A24">
      <w:pPr>
        <w:jc w:val="both"/>
      </w:pPr>
      <w:r>
        <w:tab/>
        <w:t>Czas schnięcia oznakowania nie powinien przekraczać czasu gwarantowanego przez producenta, z tym że nie może przekraczać 2 godzin.</w:t>
      </w:r>
    </w:p>
    <w:p w:rsidR="00FC2A24" w:rsidRDefault="00FC2A24">
      <w:pPr>
        <w:spacing w:before="120"/>
        <w:jc w:val="both"/>
      </w:pPr>
      <w:r>
        <w:t>6.3.1.6. Grubość oznakowania</w:t>
      </w:r>
    </w:p>
    <w:p w:rsidR="00FC2A24" w:rsidRDefault="00FC2A24">
      <w:pPr>
        <w:spacing w:before="120"/>
        <w:jc w:val="both"/>
      </w:pPr>
      <w:r>
        <w:tab/>
        <w:t>Grubość oznakowania, tj. podwyższenie ponad górną powierzchnię nawierzchni, powinna wynosić dla:</w:t>
      </w:r>
    </w:p>
    <w:p w:rsidR="00FC2A24" w:rsidRDefault="00FC2A24">
      <w:pPr>
        <w:numPr>
          <w:ilvl w:val="0"/>
          <w:numId w:val="3"/>
        </w:numPr>
        <w:jc w:val="both"/>
      </w:pPr>
      <w:r>
        <w:t xml:space="preserve">oznakowania cienkowarstwowego (grubość na mokro bez kulek szklanych), co najwyżej 800 </w:t>
      </w:r>
      <w:r>
        <w:sym w:font="Symbol" w:char="F06D"/>
      </w:r>
      <w:r>
        <w:t>m,</w:t>
      </w:r>
    </w:p>
    <w:p w:rsidR="00FC2A24" w:rsidRDefault="00FC2A24">
      <w:pPr>
        <w:numPr>
          <w:ilvl w:val="0"/>
          <w:numId w:val="3"/>
        </w:numPr>
        <w:jc w:val="both"/>
      </w:pPr>
      <w:r>
        <w:t xml:space="preserve">oznakowania grubowarstwowego, co najwyżej </w:t>
      </w:r>
      <w:smartTag w:uri="urn:schemas-microsoft-com:office:smarttags" w:element="metricconverter">
        <w:smartTagPr>
          <w:attr w:name="ProductID" w:val="5 mm"/>
        </w:smartTagPr>
        <w:r>
          <w:t>5 mm</w:t>
        </w:r>
      </w:smartTag>
      <w:r>
        <w:t>,</w:t>
      </w:r>
    </w:p>
    <w:p w:rsidR="00FC2A24" w:rsidRDefault="00FC2A24">
      <w:pPr>
        <w:numPr>
          <w:ilvl w:val="0"/>
          <w:numId w:val="3"/>
        </w:numPr>
        <w:jc w:val="both"/>
      </w:pPr>
      <w:r>
        <w:t xml:space="preserve">punktowych elementów odblaskowych umieszczanych na części jezdnej drogi, co najwyżej </w:t>
      </w:r>
      <w:smartTag w:uri="urn:schemas-microsoft-com:office:smarttags" w:element="metricconverter">
        <w:smartTagPr>
          <w:attr w:name="ProductID" w:val="15 mm"/>
        </w:smartTagPr>
        <w:r>
          <w:t>15 mm</w:t>
        </w:r>
      </w:smartTag>
      <w:r>
        <w:t xml:space="preserve">, a w uzasadnionych przypadkach ustalonych w dokumentacji projektowej, co najwyżej </w:t>
      </w:r>
      <w:smartTag w:uri="urn:schemas-microsoft-com:office:smarttags" w:element="metricconverter">
        <w:smartTagPr>
          <w:attr w:name="ProductID" w:val="25 mm"/>
        </w:smartTagPr>
        <w:r>
          <w:t>25 mm</w:t>
        </w:r>
      </w:smartTag>
      <w:r>
        <w:t>.</w:t>
      </w:r>
    </w:p>
    <w:p w:rsidR="00FC2A24" w:rsidRDefault="00FC2A24">
      <w:pPr>
        <w:jc w:val="both"/>
      </w:pPr>
      <w:r>
        <w:tab/>
        <w:t>Wymagania te nie obowiązują, jeśli nawierzchnia pod znakowaniem jest wyfrezowana.</w:t>
      </w:r>
    </w:p>
    <w:p w:rsidR="00FC2A24" w:rsidRDefault="00FC2A24">
      <w:pPr>
        <w:spacing w:before="120"/>
        <w:jc w:val="both"/>
      </w:pPr>
      <w:r>
        <w:rPr>
          <w:b/>
        </w:rPr>
        <w:t xml:space="preserve">6.3.2. </w:t>
      </w:r>
      <w:r>
        <w:t>Badania wykonania znakowania poziomego z materiału cienkowarstwowego lub</w:t>
      </w:r>
    </w:p>
    <w:p w:rsidR="00FC2A24" w:rsidRDefault="00FC2A24">
      <w:pPr>
        <w:jc w:val="both"/>
      </w:pPr>
      <w:r>
        <w:t xml:space="preserve">           grubowarstwowego</w:t>
      </w:r>
    </w:p>
    <w:p w:rsidR="00FC2A24" w:rsidRDefault="00FC2A24">
      <w:pPr>
        <w:spacing w:before="120"/>
        <w:jc w:val="both"/>
      </w:pPr>
      <w:r>
        <w:tab/>
        <w:t>Wykonawca wykonując znakowanie poziome z materiału cienko- lub grubowarstwowego przeprowadza przed rozpoczęciem każdej pracy oraz w czasie jej wykonywania, co najmniej raz dziennie, lub zgodnie z ustaleniem SST, następujące badania:</w:t>
      </w:r>
    </w:p>
    <w:p w:rsidR="00FC2A24" w:rsidRDefault="00FC2A24">
      <w:pPr>
        <w:jc w:val="both"/>
      </w:pPr>
      <w:r>
        <w:t>a) przed rozpoczęciem pracy:</w:t>
      </w:r>
    </w:p>
    <w:p w:rsidR="00FC2A24" w:rsidRDefault="00FC2A24">
      <w:pPr>
        <w:numPr>
          <w:ilvl w:val="0"/>
          <w:numId w:val="1"/>
        </w:numPr>
        <w:jc w:val="both"/>
      </w:pPr>
      <w:r>
        <w:t>sprawdzenie oznakowania opakowań,</w:t>
      </w:r>
    </w:p>
    <w:p w:rsidR="00FC2A24" w:rsidRDefault="00FC2A24">
      <w:pPr>
        <w:numPr>
          <w:ilvl w:val="0"/>
          <w:numId w:val="1"/>
        </w:numPr>
        <w:jc w:val="both"/>
      </w:pPr>
      <w:r>
        <w:t>wizualną ocenę stanu  materiału, w zakresie jego jednorodności i widocznych wad,</w:t>
      </w:r>
    </w:p>
    <w:p w:rsidR="00FC2A24" w:rsidRDefault="00FC2A24">
      <w:pPr>
        <w:numPr>
          <w:ilvl w:val="0"/>
          <w:numId w:val="1"/>
        </w:numPr>
        <w:jc w:val="both"/>
      </w:pPr>
      <w:r>
        <w:t>pomiar wilgotności względnej powietrza,</w:t>
      </w:r>
    </w:p>
    <w:p w:rsidR="00FC2A24" w:rsidRDefault="00FC2A24">
      <w:pPr>
        <w:numPr>
          <w:ilvl w:val="0"/>
          <w:numId w:val="1"/>
        </w:numPr>
        <w:jc w:val="both"/>
      </w:pPr>
      <w:r>
        <w:t>pomiar temperatury powietrza i nawierzchni,</w:t>
      </w:r>
    </w:p>
    <w:p w:rsidR="00FC2A24" w:rsidRDefault="00FC2A24">
      <w:pPr>
        <w:numPr>
          <w:ilvl w:val="0"/>
          <w:numId w:val="1"/>
        </w:numPr>
        <w:jc w:val="both"/>
      </w:pPr>
      <w:r>
        <w:t>badanie lepkości farby (cienkowarstwowej), wg POD-97 [4],</w:t>
      </w:r>
    </w:p>
    <w:p w:rsidR="00FC2A24" w:rsidRDefault="00FC2A24">
      <w:pPr>
        <w:jc w:val="both"/>
      </w:pPr>
      <w:r>
        <w:t>b) w czasie wykonywania pracy:</w:t>
      </w:r>
    </w:p>
    <w:p w:rsidR="00FC2A24" w:rsidRDefault="00FC2A24">
      <w:pPr>
        <w:numPr>
          <w:ilvl w:val="0"/>
          <w:numId w:val="1"/>
        </w:numPr>
        <w:jc w:val="both"/>
      </w:pPr>
      <w:r>
        <w:t>pomiar grubości warstwy oznakowania,</w:t>
      </w:r>
    </w:p>
    <w:p w:rsidR="00FC2A24" w:rsidRDefault="00FC2A24">
      <w:pPr>
        <w:numPr>
          <w:ilvl w:val="0"/>
          <w:numId w:val="1"/>
        </w:numPr>
        <w:jc w:val="both"/>
      </w:pPr>
      <w:r>
        <w:t>pomiar czasu schnięcia, wg POD-97 [4],</w:t>
      </w:r>
    </w:p>
    <w:p w:rsidR="00FC2A24" w:rsidRDefault="00FC2A24">
      <w:pPr>
        <w:numPr>
          <w:ilvl w:val="0"/>
          <w:numId w:val="1"/>
        </w:numPr>
        <w:jc w:val="both"/>
      </w:pPr>
      <w:r>
        <w:t>wizualną ocenę równomierności rozłożenia kulek szklanych,</w:t>
      </w:r>
    </w:p>
    <w:p w:rsidR="00FC2A24" w:rsidRDefault="00FC2A24">
      <w:pPr>
        <w:numPr>
          <w:ilvl w:val="0"/>
          <w:numId w:val="1"/>
        </w:numPr>
        <w:jc w:val="both"/>
      </w:pPr>
      <w:r>
        <w:t>pomiar poziomych wymiarów oznakowania, na zgodność z dokumentacją projektową i „Instrukcją o znakach drogowych poziomych” [3],</w:t>
      </w:r>
    </w:p>
    <w:p w:rsidR="00FC2A24" w:rsidRDefault="00FC2A24">
      <w:pPr>
        <w:numPr>
          <w:ilvl w:val="0"/>
          <w:numId w:val="1"/>
        </w:numPr>
        <w:jc w:val="both"/>
      </w:pPr>
      <w:r>
        <w:t>wizualną ocenę równomierności skropienia (rozłożenia materiału) na całej szerokości linii,</w:t>
      </w:r>
    </w:p>
    <w:p w:rsidR="00FC2A24" w:rsidRDefault="00FC2A24">
      <w:pPr>
        <w:numPr>
          <w:ilvl w:val="0"/>
          <w:numId w:val="1"/>
        </w:numPr>
        <w:jc w:val="both"/>
      </w:pPr>
      <w:r>
        <w:t>oznaczenia czasu przejezdności, wg POD-97 [4].</w:t>
      </w:r>
    </w:p>
    <w:p w:rsidR="00FC2A24" w:rsidRDefault="00FC2A24">
      <w:pPr>
        <w:jc w:val="both"/>
      </w:pPr>
      <w:r>
        <w:tab/>
        <w:t>Protokół z przeprowadzonych badań wraz z jedną próbką na blasze (300x250x0,8mm) Wykonawca powinien przechować do czasu upływu okresu gwarancji.</w:t>
      </w:r>
    </w:p>
    <w:p w:rsidR="00FC2A24" w:rsidRDefault="00FC2A24">
      <w:pPr>
        <w:jc w:val="both"/>
      </w:pPr>
      <w:r>
        <w:tab/>
        <w:t>W przypadku wątpliwości dotyczących wykonania oznakowania poziomego, Inżynier może zlecić wykonanie badań:</w:t>
      </w:r>
    </w:p>
    <w:p w:rsidR="00FC2A24" w:rsidRDefault="00FC2A24">
      <w:pPr>
        <w:numPr>
          <w:ilvl w:val="0"/>
          <w:numId w:val="1"/>
        </w:numPr>
        <w:jc w:val="both"/>
      </w:pPr>
      <w:r>
        <w:t>widzialności w dzień,</w:t>
      </w:r>
    </w:p>
    <w:p w:rsidR="00FC2A24" w:rsidRDefault="00FC2A24">
      <w:pPr>
        <w:numPr>
          <w:ilvl w:val="0"/>
          <w:numId w:val="1"/>
        </w:numPr>
        <w:jc w:val="both"/>
      </w:pPr>
      <w:r>
        <w:t>widzialności w nocy,</w:t>
      </w:r>
    </w:p>
    <w:p w:rsidR="00FC2A24" w:rsidRDefault="00FC2A24">
      <w:pPr>
        <w:numPr>
          <w:ilvl w:val="0"/>
          <w:numId w:val="1"/>
        </w:numPr>
        <w:jc w:val="both"/>
      </w:pPr>
      <w:r>
        <w:t>szorstkości,</w:t>
      </w:r>
    </w:p>
    <w:p w:rsidR="00FC2A24" w:rsidRDefault="00FC2A24">
      <w:pPr>
        <w:jc w:val="both"/>
      </w:pPr>
      <w:r>
        <w:t>odpowiadających wymaganiom podanym w punkcie 6.3.1 i wykonanych według metod określonych w „Warunkach technicznych POD-</w:t>
      </w:r>
      <w:smartTag w:uri="urn:schemas-microsoft-com:office:smarttags" w:element="metricconverter">
        <w:smartTagPr>
          <w:attr w:name="ProductID" w:val="97”"/>
        </w:smartTagPr>
        <w:r>
          <w:t>97”</w:t>
        </w:r>
      </w:smartTag>
      <w:r>
        <w:t xml:space="preserve"> [4]. Jeżeli wyniki tych badań wykażą wadliwość wykonanego oznakowania to koszt badań ponosi Wykonawca, w przypadku przeciwnym - Zamawiający.</w:t>
      </w:r>
    </w:p>
    <w:p w:rsidR="00FC2A24" w:rsidRDefault="00FC2A24">
      <w:pPr>
        <w:jc w:val="both"/>
      </w:pPr>
    </w:p>
    <w:p w:rsidR="00FC2A24" w:rsidRDefault="00FC2A24">
      <w:pPr>
        <w:spacing w:before="120" w:after="120"/>
        <w:jc w:val="both"/>
      </w:pPr>
      <w:r>
        <w:rPr>
          <w:b/>
        </w:rPr>
        <w:t xml:space="preserve">6.3.4. </w:t>
      </w:r>
      <w:r>
        <w:t>Zbiorcze zestawienie wymagań dla materiałów i wykonanego oznakowania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02"/>
        <w:gridCol w:w="1275"/>
        <w:gridCol w:w="1171"/>
        <w:gridCol w:w="1163"/>
        <w:gridCol w:w="8"/>
      </w:tblGrid>
      <w:tr w:rsidR="00FC2A24">
        <w:trPr>
          <w:gridAfter w:val="1"/>
          <w:wAfter w:w="8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</w:tcBorders>
          </w:tcPr>
          <w:p w:rsidR="00FC2A24" w:rsidRDefault="00FC2A24">
            <w:pPr>
              <w:rPr>
                <w:sz w:val="20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</w:tcBorders>
          </w:tcPr>
          <w:p w:rsidR="00FC2A24" w:rsidRDefault="00FC2A24">
            <w:pPr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</w:tcBorders>
          </w:tcPr>
          <w:p w:rsidR="00FC2A24" w:rsidRDefault="00FC2A24">
            <w:pPr>
              <w:rPr>
                <w:sz w:val="20"/>
              </w:rPr>
            </w:pPr>
          </w:p>
        </w:tc>
        <w:tc>
          <w:tcPr>
            <w:tcW w:w="2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Materiały do znakowania</w:t>
            </w:r>
          </w:p>
        </w:tc>
      </w:tr>
      <w:tr w:rsidR="00FC2A24">
        <w:tc>
          <w:tcPr>
            <w:tcW w:w="496" w:type="dxa"/>
            <w:tcBorders>
              <w:left w:val="single" w:sz="6" w:space="0" w:color="auto"/>
            </w:tcBorders>
          </w:tcPr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3402" w:type="dxa"/>
            <w:tcBorders>
              <w:left w:val="single" w:sz="6" w:space="0" w:color="auto"/>
            </w:tcBorders>
          </w:tcPr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Rodzaj wymagania</w:t>
            </w:r>
          </w:p>
        </w:tc>
        <w:tc>
          <w:tcPr>
            <w:tcW w:w="1275" w:type="dxa"/>
            <w:tcBorders>
              <w:left w:val="single" w:sz="6" w:space="0" w:color="auto"/>
            </w:tcBorders>
          </w:tcPr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 xml:space="preserve">Jednostka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2A24" w:rsidRDefault="00FC2A24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cienkowars</w:t>
            </w:r>
            <w:proofErr w:type="spellEnd"/>
            <w:r>
              <w:rPr>
                <w:sz w:val="20"/>
              </w:rPr>
              <w:t>-</w:t>
            </w:r>
          </w:p>
          <w:p w:rsidR="00FC2A24" w:rsidRDefault="00FC2A24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twowego</w:t>
            </w:r>
            <w:proofErr w:type="spellEnd"/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2A24" w:rsidRDefault="00FC2A24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grubowars</w:t>
            </w:r>
            <w:proofErr w:type="spellEnd"/>
            <w:r>
              <w:rPr>
                <w:sz w:val="20"/>
              </w:rPr>
              <w:t>-</w:t>
            </w:r>
          </w:p>
          <w:p w:rsidR="00FC2A24" w:rsidRDefault="00FC2A24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twowego</w:t>
            </w:r>
            <w:proofErr w:type="spellEnd"/>
          </w:p>
        </w:tc>
      </w:tr>
      <w:tr w:rsidR="00FC2A24">
        <w:tc>
          <w:tcPr>
            <w:tcW w:w="496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02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Zawartość składników lotnych w materiałach do znakowania</w:t>
            </w: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- rozpuszczalników organicznych</w:t>
            </w: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- rozpuszczalników aromatycznych</w:t>
            </w: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 xml:space="preserve">- benzenu i rozpuszczalników   </w:t>
            </w: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 xml:space="preserve">   chlorowanych</w:t>
            </w:r>
          </w:p>
        </w:tc>
        <w:tc>
          <w:tcPr>
            <w:tcW w:w="127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A24" w:rsidRDefault="00FC2A24">
            <w:pPr>
              <w:rPr>
                <w:sz w:val="20"/>
              </w:rPr>
            </w:pPr>
          </w:p>
          <w:p w:rsidR="00FC2A24" w:rsidRDefault="00FC2A24">
            <w:pPr>
              <w:rPr>
                <w:sz w:val="20"/>
              </w:rPr>
            </w:pP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% (m/m)</w:t>
            </w: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% (m/m)</w:t>
            </w: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% (m/m)</w:t>
            </w:r>
          </w:p>
        </w:tc>
        <w:tc>
          <w:tcPr>
            <w:tcW w:w="117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A24" w:rsidRDefault="00FC2A24">
            <w:pPr>
              <w:rPr>
                <w:sz w:val="20"/>
              </w:rPr>
            </w:pPr>
          </w:p>
          <w:p w:rsidR="00FC2A24" w:rsidRDefault="00FC2A24">
            <w:pPr>
              <w:rPr>
                <w:sz w:val="20"/>
              </w:rPr>
            </w:pP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sym w:font="Symbol" w:char="F0A3"/>
            </w:r>
            <w:r>
              <w:rPr>
                <w:sz w:val="20"/>
              </w:rPr>
              <w:t xml:space="preserve"> 30</w:t>
            </w: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sym w:font="Symbol" w:char="F0A3"/>
            </w:r>
            <w:r>
              <w:rPr>
                <w:sz w:val="20"/>
              </w:rPr>
              <w:t xml:space="preserve"> 10</w:t>
            </w: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71" w:type="dxa"/>
            <w:gridSpan w:val="2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A24" w:rsidRDefault="00FC2A24">
            <w:pPr>
              <w:rPr>
                <w:sz w:val="20"/>
              </w:rPr>
            </w:pPr>
          </w:p>
          <w:p w:rsidR="00FC2A24" w:rsidRDefault="00FC2A24">
            <w:pPr>
              <w:rPr>
                <w:sz w:val="20"/>
              </w:rPr>
            </w:pP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sym w:font="Symbol" w:char="F0A3"/>
            </w:r>
            <w:r>
              <w:rPr>
                <w:sz w:val="20"/>
              </w:rPr>
              <w:t xml:space="preserve"> 2</w:t>
            </w: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FC2A24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Współczynnik załamania światła kulek szklanych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A24" w:rsidRDefault="00FC2A24">
            <w:pPr>
              <w:spacing w:before="120"/>
              <w:rPr>
                <w:sz w:val="20"/>
              </w:rPr>
            </w:pPr>
            <w:proofErr w:type="spellStart"/>
            <w:r>
              <w:rPr>
                <w:sz w:val="20"/>
              </w:rPr>
              <w:t>współcz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A24" w:rsidRDefault="00FC2A24">
            <w:pPr>
              <w:spacing w:before="120"/>
              <w:rPr>
                <w:sz w:val="20"/>
              </w:rPr>
            </w:pPr>
            <w:r>
              <w:rPr>
                <w:sz w:val="20"/>
              </w:rPr>
              <w:sym w:font="Symbol" w:char="F03E"/>
            </w:r>
            <w:r>
              <w:rPr>
                <w:sz w:val="20"/>
              </w:rPr>
              <w:t xml:space="preserve"> 1,5</w:t>
            </w:r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A24" w:rsidRDefault="00FC2A24">
            <w:pPr>
              <w:spacing w:before="120"/>
              <w:rPr>
                <w:sz w:val="20"/>
              </w:rPr>
            </w:pPr>
            <w:r>
              <w:rPr>
                <w:sz w:val="20"/>
              </w:rPr>
              <w:sym w:font="Symbol" w:char="F03E"/>
            </w:r>
            <w:r>
              <w:rPr>
                <w:sz w:val="20"/>
              </w:rPr>
              <w:t xml:space="preserve"> 1,5</w:t>
            </w:r>
          </w:p>
        </w:tc>
      </w:tr>
      <w:tr w:rsidR="00FC2A24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Współczynnik luminancji Q w świetle rozproszonym dla oznakowania świeżego barwy:</w:t>
            </w: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- białej na nawierzchni asfaltowej</w:t>
            </w: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- żółtej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A24" w:rsidRDefault="00FC2A24">
            <w:pPr>
              <w:rPr>
                <w:sz w:val="20"/>
              </w:rPr>
            </w:pPr>
          </w:p>
          <w:p w:rsidR="00FC2A24" w:rsidRDefault="00FC2A24">
            <w:pPr>
              <w:rPr>
                <w:sz w:val="20"/>
              </w:rPr>
            </w:pPr>
          </w:p>
          <w:p w:rsidR="00FC2A24" w:rsidRDefault="00FC2A24">
            <w:pPr>
              <w:rPr>
                <w:sz w:val="20"/>
              </w:rPr>
            </w:pPr>
          </w:p>
          <w:p w:rsidR="00FC2A24" w:rsidRDefault="00FC2A24">
            <w:pPr>
              <w:rPr>
                <w:sz w:val="20"/>
                <w:vertAlign w:val="superscript"/>
              </w:rPr>
            </w:pPr>
            <w:r>
              <w:rPr>
                <w:sz w:val="20"/>
              </w:rPr>
              <w:t>mcd m</w:t>
            </w:r>
            <w:r>
              <w:rPr>
                <w:sz w:val="20"/>
                <w:vertAlign w:val="superscript"/>
              </w:rPr>
              <w:t>-2</w:t>
            </w:r>
            <w:r>
              <w:rPr>
                <w:sz w:val="20"/>
              </w:rPr>
              <w:t xml:space="preserve"> lx</w:t>
            </w:r>
            <w:r>
              <w:rPr>
                <w:sz w:val="20"/>
                <w:vertAlign w:val="superscript"/>
              </w:rPr>
              <w:t>-1</w:t>
            </w: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mcd m</w:t>
            </w:r>
            <w:r>
              <w:rPr>
                <w:sz w:val="20"/>
                <w:vertAlign w:val="superscript"/>
              </w:rPr>
              <w:t>-2</w:t>
            </w:r>
            <w:r>
              <w:rPr>
                <w:sz w:val="20"/>
              </w:rPr>
              <w:t xml:space="preserve"> lx</w:t>
            </w:r>
            <w:r>
              <w:rPr>
                <w:sz w:val="20"/>
                <w:vertAlign w:val="superscript"/>
              </w:rPr>
              <w:t>-1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A24" w:rsidRDefault="00FC2A24">
            <w:pPr>
              <w:rPr>
                <w:sz w:val="20"/>
              </w:rPr>
            </w:pPr>
          </w:p>
          <w:p w:rsidR="00FC2A24" w:rsidRDefault="00FC2A24">
            <w:pPr>
              <w:rPr>
                <w:sz w:val="20"/>
              </w:rPr>
            </w:pPr>
          </w:p>
          <w:p w:rsidR="00FC2A24" w:rsidRDefault="00FC2A24">
            <w:pPr>
              <w:rPr>
                <w:sz w:val="20"/>
              </w:rPr>
            </w:pP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sym w:font="Symbol" w:char="F0B3"/>
            </w:r>
            <w:r>
              <w:rPr>
                <w:sz w:val="20"/>
              </w:rPr>
              <w:t xml:space="preserve"> 130</w:t>
            </w: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sym w:font="Symbol" w:char="F0B3"/>
            </w:r>
            <w:r>
              <w:rPr>
                <w:sz w:val="20"/>
              </w:rPr>
              <w:t xml:space="preserve"> 100</w:t>
            </w:r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A24" w:rsidRDefault="00FC2A24">
            <w:pPr>
              <w:rPr>
                <w:sz w:val="20"/>
              </w:rPr>
            </w:pPr>
          </w:p>
          <w:p w:rsidR="00FC2A24" w:rsidRDefault="00FC2A24">
            <w:pPr>
              <w:rPr>
                <w:sz w:val="20"/>
              </w:rPr>
            </w:pPr>
          </w:p>
          <w:p w:rsidR="00FC2A24" w:rsidRDefault="00FC2A24">
            <w:pPr>
              <w:rPr>
                <w:sz w:val="20"/>
              </w:rPr>
            </w:pP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sym w:font="Symbol" w:char="F0B3"/>
            </w:r>
            <w:r>
              <w:rPr>
                <w:sz w:val="20"/>
              </w:rPr>
              <w:t xml:space="preserve"> 130</w:t>
            </w: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sym w:font="Symbol" w:char="F0B3"/>
            </w:r>
            <w:r>
              <w:rPr>
                <w:sz w:val="20"/>
              </w:rPr>
              <w:t xml:space="preserve"> 100</w:t>
            </w:r>
          </w:p>
        </w:tc>
      </w:tr>
      <w:tr w:rsidR="00FC2A24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 xml:space="preserve">Współczynnik luminancji </w:t>
            </w:r>
            <w:r>
              <w:rPr>
                <w:sz w:val="20"/>
              </w:rPr>
              <w:sym w:font="Symbol" w:char="F062"/>
            </w:r>
            <w:r>
              <w:rPr>
                <w:sz w:val="20"/>
              </w:rPr>
              <w:t xml:space="preserve"> dla oznakowania świeżego barwy</w:t>
            </w: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- białej</w:t>
            </w: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- żółtej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A24" w:rsidRDefault="00FC2A24">
            <w:pPr>
              <w:rPr>
                <w:sz w:val="20"/>
              </w:rPr>
            </w:pPr>
          </w:p>
          <w:p w:rsidR="00FC2A24" w:rsidRDefault="00FC2A24">
            <w:pPr>
              <w:rPr>
                <w:sz w:val="20"/>
              </w:rPr>
            </w:pPr>
          </w:p>
          <w:p w:rsidR="00FC2A24" w:rsidRDefault="00FC2A24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współcz</w:t>
            </w:r>
            <w:proofErr w:type="spellEnd"/>
            <w:r>
              <w:rPr>
                <w:sz w:val="20"/>
              </w:rPr>
              <w:t xml:space="preserve">. </w:t>
            </w:r>
            <w:r>
              <w:rPr>
                <w:sz w:val="20"/>
              </w:rPr>
              <w:sym w:font="Symbol" w:char="F062"/>
            </w:r>
          </w:p>
          <w:p w:rsidR="00FC2A24" w:rsidRDefault="00FC2A24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współcz</w:t>
            </w:r>
            <w:proofErr w:type="spellEnd"/>
            <w:r>
              <w:rPr>
                <w:sz w:val="20"/>
              </w:rPr>
              <w:t xml:space="preserve">. </w:t>
            </w:r>
            <w:r>
              <w:rPr>
                <w:sz w:val="20"/>
              </w:rPr>
              <w:sym w:font="Symbol" w:char="F062"/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A24" w:rsidRDefault="00FC2A24">
            <w:pPr>
              <w:rPr>
                <w:sz w:val="20"/>
              </w:rPr>
            </w:pPr>
          </w:p>
          <w:p w:rsidR="00FC2A24" w:rsidRDefault="00FC2A24">
            <w:pPr>
              <w:rPr>
                <w:sz w:val="20"/>
              </w:rPr>
            </w:pP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sym w:font="Symbol" w:char="F0B3"/>
            </w:r>
            <w:r>
              <w:rPr>
                <w:sz w:val="20"/>
              </w:rPr>
              <w:t xml:space="preserve"> 0,60</w:t>
            </w: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sym w:font="Symbol" w:char="F0B3"/>
            </w:r>
            <w:r>
              <w:rPr>
                <w:sz w:val="20"/>
              </w:rPr>
              <w:t xml:space="preserve"> 0,40</w:t>
            </w:r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A24" w:rsidRDefault="00FC2A24">
            <w:pPr>
              <w:rPr>
                <w:sz w:val="20"/>
              </w:rPr>
            </w:pPr>
          </w:p>
          <w:p w:rsidR="00FC2A24" w:rsidRDefault="00FC2A24">
            <w:pPr>
              <w:rPr>
                <w:sz w:val="20"/>
              </w:rPr>
            </w:pP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sym w:font="Symbol" w:char="F0B3"/>
            </w:r>
            <w:r>
              <w:rPr>
                <w:sz w:val="20"/>
              </w:rPr>
              <w:t xml:space="preserve"> 0,60</w:t>
            </w: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sym w:font="Symbol" w:char="F0B3"/>
            </w:r>
            <w:r>
              <w:rPr>
                <w:sz w:val="20"/>
              </w:rPr>
              <w:t xml:space="preserve"> 0,40</w:t>
            </w:r>
          </w:p>
        </w:tc>
      </w:tr>
      <w:tr w:rsidR="00FC2A24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Powierzchniowy współczynnik odblasku dla oznakowania świeżego w stanie suchym barwy:</w:t>
            </w: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- białej</w:t>
            </w: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- żółtej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A24" w:rsidRDefault="00FC2A24">
            <w:pPr>
              <w:rPr>
                <w:sz w:val="20"/>
              </w:rPr>
            </w:pPr>
          </w:p>
          <w:p w:rsidR="00FC2A24" w:rsidRDefault="00FC2A24">
            <w:pPr>
              <w:rPr>
                <w:sz w:val="20"/>
              </w:rPr>
            </w:pPr>
          </w:p>
          <w:p w:rsidR="00FC2A24" w:rsidRDefault="00FC2A24">
            <w:pPr>
              <w:rPr>
                <w:sz w:val="20"/>
              </w:rPr>
            </w:pPr>
          </w:p>
          <w:p w:rsidR="00FC2A24" w:rsidRDefault="00FC2A24">
            <w:pPr>
              <w:rPr>
                <w:sz w:val="20"/>
                <w:vertAlign w:val="superscript"/>
              </w:rPr>
            </w:pPr>
            <w:r>
              <w:rPr>
                <w:sz w:val="20"/>
              </w:rPr>
              <w:t>mcd m</w:t>
            </w:r>
            <w:r>
              <w:rPr>
                <w:sz w:val="20"/>
                <w:vertAlign w:val="superscript"/>
              </w:rPr>
              <w:t>-2</w:t>
            </w:r>
            <w:r>
              <w:rPr>
                <w:sz w:val="20"/>
              </w:rPr>
              <w:t xml:space="preserve"> lx</w:t>
            </w:r>
            <w:r>
              <w:rPr>
                <w:sz w:val="20"/>
                <w:vertAlign w:val="superscript"/>
              </w:rPr>
              <w:t>-1</w:t>
            </w: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mcd m</w:t>
            </w:r>
            <w:r>
              <w:rPr>
                <w:sz w:val="20"/>
                <w:vertAlign w:val="superscript"/>
              </w:rPr>
              <w:t>-2</w:t>
            </w:r>
            <w:r>
              <w:rPr>
                <w:sz w:val="20"/>
              </w:rPr>
              <w:t xml:space="preserve"> lx</w:t>
            </w:r>
            <w:r>
              <w:rPr>
                <w:sz w:val="20"/>
                <w:vertAlign w:val="superscript"/>
              </w:rPr>
              <w:t>-1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A24" w:rsidRDefault="00FC2A24">
            <w:pPr>
              <w:rPr>
                <w:sz w:val="20"/>
              </w:rPr>
            </w:pPr>
          </w:p>
          <w:p w:rsidR="00FC2A24" w:rsidRDefault="00FC2A24">
            <w:pPr>
              <w:rPr>
                <w:sz w:val="20"/>
              </w:rPr>
            </w:pPr>
          </w:p>
          <w:p w:rsidR="00FC2A24" w:rsidRDefault="00FC2A24">
            <w:pPr>
              <w:rPr>
                <w:sz w:val="20"/>
              </w:rPr>
            </w:pP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sym w:font="Symbol" w:char="F0B3"/>
            </w:r>
            <w:r>
              <w:rPr>
                <w:sz w:val="20"/>
              </w:rPr>
              <w:t xml:space="preserve"> 300</w:t>
            </w: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sym w:font="Symbol" w:char="F0B3"/>
            </w:r>
            <w:r>
              <w:rPr>
                <w:sz w:val="20"/>
              </w:rPr>
              <w:t xml:space="preserve"> 200</w:t>
            </w:r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A24" w:rsidRDefault="00FC2A24">
            <w:pPr>
              <w:rPr>
                <w:sz w:val="20"/>
              </w:rPr>
            </w:pPr>
          </w:p>
          <w:p w:rsidR="00FC2A24" w:rsidRDefault="00FC2A24">
            <w:pPr>
              <w:rPr>
                <w:sz w:val="20"/>
              </w:rPr>
            </w:pPr>
          </w:p>
          <w:p w:rsidR="00FC2A24" w:rsidRDefault="00FC2A24">
            <w:pPr>
              <w:rPr>
                <w:sz w:val="20"/>
              </w:rPr>
            </w:pP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sym w:font="Symbol" w:char="F0B3"/>
            </w:r>
            <w:r>
              <w:rPr>
                <w:sz w:val="20"/>
              </w:rPr>
              <w:t xml:space="preserve"> 300</w:t>
            </w: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sym w:font="Symbol" w:char="F0B3"/>
            </w:r>
            <w:r>
              <w:rPr>
                <w:sz w:val="20"/>
              </w:rPr>
              <w:t xml:space="preserve"> 200</w:t>
            </w:r>
          </w:p>
        </w:tc>
      </w:tr>
      <w:tr w:rsidR="00FC2A24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Szorstkość oznakowania</w:t>
            </w: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- świeżego</w:t>
            </w: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- używanego (po 3 mies.)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wskaźnik</w:t>
            </w: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SRT</w:t>
            </w: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SRT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A24" w:rsidRDefault="00FC2A24">
            <w:pPr>
              <w:rPr>
                <w:sz w:val="20"/>
              </w:rPr>
            </w:pP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sym w:font="Symbol" w:char="F0B3"/>
            </w:r>
            <w:r>
              <w:rPr>
                <w:sz w:val="20"/>
              </w:rPr>
              <w:t xml:space="preserve"> 50</w:t>
            </w: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sym w:font="Symbol" w:char="F0B3"/>
            </w:r>
            <w:r>
              <w:rPr>
                <w:sz w:val="20"/>
              </w:rPr>
              <w:t xml:space="preserve"> 45</w:t>
            </w:r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A24" w:rsidRDefault="00FC2A24">
            <w:pPr>
              <w:rPr>
                <w:sz w:val="20"/>
              </w:rPr>
            </w:pP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sym w:font="Symbol" w:char="F0B3"/>
            </w:r>
            <w:r>
              <w:rPr>
                <w:sz w:val="20"/>
              </w:rPr>
              <w:t xml:space="preserve"> 50</w:t>
            </w: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sym w:font="Symbol" w:char="F0B3"/>
            </w:r>
            <w:r>
              <w:rPr>
                <w:sz w:val="20"/>
              </w:rPr>
              <w:t xml:space="preserve"> 45</w:t>
            </w:r>
          </w:p>
        </w:tc>
      </w:tr>
      <w:tr w:rsidR="00FC2A24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Trwałość oznakowania wykonanego:</w:t>
            </w: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- farbami wodorozcieńczalnymi</w:t>
            </w: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- pozostałymi materiałami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A24" w:rsidRDefault="00FC2A24">
            <w:pPr>
              <w:rPr>
                <w:sz w:val="20"/>
              </w:rPr>
            </w:pP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wskaźnik</w:t>
            </w: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wskaźnik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A24" w:rsidRDefault="00FC2A24">
            <w:pPr>
              <w:rPr>
                <w:sz w:val="20"/>
              </w:rPr>
            </w:pP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sym w:font="Symbol" w:char="F0B3"/>
            </w:r>
            <w:r>
              <w:rPr>
                <w:sz w:val="20"/>
              </w:rPr>
              <w:t xml:space="preserve"> 5</w:t>
            </w: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sym w:font="Symbol" w:char="F0B3"/>
            </w:r>
            <w:r>
              <w:rPr>
                <w:sz w:val="20"/>
              </w:rPr>
              <w:t xml:space="preserve"> 6</w:t>
            </w:r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A24" w:rsidRDefault="00FC2A24">
            <w:pPr>
              <w:rPr>
                <w:sz w:val="20"/>
              </w:rPr>
            </w:pP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sym w:font="Symbol" w:char="F0B3"/>
            </w:r>
            <w:r>
              <w:rPr>
                <w:sz w:val="20"/>
              </w:rPr>
              <w:t xml:space="preserve"> 5</w:t>
            </w: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sym w:font="Symbol" w:char="F0B3"/>
            </w:r>
            <w:r>
              <w:rPr>
                <w:sz w:val="20"/>
              </w:rPr>
              <w:t xml:space="preserve"> 6</w:t>
            </w:r>
          </w:p>
        </w:tc>
      </w:tr>
      <w:tr w:rsidR="00FC2A24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A24" w:rsidRDefault="00FC2A24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A24" w:rsidRDefault="00FC2A24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Czas schnięcia materiału na nawierzchni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A24" w:rsidRDefault="00FC2A24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h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A24" w:rsidRDefault="00FC2A24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sym w:font="Symbol" w:char="F0A3"/>
            </w:r>
            <w:r>
              <w:rPr>
                <w:sz w:val="20"/>
              </w:rPr>
              <w:t xml:space="preserve"> 2</w:t>
            </w:r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A24" w:rsidRDefault="00FC2A24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sym w:font="Symbol" w:char="F0A3"/>
            </w:r>
            <w:r>
              <w:rPr>
                <w:sz w:val="20"/>
              </w:rPr>
              <w:t xml:space="preserve"> 2</w:t>
            </w:r>
          </w:p>
        </w:tc>
      </w:tr>
      <w:tr w:rsidR="00FC2A24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Grubość oznakowania nad powierzchnią nawierzchni</w:t>
            </w: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 xml:space="preserve">- bez </w:t>
            </w:r>
            <w:proofErr w:type="spellStart"/>
            <w:r>
              <w:rPr>
                <w:sz w:val="20"/>
              </w:rPr>
              <w:t>mikrokulek</w:t>
            </w:r>
            <w:proofErr w:type="spellEnd"/>
            <w:r>
              <w:rPr>
                <w:sz w:val="20"/>
              </w:rPr>
              <w:t xml:space="preserve"> szklanych</w:t>
            </w: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 xml:space="preserve">- z </w:t>
            </w:r>
            <w:proofErr w:type="spellStart"/>
            <w:r>
              <w:rPr>
                <w:sz w:val="20"/>
              </w:rPr>
              <w:t>mikrokulkami</w:t>
            </w:r>
            <w:proofErr w:type="spellEnd"/>
            <w:r>
              <w:rPr>
                <w:sz w:val="20"/>
              </w:rPr>
              <w:t xml:space="preserve"> szklanymi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A24" w:rsidRDefault="00FC2A24">
            <w:pPr>
              <w:rPr>
                <w:sz w:val="20"/>
              </w:rPr>
            </w:pPr>
          </w:p>
          <w:p w:rsidR="00FC2A24" w:rsidRDefault="00FC2A24">
            <w:pPr>
              <w:rPr>
                <w:sz w:val="20"/>
              </w:rPr>
            </w:pP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sym w:font="Symbol" w:char="F06D"/>
            </w:r>
            <w:r>
              <w:rPr>
                <w:sz w:val="20"/>
              </w:rPr>
              <w:t>m</w:t>
            </w: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mm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A24" w:rsidRDefault="00FC2A24">
            <w:pPr>
              <w:rPr>
                <w:sz w:val="20"/>
              </w:rPr>
            </w:pPr>
          </w:p>
          <w:p w:rsidR="00FC2A24" w:rsidRDefault="00FC2A24">
            <w:pPr>
              <w:rPr>
                <w:sz w:val="20"/>
              </w:rPr>
            </w:pP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sym w:font="Symbol" w:char="F0A3"/>
            </w:r>
            <w:r>
              <w:rPr>
                <w:sz w:val="20"/>
              </w:rPr>
              <w:t xml:space="preserve"> 800</w:t>
            </w: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A24" w:rsidRDefault="00FC2A24">
            <w:pPr>
              <w:rPr>
                <w:sz w:val="20"/>
              </w:rPr>
            </w:pPr>
          </w:p>
          <w:p w:rsidR="00FC2A24" w:rsidRDefault="00FC2A24">
            <w:pPr>
              <w:rPr>
                <w:sz w:val="20"/>
              </w:rPr>
            </w:pP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sym w:font="Symbol" w:char="F0A3"/>
            </w:r>
            <w:r>
              <w:rPr>
                <w:sz w:val="20"/>
              </w:rPr>
              <w:t xml:space="preserve"> 5</w:t>
            </w:r>
          </w:p>
        </w:tc>
      </w:tr>
      <w:tr w:rsidR="00FC2A24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Okres stałości właściwości materiałów do znakowania przy składowaniu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A24" w:rsidRDefault="00FC2A24">
            <w:pPr>
              <w:spacing w:before="120"/>
              <w:rPr>
                <w:sz w:val="20"/>
              </w:rPr>
            </w:pPr>
            <w:r>
              <w:rPr>
                <w:sz w:val="20"/>
              </w:rPr>
              <w:t>miesięcy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A24" w:rsidRDefault="00FC2A24">
            <w:pPr>
              <w:spacing w:before="120"/>
              <w:rPr>
                <w:sz w:val="20"/>
              </w:rPr>
            </w:pPr>
            <w:r>
              <w:rPr>
                <w:sz w:val="20"/>
              </w:rPr>
              <w:sym w:font="Symbol" w:char="F0B3"/>
            </w:r>
            <w:r>
              <w:rPr>
                <w:sz w:val="20"/>
              </w:rPr>
              <w:t xml:space="preserve"> 6</w:t>
            </w:r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A24" w:rsidRDefault="00FC2A24">
            <w:pPr>
              <w:spacing w:before="120"/>
              <w:rPr>
                <w:sz w:val="20"/>
              </w:rPr>
            </w:pPr>
            <w:r>
              <w:rPr>
                <w:sz w:val="20"/>
              </w:rPr>
              <w:sym w:font="Symbol" w:char="F0B3"/>
            </w:r>
            <w:r>
              <w:rPr>
                <w:sz w:val="20"/>
              </w:rPr>
              <w:t xml:space="preserve"> 6</w:t>
            </w:r>
          </w:p>
        </w:tc>
      </w:tr>
    </w:tbl>
    <w:p w:rsidR="00FC2A24" w:rsidRDefault="00FC2A24">
      <w:pPr>
        <w:spacing w:before="120"/>
        <w:jc w:val="both"/>
      </w:pPr>
    </w:p>
    <w:p w:rsidR="00FC2A24" w:rsidRDefault="00FC2A24">
      <w:pPr>
        <w:pStyle w:val="Nagwek2"/>
      </w:pPr>
      <w:bookmarkStart w:id="42" w:name="_Toc441731633"/>
      <w:r>
        <w:t>6.4. Tolerancje wymiarów oznakowania</w:t>
      </w:r>
      <w:bookmarkEnd w:id="42"/>
    </w:p>
    <w:p w:rsidR="00FC2A24" w:rsidRDefault="00FC2A24">
      <w:pPr>
        <w:jc w:val="both"/>
      </w:pPr>
      <w:r>
        <w:rPr>
          <w:b/>
        </w:rPr>
        <w:t xml:space="preserve">6.4.1. </w:t>
      </w:r>
      <w:r>
        <w:t>Tolerancje nowo wykonanego oznakowania</w:t>
      </w:r>
    </w:p>
    <w:p w:rsidR="00FC2A24" w:rsidRDefault="00FC2A24">
      <w:pPr>
        <w:spacing w:before="120"/>
        <w:jc w:val="both"/>
      </w:pPr>
      <w:r>
        <w:tab/>
        <w:t>Tolerancje nowo wykonanego oznakowania poziomego, zgodnego z dokumentacją projektową i „Instrukcją o znakach drogowych poziomych” [3], powinny odpowiadać następującym warunkom:</w:t>
      </w:r>
    </w:p>
    <w:p w:rsidR="00FC2A24" w:rsidRDefault="00FC2A24">
      <w:pPr>
        <w:numPr>
          <w:ilvl w:val="0"/>
          <w:numId w:val="1"/>
        </w:numPr>
        <w:jc w:val="both"/>
      </w:pPr>
      <w:r>
        <w:t xml:space="preserve">szerokość linii może różnić się od wymaganej o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5 mm"/>
        </w:smartTagPr>
        <w:r>
          <w:t>5 mm</w:t>
        </w:r>
      </w:smartTag>
      <w:r>
        <w:t>,</w:t>
      </w:r>
    </w:p>
    <w:p w:rsidR="00FC2A24" w:rsidRDefault="00FC2A24">
      <w:pPr>
        <w:numPr>
          <w:ilvl w:val="0"/>
          <w:numId w:val="1"/>
        </w:numPr>
        <w:jc w:val="both"/>
      </w:pPr>
      <w:r>
        <w:t xml:space="preserve">długość linii może być mniejsza od wymaganej co najwyżej o </w:t>
      </w:r>
      <w:smartTag w:uri="urn:schemas-microsoft-com:office:smarttags" w:element="metricconverter">
        <w:smartTagPr>
          <w:attr w:name="ProductID" w:val="50 mm"/>
        </w:smartTagPr>
        <w:r>
          <w:t>50 mm</w:t>
        </w:r>
      </w:smartTag>
      <w:r>
        <w:t xml:space="preserve"> lub większa co najwyżej o </w:t>
      </w:r>
      <w:smartTag w:uri="urn:schemas-microsoft-com:office:smarttags" w:element="metricconverter">
        <w:smartTagPr>
          <w:attr w:name="ProductID" w:val="150 mm"/>
        </w:smartTagPr>
        <w:r>
          <w:t>150 mm</w:t>
        </w:r>
      </w:smartTag>
      <w:r>
        <w:t>,</w:t>
      </w:r>
    </w:p>
    <w:p w:rsidR="00FC2A24" w:rsidRDefault="00FC2A24">
      <w:pPr>
        <w:numPr>
          <w:ilvl w:val="0"/>
          <w:numId w:val="1"/>
        </w:numPr>
        <w:jc w:val="both"/>
      </w:pPr>
      <w:r>
        <w:t xml:space="preserve">dla linii przerywanych, długość cyklu składającego się z linii i przerwy nie może odbiegać od średniej liczonej z 10 kolejnych cykli o więcej niż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50 mm"/>
        </w:smartTagPr>
        <w:r>
          <w:t>50 mm</w:t>
        </w:r>
      </w:smartTag>
      <w:r>
        <w:t xml:space="preserve"> długości wymaganej,</w:t>
      </w:r>
    </w:p>
    <w:p w:rsidR="00FC2A24" w:rsidRDefault="00FC2A24">
      <w:pPr>
        <w:numPr>
          <w:ilvl w:val="0"/>
          <w:numId w:val="1"/>
        </w:numPr>
        <w:jc w:val="both"/>
      </w:pPr>
      <w:r>
        <w:t xml:space="preserve">dla strzałek, liter i cyfr rozstaw punktów narożnikowych nie może mieć większej odchyłki od wymaganego wzoru niż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50 mm"/>
        </w:smartTagPr>
        <w:r>
          <w:t>50 mm</w:t>
        </w:r>
      </w:smartTag>
      <w:r>
        <w:t xml:space="preserve"> dla wymiaru długości i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20 mm"/>
        </w:smartTagPr>
        <w:r>
          <w:t>20 mm</w:t>
        </w:r>
      </w:smartTag>
      <w:r>
        <w:t xml:space="preserve"> dla wymiaru szerokości.</w:t>
      </w:r>
    </w:p>
    <w:p w:rsidR="00FC2A24" w:rsidRDefault="00FC2A24">
      <w:pPr>
        <w:jc w:val="both"/>
      </w:pPr>
      <w:r>
        <w:tab/>
        <w:t>Przy wykonywaniu nowego oznakowania poziomego, spowodowanego zmianami organizacji ruchu, należy dokładnie usunąć zbędne stare oznakowanie.</w:t>
      </w:r>
    </w:p>
    <w:p w:rsidR="00FC2A24" w:rsidRDefault="00FC2A24">
      <w:pPr>
        <w:spacing w:before="120"/>
        <w:jc w:val="both"/>
      </w:pPr>
      <w:r>
        <w:rPr>
          <w:b/>
        </w:rPr>
        <w:t xml:space="preserve">6.4.2. </w:t>
      </w:r>
      <w:r>
        <w:t>Tolerancje przy odnawianiu istniejącego oznakowania</w:t>
      </w:r>
    </w:p>
    <w:p w:rsidR="00FC2A24" w:rsidRDefault="00FC2A24">
      <w:pPr>
        <w:spacing w:before="120" w:after="120"/>
        <w:jc w:val="both"/>
      </w:pPr>
      <w:r>
        <w:tab/>
        <w:t xml:space="preserve">Przy odnawianiu istniejącego oznakowania należy dążyć do  pokrycia pełnej powierzchni istniejących znaków, przy zachowaniu dopuszczalnych tolerancji podanych </w:t>
      </w:r>
      <w:r w:rsidR="00FC5B33">
        <w:br/>
      </w:r>
      <w:r>
        <w:t>w punkcie 6.4.1.</w:t>
      </w:r>
    </w:p>
    <w:p w:rsidR="00FC2A24" w:rsidRDefault="00FC2A24">
      <w:pPr>
        <w:pStyle w:val="Nagwek1"/>
      </w:pPr>
      <w:bookmarkStart w:id="43" w:name="_Toc441731634"/>
      <w:r>
        <w:t>7. Obmiar robót</w:t>
      </w:r>
      <w:bookmarkEnd w:id="43"/>
    </w:p>
    <w:p w:rsidR="00FC2A24" w:rsidRDefault="00FC2A24">
      <w:pPr>
        <w:pStyle w:val="Nagwek2"/>
      </w:pPr>
      <w:bookmarkStart w:id="44" w:name="_Toc441731635"/>
      <w:r>
        <w:t>7.1. Ogólne zasady obmiaru robót</w:t>
      </w:r>
      <w:bookmarkEnd w:id="44"/>
    </w:p>
    <w:p w:rsidR="00FC2A24" w:rsidRDefault="00FC2A24">
      <w:pPr>
        <w:jc w:val="both"/>
      </w:pPr>
      <w:r>
        <w:tab/>
        <w:t>Ogólne zasady obmiaru robót podano w SST D-M-00.00.00 „Wymagania ogólne” pkt 7.</w:t>
      </w:r>
    </w:p>
    <w:p w:rsidR="00FC2A24" w:rsidRDefault="00FC2A24">
      <w:pPr>
        <w:pStyle w:val="Nagwek2"/>
      </w:pPr>
      <w:bookmarkStart w:id="45" w:name="_Toc441731636"/>
      <w:r>
        <w:t>7.2. Jednostka obmiarowa</w:t>
      </w:r>
      <w:bookmarkEnd w:id="45"/>
    </w:p>
    <w:p w:rsidR="00FC2A24" w:rsidRDefault="00FC2A24">
      <w:pPr>
        <w:spacing w:after="120"/>
        <w:jc w:val="both"/>
      </w:pPr>
      <w:r>
        <w:tab/>
        <w:t>Jednostką obmiarową oznakowania poziomego jest m</w:t>
      </w:r>
      <w:r>
        <w:rPr>
          <w:vertAlign w:val="superscript"/>
        </w:rPr>
        <w:t>2</w:t>
      </w:r>
      <w:r>
        <w:t xml:space="preserve"> (metr kwadratowy) powierzchni naniesionych znaków lub liczba umieszczonych punktowych elementów odblaskowych.</w:t>
      </w:r>
    </w:p>
    <w:p w:rsidR="00FC2A24" w:rsidRDefault="00FC2A24">
      <w:pPr>
        <w:pStyle w:val="Nagwek1"/>
      </w:pPr>
      <w:bookmarkStart w:id="46" w:name="_Toc441731637"/>
      <w:r>
        <w:t>8. odbiór robót</w:t>
      </w:r>
      <w:bookmarkEnd w:id="46"/>
    </w:p>
    <w:p w:rsidR="00FC2A24" w:rsidRDefault="00FC2A24">
      <w:pPr>
        <w:pStyle w:val="Nagwek2"/>
      </w:pPr>
      <w:bookmarkStart w:id="47" w:name="_Toc441731638"/>
      <w:r>
        <w:t>8.1. Ogólne zasady odbioru robót</w:t>
      </w:r>
      <w:bookmarkEnd w:id="47"/>
    </w:p>
    <w:p w:rsidR="00FC2A24" w:rsidRDefault="00FC2A24">
      <w:pPr>
        <w:jc w:val="both"/>
      </w:pPr>
      <w:r>
        <w:tab/>
        <w:t>Ogólne zasady odbioru robót podano w SST D-M-00.00.00 „Wymagania ogólne” pkt 8.</w:t>
      </w:r>
    </w:p>
    <w:p w:rsidR="00FC2A24" w:rsidRDefault="00FC2A24">
      <w:pPr>
        <w:jc w:val="both"/>
      </w:pPr>
      <w:r>
        <w:tab/>
        <w:t xml:space="preserve">Roboty uznaje się za wykonane zgodnie z dokumentacją projektową, SST </w:t>
      </w:r>
      <w:r w:rsidR="00FC5B33">
        <w:br/>
      </w:r>
      <w:r>
        <w:t>i wymaganiami Inżyniera, jeżeli wszystkie pomiary i badania, z zachowaniem tolerancji wg pkt 6, dały wyniki pozytywne.</w:t>
      </w:r>
    </w:p>
    <w:p w:rsidR="00FC2A24" w:rsidRDefault="00FC2A24">
      <w:pPr>
        <w:jc w:val="both"/>
      </w:pPr>
      <w:r>
        <w:tab/>
      </w:r>
    </w:p>
    <w:p w:rsidR="00FC2A24" w:rsidRDefault="00FC2A24">
      <w:pPr>
        <w:pStyle w:val="Nagwek2"/>
      </w:pPr>
      <w:bookmarkStart w:id="48" w:name="_Toc441731639"/>
      <w:r>
        <w:t>8.2. Odbiór robót zanikających i ulegających zakryciu</w:t>
      </w:r>
      <w:bookmarkEnd w:id="48"/>
    </w:p>
    <w:p w:rsidR="00FC2A24" w:rsidRDefault="00FC2A24">
      <w:pPr>
        <w:jc w:val="both"/>
      </w:pPr>
      <w:r>
        <w:tab/>
        <w:t>Odbiór robót zanikających i ulegających zakryciu, w zależności od przyjętego sposobu wykonania robót, może być dokonany po:</w:t>
      </w:r>
    </w:p>
    <w:p w:rsidR="00FC2A24" w:rsidRDefault="00FC2A24">
      <w:pPr>
        <w:numPr>
          <w:ilvl w:val="0"/>
          <w:numId w:val="1"/>
        </w:numPr>
        <w:jc w:val="both"/>
      </w:pPr>
      <w:r>
        <w:t>oczyszczeniu powierzchni nawierzchni,</w:t>
      </w:r>
    </w:p>
    <w:p w:rsidR="00FC2A24" w:rsidRDefault="00FC2A24">
      <w:pPr>
        <w:numPr>
          <w:ilvl w:val="0"/>
          <w:numId w:val="1"/>
        </w:numPr>
        <w:jc w:val="both"/>
      </w:pPr>
      <w:proofErr w:type="spellStart"/>
      <w:r>
        <w:t>przedznakowaniu</w:t>
      </w:r>
      <w:proofErr w:type="spellEnd"/>
      <w:r>
        <w:t>,</w:t>
      </w:r>
    </w:p>
    <w:p w:rsidR="00FC2A24" w:rsidRDefault="00FC2A24">
      <w:pPr>
        <w:numPr>
          <w:ilvl w:val="0"/>
          <w:numId w:val="1"/>
        </w:numPr>
        <w:jc w:val="both"/>
      </w:pPr>
      <w:r>
        <w:t>frezowaniu nawierzchni przed wykonaniem znakowania materiałem grubowarstwowym,</w:t>
      </w:r>
    </w:p>
    <w:p w:rsidR="00FC2A24" w:rsidRDefault="00FC2A24">
      <w:pPr>
        <w:numPr>
          <w:ilvl w:val="0"/>
          <w:numId w:val="1"/>
        </w:numPr>
        <w:jc w:val="both"/>
      </w:pPr>
      <w:r>
        <w:t>usunięciu istniejącego oznakowania poziomego,</w:t>
      </w:r>
    </w:p>
    <w:p w:rsidR="00FC2A24" w:rsidRDefault="00FC2A24">
      <w:pPr>
        <w:numPr>
          <w:ilvl w:val="0"/>
          <w:numId w:val="1"/>
        </w:numPr>
        <w:jc w:val="both"/>
      </w:pPr>
      <w:r>
        <w:t>wykonaniu podkładu (</w:t>
      </w:r>
      <w:proofErr w:type="spellStart"/>
      <w:r>
        <w:t>primera</w:t>
      </w:r>
      <w:proofErr w:type="spellEnd"/>
      <w:r>
        <w:t>) na nawierzchni betonowej.</w:t>
      </w:r>
    </w:p>
    <w:p w:rsidR="00FC2A24" w:rsidRDefault="00FC2A24">
      <w:pPr>
        <w:pStyle w:val="Nagwek2"/>
      </w:pPr>
      <w:bookmarkStart w:id="49" w:name="_Toc441731640"/>
      <w:r>
        <w:t>8.3. Odbiór ostateczny</w:t>
      </w:r>
      <w:bookmarkEnd w:id="49"/>
    </w:p>
    <w:p w:rsidR="00FC2A24" w:rsidRDefault="00FC2A24">
      <w:pPr>
        <w:jc w:val="both"/>
      </w:pPr>
      <w:r>
        <w:tab/>
        <w:t>Odbioru ostatecznego należy dokonać po całkowitym zakończeniu robót, na podstawie wyników pomiarów i badań jakościowych określonych w punktach od 2 do 6.</w:t>
      </w:r>
    </w:p>
    <w:p w:rsidR="00FC2A24" w:rsidRDefault="00FC2A24">
      <w:pPr>
        <w:pStyle w:val="Nagwek2"/>
      </w:pPr>
      <w:bookmarkStart w:id="50" w:name="_Toc441731641"/>
      <w:r>
        <w:t>8.4. Odbiór pogwarancyjny</w:t>
      </w:r>
      <w:bookmarkEnd w:id="50"/>
    </w:p>
    <w:p w:rsidR="00FC2A24" w:rsidRDefault="00FC2A24">
      <w:pPr>
        <w:jc w:val="both"/>
      </w:pPr>
      <w:r>
        <w:tab/>
        <w:t>Odbioru pogwarancyjnego należy dokonać po upływie okresu gwarancyjnego, ustalonego w SST. Sprawdzeniu podlegają cechy oznakowania określone w POD-97 [4].</w:t>
      </w:r>
    </w:p>
    <w:p w:rsidR="00FC2A24" w:rsidRDefault="00FC2A24">
      <w:pPr>
        <w:jc w:val="both"/>
      </w:pPr>
      <w:r>
        <w:tab/>
        <w:t>Zaleca się stosowanie następujących minimalnych okresów gwarancyjnych:</w:t>
      </w:r>
    </w:p>
    <w:p w:rsidR="00FC2A24" w:rsidRPr="00583F75" w:rsidRDefault="00FC2A24" w:rsidP="00583F75">
      <w:pPr>
        <w:ind w:left="283" w:hanging="283"/>
        <w:jc w:val="both"/>
      </w:pPr>
      <w:r>
        <w:t xml:space="preserve">a) </w:t>
      </w:r>
      <w:r w:rsidR="00583F75">
        <w:t xml:space="preserve">dla oznakowania cienkowarstwowego lub znakowania punktowymi elementami odblaskowymi: co najmniej </w:t>
      </w:r>
      <w:r w:rsidR="00583F75">
        <w:rPr>
          <w:b/>
        </w:rPr>
        <w:t>12 miesięcy</w:t>
      </w:r>
      <w:r w:rsidRPr="00583F75">
        <w:t>,</w:t>
      </w:r>
    </w:p>
    <w:p w:rsidR="00FC2A24" w:rsidRDefault="00FC2A24">
      <w:pPr>
        <w:numPr>
          <w:ilvl w:val="0"/>
          <w:numId w:val="4"/>
        </w:numPr>
        <w:jc w:val="both"/>
        <w:rPr>
          <w:b/>
        </w:rPr>
      </w:pPr>
      <w:r w:rsidRPr="00583F75">
        <w:t>dla o</w:t>
      </w:r>
      <w:r>
        <w:t xml:space="preserve">znakowania grubowarstwowego lub znakowania punktowymi elementami odblaskowymi: co najmniej </w:t>
      </w:r>
      <w:r w:rsidR="00512F73" w:rsidRPr="00512F73">
        <w:rPr>
          <w:b/>
        </w:rPr>
        <w:t>36</w:t>
      </w:r>
      <w:r w:rsidR="00583F75">
        <w:rPr>
          <w:b/>
        </w:rPr>
        <w:t xml:space="preserve"> miesięcy</w:t>
      </w:r>
      <w:r w:rsidRPr="00512F73">
        <w:rPr>
          <w:b/>
        </w:rPr>
        <w:t>.</w:t>
      </w:r>
    </w:p>
    <w:p w:rsidR="00583F75" w:rsidRPr="00512F73" w:rsidRDefault="00583F75" w:rsidP="00583F75">
      <w:pPr>
        <w:jc w:val="both"/>
        <w:rPr>
          <w:b/>
        </w:rPr>
      </w:pPr>
    </w:p>
    <w:p w:rsidR="00FC2A24" w:rsidRDefault="00FC2A24">
      <w:pPr>
        <w:pStyle w:val="Nagwek1"/>
      </w:pPr>
      <w:bookmarkStart w:id="51" w:name="_Toc441731642"/>
      <w:r>
        <w:t>9. podstawa płatności</w:t>
      </w:r>
      <w:bookmarkEnd w:id="51"/>
    </w:p>
    <w:p w:rsidR="00FC2A24" w:rsidRDefault="00FC2A24">
      <w:pPr>
        <w:pStyle w:val="Nagwek2"/>
      </w:pPr>
      <w:bookmarkStart w:id="52" w:name="_Toc441731643"/>
      <w:r>
        <w:t>9.1. Ogólne ustalenia dotyczące podstawy płatności</w:t>
      </w:r>
      <w:bookmarkEnd w:id="52"/>
    </w:p>
    <w:p w:rsidR="00FC2A24" w:rsidRDefault="00FC2A24">
      <w:pPr>
        <w:jc w:val="both"/>
      </w:pPr>
      <w:r>
        <w:tab/>
        <w:t>Ogólne ustalenia dotyczące podstawy płatności podano w SST D-M-00.00.00 „Wymagania ogólne” pkt 9.</w:t>
      </w:r>
    </w:p>
    <w:p w:rsidR="00FC2A24" w:rsidRDefault="00FC2A24">
      <w:pPr>
        <w:pStyle w:val="Nagwek2"/>
      </w:pPr>
      <w:bookmarkStart w:id="53" w:name="_Toc441731644"/>
      <w:r>
        <w:t>9.2. Cena jednostki obmiarowej</w:t>
      </w:r>
      <w:bookmarkEnd w:id="53"/>
    </w:p>
    <w:p w:rsidR="00FC2A24" w:rsidRDefault="00FC2A24">
      <w:pPr>
        <w:jc w:val="both"/>
      </w:pPr>
      <w:r>
        <w:tab/>
        <w:t xml:space="preserve">Cena </w:t>
      </w:r>
      <w:smartTag w:uri="urn:schemas-microsoft-com:office:smarttags" w:element="metricconverter">
        <w:smartTagPr>
          <w:attr w:name="ProductID" w:val="1 m2"/>
        </w:smartTagPr>
        <w:r>
          <w:t>1 m</w:t>
        </w:r>
        <w:r>
          <w:rPr>
            <w:vertAlign w:val="superscript"/>
          </w:rPr>
          <w:t>2</w:t>
        </w:r>
      </w:smartTag>
      <w:r>
        <w:t xml:space="preserve"> wykonania robót obejmuje:</w:t>
      </w:r>
    </w:p>
    <w:p w:rsidR="00FC2A24" w:rsidRDefault="00FC2A24">
      <w:pPr>
        <w:numPr>
          <w:ilvl w:val="0"/>
          <w:numId w:val="1"/>
        </w:numPr>
        <w:jc w:val="both"/>
      </w:pPr>
      <w:r>
        <w:t>prace pomiarowe, roboty przygotowawcze i oznakowanie robót,</w:t>
      </w:r>
    </w:p>
    <w:p w:rsidR="00FC2A24" w:rsidRDefault="00FC2A24">
      <w:pPr>
        <w:numPr>
          <w:ilvl w:val="0"/>
          <w:numId w:val="1"/>
        </w:numPr>
        <w:jc w:val="both"/>
      </w:pPr>
      <w:r>
        <w:t>przygotowanie i dostarczenie materiałów,</w:t>
      </w:r>
    </w:p>
    <w:p w:rsidR="00FC2A24" w:rsidRDefault="00FC2A24">
      <w:pPr>
        <w:numPr>
          <w:ilvl w:val="0"/>
          <w:numId w:val="1"/>
        </w:numPr>
        <w:jc w:val="both"/>
      </w:pPr>
      <w:r>
        <w:t>oczyszczenie podłoża (nawierzchni),</w:t>
      </w:r>
    </w:p>
    <w:p w:rsidR="00FC2A24" w:rsidRDefault="00FC2A24">
      <w:pPr>
        <w:numPr>
          <w:ilvl w:val="0"/>
          <w:numId w:val="1"/>
        </w:numPr>
        <w:jc w:val="both"/>
      </w:pPr>
      <w:proofErr w:type="spellStart"/>
      <w:r>
        <w:t>przedznakowanie</w:t>
      </w:r>
      <w:proofErr w:type="spellEnd"/>
      <w:r>
        <w:t>,</w:t>
      </w:r>
    </w:p>
    <w:p w:rsidR="00FC2A24" w:rsidRDefault="00FC2A24">
      <w:pPr>
        <w:numPr>
          <w:ilvl w:val="0"/>
          <w:numId w:val="1"/>
        </w:numPr>
        <w:jc w:val="both"/>
      </w:pPr>
      <w:r>
        <w:t xml:space="preserve">naniesienie powłoki znaków na nawierzchnię drogi o kształtach i wymiarach zgodnych </w:t>
      </w:r>
      <w:r w:rsidR="00FC5B33">
        <w:br/>
      </w:r>
      <w:r>
        <w:t>z dokumentacją projektową i „Instrukcją o znakach drogowych poziomych”,</w:t>
      </w:r>
    </w:p>
    <w:p w:rsidR="00FC2A24" w:rsidRDefault="00FC2A24">
      <w:pPr>
        <w:numPr>
          <w:ilvl w:val="0"/>
          <w:numId w:val="1"/>
        </w:numPr>
        <w:jc w:val="both"/>
      </w:pPr>
      <w:r>
        <w:t>ochrona znaków przed zniszczeniem przez pojazdy w czasie prowadzenia robót,</w:t>
      </w:r>
    </w:p>
    <w:p w:rsidR="004D18E8" w:rsidRDefault="00FC2A24" w:rsidP="00F15402">
      <w:pPr>
        <w:numPr>
          <w:ilvl w:val="0"/>
          <w:numId w:val="1"/>
        </w:numPr>
        <w:spacing w:after="120"/>
        <w:ind w:left="284" w:hanging="284"/>
        <w:jc w:val="both"/>
      </w:pPr>
      <w:r>
        <w:t>przeprowadzenie pomiarów i badań laboratoryjnych wymaganych w specyfikacji technicznej.</w:t>
      </w:r>
    </w:p>
    <w:p w:rsidR="00FC2A24" w:rsidRDefault="00FC2A24">
      <w:pPr>
        <w:pStyle w:val="Nagwek1"/>
      </w:pPr>
      <w:bookmarkStart w:id="54" w:name="_Toc441731645"/>
      <w:r>
        <w:t>10. przepisy związane</w:t>
      </w:r>
      <w:bookmarkEnd w:id="54"/>
    </w:p>
    <w:p w:rsidR="00FC2A24" w:rsidRDefault="00FC2A24">
      <w:pPr>
        <w:pStyle w:val="Nagwek2"/>
      </w:pPr>
      <w:bookmarkStart w:id="55" w:name="_Toc441731646"/>
      <w:r>
        <w:t>10.1. Normy</w:t>
      </w:r>
      <w:bookmarkEnd w:id="55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842"/>
        <w:gridCol w:w="5172"/>
      </w:tblGrid>
      <w:tr w:rsidR="00FC2A24">
        <w:tc>
          <w:tcPr>
            <w:tcW w:w="496" w:type="dxa"/>
          </w:tcPr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842" w:type="dxa"/>
          </w:tcPr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PN-C-81400</w:t>
            </w:r>
          </w:p>
        </w:tc>
        <w:tc>
          <w:tcPr>
            <w:tcW w:w="5172" w:type="dxa"/>
          </w:tcPr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Wyroby lakierowe. Pakowanie, przechowywanie i transport</w:t>
            </w:r>
          </w:p>
        </w:tc>
      </w:tr>
      <w:tr w:rsidR="00FC2A24">
        <w:tc>
          <w:tcPr>
            <w:tcW w:w="496" w:type="dxa"/>
          </w:tcPr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842" w:type="dxa"/>
          </w:tcPr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PN-O-79252</w:t>
            </w:r>
          </w:p>
        </w:tc>
        <w:tc>
          <w:tcPr>
            <w:tcW w:w="5172" w:type="dxa"/>
          </w:tcPr>
          <w:p w:rsidR="00FC2A24" w:rsidRDefault="00FC2A24">
            <w:pPr>
              <w:rPr>
                <w:sz w:val="20"/>
              </w:rPr>
            </w:pPr>
            <w:r>
              <w:rPr>
                <w:sz w:val="20"/>
              </w:rPr>
              <w:t>Opakowania transportowe z zawartością. Znaki i znakowanie. Wymagania podstawowe.</w:t>
            </w:r>
          </w:p>
        </w:tc>
      </w:tr>
    </w:tbl>
    <w:p w:rsidR="00FC2A24" w:rsidRDefault="00FC2A24">
      <w:pPr>
        <w:pStyle w:val="Nagwek2"/>
      </w:pPr>
      <w:bookmarkStart w:id="56" w:name="_Toc441731647"/>
      <w:r>
        <w:t>10.2. Inne dokumenty</w:t>
      </w:r>
      <w:bookmarkEnd w:id="56"/>
    </w:p>
    <w:p w:rsidR="00FC2A24" w:rsidRDefault="00FC2A24">
      <w:pPr>
        <w:numPr>
          <w:ilvl w:val="0"/>
          <w:numId w:val="5"/>
        </w:numPr>
        <w:jc w:val="both"/>
      </w:pPr>
      <w:r>
        <w:t>Instrukcja o znakach drogowych poziomych. Załącznik do zarządzenia Ministra Transportu i Gospodarki Morskiej z dnia 3 marca 1994 r. (M.P. Nr 16, poz. 120)</w:t>
      </w:r>
    </w:p>
    <w:p w:rsidR="00FC2A24" w:rsidRDefault="00FC2A24" w:rsidP="00CB76A1">
      <w:pPr>
        <w:numPr>
          <w:ilvl w:val="0"/>
          <w:numId w:val="5"/>
        </w:numPr>
        <w:jc w:val="both"/>
      </w:pPr>
      <w:r>
        <w:t xml:space="preserve">Warunki techniczne. Poziome znakowanie dróg. POD-97. Seria „I” - Informacje, Instrukcje. Zeszyt nr 55. </w:t>
      </w:r>
      <w:proofErr w:type="spellStart"/>
      <w:r>
        <w:t>IBDiM</w:t>
      </w:r>
      <w:proofErr w:type="spellEnd"/>
      <w:r>
        <w:t>, Warszawa, 1997.</w:t>
      </w:r>
    </w:p>
    <w:sectPr w:rsidR="00FC2A24">
      <w:headerReference w:type="even" r:id="rId8"/>
      <w:headerReference w:type="default" r:id="rId9"/>
      <w:pgSz w:w="11907" w:h="16840" w:code="9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1D1" w:rsidRDefault="002221D1">
      <w:r>
        <w:separator/>
      </w:r>
    </w:p>
  </w:endnote>
  <w:endnote w:type="continuationSeparator" w:id="0">
    <w:p w:rsidR="002221D1" w:rsidRDefault="00222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1D1" w:rsidRDefault="002221D1">
      <w:r>
        <w:separator/>
      </w:r>
    </w:p>
  </w:footnote>
  <w:footnote w:type="continuationSeparator" w:id="0">
    <w:p w:rsidR="002221D1" w:rsidRDefault="002221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79F" w:rsidRDefault="0004479F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4479F" w:rsidRDefault="0004479F">
    <w:pPr>
      <w:pStyle w:val="Nagwek"/>
      <w:ind w:right="360"/>
      <w:rPr>
        <w:rFonts w:ascii="Times New Roman" w:hAnsi="Times New Roman"/>
        <w:sz w:val="19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4819"/>
      <w:gridCol w:w="1769"/>
    </w:tblGrid>
    <w:tr w:rsidR="0004479F">
      <w:tc>
        <w:tcPr>
          <w:tcW w:w="921" w:type="dxa"/>
          <w:tcBorders>
            <w:bottom w:val="single" w:sz="6" w:space="0" w:color="auto"/>
          </w:tcBorders>
        </w:tcPr>
        <w:p w:rsidR="0004479F" w:rsidRDefault="0004479F">
          <w:pPr>
            <w:pStyle w:val="Nagwek"/>
            <w:spacing w:after="120"/>
            <w:rPr>
              <w:rFonts w:ascii="Times New Roman" w:hAnsi="Times New Roman"/>
              <w:sz w:val="19"/>
            </w:rPr>
          </w:pPr>
        </w:p>
      </w:tc>
      <w:tc>
        <w:tcPr>
          <w:tcW w:w="4819" w:type="dxa"/>
        </w:tcPr>
        <w:p w:rsidR="0004479F" w:rsidRDefault="0004479F">
          <w:pPr>
            <w:pStyle w:val="Nagwek"/>
            <w:jc w:val="right"/>
            <w:rPr>
              <w:rFonts w:ascii="Times New Roman" w:hAnsi="Times New Roman"/>
              <w:sz w:val="19"/>
            </w:rPr>
          </w:pPr>
          <w:r>
            <w:rPr>
              <w:rFonts w:ascii="Times New Roman" w:hAnsi="Times New Roman"/>
              <w:i/>
              <w:sz w:val="19"/>
            </w:rPr>
            <w:t>Oznakowanie poziome</w:t>
          </w:r>
        </w:p>
      </w:tc>
      <w:tc>
        <w:tcPr>
          <w:tcW w:w="1769" w:type="dxa"/>
        </w:tcPr>
        <w:p w:rsidR="0004479F" w:rsidRDefault="0004479F">
          <w:pPr>
            <w:pStyle w:val="Nagwek"/>
            <w:jc w:val="right"/>
            <w:rPr>
              <w:rFonts w:ascii="Times New Roman" w:hAnsi="Times New Roman"/>
              <w:sz w:val="19"/>
            </w:rPr>
          </w:pPr>
          <w:r>
            <w:rPr>
              <w:rFonts w:ascii="Times New Roman" w:hAnsi="Times New Roman"/>
              <w:i/>
              <w:sz w:val="19"/>
            </w:rPr>
            <w:t>D-07.01.01</w:t>
          </w:r>
        </w:p>
      </w:tc>
    </w:tr>
  </w:tbl>
  <w:p w:rsidR="0004479F" w:rsidRDefault="0004479F">
    <w:pPr>
      <w:pStyle w:val="Nagwek"/>
      <w:rPr>
        <w:rFonts w:ascii="Times New Roman" w:hAnsi="Times New Roman"/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79F" w:rsidRDefault="0004479F">
    <w:pPr>
      <w:pStyle w:val="Nagwek"/>
      <w:framePr w:wrap="around" w:vAnchor="text" w:hAnchor="margin" w:xAlign="right" w:y="1"/>
      <w:rPr>
        <w:rStyle w:val="Numerstrony"/>
        <w:rFonts w:ascii="Times New Roman" w:hAnsi="Times New Roman"/>
        <w:sz w:val="20"/>
      </w:rPr>
    </w:pPr>
    <w:r>
      <w:rPr>
        <w:rStyle w:val="Numerstrony"/>
        <w:rFonts w:ascii="Times New Roman" w:hAnsi="Times New Roman"/>
        <w:sz w:val="20"/>
      </w:rPr>
      <w:fldChar w:fldCharType="begin"/>
    </w:r>
    <w:r>
      <w:rPr>
        <w:rStyle w:val="Numerstrony"/>
        <w:rFonts w:ascii="Times New Roman" w:hAnsi="Times New Roman"/>
        <w:sz w:val="20"/>
      </w:rPr>
      <w:instrText xml:space="preserve">PAGE  </w:instrText>
    </w:r>
    <w:r>
      <w:rPr>
        <w:rStyle w:val="Numerstrony"/>
        <w:rFonts w:ascii="Times New Roman" w:hAnsi="Times New Roman"/>
        <w:sz w:val="20"/>
      </w:rPr>
      <w:fldChar w:fldCharType="separate"/>
    </w:r>
    <w:r w:rsidR="00594C9D">
      <w:rPr>
        <w:rStyle w:val="Numerstrony"/>
        <w:rFonts w:ascii="Times New Roman" w:hAnsi="Times New Roman"/>
        <w:noProof/>
        <w:sz w:val="20"/>
      </w:rPr>
      <w:t>3</w:t>
    </w:r>
    <w:r>
      <w:rPr>
        <w:rStyle w:val="Numerstrony"/>
        <w:rFonts w:ascii="Times New Roman" w:hAnsi="Times New Roman"/>
        <w:sz w:val="20"/>
      </w:rPr>
      <w:fldChar w:fldCharType="end"/>
    </w:r>
  </w:p>
  <w:p w:rsidR="0004479F" w:rsidRDefault="0004479F">
    <w:pPr>
      <w:pStyle w:val="Nagwek"/>
      <w:pBdr>
        <w:bottom w:val="single" w:sz="4" w:space="1" w:color="auto"/>
      </w:pBdr>
      <w:ind w:right="360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SST D-07.01.01. Oznakowanie poziome.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DE68C9A"/>
    <w:lvl w:ilvl="0">
      <w:numFmt w:val="decimal"/>
      <w:lvlText w:val="*"/>
      <w:lvlJc w:val="left"/>
    </w:lvl>
  </w:abstractNum>
  <w:abstractNum w:abstractNumId="1">
    <w:nsid w:val="094F450E"/>
    <w:multiLevelType w:val="singleLevel"/>
    <w:tmpl w:val="7420665A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">
    <w:nsid w:val="40AC46DB"/>
    <w:multiLevelType w:val="singleLevel"/>
    <w:tmpl w:val="F4B2D57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>
    <w:nsid w:val="73403522"/>
    <w:multiLevelType w:val="singleLevel"/>
    <w:tmpl w:val="F4B2D57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>
    <w:nsid w:val="76E02E21"/>
    <w:multiLevelType w:val="singleLevel"/>
    <w:tmpl w:val="B624F744"/>
    <w:lvl w:ilvl="0">
      <w:start w:val="3"/>
      <w:numFmt w:val="decimal"/>
      <w:lvlText w:val="%1."/>
      <w:legacy w:legacy="1" w:legacySpace="113" w:legacyIndent="397"/>
      <w:lvlJc w:val="right"/>
      <w:pPr>
        <w:ind w:left="397" w:hanging="397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C8D"/>
    <w:rsid w:val="00000322"/>
    <w:rsid w:val="00006098"/>
    <w:rsid w:val="00032CAB"/>
    <w:rsid w:val="0004479F"/>
    <w:rsid w:val="000631F0"/>
    <w:rsid w:val="000707FC"/>
    <w:rsid w:val="00075A3C"/>
    <w:rsid w:val="00086F39"/>
    <w:rsid w:val="00090679"/>
    <w:rsid w:val="00117975"/>
    <w:rsid w:val="00133BE7"/>
    <w:rsid w:val="00141E53"/>
    <w:rsid w:val="001543AB"/>
    <w:rsid w:val="0017060C"/>
    <w:rsid w:val="00193C41"/>
    <w:rsid w:val="002221D1"/>
    <w:rsid w:val="00245B49"/>
    <w:rsid w:val="00276A7D"/>
    <w:rsid w:val="00326C67"/>
    <w:rsid w:val="003809B4"/>
    <w:rsid w:val="00390645"/>
    <w:rsid w:val="00392055"/>
    <w:rsid w:val="003B0B5C"/>
    <w:rsid w:val="003B5C0B"/>
    <w:rsid w:val="003C11F8"/>
    <w:rsid w:val="003C4380"/>
    <w:rsid w:val="003C5418"/>
    <w:rsid w:val="003F1664"/>
    <w:rsid w:val="003F3B18"/>
    <w:rsid w:val="0041708C"/>
    <w:rsid w:val="00442F45"/>
    <w:rsid w:val="004462B2"/>
    <w:rsid w:val="004C50F7"/>
    <w:rsid w:val="004D18E8"/>
    <w:rsid w:val="00512F73"/>
    <w:rsid w:val="00583F75"/>
    <w:rsid w:val="00591E0C"/>
    <w:rsid w:val="00593EB0"/>
    <w:rsid w:val="00594C9D"/>
    <w:rsid w:val="005E25B4"/>
    <w:rsid w:val="00641C13"/>
    <w:rsid w:val="00653C8D"/>
    <w:rsid w:val="00661F2B"/>
    <w:rsid w:val="00663695"/>
    <w:rsid w:val="00664D50"/>
    <w:rsid w:val="00787E7D"/>
    <w:rsid w:val="007C5D08"/>
    <w:rsid w:val="007E1FD1"/>
    <w:rsid w:val="007F00B2"/>
    <w:rsid w:val="008316B8"/>
    <w:rsid w:val="00834666"/>
    <w:rsid w:val="00860507"/>
    <w:rsid w:val="008F0469"/>
    <w:rsid w:val="008F2FE9"/>
    <w:rsid w:val="008F34C8"/>
    <w:rsid w:val="009A63BE"/>
    <w:rsid w:val="009E6BAA"/>
    <w:rsid w:val="00A56330"/>
    <w:rsid w:val="00A5762C"/>
    <w:rsid w:val="00A85FF6"/>
    <w:rsid w:val="00B03DEB"/>
    <w:rsid w:val="00B207EB"/>
    <w:rsid w:val="00B66E39"/>
    <w:rsid w:val="00B9792D"/>
    <w:rsid w:val="00C35F74"/>
    <w:rsid w:val="00C37C4C"/>
    <w:rsid w:val="00C7768B"/>
    <w:rsid w:val="00CB76A1"/>
    <w:rsid w:val="00D0301F"/>
    <w:rsid w:val="00D57971"/>
    <w:rsid w:val="00D6104F"/>
    <w:rsid w:val="00DA246E"/>
    <w:rsid w:val="00DE1ADB"/>
    <w:rsid w:val="00DE4034"/>
    <w:rsid w:val="00E34484"/>
    <w:rsid w:val="00E46B4F"/>
    <w:rsid w:val="00EA0B15"/>
    <w:rsid w:val="00EA3D34"/>
    <w:rsid w:val="00EC048F"/>
    <w:rsid w:val="00F15402"/>
    <w:rsid w:val="00F17D95"/>
    <w:rsid w:val="00F62BAC"/>
    <w:rsid w:val="00FC2A24"/>
    <w:rsid w:val="00FC5B33"/>
    <w:rsid w:val="00FC61DE"/>
    <w:rsid w:val="00FD65EA"/>
    <w:rsid w:val="00FF3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keepLines/>
      <w:suppressAutoHyphens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0"/>
    </w:pPr>
    <w:rPr>
      <w:b/>
      <w:caps/>
      <w:kern w:val="28"/>
      <w:szCs w:val="20"/>
    </w:rPr>
  </w:style>
  <w:style w:type="paragraph" w:styleId="Nagwek2">
    <w:name w:val="heading 2"/>
    <w:basedOn w:val="Normalny"/>
    <w:next w:val="Normalny"/>
    <w:qFormat/>
    <w:pPr>
      <w:keepNext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overflowPunct w:val="0"/>
      <w:autoSpaceDE w:val="0"/>
      <w:autoSpaceDN w:val="0"/>
      <w:adjustRightInd w:val="0"/>
      <w:spacing w:before="60" w:after="60"/>
      <w:jc w:val="both"/>
      <w:textAlignment w:val="baseline"/>
      <w:outlineLvl w:val="2"/>
    </w:pPr>
    <w:rPr>
      <w:szCs w:val="20"/>
    </w:rPr>
  </w:style>
  <w:style w:type="paragraph" w:styleId="Nagwek4">
    <w:name w:val="heading 4"/>
    <w:basedOn w:val="Normalny"/>
    <w:next w:val="Normalny"/>
    <w:qFormat/>
    <w:pPr>
      <w:keepNext/>
      <w:spacing w:before="240"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color w:val="FF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ost">
    <w:name w:val="tekst ost"/>
    <w:basedOn w:val="Normalny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autoRedefine/>
    <w:semiHidden/>
    <w:pPr>
      <w:tabs>
        <w:tab w:val="right" w:leader="dot" w:pos="9072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b/>
      <w:caps/>
      <w:noProof/>
      <w:sz w:val="20"/>
      <w:szCs w:val="20"/>
    </w:rPr>
  </w:style>
  <w:style w:type="paragraph" w:styleId="Spistreci2">
    <w:name w:val="toc 2"/>
    <w:basedOn w:val="Normalny"/>
    <w:next w:val="Normalny"/>
    <w:autoRedefine/>
    <w:semiHidden/>
    <w:pPr>
      <w:ind w:left="240"/>
    </w:pPr>
    <w:rPr>
      <w:sz w:val="20"/>
    </w:rPr>
  </w:style>
  <w:style w:type="paragraph" w:styleId="Spistreci3">
    <w:name w:val="toc 3"/>
    <w:basedOn w:val="Normalny"/>
    <w:next w:val="Normalny"/>
    <w:autoRedefine/>
    <w:semiHidden/>
    <w:pPr>
      <w:ind w:left="480"/>
    </w:pPr>
  </w:style>
  <w:style w:type="paragraph" w:styleId="Spistreci4">
    <w:name w:val="toc 4"/>
    <w:basedOn w:val="Normalny"/>
    <w:next w:val="Normalny"/>
    <w:autoRedefine/>
    <w:semiHidden/>
    <w:pPr>
      <w:ind w:left="720"/>
    </w:pPr>
  </w:style>
  <w:style w:type="paragraph" w:styleId="Spistreci5">
    <w:name w:val="toc 5"/>
    <w:basedOn w:val="Normalny"/>
    <w:next w:val="Normalny"/>
    <w:autoRedefine/>
    <w:semiHidden/>
    <w:pPr>
      <w:ind w:left="960"/>
    </w:pPr>
  </w:style>
  <w:style w:type="paragraph" w:styleId="Spistreci6">
    <w:name w:val="toc 6"/>
    <w:basedOn w:val="Normalny"/>
    <w:next w:val="Normalny"/>
    <w:autoRedefine/>
    <w:semiHidden/>
    <w:pPr>
      <w:ind w:left="1200"/>
    </w:pPr>
  </w:style>
  <w:style w:type="paragraph" w:styleId="Spistreci7">
    <w:name w:val="toc 7"/>
    <w:basedOn w:val="Normalny"/>
    <w:next w:val="Normalny"/>
    <w:autoRedefine/>
    <w:semiHidden/>
    <w:pPr>
      <w:ind w:left="1440"/>
    </w:pPr>
  </w:style>
  <w:style w:type="paragraph" w:styleId="Spistreci8">
    <w:name w:val="toc 8"/>
    <w:basedOn w:val="Normalny"/>
    <w:next w:val="Normalny"/>
    <w:autoRedefine/>
    <w:semiHidden/>
    <w:pPr>
      <w:ind w:left="1680"/>
    </w:pPr>
  </w:style>
  <w:style w:type="paragraph" w:styleId="Spistreci9">
    <w:name w:val="toc 9"/>
    <w:basedOn w:val="Normalny"/>
    <w:next w:val="Normalny"/>
    <w:autoRedefine/>
    <w:semiHidden/>
    <w:pPr>
      <w:ind w:left="1920"/>
    </w:pPr>
  </w:style>
  <w:style w:type="paragraph" w:styleId="Tekstprzypisudolnego">
    <w:name w:val="footnote text"/>
    <w:basedOn w:val="Normalny"/>
    <w:semiHidden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styleId="Hipercze">
    <w:name w:val="Hyperlink"/>
    <w:rPr>
      <w:color w:val="0000FF"/>
      <w:u w:val="single"/>
    </w:r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Century Gothic" w:hAnsi="Century Gothic"/>
      <w:szCs w:val="20"/>
    </w:rPr>
  </w:style>
  <w:style w:type="paragraph" w:styleId="Tekstprzypisukocowego">
    <w:name w:val="endnote text"/>
    <w:basedOn w:val="Normalny"/>
    <w:semiHidden/>
    <w:rsid w:val="003C11F8"/>
    <w:rPr>
      <w:sz w:val="20"/>
      <w:szCs w:val="20"/>
    </w:rPr>
  </w:style>
  <w:style w:type="character" w:styleId="Odwoanieprzypisukocowego">
    <w:name w:val="endnote reference"/>
    <w:semiHidden/>
    <w:rsid w:val="003C11F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keepLines/>
      <w:suppressAutoHyphens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0"/>
    </w:pPr>
    <w:rPr>
      <w:b/>
      <w:caps/>
      <w:kern w:val="28"/>
      <w:szCs w:val="20"/>
    </w:rPr>
  </w:style>
  <w:style w:type="paragraph" w:styleId="Nagwek2">
    <w:name w:val="heading 2"/>
    <w:basedOn w:val="Normalny"/>
    <w:next w:val="Normalny"/>
    <w:qFormat/>
    <w:pPr>
      <w:keepNext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overflowPunct w:val="0"/>
      <w:autoSpaceDE w:val="0"/>
      <w:autoSpaceDN w:val="0"/>
      <w:adjustRightInd w:val="0"/>
      <w:spacing w:before="60" w:after="60"/>
      <w:jc w:val="both"/>
      <w:textAlignment w:val="baseline"/>
      <w:outlineLvl w:val="2"/>
    </w:pPr>
    <w:rPr>
      <w:szCs w:val="20"/>
    </w:rPr>
  </w:style>
  <w:style w:type="paragraph" w:styleId="Nagwek4">
    <w:name w:val="heading 4"/>
    <w:basedOn w:val="Normalny"/>
    <w:next w:val="Normalny"/>
    <w:qFormat/>
    <w:pPr>
      <w:keepNext/>
      <w:spacing w:before="240"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color w:val="FF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ost">
    <w:name w:val="tekst ost"/>
    <w:basedOn w:val="Normalny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autoRedefine/>
    <w:semiHidden/>
    <w:pPr>
      <w:tabs>
        <w:tab w:val="right" w:leader="dot" w:pos="9072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b/>
      <w:caps/>
      <w:noProof/>
      <w:sz w:val="20"/>
      <w:szCs w:val="20"/>
    </w:rPr>
  </w:style>
  <w:style w:type="paragraph" w:styleId="Spistreci2">
    <w:name w:val="toc 2"/>
    <w:basedOn w:val="Normalny"/>
    <w:next w:val="Normalny"/>
    <w:autoRedefine/>
    <w:semiHidden/>
    <w:pPr>
      <w:ind w:left="240"/>
    </w:pPr>
    <w:rPr>
      <w:sz w:val="20"/>
    </w:rPr>
  </w:style>
  <w:style w:type="paragraph" w:styleId="Spistreci3">
    <w:name w:val="toc 3"/>
    <w:basedOn w:val="Normalny"/>
    <w:next w:val="Normalny"/>
    <w:autoRedefine/>
    <w:semiHidden/>
    <w:pPr>
      <w:ind w:left="480"/>
    </w:pPr>
  </w:style>
  <w:style w:type="paragraph" w:styleId="Spistreci4">
    <w:name w:val="toc 4"/>
    <w:basedOn w:val="Normalny"/>
    <w:next w:val="Normalny"/>
    <w:autoRedefine/>
    <w:semiHidden/>
    <w:pPr>
      <w:ind w:left="720"/>
    </w:pPr>
  </w:style>
  <w:style w:type="paragraph" w:styleId="Spistreci5">
    <w:name w:val="toc 5"/>
    <w:basedOn w:val="Normalny"/>
    <w:next w:val="Normalny"/>
    <w:autoRedefine/>
    <w:semiHidden/>
    <w:pPr>
      <w:ind w:left="960"/>
    </w:pPr>
  </w:style>
  <w:style w:type="paragraph" w:styleId="Spistreci6">
    <w:name w:val="toc 6"/>
    <w:basedOn w:val="Normalny"/>
    <w:next w:val="Normalny"/>
    <w:autoRedefine/>
    <w:semiHidden/>
    <w:pPr>
      <w:ind w:left="1200"/>
    </w:pPr>
  </w:style>
  <w:style w:type="paragraph" w:styleId="Spistreci7">
    <w:name w:val="toc 7"/>
    <w:basedOn w:val="Normalny"/>
    <w:next w:val="Normalny"/>
    <w:autoRedefine/>
    <w:semiHidden/>
    <w:pPr>
      <w:ind w:left="1440"/>
    </w:pPr>
  </w:style>
  <w:style w:type="paragraph" w:styleId="Spistreci8">
    <w:name w:val="toc 8"/>
    <w:basedOn w:val="Normalny"/>
    <w:next w:val="Normalny"/>
    <w:autoRedefine/>
    <w:semiHidden/>
    <w:pPr>
      <w:ind w:left="1680"/>
    </w:pPr>
  </w:style>
  <w:style w:type="paragraph" w:styleId="Spistreci9">
    <w:name w:val="toc 9"/>
    <w:basedOn w:val="Normalny"/>
    <w:next w:val="Normalny"/>
    <w:autoRedefine/>
    <w:semiHidden/>
    <w:pPr>
      <w:ind w:left="1920"/>
    </w:pPr>
  </w:style>
  <w:style w:type="paragraph" w:styleId="Tekstprzypisudolnego">
    <w:name w:val="footnote text"/>
    <w:basedOn w:val="Normalny"/>
    <w:semiHidden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styleId="Hipercze">
    <w:name w:val="Hyperlink"/>
    <w:rPr>
      <w:color w:val="0000FF"/>
      <w:u w:val="single"/>
    </w:r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Century Gothic" w:hAnsi="Century Gothic"/>
      <w:szCs w:val="20"/>
    </w:rPr>
  </w:style>
  <w:style w:type="paragraph" w:styleId="Tekstprzypisukocowego">
    <w:name w:val="endnote text"/>
    <w:basedOn w:val="Normalny"/>
    <w:semiHidden/>
    <w:rsid w:val="003C11F8"/>
    <w:rPr>
      <w:sz w:val="20"/>
      <w:szCs w:val="20"/>
    </w:rPr>
  </w:style>
  <w:style w:type="character" w:styleId="Odwoanieprzypisukocowego">
    <w:name w:val="endnote reference"/>
    <w:semiHidden/>
    <w:rsid w:val="003C11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4741</Words>
  <Characters>28447</Characters>
  <Application>Microsoft Office Word</Application>
  <DocSecurity>0</DocSecurity>
  <Lines>237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OGÓLNE SPECYFIKACJE TECHNICZNE</vt:lpstr>
    </vt:vector>
  </TitlesOfParts>
  <Company>BPBK SA</Company>
  <LinksUpToDate>false</LinksUpToDate>
  <CharactersWithSpaces>33122</CharactersWithSpaces>
  <SharedDoc>false</SharedDoc>
  <HLinks>
    <vt:vector size="288" baseType="variant">
      <vt:variant>
        <vt:i4>1114160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_Toc441731647</vt:lpwstr>
      </vt:variant>
      <vt:variant>
        <vt:i4>1114160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_Toc441731646</vt:lpwstr>
      </vt:variant>
      <vt:variant>
        <vt:i4>1114160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_Toc441731645</vt:lpwstr>
      </vt:variant>
      <vt:variant>
        <vt:i4>1114160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_Toc441731644</vt:lpwstr>
      </vt:variant>
      <vt:variant>
        <vt:i4>1114160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_Toc441731643</vt:lpwstr>
      </vt:variant>
      <vt:variant>
        <vt:i4>1114160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_Toc441731642</vt:lpwstr>
      </vt:variant>
      <vt:variant>
        <vt:i4>1114160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_Toc441731641</vt:lpwstr>
      </vt:variant>
      <vt:variant>
        <vt:i4>1114160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_Toc441731640</vt:lpwstr>
      </vt:variant>
      <vt:variant>
        <vt:i4>1441840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_Toc441731639</vt:lpwstr>
      </vt:variant>
      <vt:variant>
        <vt:i4>1441840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_Toc441731638</vt:lpwstr>
      </vt:variant>
      <vt:variant>
        <vt:i4>1441840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_Toc441731637</vt:lpwstr>
      </vt:variant>
      <vt:variant>
        <vt:i4>1441840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_Toc441731636</vt:lpwstr>
      </vt:variant>
      <vt:variant>
        <vt:i4>1441840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_Toc441731635</vt:lpwstr>
      </vt:variant>
      <vt:variant>
        <vt:i4>1441840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_Toc441731634</vt:lpwstr>
      </vt:variant>
      <vt:variant>
        <vt:i4>1441840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_Toc441731633</vt:lpwstr>
      </vt:variant>
      <vt:variant>
        <vt:i4>1441840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_Toc441731632</vt:lpwstr>
      </vt:variant>
      <vt:variant>
        <vt:i4>1441840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_Toc441731631</vt:lpwstr>
      </vt:variant>
      <vt:variant>
        <vt:i4>1441840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_Toc441731630</vt:lpwstr>
      </vt:variant>
      <vt:variant>
        <vt:i4>1507376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_Toc441731629</vt:lpwstr>
      </vt:variant>
      <vt:variant>
        <vt:i4>1507376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_Toc441731628</vt:lpwstr>
      </vt:variant>
      <vt:variant>
        <vt:i4>1507376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_Toc441731627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_Toc441731626</vt:lpwstr>
      </vt:variant>
      <vt:variant>
        <vt:i4>1507376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_Toc441731625</vt:lpwstr>
      </vt:variant>
      <vt:variant>
        <vt:i4>1507376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_Toc441731624</vt:lpwstr>
      </vt:variant>
      <vt:variant>
        <vt:i4>1507376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_Toc441731623</vt:lpwstr>
      </vt:variant>
      <vt:variant>
        <vt:i4>1507376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_Toc441731622</vt:lpwstr>
      </vt:variant>
      <vt:variant>
        <vt:i4>1507376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_Toc441731621</vt:lpwstr>
      </vt:variant>
      <vt:variant>
        <vt:i4>1507376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_Toc441731620</vt:lpwstr>
      </vt:variant>
      <vt:variant>
        <vt:i4>1310768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_Toc441731619</vt:lpwstr>
      </vt:variant>
      <vt:variant>
        <vt:i4>1310768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_Toc441731618</vt:lpwstr>
      </vt:variant>
      <vt:variant>
        <vt:i4>1310768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_Toc441731617</vt:lpwstr>
      </vt:variant>
      <vt:variant>
        <vt:i4>1310768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_Toc441731616</vt:lpwstr>
      </vt:variant>
      <vt:variant>
        <vt:i4>1310768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_Toc441731615</vt:lpwstr>
      </vt:variant>
      <vt:variant>
        <vt:i4>1310768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_Toc441731614</vt:lpwstr>
      </vt:variant>
      <vt:variant>
        <vt:i4>1310768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_Toc441731613</vt:lpwstr>
      </vt:variant>
      <vt:variant>
        <vt:i4>1310768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_Toc441731612</vt:lpwstr>
      </vt:variant>
      <vt:variant>
        <vt:i4>1310768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_Toc441731611</vt:lpwstr>
      </vt:variant>
      <vt:variant>
        <vt:i4>1310768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_Toc441731610</vt:lpwstr>
      </vt:variant>
      <vt:variant>
        <vt:i4>1376304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_Toc441731609</vt:lpwstr>
      </vt:variant>
      <vt:variant>
        <vt:i4>1376304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_Toc441731608</vt:lpwstr>
      </vt:variant>
      <vt:variant>
        <vt:i4>1376304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_Toc441731607</vt:lpwstr>
      </vt:variant>
      <vt:variant>
        <vt:i4>1376304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_Toc441731606</vt:lpwstr>
      </vt:variant>
      <vt:variant>
        <vt:i4>1376304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_Toc441731605</vt:lpwstr>
      </vt:variant>
      <vt:variant>
        <vt:i4>1376304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_Toc441731604</vt:lpwstr>
      </vt:variant>
      <vt:variant>
        <vt:i4>1376304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_Toc441731603</vt:lpwstr>
      </vt:variant>
      <vt:variant>
        <vt:i4>1376304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_Toc441731602</vt:lpwstr>
      </vt:variant>
      <vt:variant>
        <vt:i4>1376304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_Toc441731601</vt:lpwstr>
      </vt:variant>
      <vt:variant>
        <vt:i4>1376304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_Toc441731600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OGÓLNE SPECYFIKACJE TECHNICZNE</dc:title>
  <dc:creator>Sebek</dc:creator>
  <cp:lastModifiedBy>drogowcy</cp:lastModifiedBy>
  <cp:revision>9</cp:revision>
  <cp:lastPrinted>2013-05-06T10:41:00Z</cp:lastPrinted>
  <dcterms:created xsi:type="dcterms:W3CDTF">2014-04-15T08:48:00Z</dcterms:created>
  <dcterms:modified xsi:type="dcterms:W3CDTF">2019-01-02T13:51:00Z</dcterms:modified>
</cp:coreProperties>
</file>