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93" w:rsidRDefault="006A3193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6A3193" w:rsidRPr="00185976" w:rsidRDefault="006A3193" w:rsidP="00185976"/>
    <w:p w:rsidR="006A3193" w:rsidRDefault="006A3193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6A3193" w:rsidRPr="00E36972" w:rsidRDefault="006A3193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6A3193" w:rsidRPr="00E36972" w:rsidRDefault="006A3193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6A3193" w:rsidRPr="00E36972" w:rsidRDefault="006A3193" w:rsidP="00573005">
      <w:r w:rsidRPr="00E36972">
        <w:t xml:space="preserve">Burmistrza Miasta i Gminy Końskie –  Krzysztofa Obratańskiego </w:t>
      </w:r>
    </w:p>
    <w:p w:rsidR="006A3193" w:rsidRPr="00E36972" w:rsidRDefault="006A3193" w:rsidP="00573005">
      <w:r w:rsidRPr="00E36972">
        <w:t>przy kontrasygnacie Skarbnika - Beaty Lis</w:t>
      </w:r>
    </w:p>
    <w:p w:rsidR="006A3193" w:rsidRPr="00E36972" w:rsidRDefault="006A3193" w:rsidP="00573005"/>
    <w:p w:rsidR="006A3193" w:rsidRDefault="006A3193" w:rsidP="00573005">
      <w:pPr>
        <w:jc w:val="center"/>
      </w:pPr>
      <w:r w:rsidRPr="00E36972">
        <w:t>a</w:t>
      </w:r>
    </w:p>
    <w:p w:rsidR="006A3193" w:rsidRPr="00E36972" w:rsidRDefault="006A3193" w:rsidP="00573005">
      <w:pPr>
        <w:jc w:val="center"/>
      </w:pPr>
    </w:p>
    <w:p w:rsidR="006A3193" w:rsidRPr="00E36972" w:rsidRDefault="006A3193" w:rsidP="00573005">
      <w:r w:rsidRPr="00E36972">
        <w:t>___________________________________________________________________________,</w:t>
      </w:r>
    </w:p>
    <w:p w:rsidR="006A3193" w:rsidRDefault="006A3193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6A3193" w:rsidRDefault="006A3193" w:rsidP="00573005">
      <w:pPr>
        <w:pBdr>
          <w:bottom w:val="single" w:sz="8" w:space="2" w:color="000000"/>
        </w:pBdr>
      </w:pPr>
    </w:p>
    <w:p w:rsidR="006A3193" w:rsidRPr="00E36972" w:rsidRDefault="006A3193" w:rsidP="00573005">
      <w:pPr>
        <w:pBdr>
          <w:bottom w:val="single" w:sz="8" w:space="2" w:color="000000"/>
        </w:pBdr>
      </w:pPr>
    </w:p>
    <w:p w:rsidR="006A3193" w:rsidRDefault="006A3193" w:rsidP="00573005">
      <w:pPr>
        <w:pStyle w:val="Standard"/>
        <w:spacing w:before="120" w:after="120"/>
        <w:rPr>
          <w:b/>
          <w:sz w:val="24"/>
          <w:szCs w:val="24"/>
        </w:rPr>
      </w:pPr>
    </w:p>
    <w:p w:rsidR="006A3193" w:rsidRDefault="006A3193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6A3193" w:rsidRDefault="006A3193" w:rsidP="001B50FF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>:</w:t>
      </w:r>
      <w:r w:rsidRPr="00303B7C">
        <w:rPr>
          <w:sz w:val="24"/>
          <w:szCs w:val="24"/>
        </w:rPr>
        <w:t xml:space="preserve"> 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1 - Termomodernizacja budynku MGOPS w Końskich (audyty, dokumentacja,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2 - Termomodernizacja budynku ZPO Kazanów (dokumentacja, audyty</w:t>
      </w:r>
      <w:r w:rsidRPr="00DA731B">
        <w:rPr>
          <w:sz w:val="24"/>
          <w:szCs w:val="24"/>
        </w:rPr>
        <w:br/>
      </w:r>
      <w:r>
        <w:rPr>
          <w:sz w:val="24"/>
          <w:szCs w:val="24"/>
        </w:rPr>
        <w:t>i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3 - Termomodernizacja budynku ZPO Modliszewice (dokumentacja, audyty</w:t>
      </w:r>
      <w:r w:rsidRPr="00DA731B">
        <w:rPr>
          <w:sz w:val="24"/>
          <w:szCs w:val="24"/>
        </w:rPr>
        <w:br/>
        <w:t>i wykonanie)  – roboty budowalne,</w:t>
      </w:r>
      <w:r w:rsidRPr="00DA731B">
        <w:rPr>
          <w:sz w:val="24"/>
          <w:szCs w:val="24"/>
          <w:vertAlign w:val="superscript"/>
        </w:rPr>
        <w:t>*</w:t>
      </w:r>
    </w:p>
    <w:p w:rsidR="006A3193" w:rsidRPr="00DA731B" w:rsidRDefault="006A3193" w:rsidP="00DA731B">
      <w:pPr>
        <w:pStyle w:val="Standard"/>
        <w:widowControl/>
        <w:numPr>
          <w:ilvl w:val="0"/>
          <w:numId w:val="39"/>
        </w:numPr>
        <w:snapToGrid/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4 - Termomodernizacja budynku ZPO Rogów (dokumentacja, audyty</w:t>
      </w:r>
      <w:r w:rsidRPr="00DA731B">
        <w:rPr>
          <w:sz w:val="24"/>
          <w:szCs w:val="24"/>
        </w:rPr>
        <w:br/>
        <w:t>i wykonanie) – roboty budowalne.</w:t>
      </w:r>
      <w:r w:rsidRPr="00DA731B">
        <w:rPr>
          <w:sz w:val="24"/>
          <w:szCs w:val="24"/>
          <w:vertAlign w:val="superscript"/>
        </w:rPr>
        <w:t>*</w:t>
      </w:r>
    </w:p>
    <w:p w:rsidR="006A3193" w:rsidRDefault="006A3193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6A3193" w:rsidRPr="00D5404C" w:rsidRDefault="006A3193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6A3193" w:rsidRPr="00D5404C" w:rsidRDefault="006A3193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6A3193" w:rsidRPr="00D5404C" w:rsidRDefault="006A3193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6A3193" w:rsidRPr="000C06B8" w:rsidRDefault="006A3193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6A3193" w:rsidRPr="00D5404C" w:rsidRDefault="006A3193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6A3193" w:rsidRPr="000B3676" w:rsidRDefault="006A3193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6A3193" w:rsidRPr="00B27FE2" w:rsidRDefault="006A3193" w:rsidP="00B27FE2">
      <w:pPr>
        <w:pStyle w:val="Standard"/>
        <w:widowControl/>
        <w:numPr>
          <w:ilvl w:val="0"/>
          <w:numId w:val="14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6A3193" w:rsidRPr="008B0899" w:rsidRDefault="006A3193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6A3193" w:rsidRPr="008B0899" w:rsidRDefault="006A3193" w:rsidP="00573005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4pt;margin-top:77.25pt;width:181.4pt;height:14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" filled="f" stroked="f">
            <v:textbox style="mso-fit-shape-to-text:t">
              <w:txbxContent>
                <w:p w:rsidR="006A3193" w:rsidRPr="009179BE" w:rsidRDefault="006A3193">
                  <w:pPr>
                    <w:rPr>
                      <w:sz w:val="16"/>
                      <w:szCs w:val="16"/>
                    </w:rPr>
                  </w:pPr>
                  <w:r w:rsidRPr="009179BE">
                    <w:rPr>
                      <w:sz w:val="16"/>
                      <w:szCs w:val="16"/>
                    </w:rPr>
                    <w:t>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9179BE">
                    <w:rPr>
                      <w:sz w:val="16"/>
                      <w:szCs w:val="16"/>
                    </w:rPr>
                    <w:t>_</w:t>
                  </w:r>
                </w:p>
                <w:p w:rsidR="006A3193" w:rsidRPr="009179BE" w:rsidRDefault="006A3193">
                  <w:pPr>
                    <w:rPr>
                      <w:sz w:val="18"/>
                      <w:szCs w:val="16"/>
                    </w:rPr>
                  </w:pPr>
                  <w:r w:rsidRPr="009179BE">
                    <w:rPr>
                      <w:sz w:val="18"/>
                      <w:szCs w:val="16"/>
                      <w:vertAlign w:val="superscript"/>
                    </w:rPr>
                    <w:t>*</w:t>
                  </w:r>
                  <w:r w:rsidRPr="009179BE">
                    <w:rPr>
                      <w:sz w:val="18"/>
                      <w:szCs w:val="16"/>
                    </w:rPr>
                    <w:t xml:space="preserve"> – niepotrzebne skreślić</w:t>
                  </w:r>
                </w:p>
              </w:txbxContent>
            </v:textbox>
          </v:shape>
        </w:pict>
      </w:r>
      <w:r w:rsidRPr="008B0899">
        <w:rPr>
          <w:rFonts w:ascii="Times New Roman" w:hAnsi="Times New Roman"/>
          <w:sz w:val="24"/>
        </w:rPr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rFonts w:ascii="Times New Roman" w:hAnsi="Times New Roman"/>
          <w:b/>
          <w:sz w:val="24"/>
        </w:rPr>
        <w:t>do 31.08.</w:t>
      </w:r>
      <w:r>
        <w:rPr>
          <w:rFonts w:ascii="Times New Roman" w:hAnsi="Times New Roman"/>
          <w:b/>
          <w:sz w:val="24"/>
        </w:rPr>
        <w:br/>
      </w:r>
      <w:r w:rsidRPr="00D91174">
        <w:rPr>
          <w:rFonts w:ascii="Times New Roman" w:hAnsi="Times New Roman"/>
          <w:b/>
          <w:sz w:val="24"/>
        </w:rPr>
        <w:t>2018 r.</w:t>
      </w:r>
      <w:r w:rsidRPr="008B0899">
        <w:rPr>
          <w:rFonts w:ascii="Times New Roman" w:hAnsi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  <w:bookmarkStart w:id="0" w:name="_GoBack"/>
      <w:bookmarkEnd w:id="0"/>
    </w:p>
    <w:p w:rsidR="006A3193" w:rsidRDefault="006A3193" w:rsidP="00B27FE2">
      <w:pPr>
        <w:pStyle w:val="BodyText2"/>
        <w:numPr>
          <w:ilvl w:val="0"/>
          <w:numId w:val="15"/>
        </w:num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6A3193" w:rsidRDefault="006A3193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rFonts w:ascii="Times New Roman" w:hAnsi="Times New Roman"/>
          <w:bCs/>
          <w:sz w:val="24"/>
        </w:rPr>
      </w:pPr>
    </w:p>
    <w:p w:rsidR="006A3193" w:rsidRDefault="006A3193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6A3193" w:rsidRDefault="006A3193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5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6A3193" w:rsidRPr="008B0899" w:rsidRDefault="006A3193" w:rsidP="00B27FE2">
      <w:pPr>
        <w:pStyle w:val="Standard"/>
        <w:widowControl/>
        <w:numPr>
          <w:ilvl w:val="0"/>
          <w:numId w:val="12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6A3193" w:rsidRPr="00CF59B3" w:rsidRDefault="006A3193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6A3193" w:rsidRPr="00CF59B3" w:rsidRDefault="006A3193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6A3193" w:rsidRPr="009E7C0D" w:rsidRDefault="006A3193" w:rsidP="009E7C0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6A3193" w:rsidRPr="00CF59B3" w:rsidRDefault="006A3193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6A3193" w:rsidRPr="00CF59B3" w:rsidRDefault="006A3193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6A3193" w:rsidRPr="00CF59B3" w:rsidRDefault="006A3193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6A3193" w:rsidRPr="00CF59B3" w:rsidRDefault="006A3193" w:rsidP="0056033C">
      <w:pPr>
        <w:pStyle w:val="Wcicietrecitekstu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6A3193" w:rsidRPr="00CF59B3" w:rsidRDefault="006A3193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>tych: …………………………………………………………….) dla zadania nr ……………..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6A3193" w:rsidRPr="00CF59B3" w:rsidRDefault="006A3193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6A3193" w:rsidRPr="00DE36AF" w:rsidRDefault="006A3193" w:rsidP="00DE36AF">
      <w:pPr>
        <w:pStyle w:val="Akapitzlist1"/>
        <w:numPr>
          <w:ilvl w:val="0"/>
          <w:numId w:val="18"/>
        </w:numPr>
        <w:autoSpaceDN/>
        <w:spacing w:after="240"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6A3193" w:rsidRPr="00CF59B3" w:rsidRDefault="006A3193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6A3193" w:rsidRDefault="006A3193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6A3193" w:rsidRPr="00CF59B3" w:rsidRDefault="006A3193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6A3193" w:rsidRPr="00CF59B3" w:rsidRDefault="006A3193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6A3193" w:rsidRPr="00CF59B3" w:rsidRDefault="006A3193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6A3193" w:rsidRPr="00DE36AF" w:rsidRDefault="006A3193" w:rsidP="00DE36AF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6A3193" w:rsidRPr="00D5404C" w:rsidRDefault="006A3193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6A3193" w:rsidRPr="00D5404C" w:rsidRDefault="006A3193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6A3193" w:rsidRPr="00D5404C" w:rsidRDefault="006A3193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6A3193" w:rsidRPr="00D5404C" w:rsidRDefault="006A3193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6A3193" w:rsidRPr="00D5404C" w:rsidRDefault="006A3193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nie mogą przekraczać wartości i 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zgody, o której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6A3193" w:rsidRPr="00D5404C" w:rsidRDefault="006A3193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6A3193" w:rsidRPr="00D5404C" w:rsidRDefault="006A3193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6A3193" w:rsidRPr="00D5404C" w:rsidRDefault="006A3193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6A3193" w:rsidRPr="00D5404C" w:rsidRDefault="006A3193" w:rsidP="00DE36AF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6A3193" w:rsidRPr="00D5404C" w:rsidRDefault="006A3193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6A3193" w:rsidRPr="00D5404C" w:rsidRDefault="006A3193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6A3193" w:rsidRPr="00D5404C" w:rsidRDefault="006A3193" w:rsidP="00DE36AF">
      <w:pPr>
        <w:widowControl/>
        <w:numPr>
          <w:ilvl w:val="1"/>
          <w:numId w:val="27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6A3193" w:rsidRPr="00DE36AF" w:rsidRDefault="006A3193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6A3193" w:rsidRPr="00DE36AF" w:rsidRDefault="006A3193" w:rsidP="00DE36AF">
      <w:pPr>
        <w:widowControl/>
        <w:numPr>
          <w:ilvl w:val="0"/>
          <w:numId w:val="33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6A3193" w:rsidRPr="00DE36AF" w:rsidRDefault="006A3193" w:rsidP="00DE36AF">
      <w:pPr>
        <w:widowControl/>
        <w:numPr>
          <w:ilvl w:val="0"/>
          <w:numId w:val="34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6A3193" w:rsidRPr="00DE36AF" w:rsidRDefault="006A3193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6A3193" w:rsidRPr="00144431" w:rsidRDefault="006A3193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6A3193" w:rsidRPr="00144431" w:rsidRDefault="006A3193" w:rsidP="00DE36AF">
      <w:pPr>
        <w:widowControl/>
        <w:numPr>
          <w:ilvl w:val="0"/>
          <w:numId w:val="33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6A3193" w:rsidRPr="00144431" w:rsidRDefault="006A3193" w:rsidP="00DE36AF">
      <w:pPr>
        <w:widowControl/>
        <w:numPr>
          <w:ilvl w:val="0"/>
          <w:numId w:val="35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144431">
        <w:rPr>
          <w:rFonts w:cs="Calibri"/>
          <w:color w:val="auto"/>
          <w:sz w:val="22"/>
          <w:szCs w:val="23"/>
          <w:lang w:eastAsia="zh-CN"/>
        </w:rPr>
        <w:br/>
        <w:t>i zostały spełnione łącznie warunki: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 </w:t>
      </w:r>
      <w:r w:rsidRPr="00144431">
        <w:rPr>
          <w:rFonts w:cs="Calibri"/>
          <w:color w:val="auto"/>
          <w:sz w:val="22"/>
          <w:szCs w:val="23"/>
          <w:lang w:eastAsia="zh-CN"/>
        </w:rPr>
        <w:t>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 zmiana Wykonawcy spowodowałaby istotną niedogodność lub  znacznie zwiększenie kosztów dla Zamawiającego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144431">
        <w:rPr>
          <w:rFonts w:cs="Calibri"/>
          <w:color w:val="auto"/>
          <w:sz w:val="22"/>
          <w:szCs w:val="23"/>
          <w:lang w:eastAsia="zh-CN"/>
        </w:rPr>
        <w:t xml:space="preserve">wartość kolejnej zmiany nie przekracza 50% wartości zamówienia określonej pierwotnie w umowie </w:t>
      </w:r>
    </w:p>
    <w:p w:rsidR="006A3193" w:rsidRPr="00144431" w:rsidRDefault="006A3193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sz w:val="22"/>
          <w:szCs w:val="23"/>
          <w:lang w:eastAsia="zh-CN"/>
        </w:rPr>
      </w:pPr>
      <w:r w:rsidRPr="00144431">
        <w:rPr>
          <w:sz w:val="22"/>
          <w:szCs w:val="23"/>
        </w:rPr>
        <w:t xml:space="preserve">przewiduje się możliwość wystąpienia robót dodatkowych, które nie zostały ujęte </w:t>
      </w:r>
      <w:r>
        <w:rPr>
          <w:sz w:val="22"/>
          <w:szCs w:val="23"/>
        </w:rPr>
        <w:br/>
      </w:r>
      <w:r w:rsidRPr="00144431">
        <w:rPr>
          <w:sz w:val="22"/>
          <w:szCs w:val="23"/>
        </w:rPr>
        <w:t xml:space="preserve"> opisie przedmiotu zamówienia oraz dokumentacji projektowej. W takiej sytuacji Wykonawca otrzyma zapłatę na podstawie protokołu konieczności wraz</w:t>
      </w:r>
      <w:r w:rsidRPr="00144431">
        <w:rPr>
          <w:sz w:val="22"/>
          <w:szCs w:val="23"/>
        </w:rPr>
        <w:br/>
        <w:t xml:space="preserve">z kosztorysem przygotowanym przez Wykonawcę w oparciu o średnie ceny: materiałów, robocizny oraz sprzętu, określone w kosztorysie ofertowym złożonym przez Wykonawcę, a następnie po przeprowadzeniu negocjacji i zatwierdzeniu przez </w:t>
      </w:r>
      <w:r>
        <w:rPr>
          <w:sz w:val="22"/>
          <w:szCs w:val="23"/>
        </w:rPr>
        <w:t>Z</w:t>
      </w:r>
      <w:r w:rsidRPr="00144431">
        <w:rPr>
          <w:sz w:val="22"/>
          <w:szCs w:val="23"/>
        </w:rPr>
        <w:t>amawiającego.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Przewiduje się możliwość ograniczenia zakresu rzeczowego przedmiotu umowy.</w:t>
      </w:r>
      <w:r w:rsidRPr="0008299F">
        <w:rPr>
          <w:rFonts w:cs="Calibri"/>
          <w:color w:val="auto"/>
          <w:sz w:val="22"/>
          <w:szCs w:val="23"/>
          <w:lang w:eastAsia="zh-CN"/>
        </w:rPr>
        <w:br/>
        <w:t>W takim przypadku umowne wynagrodzenie Wykonawcy zostanie pomniejszone</w:t>
      </w:r>
      <w:r w:rsidRPr="0008299F">
        <w:rPr>
          <w:rFonts w:cs="Calibri"/>
          <w:color w:val="auto"/>
          <w:sz w:val="22"/>
          <w:szCs w:val="23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6A3193" w:rsidRPr="0008299F" w:rsidRDefault="006A3193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6A3193" w:rsidRPr="0008299F" w:rsidRDefault="006A3193" w:rsidP="00DE36AF">
      <w:pPr>
        <w:widowControl/>
        <w:numPr>
          <w:ilvl w:val="0"/>
          <w:numId w:val="35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08299F">
        <w:rPr>
          <w:rFonts w:cs="Calibri"/>
          <w:color w:val="auto"/>
          <w:sz w:val="22"/>
          <w:szCs w:val="23"/>
          <w:lang w:eastAsia="zh-CN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6A3193" w:rsidRPr="0008299F" w:rsidRDefault="006A3193" w:rsidP="002F1E60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6A3193" w:rsidRPr="00144431" w:rsidRDefault="006A3193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6A3193" w:rsidRPr="00CF59B3" w:rsidRDefault="006A3193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6A3193" w:rsidRDefault="006A3193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6A3193" w:rsidRPr="002F0060" w:rsidRDefault="006A3193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6A3193" w:rsidRPr="00CF59B3" w:rsidRDefault="006A3193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6A3193" w:rsidRDefault="006A3193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6A3193" w:rsidRPr="00D97D2D" w:rsidRDefault="006A3193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6A3193" w:rsidRPr="00CF59B3" w:rsidRDefault="006A3193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6A3193" w:rsidRPr="00CF59B3" w:rsidRDefault="006A3193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6A3193" w:rsidRPr="00CF59B3" w:rsidRDefault="006A3193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6A3193" w:rsidRDefault="006A3193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6A3193" w:rsidRPr="00D97D2D" w:rsidRDefault="006A3193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6A3193" w:rsidRPr="00E36972" w:rsidRDefault="006A3193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6A3193" w:rsidRDefault="006A3193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6A3193" w:rsidRDefault="006A3193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6A3193" w:rsidRPr="00573005" w:rsidRDefault="006A3193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6A3193" w:rsidRPr="00CF59B3" w:rsidRDefault="006A3193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6A3193" w:rsidRPr="00CF59B3" w:rsidRDefault="006A3193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6A3193" w:rsidRPr="00CF59B3" w:rsidRDefault="006A3193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6A3193" w:rsidRPr="00CF59B3" w:rsidRDefault="006A3193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6A3193" w:rsidRPr="00CF59B3" w:rsidRDefault="006A3193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6A3193" w:rsidRPr="00CF59B3" w:rsidRDefault="006A3193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6A3193" w:rsidRPr="00E36972" w:rsidRDefault="006A3193" w:rsidP="00573005">
      <w:pPr>
        <w:pStyle w:val="ListParagraph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6A3193" w:rsidRPr="00CF59B3" w:rsidRDefault="006A3193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6A3193" w:rsidRPr="00DE36AF" w:rsidRDefault="006A3193" w:rsidP="00DE36AF">
      <w:pPr>
        <w:widowControl/>
        <w:numPr>
          <w:ilvl w:val="0"/>
          <w:numId w:val="38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</w:p>
    <w:p w:rsidR="006A3193" w:rsidRPr="00DE36AF" w:rsidRDefault="006A3193" w:rsidP="00DE36AF">
      <w:pPr>
        <w:widowControl/>
        <w:numPr>
          <w:ilvl w:val="0"/>
          <w:numId w:val="38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b/>
          <w:color w:val="auto"/>
          <w:lang w:eastAsia="zh-CN"/>
        </w:rPr>
        <w:t xml:space="preserve"> </w:t>
      </w: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6A3193" w:rsidRPr="00DE36AF" w:rsidRDefault="006A3193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6A3193" w:rsidRPr="00CF59B3" w:rsidRDefault="006A3193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6A3193" w:rsidRDefault="006A3193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6A3193" w:rsidRPr="002047D3" w:rsidRDefault="006A3193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6A3193" w:rsidRDefault="006A3193" w:rsidP="000C06B8">
      <w:pPr>
        <w:pStyle w:val="BodyTextIndent"/>
        <w:widowControl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6A3193" w:rsidRDefault="006A3193" w:rsidP="000C06B8">
      <w:pPr>
        <w:pStyle w:val="BodyTextIndent"/>
        <w:widowControl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6A3193" w:rsidRDefault="006A3193" w:rsidP="000C06B8">
      <w:pPr>
        <w:pStyle w:val="Akapitzlist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6A3193" w:rsidRDefault="006A3193" w:rsidP="000C06B8">
      <w:pPr>
        <w:pStyle w:val="Akapitzlist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6A3193" w:rsidRPr="00E36972" w:rsidRDefault="006A3193" w:rsidP="0056033C">
      <w:pPr>
        <w:tabs>
          <w:tab w:val="left" w:pos="360"/>
        </w:tabs>
        <w:spacing w:after="240"/>
        <w:jc w:val="both"/>
      </w:pPr>
    </w:p>
    <w:p w:rsidR="006A3193" w:rsidRPr="00CF59B3" w:rsidRDefault="006A3193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6A3193" w:rsidRPr="00CF59B3" w:rsidRDefault="006A3193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A3193" w:rsidRPr="00CF59B3" w:rsidRDefault="006A3193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6A3193" w:rsidRPr="008B0899" w:rsidRDefault="006A3193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A3193" w:rsidRPr="00CF59B3" w:rsidRDefault="006A3193" w:rsidP="00573005">
      <w:r w:rsidRPr="00CF59B3">
        <w:t>2.  Wykonawcy przysługuje prawo odstąpienia od umowy w szczególności, jeżeli:</w:t>
      </w:r>
    </w:p>
    <w:p w:rsidR="006A3193" w:rsidRPr="00CF59B3" w:rsidRDefault="006A3193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A3193" w:rsidRPr="00CF59B3" w:rsidRDefault="006A3193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A3193" w:rsidRPr="00CF59B3" w:rsidRDefault="006A3193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A3193" w:rsidRPr="00CF59B3" w:rsidRDefault="006A3193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A3193" w:rsidRPr="00CF59B3" w:rsidRDefault="006A3193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A3193" w:rsidRPr="00CF59B3" w:rsidRDefault="006A3193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A3193" w:rsidRPr="00CF59B3" w:rsidRDefault="006A3193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A3193" w:rsidRPr="00CF59B3" w:rsidRDefault="006A3193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6A3193" w:rsidRPr="00CF59B3" w:rsidRDefault="006A3193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A3193" w:rsidRPr="00CF59B3" w:rsidRDefault="006A3193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A3193" w:rsidRPr="00CF59B3" w:rsidRDefault="006A3193" w:rsidP="0056033C">
      <w:pPr>
        <w:pStyle w:val="Akapitzlist1"/>
        <w:numPr>
          <w:ilvl w:val="0"/>
          <w:numId w:val="11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6A3193" w:rsidRPr="00CF59B3" w:rsidRDefault="006A3193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6A3193" w:rsidRPr="00CF59B3" w:rsidRDefault="006A3193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6A3193" w:rsidRPr="00CF59B3" w:rsidRDefault="006A3193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6A3193" w:rsidRPr="00CF59B3" w:rsidRDefault="006A3193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6A3193" w:rsidRPr="00E36972" w:rsidRDefault="006A3193" w:rsidP="00573005">
      <w:pPr>
        <w:spacing w:before="120" w:after="120"/>
        <w:rPr>
          <w:b/>
        </w:rPr>
      </w:pPr>
    </w:p>
    <w:p w:rsidR="006A3193" w:rsidRPr="00904DEB" w:rsidRDefault="006A3193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6A3193" w:rsidRDefault="006A3193"/>
    <w:p w:rsidR="006A3193" w:rsidRDefault="006A3193"/>
    <w:p w:rsidR="006A3193" w:rsidRDefault="006A3193"/>
    <w:p w:rsidR="006A3193" w:rsidRDefault="006A3193"/>
    <w:p w:rsidR="006A3193" w:rsidRDefault="006A3193"/>
    <w:sectPr w:rsidR="006A3193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3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9"/>
  </w:num>
  <w:num w:numId="5">
    <w:abstractNumId w:val="31"/>
  </w:num>
  <w:num w:numId="6">
    <w:abstractNumId w:val="39"/>
  </w:num>
  <w:num w:numId="7">
    <w:abstractNumId w:val="12"/>
  </w:num>
  <w:num w:numId="8">
    <w:abstractNumId w:val="33"/>
  </w:num>
  <w:num w:numId="9">
    <w:abstractNumId w:val="5"/>
  </w:num>
  <w:num w:numId="10">
    <w:abstractNumId w:val="40"/>
  </w:num>
  <w:num w:numId="11">
    <w:abstractNumId w:val="20"/>
  </w:num>
  <w:num w:numId="12">
    <w:abstractNumId w:val="22"/>
  </w:num>
  <w:num w:numId="13">
    <w:abstractNumId w:val="28"/>
  </w:num>
  <w:num w:numId="14">
    <w:abstractNumId w:val="23"/>
  </w:num>
  <w:num w:numId="15">
    <w:abstractNumId w:val="13"/>
  </w:num>
  <w:num w:numId="16">
    <w:abstractNumId w:val="18"/>
  </w:num>
  <w:num w:numId="17">
    <w:abstractNumId w:val="32"/>
  </w:num>
  <w:num w:numId="18">
    <w:abstractNumId w:val="29"/>
  </w:num>
  <w:num w:numId="19">
    <w:abstractNumId w:val="36"/>
  </w:num>
  <w:num w:numId="20">
    <w:abstractNumId w:val="34"/>
  </w:num>
  <w:num w:numId="21">
    <w:abstractNumId w:val="4"/>
  </w:num>
  <w:num w:numId="22">
    <w:abstractNumId w:val="14"/>
  </w:num>
  <w:num w:numId="23">
    <w:abstractNumId w:val="17"/>
  </w:num>
  <w:num w:numId="24">
    <w:abstractNumId w:val="38"/>
  </w:num>
  <w:num w:numId="25">
    <w:abstractNumId w:val="30"/>
  </w:num>
  <w:num w:numId="26">
    <w:abstractNumId w:val="7"/>
  </w:num>
  <w:num w:numId="27">
    <w:abstractNumId w:val="27"/>
  </w:num>
  <w:num w:numId="28">
    <w:abstractNumId w:val="19"/>
  </w:num>
  <w:num w:numId="29">
    <w:abstractNumId w:val="15"/>
  </w:num>
  <w:num w:numId="30">
    <w:abstractNumId w:val="35"/>
  </w:num>
  <w:num w:numId="31">
    <w:abstractNumId w:val="24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6"/>
  </w:num>
  <w:num w:numId="36">
    <w:abstractNumId w:val="11"/>
  </w:num>
  <w:num w:numId="37">
    <w:abstractNumId w:val="2"/>
  </w:num>
  <w:num w:numId="38">
    <w:abstractNumId w:val="3"/>
  </w:num>
  <w:num w:numId="39">
    <w:abstractNumId w:val="3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64732"/>
    <w:rsid w:val="0008299F"/>
    <w:rsid w:val="000974C4"/>
    <w:rsid w:val="000B3676"/>
    <w:rsid w:val="000C06B8"/>
    <w:rsid w:val="000D338C"/>
    <w:rsid w:val="000E74A7"/>
    <w:rsid w:val="000E7EFB"/>
    <w:rsid w:val="00101CDC"/>
    <w:rsid w:val="00106B49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45821"/>
    <w:rsid w:val="0028236A"/>
    <w:rsid w:val="00285AF5"/>
    <w:rsid w:val="002B1D15"/>
    <w:rsid w:val="002E5D3B"/>
    <w:rsid w:val="002F0060"/>
    <w:rsid w:val="002F1E60"/>
    <w:rsid w:val="002F315D"/>
    <w:rsid w:val="00303B7C"/>
    <w:rsid w:val="00311916"/>
    <w:rsid w:val="003617E7"/>
    <w:rsid w:val="003B2E92"/>
    <w:rsid w:val="003C4907"/>
    <w:rsid w:val="004038E3"/>
    <w:rsid w:val="0041116F"/>
    <w:rsid w:val="0042353A"/>
    <w:rsid w:val="00433BC4"/>
    <w:rsid w:val="004432ED"/>
    <w:rsid w:val="004552E3"/>
    <w:rsid w:val="00494A37"/>
    <w:rsid w:val="004C2EFE"/>
    <w:rsid w:val="005459FF"/>
    <w:rsid w:val="00552D02"/>
    <w:rsid w:val="0056033C"/>
    <w:rsid w:val="00573005"/>
    <w:rsid w:val="00591AC9"/>
    <w:rsid w:val="005B7F0C"/>
    <w:rsid w:val="005E2857"/>
    <w:rsid w:val="005E4AC7"/>
    <w:rsid w:val="00626B2B"/>
    <w:rsid w:val="00657EB2"/>
    <w:rsid w:val="006A3193"/>
    <w:rsid w:val="006C2E6D"/>
    <w:rsid w:val="007222CB"/>
    <w:rsid w:val="00757D4B"/>
    <w:rsid w:val="00763741"/>
    <w:rsid w:val="00773DD3"/>
    <w:rsid w:val="00850E6B"/>
    <w:rsid w:val="008B0899"/>
    <w:rsid w:val="008E48CB"/>
    <w:rsid w:val="00904DEB"/>
    <w:rsid w:val="009179BE"/>
    <w:rsid w:val="0093628A"/>
    <w:rsid w:val="009D1486"/>
    <w:rsid w:val="009E7C0D"/>
    <w:rsid w:val="00A3189C"/>
    <w:rsid w:val="00A942FE"/>
    <w:rsid w:val="00A957EB"/>
    <w:rsid w:val="00AC1831"/>
    <w:rsid w:val="00B0350F"/>
    <w:rsid w:val="00B108C4"/>
    <w:rsid w:val="00B27FE2"/>
    <w:rsid w:val="00B31402"/>
    <w:rsid w:val="00B867FE"/>
    <w:rsid w:val="00B94A1E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E36AF"/>
    <w:rsid w:val="00E25C84"/>
    <w:rsid w:val="00E313FC"/>
    <w:rsid w:val="00E36972"/>
    <w:rsid w:val="00E441F0"/>
    <w:rsid w:val="00E86B6D"/>
    <w:rsid w:val="00EC5A97"/>
    <w:rsid w:val="00EE6F13"/>
    <w:rsid w:val="00F34949"/>
    <w:rsid w:val="00F871F7"/>
    <w:rsid w:val="00F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rFonts w:eastAsia="Times New Roman"/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0"/>
      <w:szCs w:val="20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Pr>
      <w:rFonts w:ascii="Times New Roman" w:hAnsi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eastAsia="Times New Roman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34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">
    <w:name w:val="Akapit z listą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ielecki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10</Pages>
  <Words>4042</Words>
  <Characters>24257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6</cp:revision>
  <cp:lastPrinted>2018-01-03T09:27:00Z</cp:lastPrinted>
  <dcterms:created xsi:type="dcterms:W3CDTF">2017-10-10T07:49:00Z</dcterms:created>
  <dcterms:modified xsi:type="dcterms:W3CDTF">2018-01-31T08:33:00Z</dcterms:modified>
</cp:coreProperties>
</file>