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1140"/>
        <w:tblW w:w="15916" w:type="dxa"/>
        <w:tblCellMar>
          <w:left w:w="70" w:type="dxa"/>
          <w:right w:w="70" w:type="dxa"/>
        </w:tblCellMar>
        <w:tblLook w:val="04A0"/>
      </w:tblPr>
      <w:tblGrid>
        <w:gridCol w:w="460"/>
        <w:gridCol w:w="4320"/>
        <w:gridCol w:w="1441"/>
        <w:gridCol w:w="1441"/>
        <w:gridCol w:w="1420"/>
        <w:gridCol w:w="1385"/>
        <w:gridCol w:w="1181"/>
        <w:gridCol w:w="1521"/>
        <w:gridCol w:w="1466"/>
        <w:gridCol w:w="1281"/>
      </w:tblGrid>
      <w:tr w:rsidR="008A3B0D" w:rsidRPr="008A3B0D" w:rsidTr="008A3B0D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bookmarkStart w:id="0" w:name="RANGE!A1:J62"/>
            <w:bookmarkEnd w:id="0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4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Załącznik Nr 1 do uchwały Nr </w:t>
            </w:r>
            <w:r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>V/16</w:t>
            </w:r>
            <w:r w:rsidRPr="008A3B0D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/2011</w:t>
            </w:r>
          </w:p>
        </w:tc>
      </w:tr>
      <w:tr w:rsidR="008A3B0D" w:rsidRPr="008A3B0D" w:rsidTr="008A3B0D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4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Zgromadzenie </w:t>
            </w:r>
            <w:proofErr w:type="spellStart"/>
            <w:r w:rsidRPr="008A3B0D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>SZGiM</w:t>
            </w:r>
            <w:proofErr w:type="spellEnd"/>
            <w:r w:rsidRPr="008A3B0D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z dnia </w:t>
            </w:r>
            <w:r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>27 grudnia 2011</w:t>
            </w:r>
            <w:r w:rsidRPr="008A3B0D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8A3B0D" w:rsidRPr="008A3B0D" w:rsidTr="008A3B0D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1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0"/>
                <w:szCs w:val="20"/>
                <w:lang w:eastAsia="pl-PL"/>
              </w:rPr>
            </w:pPr>
            <w:r w:rsidRPr="008A3B0D">
              <w:rPr>
                <w:rFonts w:ascii="Arial Black" w:eastAsia="Times New Roman" w:hAnsi="Arial Black" w:cs="Times New Roman"/>
                <w:sz w:val="20"/>
                <w:szCs w:val="20"/>
                <w:lang w:eastAsia="pl-PL"/>
              </w:rPr>
              <w:t>Wieloletnia Prognoza Finansowa Staropolskiego Związku Gmin i Miast na lata 2012-2015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8A3B0D" w:rsidRPr="008A3B0D" w:rsidTr="008A3B0D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</w:tr>
      <w:tr w:rsidR="008A3B0D" w:rsidRPr="008A3B0D" w:rsidTr="008A3B0D">
        <w:trPr>
          <w:trHeight w:val="73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WYKONANIE 2009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WYKONANIE 2010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Plan 3kw.2011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Przewidywane wykonanie 2011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PROGNOZA   2012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PROGNOZA   2013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PROGNOZA   2014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PROGNOZA   2015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Dochody ogółem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502 688,63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524 739,01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1 569 000,00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700 000,00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1 269 000,00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1 300 000,00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1 350 000,00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1 400 000,00 </w:t>
            </w:r>
          </w:p>
        </w:tc>
      </w:tr>
      <w:tr w:rsidR="008A3B0D" w:rsidRPr="008A3B0D" w:rsidTr="008A3B0D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Dochody bieżące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502 688,63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524 739,01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1 569 000,00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700 000,00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1 269 000,00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1 300 000,00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1 350 000,00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1 400 000,00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tym: środki z UE*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Dochody majątkowe, w tym: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ze sprzedaży majątku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środki z UE*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Wydatki ogółem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491 435,34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503 708,75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1 594 700,00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700 000,00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1 269 000,00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1 300 000,00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1 350 000,00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1 400 000,00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Wydatki bieżące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491 435,34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503 708,75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1 594 700,00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700 000,00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1 269 000,00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1 278 500,00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1 350 000,00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1 400 000,00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wydatki bieżące bez wydatków na obsługę długu, w tym: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491 435,34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503 708,75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1 593 700,00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700 000,00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1 268 000,00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1 278 500,00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1 350 000,00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1 400 000,00 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 projekty realizowane przy udziale środków, o których mowa w art. 5 ust. 1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pkt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 tytułu poręczeń i gwarancji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400" w:firstLine="7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tym: gwarancje i poręczenia podlegające wyłączeniu z limitów spłaty zobowiązań z art. 243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/169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sufp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300" w:firstLine="5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wydatki bieżące na obsługę długu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1 000,00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1 000,00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400" w:firstLine="7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tym: odsetki i dyskonto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Wydatki majątkowe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21 500,00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tym: na projekty realizowane przy udziale środków, o których mowa w art. 5 ust. 1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pkt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Wynik budżetu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11 253,29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21 030,26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-25 700,00 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Dochody bieżące - wydatki bieżące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11 253,29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21 030,26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-25 700,00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21 500,00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Przychody budżetu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14 492,20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25 745,49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25 700,00 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25 700,00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Nadwyżka budżetowa z lat ubiegłych plus wolne środki, o których mowa w art. 217 ust.1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pkt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6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angażowane w budżecie roku bieżącego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14 492,20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25 745,49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25 700,00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25 700,00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tym: na pokrycie deficytu budżetu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24 700,00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Kredyty, pożyczki, sprzedaż papierów wartościowych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tym: na pokrycie deficytu budżetu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Inne przychody niezwiązane z zaciągnięciem długu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tym: na pokrycie deficytu budżetu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Rozchody budżetu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Spłaty rat kapitałowych oraz wykup papierów wartościowych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tym: kwota wyłączeń z art. 243 ust. 3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pkt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1ufp oraz art. 169 ust. 3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przypadająca na dany rok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Inne rozchody (bez spłaty długu, np. udzielane pożyczki)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Kwota długu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tym: dług spłacany wydatkami (zobowiązania wymagalne, umowy zaliczane do kategorii kredytów i pożyczek, itp.)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Łączna kwota wyłączeń z art. 170 ust. 3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sufp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Zadłużenie/dochody ogółem - max 60% z art. 170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(bez wyłączeń)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9a.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Zadłużenie/dochody ogółem - max 60% z art. 170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(po uwzględnieniu wyłączeń)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Planowana łączna kwota spłaty zobowiązań/dochody ogółem - max 15% z art. 169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(bez wyłączeń)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10a.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Planowana łączna kwota spłaty zobowiązań/dochody ogółem - max 15% z art. 169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(po uwzględnieniu wyłączeń)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</w:tr>
      <w:tr w:rsidR="008A3B0D" w:rsidRPr="008A3B0D" w:rsidTr="008A3B0D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zobowiązań przypadających do spłaty w danym roku budżetowym, podlegająca doliczeniu zgodnie z art. 244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(zobowiązania związku współtworzonego przez JST)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Maksymalny dopuszczalny wskaźnik spłaty z art. 243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2,24%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4,01%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-1,64%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1,54%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0,79%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0,55%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Art. 243 ustawy z dnia 27 sierpnia 2009 r. - w ujęciu rocznym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2,24%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4,01%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-1,64%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1,65%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Relacja planowanej łącznej kwoty spłaty zobowiązań do dochodów  (bez wyłączeń)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13a.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Spełnienie wskaźnika spłaty z art. 243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 uwzględnieniu art. 244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(bez wyłączeń)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spełnia art.243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spełnia art.243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spełnia art.243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spełnia art.243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Spełnia  art. 243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Spełnia  art. 243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Spełnia  art. 243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Spełnia  art. 243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Relacja planowanej łącznej kwoty spłaty zobowiązań do dochodów (po uwzględnieniu wyłączeń)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0,00%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14a.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Spełnienie wskaźnika spłaty z art. 243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 uwzględnieniu art. 244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(po uwzględnieniu wyłączeń)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spełnia art.243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spełnia art.243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spełnia art.243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spełnia art.243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Spełnia  art. 243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Spełnia  art. 243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Spełnia  art. 243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Spełnia  art. 243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Informacja z art. 226 ust. 2, tj. wydatki: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 wynagrodzenia i składki od nich naliczane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365 902,03 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335 065,84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1 420 200,00   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550 000,00 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1 144 900,00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1 200 000,00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1 236 000,00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1 273 000,00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związane z funkcjonowaniem organów JST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41 034,15  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63 159,58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73 400,00   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68 300,00 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67 900,00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70 000,00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72 000,00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75 000,00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bieżące objęte limitem art. 226 ust. 4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9 300,00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9 300,00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9 500,00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9 100,00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7 000,00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3 000,00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majątkowe objęte limitem art. 226 ust. 4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ufp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Przeznaczenie nadwyżki wykonanej w poszczególnych latach objętych prognozą: **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przejętych zobowiązań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 tym: od samorządowych samodzielnych publicznych zakładów opieki zdrowotnej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0,00 </w:t>
            </w: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* środki, o których mowa w art. 5 ust. 1 </w:t>
            </w:r>
            <w:proofErr w:type="spellStart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pkt</w:t>
            </w:r>
            <w:proofErr w:type="spellEnd"/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2 ustawy o finansach publicznych z 2009 r.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A3B0D" w:rsidRPr="008A3B0D" w:rsidTr="008A3B0D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** Przeznaczenie planowanej nadwyżki budżetowej jest szczegółowo opisane w objaśnieniach.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3B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Przewodniczący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A3B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Zgromadzenia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pl-PL"/>
              </w:rPr>
            </w:pP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A3B0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Tomasz </w:t>
            </w:r>
            <w:proofErr w:type="spellStart"/>
            <w:r w:rsidRPr="008A3B0D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  <w:t>Słoka</w:t>
            </w:r>
            <w:proofErr w:type="spell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8A3B0D" w:rsidRPr="008A3B0D" w:rsidTr="008A3B0D">
        <w:trPr>
          <w:trHeight w:val="24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B0D" w:rsidRPr="008A3B0D" w:rsidRDefault="008A3B0D" w:rsidP="008A3B0D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494F90" w:rsidRPr="008A3B0D" w:rsidRDefault="00494F90" w:rsidP="008A3B0D"/>
    <w:sectPr w:rsidR="00494F90" w:rsidRPr="008A3B0D" w:rsidSect="00F75C62">
      <w:pgSz w:w="16838" w:h="11906" w:orient="landscape" w:code="9"/>
      <w:pgMar w:top="1134" w:right="72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75C62"/>
    <w:rsid w:val="002D4A13"/>
    <w:rsid w:val="00494F90"/>
    <w:rsid w:val="006C0429"/>
    <w:rsid w:val="008A3B0D"/>
    <w:rsid w:val="00F7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F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</cp:revision>
  <dcterms:created xsi:type="dcterms:W3CDTF">2012-03-21T20:47:00Z</dcterms:created>
  <dcterms:modified xsi:type="dcterms:W3CDTF">2012-03-21T20:47:00Z</dcterms:modified>
</cp:coreProperties>
</file>