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98D" w:rsidRPr="00EA68D3" w:rsidRDefault="00C738C3">
      <w:pPr>
        <w:pStyle w:val="Tytu"/>
        <w:ind w:firstLine="0"/>
        <w:jc w:val="both"/>
        <w:rPr>
          <w:rFonts w:ascii="Tahoma" w:hAnsi="Tahoma" w:cs="Tahoma"/>
          <w:b/>
        </w:rPr>
      </w:pPr>
      <w:bookmarkStart w:id="0" w:name="_Toc449090281"/>
      <w:r w:rsidRPr="00EA68D3">
        <w:rPr>
          <w:rFonts w:ascii="Tahoma" w:hAnsi="Tahoma" w:cs="Tahoma"/>
          <w:b/>
        </w:rPr>
        <w:t xml:space="preserve">D - 01.02.04. ROZBIÓRKA ELEMENTÓW </w:t>
      </w:r>
      <w:bookmarkEnd w:id="0"/>
      <w:r w:rsidRPr="00EA68D3">
        <w:rPr>
          <w:rFonts w:ascii="Tahoma" w:hAnsi="Tahoma" w:cs="Tahoma"/>
          <w:b/>
        </w:rPr>
        <w:t>DRÓG</w:t>
      </w:r>
    </w:p>
    <w:p w:rsidR="0095398D" w:rsidRPr="00EA68D3" w:rsidRDefault="00C738C3">
      <w:pPr>
        <w:pStyle w:val="Heading1"/>
        <w:keepNext w:val="0"/>
        <w:numPr>
          <w:ilvl w:val="0"/>
          <w:numId w:val="4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WSTĘP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1.1. Przedmiot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) są wymagania dotyczące wykonania i odbioru robót związanych z rozbiórką elementów drogi w związku z zamierzeniem budowlanym pn.: </w:t>
      </w:r>
      <w:r w:rsidR="00877227" w:rsidRPr="00EA68D3">
        <w:rPr>
          <w:rFonts w:ascii="Tahoma" w:hAnsi="Tahoma" w:cs="Tahoma"/>
        </w:rPr>
        <w:t>„</w:t>
      </w:r>
      <w:r w:rsidR="004A50D7" w:rsidRPr="004A50D7">
        <w:rPr>
          <w:rFonts w:ascii="Tahoma" w:hAnsi="Tahoma" w:cs="Tahoma"/>
        </w:rPr>
        <w:t>Modernizacja infrastruktury drogowej na terenie Gminy Wodzierady - remont drogi gminnej nr 103402E Kwiatkowice - Wandzin i 108205E granica gminy Lutomiersk - Kwiatkowice Las</w:t>
      </w:r>
      <w:r w:rsidR="00877227" w:rsidRPr="00EA68D3">
        <w:rPr>
          <w:rFonts w:ascii="Tahoma" w:hAnsi="Tahoma" w:cs="Tahoma"/>
        </w:rPr>
        <w:t>”</w:t>
      </w:r>
      <w:r w:rsidRPr="00EA68D3">
        <w:rPr>
          <w:rFonts w:ascii="Tahoma" w:hAnsi="Tahoma" w:cs="Tahoma"/>
        </w:rPr>
        <w:t>.</w:t>
      </w:r>
      <w:bookmarkStart w:id="1" w:name="_GoBack"/>
      <w:bookmarkEnd w:id="1"/>
    </w:p>
    <w:p w:rsidR="0095398D" w:rsidRPr="00EA68D3" w:rsidRDefault="0095398D">
      <w:pPr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Zakres stosowania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Specyfikacja techniczna wykonania i odbioru robót budowlanych powinna być stosowana jako dokument przetargowy i kontraktowy przy zlecaniu i realizacji robót wymienionych w p. 1.1.</w:t>
      </w:r>
    </w:p>
    <w:p w:rsidR="0095398D" w:rsidRPr="00EA68D3" w:rsidRDefault="0095398D">
      <w:pPr>
        <w:ind w:firstLine="708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Zakres robót objętych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Ustalenia zawarte w niniejszej specyfikacji dotyczą zasad prowadzenia robót związanych z rozbiórką:</w:t>
      </w:r>
    </w:p>
    <w:p w:rsidR="00017B7A" w:rsidRPr="008D732E" w:rsidRDefault="00760CD2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podbudów z kruszywa kamiennego,</w:t>
      </w:r>
    </w:p>
    <w:p w:rsidR="00CF0E0A" w:rsidRPr="008D732E" w:rsidRDefault="00CF0E0A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przepustów rurowych z rur betonowych i tworzyw sztucznych,</w:t>
      </w:r>
    </w:p>
    <w:p w:rsidR="00CF0E0A" w:rsidRPr="008D732E" w:rsidRDefault="008D732E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 xml:space="preserve">betonowych i żelbetowych </w:t>
      </w:r>
      <w:r w:rsidR="00CF0E0A" w:rsidRPr="008D732E">
        <w:rPr>
          <w:rFonts w:ascii="Tahoma" w:hAnsi="Tahoma" w:cs="Tahoma"/>
        </w:rPr>
        <w:t>ścianek czołowych przepustów,</w:t>
      </w:r>
    </w:p>
    <w:p w:rsidR="00634077" w:rsidRPr="008D732E" w:rsidRDefault="00634077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znaków drogowych.</w:t>
      </w:r>
    </w:p>
    <w:p w:rsidR="0095398D" w:rsidRPr="00EA68D3" w:rsidRDefault="0095398D" w:rsidP="002725BD">
      <w:pPr>
        <w:pStyle w:val="Punktowanie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1.4. Określenia podstawowe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Stosowane określenia podstawowe są zgodne z obowiązującymi, odpowiednimi polskimi normami oraz z definicjami podanymi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1.4.</w:t>
      </w:r>
    </w:p>
    <w:p w:rsidR="0095398D" w:rsidRPr="00EA68D3" w:rsidRDefault="0095398D">
      <w:pPr>
        <w:tabs>
          <w:tab w:val="left" w:pos="0"/>
        </w:tabs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5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Ogólne wymagania dotyczące robót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1.5.</w:t>
      </w:r>
    </w:p>
    <w:p w:rsidR="0095398D" w:rsidRPr="00EA68D3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MATERIAŁY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2.1. Ogólne wymagania dotyczące materiałów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materiałów i ich składowania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2.      </w:t>
      </w:r>
    </w:p>
    <w:p w:rsidR="0095398D" w:rsidRPr="00EA68D3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SPRZĘT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3.1. Ogólne wymagania dotyczące sprzętu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sprzętu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 D-M-00.00.00 „Wymagania ogólne”  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3.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3.2. Sprzęt do rozbiórki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 wykonania robót związanych z rozbiórką elementów dróg może być wykorzystany sprzęt podany poniżej, lub inny zaakceptowany przez Zamawiającego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spycharki,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ładowarki,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żurawie samochodowe,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samochody ciężarowe,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zrywarki,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młoty pneumatyczne,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piły mechaniczne,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frezarki nawierzchni,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koparki,</w:t>
      </w:r>
    </w:p>
    <w:p w:rsidR="00182264" w:rsidRPr="00EA68D3" w:rsidRDefault="00182264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koparki z młotami wyburzeniowymi,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inny sprzęt do robót ręcznych jak młoty, kilofy, łopaty itp.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4. TRANSPORT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lastRenderedPageBreak/>
        <w:t>4.1. Ogólne wymagania dotyczące transportu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transportu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4.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4.2. Transport materiałów z rozbiórki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Materiał z rozbiórki można przewozić dowolnym środkiem transportu. Z zastrzeżeniem, że materiały które można ponownie wykorzystać w procesie budowlanym należy przewozić w sposób zapobiegający wymieszaniu z innymi materiałami.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5. WYKONANIE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5.1. Ogólne zasady wykonania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wykonania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5.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5.2. Wykonanie robót rozbiórkowych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Roboty rozbiórkowe elementów dróg wymienionych w punkcie 1.3 obejmują usunięcie z terenu budowy wszystkich elementów zgodnie z dokumentacją projektową,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wskazanych przez </w:t>
      </w:r>
      <w:r w:rsidRPr="00EA68D3">
        <w:rPr>
          <w:rFonts w:ascii="Tahoma" w:eastAsia="Tahoma" w:hAnsi="Tahoma" w:cs="Tahoma"/>
          <w:lang w:eastAsia="ar-SA"/>
        </w:rPr>
        <w:t>Zamawiającego</w:t>
      </w:r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Jeśli dokumentacja projektowa nie zawiera dokumentacji inwentaryzacyjnej lub/i rozbiórkowej, Zamawiający może polecić Wykonawcy sporządzenie takiej dokumentacji, w której zostanie określony przewidziany odzysk materiałów.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Roboty rozbiórkowe można wykonywać mechanicznie lub ręcznie w sposób określony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przez Zamawiającego.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 przypadku usuwania warstw nawierzchni z zastosowaniem frezarek drogowych, należy spełnić </w:t>
      </w:r>
      <w:r w:rsidR="00760CD2" w:rsidRPr="00EA68D3">
        <w:rPr>
          <w:rFonts w:ascii="Tahoma" w:hAnsi="Tahoma" w:cs="Tahoma"/>
        </w:rPr>
        <w:t xml:space="preserve">warunki określone w </w:t>
      </w:r>
      <w:proofErr w:type="spellStart"/>
      <w:r w:rsidR="00760CD2" w:rsidRPr="00EA68D3">
        <w:rPr>
          <w:rFonts w:ascii="Tahoma" w:hAnsi="Tahoma" w:cs="Tahoma"/>
        </w:rPr>
        <w:t>STWiORB</w:t>
      </w:r>
      <w:proofErr w:type="spellEnd"/>
      <w:r w:rsidR="00760CD2" w:rsidRPr="00EA68D3">
        <w:rPr>
          <w:rFonts w:ascii="Tahoma" w:hAnsi="Tahoma" w:cs="Tahoma"/>
        </w:rPr>
        <w:t xml:space="preserve"> D-</w:t>
      </w:r>
      <w:r w:rsidRPr="00EA68D3">
        <w:rPr>
          <w:rFonts w:ascii="Tahoma" w:hAnsi="Tahoma" w:cs="Tahoma"/>
        </w:rPr>
        <w:t>05.03.11.</w:t>
      </w:r>
      <w:r w:rsidR="00760CD2" w:rsidRPr="00EA68D3">
        <w:rPr>
          <w:rFonts w:ascii="Tahoma" w:hAnsi="Tahoma" w:cs="Tahoma"/>
        </w:rPr>
        <w:t xml:space="preserve"> </w:t>
      </w:r>
      <w:r w:rsidRPr="00EA68D3">
        <w:rPr>
          <w:rFonts w:ascii="Tahoma" w:hAnsi="Tahoma" w:cs="Tahoma"/>
        </w:rPr>
        <w:t>FREZOWANIE NAWIERZCHNI ASFALTOWYCH NA ZIMNO.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Wszystkie elementy możliwe do powtórnego wykorzystania powinny być usuwane bez powodowania zbędnych uszkodzeń. O ile uzyskane elementy nie stają się własnością Wykonawcy, powinien on przewieźć je na miejsce określone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wskazane przez Zamawiającego.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Elementy i materiały, które zgodnie z umową kontraktową stają się własnością Wykonawcy, powinny być usunięte z terenu budowy.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Doły (wykopy) powstałe po rozbiórce elementów dróg, ogrodzeń znajdujące się w miejscach, gdzie zgodnie z dokumentacją projektową będą wykonane wykopy drogowe, powinny być tymczasowo zabezpieczone. W szczególności należy zapobiec gromadzeniu się w nich wody opadowej.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Doły w miejscach, gdzie nie przewiduje się wykonania wykopów drogowych należy wypełnić, warstwami, odpowiednim gruntem do poziomu otaczającego terenu i zagęścić zgodnie z wymaganiami określonymi w odpowiedniej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Materiały rozbiórkowe nadające się do ponownego wykorzystania (decyduje o tym </w:t>
      </w:r>
      <w:r w:rsidRPr="00EA68D3">
        <w:rPr>
          <w:rFonts w:ascii="Tahoma" w:eastAsia="Tahoma" w:hAnsi="Tahoma" w:cs="Tahoma"/>
          <w:lang w:eastAsia="ar-SA"/>
        </w:rPr>
        <w:t>Zamawiający</w:t>
      </w:r>
      <w:r w:rsidRPr="00EA68D3">
        <w:rPr>
          <w:rFonts w:ascii="Tahoma" w:hAnsi="Tahoma" w:cs="Tahoma"/>
        </w:rPr>
        <w:t>) są własnością Zamawiającego i powinny być usunięte z terenu budowy i przewiezione w miejsce przez niego wskazane.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Materiały z rozbiórki nie nadające się do jakiegokolwiek wykorzystania są własnością Wykonawcy i zostaną wywiezione z budowy na jego koszt, zgodnie z zasadami Ustawy o odpadach.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6. KONTROLA JAKOŚCI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6.1. Ogólne zasady kontroli jakości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kontroli jakości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6.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6.2. Kontrola jakości robót rozbiórkowych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Kontrola jakości robót polega na wizualnej ocenie kompletności wykonanych robót rozbiórkowych oraz sprawdzeniu stopnia uszkodzenia elementów przewidzianych do powtórnego wykorzystania.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Zagęszczenie gruntu wypełniającego ewentualne doły po usuniętych elementach, powinno spełniać odpowiednie wymagania określone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7. OBMIAR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7.1. Ogólne zasady obmiaru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obmiaru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7.</w:t>
      </w:r>
    </w:p>
    <w:p w:rsidR="0095398D" w:rsidRPr="00EA68D3" w:rsidRDefault="0095398D">
      <w:pPr>
        <w:ind w:left="707" w:firstLine="2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  <w:color w:val="auto"/>
        </w:rPr>
      </w:pPr>
      <w:r w:rsidRPr="00EA68D3">
        <w:rPr>
          <w:rFonts w:ascii="Tahoma" w:hAnsi="Tahoma" w:cs="Tahoma"/>
          <w:color w:val="auto"/>
        </w:rPr>
        <w:t>7.2. Jednostka obmiarowa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lastRenderedPageBreak/>
        <w:t>Jednostką obmiarową robót związanych z rozbiórką elementów dróg jest:</w:t>
      </w:r>
    </w:p>
    <w:p w:rsidR="00760CD2" w:rsidRPr="00EA68D3" w:rsidRDefault="00760CD2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823AF6" w:rsidRPr="00EA68D3">
        <w:rPr>
          <w:rFonts w:ascii="Tahoma" w:hAnsi="Tahoma" w:cs="Tahoma"/>
        </w:rPr>
        <w:t>podbudów z kruszywa kamiennego</w:t>
      </w:r>
      <w:r w:rsidRPr="00EA68D3">
        <w:rPr>
          <w:rFonts w:ascii="Tahoma" w:hAnsi="Tahoma" w:cs="Tahoma"/>
        </w:rPr>
        <w:t xml:space="preserve"> - m2 (metr kwadratowy),</w:t>
      </w:r>
    </w:p>
    <w:p w:rsidR="00AB3E17" w:rsidRPr="00EA68D3" w:rsidRDefault="007F0DBF" w:rsidP="00AB3E1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przepustów rurowych z rur betonowych i tworzyw sztucznych</w:t>
      </w:r>
      <w:r w:rsidRPr="00EA68D3">
        <w:rPr>
          <w:rFonts w:ascii="Tahoma" w:hAnsi="Tahoma" w:cs="Tahoma"/>
        </w:rPr>
        <w:t xml:space="preserve"> - m (metr)</w:t>
      </w:r>
      <w:r w:rsidR="00AB3E17" w:rsidRPr="00EA68D3">
        <w:rPr>
          <w:rFonts w:ascii="Tahoma" w:hAnsi="Tahoma" w:cs="Tahoma"/>
        </w:rPr>
        <w:t>,</w:t>
      </w:r>
    </w:p>
    <w:p w:rsidR="00AB3E17" w:rsidRPr="00EA68D3" w:rsidRDefault="007F0DBF" w:rsidP="00AB3E1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8D732E" w:rsidRPr="00EA68D3">
        <w:rPr>
          <w:rFonts w:ascii="Tahoma" w:hAnsi="Tahoma" w:cs="Tahoma"/>
        </w:rPr>
        <w:t xml:space="preserve">betonowych i żelbetowych </w:t>
      </w:r>
      <w:r w:rsidR="00AB3E17" w:rsidRPr="00EA68D3">
        <w:rPr>
          <w:rFonts w:ascii="Tahoma" w:hAnsi="Tahoma" w:cs="Tahoma"/>
        </w:rPr>
        <w:t xml:space="preserve">ścianek czołowych przepustów </w:t>
      </w:r>
      <w:r w:rsidRPr="00EA68D3">
        <w:rPr>
          <w:rFonts w:ascii="Tahoma" w:hAnsi="Tahoma" w:cs="Tahoma"/>
        </w:rPr>
        <w:t>– m3 (metr sześcienny)</w:t>
      </w:r>
      <w:r w:rsidR="00AB3E17" w:rsidRPr="00EA68D3">
        <w:rPr>
          <w:rFonts w:ascii="Tahoma" w:hAnsi="Tahoma" w:cs="Tahoma"/>
        </w:rPr>
        <w:t>,</w:t>
      </w:r>
    </w:p>
    <w:p w:rsidR="00AB3E17" w:rsidRPr="00EA68D3" w:rsidRDefault="00E71C2C" w:rsidP="000D6430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znaków drogowych</w:t>
      </w:r>
      <w:r w:rsidR="007F0DBF" w:rsidRPr="00EA68D3">
        <w:rPr>
          <w:rFonts w:ascii="Tahoma" w:hAnsi="Tahoma" w:cs="Tahoma"/>
        </w:rPr>
        <w:t xml:space="preserve"> - szt. (sztuka).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8. ODBIÓR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odbioru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8.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9. PODSTAWA PŁATNOŚCI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9.1. Ogólne ustalenia dotyczące podstawy płatności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9.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Należy rozebrać elementy wyszczególnione w przedmiarze.</w:t>
      </w:r>
    </w:p>
    <w:p w:rsidR="0095398D" w:rsidRPr="00EA68D3" w:rsidRDefault="0095398D">
      <w:pPr>
        <w:ind w:firstLine="142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9.2. Cena jednostki obmiarowej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Ceny winny obejmować pozyskanie utrzymanie i likwidację składowisk, koszty utylizacji zgodnie z prawem ochrony środowiska o ile materiały nie będą nadawały się do ponownego wbudowania oraz koszty zastosowania materiałów i sprzętu pomocniczego koniecznych do prawidłowego wykonania robót zgodnie z przyjętą technologią wykonania.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Cena wykonania robót </w:t>
      </w:r>
      <w:r w:rsidR="00E75F81" w:rsidRPr="00EA68D3">
        <w:rPr>
          <w:rFonts w:ascii="Tahoma" w:hAnsi="Tahoma" w:cs="Tahoma"/>
        </w:rPr>
        <w:t xml:space="preserve">rozbiórkowych </w:t>
      </w:r>
      <w:r w:rsidRPr="00EA68D3">
        <w:rPr>
          <w:rFonts w:ascii="Tahoma" w:hAnsi="Tahoma" w:cs="Tahoma"/>
        </w:rPr>
        <w:t>obejmuje:</w:t>
      </w:r>
    </w:p>
    <w:p w:rsidR="0095398D" w:rsidRPr="00EA68D3" w:rsidRDefault="0095398D">
      <w:pPr>
        <w:pStyle w:val="Punktowanie"/>
        <w:ind w:left="709" w:firstLine="0"/>
        <w:rPr>
          <w:rFonts w:ascii="Tahoma" w:hAnsi="Tahoma" w:cs="Tahoma"/>
        </w:rPr>
      </w:pPr>
    </w:p>
    <w:p w:rsidR="00823AF6" w:rsidRPr="00EA68D3" w:rsidRDefault="00A82AE1" w:rsidP="00E95CC9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dla podbudów z kruszywa kamiennego</w:t>
      </w:r>
      <w:r w:rsidR="00823AF6" w:rsidRPr="00EA68D3">
        <w:rPr>
          <w:rFonts w:ascii="Tahoma" w:hAnsi="Tahoma" w:cs="Tahoma"/>
        </w:rPr>
        <w:t xml:space="preserve">: 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zerwanie podbudowy (usunięcie) z ewentualnym przemieszczeniem na odkład na </w:t>
      </w:r>
      <w:proofErr w:type="spellStart"/>
      <w:r w:rsidRPr="00EA68D3">
        <w:rPr>
          <w:rFonts w:ascii="Tahoma" w:hAnsi="Tahoma" w:cs="Tahoma"/>
        </w:rPr>
        <w:t>odl</w:t>
      </w:r>
      <w:proofErr w:type="spellEnd"/>
      <w:r w:rsidRPr="00EA68D3">
        <w:rPr>
          <w:rFonts w:ascii="Tahoma" w:hAnsi="Tahoma" w:cs="Tahoma"/>
        </w:rPr>
        <w:t>. do 20 m,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95CC9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rozbiórki.</w:t>
      </w:r>
    </w:p>
    <w:p w:rsidR="00CB352F" w:rsidRPr="00EA68D3" w:rsidRDefault="00CB352F" w:rsidP="00CB352F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przepustów rurowych z rur betonowych i tworzyw sztucznych: 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miejsca rozbiórki przepustu,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ręczne lub mechaniczne odkopanie przepustu,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zdemontowanie rur z ich wydobyciem </w:t>
      </w:r>
      <w:r w:rsidR="003D3645" w:rsidRPr="00EA68D3">
        <w:rPr>
          <w:rFonts w:ascii="Tahoma" w:hAnsi="Tahoma" w:cs="Tahoma"/>
        </w:rPr>
        <w:t>na powierzchnię terenu</w:t>
      </w:r>
      <w:r w:rsidRPr="00EA68D3">
        <w:rPr>
          <w:rFonts w:ascii="Tahoma" w:hAnsi="Tahoma" w:cs="Tahoma"/>
        </w:rPr>
        <w:t>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 w:rsidR="003D3645" w:rsidRPr="00EA68D3">
        <w:rPr>
          <w:rFonts w:ascii="Tahoma" w:hAnsi="Tahoma" w:cs="Tahoma"/>
        </w:rPr>
        <w:t>.</w:t>
      </w:r>
    </w:p>
    <w:p w:rsidR="00E167FA" w:rsidRPr="00EA68D3" w:rsidRDefault="00E167FA" w:rsidP="00E167FA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8D732E" w:rsidRPr="00EA68D3">
        <w:rPr>
          <w:rFonts w:ascii="Tahoma" w:hAnsi="Tahoma" w:cs="Tahoma"/>
        </w:rPr>
        <w:t xml:space="preserve">betonowych i żelbetowych </w:t>
      </w:r>
      <w:r w:rsidRPr="00EA68D3">
        <w:rPr>
          <w:rFonts w:ascii="Tahoma" w:hAnsi="Tahoma" w:cs="Tahoma"/>
        </w:rPr>
        <w:t xml:space="preserve">ścianek czołowych przepustów: 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miejsca rozbiórki</w:t>
      </w:r>
      <w:r w:rsidR="001818DC" w:rsidRPr="00EA68D3">
        <w:rPr>
          <w:rFonts w:ascii="Tahoma" w:hAnsi="Tahoma" w:cs="Tahoma"/>
        </w:rPr>
        <w:t xml:space="preserve"> ścianek</w:t>
      </w:r>
      <w:r w:rsidRPr="00EA68D3">
        <w:rPr>
          <w:rFonts w:ascii="Tahoma" w:hAnsi="Tahoma" w:cs="Tahoma"/>
        </w:rPr>
        <w:t>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mechaniczne rozkruszenie elementów betonowych lub żelbetowych,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mechaniczne wybranie gruzu,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wycinanie zbrojeń i elementów stalowych wraz segregacją złomu,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 w:rsidR="00E71C2C" w:rsidRPr="00EA68D3">
        <w:rPr>
          <w:rFonts w:ascii="Tahoma" w:hAnsi="Tahoma" w:cs="Tahoma"/>
        </w:rPr>
        <w:t>.</w:t>
      </w:r>
    </w:p>
    <w:p w:rsidR="006B08AD" w:rsidRPr="00EA68D3" w:rsidRDefault="006B08AD" w:rsidP="00E95CC9">
      <w:pPr>
        <w:pStyle w:val="Punktowanie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rozbiórki znaków drogowych: 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wyznaczenie miejsca rozbiórki </w:t>
      </w:r>
      <w:r>
        <w:rPr>
          <w:rFonts w:ascii="Tahoma" w:hAnsi="Tahoma" w:cs="Tahoma"/>
        </w:rPr>
        <w:t>znaków</w:t>
      </w:r>
      <w:r w:rsidRPr="00EA68D3">
        <w:rPr>
          <w:rFonts w:ascii="Tahoma" w:hAnsi="Tahoma" w:cs="Tahoma"/>
        </w:rPr>
        <w:t>,</w:t>
      </w:r>
    </w:p>
    <w:p w:rsid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z</w:t>
      </w:r>
      <w:r w:rsidRPr="00EA68D3">
        <w:rPr>
          <w:rFonts w:ascii="Tahoma" w:hAnsi="Tahoma" w:cs="Tahoma"/>
        </w:rPr>
        <w:t>djęcie ze słupków znaków drogowych</w:t>
      </w:r>
      <w:r>
        <w:rPr>
          <w:rFonts w:ascii="Tahoma" w:hAnsi="Tahoma" w:cs="Tahoma"/>
        </w:rPr>
        <w:t>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odkopanie słupków,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wyjęcie słupka razem z fundamentem,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zasypanie dołów po słupkach wraz z zagęszczeniem do uzyskania </w:t>
      </w:r>
      <w:proofErr w:type="spellStart"/>
      <w:r w:rsidRPr="00EA68D3">
        <w:rPr>
          <w:rFonts w:ascii="Tahoma" w:hAnsi="Tahoma" w:cs="Tahoma"/>
        </w:rPr>
        <w:t>Is</w:t>
      </w:r>
      <w:proofErr w:type="spellEnd"/>
      <w:r w:rsidRPr="00EA68D3">
        <w:rPr>
          <w:rFonts w:ascii="Tahoma" w:hAnsi="Tahoma" w:cs="Tahoma"/>
        </w:rPr>
        <w:t xml:space="preserve"> ≥ 1,00,</w:t>
      </w:r>
    </w:p>
    <w:p w:rsidR="00DA1A65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>
        <w:rPr>
          <w:rFonts w:ascii="Tahoma" w:hAnsi="Tahoma" w:cs="Tahoma"/>
        </w:rPr>
        <w:t>.</w:t>
      </w:r>
    </w:p>
    <w:p w:rsidR="008434F3" w:rsidRPr="00EA68D3" w:rsidRDefault="008434F3" w:rsidP="008434F3">
      <w:pPr>
        <w:pStyle w:val="Punktowanie"/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10.  PRZEPISY ZWIĄZANE</w:t>
      </w:r>
    </w:p>
    <w:p w:rsidR="0095398D" w:rsidRPr="00EA68D3" w:rsidRDefault="00C738C3" w:rsidP="00184E20">
      <w:pPr>
        <w:pStyle w:val="Numerowanie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EA68D3">
        <w:rPr>
          <w:rFonts w:ascii="Tahoma" w:hAnsi="Tahoma" w:cs="Tahoma"/>
          <w:sz w:val="20"/>
          <w:szCs w:val="20"/>
        </w:rPr>
        <w:t>Ustawa z dnia 14.12.2012 r. o odpadach Dz. U. 2013 poz. 21 z późniejszymi zmianami.</w:t>
      </w:r>
    </w:p>
    <w:sectPr w:rsidR="0095398D" w:rsidRPr="00EA68D3" w:rsidSect="0095398D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CCF" w:rsidRDefault="00417CCF" w:rsidP="0095398D">
      <w:r>
        <w:separator/>
      </w:r>
    </w:p>
  </w:endnote>
  <w:endnote w:type="continuationSeparator" w:id="0">
    <w:p w:rsidR="00417CCF" w:rsidRDefault="00417CCF" w:rsidP="00953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98D" w:rsidRDefault="00612C37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C738C3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F27BB5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95398D" w:rsidRDefault="009539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CCF" w:rsidRDefault="00417CCF" w:rsidP="0095398D">
      <w:r>
        <w:separator/>
      </w:r>
    </w:p>
  </w:footnote>
  <w:footnote w:type="continuationSeparator" w:id="0">
    <w:p w:rsidR="00417CCF" w:rsidRDefault="00417CCF" w:rsidP="009539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3CEE"/>
    <w:multiLevelType w:val="multilevel"/>
    <w:tmpl w:val="6D946592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5361760"/>
    <w:multiLevelType w:val="multilevel"/>
    <w:tmpl w:val="27CAD484"/>
    <w:lvl w:ilvl="0">
      <w:start w:val="3"/>
      <w:numFmt w:val="lowerLetter"/>
      <w:lvlText w:val="%1)"/>
      <w:lvlJc w:val="left"/>
      <w:pPr>
        <w:ind w:left="567" w:firstLine="0"/>
      </w:pPr>
      <w:rPr>
        <w:rFonts w:eastAsia="Times New Roman" w:cs="Tahoma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2">
    <w:nsid w:val="0A4D5DD7"/>
    <w:multiLevelType w:val="hybridMultilevel"/>
    <w:tmpl w:val="917CAD52"/>
    <w:lvl w:ilvl="0" w:tplc="A1061620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2F0C8D"/>
    <w:multiLevelType w:val="multilevel"/>
    <w:tmpl w:val="721AB22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4">
    <w:nsid w:val="320D6BD3"/>
    <w:multiLevelType w:val="multilevel"/>
    <w:tmpl w:val="F43EA6D0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3B7077DE"/>
    <w:multiLevelType w:val="multilevel"/>
    <w:tmpl w:val="895E4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>
    <w:nsid w:val="3D48232F"/>
    <w:multiLevelType w:val="multilevel"/>
    <w:tmpl w:val="E2CA1A48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404146A6"/>
    <w:multiLevelType w:val="multilevel"/>
    <w:tmpl w:val="1244352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8">
    <w:nsid w:val="645F509D"/>
    <w:multiLevelType w:val="multilevel"/>
    <w:tmpl w:val="D8E0C9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78883A8F"/>
    <w:multiLevelType w:val="multilevel"/>
    <w:tmpl w:val="60A2C05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0">
    <w:nsid w:val="79212870"/>
    <w:multiLevelType w:val="multilevel"/>
    <w:tmpl w:val="3AC877FC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1">
    <w:nsid w:val="7DBB50FB"/>
    <w:multiLevelType w:val="hybridMultilevel"/>
    <w:tmpl w:val="FA3C9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9"/>
  </w:num>
  <w:num w:numId="7">
    <w:abstractNumId w:val="8"/>
  </w:num>
  <w:num w:numId="8">
    <w:abstractNumId w:val="3"/>
    <w:lvlOverride w:ilvl="0">
      <w:lvl w:ilvl="0">
        <w:start w:val="1"/>
        <w:numFmt w:val="lowerLetter"/>
        <w:lvlText w:val="%1)"/>
        <w:lvlJc w:val="left"/>
        <w:pPr>
          <w:ind w:left="567" w:firstLine="0"/>
        </w:pPr>
        <w:rPr>
          <w:rFonts w:eastAsia="Times New Roman" w:cs="Tahoma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9">
    <w:abstractNumId w:val="2"/>
  </w:num>
  <w:num w:numId="10">
    <w:abstractNumId w:val="11"/>
  </w:num>
  <w:num w:numId="11">
    <w:abstractNumId w:val="0"/>
  </w:num>
  <w:num w:numId="12">
    <w:abstractNumId w:val="10"/>
    <w:lvlOverride w:ilvl="0">
      <w:lvl w:ilvl="0">
        <w:start w:val="3"/>
        <w:numFmt w:val="lowerLetter"/>
        <w:lvlText w:val="%1)"/>
        <w:lvlJc w:val="left"/>
        <w:pPr>
          <w:ind w:left="567" w:firstLine="0"/>
        </w:pPr>
        <w:rPr>
          <w:rFonts w:eastAsia="Times New Roman" w:cs="Tahoma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98D"/>
    <w:rsid w:val="00017B7A"/>
    <w:rsid w:val="000D6430"/>
    <w:rsid w:val="0010025F"/>
    <w:rsid w:val="001818DC"/>
    <w:rsid w:val="00182264"/>
    <w:rsid w:val="00184E20"/>
    <w:rsid w:val="001B0BDB"/>
    <w:rsid w:val="001E5B96"/>
    <w:rsid w:val="00271384"/>
    <w:rsid w:val="002725BD"/>
    <w:rsid w:val="002B6E6A"/>
    <w:rsid w:val="002D7A2A"/>
    <w:rsid w:val="00314549"/>
    <w:rsid w:val="00332D80"/>
    <w:rsid w:val="00364F11"/>
    <w:rsid w:val="003809E2"/>
    <w:rsid w:val="003D3645"/>
    <w:rsid w:val="003F7520"/>
    <w:rsid w:val="00412767"/>
    <w:rsid w:val="00417CCF"/>
    <w:rsid w:val="00434267"/>
    <w:rsid w:val="004A50D7"/>
    <w:rsid w:val="004E12E7"/>
    <w:rsid w:val="00502D9A"/>
    <w:rsid w:val="00543BC7"/>
    <w:rsid w:val="005A3CFD"/>
    <w:rsid w:val="00612C37"/>
    <w:rsid w:val="00634077"/>
    <w:rsid w:val="00670DBC"/>
    <w:rsid w:val="006903FE"/>
    <w:rsid w:val="006B08AD"/>
    <w:rsid w:val="006C2FAE"/>
    <w:rsid w:val="006D22BA"/>
    <w:rsid w:val="006E1DB6"/>
    <w:rsid w:val="00730C69"/>
    <w:rsid w:val="00742066"/>
    <w:rsid w:val="00760CD2"/>
    <w:rsid w:val="007A1FC0"/>
    <w:rsid w:val="007B37AD"/>
    <w:rsid w:val="007D42B4"/>
    <w:rsid w:val="007F0DBF"/>
    <w:rsid w:val="00823AF6"/>
    <w:rsid w:val="0084080F"/>
    <w:rsid w:val="008434F3"/>
    <w:rsid w:val="00860AB7"/>
    <w:rsid w:val="00877227"/>
    <w:rsid w:val="008857B0"/>
    <w:rsid w:val="00895B2D"/>
    <w:rsid w:val="008B51FB"/>
    <w:rsid w:val="008D732E"/>
    <w:rsid w:val="00911BE7"/>
    <w:rsid w:val="0095398D"/>
    <w:rsid w:val="009972BE"/>
    <w:rsid w:val="00A75FB9"/>
    <w:rsid w:val="00A82AE1"/>
    <w:rsid w:val="00AB3E17"/>
    <w:rsid w:val="00AF0082"/>
    <w:rsid w:val="00B32DD6"/>
    <w:rsid w:val="00B75E11"/>
    <w:rsid w:val="00B9390B"/>
    <w:rsid w:val="00C7263C"/>
    <w:rsid w:val="00C738C3"/>
    <w:rsid w:val="00CB352F"/>
    <w:rsid w:val="00CF0E0A"/>
    <w:rsid w:val="00DA1A65"/>
    <w:rsid w:val="00E167FA"/>
    <w:rsid w:val="00E45827"/>
    <w:rsid w:val="00E71C2C"/>
    <w:rsid w:val="00E75F81"/>
    <w:rsid w:val="00E95CC9"/>
    <w:rsid w:val="00EA39DC"/>
    <w:rsid w:val="00EA68D3"/>
    <w:rsid w:val="00EC2FBA"/>
    <w:rsid w:val="00EE29CB"/>
    <w:rsid w:val="00F14563"/>
    <w:rsid w:val="00F27BB5"/>
    <w:rsid w:val="00F42642"/>
    <w:rsid w:val="00F52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9"/>
    <w:qFormat/>
    <w:rsid w:val="008E53A9"/>
    <w:pPr>
      <w:keepNext/>
      <w:spacing w:before="240" w:after="60"/>
    </w:pPr>
    <w:rPr>
      <w:rFonts w:ascii="Book Antiqua" w:hAnsi="Book Antiqua" w:cs="Arial"/>
      <w:b/>
      <w:bCs/>
      <w:kern w:val="2"/>
      <w:szCs w:val="32"/>
    </w:rPr>
  </w:style>
  <w:style w:type="paragraph" w:customStyle="1" w:styleId="Heading2">
    <w:name w:val="Heading 2"/>
    <w:basedOn w:val="Normalny"/>
    <w:link w:val="Nagwek2Znak"/>
    <w:uiPriority w:val="99"/>
    <w:qFormat/>
    <w:rsid w:val="008E53A9"/>
    <w:pPr>
      <w:keepNext/>
      <w:overflowPunct w:val="0"/>
      <w:spacing w:before="120" w:after="120"/>
      <w:outlineLvl w:val="1"/>
    </w:pPr>
    <w:rPr>
      <w:rFonts w:ascii="Book Antiqua" w:hAnsi="Book Antiqua"/>
      <w:b/>
    </w:rPr>
  </w:style>
  <w:style w:type="character" w:customStyle="1" w:styleId="Nagwek1Znak">
    <w:name w:val="Nagłówek 1 Znak"/>
    <w:basedOn w:val="Domylnaczcionkaakapitu"/>
    <w:link w:val="Heading1"/>
    <w:uiPriority w:val="99"/>
    <w:qFormat/>
    <w:rsid w:val="008E53A9"/>
    <w:rPr>
      <w:rFonts w:ascii="Book Antiqua" w:eastAsia="Times New Roman" w:hAnsi="Book Antiqua" w:cs="Arial"/>
      <w:b/>
      <w:bCs/>
      <w:color w:val="000000"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9"/>
    <w:qFormat/>
    <w:rsid w:val="008E53A9"/>
    <w:rPr>
      <w:rFonts w:ascii="Book Antiqua" w:eastAsia="Times New Roman" w:hAnsi="Book Antiqua" w:cs="Times New Roman"/>
      <w:b/>
      <w:color w:val="000000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PunktowanieZnak">
    <w:name w:val="_Punktowanie Znak"/>
    <w:link w:val="Punktowanie"/>
    <w:uiPriority w:val="99"/>
    <w:qFormat/>
    <w:locked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umerowanieZnak">
    <w:name w:val="_Numerowanie Znak"/>
    <w:link w:val="Numerowanie"/>
    <w:uiPriority w:val="99"/>
    <w:qFormat/>
    <w:locked/>
    <w:rsid w:val="008E53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StandardowytekstZnak">
    <w:name w:val="Standardowy.tekst Znak"/>
    <w:qFormat/>
    <w:rsid w:val="0095398D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95398D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95398D"/>
    <w:rPr>
      <w:rFonts w:ascii="Times New Roman" w:eastAsia="Times New Roman" w:hAnsi="Times New Roman"/>
    </w:rPr>
  </w:style>
  <w:style w:type="character" w:customStyle="1" w:styleId="SST2Znak">
    <w:name w:val="SST_2 Znak"/>
    <w:qFormat/>
    <w:rsid w:val="0095398D"/>
    <w:rPr>
      <w:rFonts w:ascii="Book Antiqua" w:eastAsia="Times New Roman" w:hAnsi="Book Antiqua"/>
      <w:b/>
      <w:szCs w:val="20"/>
    </w:rPr>
  </w:style>
  <w:style w:type="character" w:customStyle="1" w:styleId="Nagwek2Znak0">
    <w:name w:val="!Nagłówek 2 Znak"/>
    <w:qFormat/>
    <w:rsid w:val="0095398D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95398D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95398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5398D"/>
    <w:pPr>
      <w:spacing w:after="140" w:line="276" w:lineRule="auto"/>
    </w:pPr>
  </w:style>
  <w:style w:type="paragraph" w:styleId="Lista">
    <w:name w:val="List"/>
    <w:basedOn w:val="Tekstpodstawowy"/>
    <w:rsid w:val="0095398D"/>
    <w:rPr>
      <w:rFonts w:cs="Arial"/>
    </w:rPr>
  </w:style>
  <w:style w:type="paragraph" w:customStyle="1" w:styleId="Caption">
    <w:name w:val="Caption"/>
    <w:basedOn w:val="Normalny"/>
    <w:qFormat/>
    <w:rsid w:val="0095398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5398D"/>
    <w:pPr>
      <w:suppressLineNumbers/>
    </w:pPr>
    <w:rPr>
      <w:rFonts w:cs="Arial"/>
    </w:rPr>
  </w:style>
  <w:style w:type="paragraph" w:styleId="Tytu">
    <w:name w:val="Title"/>
    <w:basedOn w:val="Normalny"/>
    <w:link w:val="TytuZnak"/>
    <w:uiPriority w:val="99"/>
    <w:qFormat/>
    <w:rsid w:val="008E53A9"/>
    <w:pPr>
      <w:overflowPunct w:val="0"/>
      <w:jc w:val="center"/>
    </w:pPr>
  </w:style>
  <w:style w:type="paragraph" w:customStyle="1" w:styleId="Punktowanie">
    <w:name w:val="_Punktowanie"/>
    <w:basedOn w:val="Bezodstpw"/>
    <w:link w:val="PunktowanieZnak"/>
    <w:uiPriority w:val="99"/>
    <w:qFormat/>
    <w:rsid w:val="008E53A9"/>
  </w:style>
  <w:style w:type="paragraph" w:customStyle="1" w:styleId="Numerowanie">
    <w:name w:val="_Numerowanie"/>
    <w:basedOn w:val="Punktowanie"/>
    <w:link w:val="NumerowanieZnak"/>
    <w:uiPriority w:val="99"/>
    <w:qFormat/>
    <w:rsid w:val="008E53A9"/>
    <w:rPr>
      <w:color w:val="auto"/>
      <w:sz w:val="24"/>
      <w:szCs w:val="24"/>
    </w:rPr>
  </w:style>
  <w:style w:type="paragraph" w:customStyle="1" w:styleId="Gwkaistopka">
    <w:name w:val="Główka i stopka"/>
    <w:basedOn w:val="Normalny"/>
    <w:qFormat/>
    <w:rsid w:val="0095398D"/>
  </w:style>
  <w:style w:type="paragraph" w:customStyle="1" w:styleId="Header">
    <w:name w:val="Header"/>
    <w:basedOn w:val="Normalny"/>
    <w:link w:val="NagwekZnak"/>
    <w:uiPriority w:val="99"/>
    <w:rsid w:val="008E53A9"/>
    <w:pPr>
      <w:tabs>
        <w:tab w:val="center" w:pos="4536"/>
        <w:tab w:val="right" w:pos="9072"/>
      </w:tabs>
    </w:pPr>
  </w:style>
  <w:style w:type="paragraph" w:customStyle="1" w:styleId="NiPpocztek">
    <w:name w:val="_NiP początek"/>
    <w:basedOn w:val="Normalny"/>
    <w:next w:val="Punktowanie"/>
    <w:uiPriority w:val="99"/>
    <w:qFormat/>
    <w:rsid w:val="008E53A9"/>
    <w:pPr>
      <w:tabs>
        <w:tab w:val="left" w:pos="0"/>
      </w:tabs>
      <w:spacing w:before="120"/>
    </w:pPr>
  </w:style>
  <w:style w:type="paragraph" w:customStyle="1" w:styleId="a">
    <w:name w:val="_a)"/>
    <w:basedOn w:val="Normalny"/>
    <w:uiPriority w:val="99"/>
    <w:qFormat/>
    <w:rsid w:val="008E53A9"/>
    <w:pPr>
      <w:spacing w:after="50"/>
      <w:ind w:left="993" w:right="6" w:hanging="426"/>
    </w:pPr>
  </w:style>
  <w:style w:type="paragraph" w:customStyle="1" w:styleId="Footer">
    <w:name w:val="Footer"/>
    <w:basedOn w:val="Normalny"/>
    <w:link w:val="StopkaZnak"/>
    <w:uiPriority w:val="99"/>
    <w:rsid w:val="008E53A9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ylIwony">
    <w:name w:val="Styl Iwony"/>
    <w:basedOn w:val="Normalny"/>
    <w:qFormat/>
    <w:rsid w:val="0095398D"/>
    <w:pPr>
      <w:spacing w:before="120" w:after="120"/>
    </w:pPr>
    <w:rPr>
      <w:rFonts w:ascii="Bookman Old Style" w:eastAsia="Bookman Old Style" w:hAnsi="Bookman Old Style"/>
      <w:lang w:eastAsia="ar-SA"/>
    </w:rPr>
  </w:style>
  <w:style w:type="paragraph" w:customStyle="1" w:styleId="Standardowytekst">
    <w:name w:val="Standardowy.tekst"/>
    <w:qFormat/>
    <w:rsid w:val="0095398D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95398D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95398D"/>
    <w:pPr>
      <w:ind w:left="720"/>
      <w:contextualSpacing/>
    </w:pPr>
  </w:style>
  <w:style w:type="paragraph" w:customStyle="1" w:styleId="SST2">
    <w:name w:val="SST_2"/>
    <w:qFormat/>
    <w:rsid w:val="0095398D"/>
    <w:rPr>
      <w:rFonts w:ascii="Book Antiqua" w:hAnsi="Book Antiqua" w:cs="Book Antiqua"/>
      <w:b/>
      <w:szCs w:val="20"/>
    </w:rPr>
  </w:style>
  <w:style w:type="paragraph" w:customStyle="1" w:styleId="Nagwek2">
    <w:name w:val="!Nagłówek 2"/>
    <w:basedOn w:val="Normalny"/>
    <w:qFormat/>
    <w:rsid w:val="0095398D"/>
    <w:rPr>
      <w:rFonts w:ascii="Book Antiqua" w:hAnsi="Book Antiqua" w:cs="Book Antiqua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1162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Maciek</dc:creator>
  <cp:lastModifiedBy>Maciej Smoliga</cp:lastModifiedBy>
  <cp:revision>3</cp:revision>
  <dcterms:created xsi:type="dcterms:W3CDTF">2022-03-15T19:44:00Z</dcterms:created>
  <dcterms:modified xsi:type="dcterms:W3CDTF">2022-03-15T19:45:00Z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