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36" w:rsidRPr="00670A36" w:rsidRDefault="00670A36" w:rsidP="00670A36">
      <w:pPr>
        <w:pStyle w:val="SST2"/>
        <w:jc w:val="both"/>
        <w:rPr>
          <w:rFonts w:ascii="Tahoma" w:hAnsi="Tahoma" w:cs="Tahoma"/>
          <w:sz w:val="20"/>
        </w:rPr>
      </w:pPr>
      <w:bookmarkStart w:id="0" w:name="_Toc467161112"/>
      <w:r w:rsidRPr="00670A36">
        <w:rPr>
          <w:rFonts w:ascii="Tahoma" w:hAnsi="Tahoma" w:cs="Tahoma"/>
          <w:sz w:val="20"/>
        </w:rPr>
        <w:t xml:space="preserve">D–04.05.01A. </w:t>
      </w:r>
      <w:r w:rsidR="001A49D3">
        <w:rPr>
          <w:rFonts w:ascii="Tahoma" w:hAnsi="Tahoma" w:cs="Tahoma"/>
          <w:sz w:val="20"/>
        </w:rPr>
        <w:t xml:space="preserve">PODBUDOWA </w:t>
      </w:r>
      <w:r w:rsidRPr="00670A36">
        <w:rPr>
          <w:rFonts w:ascii="Tahoma" w:hAnsi="Tahoma" w:cs="Tahoma"/>
          <w:sz w:val="20"/>
        </w:rPr>
        <w:t>Z MIESZANKI KRUSZYWA ZWIĄZANEGO CEMENTE</w:t>
      </w:r>
      <w:bookmarkEnd w:id="0"/>
      <w:r w:rsidRPr="00670A36">
        <w:rPr>
          <w:rFonts w:ascii="Tahoma" w:hAnsi="Tahoma" w:cs="Tahoma"/>
          <w:sz w:val="20"/>
        </w:rPr>
        <w:t>M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1" w:name="_Toc404150096"/>
      <w:bookmarkStart w:id="2" w:name="_Toc416830698"/>
      <w:bookmarkStart w:id="3" w:name="_Toc236626155"/>
      <w:bookmarkStart w:id="4" w:name="_Toc332010311"/>
      <w:r w:rsidRPr="00670A36">
        <w:rPr>
          <w:rFonts w:ascii="Tahoma" w:hAnsi="Tahoma" w:cs="Tahoma"/>
          <w:szCs w:val="20"/>
        </w:rPr>
        <w:t>1. WSTĘ</w:t>
      </w:r>
      <w:bookmarkEnd w:id="1"/>
      <w:bookmarkEnd w:id="2"/>
      <w:bookmarkEnd w:id="3"/>
      <w:bookmarkEnd w:id="4"/>
      <w:r w:rsidRPr="00670A36">
        <w:rPr>
          <w:rFonts w:ascii="Tahoma" w:hAnsi="Tahoma" w:cs="Tahoma"/>
          <w:szCs w:val="20"/>
        </w:rPr>
        <w:t>P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1.1. Przedmiot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) są wymagania dotyczące wykonania i odbioru robót związanych z wykonaniem warstwy podbudowy z mieszanki kruszywa związanego cementem w związku z zamierzeniem budowlanym pn.: „</w:t>
      </w:r>
      <w:r w:rsidR="00D23C58" w:rsidRPr="00D23C58">
        <w:rPr>
          <w:rFonts w:ascii="Tahoma" w:hAnsi="Tahoma" w:cs="Tahoma"/>
          <w:sz w:val="20"/>
        </w:rPr>
        <w:t xml:space="preserve">Modernizacja infrastruktury drogowej na terenie gminy Wodzierady - remont drogi gminnej wewnętrznej w m. Dobruchów - dz. nr </w:t>
      </w:r>
      <w:proofErr w:type="spellStart"/>
      <w:r w:rsidR="00D23C58" w:rsidRPr="00D23C58">
        <w:rPr>
          <w:rFonts w:ascii="Tahoma" w:hAnsi="Tahoma" w:cs="Tahoma"/>
          <w:sz w:val="20"/>
        </w:rPr>
        <w:t>ewid</w:t>
      </w:r>
      <w:proofErr w:type="spellEnd"/>
      <w:r w:rsidR="00D23C58" w:rsidRPr="00D23C58">
        <w:rPr>
          <w:rFonts w:ascii="Tahoma" w:hAnsi="Tahoma" w:cs="Tahoma"/>
          <w:sz w:val="20"/>
        </w:rPr>
        <w:t>. 330, obręb Dobruchów</w:t>
      </w:r>
      <w:r w:rsidRPr="00670A36">
        <w:rPr>
          <w:rFonts w:ascii="Tahoma" w:hAnsi="Tahoma" w:cs="Tahoma"/>
          <w:sz w:val="20"/>
          <w:szCs w:val="20"/>
        </w:rPr>
        <w:t>”.</w:t>
      </w:r>
      <w:bookmarkStart w:id="5" w:name="_GoBack"/>
      <w:bookmarkEnd w:id="5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1.2. Zakres stosowania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pStyle w:val="Standardowytekst"/>
        <w:rPr>
          <w:rFonts w:ascii="Tahoma" w:hAnsi="Tahoma" w:cs="Tahoma"/>
        </w:rPr>
      </w:pPr>
      <w:r w:rsidRPr="00670A36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1.3. Zakres robót objętych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Ustalenia zawarte w niniejszej specyfikacji dotyczą zasad prowadzenia robót związanych z wykonaniem warstwy podbudowy z mieszanki kruszywa, wody, cementu. Materiał ten wiąże i twardnieje w obecności wody, tworząc stabilne i trwałe struktury.</w:t>
      </w:r>
    </w:p>
    <w:p w:rsidR="00670A36" w:rsidRPr="00670A36" w:rsidRDefault="00670A36" w:rsidP="00670A36">
      <w:p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mieszance można stosować kruszywo naturalne, kruszywo z recyklingu oraz połączenia tych kruszyw. Do kruszyw mogą należeć kruszywo kamienne, kruszywo żużlowe z żużla kawałkowego wielkopiecowego i kruszywo żużlowe z żużla stalowniczego, dla rodzajów mieszanek mineralnych 0/31,5 mm, 0/22,4 mm, 0/16 mm, 0/11,2 mm i 0/8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</w:t>
      </w:r>
      <w:r w:rsidRPr="00670A36">
        <w:rPr>
          <w:rFonts w:ascii="Tahoma" w:hAnsi="Tahoma" w:cs="Tahoma"/>
          <w:b/>
          <w:sz w:val="20"/>
          <w:szCs w:val="20"/>
        </w:rPr>
        <w:t>Klasa wytrzymałości podbudowy:</w:t>
      </w:r>
    </w:p>
    <w:p w:rsidR="00670A36" w:rsidRPr="00670A36" w:rsidRDefault="00670A36" w:rsidP="00670A36">
      <w:pPr>
        <w:pStyle w:val="Akapitzlist"/>
        <w:numPr>
          <w:ilvl w:val="0"/>
          <w:numId w:val="15"/>
        </w:numPr>
        <w:rPr>
          <w:rFonts w:ascii="Tahoma" w:hAnsi="Tahoma" w:cs="Tahoma"/>
          <w:b/>
        </w:rPr>
      </w:pPr>
      <w:r w:rsidRPr="00670A36">
        <w:rPr>
          <w:rFonts w:ascii="Tahoma" w:hAnsi="Tahoma" w:cs="Tahoma"/>
          <w:b/>
        </w:rPr>
        <w:t>C</w:t>
      </w:r>
      <w:r w:rsidR="00016AC2">
        <w:rPr>
          <w:rFonts w:ascii="Tahoma" w:hAnsi="Tahoma" w:cs="Tahoma"/>
          <w:b/>
          <w:vertAlign w:val="subscript"/>
        </w:rPr>
        <w:t>1,5</w:t>
      </w:r>
      <w:r w:rsidRPr="00670A36">
        <w:rPr>
          <w:rFonts w:ascii="Tahoma" w:hAnsi="Tahoma" w:cs="Tahoma"/>
          <w:b/>
          <w:vertAlign w:val="subscript"/>
        </w:rPr>
        <w:t>/</w:t>
      </w:r>
      <w:r w:rsidR="00016AC2">
        <w:rPr>
          <w:rFonts w:ascii="Tahoma" w:hAnsi="Tahoma" w:cs="Tahoma"/>
          <w:b/>
          <w:vertAlign w:val="subscript"/>
        </w:rPr>
        <w:t>2</w:t>
      </w:r>
    </w:p>
    <w:p w:rsidR="00FC6E07" w:rsidRDefault="00FC6E07" w:rsidP="00FC6E07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:rsidR="00FC6E07" w:rsidRDefault="00FC6E07" w:rsidP="00FC6E07">
      <w:pPr>
        <w:pStyle w:val="Tekstpodstawowy3"/>
        <w:numPr>
          <w:ilvl w:val="0"/>
          <w:numId w:val="16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podbudowy </w:t>
      </w:r>
      <w:r w:rsidR="001A49D3">
        <w:rPr>
          <w:rFonts w:ascii="Tahoma" w:hAnsi="Tahoma" w:cs="Tahoma"/>
          <w:color w:val="auto"/>
        </w:rPr>
        <w:t>pomocniczej</w:t>
      </w:r>
      <w:r w:rsidRPr="00FC6E07">
        <w:rPr>
          <w:rFonts w:ascii="Tahoma" w:hAnsi="Tahoma" w:cs="Tahoma"/>
          <w:color w:val="auto"/>
        </w:rPr>
        <w:t xml:space="preserve"> </w:t>
      </w:r>
      <w:r w:rsidR="00D57A8F" w:rsidRPr="00D57A8F">
        <w:rPr>
          <w:rFonts w:ascii="Tahoma" w:hAnsi="Tahoma" w:cs="Tahoma"/>
          <w:color w:val="auto"/>
        </w:rPr>
        <w:t>z mieszanki związanej cementem</w:t>
      </w:r>
      <w:r>
        <w:rPr>
          <w:rFonts w:ascii="Tahoma" w:hAnsi="Tahoma" w:cs="Tahoma"/>
          <w:color w:val="auto"/>
        </w:rPr>
        <w:t xml:space="preserve"> C</w:t>
      </w:r>
      <w:r w:rsidR="00016AC2">
        <w:rPr>
          <w:rFonts w:ascii="Tahoma" w:hAnsi="Tahoma" w:cs="Tahoma"/>
          <w:color w:val="auto"/>
        </w:rPr>
        <w:t>1,5</w:t>
      </w:r>
      <w:r>
        <w:rPr>
          <w:rFonts w:ascii="Tahoma" w:hAnsi="Tahoma" w:cs="Tahoma"/>
          <w:color w:val="auto"/>
        </w:rPr>
        <w:t>/</w:t>
      </w:r>
      <w:r w:rsidR="00016AC2">
        <w:rPr>
          <w:rFonts w:ascii="Tahoma" w:hAnsi="Tahoma" w:cs="Tahoma"/>
          <w:color w:val="auto"/>
        </w:rPr>
        <w:t>2</w:t>
      </w:r>
      <w:r w:rsidR="00D57A8F">
        <w:rPr>
          <w:rFonts w:ascii="Tahoma" w:hAnsi="Tahoma" w:cs="Tahoma"/>
          <w:color w:val="auto"/>
        </w:rPr>
        <w:t xml:space="preserve"> – grubości </w:t>
      </w:r>
      <w:r>
        <w:rPr>
          <w:rFonts w:ascii="Tahoma" w:hAnsi="Tahoma" w:cs="Tahoma"/>
          <w:color w:val="auto"/>
        </w:rPr>
        <w:t>15</w:t>
      </w:r>
      <w:r w:rsidRPr="00FC6E07">
        <w:rPr>
          <w:rFonts w:ascii="Tahoma" w:hAnsi="Tahoma" w:cs="Tahoma"/>
          <w:color w:val="auto"/>
        </w:rPr>
        <w:t xml:space="preserve"> </w:t>
      </w:r>
      <w:proofErr w:type="spellStart"/>
      <w:r w:rsidRPr="00FC6E07">
        <w:rPr>
          <w:rFonts w:ascii="Tahoma" w:hAnsi="Tahoma" w:cs="Tahoma"/>
          <w:color w:val="auto"/>
        </w:rPr>
        <w:t>cm</w:t>
      </w:r>
      <w:proofErr w:type="spellEnd"/>
      <w:r w:rsidR="001A49D3">
        <w:rPr>
          <w:rFonts w:ascii="Tahoma" w:hAnsi="Tahoma" w:cs="Tahoma"/>
          <w:color w:val="auto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1.4. Określenia podstawowe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1.4.1. </w:t>
      </w:r>
      <w:r w:rsidRPr="00670A36">
        <w:rPr>
          <w:rFonts w:ascii="Tahoma" w:hAnsi="Tahoma" w:cs="Tahoma"/>
          <w:sz w:val="20"/>
          <w:szCs w:val="20"/>
        </w:rPr>
        <w:t>Mieszanka związana spoiwem hydraulicznym – mieszanka, w której następuje wiązanie i twardnienie na skutek reakcji hydraulicznych.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1.4.2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Podbudowa zasadnicza z mieszanki związanej spoiwem hydraulicznym –  warstwa zawierająca kruszywo naturalne lub sztuczne a także z recyklingu lub ich mieszaninę i spoiwo hydrauliczne, zapewniająca przenoszenie obciążeń z warstw jezdnych na warstwę podbudowy pomocniczej lub podłoże.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1.4.3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– materiał ziarnisty stosowany w budownictwie, który może być naturalny, sztuczny lub z recyklingu.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1.4.5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 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1.4.6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z recyklingu – kruszywo powstałe w wyniku przeróbki materiału zastosowanego uprzednio w budownictwie.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1.4.7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kamienne – kruszywo z mineralnych surowców jak żwir kruszony, mechanicznie rozdrobnione skały, nadziarno żwirowe.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1.4.8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1.4.9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żużlowe z żużla stalowniczego – kruszywo składające się głównie ze skrystalizowanego krzemianu wapnia i ferrytu zawierającego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CaO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, SiO</w:t>
      </w:r>
      <w:r w:rsidR="00670A36" w:rsidRPr="00670A36">
        <w:rPr>
          <w:rFonts w:ascii="Tahoma" w:hAnsi="Tahoma" w:cs="Tahoma"/>
          <w:sz w:val="20"/>
          <w:szCs w:val="20"/>
          <w:vertAlign w:val="subscript"/>
        </w:rPr>
        <w:t>2</w:t>
      </w:r>
      <w:r w:rsidR="00670A36"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MgO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oraz tlenek żelaza. </w:t>
      </w:r>
      <w:r w:rsidR="00670A36" w:rsidRPr="00670A36">
        <w:rPr>
          <w:rFonts w:ascii="Tahoma" w:hAnsi="Tahoma" w:cs="Tahoma"/>
          <w:sz w:val="20"/>
          <w:szCs w:val="20"/>
        </w:rPr>
        <w:lastRenderedPageBreak/>
        <w:t>Kruszywo otrzymuje się przez powolne schładzanie powietrzem ciekłego żużla stalowniczego. Proces chłodzenia może odbywać się przy kontrolowanym dodawaniu wody.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1.4.10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Kategoria ruchu (KR1 – KR6/7) – obciążenie drogi ruchem samochodowym, wyrażone w osiach obliczeniowych (100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kN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) według „Katalogu typowych konstrukcji nawierzchni podatnych i półsztywnych”. Generalna Dyrekcja Dróg Publicznych – Instytut Badawczy Dróg i Mostów, Warszawa 1997/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2014.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1.4.11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grube (wg PN-EN 13242) – oznaczenie kruszywa o wymiarach ziaren </w:t>
      </w:r>
      <w:r w:rsidR="00670A36" w:rsidRPr="00670A36">
        <w:rPr>
          <w:rFonts w:ascii="Tahoma" w:hAnsi="Tahoma" w:cs="Tahoma"/>
          <w:i/>
          <w:sz w:val="20"/>
          <w:szCs w:val="20"/>
        </w:rPr>
        <w:t>d</w:t>
      </w:r>
      <w:r w:rsidR="00670A36" w:rsidRPr="00670A36">
        <w:rPr>
          <w:rFonts w:ascii="Tahoma" w:hAnsi="Tahoma" w:cs="Tahoma"/>
          <w:sz w:val="20"/>
          <w:szCs w:val="20"/>
        </w:rPr>
        <w:t xml:space="preserve"> (dolnego) równym lub większym niż 1 mm oraz </w:t>
      </w:r>
      <w:r w:rsidR="00670A36" w:rsidRPr="00670A36">
        <w:rPr>
          <w:rFonts w:ascii="Tahoma" w:hAnsi="Tahoma" w:cs="Tahoma"/>
          <w:i/>
          <w:sz w:val="20"/>
          <w:szCs w:val="20"/>
        </w:rPr>
        <w:t xml:space="preserve">D </w:t>
      </w:r>
      <w:r w:rsidR="00670A36" w:rsidRPr="00670A36">
        <w:rPr>
          <w:rFonts w:ascii="Tahoma" w:hAnsi="Tahoma" w:cs="Tahoma"/>
          <w:sz w:val="20"/>
          <w:szCs w:val="20"/>
        </w:rPr>
        <w:t xml:space="preserve">(górnego) większym niż 2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mm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2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drobne (wg PN-EN 13242) – oznaczenie kruszywa o wymiarach ziaren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równym 0 oraz </w:t>
      </w:r>
      <w:r w:rsidRPr="00670A36">
        <w:rPr>
          <w:rFonts w:ascii="Tahoma" w:hAnsi="Tahoma" w:cs="Tahoma"/>
          <w:i/>
          <w:sz w:val="20"/>
          <w:szCs w:val="20"/>
        </w:rPr>
        <w:t xml:space="preserve">D </w:t>
      </w:r>
      <w:r w:rsidRPr="00670A36">
        <w:rPr>
          <w:rFonts w:ascii="Tahoma" w:hAnsi="Tahoma" w:cs="Tahoma"/>
          <w:sz w:val="20"/>
          <w:szCs w:val="20"/>
        </w:rPr>
        <w:t>równym 6,3 mm lub mniejszym.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3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o ciągłym uziarnieniu (wg PN-EN 13242) – kruszywo stanowiące mieszankę kruszyw grubych i drobnych, w której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jest większe niż 6,3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Mieszanka związana cementem – mieszanka związana hydraulicznie, składająca się z kruszywa o kontrolowanym uziarnieniu i cementu, wymieszana w sposób zapewniający uzyskanie jednorodnej mieszanki.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5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Symbole i skróty dodatkowe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% m/m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procent masy,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brak konieczności badania danej cechy,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CBGM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mieszanka związana cementem,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kalifornijski wskaźnik nośności, w procentach (%),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dolny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górny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H/D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stosunek wysokości do średnicy próbki.</w:t>
      </w:r>
    </w:p>
    <w:p w:rsidR="00670A36" w:rsidRPr="00670A36" w:rsidRDefault="00670A36" w:rsidP="00670A36">
      <w:pPr>
        <w:pStyle w:val="StylIwony"/>
        <w:spacing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b/>
          <w:sz w:val="20"/>
        </w:rPr>
        <w:t>1.4.1</w:t>
      </w:r>
      <w:r w:rsidR="00472B51">
        <w:rPr>
          <w:rFonts w:ascii="Tahoma" w:hAnsi="Tahoma" w:cs="Tahoma"/>
          <w:b/>
          <w:sz w:val="20"/>
        </w:rPr>
        <w:t>6</w:t>
      </w:r>
      <w:r w:rsidRPr="00670A36">
        <w:rPr>
          <w:rFonts w:ascii="Tahoma" w:hAnsi="Tahoma" w:cs="Tahoma"/>
          <w:b/>
          <w:sz w:val="20"/>
        </w:rPr>
        <w:t xml:space="preserve">. </w:t>
      </w:r>
      <w:r w:rsidRPr="00670A36">
        <w:rPr>
          <w:rFonts w:ascii="Tahoma" w:hAnsi="Tahoma" w:cs="Tahoma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1.5. Ogólne wymagania dotyczące robót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1.5.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6" w:name="_Toc431184075"/>
      <w:bookmarkStart w:id="7" w:name="_Toc208892382"/>
      <w:bookmarkStart w:id="8" w:name="_Toc210107778"/>
      <w:bookmarkStart w:id="9" w:name="_Toc236626156"/>
      <w:bookmarkStart w:id="10" w:name="_Toc332010312"/>
      <w:r w:rsidRPr="00670A36">
        <w:rPr>
          <w:rFonts w:ascii="Tahoma" w:hAnsi="Tahoma" w:cs="Tahoma"/>
          <w:szCs w:val="20"/>
        </w:rPr>
        <w:t>2. MATERIAŁY</w:t>
      </w:r>
      <w:bookmarkEnd w:id="6"/>
      <w:bookmarkEnd w:id="7"/>
      <w:bookmarkEnd w:id="8"/>
      <w:bookmarkEnd w:id="9"/>
      <w:bookmarkEnd w:id="10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2.1. Ogólne wymagania dotyczące materiałów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materiałów, ich pozyskiwania i składowania,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2.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2.2. Materiały do wykonania robót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2.2.1. </w:t>
      </w:r>
      <w:r w:rsidRPr="00670A36">
        <w:rPr>
          <w:rFonts w:ascii="Tahoma" w:hAnsi="Tahoma" w:cs="Tahoma"/>
          <w:sz w:val="20"/>
          <w:szCs w:val="20"/>
        </w:rPr>
        <w:t xml:space="preserve"> Zgodność materiałów z dokumentacją projektową i aprobatą techniczną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Materiały do wykonania robót powinny być zgodne z ustaleniami dokumentacji projektowej lub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względnie z wymaganiami europejskiej lub krajowej aprobaty technicznej.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2.2.2. </w:t>
      </w:r>
      <w:r w:rsidRPr="00670A36">
        <w:rPr>
          <w:rFonts w:ascii="Tahoma" w:hAnsi="Tahoma" w:cs="Tahoma"/>
          <w:sz w:val="20"/>
          <w:szCs w:val="20"/>
        </w:rPr>
        <w:t>Materiały wchodzące w skład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Materiałami stosowanymi do wytwarzania mieszanek związanych cementem są: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cement,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>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dodatki,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domieszki.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2.2.3. </w:t>
      </w:r>
      <w:r w:rsidRPr="00670A36">
        <w:rPr>
          <w:rFonts w:ascii="Tahoma" w:hAnsi="Tahoma" w:cs="Tahoma"/>
          <w:sz w:val="20"/>
          <w:szCs w:val="20"/>
        </w:rPr>
        <w:t>Kruszywa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 mieszanek można stosować następujące rodzaje kruszyw: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naturalne lub sztuczne,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z recyklingu,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połączenie kruszyw wymienionych w punktach a) i b) z określeniem proporcji kruszyw z a) i b) z dokładnością ± 5% m/m.</w:t>
      </w:r>
    </w:p>
    <w:p w:rsidR="00670A36" w:rsidRPr="008E7AE1" w:rsidRDefault="00670A36" w:rsidP="008E7AE1">
      <w:pPr>
        <w:jc w:val="both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t xml:space="preserve">Wymagania wobec kruszywa do warstw 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8E7AE1">
        <w:rPr>
          <w:rFonts w:ascii="Tahoma" w:hAnsi="Tahoma" w:cs="Tahoma"/>
          <w:sz w:val="20"/>
          <w:szCs w:val="20"/>
        </w:rPr>
        <w:t xml:space="preserve"> przedstawia tablica 1.</w:t>
      </w:r>
    </w:p>
    <w:p w:rsidR="00670A36" w:rsidRPr="008E7AE1" w:rsidRDefault="00670A36" w:rsidP="00670A36">
      <w:pPr>
        <w:pStyle w:val="Bezodstpw"/>
        <w:spacing w:before="120" w:after="120"/>
        <w:ind w:firstLine="0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lastRenderedPageBreak/>
        <w:t xml:space="preserve">Tablica 1. Wymagane właściwości kruszywa do warstw podbudowy </w:t>
      </w:r>
      <w:r w:rsidR="001A49D3">
        <w:rPr>
          <w:rFonts w:ascii="Tahoma" w:hAnsi="Tahoma" w:cs="Tahoma"/>
          <w:sz w:val="20"/>
          <w:szCs w:val="20"/>
        </w:rPr>
        <w:t xml:space="preserve">pomocniczej </w:t>
      </w:r>
    </w:p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Skróty użyte w tablicy:</w:t>
      </w:r>
      <w:r w:rsidR="008E7AE1">
        <w:rPr>
          <w:rFonts w:ascii="Tahoma" w:hAnsi="Tahoma" w:cs="Tahoma"/>
          <w:sz w:val="20"/>
          <w:szCs w:val="20"/>
        </w:rPr>
        <w:t xml:space="preserve"> Kat. – kategoria właściwości, </w:t>
      </w:r>
      <w:proofErr w:type="spellStart"/>
      <w:r w:rsidRPr="00670A36">
        <w:rPr>
          <w:rFonts w:ascii="Tahoma" w:hAnsi="Tahoma" w:cs="Tahoma"/>
          <w:sz w:val="20"/>
          <w:szCs w:val="20"/>
        </w:rPr>
        <w:t>Dekl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– deklarowana, </w:t>
      </w:r>
      <w:proofErr w:type="spellStart"/>
      <w:r w:rsidRPr="00670A36">
        <w:rPr>
          <w:rFonts w:ascii="Tahoma" w:hAnsi="Tahoma" w:cs="Tahoma"/>
          <w:sz w:val="20"/>
          <w:szCs w:val="20"/>
        </w:rPr>
        <w:t>wsk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wskaźnik, </w:t>
      </w:r>
      <w:proofErr w:type="spellStart"/>
      <w:r w:rsidRPr="00670A36">
        <w:rPr>
          <w:rFonts w:ascii="Tahoma" w:hAnsi="Tahoma" w:cs="Tahoma"/>
          <w:sz w:val="20"/>
          <w:szCs w:val="20"/>
        </w:rPr>
        <w:t>wsp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współczynnik, </w:t>
      </w:r>
      <w:proofErr w:type="spellStart"/>
      <w:r w:rsidRPr="00670A36">
        <w:rPr>
          <w:rFonts w:ascii="Tahoma" w:hAnsi="Tahoma" w:cs="Tahoma"/>
          <w:sz w:val="20"/>
          <w:szCs w:val="20"/>
        </w:rPr>
        <w:t>roz</w:t>
      </w:r>
      <w:proofErr w:type="spellEnd"/>
      <w:r w:rsidRPr="00670A36">
        <w:rPr>
          <w:rFonts w:ascii="Tahoma" w:hAnsi="Tahoma" w:cs="Tahoma"/>
          <w:sz w:val="20"/>
          <w:szCs w:val="20"/>
        </w:rPr>
        <w:t>. –rozdział</w:t>
      </w:r>
    </w:p>
    <w:p w:rsidR="00670A36" w:rsidRPr="00670A36" w:rsidRDefault="00670A36" w:rsidP="00670A36">
      <w:pPr>
        <w:pStyle w:val="Bezodstpw"/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992"/>
        <w:gridCol w:w="851"/>
        <w:gridCol w:w="4819"/>
      </w:tblGrid>
      <w:tr w:rsidR="00670A36" w:rsidRPr="00670A36" w:rsidTr="008E7AE1">
        <w:trPr>
          <w:cantSplit/>
        </w:trPr>
        <w:tc>
          <w:tcPr>
            <w:tcW w:w="2410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Właściwość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</w:t>
            </w:r>
          </w:p>
        </w:tc>
        <w:tc>
          <w:tcPr>
            <w:tcW w:w="992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Metoda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wg</w:t>
            </w:r>
          </w:p>
        </w:tc>
        <w:tc>
          <w:tcPr>
            <w:tcW w:w="5670" w:type="dxa"/>
            <w:gridSpan w:val="2"/>
            <w:vAlign w:val="center"/>
          </w:tcPr>
          <w:p w:rsidR="008E7AE1" w:rsidRPr="00670A36" w:rsidRDefault="008E7AE1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Wymagania</w:t>
            </w:r>
          </w:p>
          <w:p w:rsidR="00670A36" w:rsidRPr="00670A36" w:rsidRDefault="00670A36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7AE1" w:rsidRPr="00670A36" w:rsidTr="008E7AE1">
        <w:trPr>
          <w:cantSplit/>
          <w:trHeight w:val="734"/>
        </w:trPr>
        <w:tc>
          <w:tcPr>
            <w:tcW w:w="2410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Punkt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13242</w:t>
            </w:r>
          </w:p>
        </w:tc>
        <w:tc>
          <w:tcPr>
            <w:tcW w:w="4819" w:type="dxa"/>
          </w:tcPr>
          <w:p w:rsidR="008E7AE1" w:rsidRPr="008E7AE1" w:rsidRDefault="008E7AE1" w:rsidP="00A557D0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7AE1">
              <w:rPr>
                <w:rFonts w:ascii="Tahoma" w:hAnsi="Tahoma" w:cs="Tahoma"/>
                <w:sz w:val="20"/>
                <w:szCs w:val="20"/>
              </w:rPr>
              <w:t>dla kruszywa związanego cementem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Frakcje/zestaw sit #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Zestaw sit podstawowy plus zestaw 1.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Wszystkie frakcje dozwolone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grube: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80/20,   kruszywo drobne: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80,   kruszywo o ciągłym uziarnieniu: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75.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mieszanek kruszywa wg rysunków 1÷5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Ogólne granice i tolerancje uziarnienia kruszywa grube-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go na sitach pośrednich 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Tolerancje typowego uziarnienia kruszywa drobnego i kruszywa o ciągłym uziarnieniu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drobne: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wymagania), kruszywo o ciągłym uziarnieniu: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8E7AE1" w:rsidRPr="00670A36" w:rsidTr="008E7AE1">
        <w:trPr>
          <w:cantSplit/>
          <w:trHeight w:val="671"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warunki wskaźnika płaskości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933-3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[7]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wartości wskaźnika kształtu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933-4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[8]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SI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Kategorie procentowych za-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wartości ziaren o powierzchniach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przekruszonych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łamanych oraz ziaren całkowicie zaokrąglonych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933-5    [9]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C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**)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 kruszywie drobnym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933-1 [6]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Jakość pyłów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wymagań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rozdrabnianie kruszywa grubego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1097-2 [13] 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Kat. LA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60</w:t>
            </w: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tj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wsp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. Los Angeles jest ≤ 60)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ścieranie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1097-1 [12]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M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Gęstość ziaren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  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Nasiąkliwość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Siarczany rozpuszczalne w kwasie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0,2 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(tj. zawartość siarczanów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≤ 0,2%), żużel kawałkowy wielkopiecowy: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1,0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siarczanów ≤ 1,0%)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Całkowita zawartość siarki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wymagania), żużel kawałkowy wielkopiecowy: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siarki całkowitej ≤ 2%)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wpływające na szybkość wiązania i twardnienia mieszanek  związanych   hydraulicznie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Stałość objętości żużla stalowniczego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19.3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V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pęcznienie ≤ 5 % objętości). Dotyczy żużla z klasycznego pieca tlenowego i elektrycznego pieca łukowego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krzemianowy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p. 19.1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żelazawy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1744-1, p.19.2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rozpuszczalne w wodzie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 [18]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substancji szkodliwych dla środowiska wg odrębnych przepisów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Zanieczyszczenia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ciał obcych takich jak drewno, szkło i plastik, mogących pogorszyć wyrób końcowy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Zgorzel słoneczna bazaltu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1367-3[16] i PN-EN 1097-2 [13]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SB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LA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wzrost współczynnika Los Angeles po gotowaniu ≤ 8%)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Nasiąkliwość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(Jeśli kruszywo nie spełni warunku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2, to należy zbadać jego mrozoodporność wg p. 7.3.3 – wiersz poniżej)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7 [14]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 (tj. maksymalna wartość nasiąkliwości ≤ 2% masy)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Mrozoodporność na kruszywa frakcji 8/16 mm  (Badanie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>wykonywane tylko w przypadku, gdy nasiąkliwość kruszywa przekracza WA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2)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 [15]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7.3.3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Skały magmowe i przeobrażone: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zamrażanie-rozmrażanie ≤ 4% masy), skały osadowe: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>, kruszywa z recyklingu: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25</w:t>
            </w:r>
            <w:r w:rsidRPr="00670A36">
              <w:rPr>
                <w:rFonts w:ascii="Tahoma" w:hAnsi="Tahoma" w:cs="Tahoma"/>
                <w:sz w:val="20"/>
                <w:szCs w:val="20"/>
              </w:rPr>
              <w:t>***)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 mineralogiczny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p.C3.4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Istotne cechy środowiskowe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C.3.4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3"/>
      </w:tblGrid>
      <w:tr w:rsidR="00670A36" w:rsidRPr="00670A36" w:rsidTr="00016AC2">
        <w:trPr>
          <w:jc w:val="center"/>
        </w:trPr>
        <w:tc>
          <w:tcPr>
            <w:tcW w:w="9203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*)      Badaniem wzorcowym oznaczania kształtu kruszywa grubego jest badanie wskaźnika płaskości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**)    Łączna zawartość pyłów w mieszance powinna się mieścić w wybranych krzywych granicznych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***)  Pod warunkiem, gdy zawartość w mieszance nie przekracza 50% m/m</w:t>
            </w:r>
          </w:p>
        </w:tc>
      </w:tr>
    </w:tbl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b/>
          <w:sz w:val="20"/>
          <w:szCs w:val="20"/>
        </w:rPr>
      </w:pP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2.2.4. </w:t>
      </w:r>
      <w:r w:rsidRPr="00670A36">
        <w:rPr>
          <w:rFonts w:ascii="Tahoma" w:hAnsi="Tahoma" w:cs="Tahoma"/>
          <w:sz w:val="20"/>
          <w:szCs w:val="20"/>
        </w:rPr>
        <w:t>Cement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Należy stosować cement wg PN-EN 197-1, np. CEM I, klasy 32,5 N, 42,5 N, 52,5 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Przechowywanie cementu dostarczonego: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workach, co najmniej trzywarstwowych, o masie np. 50 kg – do 10 dni w miejscach zadaszonych na otwartym terenie o podłożu twardym i suchym oraz do terminu trwałości podanego przez producenta w pomieszczeniach o szczelnym dachu i ścianach oraz podłogach suchych i czystych. Cement na paletach magazynuje się z dopuszczalną wysokością 3 palet, cement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niespaletowany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w stosy płaskie o liczbie 12 warstw (dla worków trzywarstwowych),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luzem – przechowuje się w magazynach specjalnych (zbiornikach stalowych, betonowych) przystosowanych do pneumatycznego załadowania i wyładowania.</w:t>
      </w:r>
    </w:p>
    <w:p w:rsidR="00670A36" w:rsidRPr="00670A36" w:rsidRDefault="00670A36" w:rsidP="00670A36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2.2.5. </w:t>
      </w: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powinna być zgodna z PN-EN 1008.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2.2.6. </w:t>
      </w:r>
      <w:r w:rsidRPr="00670A36">
        <w:rPr>
          <w:rFonts w:ascii="Tahoma" w:hAnsi="Tahoma" w:cs="Tahoma"/>
          <w:sz w:val="20"/>
          <w:szCs w:val="20"/>
        </w:rPr>
        <w:t>Dodatki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 przypadkach uzasadnionych mieszanka może zawierać dodatki, które powinny być uwzględnione w projekcie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Dodatki powinny być o sprawdzonym działaniu jak np. mielony granulowany żużel wielkopiecowy lub popiół lotny pod warunkiem, że odpowiada ona wymaganiom europejskiej lub krajowej aprobaty technicznej.</w:t>
      </w:r>
    </w:p>
    <w:p w:rsidR="00670A36" w:rsidRPr="00670A36" w:rsidRDefault="00670A36" w:rsidP="00670A36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 powinny być zgodne z PN-EN 934-2.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Jeżeli w mieszance przewiduje się zastosowanie środków przyspieszających lub opóźniających wiązanie, należy to uwzględnić przy projektowaniu składu mieszanki.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11" w:name="_Toc25373382"/>
      <w:bookmarkStart w:id="12" w:name="_Toc25379398"/>
      <w:bookmarkStart w:id="13" w:name="_Toc38338022"/>
      <w:bookmarkStart w:id="14" w:name="_Toc68660263"/>
      <w:bookmarkStart w:id="15" w:name="_Toc68921158"/>
      <w:bookmarkStart w:id="16" w:name="_Toc68929545"/>
      <w:bookmarkStart w:id="17" w:name="_Toc70745913"/>
      <w:bookmarkStart w:id="18" w:name="_Toc113338099"/>
      <w:bookmarkStart w:id="19" w:name="_Toc113935589"/>
      <w:bookmarkStart w:id="20" w:name="_Toc332010313"/>
      <w:r w:rsidRPr="00670A36">
        <w:rPr>
          <w:rFonts w:ascii="Tahoma" w:hAnsi="Tahoma" w:cs="Tahoma"/>
          <w:szCs w:val="20"/>
        </w:rPr>
        <w:t xml:space="preserve">3.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70A36">
        <w:rPr>
          <w:rFonts w:ascii="Tahoma" w:hAnsi="Tahoma" w:cs="Tahoma"/>
          <w:szCs w:val="20"/>
        </w:rPr>
        <w:t>SPRZĘT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3.1. Ogólne wymagania dotyczące sprzętu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3.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3.2. Sprzęt stosowany do wykonania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wytwórnia stacjonarna lub mobilna do wytwarzania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przewoźne zbiorniki na wodę,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układarki do rozkładania mieszanki lub równiarki,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walce wibracyjne, statyczne lub ogumione,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zagęszczarki płytowe, ubijaki mechaniczne lub małe walce wibracyjne do zagęszczania w miejscach trudno dostępnych.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Sprzęt powinien odpowiadać wymaganiom określonym w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instrukcjach producentów lub propozycji Wykonawcy i powinien być zaakceptowany przez </w:t>
      </w:r>
      <w:r w:rsidR="00A557D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1" w:name="_Toc424534468"/>
      <w:bookmarkStart w:id="22" w:name="_Toc46643999"/>
      <w:bookmarkStart w:id="23" w:name="_Toc51995832"/>
      <w:bookmarkStart w:id="24" w:name="_Toc63568300"/>
      <w:bookmarkStart w:id="25" w:name="_Toc73770658"/>
      <w:bookmarkStart w:id="26" w:name="_Toc113935590"/>
      <w:bookmarkStart w:id="27" w:name="_Toc332010314"/>
      <w:r w:rsidRPr="00670A36">
        <w:rPr>
          <w:rFonts w:ascii="Tahoma" w:hAnsi="Tahoma" w:cs="Tahoma"/>
          <w:szCs w:val="20"/>
        </w:rPr>
        <w:t>4. TRANSPORT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4.1. Ogólne wymagania dotyczące transportu </w:t>
      </w:r>
    </w:p>
    <w:p w:rsidR="00670A36" w:rsidRPr="00670A36" w:rsidRDefault="00670A36" w:rsidP="00670A36">
      <w:pPr>
        <w:tabs>
          <w:tab w:val="left" w:pos="284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4.2. Transport materiałów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Materiały sypkie można przewozić dowolnymi środkami transportu, w warunkach zabezpieczających je przed  zanieczyszczeniem, zmieszaniem z innymi materiałami i nadmiernym zawilgoceniem.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niespaletowane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Woda może być dostarczana wodociągiem lub przewoźnymi zbiornikami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Inne materiały należy przewozić w sposób zalecony przez producentów i dostawców, nie powodując pogorszenia ich walorów użytkowych.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8" w:name="_Toc51995833"/>
      <w:bookmarkStart w:id="29" w:name="_Toc63568301"/>
      <w:bookmarkStart w:id="30" w:name="_Toc73770659"/>
      <w:bookmarkStart w:id="31" w:name="_Toc113935591"/>
      <w:bookmarkStart w:id="32" w:name="_Toc116360496"/>
      <w:bookmarkStart w:id="33" w:name="_Toc174333137"/>
      <w:bookmarkStart w:id="34" w:name="_Toc208892385"/>
      <w:bookmarkStart w:id="35" w:name="_Toc210107781"/>
      <w:bookmarkStart w:id="36" w:name="_Toc211316616"/>
      <w:bookmarkStart w:id="37" w:name="_Toc236626159"/>
      <w:bookmarkStart w:id="38" w:name="_Toc332010315"/>
      <w:r w:rsidRPr="00670A36">
        <w:rPr>
          <w:rFonts w:ascii="Tahoma" w:hAnsi="Tahoma" w:cs="Tahoma"/>
          <w:szCs w:val="20"/>
        </w:rPr>
        <w:t>5. WYKONANIE ROBÓT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5.1. Ogólne zasady wykonania robót</w:t>
      </w:r>
    </w:p>
    <w:p w:rsidR="00670A36" w:rsidRPr="00670A36" w:rsidRDefault="00670A36" w:rsidP="00670A36">
      <w:pPr>
        <w:tabs>
          <w:tab w:val="left" w:pos="0"/>
          <w:tab w:val="left" w:pos="567"/>
          <w:tab w:val="left" w:pos="851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5.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5.2. Zasady wykonywania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Sposób wykonania robót powinien być zgodny z dokumentacją projektową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. W przypadku braku wystarczających danych można korzystać z ustaleń podanych w niniejszej specyfikacji oraz z informacji podanych w załączniku.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Podstawowe czynności przy wykonaniu robót obejmują: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przygotowawcze, 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projektowanie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odcinek próbny,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wbudowanie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5.3. Roboty przygotowawcze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 należy, na podstawie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lub wskazań </w:t>
      </w:r>
      <w:r w:rsidR="008E7AE1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: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ustalić lokalizację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przeprowadzić obliczenia i pomiary niezbędne do szczegółowego wytyczenia robót oraz ustalenia danych wysokościowych,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usunąć przeszkody utrudniające wykonanie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wprowadzić oznakowanie drogi na okres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zgromadzić materiały i sprzęt potrzebne do rozpoczęcia robót.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5.4. Projektowanie mieszanki związanej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robót, w terminie uzgodnionym z </w:t>
      </w:r>
      <w:r w:rsidR="00FC6E07">
        <w:rPr>
          <w:rFonts w:ascii="Tahoma" w:hAnsi="Tahoma" w:cs="Tahoma"/>
          <w:sz w:val="20"/>
          <w:szCs w:val="20"/>
        </w:rPr>
        <w:t>Zamawiającym</w:t>
      </w:r>
      <w:r w:rsidRPr="00670A36">
        <w:rPr>
          <w:rFonts w:ascii="Tahoma" w:hAnsi="Tahoma" w:cs="Tahoma"/>
          <w:sz w:val="20"/>
          <w:szCs w:val="20"/>
        </w:rPr>
        <w:t xml:space="preserve">, Wykonawca dostarczy </w:t>
      </w:r>
      <w:r w:rsidR="00FC6E07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 projekt składu mieszanki związanej cementem oraz wyniki badań laboratoryjnych poszczególnych składników.</w:t>
      </w:r>
    </w:p>
    <w:p w:rsidR="00670A36" w:rsidRPr="0016716D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Projektowanie mieszanki polega na doborze kruszywa do mieszanki, ilości cementu, ilości wody. Procedura projektowa powinna być oparta na próbach laboratoryjnych i/lub polowych </w:t>
      </w:r>
      <w:r w:rsidRPr="00670A36">
        <w:rPr>
          <w:rFonts w:ascii="Tahoma" w:hAnsi="Tahoma" w:cs="Tahoma"/>
          <w:sz w:val="20"/>
          <w:szCs w:val="20"/>
        </w:rPr>
        <w:lastRenderedPageBreak/>
        <w:t xml:space="preserve">przeprowadzonych na tych samych składnikach, z tych samych źródeł i o takich samych </w:t>
      </w:r>
      <w:r w:rsidRPr="0016716D">
        <w:rPr>
          <w:rFonts w:ascii="Tahoma" w:hAnsi="Tahoma" w:cs="Tahoma"/>
          <w:sz w:val="20"/>
          <w:szCs w:val="20"/>
        </w:rPr>
        <w:t>właściwościach, jak te które będą stosowane do wykonania warstwy podbudowy</w:t>
      </w:r>
      <w:r w:rsidR="0016716D" w:rsidRPr="0016716D">
        <w:rPr>
          <w:rFonts w:ascii="Tahoma" w:hAnsi="Tahoma" w:cs="Tahoma"/>
          <w:sz w:val="20"/>
          <w:szCs w:val="20"/>
        </w:rPr>
        <w:t xml:space="preserve"> </w:t>
      </w:r>
      <w:r w:rsidR="001A49D3">
        <w:rPr>
          <w:rFonts w:ascii="Tahoma" w:hAnsi="Tahoma" w:cs="Tahoma"/>
          <w:sz w:val="20"/>
          <w:szCs w:val="20"/>
        </w:rPr>
        <w:t>pomocniczej</w:t>
      </w:r>
      <w:r w:rsidR="0016716D" w:rsidRPr="0016716D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Skład mieszanek projektuje się ze względu na wytrzymałość na ściskanie próbek (system I), zagęszczanych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wg PN-EN 13286-50 w formach walcowych H/D = 1. Klasy wytrzymałości przyjmuje się wg tablicy 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Wytrzymałość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określonej mieszanki oznaczona zgodnie z PN-EN 13286-41 powinna być równa lub większa od wytrzymałości na ściskanie wymaganej dla danej klasy wytrzymałości podanej w tablicy 2.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2. Klasy wytrzymałości wg normy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087"/>
        <w:gridCol w:w="2023"/>
        <w:gridCol w:w="1733"/>
      </w:tblGrid>
      <w:tr w:rsidR="00670A36" w:rsidRPr="00670A36" w:rsidTr="00016AC2">
        <w:trPr>
          <w:jc w:val="center"/>
        </w:trPr>
        <w:tc>
          <w:tcPr>
            <w:tcW w:w="1668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110" w:type="dxa"/>
            <w:gridSpan w:val="2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Wytrzymałość charakterystyczna na ściskanie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, po 28 dniach,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dla próbek walcowych o</w:t>
            </w:r>
          </w:p>
        </w:tc>
        <w:tc>
          <w:tcPr>
            <w:tcW w:w="1733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Klasa wytrzymałości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0A36" w:rsidRPr="00670A36" w:rsidTr="00016AC2">
        <w:trPr>
          <w:jc w:val="center"/>
        </w:trPr>
        <w:tc>
          <w:tcPr>
            <w:tcW w:w="1668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8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2,0</w:t>
            </w:r>
          </w:p>
        </w:tc>
        <w:tc>
          <w:tcPr>
            <w:tcW w:w="202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1,0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33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16D" w:rsidRPr="00670A36" w:rsidTr="00016AC2">
        <w:trPr>
          <w:jc w:val="center"/>
        </w:trPr>
        <w:tc>
          <w:tcPr>
            <w:tcW w:w="1668" w:type="dxa"/>
          </w:tcPr>
          <w:p w:rsidR="0016716D" w:rsidRPr="00670A36" w:rsidRDefault="0016716D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1,5</w:t>
            </w:r>
          </w:p>
        </w:tc>
        <w:tc>
          <w:tcPr>
            <w:tcW w:w="2023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6716D" w:rsidRPr="0016716D">
              <w:rPr>
                <w:rFonts w:ascii="Tahoma" w:hAnsi="Tahoma" w:cs="Tahoma"/>
                <w:b/>
                <w:sz w:val="20"/>
                <w:szCs w:val="20"/>
              </w:rPr>
              <w:t>,0</w:t>
            </w:r>
          </w:p>
        </w:tc>
        <w:tc>
          <w:tcPr>
            <w:tcW w:w="1733" w:type="dxa"/>
          </w:tcPr>
          <w:p w:rsidR="0016716D" w:rsidRPr="0016716D" w:rsidRDefault="0016716D" w:rsidP="0039598F">
            <w:pPr>
              <w:jc w:val="both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16716D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1,5</w:t>
            </w:r>
            <w:r w:rsidRPr="0016716D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/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2,0</w:t>
            </w:r>
          </w:p>
        </w:tc>
      </w:tr>
      <w:tr w:rsidR="00670A36" w:rsidRPr="00670A36" w:rsidTr="00016AC2">
        <w:trPr>
          <w:jc w:val="center"/>
        </w:trPr>
        <w:tc>
          <w:tcPr>
            <w:tcW w:w="7511" w:type="dxa"/>
            <w:gridSpan w:val="4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stosunek wysokości do średnicy próbki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0,8 d0 1,21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Dopuszcza się podawanie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dodatkowym indeksem informującym o czasie pielęgnacji, np. R</w:t>
      </w:r>
      <w:r w:rsidRPr="00670A36">
        <w:rPr>
          <w:rFonts w:ascii="Tahoma" w:hAnsi="Tahoma" w:cs="Tahoma"/>
          <w:sz w:val="20"/>
          <w:szCs w:val="20"/>
          <w:vertAlign w:val="subscript"/>
        </w:rPr>
        <w:t>c7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c14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c28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Sprawdzenie uziarnienia mieszanki mineralnej należy wykonać zgodnie z metodą wg PN-EN 933-1. Do analizy stosuje się zestaw sit podstawowy + 1, składający się z następujących sit o oczkach kwadratowych w mm: 0,063; 0,50; 1,0; 2,0; 4,0; 5,6; 8,0; 11,2; 16,0; 22,4; 31,5; 45,0.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Krzywa uziarnienia mieszanki powinna zawierać się w obszarze między krzywymi granicznymi uziarnienia przedstawionych na rys. 1÷5, odpowiednio dla każdego rodzaju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162425" cy="3038475"/>
            <wp:effectExtent l="19050" t="0" r="9525" b="0"/>
            <wp:docPr id="1" name="Obraz 1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1. Krzywe graniczne uziarnienia mieszanki mineralnej 0/31,5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200525" cy="3067050"/>
            <wp:effectExtent l="19050" t="0" r="9525" b="0"/>
            <wp:docPr id="2" name="Obraz 2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2. Krzywe graniczne uziarnienia mieszanki mineralnej 0/22,4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095750" cy="3133725"/>
            <wp:effectExtent l="19050" t="0" r="0" b="0"/>
            <wp:docPr id="3" name="Obraz 3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3. Krzywe graniczne uziarnienia mieszanki mineralnej 0/16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171950" cy="3095625"/>
            <wp:effectExtent l="19050" t="0" r="0" b="0"/>
            <wp:docPr id="4" name="Obraz 4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4. Krzywe graniczne uziarnienia mieszanki mineralnej 0/11,2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200525" cy="3095625"/>
            <wp:effectExtent l="19050" t="0" r="9525" b="0"/>
            <wp:docPr id="5" name="Obraz 5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Rys.5. Krzywe graniczne uziarnienia mieszanki mineralnej 0/8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3. Minimalna zawartość spoiwa (cementu) w mieszance wg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3434"/>
      </w:tblGrid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Maksymalny nominalny wymiar kruszywa, mm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zawartość spoiwa, % m/m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&gt; 8,0 do 31,5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2,0 do 8,0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&lt; 2,0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Dopuszczalne jest zastosowanie mniejszej ilości spoiwa niż podano w tablicy 3, jeśli podczas procesu produkcyjnego stwierdzone zostanie, że zachowana jest zgodność z wymaganiami tablic 4÷6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Zawartość wody w mieszance powinna być określona na podstawie procedury projektowej wg metody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i/lub doświadczenia z mieszankami wyprodukowanymi przy użyciu proponowanych składników. Zawartość wody należy określić zgodnie z PN-EN 13286-2.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Próbki walcowe zagęszczane ubijakiem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, powinny być przygotowane zgodnie z PN-EN 13286-50.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Badanie wytrzymałości na ściskanie (system I) należy przeprowadzić na próbkach walcowych przygotowanych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zgodnie z PN-EN 13286-50, przy wykorzystaniu metody badawczej zgodniej z PN-EN 13286-41 . Wytrzymałość na ściskanie określonej mieszanki powinna być oznaczana zgodnie z PN-EN 13286-41,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mieszanki związanej cementem określany jest stosunkiem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7.25pt" o:ole="">
            <v:imagedata r:id="rId12" o:title=""/>
          </v:shape>
          <o:OLEObject Type="Embed" ProgID="Equation.3" ShapeID="_x0000_i1025" DrawAspect="Content" ObjectID="_1708801340" r:id="rId13"/>
        </w:object>
      </w:r>
      <w:r w:rsidRPr="00670A36">
        <w:rPr>
          <w:rFonts w:ascii="Tahoma" w:hAnsi="Tahoma" w:cs="Tahoma"/>
          <w:sz w:val="20"/>
          <w:szCs w:val="20"/>
        </w:rPr>
        <w:t xml:space="preserve"> próbki po 28 dniach pielęgnacji i po 14 cyklach zamrażania i odmrażania do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próbki po 28 dniach pielęgnacji.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</w:t>
      </w:r>
      <w:r w:rsidRPr="00670A36">
        <w:rPr>
          <w:rFonts w:ascii="Tahoma" w:hAnsi="Tahoma" w:cs="Tahoma"/>
          <w:position w:val="-26"/>
          <w:sz w:val="20"/>
          <w:szCs w:val="20"/>
        </w:rPr>
        <w:object w:dxaOrig="680" w:dyaOrig="639">
          <v:shape id="_x0000_i1026" type="#_x0000_t75" style="width:33.75pt;height:31.5pt" o:ole="">
            <v:imagedata r:id="rId14" o:title=""/>
          </v:shape>
          <o:OLEObject Type="Embed" ProgID="Equation.3" ShapeID="_x0000_i1026" DrawAspect="Content" ObjectID="_1708801341" r:id="rId15"/>
        </w:objec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>C przez  8 godzin i odmrażania w wodzie o temperaturze +18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 xml:space="preserve">C przez 16 godzin. Oznaczenie wskaźnika mrozoodporności należy przeprowadzać na 3 próbkach i do obliczeń przyjmować średnią. Wynik badania różniący się od średniej o więcej niż 20% należy odrzucić, a jako miarodajną wartość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 id="_x0000_i1027" type="#_x0000_t75" style="width:23.25pt;height:17.25pt" o:ole="">
            <v:imagedata r:id="rId16" o:title=""/>
          </v:shape>
          <o:OLEObject Type="Embed" ProgID="Equation.3" ShapeID="_x0000_i1027" DrawAspect="Content" ObjectID="_1708801342" r:id="rId17"/>
        </w:object>
      </w:r>
      <w:r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należy przyjąć średnią obliczoną z pozostałych dwóch wyników, z dokładnością 0,1. </w:t>
      </w:r>
    </w:p>
    <w:p w:rsidR="00670A36" w:rsidRPr="00670A36" w:rsidRDefault="00670A36" w:rsidP="00670A36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70A36">
        <w:rPr>
          <w:rFonts w:ascii="Tahoma" w:hAnsi="Tahoma" w:cs="Tahoma"/>
          <w:sz w:val="20"/>
          <w:szCs w:val="20"/>
          <w:u w:val="single"/>
        </w:rPr>
        <w:t>Wymagania wobec mieszanek</w:t>
      </w:r>
    </w:p>
    <w:p w:rsidR="00670A36" w:rsidRPr="00670A36" w:rsidRDefault="00962F22" w:rsidP="00670A3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tablicy</w:t>
      </w:r>
      <w:r w:rsidR="00670A36" w:rsidRPr="00670A36">
        <w:rPr>
          <w:rFonts w:ascii="Tahoma" w:hAnsi="Tahoma" w:cs="Tahoma"/>
          <w:sz w:val="20"/>
          <w:szCs w:val="20"/>
        </w:rPr>
        <w:t xml:space="preserve"> 4 przedstawia się zbiorcze zestawienia wymagań wobec mieszanek wraz z wymaganymi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wytrzymałościami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na ściskanie.</w:t>
      </w:r>
    </w:p>
    <w:p w:rsidR="00670A36" w:rsidRPr="00670A36" w:rsidRDefault="00670A36" w:rsidP="00670A36">
      <w:pPr>
        <w:tabs>
          <w:tab w:val="left" w:pos="993"/>
        </w:tabs>
        <w:spacing w:before="120" w:after="120"/>
        <w:ind w:left="992" w:hanging="992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962F22">
        <w:rPr>
          <w:rFonts w:ascii="Tahoma" w:hAnsi="Tahoma" w:cs="Tahoma"/>
          <w:sz w:val="20"/>
          <w:szCs w:val="20"/>
        </w:rPr>
        <w:t>4</w:t>
      </w:r>
      <w:r w:rsidRPr="00670A36">
        <w:rPr>
          <w:rFonts w:ascii="Tahoma" w:hAnsi="Tahoma" w:cs="Tahoma"/>
          <w:sz w:val="20"/>
          <w:szCs w:val="20"/>
        </w:rPr>
        <w:t>.</w:t>
      </w:r>
      <w:r w:rsidRPr="00670A36">
        <w:rPr>
          <w:rFonts w:ascii="Tahoma" w:hAnsi="Tahoma" w:cs="Tahoma"/>
          <w:sz w:val="20"/>
          <w:szCs w:val="20"/>
        </w:rPr>
        <w:tab/>
        <w:t>Wymagania wobe</w:t>
      </w:r>
      <w:r w:rsidR="00962F22">
        <w:rPr>
          <w:rFonts w:ascii="Tahoma" w:hAnsi="Tahoma" w:cs="Tahoma"/>
          <w:sz w:val="20"/>
          <w:szCs w:val="20"/>
        </w:rPr>
        <w:t>c mieszanek związanych cementem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5103"/>
        <w:gridCol w:w="2744"/>
      </w:tblGrid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744" w:type="dxa"/>
          </w:tcPr>
          <w:p w:rsidR="00962F22" w:rsidRPr="00DD7585" w:rsidRDefault="00962F22" w:rsidP="00962F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Składniki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Cement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Kruszywo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 xml:space="preserve">Woda </w:t>
            </w:r>
            <w:proofErr w:type="spellStart"/>
            <w:r w:rsidRPr="00DD7585">
              <w:rPr>
                <w:rFonts w:ascii="Arial" w:hAnsi="Arial" w:cs="Arial"/>
                <w:sz w:val="18"/>
                <w:szCs w:val="18"/>
              </w:rPr>
              <w:t>zarobowa</w:t>
            </w:r>
            <w:proofErr w:type="spellEnd"/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Dodatki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2.2.6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Uziarnienie: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krzywe graniczne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0/8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0/11,2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0/16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0/22,4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2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0/31,5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Minimalna zawartość cementu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Zawartość wody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projektu mieszanki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lastRenderedPageBreak/>
              <w:t>2.4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 xml:space="preserve">Wytrzymałość na ściskanie (system I) – klasa wytrzymałości </w:t>
            </w:r>
            <w:proofErr w:type="spellStart"/>
            <w:r w:rsidRPr="00C40C56">
              <w:rPr>
                <w:rFonts w:ascii="Arial" w:hAnsi="Arial" w:cs="Arial"/>
                <w:sz w:val="18"/>
                <w:szCs w:val="18"/>
              </w:rPr>
              <w:t>R</w:t>
            </w:r>
            <w:r w:rsidRPr="00C40C5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proofErr w:type="spellEnd"/>
            <w:r w:rsidRPr="00C40C56">
              <w:rPr>
                <w:rFonts w:ascii="Arial" w:hAnsi="Arial" w:cs="Arial"/>
                <w:sz w:val="18"/>
                <w:szCs w:val="18"/>
              </w:rPr>
              <w:t xml:space="preserve"> wg tablicy 2</w:t>
            </w:r>
          </w:p>
        </w:tc>
        <w:tc>
          <w:tcPr>
            <w:tcW w:w="2744" w:type="dxa"/>
          </w:tcPr>
          <w:p w:rsidR="00962F22" w:rsidRPr="00962F22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2F22">
              <w:rPr>
                <w:rFonts w:ascii="Arial" w:hAnsi="Arial" w:cs="Arial"/>
                <w:sz w:val="18"/>
                <w:szCs w:val="18"/>
              </w:rPr>
              <w:t>klasa C 3/4 (uziarnienie mieszanki wg rys. 5 ÷ 1)</w:t>
            </w:r>
            <w:r w:rsidRPr="00962F2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Mrozoodporność</w:t>
            </w:r>
          </w:p>
        </w:tc>
        <w:tc>
          <w:tcPr>
            <w:tcW w:w="2744" w:type="dxa"/>
          </w:tcPr>
          <w:p w:rsidR="00962F22" w:rsidRPr="00C40C56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≥ 0,6</w:t>
            </w:r>
          </w:p>
        </w:tc>
      </w:tr>
    </w:tbl>
    <w:p w:rsidR="00670A36" w:rsidRDefault="00670A36" w:rsidP="00670A36">
      <w:pPr>
        <w:ind w:left="992" w:hanging="992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</w:t>
      </w:r>
      <w:r w:rsidR="00962F22">
        <w:rPr>
          <w:rFonts w:ascii="Tahoma" w:hAnsi="Tahoma" w:cs="Tahoma"/>
        </w:rPr>
        <w:t>5</w:t>
      </w:r>
      <w:r w:rsidRPr="00670A36">
        <w:rPr>
          <w:rFonts w:ascii="Tahoma" w:hAnsi="Tahoma" w:cs="Tahoma"/>
        </w:rPr>
        <w:t>. Warunki przystąpienia do robót i przygotowanie podłoża</w:t>
      </w:r>
    </w:p>
    <w:p w:rsidR="00670A36" w:rsidRPr="00962F22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962F22">
        <w:rPr>
          <w:rFonts w:ascii="Tahoma" w:hAnsi="Tahoma" w:cs="Tahoma"/>
          <w:sz w:val="20"/>
          <w:szCs w:val="20"/>
        </w:rPr>
        <w:t xml:space="preserve">Podbudowa zasadnicza </w:t>
      </w:r>
      <w:r w:rsidR="00962F22" w:rsidRPr="00962F22">
        <w:rPr>
          <w:rFonts w:ascii="Tahoma" w:hAnsi="Tahoma" w:cs="Tahoma"/>
          <w:sz w:val="20"/>
          <w:szCs w:val="20"/>
        </w:rPr>
        <w:t>nie powinna być wykonywana</w:t>
      </w:r>
      <w:r w:rsidRPr="00962F22">
        <w:rPr>
          <w:rFonts w:ascii="Tahoma" w:hAnsi="Tahoma" w:cs="Tahoma"/>
          <w:sz w:val="20"/>
          <w:szCs w:val="20"/>
        </w:rPr>
        <w:t>, gdy temperatura powietrza jest niższa od +5</w:t>
      </w:r>
      <w:r w:rsidRPr="00962F22">
        <w:rPr>
          <w:rFonts w:ascii="Tahoma" w:hAnsi="Tahoma" w:cs="Tahoma"/>
          <w:sz w:val="20"/>
          <w:szCs w:val="20"/>
          <w:vertAlign w:val="superscript"/>
        </w:rPr>
        <w:t>o</w:t>
      </w:r>
      <w:r w:rsidRPr="00962F22">
        <w:rPr>
          <w:rFonts w:ascii="Tahoma" w:hAnsi="Tahoma" w:cs="Tahoma"/>
          <w:sz w:val="20"/>
          <w:szCs w:val="20"/>
        </w:rPr>
        <w:t>C oraz gdy podłoże jest zamarznięte.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Podłoże pod mieszankę powinno być przygotowane zgodnie z wymaganiami określonymi w dokumentacji projektowej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Zaleca się do korzystania z ustaleń podanych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D-04.01.01 „Koryto wraz z profilowaniem i zagęszczeniem podłoża”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5.7. Wytwarzanie i wbudowanie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produkcji mieszanek należy prowadzić kontrolę produkcji zgodnie z WT-5 część 5.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Mieszanka po wyprodukowaniu powinna być od razu transportowana na miejsce wbudowania, w sposób zabezpieczony przed segregacją i nadmiernym wysychaniem.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 przystąpić po odbiorze pierwszej warstwy przez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 Przy układaniu mieszanki za pomocą równiarek konieczne jest stosowanie prowadnic.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Jeśli jednak w dolnej warstwie podbudowy występują spoiny robocze, to spoiny w górnej warstwie podbudowy powinny być względem nich przesunięte o co najmniej 30 cm dla spoiny podłużnej i 1 m dla spoiny poprzecznej.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5.8. Pielęgnacja warstwy kruszywa związanego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Warstwa kruszywa związanego cementem powinna być natychmiast po zagęszczeniu poddana pielęgnacji według jednego z następujących sposobów:</w:t>
      </w:r>
    </w:p>
    <w:p w:rsidR="00D41DDD" w:rsidRDefault="00D41DDD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3"/>
          <w:sz w:val="20"/>
        </w:rPr>
        <w:t>utrzymanie w stanie wilgotnym poprzez kilkakrotne skrapianie wodą w ciągu dnia, w czasie co najmniej 7 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skropieniem preparatem pielęgnacyjnym, posiadającym aprobatę techniczną,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na okres 7 dni nieprzepuszczalną folią z tworzywa sztucznego, ułożoną na zakład co najmniej 30 cm i zabezpieczoną przed zerwaniem przez wiatr,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przykryciem matami lub włókninami i spryskanie wodą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warstwą piasku i utrzymanie jej w stanie wilgotnym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innymi środkami zaakceptowanymi przez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5.9. Roboty wykończeniowe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wykończeniowe, zgodne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 wskazaniami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 xml:space="preserve"> dotyczą prac związanych z dostosowaniem wykonanych  robót do istniejących warunków terenowych, takie jak:</w:t>
      </w:r>
    </w:p>
    <w:p w:rsidR="00670A36" w:rsidRPr="00670A36" w:rsidRDefault="00670A36" w:rsidP="00670A36">
      <w:pPr>
        <w:numPr>
          <w:ilvl w:val="0"/>
          <w:numId w:val="11"/>
        </w:numPr>
        <w:tabs>
          <w:tab w:val="clear" w:pos="39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odtworzenie przeszkód czasowo usuniętych,</w:t>
      </w:r>
    </w:p>
    <w:p w:rsidR="00670A36" w:rsidRPr="00670A36" w:rsidRDefault="00670A36" w:rsidP="00670A3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uzupełnienie zniszczonych w czasie robót istniejących elementów drogowych lub terenowych,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porządkujące otoczenie terenu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usunięcie oznakowania drogi wprowadzonego na okres robót.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39" w:name="_Toc421940501"/>
      <w:bookmarkStart w:id="40" w:name="_Toc24955913"/>
      <w:bookmarkStart w:id="41" w:name="_Toc25128887"/>
      <w:bookmarkStart w:id="42" w:name="_Toc25373385"/>
      <w:bookmarkStart w:id="43" w:name="_Toc25379401"/>
      <w:bookmarkStart w:id="44" w:name="_Toc174333138"/>
      <w:bookmarkStart w:id="45" w:name="_Toc179183771"/>
      <w:bookmarkStart w:id="46" w:name="_Toc198436140"/>
      <w:bookmarkStart w:id="47" w:name="_Toc199904824"/>
      <w:bookmarkStart w:id="48" w:name="_Toc216843088"/>
      <w:bookmarkStart w:id="49" w:name="_Toc257193991"/>
      <w:bookmarkStart w:id="50" w:name="_Toc284409958"/>
      <w:bookmarkStart w:id="51" w:name="_Toc295205110"/>
      <w:bookmarkStart w:id="52" w:name="_Toc332010316"/>
      <w:r w:rsidRPr="00670A36">
        <w:rPr>
          <w:rFonts w:ascii="Tahoma" w:hAnsi="Tahoma" w:cs="Tahoma"/>
          <w:szCs w:val="20"/>
        </w:rPr>
        <w:t xml:space="preserve">6.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670A36">
        <w:rPr>
          <w:rFonts w:ascii="Tahoma" w:hAnsi="Tahoma" w:cs="Tahoma"/>
          <w:szCs w:val="20"/>
        </w:rPr>
        <w:t>KONTROLA JAKOŚCI ROBÓT</w:t>
      </w:r>
      <w:bookmarkEnd w:id="52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6.1. Ogólne zasady kontroli jakości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6.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6.2. Badania przed przystąpieniem do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 przystąpieniem do robót Wykonawca powinien: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wykonać własne badania właściwości materiałów przeznaczonych do wykonania robót.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 w:rsidR="00D41DDD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6.3. Badania w czasie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pomiarów, które należy wykonać w czasie robót podaje 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. </w:t>
      </w:r>
    </w:p>
    <w:p w:rsidR="00670A36" w:rsidRPr="00670A36" w:rsidRDefault="00670A36" w:rsidP="00670A36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 Częstotliwość oraz zakres badań i pomiarów w czasie robót</w:t>
      </w:r>
    </w:p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2200"/>
        <w:gridCol w:w="2973"/>
      </w:tblGrid>
      <w:tr w:rsidR="00670A36" w:rsidRPr="00670A36" w:rsidTr="00016AC2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Częstotliwość badań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dokumentacji projektowej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5.3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kruszywa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 kruszywa i przy każdej zmianie kruszywa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Tablica 1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wody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każdego wątpliwego źródła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1008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cementu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197-1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 razy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Rys. 1 ÷ 5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optymalna z tolerancją +10%, -20%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Grubość warstwy podbudowy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Tolerancja </w:t>
            </w:r>
            <w:r w:rsidR="000E44C0">
              <w:rPr>
                <w:rFonts w:ascii="Tahoma" w:hAnsi="Tahoma" w:cs="Tahoma"/>
                <w:sz w:val="20"/>
                <w:szCs w:val="20"/>
              </w:rPr>
              <w:t>±10%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Zagęszczenie warstwy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1,00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(p. 5.7)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wytrzymałości na ściskanie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 próbki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13286-41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mrozoodporności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1216AB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 zlecenie </w:t>
            </w:r>
            <w:r w:rsidR="001216AB">
              <w:rPr>
                <w:rFonts w:ascii="Tahoma" w:hAnsi="Tahoma" w:cs="Tahoma"/>
                <w:sz w:val="20"/>
                <w:szCs w:val="20"/>
              </w:rPr>
              <w:t>Zamawiającego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 5.4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Według punktu 5.9</w:t>
            </w:r>
          </w:p>
        </w:tc>
      </w:tr>
    </w:tbl>
    <w:p w:rsidR="00670A36" w:rsidRPr="00670A36" w:rsidRDefault="00670A36" w:rsidP="00670A36">
      <w:pPr>
        <w:pStyle w:val="Nagwek2"/>
        <w:ind w:left="426" w:hanging="426"/>
        <w:rPr>
          <w:rFonts w:ascii="Tahoma" w:hAnsi="Tahoma" w:cs="Tahoma"/>
        </w:rPr>
      </w:pPr>
      <w:bookmarkStart w:id="53" w:name="_Toc421940502"/>
      <w:bookmarkStart w:id="54" w:name="_Toc24955914"/>
      <w:bookmarkStart w:id="55" w:name="_Toc25128888"/>
      <w:bookmarkStart w:id="56" w:name="_Toc25373386"/>
      <w:bookmarkStart w:id="57" w:name="_Toc25379402"/>
      <w:bookmarkStart w:id="58" w:name="_Toc174333139"/>
      <w:bookmarkStart w:id="59" w:name="_Toc179183772"/>
      <w:bookmarkStart w:id="60" w:name="_Toc198436141"/>
      <w:bookmarkStart w:id="61" w:name="_Toc199904825"/>
      <w:bookmarkStart w:id="62" w:name="_Toc216843089"/>
      <w:bookmarkStart w:id="63" w:name="_Toc257193992"/>
      <w:bookmarkStart w:id="64" w:name="_Toc284409959"/>
      <w:bookmarkStart w:id="65" w:name="_Toc295205111"/>
      <w:r w:rsidRPr="00670A36">
        <w:rPr>
          <w:rFonts w:ascii="Tahoma" w:hAnsi="Tahoma" w:cs="Tahoma"/>
        </w:rPr>
        <w:lastRenderedPageBreak/>
        <w:t xml:space="preserve">6.4. </w:t>
      </w:r>
      <w:r w:rsidRPr="00670A36">
        <w:rPr>
          <w:rFonts w:ascii="Tahoma" w:hAnsi="Tahoma" w:cs="Tahoma"/>
          <w:b w:val="0"/>
        </w:rPr>
        <w:t xml:space="preserve">Wymagania dotyczące cech geometrycznych i wytrzymałościowych </w:t>
      </w:r>
      <w:r w:rsidRPr="000E44C0">
        <w:rPr>
          <w:rFonts w:ascii="Tahoma" w:hAnsi="Tahoma" w:cs="Tahoma"/>
          <w:b w:val="0"/>
        </w:rPr>
        <w:t xml:space="preserve">podbudowy </w:t>
      </w:r>
      <w:r w:rsidR="001A49D3">
        <w:rPr>
          <w:rFonts w:ascii="Tahoma" w:hAnsi="Tahoma" w:cs="Tahoma"/>
          <w:b w:val="0"/>
        </w:rPr>
        <w:t>pomocniczej</w:t>
      </w:r>
      <w:r w:rsidR="000E44C0">
        <w:rPr>
          <w:rFonts w:ascii="Tahoma" w:hAnsi="Tahoma" w:cs="Tahoma"/>
          <w:b w:val="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 dotyczących cech geometrycznych podaje 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keepNext/>
        <w:spacing w:before="60" w:after="120"/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 xml:space="preserve">. Częstotliwość oraz zakres badań i pomiarów warstwy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61"/>
        <w:gridCol w:w="2392"/>
        <w:gridCol w:w="4536"/>
      </w:tblGrid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36" w:rsidRPr="00670A36" w:rsidRDefault="00670A36" w:rsidP="00016AC2">
            <w:pPr>
              <w:ind w:left="215" w:right="312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badań i pomiarów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auto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częstotliwość badań i pomiarów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Dopuszczalne odchyłki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Szerokość 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+10 cm, -5 cm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sposób ciągły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lub co 20 m łatą na każdym pasie ruchu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12mm podbudowa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 razy na 1 km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j/w 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61" w:type="dxa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± 0,5%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+1cm, -2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±5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Grubość podbudowy </w:t>
            </w:r>
          </w:p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ulepszonego podłoża</w:t>
            </w:r>
          </w:p>
        </w:tc>
        <w:tc>
          <w:tcPr>
            <w:tcW w:w="2392" w:type="dxa"/>
            <w:shd w:val="clear" w:color="auto" w:fill="auto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 3 punktach, lecz nie rzadziej niż raz na 2000 m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±10% podbudowa 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*) Dodatkowe pomiary spadków poprzecznych i ukształtowania osi w planie należy wykonać w punktach głównych łuków poziomych.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66" w:name="_Toc332010317"/>
      <w:r w:rsidRPr="00670A36">
        <w:rPr>
          <w:rFonts w:ascii="Tahoma" w:hAnsi="Tahoma" w:cs="Tahoma"/>
          <w:szCs w:val="20"/>
        </w:rPr>
        <w:t xml:space="preserve">7.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70A36">
        <w:rPr>
          <w:rFonts w:ascii="Tahoma" w:hAnsi="Tahoma" w:cs="Tahoma"/>
          <w:szCs w:val="20"/>
        </w:rPr>
        <w:t>OBMIAR ROB</w:t>
      </w:r>
      <w:bookmarkEnd w:id="66"/>
      <w:r w:rsidRPr="00670A36">
        <w:rPr>
          <w:rFonts w:ascii="Tahoma" w:hAnsi="Tahoma" w:cs="Tahoma"/>
          <w:szCs w:val="20"/>
        </w:rPr>
        <w:t>ÓT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7.1. Ogólne zasady obmiaru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7.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7.2. Jednostka obmiarowa</w:t>
      </w:r>
    </w:p>
    <w:p w:rsidR="00670A36" w:rsidRPr="000E44C0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Jednostką obmiarową jest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 xml:space="preserve"> (metr kwadratowy) wykonanej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0E44C0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r w:rsidRPr="00670A36">
        <w:rPr>
          <w:rFonts w:ascii="Tahoma" w:hAnsi="Tahoma" w:cs="Tahoma"/>
          <w:szCs w:val="20"/>
        </w:rPr>
        <w:t xml:space="preserve"> </w:t>
      </w:r>
      <w:bookmarkStart w:id="67" w:name="_Toc421940503"/>
      <w:bookmarkStart w:id="68" w:name="_Toc24955915"/>
      <w:bookmarkStart w:id="69" w:name="_Toc25128889"/>
      <w:bookmarkStart w:id="70" w:name="_Toc25373387"/>
      <w:bookmarkStart w:id="71" w:name="_Toc25379403"/>
      <w:bookmarkStart w:id="72" w:name="_Toc174333140"/>
      <w:bookmarkStart w:id="73" w:name="_Toc179183773"/>
      <w:bookmarkStart w:id="74" w:name="_Toc198436142"/>
      <w:bookmarkStart w:id="75" w:name="_Toc199904826"/>
      <w:bookmarkStart w:id="76" w:name="_Toc216843090"/>
      <w:bookmarkStart w:id="77" w:name="_Toc257193993"/>
      <w:bookmarkStart w:id="78" w:name="_Toc284409960"/>
      <w:bookmarkStart w:id="79" w:name="_Toc295205112"/>
      <w:bookmarkStart w:id="80" w:name="_Toc332010318"/>
      <w:r w:rsidRPr="00670A36">
        <w:rPr>
          <w:rFonts w:ascii="Tahoma" w:hAnsi="Tahoma" w:cs="Tahoma"/>
          <w:szCs w:val="20"/>
        </w:rPr>
        <w:t xml:space="preserve">8.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670A36">
        <w:rPr>
          <w:rFonts w:ascii="Tahoma" w:hAnsi="Tahoma" w:cs="Tahoma"/>
          <w:szCs w:val="20"/>
        </w:rPr>
        <w:t>ODBIÓR ROBÓT</w:t>
      </w:r>
      <w:bookmarkEnd w:id="80"/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8.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uznaje się za wykonane zgodnie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 wymaganiami </w:t>
      </w:r>
      <w:r w:rsidR="000E44C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, jeżeli wszystkie pomiary i badania z zachowaniem tolerancji według punktu 6 dały wyniki pozytywne.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81" w:name="_Toc421686551"/>
      <w:bookmarkStart w:id="82" w:name="_Toc421940504"/>
      <w:bookmarkStart w:id="83" w:name="_Toc24955916"/>
      <w:bookmarkStart w:id="84" w:name="_Toc25128890"/>
      <w:bookmarkStart w:id="85" w:name="_Toc25373388"/>
      <w:bookmarkStart w:id="86" w:name="_Toc25379404"/>
      <w:bookmarkStart w:id="87" w:name="_Toc174333141"/>
      <w:bookmarkStart w:id="88" w:name="_Toc179183774"/>
      <w:bookmarkStart w:id="89" w:name="_Toc198436143"/>
      <w:bookmarkStart w:id="90" w:name="_Toc199904827"/>
      <w:bookmarkStart w:id="91" w:name="_Toc216843091"/>
      <w:bookmarkStart w:id="92" w:name="_Toc257193994"/>
      <w:bookmarkStart w:id="93" w:name="_Toc284409961"/>
      <w:bookmarkStart w:id="94" w:name="_Toc295205113"/>
      <w:bookmarkStart w:id="95" w:name="_Toc332010319"/>
      <w:r w:rsidRPr="00670A36">
        <w:rPr>
          <w:rFonts w:ascii="Tahoma" w:hAnsi="Tahoma" w:cs="Tahoma"/>
          <w:szCs w:val="20"/>
        </w:rPr>
        <w:t xml:space="preserve">9.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670A36">
        <w:rPr>
          <w:rFonts w:ascii="Tahoma" w:hAnsi="Tahoma" w:cs="Tahoma"/>
          <w:szCs w:val="20"/>
        </w:rPr>
        <w:t>PODSTAWA PŁATNOŚCI</w:t>
      </w:r>
      <w:bookmarkEnd w:id="95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9.1. Ogólne ustalenia dotyczące podstawy płatności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9.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9.2. Cena jednostki obmiarowej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Cena wykonania  jednostki obmiarowej (1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>) obejmuje: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prace pomiarowe i roboty przygotowawcze,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oznakowanie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 materiałów i sprzętu,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wyprodukowanie mieszanki i jej transport na miejsce wbudowania,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dostarczenie, ustawienie, rozebranie i odwiezienie prowadnic oraz innych materiałów i urządzeń pomocniczych,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rozłożenie i zagęszczenie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pielęgnacja wykonanej warstwy,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przeprowadzenie wymaganych  pomiarów i badań,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uporządkowanie terenu robót i jego otoczenia,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odwiezienie sprzętu.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96" w:name="_Toc24955917"/>
      <w:bookmarkStart w:id="97" w:name="_Toc25041751"/>
      <w:bookmarkStart w:id="98" w:name="_Toc25128891"/>
      <w:bookmarkStart w:id="99" w:name="_Toc25373389"/>
      <w:bookmarkStart w:id="100" w:name="_Toc25379405"/>
      <w:bookmarkStart w:id="101" w:name="_Toc174333142"/>
      <w:bookmarkStart w:id="102" w:name="_Toc179183775"/>
      <w:bookmarkStart w:id="103" w:name="_Toc198436144"/>
      <w:bookmarkStart w:id="104" w:name="_Toc199904828"/>
      <w:bookmarkStart w:id="105" w:name="_Toc216843092"/>
      <w:bookmarkStart w:id="106" w:name="_Toc257193995"/>
      <w:bookmarkStart w:id="107" w:name="_Toc284409962"/>
      <w:bookmarkStart w:id="108" w:name="_Toc295205114"/>
      <w:bookmarkStart w:id="109" w:name="_Toc332010320"/>
      <w:r w:rsidRPr="00670A36">
        <w:rPr>
          <w:rFonts w:ascii="Tahoma" w:hAnsi="Tahoma" w:cs="Tahoma"/>
          <w:szCs w:val="20"/>
        </w:rPr>
        <w:t xml:space="preserve">10. 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70A36">
        <w:rPr>
          <w:rFonts w:ascii="Tahoma" w:hAnsi="Tahoma" w:cs="Tahoma"/>
          <w:szCs w:val="20"/>
        </w:rPr>
        <w:t>PRZEPISY ZWIĄZANE</w:t>
      </w:r>
      <w:bookmarkEnd w:id="109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10.1.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2"/>
      </w:tblGrid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D-M-00.00.00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Wymagania ogólne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D-01.00.00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D-02.00.00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ziemne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D-04.01.01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Koryto wraz z profilowaniem i zagęszczeniem podłoża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10.2. Normy</w:t>
      </w:r>
    </w:p>
    <w:tbl>
      <w:tblPr>
        <w:tblW w:w="0" w:type="auto"/>
        <w:tblLook w:val="01E0"/>
      </w:tblPr>
      <w:tblGrid>
        <w:gridCol w:w="659"/>
        <w:gridCol w:w="1625"/>
        <w:gridCol w:w="7004"/>
      </w:tblGrid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Cement – Część 1: Skład, wymagania i kryteria zgodności dotyczące cementów powszechnego użytku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za pomocą wskaźnika płaskości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933-4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– Wskaźnik kształtu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933-5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procentowej zawartości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o powierzchniach powstałych w wyniku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przekruszenia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łamania kruszyw grubych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934-2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Domieszki do betonu, zaprawy i zaczynu – Domieszki do betonu – Definicje i wymagania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1008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Woda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 – Specyfikacja pobierania próbek, badanie i ocena przydatności wody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zarobowej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betonu, w tym wody odzyskanej z procesów produkcji betonu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Oznaczanie odporności na ścieranie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mikro-Deval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1097-6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mechanicznych i fizycznych właściwości kruszyw – Część 6: Oznaczanie gęstości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i nasiąkliwości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Analiza chemiczna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Część 3: Przygotowanie wyciągów przez wymywanie kruszyw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13242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 do niezwiązanych i związanych hydraulicznie materiałów stosowanych w obiektach budowlanych i budownictwie drogowym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2: Metody określania gęstości i zawartości wody – Zagęszczanie metodą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13286-41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13286-50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ind w:right="-26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50: Metoda sporządzania próbek związanych hydraulicznie za pomocą aparatu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zagęszczania na stole wibracyjnym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Wymagania – Część 1: Mieszanki związane cementem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Specyfikacja – Część 10: Grunty stabilizowane cementem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lastRenderedPageBreak/>
        <w:t>10.3. Inne dokumenty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Mieszanki związane spoiwem hydraulicznym do dróg krajowych – WT-5 2010 Wymagania techniczne (zalecone do stosowania w specyfikacji technicznej na roboty budowlane na drogach krajowych wg zarządzenia nr 102 </w:t>
      </w:r>
      <w:proofErr w:type="spellStart"/>
      <w:r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dnia 19.11.2010 r.)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70A36">
        <w:rPr>
          <w:rFonts w:ascii="Tahoma" w:hAnsi="Tahoma" w:cs="Tahoma"/>
          <w:sz w:val="20"/>
          <w:szCs w:val="20"/>
        </w:rPr>
        <w:t>Dz.U</w:t>
      </w:r>
      <w:proofErr w:type="spellEnd"/>
      <w:r w:rsidRPr="00670A36">
        <w:rPr>
          <w:rFonts w:ascii="Tahoma" w:hAnsi="Tahoma" w:cs="Tahoma"/>
          <w:sz w:val="20"/>
          <w:szCs w:val="20"/>
        </w:rPr>
        <w:t>. nr 43, poz. 430)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Publicznych – Instytut Badawczy Dróg i Mostów, Warszawa 1997</w:t>
      </w:r>
    </w:p>
    <w:p w:rsidR="00670A36" w:rsidRPr="00ED2D28" w:rsidRDefault="00670A36" w:rsidP="00ED2D2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Krajowych i Autostrad – 2016</w:t>
      </w:r>
    </w:p>
    <w:p w:rsidR="00A80503" w:rsidRPr="00670A36" w:rsidRDefault="00A80503">
      <w:pPr>
        <w:rPr>
          <w:rFonts w:ascii="Tahoma" w:hAnsi="Tahoma" w:cs="Tahoma"/>
          <w:sz w:val="20"/>
          <w:szCs w:val="20"/>
        </w:rPr>
      </w:pPr>
    </w:p>
    <w:sectPr w:rsidR="00A80503" w:rsidRPr="00670A36" w:rsidSect="00670A36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A1D" w:rsidRDefault="006B7A1D" w:rsidP="00670A36">
      <w:r>
        <w:separator/>
      </w:r>
    </w:p>
  </w:endnote>
  <w:endnote w:type="continuationSeparator" w:id="0">
    <w:p w:rsidR="006B7A1D" w:rsidRDefault="006B7A1D" w:rsidP="0067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242947583"/>
      <w:docPartObj>
        <w:docPartGallery w:val="Page Numbers (Bottom of Page)"/>
        <w:docPartUnique/>
      </w:docPartObj>
    </w:sdtPr>
    <w:sdtContent>
      <w:p w:rsidR="00016AC2" w:rsidRPr="00670A36" w:rsidRDefault="00926CD7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670A36">
          <w:rPr>
            <w:rFonts w:ascii="Tahoma" w:hAnsi="Tahoma" w:cs="Tahoma"/>
            <w:sz w:val="20"/>
            <w:szCs w:val="20"/>
          </w:rPr>
          <w:fldChar w:fldCharType="begin"/>
        </w:r>
        <w:r w:rsidR="00016AC2" w:rsidRPr="00670A3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670A36">
          <w:rPr>
            <w:rFonts w:ascii="Tahoma" w:hAnsi="Tahoma" w:cs="Tahoma"/>
            <w:sz w:val="20"/>
            <w:szCs w:val="20"/>
          </w:rPr>
          <w:fldChar w:fldCharType="separate"/>
        </w:r>
        <w:r w:rsidR="00D23C58">
          <w:rPr>
            <w:rFonts w:ascii="Tahoma" w:hAnsi="Tahoma" w:cs="Tahoma"/>
            <w:noProof/>
            <w:sz w:val="20"/>
            <w:szCs w:val="20"/>
          </w:rPr>
          <w:t>1</w:t>
        </w:r>
        <w:r w:rsidRPr="00670A3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016AC2" w:rsidRPr="00FE349D" w:rsidRDefault="00016AC2" w:rsidP="00670A36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A1D" w:rsidRDefault="006B7A1D" w:rsidP="00670A36">
      <w:r>
        <w:separator/>
      </w:r>
    </w:p>
  </w:footnote>
  <w:footnote w:type="continuationSeparator" w:id="0">
    <w:p w:rsidR="006B7A1D" w:rsidRDefault="006B7A1D" w:rsidP="0067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344AC"/>
    <w:multiLevelType w:val="hybridMultilevel"/>
    <w:tmpl w:val="717053B2"/>
    <w:lvl w:ilvl="0" w:tplc="12FCC3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7F5786"/>
    <w:multiLevelType w:val="hybridMultilevel"/>
    <w:tmpl w:val="CDF818E2"/>
    <w:lvl w:ilvl="0" w:tplc="3D36BA3C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3E522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67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0C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6B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F861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C3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926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9C6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42BE1"/>
    <w:multiLevelType w:val="hybridMultilevel"/>
    <w:tmpl w:val="4456092C"/>
    <w:lvl w:ilvl="0" w:tplc="04150003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82659"/>
    <w:multiLevelType w:val="hybridMultilevel"/>
    <w:tmpl w:val="CFCC7924"/>
    <w:lvl w:ilvl="0" w:tplc="56C07D4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F6C69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8F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ECA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2B0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F4D4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C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E85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ECF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47A4EE7"/>
    <w:multiLevelType w:val="hybridMultilevel"/>
    <w:tmpl w:val="6E3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07ACC"/>
    <w:multiLevelType w:val="multilevel"/>
    <w:tmpl w:val="86D61F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2">
    <w:nsid w:val="5D1D676B"/>
    <w:multiLevelType w:val="hybridMultilevel"/>
    <w:tmpl w:val="89CE31D2"/>
    <w:lvl w:ilvl="0" w:tplc="FA86A92E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6E5223"/>
    <w:multiLevelType w:val="hybridMultilevel"/>
    <w:tmpl w:val="B46E5782"/>
    <w:lvl w:ilvl="0" w:tplc="12FCC39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AA6AD8"/>
    <w:multiLevelType w:val="hybridMultilevel"/>
    <w:tmpl w:val="4F42FADE"/>
    <w:lvl w:ilvl="0" w:tplc="69EE32D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374BE"/>
    <w:multiLevelType w:val="hybridMultilevel"/>
    <w:tmpl w:val="C3CE4F28"/>
    <w:lvl w:ilvl="0" w:tplc="3BCE9EC0">
      <w:start w:val="25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3"/>
  </w:num>
  <w:num w:numId="4">
    <w:abstractNumId w:val="14"/>
  </w:num>
  <w:num w:numId="5">
    <w:abstractNumId w:val="4"/>
  </w:num>
  <w:num w:numId="6">
    <w:abstractNumId w:val="12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70A36"/>
    <w:rsid w:val="00016AC2"/>
    <w:rsid w:val="000E44C0"/>
    <w:rsid w:val="000F742E"/>
    <w:rsid w:val="001216AB"/>
    <w:rsid w:val="001532B2"/>
    <w:rsid w:val="0016716D"/>
    <w:rsid w:val="001A49D3"/>
    <w:rsid w:val="001E3E4E"/>
    <w:rsid w:val="0022007A"/>
    <w:rsid w:val="003321A3"/>
    <w:rsid w:val="0039598F"/>
    <w:rsid w:val="00472B51"/>
    <w:rsid w:val="00581AE4"/>
    <w:rsid w:val="005F3624"/>
    <w:rsid w:val="00670A36"/>
    <w:rsid w:val="006B7A1D"/>
    <w:rsid w:val="00843DC7"/>
    <w:rsid w:val="008E7AE1"/>
    <w:rsid w:val="00926CD7"/>
    <w:rsid w:val="00962F22"/>
    <w:rsid w:val="00A557D0"/>
    <w:rsid w:val="00A80503"/>
    <w:rsid w:val="00AD27AA"/>
    <w:rsid w:val="00AF713D"/>
    <w:rsid w:val="00D23C58"/>
    <w:rsid w:val="00D41DDD"/>
    <w:rsid w:val="00D57A8F"/>
    <w:rsid w:val="00ED2D28"/>
    <w:rsid w:val="00FC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36"/>
    <w:pPr>
      <w:keepNext/>
      <w:spacing w:before="240" w:after="60"/>
      <w:outlineLvl w:val="0"/>
    </w:pPr>
    <w:rPr>
      <w:rFonts w:ascii="Book Antiqua" w:hAnsi="Book Antiqua" w:cs="Arial"/>
      <w:b/>
      <w:bCs/>
      <w:kern w:val="32"/>
      <w:sz w:val="20"/>
      <w:szCs w:val="32"/>
    </w:rPr>
  </w:style>
  <w:style w:type="paragraph" w:styleId="Nagwek2">
    <w:name w:val="heading 2"/>
    <w:aliases w:val="Nagłówek 11"/>
    <w:basedOn w:val="Normalny"/>
    <w:link w:val="Nagwek2Znak"/>
    <w:uiPriority w:val="9"/>
    <w:qFormat/>
    <w:rsid w:val="00670A36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36"/>
    <w:rPr>
      <w:rFonts w:ascii="Book Antiqua" w:eastAsia="Times New Roman" w:hAnsi="Book Antiqua" w:cs="Arial"/>
      <w:b/>
      <w:bCs/>
      <w:kern w:val="32"/>
      <w:sz w:val="20"/>
      <w:szCs w:val="32"/>
      <w:lang w:eastAsia="pl-PL"/>
    </w:r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670A36"/>
    <w:rPr>
      <w:rFonts w:ascii="Book Antiqua" w:eastAsia="Times New Roman" w:hAnsi="Book Antiqua" w:cs="Times New Roman"/>
      <w:b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670A36"/>
    <w:pPr>
      <w:ind w:firstLine="697"/>
      <w:jc w:val="both"/>
    </w:pPr>
    <w:rPr>
      <w:rFonts w:eastAsia="Calibri"/>
      <w:lang w:eastAsia="en-US"/>
    </w:rPr>
  </w:style>
  <w:style w:type="character" w:customStyle="1" w:styleId="BezodstpwZnak">
    <w:name w:val="Bez odstępów Znak"/>
    <w:link w:val="Bezodstpw"/>
    <w:uiPriority w:val="1"/>
    <w:rsid w:val="00670A36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70A36"/>
    <w:pPr>
      <w:spacing w:before="120" w:after="120"/>
      <w:ind w:left="720"/>
      <w:contextualSpacing/>
      <w:jc w:val="both"/>
    </w:pPr>
    <w:rPr>
      <w:rFonts w:ascii="Book Antiqua" w:hAnsi="Book Antiqua"/>
      <w:sz w:val="20"/>
      <w:szCs w:val="20"/>
    </w:rPr>
  </w:style>
  <w:style w:type="paragraph" w:customStyle="1" w:styleId="SST2">
    <w:name w:val="SST_2"/>
    <w:basedOn w:val="Normalny"/>
    <w:link w:val="SST2Znak"/>
    <w:qFormat/>
    <w:rsid w:val="00670A36"/>
    <w:rPr>
      <w:rFonts w:ascii="Book Antiqua" w:hAnsi="Book Antiqua"/>
      <w:b/>
      <w:szCs w:val="20"/>
    </w:rPr>
  </w:style>
  <w:style w:type="character" w:customStyle="1" w:styleId="SST2Znak">
    <w:name w:val="SST_2 Znak"/>
    <w:basedOn w:val="Domylnaczcionkaakapitu"/>
    <w:link w:val="SST2"/>
    <w:rsid w:val="00670A36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7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7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70A36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link w:val="StandardowytekstZnak"/>
    <w:rsid w:val="0067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67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A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C6E07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FC6E07"/>
    <w:pPr>
      <w:suppressAutoHyphens/>
      <w:jc w:val="both"/>
    </w:pPr>
    <w:rPr>
      <w:color w:val="FF0000"/>
      <w:spacing w:val="-3"/>
      <w:sz w:val="20"/>
      <w:szCs w:val="20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FC6E0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0E44C0"/>
    <w:pPr>
      <w:suppressAutoHyphens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4804</Words>
  <Characters>28828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2022-03-14T21:16:00Z</dcterms:created>
  <dcterms:modified xsi:type="dcterms:W3CDTF">2022-03-14T21:16:00Z</dcterms:modified>
</cp:coreProperties>
</file>