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D6" w:rsidRPr="00EA0D9A" w:rsidRDefault="008145D6" w:rsidP="006E485B">
      <w:pPr>
        <w:rPr>
          <w:rFonts w:ascii="Tahoma" w:hAnsi="Tahoma" w:cs="Tahoma"/>
          <w:b/>
        </w:rPr>
      </w:pPr>
      <w:bookmarkStart w:id="0" w:name="_GoBack"/>
      <w:bookmarkEnd w:id="0"/>
      <w:r w:rsidRPr="00EA0D9A">
        <w:rPr>
          <w:rFonts w:ascii="Tahoma" w:hAnsi="Tahoma" w:cs="Tahoma"/>
          <w:b/>
        </w:rPr>
        <w:t>D-08.03.01. OBRZEŻA BETONOWE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>pn.: „</w:t>
      </w:r>
      <w:r w:rsidR="003179FE" w:rsidRPr="003179FE">
        <w:rPr>
          <w:rFonts w:ascii="Tahoma" w:hAnsi="Tahoma" w:cs="Tahoma"/>
        </w:rPr>
        <w:t>Modernizacja infrastruktury drogowej na terenie Gminy Wodzierady - remont drogi gminnej nr 103405E granica Gminy Łask - Kiki</w:t>
      </w:r>
      <w:r w:rsidRPr="00EA0D9A">
        <w:rPr>
          <w:rFonts w:ascii="Tahoma" w:hAnsi="Tahoma" w:cs="Tahoma"/>
        </w:rPr>
        <w:t>”.</w:t>
      </w:r>
    </w:p>
    <w:p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 xml:space="preserve">o wymiarach 30x8 cm z wykonaniem ław betonowych z betonu C12/15 (objętość ławy 0,047 m3/m) na podsypce cementowo-piaskowej 1:4 gr. 5 </w:t>
      </w:r>
      <w:proofErr w:type="spellStart"/>
      <w:r w:rsidR="00DA41CD" w:rsidRPr="00DA41CD">
        <w:rPr>
          <w:rFonts w:ascii="Tahoma" w:hAnsi="Tahoma" w:cs="Tahoma"/>
          <w:color w:val="auto"/>
        </w:rPr>
        <w:t>cm</w:t>
      </w:r>
      <w:proofErr w:type="spellEnd"/>
      <w:r>
        <w:rPr>
          <w:rFonts w:ascii="Tahoma" w:hAnsi="Tahoma" w:cs="Tahoma"/>
          <w:color w:val="auto"/>
        </w:rPr>
        <w:t>.</w:t>
      </w:r>
    </w:p>
    <w:p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880"/>
        <w:gridCol w:w="2984"/>
      </w:tblGrid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lastRenderedPageBreak/>
        <w:t>Wymagania techniczne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1" w:name="_2._MATERIAŁY_1"/>
      <w:bookmarkEnd w:id="1"/>
      <w:r w:rsidRPr="00EA0D9A">
        <w:rPr>
          <w:rFonts w:ascii="Tahoma" w:hAnsi="Tahoma" w:cs="Tahoma"/>
          <w:b/>
        </w:rPr>
        <w:t>Przechowywanie i składowanie materiałów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:rsidR="00836DFE" w:rsidRDefault="00836DFE" w:rsidP="008145D6">
      <w:pPr>
        <w:jc w:val="both"/>
        <w:rPr>
          <w:rFonts w:ascii="Tahoma" w:hAnsi="Tahoma" w:cs="Tahoma"/>
        </w:rPr>
      </w:pPr>
    </w:p>
    <w:p w:rsidR="007848ED" w:rsidRDefault="007848ED" w:rsidP="008145D6">
      <w:pPr>
        <w:jc w:val="both"/>
        <w:rPr>
          <w:rFonts w:ascii="Tahoma" w:hAnsi="Tahoma" w:cs="Tahoma"/>
        </w:rPr>
      </w:pPr>
    </w:p>
    <w:p w:rsidR="007848ED" w:rsidRPr="00EA0D9A" w:rsidRDefault="007848ED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2" w:name="_Toc141496951"/>
      <w:r w:rsidRPr="00EA0D9A">
        <w:rPr>
          <w:rFonts w:ascii="Tahoma" w:hAnsi="Tahoma" w:cs="Tahoma"/>
          <w:b/>
        </w:rPr>
        <w:t xml:space="preserve">5. </w:t>
      </w:r>
      <w:bookmarkEnd w:id="2"/>
      <w:r w:rsidRPr="00EA0D9A">
        <w:rPr>
          <w:rFonts w:ascii="Tahoma" w:hAnsi="Tahoma" w:cs="Tahoma"/>
          <w:b/>
        </w:rPr>
        <w:t>WYKONANIE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25513B" w:rsidRPr="00EA0D9A" w:rsidRDefault="0025513B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 xml:space="preserve">5 </w:t>
        </w:r>
        <w:proofErr w:type="spellStart"/>
        <w:r w:rsidRPr="00EA0D9A">
          <w:rPr>
            <w:rFonts w:ascii="Tahoma" w:hAnsi="Tahoma" w:cs="Tahoma"/>
          </w:rPr>
          <w:t>mm</w:t>
        </w:r>
      </w:smartTag>
      <w:proofErr w:type="spellEnd"/>
      <w:r w:rsidRPr="00EA0D9A">
        <w:rPr>
          <w:rFonts w:ascii="Tahoma" w:hAnsi="Tahoma" w:cs="Tahoma"/>
        </w:rPr>
        <w:t>. Spoin nie należy wypełniać.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</w:p>
    <w:p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</w:t>
      </w:r>
      <w:proofErr w:type="spellStart"/>
      <w:r w:rsidRPr="00EA0D9A">
        <w:rPr>
          <w:rFonts w:ascii="Tahoma" w:hAnsi="Tahoma" w:cs="Tahoma"/>
        </w:rPr>
        <w:t>cm</w:t>
      </w:r>
      <w:proofErr w:type="spellEnd"/>
      <w:r w:rsidRPr="00EA0D9A">
        <w:rPr>
          <w:rFonts w:ascii="Tahoma" w:hAnsi="Tahoma" w:cs="Tahoma"/>
        </w:rPr>
        <w:t>. Zagęszczenie podłoża powinno być zgodne z pkt. 5.4.1.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lastRenderedPageBreak/>
        <w:t>odchylenie linii ław od projektowanego kierunku.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wykonanej ławy.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 xml:space="preserve">1 </w:t>
        </w:r>
        <w:proofErr w:type="spellStart"/>
        <w:r w:rsidRPr="00EA0D9A">
          <w:rPr>
            <w:rFonts w:ascii="Tahoma" w:hAnsi="Tahoma" w:cs="Tahoma"/>
          </w:rPr>
          <w:t>cm</w:t>
        </w:r>
      </w:smartTag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EA0D9A">
        <w:rPr>
          <w:rFonts w:ascii="Tahoma" w:eastAsia="Calibri" w:hAnsi="Tahoma" w:cs="Tahoma"/>
          <w:lang w:eastAsia="en-US"/>
        </w:rPr>
        <w:t>pkt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8.</w:t>
      </w:r>
    </w:p>
    <w:p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EA0D9A">
        <w:rPr>
          <w:rFonts w:ascii="Tahoma" w:hAnsi="Tahoma" w:cs="Tahoma"/>
          <w:sz w:val="20"/>
        </w:rPr>
        <w:t>pkt</w:t>
      </w:r>
      <w:proofErr w:type="spellEnd"/>
      <w:r w:rsidRPr="00EA0D9A">
        <w:rPr>
          <w:rFonts w:ascii="Tahoma" w:hAnsi="Tahoma" w:cs="Tahoma"/>
          <w:sz w:val="20"/>
        </w:rPr>
        <w:t xml:space="preserve"> 9.</w:t>
      </w:r>
    </w:p>
    <w:p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 xml:space="preserve">Cement. Część 1: Skład, wymagania i kryteria zgodności dotyczące cementu powszechnego </w:t>
      </w:r>
      <w:r w:rsidRPr="00EA0D9A">
        <w:rPr>
          <w:rFonts w:ascii="Tahoma" w:hAnsi="Tahoma" w:cs="Tahoma"/>
        </w:rPr>
        <w:lastRenderedPageBreak/>
        <w:t>użytku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 xml:space="preserve">Woda </w:t>
      </w:r>
      <w:proofErr w:type="spellStart"/>
      <w:r w:rsidRPr="00EA0D9A">
        <w:rPr>
          <w:rFonts w:ascii="Tahoma" w:hAnsi="Tahoma" w:cs="Tahoma"/>
        </w:rPr>
        <w:t>zarobowa</w:t>
      </w:r>
      <w:proofErr w:type="spellEnd"/>
      <w:r w:rsidRPr="00EA0D9A">
        <w:rPr>
          <w:rFonts w:ascii="Tahoma" w:hAnsi="Tahoma" w:cs="Tahoma"/>
        </w:rPr>
        <w:t xml:space="preserve"> do betonu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440" w:rsidRDefault="007B4440" w:rsidP="008145D6">
      <w:r>
        <w:separator/>
      </w:r>
    </w:p>
  </w:endnote>
  <w:endnote w:type="continuationSeparator" w:id="0">
    <w:p w:rsidR="007B4440" w:rsidRDefault="007B4440" w:rsidP="008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E707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7B4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:rsidR="008145D6" w:rsidRPr="008145D6" w:rsidRDefault="00E707C2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3179FE">
          <w:rPr>
            <w:rFonts w:ascii="Tahoma" w:hAnsi="Tahoma" w:cs="Tahoma"/>
            <w:noProof/>
          </w:rPr>
          <w:t>1</w:t>
        </w:r>
        <w:r w:rsidRPr="008145D6">
          <w:rPr>
            <w:rFonts w:ascii="Tahoma" w:hAnsi="Tahoma" w:cs="Tahoma"/>
          </w:rPr>
          <w:fldChar w:fldCharType="end"/>
        </w:r>
      </w:p>
    </w:sdtContent>
  </w:sdt>
  <w:p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440" w:rsidRDefault="007B4440" w:rsidP="008145D6">
      <w:r>
        <w:separator/>
      </w:r>
    </w:p>
  </w:footnote>
  <w:footnote w:type="continuationSeparator" w:id="0">
    <w:p w:rsidR="007B4440" w:rsidRDefault="007B4440" w:rsidP="008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E707C2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7B4440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4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F7112"/>
    <w:rsid w:val="003179FE"/>
    <w:rsid w:val="003B1439"/>
    <w:rsid w:val="0040385B"/>
    <w:rsid w:val="004244CE"/>
    <w:rsid w:val="00424846"/>
    <w:rsid w:val="004444AB"/>
    <w:rsid w:val="00477CBE"/>
    <w:rsid w:val="00480B97"/>
    <w:rsid w:val="0049443B"/>
    <w:rsid w:val="005133C0"/>
    <w:rsid w:val="00522723"/>
    <w:rsid w:val="00572C23"/>
    <w:rsid w:val="0057303F"/>
    <w:rsid w:val="005A5661"/>
    <w:rsid w:val="00644165"/>
    <w:rsid w:val="006B3F96"/>
    <w:rsid w:val="006C7EC1"/>
    <w:rsid w:val="006E4367"/>
    <w:rsid w:val="006E485B"/>
    <w:rsid w:val="00715B63"/>
    <w:rsid w:val="00742957"/>
    <w:rsid w:val="00745095"/>
    <w:rsid w:val="00760629"/>
    <w:rsid w:val="007848ED"/>
    <w:rsid w:val="007B4440"/>
    <w:rsid w:val="007C5E4A"/>
    <w:rsid w:val="007E08E6"/>
    <w:rsid w:val="008145D6"/>
    <w:rsid w:val="008250F0"/>
    <w:rsid w:val="00836DFE"/>
    <w:rsid w:val="00882975"/>
    <w:rsid w:val="0091546E"/>
    <w:rsid w:val="00925715"/>
    <w:rsid w:val="00991590"/>
    <w:rsid w:val="009D10A1"/>
    <w:rsid w:val="00A0619C"/>
    <w:rsid w:val="00A54944"/>
    <w:rsid w:val="00A640E2"/>
    <w:rsid w:val="00AD57F8"/>
    <w:rsid w:val="00AE05A3"/>
    <w:rsid w:val="00AF231D"/>
    <w:rsid w:val="00B33C47"/>
    <w:rsid w:val="00B4560B"/>
    <w:rsid w:val="00CC552D"/>
    <w:rsid w:val="00CD1288"/>
    <w:rsid w:val="00DA41CD"/>
    <w:rsid w:val="00E707C2"/>
    <w:rsid w:val="00E8731E"/>
    <w:rsid w:val="00EA0D9A"/>
    <w:rsid w:val="00F4654D"/>
    <w:rsid w:val="00FB1A83"/>
    <w:rsid w:val="00FE699E"/>
    <w:rsid w:val="00F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1850</Words>
  <Characters>11101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2022-03-15T20:19:00Z</dcterms:created>
  <dcterms:modified xsi:type="dcterms:W3CDTF">2022-03-15T20:19:00Z</dcterms:modified>
</cp:coreProperties>
</file>