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CC" w:rsidRDefault="002E1A55">
      <w:pPr>
        <w:pStyle w:val="TytuS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D-04.03.01.</w:t>
      </w:r>
      <w:r>
        <w:rPr>
          <w:rFonts w:ascii="Tahoma" w:hAnsi="Tahoma" w:cs="Tahoma"/>
          <w:sz w:val="20"/>
          <w:szCs w:val="20"/>
        </w:rPr>
        <w:tab/>
        <w:t>oczyszczenie i skropienie warstw konstrukcyjnych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WSTĘP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E31CCC" w:rsidRDefault="002E1A55">
      <w:pPr>
        <w:rPr>
          <w:rFonts w:ascii="Tahoma" w:hAnsi="Tahoma" w:cs="Tahoma"/>
          <w:bCs w:val="0"/>
          <w:iCs w:val="0"/>
          <w:sz w:val="20"/>
          <w:szCs w:val="20"/>
        </w:rPr>
      </w:pPr>
      <w:r>
        <w:rPr>
          <w:rFonts w:ascii="Tahoma" w:hAnsi="Tahoma" w:cs="Tahoma"/>
          <w:spacing w:val="-2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pacing w:val="-5"/>
          <w:sz w:val="20"/>
          <w:szCs w:val="20"/>
        </w:rPr>
        <w:t>ze</w:t>
      </w:r>
      <w:r>
        <w:rPr>
          <w:rFonts w:ascii="Tahoma" w:hAnsi="Tahoma" w:cs="Tahoma"/>
          <w:spacing w:val="-1"/>
          <w:sz w:val="20"/>
          <w:szCs w:val="20"/>
        </w:rPr>
        <w:t>d</w:t>
      </w:r>
      <w:r>
        <w:rPr>
          <w:rFonts w:ascii="Tahoma" w:hAnsi="Tahoma" w:cs="Tahoma"/>
          <w:spacing w:val="7"/>
          <w:sz w:val="20"/>
          <w:szCs w:val="20"/>
        </w:rPr>
        <w:t>m</w:t>
      </w:r>
      <w:r>
        <w:rPr>
          <w:rFonts w:ascii="Tahoma" w:hAnsi="Tahoma" w:cs="Tahoma"/>
          <w:spacing w:val="-2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niniejszej Specyfikacji Technicznej Wykonania i Odbioru Robót Budowlanych są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-1"/>
          <w:sz w:val="20"/>
          <w:szCs w:val="20"/>
        </w:rPr>
        <w:t>ag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ce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yk</w:t>
      </w:r>
      <w:r>
        <w:rPr>
          <w:rFonts w:ascii="Tahoma" w:hAnsi="Tahoma" w:cs="Tahoma"/>
          <w:spacing w:val="-1"/>
          <w:sz w:val="20"/>
          <w:szCs w:val="20"/>
        </w:rPr>
        <w:t>ona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pacing w:val="-1"/>
          <w:sz w:val="20"/>
          <w:szCs w:val="20"/>
        </w:rPr>
        <w:t>od</w:t>
      </w:r>
      <w:r>
        <w:rPr>
          <w:rFonts w:ascii="Tahoma" w:hAnsi="Tahoma" w:cs="Tahoma"/>
          <w:spacing w:val="-5"/>
          <w:sz w:val="20"/>
          <w:szCs w:val="20"/>
        </w:rPr>
        <w:t>b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ru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R</w:t>
      </w:r>
      <w:r>
        <w:rPr>
          <w:rFonts w:ascii="Tahoma" w:hAnsi="Tahoma" w:cs="Tahoma"/>
          <w:spacing w:val="-1"/>
          <w:sz w:val="20"/>
          <w:szCs w:val="20"/>
        </w:rPr>
        <w:t>ob</w:t>
      </w:r>
      <w:r>
        <w:rPr>
          <w:rFonts w:ascii="Tahoma" w:hAnsi="Tahoma" w:cs="Tahoma"/>
          <w:spacing w:val="-5"/>
          <w:sz w:val="20"/>
          <w:szCs w:val="20"/>
        </w:rPr>
        <w:t>ó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w w:val="101"/>
          <w:sz w:val="20"/>
          <w:szCs w:val="20"/>
        </w:rPr>
        <w:t>b</w:t>
      </w:r>
      <w:r>
        <w:rPr>
          <w:rFonts w:ascii="Tahoma" w:hAnsi="Tahoma" w:cs="Tahoma"/>
          <w:spacing w:val="-5"/>
          <w:w w:val="101"/>
          <w:sz w:val="20"/>
          <w:szCs w:val="20"/>
        </w:rPr>
        <w:t>u</w:t>
      </w:r>
      <w:r>
        <w:rPr>
          <w:rFonts w:ascii="Tahoma" w:hAnsi="Tahoma" w:cs="Tahoma"/>
          <w:spacing w:val="-1"/>
          <w:w w:val="101"/>
          <w:sz w:val="20"/>
          <w:szCs w:val="20"/>
        </w:rPr>
        <w:t>do</w:t>
      </w:r>
      <w:r>
        <w:rPr>
          <w:rFonts w:ascii="Tahoma" w:hAnsi="Tahoma" w:cs="Tahoma"/>
          <w:spacing w:val="-2"/>
          <w:w w:val="101"/>
          <w:sz w:val="20"/>
          <w:szCs w:val="20"/>
        </w:rPr>
        <w:t>w</w:t>
      </w:r>
      <w:r>
        <w:rPr>
          <w:rFonts w:ascii="Tahoma" w:hAnsi="Tahoma" w:cs="Tahoma"/>
          <w:spacing w:val="3"/>
          <w:w w:val="101"/>
          <w:sz w:val="20"/>
          <w:szCs w:val="20"/>
        </w:rPr>
        <w:t>l</w:t>
      </w:r>
      <w:r>
        <w:rPr>
          <w:rFonts w:ascii="Tahoma" w:hAnsi="Tahoma" w:cs="Tahoma"/>
          <w:spacing w:val="-5"/>
          <w:w w:val="101"/>
          <w:sz w:val="20"/>
          <w:szCs w:val="20"/>
        </w:rPr>
        <w:t>a</w:t>
      </w:r>
      <w:r>
        <w:rPr>
          <w:rFonts w:ascii="Tahoma" w:hAnsi="Tahoma" w:cs="Tahoma"/>
          <w:spacing w:val="-1"/>
          <w:w w:val="101"/>
          <w:sz w:val="20"/>
          <w:szCs w:val="20"/>
        </w:rPr>
        <w:t>n</w:t>
      </w:r>
      <w:r>
        <w:rPr>
          <w:rFonts w:ascii="Tahoma" w:hAnsi="Tahoma" w:cs="Tahoma"/>
          <w:w w:val="101"/>
          <w:sz w:val="20"/>
          <w:szCs w:val="20"/>
        </w:rPr>
        <w:t xml:space="preserve">ych 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z w:val="20"/>
          <w:szCs w:val="20"/>
        </w:rPr>
        <w:t>ych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 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ys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5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kr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p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rstw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1"/>
          <w:sz w:val="20"/>
          <w:szCs w:val="20"/>
        </w:rPr>
        <w:t>on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tr</w:t>
      </w:r>
      <w:r>
        <w:rPr>
          <w:rFonts w:ascii="Tahoma" w:hAnsi="Tahoma" w:cs="Tahoma"/>
          <w:spacing w:val="-5"/>
          <w:sz w:val="20"/>
          <w:szCs w:val="20"/>
        </w:rPr>
        <w:t>uk</w:t>
      </w:r>
      <w:r>
        <w:rPr>
          <w:rFonts w:ascii="Tahoma" w:hAnsi="Tahoma" w:cs="Tahoma"/>
          <w:sz w:val="20"/>
          <w:szCs w:val="20"/>
        </w:rPr>
        <w:t>cy</w:t>
      </w:r>
      <w:r>
        <w:rPr>
          <w:rFonts w:ascii="Tahoma" w:hAnsi="Tahoma" w:cs="Tahoma"/>
          <w:spacing w:val="3"/>
          <w:sz w:val="20"/>
          <w:szCs w:val="20"/>
        </w:rPr>
        <w:t>j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z w:val="20"/>
          <w:szCs w:val="20"/>
        </w:rPr>
        <w:t>yc</w:t>
      </w:r>
      <w:r>
        <w:rPr>
          <w:rFonts w:ascii="Tahoma" w:hAnsi="Tahoma" w:cs="Tahoma"/>
          <w:spacing w:val="-5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 </w:t>
      </w:r>
      <w:r>
        <w:rPr>
          <w:rFonts w:ascii="Tahoma" w:hAnsi="Tahoma" w:cs="Tahoma"/>
          <w:bCs w:val="0"/>
          <w:iCs w:val="0"/>
          <w:sz w:val="20"/>
          <w:szCs w:val="20"/>
        </w:rPr>
        <w:t xml:space="preserve">związku z zamierzeniem budowlanym pn.: </w:t>
      </w:r>
      <w:r w:rsidR="00E83C28">
        <w:rPr>
          <w:rFonts w:ascii="Tahoma" w:hAnsi="Tahoma" w:cs="Tahoma"/>
          <w:sz w:val="20"/>
          <w:szCs w:val="20"/>
        </w:rPr>
        <w:t>„</w:t>
      </w:r>
      <w:r w:rsidR="00474B7C" w:rsidRPr="00474B7C">
        <w:rPr>
          <w:rFonts w:ascii="Tahoma" w:hAnsi="Tahoma" w:cs="Tahoma"/>
          <w:sz w:val="20"/>
        </w:rPr>
        <w:t>Modernizacja infrastruktury drogowej na terenie gminy Wodzierady - remont drogi gminnej nr 103409E Przyrownica - gr. Gminy Lutomiersk</w:t>
      </w:r>
      <w:r w:rsidR="00E83C2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bCs w:val="0"/>
          <w:iCs w:val="0"/>
          <w:sz w:val="20"/>
          <w:szCs w:val="20"/>
        </w:rPr>
        <w:t>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stosowania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dokument przetargowy i kontraktowy przy zlecaniu i realizacji robót wymienionych w p. 1.1.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Robót objętych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dotyczą zasad prowadzenia robót obejmujących wszystkie czynności umożliwiające i mające na celu wykonanie oczyszczenia i skropienia warstw konstrukcyjnych.</w:t>
      </w:r>
    </w:p>
    <w:p w:rsidR="00E31CCC" w:rsidRDefault="002E1A55">
      <w:pPr>
        <w:rPr>
          <w:rFonts w:ascii="Tahoma" w:hAnsi="Tahoma" w:cs="Tahoma"/>
          <w:strike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Oczyszczenie i skropienie warstw konstrukcyjnych należy wykonać przed ułożeniem każdej następnej warstwy nawierzchni . Rodzaj emulsji należy zastosować w zależności od rodzaju warstwy która będzie skrapiana.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warstwie podbudowy z mieszanki niezwiązanej stabilizowanej mechanicznie,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nowych warstwach bitumicznych (podbudowa oraz wiążąca z AC).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Określenia podstawowe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i definicje użyte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są zgodne z obowiązującymi odpowiednimi polskimi normami i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p.1.5.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MATERIAŁY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0" w:name="_Toc407086118"/>
      <w:r>
        <w:rPr>
          <w:rFonts w:ascii="Tahoma" w:hAnsi="Tahoma" w:cs="Tahoma"/>
          <w:sz w:val="20"/>
          <w:szCs w:val="20"/>
        </w:rPr>
        <w:t>Ogólne wymagania dotyczące materiałów</w:t>
      </w:r>
      <w:bookmarkEnd w:id="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p.2.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łączenia warstw asfaltowych zaleca się stosowanie emulsji asfaltowych kationowych wyprodukowanych wyłącznie z asfaltu D70/100, D50/70 lub twardszego. 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" w:name="_Toc407085671"/>
      <w:bookmarkStart w:id="2" w:name="_Toc407085528"/>
      <w:bookmarkStart w:id="3" w:name="_Toc407085385"/>
      <w:bookmarkStart w:id="4" w:name="_Toc407084266"/>
      <w:bookmarkStart w:id="5" w:name="_Toc407083432"/>
      <w:bookmarkStart w:id="6" w:name="_Toc407081776"/>
      <w:bookmarkStart w:id="7" w:name="_Toc407081633"/>
      <w:bookmarkStart w:id="8" w:name="_Toc407069668"/>
      <w:bookmarkStart w:id="9" w:name="_Toc407086119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ahoma" w:hAnsi="Tahoma" w:cs="Tahoma"/>
          <w:sz w:val="20"/>
          <w:szCs w:val="20"/>
        </w:rPr>
        <w:t>Rodzaje materiałów do wykonania skropienia</w:t>
      </w:r>
      <w:bookmarkEnd w:id="9"/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warstwy podbudowy z mieszanki niezwiązanej i związanej cementem, powinna być stosowana kationowa emulsja asfaltowa niemodyfikowana o oznaczeniu C60 B10 ZM/R, zgodna z normą PN-EN 13808:2013-10/Ap1, o właściwościach jak niżej.</w:t>
      </w:r>
    </w:p>
    <w:p w:rsidR="00E31CCC" w:rsidRDefault="002E1A55">
      <w:pPr>
        <w:spacing w:before="120" w:after="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1. Wymagania dla kationowej emulsji asfaltowej C60 B10 ZM/R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510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Stabilność podczas mieszania z cementem, 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2 (10)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Przyczepność do kruszywa referencyjnego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13614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75 (2)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Badanie na kruszywie bazaltowym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asfaltowych wykonanych z asfaltów niemodyfikowanych, należy użyć emulsję asfaltową kationową przeznaczoną do złączania warstw konstrukcji nawierzchni (ZM), zgodnie z PN-EN 13808:2013-10/Ap1, o oznaczeniu C60 B3 ZM o właściwościach jak niżej 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2. Wymagania dla kationowej emulsji asfaltowej C60 B3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bitumicznych wykonanych z asfaltów modyfikowanych należy użyć emulsję asfaltową modyfikowaną polimerami przeznaczoną do złączania warstw konstrukcji nawierzchni (ZM) zgodnie z PN-EN 13808:2013-10/Ap1, o oznaczeniu C60 BP3 ZM o właściwościach jak niżej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3. Wymagania dla kationowej emulsji asfaltowej C60 BP3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46 (5)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Energia kohezji, J/cm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13589 i PN-EN 13703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DV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(1)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Nawrót sprężysty w 25 °C,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13398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50 (5)</w:t>
            </w:r>
          </w:p>
        </w:tc>
      </w:tr>
      <w:tr w:rsidR="00E31CCC">
        <w:trPr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DV –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Declared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Value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(wartość deklarowana)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Zużycie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Zalecaną ilość skropienia lepiszczem podłoża warstw asfaltowych podano w poniższej tabeli. Decydującym kryterium jest uzyskanie wymaganej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warstw. Kontrolę ilości lepiszcza do skropienia należy wykonać według PN-EN 12272-1.</w:t>
      </w: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4. Zalecaną ilość emulsji asfaltowej do skropienia podłoża</w:t>
      </w:r>
    </w:p>
    <w:tbl>
      <w:tblPr>
        <w:tblW w:w="9286" w:type="dxa"/>
        <w:tblLook w:val="04A0"/>
      </w:tblPr>
      <w:tblGrid>
        <w:gridCol w:w="1869"/>
        <w:gridCol w:w="1863"/>
        <w:gridCol w:w="1861"/>
        <w:gridCol w:w="1845"/>
        <w:gridCol w:w="1848"/>
      </w:tblGrid>
      <w:tr w:rsidR="00E31CCC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Podłoże pod układaną warstwę asfaltową</w:t>
            </w:r>
          </w:p>
        </w:tc>
        <w:tc>
          <w:tcPr>
            <w:tcW w:w="5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Układana warstwa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rodzaj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cecha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podbudowa asfaltowa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ścieralna z SMA lub z AC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kategorii ruchu KR1÷7 – rodzaj emulsji: C60 B10 ZM/R 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niezwiązanej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związanej cementem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KR3÷7 – rodzaj emulsji: C60 BP3 ZM *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)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KR1÷2 – rodzaj emulsji: C60 B3 ZM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 lub 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 podbudowa lub stara nawierzchni szczelna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*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  <w:vertAlign w:val="superscript"/>
              </w:rPr>
              <w:t xml:space="preserve">)   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do złączenia dwóch warstw asfaltowych, gdy obydwie te warstwy wykonane są z zastosowaniem asfaltów niemodyfikowanych dopuszcza się zastosowanie emulsji C60 B3 ZM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Uwaga: w celu określenia ilości pozostałego lepiszcza asfaltowego, należy ilość emulsji asfaltowej podaną w tabeli pomnożyć przez 0,6.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Objaśnienia: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x ” - nie dotyczy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- ” - rozwiązanie nie występuje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 ustalaniu ilości emulsji do skropienia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 należy brać pod uwagę zalecenia Producenta </w:t>
      </w:r>
      <w:proofErr w:type="spellStart"/>
      <w:r>
        <w:rPr>
          <w:rFonts w:ascii="Tahoma" w:hAnsi="Tahoma" w:cs="Tahoma"/>
          <w:sz w:val="20"/>
          <w:szCs w:val="20"/>
        </w:rPr>
        <w:t>geosyntetyku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Optymalną ilość emulsji asfaltowej do skropienia należy ustalić na odcinku próbnym układania mieszanki mineralno-asfaltowej, w zależności od rodzaju warstwy, stanu jej powierzchni oraz zawartości asfaltu w emulsji. Ilość lepiszcza powinna być dobrana w taki sposób, aby zapewniała </w:t>
      </w:r>
      <w:r>
        <w:rPr>
          <w:rFonts w:ascii="Tahoma" w:hAnsi="Tahoma" w:cs="Tahoma"/>
          <w:sz w:val="20"/>
          <w:szCs w:val="20"/>
        </w:rPr>
        <w:lastRenderedPageBreak/>
        <w:t>całkowite pokrycie emulsją skrapianej powierzchni a jednocześnie nie powodowała spływu emulsji po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Ocenę należy dokonać na podstawie wytrzymałości na ścinanie, wymagania wg tabeli 5. W uzasadnionych przypadkach (brak </w:t>
      </w:r>
      <w:proofErr w:type="spellStart"/>
      <w:r>
        <w:rPr>
          <w:rFonts w:ascii="Tahoma" w:hAnsi="Tahoma" w:cs="Tahoma"/>
          <w:sz w:val="20"/>
          <w:szCs w:val="20"/>
        </w:rPr>
        <w:t>szczepności</w:t>
      </w:r>
      <w:proofErr w:type="spellEnd"/>
      <w:r>
        <w:rPr>
          <w:rFonts w:ascii="Tahoma" w:hAnsi="Tahoma" w:cs="Tahoma"/>
          <w:sz w:val="20"/>
          <w:szCs w:val="20"/>
        </w:rPr>
        <w:t>), zakresy dozowania podane w tabeli 4 mogą zostać rozszerzone.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Warunki przechowywania emulsji nie mogą powodować utraty jej cech i obniżenia jakości. Przechowywanie i transport emulsji powinien być zgodny z zaleceniami producenta.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Ochrona wykonanego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warstwy ochronnej emulsji przez dodatkowe skropienie z użyciem mleczka wapiennego należy stosować dla dróg o kategorii ruchu KR 4÷7. Skropienie mleczkiem wapiennym wykonuje się dopiero wtedy, gdy nastąpi rozpad emulsji i odparuje woda.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Stężenie roztworu roboczego mleczka wapiennego należy przygotować tak, by w 100 g próbki zawartość wodorotlenku wapnia wyrażona w gramach, a otrzymana przez wysuszenie próbki w suszarce w temp. 110 ± 5°C do stałej masy (jednak nie dłużej niż 5 godz.) była: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16,0% i nie większa niż 28,0% - do skropienia podbudowy z mieszanki niezwiązanej lub związanej hydraulicznie,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9,0 % i nie większa niż 16,0% - do skropienia warstw mineralno-asfaltowych.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Dozowana na nawierzchnię dawka roztworu mleczka wapiennego powinna zawierać się w przedziale 250 g/m2 ± 20g.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Dalsze prace budowlane na zabezpieczonej nawierzchni można prowadzić po odparowaniu wody z zaaplikowanego roztworu mleczka wapiennego - ocena wizualna (powstanie suchego filmu wodorotlenku wapnia na powierzchni).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względu na osiadanie wodorotlenku wapnia na dnie zbiornika skrapiarki lub opryskiwacza,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SPRZĘT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0" w:name="_Toc407086124"/>
      <w:r>
        <w:rPr>
          <w:rFonts w:ascii="Tahoma" w:hAnsi="Tahoma" w:cs="Tahoma"/>
          <w:sz w:val="20"/>
          <w:szCs w:val="20"/>
        </w:rPr>
        <w:t>Ogólne wymagania dotyczące sprzętu</w:t>
      </w:r>
      <w:bookmarkEnd w:id="1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p.3.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Używany sprzęt powinien być ponadto zgodny z ofertą Wykonawcy i PZJ oraz uzyskać akceptację Zamawiającego.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1" w:name="_Toc407085677"/>
      <w:bookmarkStart w:id="12" w:name="_Toc407085534"/>
      <w:bookmarkStart w:id="13" w:name="_Toc407085391"/>
      <w:bookmarkStart w:id="14" w:name="_Toc407084272"/>
      <w:bookmarkStart w:id="15" w:name="_Toc407083438"/>
      <w:bookmarkStart w:id="16" w:name="_Toc407081782"/>
      <w:bookmarkStart w:id="17" w:name="_Toc407081639"/>
      <w:bookmarkStart w:id="18" w:name="_Toc407069674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Tahoma" w:hAnsi="Tahoma" w:cs="Tahoma"/>
          <w:sz w:val="20"/>
          <w:szCs w:val="20"/>
        </w:rPr>
        <w:t>Sprzęt do oczyszczenia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Style w:val="StylPierwszywiersz05cmZnak"/>
          <w:rFonts w:ascii="Tahoma" w:hAnsi="Tahoma" w:cs="Tahoma"/>
          <w:sz w:val="20"/>
          <w:szCs w:val="20"/>
        </w:rPr>
        <w:t>Do oczyszczania warstw nawierzchni należy stosować szczotki mechaniczne. Zaleca się</w:t>
      </w:r>
      <w:r>
        <w:rPr>
          <w:rFonts w:ascii="Tahoma" w:hAnsi="Tahoma" w:cs="Tahoma"/>
          <w:sz w:val="20"/>
          <w:szCs w:val="20"/>
        </w:rPr>
        <w:t xml:space="preserve"> użycie urządzeń </w:t>
      </w:r>
      <w:proofErr w:type="spellStart"/>
      <w:r>
        <w:rPr>
          <w:rFonts w:ascii="Tahoma" w:hAnsi="Tahoma" w:cs="Tahoma"/>
          <w:sz w:val="20"/>
          <w:szCs w:val="20"/>
        </w:rPr>
        <w:t>dwuszczotkowych</w:t>
      </w:r>
      <w:proofErr w:type="spellEnd"/>
      <w:r>
        <w:rPr>
          <w:rFonts w:ascii="Tahoma" w:hAnsi="Tahoma" w:cs="Tahoma"/>
          <w:sz w:val="20"/>
          <w:szCs w:val="20"/>
        </w:rPr>
        <w:t xml:space="preserve">. Pierwsza ze szczotek powinna być wykonana z 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pomocniczy: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sprężarki,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lance do odpylania,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zbiorniki z wodą,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szczotki ręczne.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do skrapiania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robót jest zobowiązany do użycia tylko takiej skrapiarki, która zapewni rozłożenie na jezdni przewidzianej ilości lepiszcza równomiernie, zarówno w kierunku podłużnym jak i poprzecznym. Dla zapewnienia równomiernego rozłożenia przewidzianej ilości lepiszcza na nawierzchni, skrapiarka powinna być wyposażona w urządzenia pomiarowo-kontrolne oraz mechanizmy regulacyjne, pozwalające na sprawdzenie i regulowanie parametrów takich jak: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temperatury rozkładanego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ciśnienia lepiszcza w kolektorze,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obrotów pompy dozującej lepiszcze,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 poruszania się skrapiarki (dokładny pomiar i wskazanie w zakresie zwykle od 3 ÷ 6 km/h),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wysokości i długości kolektora do rozkładania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ilości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 na lepiszcze skrapiarki powinien być izolowany termicznie, tak aby było możliwe zachowanie stałej temperatury lepiszcza. Kolektor skrapiarki powinien być wyposażony w dysze szczelinowe oraz posiadać regulację wysokości swego położenia nad powierzchnią jezdni, dla zapewnienia równomiernego pokrycia nawierzchni lepiszczem z dwóch lub trzech dysz. Nie dopuszcza się stosowania skrapiarek, których kolektor jest wyposażony w dysze stożkowe. Zależności pomiędzy wydatkiem lepiszcza a nastawami regulowanych parametrów takich jak: ciśnienie, obroty pompy prędkość jazdy skrapiarki i temperatura lepiszcza powinny być  zawarte w aktualnych wynikach cechowania skrapiarki.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posiadać aktualne świadectwo cechowania skrapiarki zawierające zależności pomiędzy wydatkiem lepiszcza a następującymi parametrami: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ciśnieniem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obrotami pompy,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prędkością jazdy skrapiarki,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temperaturą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Skrapiarka powinna zapewnić rozkładanie lepiszcza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 od ilości ustalonej wg p.2. zarówno w kierunku podłużnym jak i poprzecznym.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TRANSPORT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9" w:name="_Toc407086128"/>
      <w:r>
        <w:rPr>
          <w:rFonts w:ascii="Tahoma" w:hAnsi="Tahoma" w:cs="Tahoma"/>
          <w:sz w:val="20"/>
          <w:szCs w:val="20"/>
        </w:rPr>
        <w:t>Ogólne wymagania dotyczące transportu</w:t>
      </w:r>
      <w:bookmarkEnd w:id="1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0" w:name="_Toc407085681"/>
      <w:bookmarkStart w:id="21" w:name="_Toc407085538"/>
      <w:bookmarkStart w:id="22" w:name="_Toc407085395"/>
      <w:bookmarkStart w:id="23" w:name="_Toc407084276"/>
      <w:bookmarkStart w:id="24" w:name="_Toc407083442"/>
      <w:bookmarkStart w:id="25" w:name="_Toc407081786"/>
      <w:bookmarkStart w:id="26" w:name="_Toc407081643"/>
      <w:bookmarkStart w:id="27" w:name="_Toc407069678"/>
      <w:bookmarkStart w:id="28" w:name="_Toc40708612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ahoma" w:hAnsi="Tahoma" w:cs="Tahoma"/>
          <w:sz w:val="20"/>
          <w:szCs w:val="20"/>
        </w:rPr>
        <w:t>Transport lepiszczy</w:t>
      </w:r>
      <w:bookmarkEnd w:id="2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lepiszczy powinien odbywać się w cysternach samochodowych. Dopuszcza się stosowanie beczek lub innych pojemników stalowych. Cysterny przeznaczone do przewozu lepiszczy powinny być przedzielone przegrodami, dzielącymi je na komory o pojemności nie większej niż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, a każda przegroda powinna mieć wykroje umożliwiające przepływ lepiszcza. Cysterny, pojemniki i zbiorniki przeznaczone do transportu lub składowania lepiszcza powinny być czyste i nie powinny zawierać resztek innych lepiszczy.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zanieczyszczeń pozostałych po oczyszczeniu nawierzchni odbywa się środkami zaproponowanymi przez Wykonawcę, w sposób nie powodujący ponownego zabrudzenia jezdni.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WYKONANIE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9" w:name="_Toc407086131"/>
      <w:r>
        <w:rPr>
          <w:rFonts w:ascii="Tahoma" w:hAnsi="Tahoma" w:cs="Tahoma"/>
          <w:sz w:val="20"/>
          <w:szCs w:val="20"/>
        </w:rPr>
        <w:t>Ogólne zasady wykonania robót</w:t>
      </w:r>
      <w:bookmarkEnd w:id="2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p.5.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0" w:name="_Toc407085684"/>
      <w:bookmarkStart w:id="31" w:name="_Toc407085541"/>
      <w:bookmarkStart w:id="32" w:name="_Toc407085398"/>
      <w:bookmarkStart w:id="33" w:name="_Toc407084279"/>
      <w:bookmarkStart w:id="34" w:name="_Toc407083445"/>
      <w:bookmarkStart w:id="35" w:name="_Toc407081789"/>
      <w:bookmarkStart w:id="36" w:name="_Toc407081646"/>
      <w:bookmarkStart w:id="37" w:name="_Toc407069681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rPr>
          <w:rFonts w:ascii="Tahoma" w:hAnsi="Tahoma" w:cs="Tahoma"/>
          <w:sz w:val="20"/>
          <w:szCs w:val="20"/>
        </w:rPr>
        <w:t>Oczyszczenie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warstw nawierzchni polega na usunięciu luźnego materiału, brudu, błota i kurzu przez oczyszczenie mechaniczne. Po oczyszczeniu warstwy za pomocą sprzętu mechanicznego, zaleca się odpylić ją za pomocą sprężonego powietrza. Odpylana powierzchnia musi być sucha.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Dobór właściwej ilości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celu dobrania optymalnej ilości lepiszcza, zapewniającej wymaganą </w:t>
      </w:r>
      <w:proofErr w:type="spellStart"/>
      <w:r>
        <w:rPr>
          <w:rFonts w:ascii="Tahoma" w:hAnsi="Tahoma" w:cs="Tahoma"/>
          <w:sz w:val="20"/>
          <w:szCs w:val="20"/>
        </w:rPr>
        <w:t>sczepność</w:t>
      </w:r>
      <w:proofErr w:type="spellEnd"/>
      <w:r>
        <w:rPr>
          <w:rFonts w:ascii="Tahoma" w:hAnsi="Tahoma" w:cs="Tahoma"/>
          <w:sz w:val="20"/>
          <w:szCs w:val="20"/>
        </w:rPr>
        <w:t xml:space="preserve"> warstw bitumicznych (ścieralnej z wiążącą, wiążącej z podbudową z AC oraz pomiędzy </w:t>
      </w:r>
      <w:proofErr w:type="spellStart"/>
      <w:r>
        <w:rPr>
          <w:rFonts w:ascii="Tahoma" w:hAnsi="Tahoma" w:cs="Tahoma"/>
          <w:sz w:val="20"/>
          <w:szCs w:val="20"/>
        </w:rPr>
        <w:t>geosiatką</w:t>
      </w:r>
      <w:proofErr w:type="spellEnd"/>
      <w:r>
        <w:rPr>
          <w:rFonts w:ascii="Tahoma" w:hAnsi="Tahoma" w:cs="Tahoma"/>
          <w:sz w:val="20"/>
          <w:szCs w:val="20"/>
        </w:rPr>
        <w:t xml:space="preserve"> i sąsiednimi warstwami), jednorazowo przed przystąpieniem do Robót, Wykonawca wykona odcinek próbny, w miejscu i o długości uzgodnionej z Zamawiającym, na którym określi niezbędną ilość skropienia na warstwie z podbudowy z AC, wiążącej i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, potrzebną do przeniesienia wymaganych naprężeń ścinających pomiędzy warstwami bitumicznymi. Poszczególne warstwy z MMA i SMA powinny </w:t>
      </w:r>
      <w:r>
        <w:rPr>
          <w:rFonts w:ascii="Tahoma" w:hAnsi="Tahoma" w:cs="Tahoma"/>
          <w:sz w:val="20"/>
          <w:szCs w:val="20"/>
        </w:rPr>
        <w:lastRenderedPageBreak/>
        <w:t>odpowiadać właściwym mieszankom przeznaczonym na te warstwy, a na połowie odcinka powinna zostać sfrezowana w sposób i sprzętem, który zostanie zastosowany do frezowania połączeń odcinków początkowych i końcowych nawierzchni..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przed skropieniem powinna być sucha i oczyszczona. Jeżeli oczyszczona warstwa została zawilgocona, to skropienie lepiszczem może nastąpić dopiero po wyschnięciu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warstwy może rozpocząć się po akceptacji przez Zamawiającego jej oczyszczenia.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nawierzchni powinna być skrapiana lepiszczem przy użyciu skrapiarek a w miejscach trudno dostępnych ręcznie (za pomocą węża z dyszą rozpryskową).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Temperatura emulsji asfaltowej podczas </w:t>
      </w:r>
      <w:proofErr w:type="spellStart"/>
      <w:r>
        <w:rPr>
          <w:rFonts w:ascii="Tahoma" w:hAnsi="Tahoma" w:cs="Tahoma"/>
          <w:sz w:val="20"/>
          <w:szCs w:val="20"/>
        </w:rPr>
        <w:t>skrapiamia</w:t>
      </w:r>
      <w:proofErr w:type="spellEnd"/>
      <w:r>
        <w:rPr>
          <w:rFonts w:ascii="Tahoma" w:hAnsi="Tahoma" w:cs="Tahoma"/>
          <w:sz w:val="20"/>
          <w:szCs w:val="20"/>
        </w:rPr>
        <w:t xml:space="preserve"> powinna mieścić się w przedziale od 50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 xml:space="preserve">C (niemodyfikowane) oraz od 60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>C (modyfikowane) lub zgodnie z zaleceniami producenta.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razie potrzeby emulsję należy ogrzać do temperatury zapewniającej wymaganą lepkość. Skropienie powinno być równomierne a ilość rozkładanego lepiszcza po odparowaniu wody powinna być równa ilości założonej w pkt.2.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Skropiona emulsją asfaltową warstwa powinna być pozostawiona bez jakiegokolwiek ruchu na okres niezbędny do całkowitego rozpadu emulsji i odparowania wody z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powinno być wykonane z wyprzedzeniem w czasie przewidzianym na odparowanie wody; orientacyjny czas wyprzedzenia wynosi co najmniej: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24h – dla skropienia na podbudowie z kruszywa i z mieszanki związanej cementem,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 h – w pozostałych przypadkach.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ten może zostać odpowiednio skrócony po uzgodnieniu z Zamawiającego.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ułożeniem warstwy z mieszanki mineralno-bitumicznej Wykonawca powinien zabezpieczyć skropioną warstwę nawierzchni przed uszkodzeniem dopuszczając tylko niezbędny ruch budowlany.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Jakiekolwiek uszkodzenia powierzchni powinny być przez Wykonawcę naprawione.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KONTROLA JAKOŚCI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8" w:name="_Toc407086135"/>
      <w:r>
        <w:rPr>
          <w:rFonts w:ascii="Tahoma" w:hAnsi="Tahoma" w:cs="Tahoma"/>
          <w:sz w:val="20"/>
          <w:szCs w:val="20"/>
        </w:rPr>
        <w:t>Ogólne zasady kontroli jakości robót</w:t>
      </w:r>
      <w:bookmarkEnd w:id="3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p.6.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9" w:name="_Toc407085688"/>
      <w:bookmarkStart w:id="40" w:name="_Toc407085545"/>
      <w:bookmarkStart w:id="41" w:name="_Toc407085402"/>
      <w:bookmarkStart w:id="42" w:name="_Toc407084283"/>
      <w:bookmarkStart w:id="43" w:name="_Toc407083449"/>
      <w:bookmarkStart w:id="44" w:name="_Toc407081793"/>
      <w:bookmarkStart w:id="45" w:name="_Toc407081650"/>
      <w:bookmarkStart w:id="46" w:name="_Toc407069685"/>
      <w:bookmarkStart w:id="47" w:name="_Toc407086136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Tahoma" w:hAnsi="Tahoma" w:cs="Tahoma"/>
          <w:sz w:val="20"/>
          <w:szCs w:val="20"/>
        </w:rPr>
        <w:t>Badania przed przystąpieniem do robót</w:t>
      </w:r>
      <w:bookmarkEnd w:id="47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Robót Wykonawca powinien przedstawić Zamawiającemu odpowiednie dokumenty dopuszczające Wyrób do stosowania w robotach budowlanych oraz potwierdzające wymagane parametry. Następnie Wykonawca powinien przeprowadzić sprawdzenie poprawnego wykonania oczyszczenia powierzchni przewidzianej do skropienia, a następnie dokonać próbnego skropienia warstwy w celu określenia optymalnych parametrów pracy skrapiarki oraz dobrania i sprawdzenia wymaganej ilości lepiszcza w zależności od rodzaju i stanu warstwy przewidzianej do skropienia.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w czasie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kationowych emulsji asfaltowych należy przeprowadza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według normy przywołanych w PN-EN 13808:2013-10/Ap1.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Adhezj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należy oznacza</w:t>
      </w:r>
      <w:r>
        <w:rPr>
          <w:rFonts w:ascii="Tahoma" w:eastAsia="TimesNewRoman" w:hAnsi="Tahoma" w:cs="Tahoma"/>
          <w:sz w:val="20"/>
          <w:szCs w:val="20"/>
        </w:rPr>
        <w:t>ć</w:t>
      </w:r>
      <w:r>
        <w:rPr>
          <w:rFonts w:ascii="Tahoma" w:hAnsi="Tahoma" w:cs="Tahoma"/>
          <w:sz w:val="20"/>
          <w:szCs w:val="20"/>
        </w:rPr>
        <w:t>, co najmniej jeden raz dla każdej partii produkcyjnej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Próbki emulsji i asfaltów do bada</w:t>
      </w:r>
      <w:r>
        <w:rPr>
          <w:rFonts w:ascii="Tahoma" w:eastAsia="TimesNewRoman" w:hAnsi="Tahoma" w:cs="Tahoma"/>
          <w:sz w:val="20"/>
          <w:szCs w:val="20"/>
        </w:rPr>
        <w:t xml:space="preserve">ń </w:t>
      </w:r>
      <w:r>
        <w:rPr>
          <w:rFonts w:ascii="Tahoma" w:hAnsi="Tahoma" w:cs="Tahoma"/>
          <w:sz w:val="20"/>
          <w:szCs w:val="20"/>
        </w:rPr>
        <w:t>laboratoryjnych powinny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pobierane według PN-EN 58.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 próbek analitycznych powinno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wykonane według PN-EN 12594.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Wymagania dla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Wytrzymałość na ścinanie wszystkich połączeń jest warunkiem uzyskania odpowiedniej sztywności konstrukcji, a tym samym trwałości konstrukcji. Jest warunkiem, który jest zakładany do obliczenia grubości warstw na etapie wymiarowania nawierzchni i musi być spełniony.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Wymagane minimalne wartości wytrzymałości na ścinanie połączenia między warstwami asfaltowymi nawierzchni podano w tabeli 5.</w:t>
      </w: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5. Wymagana wytrzymałość na ścinanie połączenia pomiędzy warstwami asfaltowymi nawierzchni</w:t>
      </w:r>
    </w:p>
    <w:tbl>
      <w:tblPr>
        <w:tblW w:w="7852" w:type="dxa"/>
        <w:jc w:val="center"/>
        <w:tblLook w:val="04A0"/>
      </w:tblPr>
      <w:tblGrid>
        <w:gridCol w:w="2713"/>
        <w:gridCol w:w="5139"/>
      </w:tblGrid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Połączenie między warstwami</w:t>
            </w:r>
          </w:p>
          <w:p w:rsidR="00E31CCC" w:rsidRDefault="00E31C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Wymagana minimalna wytrzymałość na ścinanie, 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próbkach Ф 150 mm (Ф 100 mm)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[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ścieralna - wiążąca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 – podbudowa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0,7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podbudowa - podbudowa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0,6</w:t>
            </w:r>
          </w:p>
        </w:tc>
      </w:tr>
      <w:tr w:rsidR="00E31CCC">
        <w:trPr>
          <w:jc w:val="center"/>
        </w:trPr>
        <w:tc>
          <w:tcPr>
            <w:tcW w:w="7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a)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Nie dotyczy asfaltowych warstw kompaktowych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b)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Jeśli podbudowa składa się z kilku warstw asfaltowych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Metodyka badania wytrzymałości na ścinanie zgodnie z „Instrukcją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2014”, z zastosowaniem próbek Ф 100 mm lub Ф 150mm”. Badaniem referencyjnym jest badanie na </w:t>
      </w:r>
      <w:proofErr w:type="spellStart"/>
      <w:r>
        <w:rPr>
          <w:rFonts w:ascii="Tahoma" w:hAnsi="Tahoma" w:cs="Tahoma"/>
          <w:sz w:val="20"/>
          <w:szCs w:val="20"/>
        </w:rPr>
        <w:t>probkach</w:t>
      </w:r>
      <w:proofErr w:type="spellEnd"/>
      <w:r>
        <w:rPr>
          <w:rFonts w:ascii="Tahoma" w:hAnsi="Tahoma" w:cs="Tahoma"/>
          <w:sz w:val="20"/>
          <w:szCs w:val="20"/>
        </w:rPr>
        <w:t xml:space="preserve"> Ф 150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 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Ocena lepiszcza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dokonywana w oparciu o deklaracje zgodności producenta. W wypadkach w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tpliwych Zamawiający zaleci wykonanie dodatkowych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jednorodno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skropienia i zu</w:t>
      </w:r>
      <w:r>
        <w:rPr>
          <w:rFonts w:ascii="Tahoma" w:eastAsia="TimesNewRoman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ycia lepiszcza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Jednorodno</w:t>
      </w:r>
      <w:r>
        <w:rPr>
          <w:rFonts w:ascii="Tahoma" w:eastAsia="TimesNewRoman" w:hAnsi="Tahoma" w:cs="Tahoma"/>
          <w:sz w:val="20"/>
          <w:szCs w:val="20"/>
        </w:rPr>
        <w:t xml:space="preserve">ść </w:t>
      </w:r>
      <w:r>
        <w:rPr>
          <w:rFonts w:ascii="Tahoma" w:hAnsi="Tahoma" w:cs="Tahoma"/>
          <w:sz w:val="20"/>
          <w:szCs w:val="20"/>
        </w:rPr>
        <w:t>skropienia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sprawdzana wizualnie. Raz na miesi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 dla każdej skrapiarki należy przeprowadzi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kontrol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ilo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rozkładanego lepiszcza według normy PN-EN 12272-1 „Powierzchniowe utrwalenia. Metody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 Cz</w:t>
      </w:r>
      <w:r>
        <w:rPr>
          <w:rFonts w:ascii="Tahoma" w:eastAsia="TimesNewRoman" w:hAnsi="Tahoma" w:cs="Tahoma"/>
          <w:sz w:val="20"/>
          <w:szCs w:val="20"/>
        </w:rPr>
        <w:t xml:space="preserve">ęść </w:t>
      </w:r>
      <w:r>
        <w:rPr>
          <w:rFonts w:ascii="Tahoma" w:hAnsi="Tahoma" w:cs="Tahoma"/>
          <w:sz w:val="20"/>
          <w:szCs w:val="20"/>
        </w:rPr>
        <w:t>1: Dozowanie i poprzeczny rozkład lepiszcza i kruszywa”.</w:t>
      </w:r>
    </w:p>
    <w:p w:rsidR="00E31CCC" w:rsidRDefault="002E1A55">
      <w:pPr>
        <w:pStyle w:val="Heading1"/>
        <w:keepNext w:val="0"/>
        <w:numPr>
          <w:ilvl w:val="0"/>
          <w:numId w:val="2"/>
        </w:numPr>
        <w:spacing w:before="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OBMIAR ROBÓT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Ogólne zasady obmiaru Robót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 xml:space="preserve">Ogólne zasady obmiaru Robót podano w </w:t>
      </w:r>
      <w:proofErr w:type="spellStart"/>
      <w:r>
        <w:rPr>
          <w:b w:val="0"/>
        </w:rPr>
        <w:t>STWiORB</w:t>
      </w:r>
      <w:proofErr w:type="spellEnd"/>
      <w:r>
        <w:rPr>
          <w:b w:val="0"/>
        </w:rPr>
        <w:t xml:space="preserve"> D-00.00.00 "Wymagania ogólne" pkt.7.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Jednostka obmiarowa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Obmiar oczyszczonej i skropionej powierzchni warstwy powinien być dokonany w metrach kwadratowych [m2].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bookmarkStart w:id="48" w:name="_Toc407085692"/>
      <w:bookmarkStart w:id="49" w:name="_Toc407085549"/>
      <w:bookmarkStart w:id="50" w:name="_Toc407085406"/>
      <w:bookmarkStart w:id="51" w:name="_Toc407084287"/>
      <w:bookmarkStart w:id="52" w:name="_Toc407083453"/>
      <w:bookmarkStart w:id="53" w:name="_Toc407081797"/>
      <w:bookmarkStart w:id="54" w:name="_Toc407081654"/>
      <w:bookmarkStart w:id="55" w:name="_Toc407069689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Tahoma" w:hAnsi="Tahoma" w:cs="Tahoma"/>
          <w:sz w:val="20"/>
        </w:rPr>
        <w:t>ODBIÓR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p.8.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Odbiór oczyszczonej i skropionej powierzchni jest dokonywany na zasadach odbioru Robót zanikających i ulegających zakryciu. Odbiorowi podlegają: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pod skropienie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Roboty uznaje się za wykonane zgodnie z Dokumentacją Projektową i wymaganiami Zamawiającego, jeżeli wszystkie pomiary i badania z zachowaniem tolerancji wg p.6 dały wyniki pozytywne.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odbioru Wykonawca przedstawia wszystkie wyniki badań z bieżącej kontroli asfaltu i emulsji, ilości rozłożonego lepiszcza oraz deklaracje zgodności producenta lub oznakowanie wyrobu znakiem CE. Odbioru dokonuje Zamawiający na podstawie wyników badań Wykonawcy i oględzin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stwierdzenia usterek Zamawiający ustali zakres wykonania Robót poprawkowych. Roboty poprawkowe Wykonawca wykona na własny koszt w terminie ustalonym z Zamawiającym.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Odbiór Robót zgodnie z aktualnymi dokumentami, wytycznymi na czas budowy.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PODSTAWA PŁATNOŚCI</w:t>
      </w:r>
    </w:p>
    <w:p w:rsidR="00E31CCC" w:rsidRDefault="00E31CCC"/>
    <w:p w:rsidR="00E31CCC" w:rsidRDefault="002E1A55">
      <w:pPr>
        <w:pStyle w:val="Heading2"/>
        <w:numPr>
          <w:ilvl w:val="1"/>
          <w:numId w:val="2"/>
        </w:numPr>
        <w:spacing w:before="0"/>
        <w:rPr>
          <w:rFonts w:ascii="Tahoma" w:hAnsi="Tahoma" w:cs="Tahoma"/>
        </w:rPr>
      </w:pPr>
      <w:bookmarkStart w:id="56" w:name="_Toc407085696"/>
      <w:bookmarkStart w:id="57" w:name="_Toc407085553"/>
      <w:bookmarkStart w:id="58" w:name="_Toc407085410"/>
      <w:bookmarkStart w:id="59" w:name="_Toc407084291"/>
      <w:bookmarkStart w:id="60" w:name="_Toc407083457"/>
      <w:bookmarkStart w:id="61" w:name="_Toc407081801"/>
      <w:bookmarkStart w:id="62" w:name="_Toc407081658"/>
      <w:bookmarkStart w:id="63" w:name="_Toc407069693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Tahoma" w:hAnsi="Tahoma" w:cs="Tahoma"/>
        </w:rPr>
        <w:t>Ogólne ustalenia dotyczące podstawy płatności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</w:rPr>
      </w:pPr>
      <w:bookmarkStart w:id="64" w:name="_Toc407086034"/>
      <w:bookmarkStart w:id="65" w:name="_Toc407085586"/>
      <w:bookmarkStart w:id="66" w:name="_Toc407085443"/>
      <w:bookmarkStart w:id="67" w:name="_Toc407085300"/>
      <w:bookmarkStart w:id="68" w:name="_Toc407084181"/>
      <w:bookmarkStart w:id="69" w:name="_Toc407083347"/>
      <w:bookmarkStart w:id="70" w:name="_Toc407081548"/>
      <w:bookmarkStart w:id="71" w:name="_Toc407069583"/>
      <w:bookmarkStart w:id="72" w:name="_Toc406984375"/>
      <w:bookmarkStart w:id="73" w:name="_Toc406984184"/>
      <w:bookmarkStart w:id="74" w:name="_Toc406984037"/>
      <w:bookmarkStart w:id="75" w:name="_Toc406915344"/>
      <w:bookmarkStart w:id="76" w:name="_Toc406914766"/>
      <w:bookmarkStart w:id="77" w:name="_Toc406914112"/>
      <w:bookmarkStart w:id="78" w:name="_Toc406913867"/>
      <w:r>
        <w:rPr>
          <w:rFonts w:ascii="Tahoma" w:hAnsi="Tahoma" w:cs="Tahoma"/>
        </w:rPr>
        <w:t>Cena jednostki obmiarowej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oczyszczenia i skropienia warstw konstrukcyjnych obejmuje: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i utrzymanie oznakowania robót,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mechaniczne oczyszczenie każdej niżej położonej warstwy konstrukcyjnej nawierzchni z ewentualnym polewaniem wodą lub użyciem sprężonego powietrza, w zależności od potrzeb,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ręczne odspojenie stwardniałych zanieczyszczeń,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zakup i transport materiałów,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dostarczenie lepiszcza i napełnienie nim skrapiarek oraz podgrzanie do wymaganej temperatury,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skropienie warstwy lepiszczem w ilości określonej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przeprowadzenie pomiarów i badań laboratoryjnych wymaganych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PRZEPISY ZWIĄZANE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Normy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datowania danej normy przywołanie dotyczy najnowszego jej wydania. W pozostałych przypadkach dotyczy wskazanego datowania.</w:t>
      </w:r>
    </w:p>
    <w:tbl>
      <w:tblPr>
        <w:tblW w:w="942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771"/>
        <w:gridCol w:w="7655"/>
      </w:tblGrid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13808</w:t>
            </w:r>
            <w:r>
              <w:rPr>
                <w:rFonts w:ascii="Tahoma" w:hAnsi="Tahoma" w:cs="Tahoma"/>
                <w:iCs w:val="0"/>
                <w:sz w:val="20"/>
                <w:szCs w:val="20"/>
              </w:rPr>
              <w:t>:</w:t>
            </w:r>
          </w:p>
          <w:p w:rsidR="00E31CCC" w:rsidRDefault="002E1A55">
            <w:pPr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 w:val="0"/>
                <w:sz w:val="20"/>
                <w:szCs w:val="20"/>
              </w:rPr>
              <w:t>2013-10/Ap1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asfaltowe. Zasady klasyfikacji kationowych emulsji asfaltowych.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12272-1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Powierzchniowe utrwalenia. Metody bada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>ń</w:t>
            </w:r>
            <w:r>
              <w:rPr>
                <w:rFonts w:ascii="Tahoma" w:hAnsi="Tahoma" w:cs="Tahoma"/>
                <w:sz w:val="20"/>
                <w:szCs w:val="20"/>
              </w:rPr>
              <w:t>. Cz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 xml:space="preserve">ęść </w:t>
            </w:r>
            <w:r>
              <w:rPr>
                <w:rFonts w:ascii="Tahoma" w:hAnsi="Tahoma" w:cs="Tahoma"/>
                <w:sz w:val="20"/>
                <w:szCs w:val="20"/>
              </w:rPr>
              <w:t>1: Dozowanie i poprzeczny rozkład lepiszcza i kruszywa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58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Pobieranie próbek lepiszczy asfaltowych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12594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Przygotowanie próbek do badań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WT-2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PN-EN 13808</w:t>
      </w:r>
      <w:r>
        <w:rPr>
          <w:rFonts w:ascii="Tahoma" w:hAnsi="Tahoma" w:cs="Tahoma"/>
          <w:iCs w:val="0"/>
          <w:sz w:val="20"/>
          <w:szCs w:val="20"/>
        </w:rPr>
        <w:t>:2013-10/Ap1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Inne dokumenty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2014 Nawierzchnie asfaltowe na drogach krajowych, część 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„Nawierzchnie asfaltowe na drogach krajowych” WT-2 część II 2016. Wykonanie warstw nawierzchni asfaltowych. Wymagania techniczne - Załącznik do zarządzenia Nr 7 Generalnego Dyrektora Dróg Krajowych i Autostrad z dnia 09.05.2016 r.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„Instrukcja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 -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>, Politechnika Gdańska, Gdańsk 2014.</w:t>
      </w:r>
    </w:p>
    <w:sectPr w:rsidR="00E31CCC" w:rsidSect="00E31CCC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3E4" w:rsidRDefault="008363E4" w:rsidP="00E31CCC">
      <w:pPr>
        <w:spacing w:before="0"/>
      </w:pPr>
      <w:r>
        <w:separator/>
      </w:r>
    </w:p>
  </w:endnote>
  <w:endnote w:type="continuationSeparator" w:id="0">
    <w:p w:rsidR="008363E4" w:rsidRDefault="008363E4" w:rsidP="00E31CC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CCC" w:rsidRDefault="000716FA">
    <w:pPr>
      <w:pStyle w:val="Footer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 w:rsidR="002E1A55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474B7C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E31CCC" w:rsidRDefault="00E31C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3E4" w:rsidRDefault="008363E4" w:rsidP="00E31CCC">
      <w:pPr>
        <w:spacing w:before="0"/>
      </w:pPr>
      <w:r>
        <w:separator/>
      </w:r>
    </w:p>
  </w:footnote>
  <w:footnote w:type="continuationSeparator" w:id="0">
    <w:p w:rsidR="008363E4" w:rsidRDefault="008363E4" w:rsidP="00E31CC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12F"/>
    <w:multiLevelType w:val="multilevel"/>
    <w:tmpl w:val="2550F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9B03A3"/>
    <w:multiLevelType w:val="multilevel"/>
    <w:tmpl w:val="8CA0545E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1795C48"/>
    <w:multiLevelType w:val="multilevel"/>
    <w:tmpl w:val="22765390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DD35DFE"/>
    <w:multiLevelType w:val="multilevel"/>
    <w:tmpl w:val="554EEEB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CCC"/>
    <w:rsid w:val="00020CE3"/>
    <w:rsid w:val="00040E10"/>
    <w:rsid w:val="000716FA"/>
    <w:rsid w:val="000B3011"/>
    <w:rsid w:val="000D7774"/>
    <w:rsid w:val="00115B26"/>
    <w:rsid w:val="001469F1"/>
    <w:rsid w:val="001D0257"/>
    <w:rsid w:val="001F636E"/>
    <w:rsid w:val="002A6B03"/>
    <w:rsid w:val="002E1A55"/>
    <w:rsid w:val="002E1E74"/>
    <w:rsid w:val="0039191B"/>
    <w:rsid w:val="00451B45"/>
    <w:rsid w:val="0045487F"/>
    <w:rsid w:val="00474B7C"/>
    <w:rsid w:val="005A0D3A"/>
    <w:rsid w:val="005F5556"/>
    <w:rsid w:val="006577DC"/>
    <w:rsid w:val="006704A5"/>
    <w:rsid w:val="00697E18"/>
    <w:rsid w:val="006E72EF"/>
    <w:rsid w:val="00727344"/>
    <w:rsid w:val="00742B9E"/>
    <w:rsid w:val="00750871"/>
    <w:rsid w:val="00754672"/>
    <w:rsid w:val="007774E7"/>
    <w:rsid w:val="00796288"/>
    <w:rsid w:val="007B756F"/>
    <w:rsid w:val="007C441E"/>
    <w:rsid w:val="008363E4"/>
    <w:rsid w:val="0085558B"/>
    <w:rsid w:val="008C4FC8"/>
    <w:rsid w:val="00990F32"/>
    <w:rsid w:val="009D7416"/>
    <w:rsid w:val="00A00177"/>
    <w:rsid w:val="00B03664"/>
    <w:rsid w:val="00B46DA7"/>
    <w:rsid w:val="00B96D73"/>
    <w:rsid w:val="00BA115D"/>
    <w:rsid w:val="00BC3D69"/>
    <w:rsid w:val="00CF20D8"/>
    <w:rsid w:val="00D042E5"/>
    <w:rsid w:val="00E006DD"/>
    <w:rsid w:val="00E31CCC"/>
    <w:rsid w:val="00E320EC"/>
    <w:rsid w:val="00E83C28"/>
    <w:rsid w:val="00EB740D"/>
    <w:rsid w:val="00F01029"/>
    <w:rsid w:val="00F1587B"/>
    <w:rsid w:val="00F75DC3"/>
    <w:rsid w:val="00FB2D04"/>
    <w:rsid w:val="00FB6D98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D96"/>
    <w:pPr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1"/>
    <w:qFormat/>
    <w:rsid w:val="00526D96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"/>
      <w:szCs w:val="20"/>
    </w:rPr>
  </w:style>
  <w:style w:type="paragraph" w:customStyle="1" w:styleId="Heading2">
    <w:name w:val="Heading 2"/>
    <w:basedOn w:val="Normalny"/>
    <w:next w:val="Normalny"/>
    <w:link w:val="Nagwek2Znak1"/>
    <w:qFormat/>
    <w:rsid w:val="00526D96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"/>
    </w:rPr>
  </w:style>
  <w:style w:type="paragraph" w:customStyle="1" w:styleId="Heading3">
    <w:name w:val="Heading 3"/>
    <w:basedOn w:val="Normalny"/>
    <w:next w:val="Normalny"/>
    <w:link w:val="Nagwek3Znak1"/>
    <w:qFormat/>
    <w:rsid w:val="00526D96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customStyle="1" w:styleId="Heading4">
    <w:name w:val="Heading 4"/>
    <w:basedOn w:val="Normalny"/>
    <w:next w:val="Normalny"/>
    <w:link w:val="Nagwek4Znak"/>
    <w:qFormat/>
    <w:rsid w:val="00526D96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526D96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18"/>
      <w:szCs w:val="24"/>
      <w:lang w:eastAsia="pl-PL"/>
    </w:rPr>
  </w:style>
  <w:style w:type="character" w:customStyle="1" w:styleId="Nagwek4Znak">
    <w:name w:val="Nagłówek 4 Znak"/>
    <w:basedOn w:val="Domylnaczcionkaakapitu"/>
    <w:link w:val="Heading4"/>
    <w:qFormat/>
    <w:rsid w:val="00526D96"/>
    <w:rPr>
      <w:rFonts w:ascii="Arial" w:eastAsia="Times New Roman" w:hAnsi="Arial" w:cs="Times New Roman"/>
      <w:bCs/>
      <w:iCs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26D96"/>
    <w:rPr>
      <w:rFonts w:ascii="Arial" w:eastAsia="Times New Roman" w:hAnsi="Arial" w:cs="Arial"/>
      <w:bCs/>
      <w:iCs/>
      <w:sz w:val="14"/>
      <w:szCs w:val="24"/>
      <w:lang w:eastAsia="pl-PL"/>
    </w:rPr>
  </w:style>
  <w:style w:type="character" w:customStyle="1" w:styleId="normalny3Znak">
    <w:name w:val="normalny 3 Zna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ylPierwszywiersz05cmZnak">
    <w:name w:val="Styl Pierwszy wiersz:  05 cm Znak"/>
    <w:link w:val="StylPierwszywiersz05cm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agwek3Znak1">
    <w:name w:val="Nagłówek 3 Znak1"/>
    <w:link w:val="Heading3"/>
    <w:qFormat/>
    <w:rsid w:val="00526D96"/>
    <w:rPr>
      <w:rFonts w:ascii="Arial" w:eastAsia="Times New Roman" w:hAnsi="Arial" w:cs="Arial"/>
      <w:b/>
      <w:iCs/>
      <w:sz w:val="18"/>
      <w:szCs w:val="26"/>
      <w:lang w:eastAsia="pl-PL"/>
    </w:rPr>
  </w:style>
  <w:style w:type="character" w:customStyle="1" w:styleId="Nagwek2Znak1">
    <w:name w:val="Nagłówek 2 Znak1"/>
    <w:link w:val="Heading2"/>
    <w:qFormat/>
    <w:rsid w:val="00526D96"/>
    <w:rPr>
      <w:rFonts w:ascii="Arial" w:eastAsia="Times New Roman" w:hAnsi="Arial" w:cs="Arial"/>
      <w:b/>
      <w:kern w:val="2"/>
      <w:sz w:val="18"/>
      <w:szCs w:val="24"/>
      <w:lang w:eastAsia="pl-PL"/>
    </w:rPr>
  </w:style>
  <w:style w:type="character" w:customStyle="1" w:styleId="Nagwek1Znak1">
    <w:name w:val="Nagłówek 1 Znak1"/>
    <w:link w:val="Heading1"/>
    <w:qFormat/>
    <w:rsid w:val="00526D96"/>
    <w:rPr>
      <w:rFonts w:ascii="Arial" w:eastAsia="Times New Roman" w:hAnsi="Arial" w:cs="Arial"/>
      <w:b/>
      <w:iCs/>
      <w:caps/>
      <w:kern w:val="2"/>
      <w:sz w:val="1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31CC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31CCC"/>
    <w:pPr>
      <w:spacing w:before="0" w:after="140" w:line="276" w:lineRule="auto"/>
    </w:pPr>
  </w:style>
  <w:style w:type="paragraph" w:styleId="Lista">
    <w:name w:val="List"/>
    <w:basedOn w:val="Tekstpodstawowy"/>
    <w:rsid w:val="00E31CCC"/>
  </w:style>
  <w:style w:type="paragraph" w:customStyle="1" w:styleId="Caption">
    <w:name w:val="Caption"/>
    <w:basedOn w:val="Normalny"/>
    <w:qFormat/>
    <w:rsid w:val="00E31CCC"/>
    <w:pPr>
      <w:suppressLineNumbers/>
      <w:spacing w:before="120" w:after="120"/>
    </w:pPr>
    <w:rPr>
      <w:i/>
      <w:sz w:val="24"/>
    </w:rPr>
  </w:style>
  <w:style w:type="paragraph" w:customStyle="1" w:styleId="Indeks">
    <w:name w:val="Indeks"/>
    <w:basedOn w:val="Normalny"/>
    <w:qFormat/>
    <w:rsid w:val="00E31CCC"/>
    <w:pPr>
      <w:suppressLineNumbers/>
    </w:pPr>
  </w:style>
  <w:style w:type="paragraph" w:customStyle="1" w:styleId="Gwkaistopka">
    <w:name w:val="Główka i stopka"/>
    <w:basedOn w:val="Normalny"/>
    <w:qFormat/>
    <w:rsid w:val="00E31CCC"/>
  </w:style>
  <w:style w:type="paragraph" w:customStyle="1" w:styleId="Header">
    <w:name w:val="Header"/>
    <w:basedOn w:val="Normalny"/>
    <w:link w:val="NagwekZnak"/>
    <w:rsid w:val="00526D9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526D96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qFormat/>
    <w:rsid w:val="00526D96"/>
  </w:style>
  <w:style w:type="paragraph" w:customStyle="1" w:styleId="Tabela">
    <w:name w:val="Tabela"/>
    <w:basedOn w:val="Normalny"/>
    <w:link w:val="TabelaZnak"/>
    <w:qFormat/>
    <w:rsid w:val="00526D96"/>
    <w:pPr>
      <w:spacing w:before="0"/>
      <w:jc w:val="center"/>
    </w:pPr>
  </w:style>
  <w:style w:type="paragraph" w:customStyle="1" w:styleId="TytuSST">
    <w:name w:val="Tytuł SST"/>
    <w:basedOn w:val="Normalny"/>
    <w:qFormat/>
    <w:rsid w:val="00526D96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qFormat/>
    <w:rsid w:val="00526D96"/>
    <w:pPr>
      <w:tabs>
        <w:tab w:val="left" w:pos="737"/>
      </w:tabs>
      <w:ind w:firstLine="567"/>
    </w:pPr>
  </w:style>
  <w:style w:type="paragraph" w:styleId="Akapitzlist">
    <w:name w:val="List Paragraph"/>
    <w:basedOn w:val="Normalny"/>
    <w:uiPriority w:val="34"/>
    <w:qFormat/>
    <w:rsid w:val="00A70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3313</Words>
  <Characters>19878</Characters>
  <Application>Microsoft Office Word</Application>
  <DocSecurity>0</DocSecurity>
  <Lines>165</Lines>
  <Paragraphs>46</Paragraphs>
  <ScaleCrop>false</ScaleCrop>
  <Company>HP</Company>
  <LinksUpToDate>false</LinksUpToDate>
  <CharactersWithSpaces>23145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2022-03-15T20:45:00Z</dcterms:created>
  <dcterms:modified xsi:type="dcterms:W3CDTF">2022-03-15T20:45:00Z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