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62" w:rsidRDefault="00C12DEC">
      <w:pPr>
        <w:pStyle w:val="SST2"/>
        <w:rPr>
          <w:rFonts w:ascii="Tahoma" w:hAnsi="Tahoma" w:cs="Tahoma"/>
          <w:sz w:val="20"/>
        </w:rPr>
      </w:pPr>
      <w:bookmarkStart w:id="0" w:name="_Toc467161108"/>
      <w:bookmarkStart w:id="1" w:name="_Toc422245710"/>
      <w:bookmarkStart w:id="2" w:name="_Toc411855715"/>
      <w:bookmarkStart w:id="3" w:name="_Toc411855578"/>
      <w:bookmarkStart w:id="4" w:name="_Toc411852347"/>
      <w:bookmarkStart w:id="5" w:name="_Toc411852202"/>
      <w:bookmarkStart w:id="6" w:name="_Toc377220868"/>
      <w:r>
        <w:rPr>
          <w:rFonts w:ascii="Tahoma" w:hAnsi="Tahoma" w:cs="Tahoma"/>
          <w:sz w:val="20"/>
        </w:rPr>
        <w:t>D–04.01.01. KORYTO WRAZ Z PROFILOWANIEM I ZAGĘSZCZANIEM PODŁOŻ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Tahoma" w:hAnsi="Tahoma" w:cs="Tahoma"/>
          <w:sz w:val="20"/>
        </w:rPr>
        <w:t>A</w:t>
      </w:r>
    </w:p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" w:name="_Toc407086006"/>
      <w:bookmarkStart w:id="8" w:name="_Toc407085558"/>
      <w:bookmarkStart w:id="9" w:name="_Toc407085415"/>
      <w:bookmarkStart w:id="10" w:name="_Toc407085272"/>
      <w:bookmarkStart w:id="11" w:name="_Toc407084153"/>
      <w:bookmarkStart w:id="12" w:name="_Toc407083319"/>
      <w:bookmarkStart w:id="13" w:name="_Toc407081520"/>
      <w:bookmarkStart w:id="14" w:name="_Toc407069555"/>
      <w:bookmarkStart w:id="15" w:name="_Toc406984347"/>
      <w:bookmarkStart w:id="16" w:name="_Toc406984156"/>
      <w:bookmarkStart w:id="17" w:name="_Toc406984009"/>
      <w:bookmarkStart w:id="18" w:name="_Toc406915316"/>
      <w:bookmarkStart w:id="19" w:name="_Toc406914738"/>
      <w:bookmarkStart w:id="20" w:name="_Toc406914080"/>
      <w:bookmarkStart w:id="21" w:name="_Toc406913835"/>
      <w:bookmarkStart w:id="22" w:name="_Toc405780134"/>
      <w:bookmarkStart w:id="23" w:name="_Toc405704473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) są wymagania dotyczące wykonania i odbioru robót związanych z wykonywaniem koryta wraz z profil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waniem i zagęszczaniem podłoża gruntowego w związku z zamierzeniem budowlanym pn.: </w:t>
      </w:r>
      <w:r w:rsidR="00F91F88" w:rsidRPr="00F91F88">
        <w:rPr>
          <w:rFonts w:ascii="Tahoma" w:hAnsi="Tahoma" w:cs="Tahoma"/>
          <w:sz w:val="20"/>
          <w:szCs w:val="20"/>
        </w:rPr>
        <w:t>„</w:t>
      </w:r>
      <w:r w:rsidR="0050562C" w:rsidRPr="0050562C">
        <w:rPr>
          <w:rFonts w:ascii="Tahoma" w:hAnsi="Tahoma" w:cs="Tahoma"/>
          <w:sz w:val="20"/>
        </w:rPr>
        <w:t>Modern</w:t>
      </w:r>
      <w:r w:rsidR="0050562C" w:rsidRPr="0050562C">
        <w:rPr>
          <w:rFonts w:ascii="Tahoma" w:hAnsi="Tahoma" w:cs="Tahoma"/>
          <w:sz w:val="20"/>
        </w:rPr>
        <w:t>i</w:t>
      </w:r>
      <w:r w:rsidR="0050562C" w:rsidRPr="0050562C">
        <w:rPr>
          <w:rFonts w:ascii="Tahoma" w:hAnsi="Tahoma" w:cs="Tahoma"/>
          <w:sz w:val="20"/>
        </w:rPr>
        <w:t>zacja infrastruktury drogowej na terenie gminy Wodzierady - przebudowa drogi gminnej nr 373808E Kiki - gr. Gminy Łask (Wrzeszczewice) od km 0+000 do km 0+670</w:t>
      </w:r>
      <w:r w:rsidR="00F91F88" w:rsidRPr="00F91F8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4" w:name="_GoBack"/>
      <w:bookmarkEnd w:id="24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" w:name="_Toc407086007"/>
      <w:bookmarkStart w:id="26" w:name="_Toc407085559"/>
      <w:bookmarkStart w:id="27" w:name="_Toc407085416"/>
      <w:bookmarkStart w:id="28" w:name="_Toc407085273"/>
      <w:bookmarkStart w:id="29" w:name="_Toc407084154"/>
      <w:bookmarkStart w:id="30" w:name="_Toc407083320"/>
      <w:bookmarkStart w:id="31" w:name="_Toc407081521"/>
      <w:bookmarkStart w:id="32" w:name="_Toc407069556"/>
      <w:bookmarkStart w:id="33" w:name="_Toc406984348"/>
      <w:bookmarkStart w:id="34" w:name="_Toc406984157"/>
      <w:bookmarkStart w:id="35" w:name="_Toc406984010"/>
      <w:bookmarkStart w:id="36" w:name="_Toc406915317"/>
      <w:bookmarkStart w:id="37" w:name="_Toc406914739"/>
      <w:bookmarkStart w:id="38" w:name="_Toc406914081"/>
      <w:bookmarkStart w:id="39" w:name="_Toc406913836"/>
      <w:bookmarkStart w:id="40" w:name="_Toc405780135"/>
      <w:bookmarkStart w:id="41" w:name="_Toc405704474"/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proofErr w:type="spellEnd"/>
    </w:p>
    <w:p w:rsidR="00C32362" w:rsidRDefault="00C12DEC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2" w:name="_Toc407086008"/>
      <w:bookmarkStart w:id="43" w:name="_Toc407085560"/>
      <w:bookmarkStart w:id="44" w:name="_Toc407085417"/>
      <w:bookmarkStart w:id="45" w:name="_Toc407085274"/>
      <w:bookmarkStart w:id="46" w:name="_Toc407084155"/>
      <w:bookmarkStart w:id="47" w:name="_Toc407083321"/>
      <w:bookmarkStart w:id="48" w:name="_Toc407081522"/>
      <w:bookmarkStart w:id="49" w:name="_Toc407069557"/>
      <w:bookmarkStart w:id="50" w:name="_Toc406984349"/>
      <w:bookmarkStart w:id="51" w:name="_Toc406984158"/>
      <w:bookmarkStart w:id="52" w:name="_Toc406984011"/>
      <w:bookmarkStart w:id="53" w:name="_Toc406915318"/>
      <w:bookmarkStart w:id="54" w:name="_Toc406914740"/>
      <w:bookmarkStart w:id="55" w:name="_Toc406914082"/>
      <w:bookmarkStart w:id="56" w:name="_Toc406913837"/>
      <w:bookmarkStart w:id="57" w:name="_Toc405780136"/>
      <w:bookmarkStart w:id="58" w:name="_Toc405704475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 wykonaniem koryta przeznaczonego do ułożenia konstrukcji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59" w:name="_Toc407086009"/>
      <w:bookmarkStart w:id="60" w:name="_Toc407085561"/>
      <w:bookmarkStart w:id="61" w:name="_Toc407085418"/>
      <w:bookmarkStart w:id="62" w:name="_Toc407085275"/>
      <w:bookmarkStart w:id="63" w:name="_Toc407084156"/>
      <w:bookmarkStart w:id="64" w:name="_Toc407083322"/>
      <w:bookmarkStart w:id="65" w:name="_Toc407081523"/>
      <w:bookmarkStart w:id="66" w:name="_Toc407069558"/>
      <w:bookmarkStart w:id="67" w:name="_Toc406984350"/>
      <w:bookmarkStart w:id="68" w:name="_Toc406984159"/>
      <w:bookmarkStart w:id="69" w:name="_Toc406984012"/>
      <w:bookmarkStart w:id="70" w:name="_Toc406915319"/>
      <w:bookmarkStart w:id="71" w:name="_Toc406914741"/>
      <w:bookmarkStart w:id="72" w:name="_Toc406914083"/>
      <w:bookmarkStart w:id="73" w:name="_Toc406913838"/>
      <w:bookmarkStart w:id="74" w:name="_Toc405780137"/>
      <w:bookmarkStart w:id="75" w:name="_Toc405704476"/>
      <w:r>
        <w:rPr>
          <w:rFonts w:ascii="Tahoma" w:hAnsi="Tahoma" w:cs="Tahoma"/>
        </w:rPr>
        <w:t>1.4. Określenia podstawowe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podstawowe są zgodne z obowiązującymi, odpowiednimi polskimi normami i 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6" w:name="_Toc407086010"/>
      <w:bookmarkStart w:id="77" w:name="_Toc407085562"/>
      <w:bookmarkStart w:id="78" w:name="_Toc407085419"/>
      <w:bookmarkStart w:id="79" w:name="_Toc407085276"/>
      <w:bookmarkStart w:id="80" w:name="_Toc407084157"/>
      <w:bookmarkStart w:id="81" w:name="_Toc407083323"/>
      <w:bookmarkStart w:id="82" w:name="_Toc407081524"/>
      <w:bookmarkStart w:id="83" w:name="_Toc407069559"/>
      <w:bookmarkStart w:id="84" w:name="_Toc406984351"/>
      <w:bookmarkStart w:id="85" w:name="_Toc406984160"/>
      <w:bookmarkStart w:id="86" w:name="_Toc406984013"/>
      <w:bookmarkStart w:id="87" w:name="_Toc406915320"/>
      <w:bookmarkStart w:id="88" w:name="_Toc406914742"/>
      <w:bookmarkStart w:id="89" w:name="_Toc406914084"/>
      <w:bookmarkStart w:id="90" w:name="_Toc406913839"/>
      <w:bookmarkStart w:id="91" w:name="_Toc405780138"/>
      <w:bookmarkStart w:id="92" w:name="_Toc405704477"/>
      <w:r>
        <w:rPr>
          <w:rFonts w:ascii="Tahoma" w:hAnsi="Tahoma" w:cs="Tahoma"/>
        </w:rPr>
        <w:t>1.5. Ogólne wymagania dotyczące robót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3" w:name="_Toc407086011"/>
      <w:bookmarkStart w:id="94" w:name="_Toc407085563"/>
      <w:bookmarkStart w:id="95" w:name="_Toc407085420"/>
      <w:bookmarkStart w:id="96" w:name="_Toc407085277"/>
      <w:bookmarkStart w:id="97" w:name="_Toc407084158"/>
      <w:bookmarkStart w:id="98" w:name="_Toc407083324"/>
      <w:bookmarkStart w:id="99" w:name="_Toc407081525"/>
      <w:bookmarkStart w:id="100" w:name="_Toc407069560"/>
      <w:bookmarkStart w:id="101" w:name="_Toc406984352"/>
      <w:bookmarkStart w:id="102" w:name="_Toc406984161"/>
      <w:bookmarkStart w:id="103" w:name="_Toc406984014"/>
      <w:bookmarkStart w:id="104" w:name="_Toc406915321"/>
      <w:bookmarkStart w:id="105" w:name="_Toc406914743"/>
      <w:bookmarkStart w:id="106" w:name="_Toc406914085"/>
      <w:bookmarkStart w:id="107" w:name="_Toc406913840"/>
      <w:r>
        <w:rPr>
          <w:rFonts w:ascii="Tahoma" w:hAnsi="Tahoma" w:cs="Tahoma"/>
          <w:szCs w:val="20"/>
        </w:rPr>
        <w:t>2. MATERIAŁY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8" w:name="_Toc407086012"/>
      <w:bookmarkStart w:id="109" w:name="_Toc407085564"/>
      <w:bookmarkStart w:id="110" w:name="_Toc407085421"/>
      <w:bookmarkStart w:id="111" w:name="_Toc407085278"/>
      <w:bookmarkStart w:id="112" w:name="_Toc407084159"/>
      <w:bookmarkStart w:id="113" w:name="_Toc407083325"/>
      <w:bookmarkStart w:id="114" w:name="_Toc407081526"/>
      <w:bookmarkStart w:id="115" w:name="_Toc407069561"/>
      <w:bookmarkStart w:id="116" w:name="_Toc406984353"/>
      <w:bookmarkStart w:id="117" w:name="_Toc406984162"/>
      <w:bookmarkStart w:id="118" w:name="_Toc406984015"/>
      <w:bookmarkStart w:id="119" w:name="_Toc406915322"/>
      <w:bookmarkStart w:id="120" w:name="_Toc406914744"/>
      <w:bookmarkStart w:id="121" w:name="_Toc406914086"/>
      <w:bookmarkStart w:id="122" w:name="_Toc406913841"/>
      <w:r>
        <w:rPr>
          <w:rFonts w:ascii="Tahoma" w:hAnsi="Tahoma" w:cs="Tahoma"/>
          <w:szCs w:val="20"/>
        </w:rPr>
        <w:t>3. SPRZĘT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23" w:name="_Toc407086013"/>
      <w:bookmarkStart w:id="124" w:name="_Toc407085565"/>
      <w:bookmarkStart w:id="125" w:name="_Toc407085422"/>
      <w:bookmarkStart w:id="126" w:name="_Toc407085279"/>
      <w:bookmarkStart w:id="127" w:name="_Toc407084160"/>
      <w:bookmarkStart w:id="128" w:name="_Toc407083326"/>
      <w:bookmarkStart w:id="129" w:name="_Toc407081527"/>
      <w:bookmarkStart w:id="130" w:name="_Toc407069562"/>
      <w:bookmarkStart w:id="131" w:name="_Toc406984354"/>
      <w:bookmarkStart w:id="132" w:name="_Toc406984163"/>
      <w:bookmarkStart w:id="133" w:name="_Toc406984016"/>
      <w:bookmarkStart w:id="134" w:name="_Toc406915323"/>
      <w:bookmarkStart w:id="135" w:name="_Toc406914745"/>
      <w:bookmarkStart w:id="136" w:name="_Toc406914087"/>
      <w:bookmarkStart w:id="137" w:name="_Toc406913842"/>
      <w:r>
        <w:rPr>
          <w:rFonts w:ascii="Tahoma" w:hAnsi="Tahoma" w:cs="Tahoma"/>
        </w:rPr>
        <w:t>3.1. Ogólne wymagania dotyczące sprzętu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38" w:name="_Toc407086014"/>
      <w:bookmarkStart w:id="139" w:name="_Toc407085566"/>
      <w:bookmarkStart w:id="140" w:name="_Toc407085423"/>
      <w:bookmarkStart w:id="141" w:name="_Toc407085280"/>
      <w:bookmarkStart w:id="142" w:name="_Toc407084161"/>
      <w:bookmarkStart w:id="143" w:name="_Toc407083327"/>
      <w:bookmarkStart w:id="144" w:name="_Toc407081528"/>
      <w:bookmarkStart w:id="145" w:name="_Toc407069563"/>
      <w:bookmarkStart w:id="146" w:name="_Toc406984355"/>
      <w:bookmarkStart w:id="147" w:name="_Toc406984164"/>
      <w:bookmarkStart w:id="148" w:name="_Toc406984017"/>
      <w:bookmarkStart w:id="149" w:name="_Toc406915324"/>
      <w:bookmarkStart w:id="150" w:name="_Toc406914746"/>
      <w:bookmarkStart w:id="151" w:name="_Toc406914088"/>
      <w:bookmarkStart w:id="152" w:name="_Toc406913843"/>
      <w:r>
        <w:rPr>
          <w:rFonts w:ascii="Tahoma" w:hAnsi="Tahoma" w:cs="Tahoma"/>
        </w:rPr>
        <w:t>3.2. Sprzęt do wykonania robót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przystępujący do wykonania koryta i profilowania podłoża powinien wykazać się możliw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ścią korzystania z następującego sprzętu: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równiarek lub spycharek uniwersalnych z ukośnie ustawianym lemieszem;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może dopuścić wykonanie koryta i profilowanie podłoża z zastosowaniem spycharki z lemieszem ustawionym prostopadle do kierunku pracy maszyny,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koparek z czerpakami profilowymi (przy wykonywaniu wąskich koryt),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walców statycznych, wibracyjnych lub płyt wibracyjnych.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Stosowany sprzęt nie może spowodować niekorzystnego wpływu na właściwości gruntu podłoża.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53" w:name="_Toc407086015"/>
      <w:bookmarkStart w:id="154" w:name="_Toc407085567"/>
      <w:bookmarkStart w:id="155" w:name="_Toc407085424"/>
      <w:bookmarkStart w:id="156" w:name="_Toc407085281"/>
      <w:bookmarkStart w:id="157" w:name="_Toc407084162"/>
      <w:bookmarkStart w:id="158" w:name="_Toc407083328"/>
      <w:bookmarkStart w:id="159" w:name="_Toc407081529"/>
      <w:bookmarkStart w:id="160" w:name="_Toc407069564"/>
      <w:bookmarkStart w:id="161" w:name="_Toc406984356"/>
      <w:bookmarkStart w:id="162" w:name="_Toc406984165"/>
      <w:bookmarkStart w:id="163" w:name="_Toc406984018"/>
      <w:bookmarkStart w:id="164" w:name="_Toc406915325"/>
      <w:bookmarkStart w:id="165" w:name="_Toc406914747"/>
      <w:bookmarkStart w:id="166" w:name="_Toc406914089"/>
      <w:bookmarkStart w:id="167" w:name="_Toc406913844"/>
      <w:r>
        <w:rPr>
          <w:rFonts w:ascii="Tahoma" w:hAnsi="Tahoma" w:cs="Tahoma"/>
          <w:szCs w:val="20"/>
        </w:rPr>
        <w:t>4. TRANSPOR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>
        <w:rPr>
          <w:rFonts w:ascii="Tahoma" w:hAnsi="Tahoma" w:cs="Tahoma"/>
          <w:szCs w:val="20"/>
        </w:rPr>
        <w:t>T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68" w:name="_Toc407086016"/>
      <w:bookmarkStart w:id="169" w:name="_Toc407085568"/>
      <w:bookmarkStart w:id="170" w:name="_Toc407085425"/>
      <w:bookmarkStart w:id="171" w:name="_Toc407085282"/>
      <w:bookmarkStart w:id="172" w:name="_Toc407084163"/>
      <w:bookmarkStart w:id="173" w:name="_Toc407083329"/>
      <w:bookmarkStart w:id="174" w:name="_Toc407081530"/>
      <w:bookmarkStart w:id="175" w:name="_Toc407069565"/>
      <w:bookmarkStart w:id="176" w:name="_Toc406984357"/>
      <w:bookmarkStart w:id="177" w:name="_Toc406984166"/>
      <w:bookmarkStart w:id="178" w:name="_Toc406984019"/>
      <w:bookmarkStart w:id="179" w:name="_Toc406915326"/>
      <w:bookmarkStart w:id="180" w:name="_Toc406914748"/>
      <w:bookmarkStart w:id="181" w:name="_Toc406914090"/>
      <w:bookmarkStart w:id="182" w:name="_Toc406913845"/>
      <w:r>
        <w:rPr>
          <w:rFonts w:ascii="Tahoma" w:hAnsi="Tahoma" w:cs="Tahoma"/>
        </w:rPr>
        <w:t>4.1. Ogólne wymagania dotyczące transportu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183" w:name="_Toc406914091"/>
      <w:bookmarkStart w:id="184" w:name="_Toc406913846"/>
      <w:bookmarkStart w:id="185" w:name="_Toc406822326"/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  <w:bookmarkEnd w:id="183"/>
      <w:bookmarkEnd w:id="184"/>
      <w:bookmarkEnd w:id="185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86" w:name="_Toc407086017"/>
      <w:bookmarkStart w:id="187" w:name="_Toc407085569"/>
      <w:bookmarkStart w:id="188" w:name="_Toc407085426"/>
      <w:bookmarkStart w:id="189" w:name="_Toc407085283"/>
      <w:bookmarkStart w:id="190" w:name="_Toc407084164"/>
      <w:bookmarkStart w:id="191" w:name="_Toc407083330"/>
      <w:bookmarkStart w:id="192" w:name="_Toc407081531"/>
      <w:bookmarkStart w:id="193" w:name="_Toc407069566"/>
      <w:bookmarkStart w:id="194" w:name="_Toc406984358"/>
      <w:bookmarkStart w:id="195" w:name="_Toc406984167"/>
      <w:bookmarkStart w:id="196" w:name="_Toc406984020"/>
      <w:bookmarkStart w:id="197" w:name="_Toc406915327"/>
      <w:bookmarkStart w:id="198" w:name="_Toc406914749"/>
      <w:bookmarkStart w:id="199" w:name="_Toc406914092"/>
      <w:bookmarkStart w:id="200" w:name="_Toc406913847"/>
      <w:r>
        <w:rPr>
          <w:rFonts w:ascii="Tahoma" w:hAnsi="Tahoma" w:cs="Tahoma"/>
        </w:rPr>
        <w:t>4.2. Transport materiałów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01" w:name="_Toc406914093"/>
      <w:bookmarkStart w:id="202" w:name="_Toc406913848"/>
      <w:bookmarkStart w:id="203" w:name="_Toc406822328"/>
      <w:r>
        <w:rPr>
          <w:rFonts w:ascii="Tahoma" w:hAnsi="Tahoma" w:cs="Tahoma"/>
          <w:sz w:val="20"/>
          <w:szCs w:val="20"/>
        </w:rPr>
        <w:t xml:space="preserve">Wymagania dotyczące transportu materiałów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D-04.02.01, D-04.02.02,D-04.03.01</w:t>
      </w:r>
      <w:bookmarkEnd w:id="201"/>
      <w:bookmarkEnd w:id="202"/>
      <w:bookmarkEnd w:id="203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4" w:name="_Toc407086018"/>
      <w:bookmarkStart w:id="205" w:name="_Toc407085570"/>
      <w:bookmarkStart w:id="206" w:name="_Toc407085427"/>
      <w:bookmarkStart w:id="207" w:name="_Toc407085284"/>
      <w:bookmarkStart w:id="208" w:name="_Toc407084165"/>
      <w:bookmarkStart w:id="209" w:name="_Toc407083331"/>
      <w:bookmarkStart w:id="210" w:name="_Toc407081532"/>
      <w:bookmarkStart w:id="211" w:name="_Toc407069567"/>
      <w:bookmarkStart w:id="212" w:name="_Toc406984359"/>
      <w:bookmarkStart w:id="213" w:name="_Toc406984168"/>
      <w:bookmarkStart w:id="214" w:name="_Toc406984021"/>
      <w:bookmarkStart w:id="215" w:name="_Toc406915328"/>
      <w:bookmarkStart w:id="216" w:name="_Toc406914750"/>
      <w:bookmarkStart w:id="217" w:name="_Toc406914094"/>
      <w:bookmarkStart w:id="218" w:name="_Toc406913849"/>
      <w:r>
        <w:rPr>
          <w:rFonts w:ascii="Tahoma" w:hAnsi="Tahoma" w:cs="Tahoma"/>
          <w:szCs w:val="20"/>
        </w:rPr>
        <w:t>5. WYKONANIE ROBÓT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19" w:name="_Toc407086019"/>
      <w:bookmarkStart w:id="220" w:name="_Toc407085571"/>
      <w:bookmarkStart w:id="221" w:name="_Toc407085428"/>
      <w:bookmarkStart w:id="222" w:name="_Toc407085285"/>
      <w:bookmarkStart w:id="223" w:name="_Toc407084166"/>
      <w:bookmarkStart w:id="224" w:name="_Toc407083332"/>
      <w:bookmarkStart w:id="225" w:name="_Toc407081533"/>
      <w:bookmarkStart w:id="226" w:name="_Toc407069568"/>
      <w:bookmarkStart w:id="227" w:name="_Toc406984360"/>
      <w:bookmarkStart w:id="228" w:name="_Toc406984169"/>
      <w:bookmarkStart w:id="229" w:name="_Toc406984022"/>
      <w:bookmarkStart w:id="230" w:name="_Toc406915329"/>
      <w:bookmarkStart w:id="231" w:name="_Toc406914751"/>
      <w:bookmarkStart w:id="232" w:name="_Toc406914095"/>
      <w:bookmarkStart w:id="233" w:name="_Toc406913850"/>
      <w:r>
        <w:rPr>
          <w:rFonts w:ascii="Tahoma" w:hAnsi="Tahoma" w:cs="Tahoma"/>
        </w:rPr>
        <w:t>5.1. Ogólne zasady wykonania robót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34" w:name="_Toc406914096"/>
      <w:bookmarkStart w:id="235" w:name="_Toc406913851"/>
      <w:bookmarkStart w:id="236" w:name="_Toc406822331"/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  <w:bookmarkEnd w:id="234"/>
      <w:bookmarkEnd w:id="235"/>
      <w:bookmarkEnd w:id="236"/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37" w:name="_Toc407086020"/>
      <w:bookmarkStart w:id="238" w:name="_Toc407085572"/>
      <w:bookmarkStart w:id="239" w:name="_Toc407085429"/>
      <w:bookmarkStart w:id="240" w:name="_Toc407085286"/>
      <w:bookmarkStart w:id="241" w:name="_Toc407084167"/>
      <w:bookmarkStart w:id="242" w:name="_Toc407083333"/>
      <w:bookmarkStart w:id="243" w:name="_Toc407081534"/>
      <w:bookmarkStart w:id="244" w:name="_Toc407069569"/>
      <w:bookmarkStart w:id="245" w:name="_Toc406984361"/>
      <w:bookmarkStart w:id="246" w:name="_Toc406984170"/>
      <w:bookmarkStart w:id="247" w:name="_Toc406984023"/>
      <w:bookmarkStart w:id="248" w:name="_Toc406915330"/>
      <w:bookmarkStart w:id="249" w:name="_Toc406914752"/>
      <w:bookmarkStart w:id="250" w:name="_Toc406914097"/>
      <w:bookmarkStart w:id="251" w:name="_Toc406913852"/>
      <w:r>
        <w:rPr>
          <w:rFonts w:ascii="Tahoma" w:hAnsi="Tahoma" w:cs="Tahoma"/>
        </w:rPr>
        <w:t>5.2. Warunki przystąpienia do robót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przystąpić do wykonania koryta oraz profilowania i zagęszczenia podłoża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przed rozpoczęciem robót związanych z wykonaniem warstw nawierzchni. Wcześniejsze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stąpienie do wykonania koryta oraz profilowania i zagęszczania podłoża, jest możliwe wyłącznie za zgodą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w korzystnych warunkach atmosferycznych. W wykonanym korycie oraz po wyprofilowanym i zagęszczonym podłożu nie może odbywać się ruch budowlany, niezwiązany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z wykonaniem pierwszej warstwy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2" w:name="_Toc407086021"/>
      <w:bookmarkStart w:id="253" w:name="_Toc407085573"/>
      <w:bookmarkStart w:id="254" w:name="_Toc407085430"/>
      <w:bookmarkStart w:id="255" w:name="_Toc407085287"/>
      <w:bookmarkStart w:id="256" w:name="_Toc407084168"/>
      <w:bookmarkStart w:id="257" w:name="_Toc407083334"/>
      <w:bookmarkStart w:id="258" w:name="_Toc407081535"/>
      <w:bookmarkStart w:id="259" w:name="_Toc407069570"/>
      <w:bookmarkStart w:id="260" w:name="_Toc406984362"/>
      <w:bookmarkStart w:id="261" w:name="_Toc406984171"/>
      <w:bookmarkStart w:id="262" w:name="_Toc406984024"/>
      <w:bookmarkStart w:id="263" w:name="_Toc406915331"/>
      <w:bookmarkStart w:id="264" w:name="_Toc406914753"/>
      <w:bookmarkStart w:id="265" w:name="_Toc406914098"/>
      <w:bookmarkStart w:id="266" w:name="_Toc406913853"/>
      <w:r>
        <w:rPr>
          <w:rFonts w:ascii="Tahoma" w:hAnsi="Tahoma" w:cs="Tahoma"/>
        </w:rPr>
        <w:t>5.3. Wykonanie koryta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Paliki lub szpilki do prawidłowego ukształtowania koryta w planie i profilu powinny być wcześniej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gotowane. Paliki lub szpilki należy ustawiać w osi drogi i w rzędach równoległych do osi drogi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Rozmieszczenie palików lub szpilek powinno umo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liwiać naciągnięcie sznurków lub linek do wytyczenia robót w odstępach nie większych niż co 10 m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trów. Rodzaj sprzętu, a w szczególności jego moc należy dostosować do rodzaju gruntu, w którym prowadzone są roboty i do trudności jego odspojenia. Koryto można wykonywać ręcznie, gdy jego szerokość nie pozwala na zastosowanie maszyn, na przykład na poszerzeniach lub w przypadku robót o małym zakresie. Sposób wykonania musi być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Grunt odspoj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 w czasie wykonywania koryta powinien być wykorzystany zgodnie z ustaleniami dokumentacji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, tj. wbudowany w nasyp lub odwieziony na odkład w miejsce wskazane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 xml:space="preserve">. Profilowanie i zagęszczenie podłoża należy wykonać zgodnie z zasadami określonymi w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67" w:name="_Toc407086022"/>
      <w:bookmarkStart w:id="268" w:name="_Toc407085574"/>
      <w:bookmarkStart w:id="269" w:name="_Toc407085431"/>
      <w:bookmarkStart w:id="270" w:name="_Toc407085288"/>
      <w:bookmarkStart w:id="271" w:name="_Toc407084169"/>
      <w:bookmarkStart w:id="272" w:name="_Toc407083335"/>
      <w:bookmarkStart w:id="273" w:name="_Toc407081536"/>
      <w:bookmarkStart w:id="274" w:name="_Toc407069571"/>
      <w:bookmarkStart w:id="275" w:name="_Toc406984363"/>
      <w:bookmarkStart w:id="276" w:name="_Toc406984172"/>
      <w:bookmarkStart w:id="277" w:name="_Toc406984025"/>
      <w:bookmarkStart w:id="278" w:name="_Toc406915332"/>
      <w:bookmarkStart w:id="279" w:name="_Toc406914754"/>
      <w:bookmarkStart w:id="280" w:name="_Toc406914099"/>
      <w:bookmarkStart w:id="281" w:name="_Toc406913854"/>
      <w:r>
        <w:rPr>
          <w:rFonts w:ascii="Tahoma" w:hAnsi="Tahoma" w:cs="Tahoma"/>
        </w:rPr>
        <w:t>5.4. Profilowanie i zagęszczanie podłoża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profilowania podłoże powinno być oczyszczone ze wszelkich zanieczyszczeń. Po oczyszczeniu powierzchni podłoża należy sprawdzić, czy istniejące rzędne terenu umożliwiają uz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skanie po profilowaniu zaprojektowanych rzędnych podłoża. Zaleca się, aby rzędne terenu przed prof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lowaniem były o co najmniej 5 cm wyższe niż projektowane rzędne podłoża. Jeżeli powyższy warunek nie jest spełniony i występują zaniżenia poziomu w podłożu przewidzianym do profilowania,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nawca powinien spulchnić podłoże na głębokość zaakceptowaną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dowieźć d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datkowy grunt spełniający wymagania obowiązujące dla górnej strefy korpusu, w ilości koniecznej do uzyskania wymaganych rzędnych wysokościowych i zagęścić warstwę do uzyskania wartości wskaźn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ka zagęszczenia, określonych w Tablicy 1. Do profilowania podłoża należy stosować równiarki. Ścięty grunt powinien być wykorzystany w robotach ziemnych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</w:t>
      </w:r>
      <w:r>
        <w:rPr>
          <w:rFonts w:ascii="Tahoma" w:eastAsia="Tahoma" w:hAnsi="Tahoma" w:cs="Tahoma"/>
          <w:sz w:val="20"/>
          <w:szCs w:val="20"/>
          <w:lang w:eastAsia="ar-SA"/>
        </w:rPr>
        <w:t>a</w:t>
      </w:r>
      <w:r>
        <w:rPr>
          <w:rFonts w:ascii="Tahoma" w:eastAsia="Tahoma" w:hAnsi="Tahoma" w:cs="Tahoma"/>
          <w:sz w:val="20"/>
          <w:szCs w:val="20"/>
          <w:lang w:eastAsia="ar-SA"/>
        </w:rPr>
        <w:t>mawiającego</w:t>
      </w:r>
      <w:r>
        <w:rPr>
          <w:rFonts w:ascii="Tahoma" w:hAnsi="Tahoma" w:cs="Tahoma"/>
          <w:sz w:val="20"/>
          <w:szCs w:val="20"/>
        </w:rPr>
        <w:t>. Bezpośrednio po profilowaniu podłoża należy przystąpić do jego zagęszczania.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czanie podłoża należy kontynuować do osiągnięcia wskaźnika zagęszczenia nie mniejszego od pod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nego w Tablicy 1. Wskaźnik zagęszczenia należy określać zgodnie z BN-77/8931-12.</w:t>
      </w:r>
      <w:bookmarkStart w:id="282" w:name="_Hlk511635817"/>
      <w:bookmarkEnd w:id="282"/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1. Minimalne wartości wskaźnika zagęszczenia podłoża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tbl>
      <w:tblPr>
        <w:tblW w:w="9146" w:type="dxa"/>
        <w:jc w:val="center"/>
        <w:tblCellMar>
          <w:left w:w="70" w:type="dxa"/>
          <w:right w:w="70" w:type="dxa"/>
        </w:tblCellMar>
        <w:tblLook w:val="0000"/>
      </w:tblPr>
      <w:tblGrid>
        <w:gridCol w:w="5287"/>
        <w:gridCol w:w="1980"/>
        <w:gridCol w:w="1879"/>
      </w:tblGrid>
      <w:tr w:rsidR="00C32362">
        <w:trPr>
          <w:jc w:val="center"/>
        </w:trPr>
        <w:tc>
          <w:tcPr>
            <w:tcW w:w="5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C32362">
        <w:trPr>
          <w:trHeight w:val="396"/>
          <w:jc w:val="center"/>
        </w:trPr>
        <w:tc>
          <w:tcPr>
            <w:tcW w:w="5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3236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KR1-KR2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podłoża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0,97</w:t>
            </w:r>
          </w:p>
        </w:tc>
      </w:tr>
    </w:tbl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BN-64/8931-02. Stosunek wtórnego i pie</w:t>
      </w:r>
      <w:r>
        <w:rPr>
          <w:rFonts w:ascii="Tahoma" w:hAnsi="Tahoma" w:cs="Tahoma"/>
        </w:rPr>
        <w:t>r</w:t>
      </w:r>
      <w:r>
        <w:rPr>
          <w:rFonts w:ascii="Tahoma" w:hAnsi="Tahoma" w:cs="Tahoma"/>
        </w:rPr>
        <w:t>wotnego modułu odkształcenia nie powinien przekraczać 2,2. Wilgotność gruntu podłoża podczas zagęszczania powinna być równa wilgotności optymalnej z tolerancją od -20% do +10%.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83" w:name="_Toc407086023"/>
      <w:bookmarkStart w:id="284" w:name="_Toc407085575"/>
      <w:bookmarkStart w:id="285" w:name="_Toc407085432"/>
      <w:bookmarkStart w:id="286" w:name="_Toc407085289"/>
      <w:bookmarkStart w:id="287" w:name="_Toc407084170"/>
      <w:bookmarkStart w:id="288" w:name="_Toc407083336"/>
      <w:bookmarkStart w:id="289" w:name="_Toc407081537"/>
      <w:bookmarkStart w:id="290" w:name="_Toc407069572"/>
      <w:bookmarkStart w:id="291" w:name="_Toc406984364"/>
      <w:bookmarkStart w:id="292" w:name="_Toc406984173"/>
      <w:bookmarkStart w:id="293" w:name="_Toc406984026"/>
      <w:bookmarkStart w:id="294" w:name="_Toc406915333"/>
      <w:bookmarkStart w:id="295" w:name="_Toc406914755"/>
      <w:bookmarkStart w:id="296" w:name="_Toc406914100"/>
      <w:bookmarkStart w:id="297" w:name="_Toc406913855"/>
      <w:r>
        <w:rPr>
          <w:rFonts w:ascii="Tahoma" w:hAnsi="Tahoma" w:cs="Tahoma"/>
        </w:rPr>
        <w:t>5.5. Utrzymanie koryta oraz wyprofilowanego i zagęszczonego podłoża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Podłoże (koryto) po wyprofilowaniu i zagęszczeniu powinno być utrzymywane w dobrym stanie. Jeżeli po wykonaniu robót związanych z profilowaniem i zagęszczeniem podłoża nastąpi przerwa w robotach </w:t>
      </w:r>
      <w:r>
        <w:rPr>
          <w:rFonts w:ascii="Tahoma" w:hAnsi="Tahoma" w:cs="Tahoma"/>
          <w:sz w:val="20"/>
          <w:szCs w:val="20"/>
        </w:rPr>
        <w:lastRenderedPageBreak/>
        <w:t>i Wykonawca nie przystąpi natychmiast do układania warstw nawierzchni, to powinien on zabezpi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czyć podłoże przed nadmiernym zawilgoceniem, na przykład przez rozłożenie folii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Jeżeli wyprofilowane i zagęszczone podłoże uległo nadmiern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mu zawilgoceniu, to do układania kolejnej warstwy można przystąpić dopiero po jego naturalnym osuszeniu. Po osuszeniu podłoża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oceni jego stan i ewentualnie zaleci wykonanie ni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zbędnych napraw. Jeżeli zawilgocenie nastąpiło wskutek zaniedbania Wykonawcy, to naprawę wykona on na własny koszt.</w:t>
      </w:r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98" w:name="_Toc407086024"/>
      <w:bookmarkStart w:id="299" w:name="_Toc407085576"/>
      <w:bookmarkStart w:id="300" w:name="_Toc407085433"/>
      <w:bookmarkStart w:id="301" w:name="_Toc407085290"/>
      <w:bookmarkStart w:id="302" w:name="_Toc407084171"/>
      <w:bookmarkStart w:id="303" w:name="_Toc407083337"/>
      <w:bookmarkStart w:id="304" w:name="_Toc407081538"/>
      <w:bookmarkStart w:id="305" w:name="_Toc407069573"/>
      <w:bookmarkStart w:id="306" w:name="_Toc406984365"/>
      <w:bookmarkStart w:id="307" w:name="_Toc406984174"/>
      <w:bookmarkStart w:id="308" w:name="_Toc406984027"/>
      <w:bookmarkStart w:id="309" w:name="_Toc406915334"/>
      <w:bookmarkStart w:id="310" w:name="_Toc406914756"/>
      <w:bookmarkStart w:id="311" w:name="_Toc406914101"/>
      <w:bookmarkStart w:id="312" w:name="_Toc406913856"/>
      <w:r>
        <w:rPr>
          <w:rFonts w:ascii="Tahoma" w:hAnsi="Tahoma" w:cs="Tahoma"/>
          <w:szCs w:val="20"/>
        </w:rPr>
        <w:t>6. KONTROLA JAKOŚCI ROBÓT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13" w:name="_Toc407086025"/>
      <w:bookmarkStart w:id="314" w:name="_Toc407085577"/>
      <w:bookmarkStart w:id="315" w:name="_Toc407085434"/>
      <w:bookmarkStart w:id="316" w:name="_Toc407085291"/>
      <w:bookmarkStart w:id="317" w:name="_Toc407084172"/>
      <w:bookmarkStart w:id="318" w:name="_Toc407083338"/>
      <w:bookmarkStart w:id="319" w:name="_Toc407081539"/>
      <w:bookmarkStart w:id="320" w:name="_Toc407069574"/>
      <w:bookmarkStart w:id="321" w:name="_Toc406984366"/>
      <w:bookmarkStart w:id="322" w:name="_Toc406984175"/>
      <w:bookmarkStart w:id="323" w:name="_Toc406984028"/>
      <w:bookmarkStart w:id="324" w:name="_Toc406915335"/>
      <w:bookmarkStart w:id="325" w:name="_Toc406914757"/>
      <w:bookmarkStart w:id="326" w:name="_Toc406914102"/>
      <w:bookmarkStart w:id="327" w:name="_Toc406913857"/>
      <w:r>
        <w:rPr>
          <w:rFonts w:ascii="Tahoma" w:hAnsi="Tahoma" w:cs="Tahoma"/>
        </w:rPr>
        <w:t>6.1. Ogólne zasady kontroli jakości robót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28" w:name="_Toc407086026"/>
      <w:bookmarkStart w:id="329" w:name="_Toc407085578"/>
      <w:bookmarkStart w:id="330" w:name="_Toc407085435"/>
      <w:bookmarkStart w:id="331" w:name="_Toc407085292"/>
      <w:bookmarkStart w:id="332" w:name="_Toc407084173"/>
      <w:bookmarkStart w:id="333" w:name="_Toc407083339"/>
      <w:bookmarkStart w:id="334" w:name="_Toc407081540"/>
      <w:bookmarkStart w:id="335" w:name="_Toc407069575"/>
      <w:bookmarkStart w:id="336" w:name="_Toc406984367"/>
      <w:bookmarkStart w:id="337" w:name="_Toc406984176"/>
      <w:bookmarkStart w:id="338" w:name="_Toc406984029"/>
      <w:bookmarkStart w:id="339" w:name="_Toc406915336"/>
      <w:bookmarkStart w:id="340" w:name="_Toc406914758"/>
      <w:bookmarkStart w:id="341" w:name="_Toc406914103"/>
      <w:bookmarkStart w:id="342" w:name="_Toc406913858"/>
      <w:r>
        <w:rPr>
          <w:rFonts w:ascii="Tahoma" w:hAnsi="Tahoma" w:cs="Tahoma"/>
        </w:rPr>
        <w:t>6.2. Badania w czasie robót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Częstotliwość oraz zakres badań i pomiarów</w:t>
      </w:r>
    </w:p>
    <w:p w:rsidR="00C32362" w:rsidRDefault="00C12DEC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Częstotliwość oraz zakres badań i pomiarów dotyczących cech geometrycznych i zagęszczenia koryta i wyprofilowanego podłoża podaje Tablica 2.</w:t>
      </w:r>
    </w:p>
    <w:p w:rsidR="00C32362" w:rsidRDefault="00C12DEC">
      <w:pPr>
        <w:ind w:left="1134" w:hanging="1134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2. Częstotliwość oraz zakres badań i pomiarów wykonanego koryta i wyprofilowanego podłoża</w:t>
      </w:r>
    </w:p>
    <w:tbl>
      <w:tblPr>
        <w:tblW w:w="9194" w:type="dxa"/>
        <w:jc w:val="center"/>
        <w:tblCellMar>
          <w:left w:w="70" w:type="dxa"/>
          <w:right w:w="70" w:type="dxa"/>
        </w:tblCellMar>
        <w:tblLook w:val="0000"/>
      </w:tblPr>
      <w:tblGrid>
        <w:gridCol w:w="567"/>
        <w:gridCol w:w="3281"/>
        <w:gridCol w:w="5346"/>
      </w:tblGrid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Wyszczególnienie badań i 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miarów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Minimalna częstotliwość badań i pomiarów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Szerokość koryta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20 m na każdym pasie ruchu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Zagęszczenie, wilgotność gruntu podłoża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2 punktach na dziennej działce roboczej,</w:t>
            </w:r>
          </w:p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lecz nie rzadziej niż raz na 600 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</w:tr>
      <w:tr w:rsidR="00C32362">
        <w:trPr>
          <w:trHeight w:val="207"/>
          <w:jc w:val="center"/>
        </w:trPr>
        <w:tc>
          <w:tcPr>
            <w:tcW w:w="9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343" w:name="_Toc406914104"/>
            <w:bookmarkStart w:id="344" w:name="_Toc406913859"/>
            <w:bookmarkStart w:id="345" w:name="_Toc406822339"/>
            <w:r>
              <w:rPr>
                <w:rFonts w:ascii="Tahoma" w:hAnsi="Tahoma" w:cs="Tahoma"/>
                <w:sz w:val="20"/>
                <w:szCs w:val="20"/>
              </w:rPr>
              <w:t>*) Dodatkowe pomiary spadków poprzecznych i ukształtowania osi w planie należy wykonać w pun</w:t>
            </w:r>
            <w:r>
              <w:rPr>
                <w:rFonts w:ascii="Tahoma" w:hAnsi="Tahoma" w:cs="Tahoma"/>
                <w:sz w:val="20"/>
                <w:szCs w:val="20"/>
              </w:rPr>
              <w:t>k</w:t>
            </w:r>
            <w:r>
              <w:rPr>
                <w:rFonts w:ascii="Tahoma" w:hAnsi="Tahoma" w:cs="Tahoma"/>
                <w:sz w:val="20"/>
                <w:szCs w:val="20"/>
              </w:rPr>
              <w:t>tach głównych łuków poziomych</w:t>
            </w:r>
            <w:bookmarkEnd w:id="343"/>
            <w:bookmarkEnd w:id="344"/>
            <w:bookmarkEnd w:id="345"/>
          </w:p>
        </w:tc>
      </w:tr>
    </w:tbl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Szerokość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Szerokość koryta i profilowanego podłoża nie może różnić się od szerokości projektowanej o więcej niż +10 cm i -5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Równość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Nierówności podłużne koryta i profilowanego podłoża należy mierzyć 4-metrową łatą zgodnie z normą BN-68/8931-04. Nierówności poprzeczne należy mierzyć 4-metrową łatą. Nierówności nie mogą przekraczać 20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Spadki poprzeczne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Spadki poprzeczne koryta i profilowanego podłoża powinny być zgodne z dokumentacją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jektową z 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0,5%.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Rzędne wysokościowe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Różnice pomiędzy rzędnymi wysokościowymi koryta lub wyprofilowanego podłoża i rzędnymi projektowanymi nie powinny przekraczać +1 cm, -2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Ukształtowanie osi w planie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Oś w planie nie może być przesunięta w stosunku do osi projektowanej o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3 cm dla autostrad i dróg ekspresowych lub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5 cm dla pozostałych dróg.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Zagęszczenie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Wskaźnik zagęszczenia koryta i wyprofilowanego podłoża określony wg BN-77/8931-12 nie powinien być mniejszy od podanego w Tablicy 1. Jeśli jako kryterium dobrego zagęszczenia stosuje się porównanie wartości modułów odkształcenia, to wartość stosunku wtórnego do pierwotnego modułu </w:t>
      </w:r>
      <w:r>
        <w:rPr>
          <w:rFonts w:ascii="Tahoma" w:hAnsi="Tahoma" w:cs="Tahoma"/>
          <w:sz w:val="20"/>
          <w:szCs w:val="20"/>
        </w:rPr>
        <w:lastRenderedPageBreak/>
        <w:t>odkształcenia, określonych zgodnie z normą BN-64/8931-02 nie powinna być większa od 2,2. Wilgo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ność w czasie zagęszczania należy badać według PN-B-06714-17. Wilgotność gruntu podłoża powinna być równa wilgotności optymalnej z tolerancją od -20% do + 10%.</w:t>
      </w:r>
    </w:p>
    <w:p w:rsidR="00C32362" w:rsidRDefault="00C32362">
      <w:pPr>
        <w:pStyle w:val="Heading2"/>
        <w:spacing w:before="0" w:after="0"/>
        <w:ind w:left="426" w:hanging="426"/>
        <w:rPr>
          <w:rFonts w:ascii="Tahoma" w:hAnsi="Tahoma" w:cs="Tahoma"/>
        </w:rPr>
      </w:pPr>
      <w:bookmarkStart w:id="346" w:name="_Toc407086027"/>
      <w:bookmarkStart w:id="347" w:name="_Toc407085579"/>
      <w:bookmarkStart w:id="348" w:name="_Toc407085436"/>
      <w:bookmarkStart w:id="349" w:name="_Toc407085293"/>
      <w:bookmarkStart w:id="350" w:name="_Toc407084174"/>
      <w:bookmarkStart w:id="351" w:name="_Toc407083340"/>
      <w:bookmarkStart w:id="352" w:name="_Toc407081541"/>
      <w:bookmarkStart w:id="353" w:name="_Toc407069576"/>
      <w:bookmarkStart w:id="354" w:name="_Toc406984368"/>
      <w:bookmarkStart w:id="355" w:name="_Toc406984177"/>
      <w:bookmarkStart w:id="356" w:name="_Toc406984030"/>
    </w:p>
    <w:p w:rsidR="00C32362" w:rsidRDefault="00C12DEC">
      <w:pPr>
        <w:pStyle w:val="Heading2"/>
        <w:spacing w:before="0" w:after="0"/>
        <w:ind w:left="426" w:hanging="426"/>
        <w:rPr>
          <w:rFonts w:ascii="Tahoma" w:hAnsi="Tahoma" w:cs="Tahoma"/>
          <w:b w:val="0"/>
        </w:rPr>
      </w:pPr>
      <w:bookmarkStart w:id="357" w:name="_Toc406915337"/>
      <w:bookmarkStart w:id="358" w:name="_Toc406914862"/>
      <w:bookmarkStart w:id="359" w:name="_Toc406914759"/>
      <w:bookmarkStart w:id="360" w:name="_Toc406914105"/>
      <w:bookmarkStart w:id="361" w:name="_Toc406913860"/>
      <w:r>
        <w:rPr>
          <w:rFonts w:ascii="Tahoma" w:hAnsi="Tahoma" w:cs="Tahoma"/>
        </w:rPr>
        <w:t>6.3. Zasady postępowania z wadliwie wykonanymi odcinkami koryta (profilowanego</w:t>
      </w:r>
      <w:bookmarkEnd w:id="357"/>
      <w:bookmarkEnd w:id="358"/>
      <w:bookmarkEnd w:id="359"/>
      <w:bookmarkEnd w:id="360"/>
      <w:bookmarkEnd w:id="361"/>
      <w:r>
        <w:rPr>
          <w:rFonts w:ascii="Tahoma" w:hAnsi="Tahoma" w:cs="Tahoma"/>
        </w:rPr>
        <w:t xml:space="preserve"> po</w:t>
      </w:r>
      <w:r>
        <w:rPr>
          <w:rFonts w:ascii="Tahoma" w:hAnsi="Tahoma" w:cs="Tahoma"/>
        </w:rPr>
        <w:t>d</w:t>
      </w:r>
      <w:r>
        <w:rPr>
          <w:rFonts w:ascii="Tahoma" w:hAnsi="Tahoma" w:cs="Tahoma"/>
        </w:rPr>
        <w:t>łoża)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Wszystkie powierzchnie, które wykazują większe odchylenia cech geometrycznych od określonych w punkcie 6.2 powinny być naprawione przez spulchnienie do głębokości co najmniej 10 cm, wyró</w:t>
      </w:r>
      <w:r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nanie i powtórne zagęszczenie. Dodanie nowego materiału bez spulchnienia wykonanej warstwy jest niedopuszczalne.</w:t>
      </w:r>
      <w:bookmarkStart w:id="362" w:name="_Toc407086028"/>
      <w:bookmarkStart w:id="363" w:name="_Toc407085580"/>
      <w:bookmarkStart w:id="364" w:name="_Toc407085437"/>
      <w:bookmarkStart w:id="365" w:name="_Toc407085294"/>
      <w:bookmarkStart w:id="366" w:name="_Toc407084175"/>
      <w:bookmarkStart w:id="367" w:name="_Toc407083341"/>
      <w:bookmarkStart w:id="368" w:name="_Toc407081542"/>
      <w:bookmarkStart w:id="369" w:name="_Toc407069577"/>
      <w:bookmarkStart w:id="370" w:name="_Toc406984369"/>
      <w:bookmarkStart w:id="371" w:name="_Toc406984178"/>
      <w:bookmarkStart w:id="372" w:name="_Toc406984031"/>
      <w:bookmarkStart w:id="373" w:name="_Toc406915338"/>
      <w:bookmarkStart w:id="374" w:name="_Toc406914760"/>
      <w:bookmarkStart w:id="375" w:name="_Toc406914106"/>
      <w:bookmarkStart w:id="376" w:name="_Toc406913861"/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 OBMIAR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77" w:name="_Toc407086029"/>
      <w:bookmarkStart w:id="378" w:name="_Toc407085581"/>
      <w:bookmarkStart w:id="379" w:name="_Toc407085438"/>
      <w:bookmarkStart w:id="380" w:name="_Toc407085295"/>
      <w:bookmarkStart w:id="381" w:name="_Toc407084176"/>
      <w:bookmarkStart w:id="382" w:name="_Toc407083342"/>
      <w:bookmarkStart w:id="383" w:name="_Toc407081543"/>
      <w:bookmarkStart w:id="384" w:name="_Toc407069578"/>
      <w:bookmarkStart w:id="385" w:name="_Toc406984370"/>
      <w:bookmarkStart w:id="386" w:name="_Toc406984179"/>
      <w:bookmarkStart w:id="387" w:name="_Toc406984032"/>
      <w:bookmarkStart w:id="388" w:name="_Toc406915339"/>
      <w:bookmarkStart w:id="389" w:name="_Toc406914761"/>
      <w:bookmarkStart w:id="390" w:name="_Toc406914107"/>
      <w:bookmarkStart w:id="391" w:name="_Toc406913862"/>
      <w:r>
        <w:rPr>
          <w:rFonts w:ascii="Tahoma" w:hAnsi="Tahoma" w:cs="Tahoma"/>
        </w:rPr>
        <w:t>7.1. Ogólne zasady obmiaru robót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392" w:name="_Toc407086030"/>
      <w:bookmarkStart w:id="393" w:name="_Toc407085582"/>
      <w:bookmarkStart w:id="394" w:name="_Toc407085439"/>
      <w:bookmarkStart w:id="395" w:name="_Toc407085296"/>
      <w:bookmarkStart w:id="396" w:name="_Toc407084177"/>
      <w:bookmarkStart w:id="397" w:name="_Toc407083343"/>
      <w:bookmarkStart w:id="398" w:name="_Toc407081544"/>
      <w:bookmarkStart w:id="399" w:name="_Toc407069579"/>
      <w:bookmarkStart w:id="400" w:name="_Toc406984371"/>
      <w:bookmarkStart w:id="401" w:name="_Toc406984180"/>
      <w:bookmarkStart w:id="402" w:name="_Toc406984033"/>
      <w:bookmarkStart w:id="403" w:name="_Toc406915340"/>
      <w:bookmarkStart w:id="404" w:name="_Toc406914762"/>
      <w:bookmarkStart w:id="405" w:name="_Toc406914108"/>
      <w:bookmarkStart w:id="406" w:name="_Toc406913863"/>
      <w:r>
        <w:rPr>
          <w:rFonts w:ascii="Tahoma" w:hAnsi="Tahoma" w:cs="Tahoma"/>
        </w:rPr>
        <w:t>7.2. Jednostka obmiarowa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(metr kwadratowy) wykonanego i odebranego koryta.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07" w:name="_Toc407086031"/>
      <w:bookmarkStart w:id="408" w:name="_Toc407085583"/>
      <w:bookmarkStart w:id="409" w:name="_Toc407085440"/>
      <w:bookmarkStart w:id="410" w:name="_Toc407085297"/>
      <w:bookmarkStart w:id="411" w:name="_Toc407084178"/>
      <w:bookmarkStart w:id="412" w:name="_Toc407083344"/>
      <w:bookmarkStart w:id="413" w:name="_Toc407081545"/>
      <w:bookmarkStart w:id="414" w:name="_Toc407069580"/>
      <w:bookmarkStart w:id="415" w:name="_Toc406984372"/>
      <w:bookmarkStart w:id="416" w:name="_Toc406984181"/>
      <w:bookmarkStart w:id="417" w:name="_Toc406984034"/>
      <w:bookmarkStart w:id="418" w:name="_Toc406915341"/>
      <w:bookmarkStart w:id="419" w:name="_Toc406914763"/>
      <w:bookmarkStart w:id="420" w:name="_Toc406914109"/>
      <w:bookmarkStart w:id="421" w:name="_Toc406913864"/>
      <w:r>
        <w:rPr>
          <w:rFonts w:ascii="Tahoma" w:hAnsi="Tahoma" w:cs="Tahoma"/>
          <w:szCs w:val="20"/>
        </w:rPr>
        <w:t>8. ODBIÓR ROBÓT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 Roboty uznaje się za wykonane zgodnie z dokumentacja projektową,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i wymaganiami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</w:t>
      </w:r>
      <w:r>
        <w:rPr>
          <w:rFonts w:ascii="Tahoma" w:eastAsia="Tahoma" w:hAnsi="Tahoma" w:cs="Tahoma"/>
          <w:sz w:val="20"/>
          <w:szCs w:val="20"/>
          <w:lang w:eastAsia="ar-SA"/>
        </w:rPr>
        <w:t>e</w:t>
      </w:r>
      <w:r>
        <w:rPr>
          <w:rFonts w:ascii="Tahoma" w:eastAsia="Tahoma" w:hAnsi="Tahoma" w:cs="Tahoma"/>
          <w:sz w:val="20"/>
          <w:szCs w:val="20"/>
          <w:lang w:eastAsia="ar-SA"/>
        </w:rPr>
        <w:t>go</w:t>
      </w:r>
      <w:r>
        <w:rPr>
          <w:rFonts w:ascii="Tahoma" w:hAnsi="Tahoma" w:cs="Tahoma"/>
          <w:sz w:val="20"/>
          <w:szCs w:val="20"/>
        </w:rPr>
        <w:t>, jeżeli wszystkie pomiary i badania z zachowaniem tolerancji wg punktu 6 dały wyniki pozytywne.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2" w:name="_Toc407086032"/>
      <w:bookmarkStart w:id="423" w:name="_Toc407085584"/>
      <w:bookmarkStart w:id="424" w:name="_Toc407085441"/>
      <w:bookmarkStart w:id="425" w:name="_Toc407085298"/>
      <w:bookmarkStart w:id="426" w:name="_Toc407084179"/>
      <w:bookmarkStart w:id="427" w:name="_Toc407083345"/>
      <w:bookmarkStart w:id="428" w:name="_Toc407081546"/>
      <w:bookmarkStart w:id="429" w:name="_Toc407069581"/>
      <w:bookmarkStart w:id="430" w:name="_Toc406984373"/>
      <w:bookmarkStart w:id="431" w:name="_Toc406984182"/>
      <w:bookmarkStart w:id="432" w:name="_Toc406984035"/>
      <w:bookmarkStart w:id="433" w:name="_Toc406915342"/>
      <w:bookmarkStart w:id="434" w:name="_Toc406914764"/>
      <w:bookmarkStart w:id="435" w:name="_Toc406914110"/>
      <w:bookmarkStart w:id="436" w:name="_Toc406913865"/>
      <w:r>
        <w:rPr>
          <w:rFonts w:ascii="Tahoma" w:hAnsi="Tahoma" w:cs="Tahoma"/>
          <w:szCs w:val="20"/>
        </w:rPr>
        <w:t>9. PODSTAWA PŁATNOŚCI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37" w:name="_Toc407086033"/>
      <w:bookmarkStart w:id="438" w:name="_Toc407085585"/>
      <w:bookmarkStart w:id="439" w:name="_Toc407085442"/>
      <w:bookmarkStart w:id="440" w:name="_Toc407085299"/>
      <w:bookmarkStart w:id="441" w:name="_Toc407084180"/>
      <w:bookmarkStart w:id="442" w:name="_Toc407083346"/>
      <w:bookmarkStart w:id="443" w:name="_Toc407081547"/>
      <w:bookmarkStart w:id="444" w:name="_Toc407069582"/>
      <w:bookmarkStart w:id="445" w:name="_Toc406984374"/>
      <w:bookmarkStart w:id="446" w:name="_Toc406984183"/>
      <w:bookmarkStart w:id="447" w:name="_Toc406984036"/>
      <w:bookmarkStart w:id="448" w:name="_Toc406915343"/>
      <w:bookmarkStart w:id="449" w:name="_Toc406914765"/>
      <w:bookmarkStart w:id="450" w:name="_Toc406914111"/>
      <w:bookmarkStart w:id="451" w:name="_Toc406913866"/>
      <w:r>
        <w:rPr>
          <w:rFonts w:ascii="Tahoma" w:hAnsi="Tahoma" w:cs="Tahoma"/>
        </w:rPr>
        <w:t>9.1. Ogólne ustalenia dotyczące podstawy płatności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452" w:name="_Toc407086034"/>
      <w:bookmarkStart w:id="453" w:name="_Toc407085586"/>
      <w:bookmarkStart w:id="454" w:name="_Toc407085443"/>
      <w:bookmarkStart w:id="455" w:name="_Toc407085300"/>
      <w:bookmarkStart w:id="456" w:name="_Toc407084181"/>
      <w:bookmarkStart w:id="457" w:name="_Toc407083347"/>
      <w:bookmarkStart w:id="458" w:name="_Toc407081548"/>
      <w:bookmarkStart w:id="459" w:name="_Toc407069583"/>
      <w:bookmarkStart w:id="460" w:name="_Toc406984375"/>
      <w:bookmarkStart w:id="461" w:name="_Toc406984184"/>
      <w:bookmarkStart w:id="462" w:name="_Toc406984037"/>
      <w:bookmarkStart w:id="463" w:name="_Toc406915344"/>
      <w:bookmarkStart w:id="464" w:name="_Toc406914766"/>
      <w:bookmarkStart w:id="465" w:name="_Toc406914112"/>
      <w:bookmarkStart w:id="466" w:name="_Toc406913867"/>
      <w:r>
        <w:rPr>
          <w:rFonts w:ascii="Tahoma" w:hAnsi="Tahoma" w:cs="Tahoma"/>
        </w:rPr>
        <w:t>9.2. Cena jednostki obmiarowej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koryta obejmuje: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prace pomiarowe i roboty przygotowawcze,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odspojenie gruntu z przerzutem na pobocze i rozplantowaniem,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załadunek nadmiaru odspojonego gruntu na środki transportowe i odwiezienie na odkład lub nasyp,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profilowanie dna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utrzymanie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67" w:name="_Toc407086035"/>
      <w:bookmarkStart w:id="468" w:name="_Toc407085587"/>
      <w:bookmarkStart w:id="469" w:name="_Toc407085444"/>
      <w:bookmarkStart w:id="470" w:name="_Toc407085301"/>
      <w:bookmarkStart w:id="471" w:name="_Toc407084182"/>
      <w:bookmarkStart w:id="472" w:name="_Toc407083348"/>
      <w:bookmarkStart w:id="473" w:name="_Toc407081549"/>
      <w:bookmarkStart w:id="474" w:name="_Toc407069584"/>
      <w:bookmarkStart w:id="475" w:name="_Toc406984376"/>
      <w:bookmarkStart w:id="476" w:name="_Toc406984185"/>
      <w:bookmarkStart w:id="477" w:name="_Toc406984038"/>
      <w:bookmarkStart w:id="478" w:name="_Toc406915345"/>
      <w:bookmarkStart w:id="479" w:name="_Toc406914767"/>
      <w:bookmarkStart w:id="480" w:name="_Toc406914113"/>
      <w:bookmarkStart w:id="481" w:name="_Toc406913868"/>
      <w:r>
        <w:rPr>
          <w:rFonts w:ascii="Tahoma" w:hAnsi="Tahoma" w:cs="Tahoma"/>
          <w:szCs w:val="20"/>
        </w:rPr>
        <w:t>10. PRZEPISY ZWIĄZANE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82" w:name="_Toc407086036"/>
      <w:bookmarkStart w:id="483" w:name="_Toc407085588"/>
      <w:bookmarkStart w:id="484" w:name="_Toc407085445"/>
      <w:bookmarkStart w:id="485" w:name="_Toc407085302"/>
      <w:bookmarkStart w:id="486" w:name="_Toc407084183"/>
      <w:bookmarkStart w:id="487" w:name="_Toc407083349"/>
      <w:bookmarkStart w:id="488" w:name="_Toc407081550"/>
      <w:bookmarkStart w:id="489" w:name="_Toc407069585"/>
      <w:bookmarkStart w:id="490" w:name="_Toc406984377"/>
      <w:bookmarkStart w:id="491" w:name="_Toc406984186"/>
      <w:bookmarkStart w:id="492" w:name="_Toc406984039"/>
      <w:bookmarkStart w:id="493" w:name="_Toc406915346"/>
      <w:bookmarkStart w:id="494" w:name="_Toc406914768"/>
      <w:bookmarkStart w:id="495" w:name="_Toc406914114"/>
      <w:bookmarkStart w:id="496" w:name="_Toc406913869"/>
      <w:r>
        <w:rPr>
          <w:rFonts w:ascii="Tahoma" w:hAnsi="Tahoma" w:cs="Tahoma"/>
        </w:rPr>
        <w:t>Normy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tbl>
      <w:tblPr>
        <w:tblW w:w="99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25"/>
        <w:gridCol w:w="1701"/>
        <w:gridCol w:w="7774"/>
      </w:tblGrid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PN-B-04481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Grunty budowlane. Badania próbek gruntu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PN-/B-06714-17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Kruszywa mineralne. Badania. Oznaczanie wilgotności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BN-64/8931-02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samochodowe. Oznaczanie modułu odkształcenia nawierzchni podatnych i podłoża przez obciążenie płytą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BN-68/8931-04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samochodowe. Pomiar równości nawierzchni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 łatą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BN-77/8931-12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Oznaczanie wskaźnika zagęszczenia gruntu</w:t>
            </w:r>
          </w:p>
        </w:tc>
      </w:tr>
    </w:tbl>
    <w:p w:rsidR="00C32362" w:rsidRDefault="00C32362">
      <w:pPr>
        <w:rPr>
          <w:rFonts w:ascii="Tahoma" w:hAnsi="Tahoma" w:cs="Tahoma"/>
          <w:b/>
          <w:sz w:val="20"/>
          <w:szCs w:val="20"/>
        </w:rPr>
      </w:pPr>
    </w:p>
    <w:sectPr w:rsidR="00C32362" w:rsidSect="00C32362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21C" w:rsidRDefault="00A8121C" w:rsidP="00C32362">
      <w:r>
        <w:separator/>
      </w:r>
    </w:p>
  </w:endnote>
  <w:endnote w:type="continuationSeparator" w:id="0">
    <w:p w:rsidR="00A8121C" w:rsidRDefault="00A8121C" w:rsidP="00C32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849718"/>
      <w:docPartObj>
        <w:docPartGallery w:val="Page Numbers (Bottom of Page)"/>
        <w:docPartUnique/>
      </w:docPartObj>
    </w:sdtPr>
    <w:sdtContent>
      <w:p w:rsidR="00C32362" w:rsidRDefault="00E660C8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C12DEC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50562C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2362" w:rsidRDefault="00C32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21C" w:rsidRDefault="00A8121C" w:rsidP="00C32362">
      <w:r>
        <w:separator/>
      </w:r>
    </w:p>
  </w:footnote>
  <w:footnote w:type="continuationSeparator" w:id="0">
    <w:p w:rsidR="00A8121C" w:rsidRDefault="00A8121C" w:rsidP="00C32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7443"/>
    <w:multiLevelType w:val="multilevel"/>
    <w:tmpl w:val="F818762A"/>
    <w:lvl w:ilvl="0">
      <w:start w:val="1"/>
      <w:numFmt w:val="decimal"/>
      <w:lvlText w:val="6.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02BE"/>
    <w:multiLevelType w:val="multilevel"/>
    <w:tmpl w:val="C4E07D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36638E7"/>
    <w:multiLevelType w:val="multilevel"/>
    <w:tmpl w:val="85C2CD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6C42B80"/>
    <w:multiLevelType w:val="multilevel"/>
    <w:tmpl w:val="D4CACE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362"/>
    <w:rsid w:val="00034DA1"/>
    <w:rsid w:val="00055300"/>
    <w:rsid w:val="00114704"/>
    <w:rsid w:val="00115B11"/>
    <w:rsid w:val="0012345B"/>
    <w:rsid w:val="00182CA1"/>
    <w:rsid w:val="001B531D"/>
    <w:rsid w:val="001C75BC"/>
    <w:rsid w:val="00311240"/>
    <w:rsid w:val="00383D80"/>
    <w:rsid w:val="003A2F22"/>
    <w:rsid w:val="00430126"/>
    <w:rsid w:val="00430E3C"/>
    <w:rsid w:val="00466553"/>
    <w:rsid w:val="00482E9F"/>
    <w:rsid w:val="004901E3"/>
    <w:rsid w:val="004C460E"/>
    <w:rsid w:val="0050562C"/>
    <w:rsid w:val="006C2119"/>
    <w:rsid w:val="0071557C"/>
    <w:rsid w:val="00750E32"/>
    <w:rsid w:val="00801408"/>
    <w:rsid w:val="00811370"/>
    <w:rsid w:val="0086067F"/>
    <w:rsid w:val="00864382"/>
    <w:rsid w:val="0090423D"/>
    <w:rsid w:val="00942928"/>
    <w:rsid w:val="00987184"/>
    <w:rsid w:val="009C4F25"/>
    <w:rsid w:val="00A035C4"/>
    <w:rsid w:val="00A274B8"/>
    <w:rsid w:val="00A8121C"/>
    <w:rsid w:val="00AC4488"/>
    <w:rsid w:val="00B11E53"/>
    <w:rsid w:val="00B94FD7"/>
    <w:rsid w:val="00BC0583"/>
    <w:rsid w:val="00C12DEC"/>
    <w:rsid w:val="00C32362"/>
    <w:rsid w:val="00C63FA1"/>
    <w:rsid w:val="00C67A2E"/>
    <w:rsid w:val="00CA6B26"/>
    <w:rsid w:val="00D34F03"/>
    <w:rsid w:val="00D43D91"/>
    <w:rsid w:val="00D73FD9"/>
    <w:rsid w:val="00D803BD"/>
    <w:rsid w:val="00E10545"/>
    <w:rsid w:val="00E42357"/>
    <w:rsid w:val="00E660C8"/>
    <w:rsid w:val="00EA06D6"/>
    <w:rsid w:val="00F22373"/>
    <w:rsid w:val="00F91F88"/>
    <w:rsid w:val="00FA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C0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C926C0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C926C0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paragraph" w:customStyle="1" w:styleId="Heading5">
    <w:name w:val="Heading 5"/>
    <w:basedOn w:val="Normalny"/>
    <w:next w:val="Normalny"/>
    <w:link w:val="Nagwek5Znak"/>
    <w:qFormat/>
    <w:rsid w:val="00C926C0"/>
    <w:pPr>
      <w:keepNext/>
      <w:keepLines/>
      <w:spacing w:after="120"/>
      <w:jc w:val="both"/>
      <w:outlineLvl w:val="4"/>
    </w:pPr>
    <w:rPr>
      <w:rFonts w:ascii="Book Antiqua" w:hAnsi="Book Antiqua" w:cs="Arial"/>
      <w:b/>
      <w:bCs/>
      <w:smallCaps/>
      <w:sz w:val="28"/>
      <w:szCs w:val="18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C926C0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26C0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C926C0"/>
    <w:rPr>
      <w:rFonts w:ascii="Book Antiqua" w:eastAsia="Times New Roman" w:hAnsi="Book Antiqua" w:cs="Arial"/>
      <w:b/>
      <w:bCs/>
      <w:smallCaps/>
      <w:sz w:val="28"/>
      <w:szCs w:val="18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2Znak0">
    <w:name w:val="!Nagłówek 2 Znak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C3236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C32362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C32362"/>
    <w:rPr>
      <w:rFonts w:ascii="Times New Roman" w:eastAsia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C323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32362"/>
    <w:pPr>
      <w:spacing w:after="140" w:line="276" w:lineRule="auto"/>
    </w:pPr>
  </w:style>
  <w:style w:type="paragraph" w:styleId="Lista">
    <w:name w:val="List"/>
    <w:basedOn w:val="Tekstpodstawowy"/>
    <w:rsid w:val="00C32362"/>
    <w:rPr>
      <w:rFonts w:cs="Arial"/>
    </w:rPr>
  </w:style>
  <w:style w:type="paragraph" w:customStyle="1" w:styleId="Caption">
    <w:name w:val="Caption"/>
    <w:basedOn w:val="Normalny"/>
    <w:qFormat/>
    <w:rsid w:val="00C3236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32362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C926C0"/>
    <w:rPr>
      <w:rFonts w:ascii="Book Antiqua" w:hAnsi="Book Antiqua"/>
      <w:b/>
      <w:szCs w:val="20"/>
    </w:rPr>
  </w:style>
  <w:style w:type="paragraph" w:customStyle="1" w:styleId="Nagwek2">
    <w:name w:val="!Nagłówek 2"/>
    <w:basedOn w:val="Normalny"/>
    <w:next w:val="Normalny"/>
    <w:qFormat/>
    <w:rsid w:val="00C926C0"/>
    <w:rPr>
      <w:rFonts w:ascii="Book Antiqua" w:hAnsi="Book Antiqua"/>
      <w:b/>
      <w:szCs w:val="20"/>
    </w:rPr>
  </w:style>
  <w:style w:type="paragraph" w:customStyle="1" w:styleId="tekstost">
    <w:name w:val="tekst ost"/>
    <w:basedOn w:val="Normalny"/>
    <w:qFormat/>
    <w:rsid w:val="00C926C0"/>
    <w:pPr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32362"/>
  </w:style>
  <w:style w:type="paragraph" w:customStyle="1" w:styleId="Header">
    <w:name w:val="Header"/>
    <w:basedOn w:val="Normalny"/>
    <w:link w:val="Nagwek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C32362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C32362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C32362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C32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1659</Words>
  <Characters>9954</Characters>
  <Application>Microsoft Office Word</Application>
  <DocSecurity>0</DocSecurity>
  <Lines>82</Lines>
  <Paragraphs>23</Paragraphs>
  <ScaleCrop>false</ScaleCrop>
  <Company>HP</Company>
  <LinksUpToDate>false</LinksUpToDate>
  <CharactersWithSpaces>11590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2022-03-15T20:32:00Z</dcterms:created>
  <dcterms:modified xsi:type="dcterms:W3CDTF">2022-03-15T20:32:00Z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