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202" w:rsidRPr="00196075" w:rsidRDefault="000556AE" w:rsidP="00296202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D-</w:t>
      </w:r>
      <w:r w:rsidR="00296202" w:rsidRPr="00196075">
        <w:rPr>
          <w:rFonts w:ascii="Tahoma" w:hAnsi="Tahoma" w:cs="Tahoma"/>
          <w:b/>
        </w:rPr>
        <w:t>08.01.01. KRAWĘŻNIKI BETONOWE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1. WSTĘP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 xml:space="preserve">1.1. Przedmiot </w:t>
      </w:r>
      <w:proofErr w:type="spellStart"/>
      <w:r w:rsidRPr="00196075">
        <w:rPr>
          <w:rFonts w:ascii="Tahoma" w:hAnsi="Tahoma" w:cs="Tahoma"/>
          <w:b/>
        </w:rPr>
        <w:t>STWiORB</w:t>
      </w:r>
      <w:proofErr w:type="spellEnd"/>
    </w:p>
    <w:p w:rsidR="00296202" w:rsidRPr="00196075" w:rsidRDefault="00296202" w:rsidP="00296202">
      <w:pPr>
        <w:widowControl/>
        <w:jc w:val="both"/>
        <w:rPr>
          <w:rFonts w:ascii="Tahoma" w:hAnsi="Tahoma" w:cs="Tahoma"/>
          <w:snapToGrid/>
        </w:rPr>
      </w:pPr>
      <w:r w:rsidRPr="00196075">
        <w:rPr>
          <w:rFonts w:ascii="Tahoma" w:hAnsi="Tahoma" w:cs="Tahoma"/>
          <w:snapToGrid/>
        </w:rPr>
        <w:t>Przedmiotem niniejszej specyfikacji technicznej wykonania i odbioru robót budowlanych (</w:t>
      </w:r>
      <w:proofErr w:type="spellStart"/>
      <w:r w:rsidRPr="00196075">
        <w:rPr>
          <w:rFonts w:ascii="Tahoma" w:hAnsi="Tahoma" w:cs="Tahoma"/>
          <w:snapToGrid/>
        </w:rPr>
        <w:t>STWiORB</w:t>
      </w:r>
      <w:proofErr w:type="spellEnd"/>
      <w:r w:rsidRPr="00196075">
        <w:rPr>
          <w:rFonts w:ascii="Tahoma" w:hAnsi="Tahoma" w:cs="Tahoma"/>
          <w:snapToGrid/>
        </w:rPr>
        <w:t xml:space="preserve">) są wymagania dotyczące wykonania i odbioru robót związanych z wykonaniem ustawienia krawężników betonowych w związku z zamierzeniem budowlanym </w:t>
      </w:r>
      <w:r w:rsidRPr="00196075">
        <w:rPr>
          <w:rFonts w:ascii="Tahoma" w:hAnsi="Tahoma" w:cs="Tahoma"/>
        </w:rPr>
        <w:t xml:space="preserve">pn.: </w:t>
      </w:r>
      <w:r w:rsidR="00FF5731" w:rsidRPr="00196075">
        <w:rPr>
          <w:rFonts w:ascii="Tahoma" w:hAnsi="Tahoma" w:cs="Tahoma"/>
        </w:rPr>
        <w:t>„</w:t>
      </w:r>
      <w:r w:rsidR="00EC37C7" w:rsidRPr="00EC37C7">
        <w:rPr>
          <w:rFonts w:ascii="Tahoma" w:hAnsi="Tahoma" w:cs="Tahoma"/>
        </w:rPr>
        <w:t xml:space="preserve">Modernizacja infrastruktury drogowej na terenie gminy Wodzierady - remont drogi gminnej wewnętrznej w m. Dobruchów - dz. nr </w:t>
      </w:r>
      <w:proofErr w:type="spellStart"/>
      <w:r w:rsidR="00EC37C7" w:rsidRPr="00EC37C7">
        <w:rPr>
          <w:rFonts w:ascii="Tahoma" w:hAnsi="Tahoma" w:cs="Tahoma"/>
        </w:rPr>
        <w:t>ewid</w:t>
      </w:r>
      <w:proofErr w:type="spellEnd"/>
      <w:r w:rsidR="00EC37C7" w:rsidRPr="00EC37C7">
        <w:rPr>
          <w:rFonts w:ascii="Tahoma" w:hAnsi="Tahoma" w:cs="Tahoma"/>
        </w:rPr>
        <w:t>. 330, obręb Dobruchów</w:t>
      </w:r>
      <w:r w:rsidR="00FF5731" w:rsidRPr="00196075">
        <w:rPr>
          <w:rFonts w:ascii="Tahoma" w:hAnsi="Tahoma" w:cs="Tahoma"/>
        </w:rPr>
        <w:t>”</w:t>
      </w:r>
      <w:r w:rsidRPr="00196075">
        <w:rPr>
          <w:rFonts w:ascii="Tahoma" w:hAnsi="Tahoma" w:cs="Tahoma"/>
        </w:rPr>
        <w:t>.</w:t>
      </w:r>
    </w:p>
    <w:p w:rsidR="00296202" w:rsidRPr="00196075" w:rsidRDefault="00296202" w:rsidP="00296202">
      <w:pPr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 xml:space="preserve">1.2. Zakres stosowania </w:t>
      </w:r>
      <w:proofErr w:type="spellStart"/>
      <w:r w:rsidRPr="00196075">
        <w:rPr>
          <w:rFonts w:ascii="Tahoma" w:hAnsi="Tahoma" w:cs="Tahoma"/>
          <w:b/>
        </w:rPr>
        <w:t>STWiORB</w:t>
      </w:r>
      <w:proofErr w:type="spellEnd"/>
    </w:p>
    <w:p w:rsidR="00296202" w:rsidRPr="00196075" w:rsidRDefault="00296202" w:rsidP="00296202">
      <w:pPr>
        <w:widowControl/>
        <w:overflowPunct w:val="0"/>
        <w:autoSpaceDE w:val="0"/>
        <w:autoSpaceDN w:val="0"/>
        <w:adjustRightInd w:val="0"/>
        <w:jc w:val="both"/>
        <w:rPr>
          <w:rFonts w:ascii="Tahoma" w:hAnsi="Tahoma" w:cs="Tahoma"/>
          <w:snapToGrid/>
        </w:rPr>
      </w:pPr>
      <w:r w:rsidRPr="00196075">
        <w:rPr>
          <w:rFonts w:ascii="Tahoma" w:hAnsi="Tahoma" w:cs="Tahoma"/>
          <w:snapToGrid/>
        </w:rPr>
        <w:t>Szczegółowa specyfikacja techniczna powinna być stosowana jako dokument przetargowy i kontraktowy przy zlecaniu i realizacji robót wymienionych w p. 1.1.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 xml:space="preserve">1.3. Zakres Robót objętych </w:t>
      </w:r>
      <w:proofErr w:type="spellStart"/>
      <w:r w:rsidRPr="00196075">
        <w:rPr>
          <w:rFonts w:ascii="Tahoma" w:hAnsi="Tahoma" w:cs="Tahoma"/>
          <w:b/>
        </w:rPr>
        <w:t>STWiORB</w:t>
      </w:r>
      <w:proofErr w:type="spellEnd"/>
    </w:p>
    <w:p w:rsidR="00296202" w:rsidRPr="00196075" w:rsidRDefault="00035801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Ustalenia zawarte w niniejszej specyfikacji dotyczą zasad prowadzenia robót związanych z wykonaniem i odbiorem ustawienia krawężników betonowych typu ulicznego zgodnie z dokumentacja projektową.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Zakres rzeczowy obejmuje:</w:t>
      </w:r>
    </w:p>
    <w:p w:rsidR="00296202" w:rsidRDefault="00035801" w:rsidP="0003580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ustawienie krawężników betonowych </w:t>
      </w:r>
      <w:r w:rsidR="003D05EA" w:rsidRPr="003D05EA">
        <w:rPr>
          <w:rFonts w:ascii="Tahoma" w:hAnsi="Tahoma" w:cs="Tahoma"/>
        </w:rPr>
        <w:t>o wymiarach 15x30 cm z wykonaniem ław betonowych z oporem z betonu C12/15 (objętość ławy 0,066 m3/m) na podsypce cementowo-piaskowej 1:4 gr. 5 cm</w:t>
      </w:r>
      <w:r w:rsidR="00D07C94">
        <w:rPr>
          <w:rFonts w:ascii="Tahoma" w:hAnsi="Tahoma" w:cs="Tahoma"/>
        </w:rPr>
        <w:t>,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1.4. Określenia podstawowe</w:t>
      </w:r>
    </w:p>
    <w:p w:rsidR="00296202" w:rsidRPr="00196075" w:rsidRDefault="00035801" w:rsidP="00196075">
      <w:pPr>
        <w:tabs>
          <w:tab w:val="left" w:pos="851"/>
        </w:tabs>
        <w:ind w:left="851" w:hanging="851"/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 xml:space="preserve">1.4.1. </w:t>
      </w:r>
      <w:r w:rsidR="00196075">
        <w:rPr>
          <w:rFonts w:ascii="Tahoma" w:hAnsi="Tahoma" w:cs="Tahoma"/>
          <w:b/>
        </w:rPr>
        <w:tab/>
      </w:r>
      <w:r w:rsidR="00296202" w:rsidRPr="00196075">
        <w:rPr>
          <w:rFonts w:ascii="Tahoma" w:hAnsi="Tahoma" w:cs="Tahoma"/>
          <w:b/>
        </w:rPr>
        <w:t>Krawężniki betonowe</w:t>
      </w:r>
      <w:r w:rsidR="00296202" w:rsidRPr="00196075">
        <w:rPr>
          <w:rFonts w:ascii="Tahoma" w:hAnsi="Tahoma" w:cs="Tahoma"/>
        </w:rPr>
        <w:t xml:space="preserve"> – prefabrykat betonowy przeznaczony do oddzielenia powierzchni znajdujących się na tym samym poziomie lub na różnych poziomach, stosowany:</w:t>
      </w:r>
    </w:p>
    <w:p w:rsidR="00296202" w:rsidRPr="00196075" w:rsidRDefault="00296202" w:rsidP="00196075">
      <w:pPr>
        <w:pStyle w:val="Akapitzlist"/>
        <w:numPr>
          <w:ilvl w:val="0"/>
          <w:numId w:val="11"/>
        </w:numPr>
        <w:ind w:left="1276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w celu ograniczenia albo wyznaczenia granicy rzeczywistej lub wizualnej,</w:t>
      </w:r>
    </w:p>
    <w:p w:rsidR="00296202" w:rsidRPr="00196075" w:rsidRDefault="00296202" w:rsidP="00196075">
      <w:pPr>
        <w:pStyle w:val="Akapitzlist"/>
        <w:numPr>
          <w:ilvl w:val="0"/>
          <w:numId w:val="11"/>
        </w:numPr>
        <w:ind w:left="1276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jako kanały odpływowe, oddzielnie lub w połączeniu z innymi krawężnikami,</w:t>
      </w:r>
    </w:p>
    <w:p w:rsidR="00196075" w:rsidRPr="00196075" w:rsidRDefault="00296202" w:rsidP="00196075">
      <w:pPr>
        <w:pStyle w:val="Akapitzlist"/>
        <w:numPr>
          <w:ilvl w:val="0"/>
          <w:numId w:val="11"/>
        </w:numPr>
        <w:ind w:left="1276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jako oddzielenie pomiędzy powierzchniami poddanymi różnym rodzajom ruchu drogowego.</w:t>
      </w:r>
    </w:p>
    <w:p w:rsidR="00196075" w:rsidRPr="00196075" w:rsidRDefault="00196075" w:rsidP="00196075">
      <w:pPr>
        <w:pStyle w:val="Default"/>
        <w:rPr>
          <w:rFonts w:ascii="Tahoma" w:hAnsi="Tahoma" w:cs="Tahoma"/>
          <w:sz w:val="20"/>
          <w:szCs w:val="20"/>
        </w:rPr>
      </w:pPr>
    </w:p>
    <w:p w:rsidR="00196075" w:rsidRDefault="00196075" w:rsidP="00196075">
      <w:pPr>
        <w:tabs>
          <w:tab w:val="left" w:pos="851"/>
        </w:tabs>
        <w:ind w:left="851" w:hanging="851"/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  <w:bCs/>
        </w:rPr>
        <w:t xml:space="preserve">1.4.2. </w:t>
      </w:r>
      <w:r>
        <w:rPr>
          <w:rFonts w:ascii="Tahoma" w:hAnsi="Tahoma" w:cs="Tahoma"/>
          <w:b/>
          <w:bCs/>
        </w:rPr>
        <w:tab/>
      </w:r>
      <w:r w:rsidRPr="00196075">
        <w:rPr>
          <w:rFonts w:ascii="Tahoma" w:hAnsi="Tahoma" w:cs="Tahoma"/>
          <w:b/>
          <w:bCs/>
        </w:rPr>
        <w:t xml:space="preserve">Wymiar nominalny </w:t>
      </w:r>
      <w:r w:rsidRPr="00196075">
        <w:rPr>
          <w:rFonts w:ascii="Tahoma" w:hAnsi="Tahoma" w:cs="Tahoma"/>
        </w:rPr>
        <w:t>– wymiar krawężnika określony w celu jego wykonania, któremu powinien odpowiadać wymiar rzeczywisty w określonych granicach dopuszczalnych odchyłek</w:t>
      </w:r>
      <w:r>
        <w:rPr>
          <w:rFonts w:ascii="Tahoma" w:hAnsi="Tahoma" w:cs="Tahoma"/>
        </w:rPr>
        <w:t>.</w:t>
      </w:r>
    </w:p>
    <w:p w:rsidR="00196075" w:rsidRPr="00196075" w:rsidRDefault="00196075" w:rsidP="00196075">
      <w:pPr>
        <w:tabs>
          <w:tab w:val="left" w:pos="851"/>
        </w:tabs>
        <w:ind w:left="851" w:hanging="851"/>
        <w:jc w:val="both"/>
        <w:rPr>
          <w:rFonts w:ascii="Tahoma" w:hAnsi="Tahoma" w:cs="Tahoma"/>
        </w:rPr>
      </w:pPr>
    </w:p>
    <w:p w:rsidR="00296202" w:rsidRPr="00196075" w:rsidRDefault="00196075" w:rsidP="00196075">
      <w:pPr>
        <w:tabs>
          <w:tab w:val="left" w:pos="851"/>
        </w:tabs>
        <w:ind w:left="851" w:hanging="851"/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1.4.3.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</w:r>
      <w:r w:rsidR="00296202" w:rsidRPr="00196075">
        <w:rPr>
          <w:rFonts w:ascii="Tahoma" w:hAnsi="Tahoma" w:cs="Tahoma"/>
        </w:rPr>
        <w:t xml:space="preserve">Pozostałe określenia podane w niniejszej </w:t>
      </w:r>
      <w:proofErr w:type="spellStart"/>
      <w:r w:rsidR="00296202" w:rsidRPr="00196075">
        <w:rPr>
          <w:rFonts w:ascii="Tahoma" w:hAnsi="Tahoma" w:cs="Tahoma"/>
        </w:rPr>
        <w:t>STWiORB</w:t>
      </w:r>
      <w:proofErr w:type="spellEnd"/>
      <w:r w:rsidR="00296202" w:rsidRPr="00196075">
        <w:rPr>
          <w:rFonts w:ascii="Tahoma" w:hAnsi="Tahoma" w:cs="Tahoma"/>
        </w:rPr>
        <w:t xml:space="preserve"> są zgodne z obowiązującymi odpowiednimi normami i definicjami podanymi w </w:t>
      </w:r>
      <w:proofErr w:type="spellStart"/>
      <w:r w:rsidR="00296202" w:rsidRPr="00196075">
        <w:rPr>
          <w:rFonts w:ascii="Tahoma" w:hAnsi="Tahoma" w:cs="Tahoma"/>
        </w:rPr>
        <w:t>STWiORB</w:t>
      </w:r>
      <w:proofErr w:type="spellEnd"/>
      <w:r w:rsidR="00296202" w:rsidRPr="00196075">
        <w:rPr>
          <w:rFonts w:ascii="Tahoma" w:hAnsi="Tahoma" w:cs="Tahoma"/>
        </w:rPr>
        <w:t xml:space="preserve"> DM 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pStyle w:val="Nagwek2"/>
        <w:keepNext w:val="0"/>
        <w:rPr>
          <w:rFonts w:ascii="Tahoma" w:hAnsi="Tahoma" w:cs="Tahoma"/>
          <w:sz w:val="20"/>
        </w:rPr>
      </w:pPr>
      <w:r w:rsidRPr="00196075">
        <w:rPr>
          <w:rFonts w:ascii="Tahoma" w:hAnsi="Tahoma" w:cs="Tahoma"/>
          <w:sz w:val="20"/>
        </w:rPr>
        <w:t>1.5. Ogólne wymagania dotyczące robót</w:t>
      </w:r>
    </w:p>
    <w:p w:rsidR="00296202" w:rsidRPr="00196075" w:rsidRDefault="00296202" w:rsidP="00296202">
      <w:pPr>
        <w:jc w:val="both"/>
        <w:outlineLvl w:val="0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Ogólne wymagania dotyczące robót podano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 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 Materiały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2.1. Ogólne wymagania dotyczące materiałów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 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2.2. Materiały do wykonania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2.2.1. Zgodność materiałów z dokumentacją projektową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Materiały do wykonania robót powinny być zgodne z ustaleniami Dokumentacji Projektowej i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2.2.2. Stosowane materiały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Przy ustawianiu krawężników na ławach należy stosować następujące materiały:</w:t>
      </w:r>
    </w:p>
    <w:p w:rsidR="00296202" w:rsidRPr="00196075" w:rsidRDefault="00296202" w:rsidP="00296202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betonowe</w:t>
      </w:r>
      <w:r w:rsidR="00D07C94">
        <w:rPr>
          <w:rFonts w:ascii="Tahoma" w:hAnsi="Tahoma" w:cs="Tahoma"/>
        </w:rPr>
        <w:t xml:space="preserve"> o wymiarach</w:t>
      </w:r>
      <w:r w:rsidR="00EE5138">
        <w:rPr>
          <w:rFonts w:ascii="Tahoma" w:hAnsi="Tahoma" w:cs="Tahoma"/>
        </w:rPr>
        <w:t xml:space="preserve"> </w:t>
      </w:r>
      <w:r w:rsidR="00AA4D2C">
        <w:rPr>
          <w:rFonts w:ascii="Tahoma" w:hAnsi="Tahoma" w:cs="Tahoma"/>
        </w:rPr>
        <w:t>określonych w dokumentacji projektowej</w:t>
      </w:r>
      <w:r w:rsidRPr="00196075">
        <w:rPr>
          <w:rFonts w:ascii="Tahoma" w:hAnsi="Tahoma" w:cs="Tahoma"/>
        </w:rPr>
        <w:t>,</w:t>
      </w:r>
    </w:p>
    <w:p w:rsidR="00296202" w:rsidRPr="00196075" w:rsidRDefault="00296202" w:rsidP="00296202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beton na ławę,</w:t>
      </w:r>
    </w:p>
    <w:p w:rsidR="00296202" w:rsidRPr="00196075" w:rsidRDefault="00296202" w:rsidP="00296202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piasek na podsypkę i do zapraw,</w:t>
      </w:r>
    </w:p>
    <w:p w:rsidR="00296202" w:rsidRPr="00196075" w:rsidRDefault="00296202" w:rsidP="00296202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cement do podsypki i do zapraw,</w:t>
      </w:r>
    </w:p>
    <w:p w:rsidR="00C32008" w:rsidRDefault="00EE5138" w:rsidP="00296202">
      <w:pPr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wodę,</w:t>
      </w:r>
    </w:p>
    <w:p w:rsidR="00296202" w:rsidRPr="00196075" w:rsidRDefault="00EE5138" w:rsidP="00296202">
      <w:pPr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bitumiczna masa zalewowa.</w:t>
      </w:r>
    </w:p>
    <w:p w:rsidR="00196075" w:rsidRDefault="00196075" w:rsidP="00296202">
      <w:pPr>
        <w:jc w:val="both"/>
        <w:rPr>
          <w:rFonts w:ascii="Tahoma" w:hAnsi="Tahoma" w:cs="Tahoma"/>
        </w:rPr>
      </w:pPr>
    </w:p>
    <w:p w:rsidR="00EE5138" w:rsidRDefault="00EE5138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lastRenderedPageBreak/>
        <w:t>2.2.3. Krawężniki betonowe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2.2.3.1</w:t>
      </w:r>
      <w:r w:rsidRPr="00196075">
        <w:rPr>
          <w:rFonts w:ascii="Tahoma" w:hAnsi="Tahoma" w:cs="Tahoma"/>
        </w:rPr>
        <w:t>. Wymagania ogólne wobec krawężników</w:t>
      </w:r>
    </w:p>
    <w:p w:rsidR="00196075" w:rsidRDefault="00196075" w:rsidP="00196075">
      <w:pPr>
        <w:jc w:val="both"/>
        <w:rPr>
          <w:rFonts w:ascii="Tahoma" w:hAnsi="Tahoma" w:cs="Tahoma"/>
        </w:rPr>
      </w:pPr>
    </w:p>
    <w:p w:rsidR="00196075" w:rsidRPr="00196075" w:rsidRDefault="00196075" w:rsidP="00196075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betonowe mogą mieć następujące cechy charakterystyczne:</w:t>
      </w:r>
    </w:p>
    <w:p w:rsidR="00196075" w:rsidRPr="00196075" w:rsidRDefault="00196075" w:rsidP="00196075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 może być produkowany:</w:t>
      </w:r>
    </w:p>
    <w:p w:rsidR="00196075" w:rsidRPr="00196075" w:rsidRDefault="00196075" w:rsidP="00196075">
      <w:pPr>
        <w:pStyle w:val="Akapitzlist"/>
        <w:numPr>
          <w:ilvl w:val="0"/>
          <w:numId w:val="12"/>
        </w:numPr>
        <w:ind w:left="426" w:hanging="426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z jednego rodzaju betonu,</w:t>
      </w:r>
    </w:p>
    <w:p w:rsidR="00296202" w:rsidRPr="00196075" w:rsidRDefault="00196075" w:rsidP="00196075">
      <w:pPr>
        <w:pStyle w:val="Akapitzlist"/>
        <w:numPr>
          <w:ilvl w:val="0"/>
          <w:numId w:val="12"/>
        </w:numPr>
        <w:ind w:left="426" w:hanging="426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z różnych betonów zastosowanych w warstwie konstrukcyjnej oraz w warstwie ścieralnej (która na całej powierzchni deklarowanej przez producenta jako powierzchnia widoczna powinna mieć minimalną grubość 4 mm),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Zalecana długość prostego odcinka krawężnika wraz ze złączem wynosi </w:t>
      </w:r>
      <w:smartTag w:uri="urn:schemas-microsoft-com:office:smarttags" w:element="metricconverter">
        <w:smartTagPr>
          <w:attr w:name="ProductID" w:val="1000 mm"/>
        </w:smartTagPr>
        <w:r w:rsidRPr="00196075">
          <w:rPr>
            <w:rFonts w:ascii="Tahoma" w:hAnsi="Tahoma" w:cs="Tahoma"/>
          </w:rPr>
          <w:t>1000 mm</w:t>
        </w:r>
      </w:smartTag>
      <w:r w:rsidRPr="00196075">
        <w:rPr>
          <w:rFonts w:ascii="Tahoma" w:hAnsi="Tahoma" w:cs="Tahoma"/>
        </w:rPr>
        <w:t>, płaszczyzny czołowe krawężników mogą być proste lub ukształtowane w sposób ułatwiający układanie lub ryglowanie.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2.2.3.</w:t>
      </w:r>
      <w:r w:rsidR="003672D1">
        <w:rPr>
          <w:rFonts w:ascii="Tahoma" w:hAnsi="Tahoma" w:cs="Tahoma"/>
          <w:b/>
        </w:rPr>
        <w:t>2</w:t>
      </w:r>
      <w:r w:rsidRPr="00196075">
        <w:rPr>
          <w:rFonts w:ascii="Tahoma" w:hAnsi="Tahoma" w:cs="Tahoma"/>
        </w:rPr>
        <w:t xml:space="preserve">. </w:t>
      </w:r>
      <w:r w:rsidRPr="00196075">
        <w:rPr>
          <w:rFonts w:ascii="Tahoma" w:hAnsi="Tahoma" w:cs="Tahoma"/>
          <w:b/>
        </w:rPr>
        <w:t>Wymagania wobec wymiarów krawężników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Wymiary nominalne powinny być zadeklarowane przez Producenta zgodnie z wymaganiami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tbl>
      <w:tblPr>
        <w:tblW w:w="0" w:type="auto"/>
        <w:jc w:val="center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4"/>
        <w:gridCol w:w="3166"/>
        <w:gridCol w:w="2880"/>
        <w:gridCol w:w="3012"/>
      </w:tblGrid>
      <w:tr w:rsidR="00296202" w:rsidRPr="00196075" w:rsidTr="003672D1">
        <w:trPr>
          <w:jc w:val="center"/>
        </w:trPr>
        <w:tc>
          <w:tcPr>
            <w:tcW w:w="554" w:type="dxa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L.P.</w:t>
            </w:r>
          </w:p>
        </w:tc>
        <w:tc>
          <w:tcPr>
            <w:tcW w:w="3166" w:type="dxa"/>
            <w:vAlign w:val="center"/>
          </w:tcPr>
          <w:p w:rsidR="00296202" w:rsidRPr="00196075" w:rsidRDefault="00296202" w:rsidP="003672D1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Badana cecha</w:t>
            </w:r>
          </w:p>
        </w:tc>
        <w:tc>
          <w:tcPr>
            <w:tcW w:w="5892" w:type="dxa"/>
            <w:gridSpan w:val="2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Wymagania wg PN-EN 1340</w:t>
            </w:r>
          </w:p>
        </w:tc>
      </w:tr>
      <w:tr w:rsidR="00296202" w:rsidRPr="00196075" w:rsidTr="003672D1">
        <w:trPr>
          <w:jc w:val="center"/>
        </w:trPr>
        <w:tc>
          <w:tcPr>
            <w:tcW w:w="554" w:type="dxa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1.</w:t>
            </w:r>
          </w:p>
        </w:tc>
        <w:tc>
          <w:tcPr>
            <w:tcW w:w="3166" w:type="dxa"/>
            <w:vAlign w:val="center"/>
          </w:tcPr>
          <w:p w:rsidR="00296202" w:rsidRPr="00196075" w:rsidRDefault="00296202" w:rsidP="003672D1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Długość</w:t>
            </w:r>
          </w:p>
        </w:tc>
        <w:tc>
          <w:tcPr>
            <w:tcW w:w="5892" w:type="dxa"/>
            <w:gridSpan w:val="2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±1% nie mniej niż (-4mm) i nie więcej niż (+10mm)</w:t>
            </w:r>
          </w:p>
        </w:tc>
      </w:tr>
      <w:tr w:rsidR="00296202" w:rsidRPr="00196075" w:rsidTr="003672D1">
        <w:trPr>
          <w:jc w:val="center"/>
        </w:trPr>
        <w:tc>
          <w:tcPr>
            <w:tcW w:w="554" w:type="dxa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2.</w:t>
            </w:r>
          </w:p>
        </w:tc>
        <w:tc>
          <w:tcPr>
            <w:tcW w:w="3166" w:type="dxa"/>
            <w:vAlign w:val="center"/>
          </w:tcPr>
          <w:p w:rsidR="00296202" w:rsidRPr="00196075" w:rsidRDefault="00296202" w:rsidP="003672D1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Wymiary powierzchni za wyjątkiem promienia</w:t>
            </w:r>
          </w:p>
        </w:tc>
        <w:tc>
          <w:tcPr>
            <w:tcW w:w="5892" w:type="dxa"/>
            <w:gridSpan w:val="2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±3% nie mniej niż (-3mm) i nie więcej niż (+5)mm</w:t>
            </w:r>
          </w:p>
        </w:tc>
      </w:tr>
      <w:tr w:rsidR="00296202" w:rsidRPr="00196075" w:rsidTr="003672D1">
        <w:trPr>
          <w:jc w:val="center"/>
        </w:trPr>
        <w:tc>
          <w:tcPr>
            <w:tcW w:w="554" w:type="dxa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3.</w:t>
            </w:r>
          </w:p>
        </w:tc>
        <w:tc>
          <w:tcPr>
            <w:tcW w:w="3166" w:type="dxa"/>
            <w:vAlign w:val="center"/>
          </w:tcPr>
          <w:p w:rsidR="00296202" w:rsidRPr="00196075" w:rsidRDefault="00296202" w:rsidP="003672D1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Pozostałe wymiary</w:t>
            </w:r>
          </w:p>
        </w:tc>
        <w:tc>
          <w:tcPr>
            <w:tcW w:w="5892" w:type="dxa"/>
            <w:gridSpan w:val="2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±5% nie mniej niż (-3mm) i nie więcej niż (+10)mm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554" w:type="dxa"/>
            <w:vMerge w:val="restart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4.</w:t>
            </w:r>
          </w:p>
        </w:tc>
        <w:tc>
          <w:tcPr>
            <w:tcW w:w="3166" w:type="dxa"/>
            <w:vMerge w:val="restart"/>
            <w:vAlign w:val="center"/>
          </w:tcPr>
          <w:p w:rsidR="00296202" w:rsidRPr="00196075" w:rsidRDefault="00296202" w:rsidP="003672D1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Płaskość i prostoliniowość</w:t>
            </w:r>
          </w:p>
        </w:tc>
        <w:tc>
          <w:tcPr>
            <w:tcW w:w="2880" w:type="dxa"/>
            <w:vAlign w:val="center"/>
          </w:tcPr>
          <w:p w:rsidR="00296202" w:rsidRPr="00196075" w:rsidRDefault="00296202" w:rsidP="003672D1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Długość pomiarowa w mm</w:t>
            </w:r>
          </w:p>
        </w:tc>
        <w:tc>
          <w:tcPr>
            <w:tcW w:w="3012" w:type="dxa"/>
            <w:vAlign w:val="center"/>
          </w:tcPr>
          <w:p w:rsidR="00296202" w:rsidRPr="00196075" w:rsidRDefault="00296202" w:rsidP="003672D1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Dopuszczalna odchyłka płaskości i prostoliniowości w mm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554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66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300</w:t>
            </w:r>
          </w:p>
        </w:tc>
        <w:tc>
          <w:tcPr>
            <w:tcW w:w="3012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±1,5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554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66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400</w:t>
            </w:r>
          </w:p>
        </w:tc>
        <w:tc>
          <w:tcPr>
            <w:tcW w:w="3012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±2,0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554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66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500</w:t>
            </w:r>
          </w:p>
        </w:tc>
        <w:tc>
          <w:tcPr>
            <w:tcW w:w="3012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±2,5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554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66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800</w:t>
            </w:r>
          </w:p>
        </w:tc>
        <w:tc>
          <w:tcPr>
            <w:tcW w:w="3012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±4,0</w:t>
            </w:r>
          </w:p>
        </w:tc>
      </w:tr>
    </w:tbl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2.2.3.</w:t>
      </w:r>
      <w:r w:rsidR="003672D1">
        <w:rPr>
          <w:rFonts w:ascii="Tahoma" w:hAnsi="Tahoma" w:cs="Tahoma"/>
          <w:b/>
        </w:rPr>
        <w:t>3</w:t>
      </w:r>
      <w:r w:rsidRPr="00196075">
        <w:rPr>
          <w:rFonts w:ascii="Tahoma" w:hAnsi="Tahoma" w:cs="Tahoma"/>
        </w:rPr>
        <w:t xml:space="preserve">. </w:t>
      </w:r>
      <w:r w:rsidRPr="00196075">
        <w:rPr>
          <w:rFonts w:ascii="Tahoma" w:hAnsi="Tahoma" w:cs="Tahoma"/>
          <w:b/>
        </w:rPr>
        <w:t>Wymagania techniczne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Wymagania wobec krawężnika betonowego, ustalone w PN-EN 1340 do stosowania w warunkach kontaktu z solą odladzającą w warunkach mrozu przedstawia tablica 1.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Tablica 1.</w:t>
      </w:r>
    </w:p>
    <w:tbl>
      <w:tblPr>
        <w:tblW w:w="9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7"/>
        <w:gridCol w:w="2422"/>
        <w:gridCol w:w="772"/>
        <w:gridCol w:w="1260"/>
        <w:gridCol w:w="2279"/>
        <w:gridCol w:w="597"/>
        <w:gridCol w:w="1742"/>
      </w:tblGrid>
      <w:tr w:rsidR="00296202" w:rsidRPr="00196075" w:rsidTr="003672D1">
        <w:trPr>
          <w:cantSplit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Lp.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Cecha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Klasa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Oznaczenie</w:t>
            </w:r>
          </w:p>
        </w:tc>
        <w:tc>
          <w:tcPr>
            <w:tcW w:w="4618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Wymagania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Właściwości fizyczne i mechaniczne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1.1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Odporność na zamrażanie/</w:t>
            </w:r>
          </w:p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rozmrażanie z udziałem soli odladzających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D</w:t>
            </w:r>
          </w:p>
        </w:tc>
        <w:tc>
          <w:tcPr>
            <w:tcW w:w="4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Ubytek masy po badaniu: wartość średnia ≤ 1,0 kg/m</w:t>
            </w:r>
            <w:r w:rsidRPr="00196075">
              <w:rPr>
                <w:rFonts w:ascii="Tahoma" w:hAnsi="Tahoma" w:cs="Tahoma"/>
                <w:vertAlign w:val="superscript"/>
              </w:rPr>
              <w:t>2</w:t>
            </w:r>
            <w:r w:rsidRPr="00196075">
              <w:rPr>
                <w:rFonts w:ascii="Tahoma" w:hAnsi="Tahoma" w:cs="Tahoma"/>
              </w:rPr>
              <w:t>, przy czym żaden pojedynczy wynik &gt;1,5 kg/m</w:t>
            </w:r>
            <w:r w:rsidRPr="00196075">
              <w:rPr>
                <w:rFonts w:ascii="Tahoma" w:hAnsi="Tahoma" w:cs="Tahoma"/>
                <w:vertAlign w:val="superscript"/>
              </w:rPr>
              <w:t>2</w:t>
            </w:r>
          </w:p>
        </w:tc>
      </w:tr>
      <w:tr w:rsidR="00296202" w:rsidRPr="00196075" w:rsidTr="003672D1">
        <w:trPr>
          <w:cantSplit/>
          <w:trHeight w:val="680"/>
          <w:jc w:val="center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1.2</w:t>
            </w:r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642F57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 xml:space="preserve">Wytrzymałość na zginanie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300A01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2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300A01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T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Charakterystyczna</w:t>
            </w:r>
          </w:p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 xml:space="preserve">wytrzymałość na zginanie, </w:t>
            </w:r>
            <w:proofErr w:type="spellStart"/>
            <w:r w:rsidRPr="00196075">
              <w:rPr>
                <w:rFonts w:ascii="Tahoma" w:hAnsi="Tahoma" w:cs="Tahoma"/>
              </w:rPr>
              <w:t>MPa</w:t>
            </w:r>
            <w:proofErr w:type="spellEnd"/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 xml:space="preserve">Minimalna wytrzymałość na zginanie, </w:t>
            </w:r>
            <w:proofErr w:type="spellStart"/>
            <w:r w:rsidRPr="00196075">
              <w:rPr>
                <w:rFonts w:ascii="Tahoma" w:hAnsi="Tahoma" w:cs="Tahoma"/>
              </w:rPr>
              <w:t>MPa</w:t>
            </w:r>
            <w:proofErr w:type="spellEnd"/>
          </w:p>
        </w:tc>
      </w:tr>
      <w:tr w:rsidR="00296202" w:rsidRPr="00196075" w:rsidTr="003672D1">
        <w:trPr>
          <w:cantSplit/>
          <w:trHeight w:val="240"/>
          <w:jc w:val="center"/>
        </w:trPr>
        <w:tc>
          <w:tcPr>
            <w:tcW w:w="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</w:p>
        </w:tc>
        <w:tc>
          <w:tcPr>
            <w:tcW w:w="2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300A01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5</w:t>
            </w:r>
            <w:r w:rsidR="00296202" w:rsidRPr="00196075">
              <w:rPr>
                <w:rFonts w:ascii="Tahoma" w:hAnsi="Tahoma" w:cs="Tahoma"/>
              </w:rPr>
              <w:t>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4,</w:t>
            </w:r>
            <w:r w:rsidR="00300A01" w:rsidRPr="00196075">
              <w:rPr>
                <w:rFonts w:ascii="Tahoma" w:hAnsi="Tahoma" w:cs="Tahoma"/>
              </w:rPr>
              <w:t>0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1.3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Trwałość ze względu na wytrzymałość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Krawężniki mają zadawalającą trwałość (wytrzymałość) jeśli spełnione są wymagania</w:t>
            </w:r>
          </w:p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punktu 1.2 oraz poddawane są normalnej konserwacji</w:t>
            </w:r>
          </w:p>
        </w:tc>
      </w:tr>
      <w:tr w:rsidR="00296202" w:rsidRPr="00196075" w:rsidTr="003672D1">
        <w:trPr>
          <w:cantSplit/>
          <w:trHeight w:val="344"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1.4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Nasiąkliwość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B</w:t>
            </w:r>
          </w:p>
        </w:tc>
        <w:tc>
          <w:tcPr>
            <w:tcW w:w="46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Wartość średnia ≤ 6,0</w:t>
            </w:r>
          </w:p>
        </w:tc>
      </w:tr>
      <w:tr w:rsidR="00296202" w:rsidRPr="00196075" w:rsidTr="003672D1">
        <w:trPr>
          <w:cantSplit/>
          <w:trHeight w:val="155"/>
          <w:jc w:val="center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1.5</w:t>
            </w:r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642F57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Odporność na ścieranie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4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I</w:t>
            </w:r>
          </w:p>
        </w:tc>
        <w:tc>
          <w:tcPr>
            <w:tcW w:w="46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Pomiar wykonany na tarczy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</w:p>
        </w:tc>
        <w:tc>
          <w:tcPr>
            <w:tcW w:w="2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szerokiej ściernej, wg zał. G normy</w:t>
            </w:r>
          </w:p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≤ 20 mm</w:t>
            </w:r>
          </w:p>
        </w:tc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widowControl/>
              <w:rPr>
                <w:rFonts w:ascii="Tahoma" w:hAnsi="Tahoma" w:cs="Tahoma"/>
              </w:rPr>
            </w:pPr>
            <w:proofErr w:type="spellStart"/>
            <w:r w:rsidRPr="00196075">
              <w:rPr>
                <w:rFonts w:ascii="Tahoma" w:hAnsi="Tahoma" w:cs="Tahoma"/>
              </w:rPr>
              <w:t>Böhmego</w:t>
            </w:r>
            <w:proofErr w:type="spellEnd"/>
            <w:r w:rsidRPr="00196075">
              <w:rPr>
                <w:rFonts w:ascii="Tahoma" w:hAnsi="Tahoma" w:cs="Tahoma"/>
              </w:rPr>
              <w:t>, wg zał. H normy</w:t>
            </w:r>
          </w:p>
          <w:p w:rsidR="00296202" w:rsidRPr="00196075" w:rsidRDefault="00296202" w:rsidP="000726B3">
            <w:pPr>
              <w:widowControl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≤ 18 000 mm3 /5000 mm2</w:t>
            </w:r>
          </w:p>
          <w:p w:rsidR="00296202" w:rsidRPr="00196075" w:rsidRDefault="00296202" w:rsidP="000726B3">
            <w:pPr>
              <w:rPr>
                <w:rFonts w:ascii="Tahoma" w:hAnsi="Tahoma" w:cs="Tahoma"/>
              </w:rPr>
            </w:pPr>
          </w:p>
        </w:tc>
      </w:tr>
      <w:tr w:rsidR="00296202" w:rsidRPr="00196075" w:rsidTr="003672D1">
        <w:trPr>
          <w:cantSplit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2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Aspekty wizualne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lastRenderedPageBreak/>
              <w:t>2.1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Wygląd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J</w:t>
            </w:r>
          </w:p>
        </w:tc>
        <w:tc>
          <w:tcPr>
            <w:tcW w:w="46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powierzchnia krawężnika nie powinna mieć rys i odprysków, nie dopuszcza się rozwarstwień w krawężnikach dwuwarstwowych .</w:t>
            </w:r>
          </w:p>
        </w:tc>
      </w:tr>
    </w:tbl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2.2.3.</w:t>
      </w:r>
      <w:r w:rsidR="003672D1">
        <w:rPr>
          <w:rFonts w:ascii="Tahoma" w:hAnsi="Tahoma" w:cs="Tahoma"/>
          <w:b/>
        </w:rPr>
        <w:t>4</w:t>
      </w:r>
      <w:r w:rsidRPr="00196075">
        <w:rPr>
          <w:rFonts w:ascii="Tahoma" w:hAnsi="Tahoma" w:cs="Tahoma"/>
          <w:b/>
        </w:rPr>
        <w:t>.</w:t>
      </w:r>
      <w:r w:rsidRPr="00196075">
        <w:rPr>
          <w:rFonts w:ascii="Tahoma" w:hAnsi="Tahoma" w:cs="Tahoma"/>
        </w:rPr>
        <w:t xml:space="preserve"> </w:t>
      </w:r>
      <w:r w:rsidRPr="00196075">
        <w:rPr>
          <w:rFonts w:ascii="Tahoma" w:hAnsi="Tahoma" w:cs="Tahoma"/>
          <w:b/>
        </w:rPr>
        <w:t>Składowanie krawężników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betonowe mogą być przechowywane na składowiskach otwartych, posegregowane według typów, rodzajów, kształtów, cech fizycznych i mechanicznych, wielkości, wyglądu itp.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betonowe należy układać z zastosowaniem podkładek i przekładek drewnianych.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2.2.4.</w:t>
      </w:r>
      <w:r w:rsidRPr="00196075">
        <w:rPr>
          <w:rFonts w:ascii="Tahoma" w:hAnsi="Tahoma" w:cs="Tahoma"/>
        </w:rPr>
        <w:t xml:space="preserve"> </w:t>
      </w:r>
      <w:r w:rsidRPr="00196075">
        <w:rPr>
          <w:rFonts w:ascii="Tahoma" w:hAnsi="Tahoma" w:cs="Tahoma"/>
          <w:b/>
        </w:rPr>
        <w:t>Beton na ławę betonową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Do wykonania ław pod krawężnik należy stosować beton klasy C 12/15 </w:t>
      </w:r>
      <w:proofErr w:type="spellStart"/>
      <w:r w:rsidRPr="00196075">
        <w:rPr>
          <w:rFonts w:ascii="Tahoma" w:hAnsi="Tahoma" w:cs="Tahoma"/>
        </w:rPr>
        <w:t>wg</w:t>
      </w:r>
      <w:proofErr w:type="spellEnd"/>
      <w:r w:rsidRPr="00196075">
        <w:rPr>
          <w:rFonts w:ascii="Tahoma" w:hAnsi="Tahoma" w:cs="Tahoma"/>
        </w:rPr>
        <w:t>. PN-EN 206.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2.2.5.</w:t>
      </w:r>
      <w:r w:rsidRPr="00196075">
        <w:rPr>
          <w:rFonts w:ascii="Tahoma" w:hAnsi="Tahoma" w:cs="Tahoma"/>
        </w:rPr>
        <w:t xml:space="preserve"> </w:t>
      </w:r>
      <w:r w:rsidRPr="00196075">
        <w:rPr>
          <w:rFonts w:ascii="Tahoma" w:hAnsi="Tahoma" w:cs="Tahoma"/>
          <w:b/>
        </w:rPr>
        <w:t>Piasek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Do</w:t>
      </w:r>
      <w:r w:rsidR="003672D1">
        <w:rPr>
          <w:rFonts w:ascii="Tahoma" w:hAnsi="Tahoma" w:cs="Tahoma"/>
        </w:rPr>
        <w:t xml:space="preserve"> podsypki cementowo-</w:t>
      </w:r>
      <w:r w:rsidRPr="00196075">
        <w:rPr>
          <w:rFonts w:ascii="Tahoma" w:hAnsi="Tahoma" w:cs="Tahoma"/>
        </w:rPr>
        <w:t>piaskowej (1:4) należy stosować piasek odpowiadający wymaganiom PN-EN 13242.</w:t>
      </w:r>
    </w:p>
    <w:p w:rsidR="00296202" w:rsidRPr="00196075" w:rsidRDefault="00296202" w:rsidP="00296202">
      <w:pPr>
        <w:suppressAutoHyphens/>
        <w:rPr>
          <w:rFonts w:ascii="Tahoma" w:hAnsi="Tahoma" w:cs="Tahoma"/>
          <w:spacing w:val="-3"/>
        </w:rPr>
      </w:pPr>
      <w:r w:rsidRPr="00196075">
        <w:rPr>
          <w:rFonts w:ascii="Tahoma" w:hAnsi="Tahoma" w:cs="Tahoma"/>
        </w:rPr>
        <w:t xml:space="preserve">Należy zastosować piasek o uziarnieniu kategoria </w:t>
      </w:r>
      <w:r w:rsidRPr="00196075">
        <w:rPr>
          <w:rFonts w:ascii="Tahoma" w:hAnsi="Tahoma" w:cs="Tahoma"/>
          <w:spacing w:val="-3"/>
        </w:rPr>
        <w:t>G</w:t>
      </w:r>
      <w:r w:rsidRPr="00196075">
        <w:rPr>
          <w:rFonts w:ascii="Tahoma" w:hAnsi="Tahoma" w:cs="Tahoma"/>
          <w:spacing w:val="-3"/>
          <w:vertAlign w:val="subscript"/>
        </w:rPr>
        <w:t>F</w:t>
      </w:r>
      <w:r w:rsidRPr="00196075">
        <w:rPr>
          <w:rFonts w:ascii="Tahoma" w:hAnsi="Tahoma" w:cs="Tahoma"/>
          <w:spacing w:val="-3"/>
        </w:rPr>
        <w:t>80 oraz zawartości pyłów kategoria f</w:t>
      </w:r>
      <w:r w:rsidRPr="00196075">
        <w:rPr>
          <w:rFonts w:ascii="Tahoma" w:hAnsi="Tahoma" w:cs="Tahoma"/>
          <w:spacing w:val="-3"/>
          <w:vertAlign w:val="subscript"/>
        </w:rPr>
        <w:t>7</w:t>
      </w:r>
      <w:r w:rsidRPr="00196075">
        <w:rPr>
          <w:rFonts w:ascii="Tahoma" w:hAnsi="Tahoma" w:cs="Tahoma"/>
          <w:spacing w:val="-3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Składowanie kruszywa, nie przeznaczonego do bezpośredniego wbudowania po dostarczeniu na budowę, powinno odbywać się na podłożu równym, utwardzonym i dobrze odwodnionym, przy zabezpieczeniu kruszywa przed zanieczyszczeniem i zmieszaniem z innymi materiałami kamiennymi.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bookmarkStart w:id="0" w:name="_2._MATERIAŁY_1"/>
      <w:bookmarkEnd w:id="0"/>
      <w:r w:rsidRPr="00196075">
        <w:rPr>
          <w:rFonts w:ascii="Tahoma" w:hAnsi="Tahoma" w:cs="Tahoma"/>
          <w:b/>
        </w:rPr>
        <w:t>2.2.6.</w:t>
      </w:r>
      <w:r w:rsidRPr="00196075">
        <w:rPr>
          <w:rFonts w:ascii="Tahoma" w:hAnsi="Tahoma" w:cs="Tahoma"/>
        </w:rPr>
        <w:t xml:space="preserve"> </w:t>
      </w:r>
      <w:r w:rsidRPr="00196075">
        <w:rPr>
          <w:rFonts w:ascii="Tahoma" w:hAnsi="Tahoma" w:cs="Tahoma"/>
          <w:b/>
        </w:rPr>
        <w:t>Cement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Na podsypkę cementowo-piaskową należy stosować cement 32,5 spełniający wymagania PN-EN 197-1.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Przechowywanie cementu powinno być zgodne z BN-88/6731-08.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F614C5" w:rsidP="00296202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2.2.7</w:t>
      </w:r>
      <w:r w:rsidR="00296202" w:rsidRPr="00196075">
        <w:rPr>
          <w:rFonts w:ascii="Tahoma" w:hAnsi="Tahoma" w:cs="Tahoma"/>
          <w:b/>
        </w:rPr>
        <w:t>.</w:t>
      </w:r>
      <w:r w:rsidR="004C3EED">
        <w:rPr>
          <w:rFonts w:ascii="Tahoma" w:hAnsi="Tahoma" w:cs="Tahoma"/>
          <w:b/>
        </w:rPr>
        <w:t xml:space="preserve"> </w:t>
      </w:r>
      <w:r w:rsidR="00296202" w:rsidRPr="00196075">
        <w:rPr>
          <w:rFonts w:ascii="Tahoma" w:hAnsi="Tahoma" w:cs="Tahoma"/>
          <w:b/>
        </w:rPr>
        <w:t>Woda</w:t>
      </w:r>
    </w:p>
    <w:p w:rsidR="00296202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Należy stosować wodę odpowiadającą wymaganiom PN-EN 1008.</w:t>
      </w:r>
    </w:p>
    <w:p w:rsidR="00C32008" w:rsidRDefault="00C32008" w:rsidP="00296202">
      <w:pPr>
        <w:jc w:val="both"/>
        <w:rPr>
          <w:rFonts w:ascii="Tahoma" w:hAnsi="Tahoma" w:cs="Tahoma"/>
        </w:rPr>
      </w:pPr>
    </w:p>
    <w:p w:rsidR="00C32008" w:rsidRPr="00196075" w:rsidRDefault="00C32008" w:rsidP="00C32008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2.2.8</w:t>
      </w:r>
      <w:r w:rsidRPr="00196075">
        <w:rPr>
          <w:rFonts w:ascii="Tahoma" w:hAnsi="Tahoma" w:cs="Tahoma"/>
          <w:b/>
        </w:rPr>
        <w:t>.</w:t>
      </w:r>
      <w:r>
        <w:rPr>
          <w:rFonts w:ascii="Tahoma" w:hAnsi="Tahoma" w:cs="Tahoma"/>
          <w:b/>
        </w:rPr>
        <w:t xml:space="preserve"> Bitumiczna masa zalewowa</w:t>
      </w:r>
    </w:p>
    <w:p w:rsidR="00C32008" w:rsidRDefault="00C32008" w:rsidP="00C32008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Należy stosować </w:t>
      </w:r>
      <w:r>
        <w:rPr>
          <w:rFonts w:ascii="Tahoma" w:hAnsi="Tahoma" w:cs="Tahoma"/>
        </w:rPr>
        <w:t>b</w:t>
      </w:r>
      <w:r w:rsidRPr="00C32008">
        <w:rPr>
          <w:rFonts w:ascii="Tahoma" w:hAnsi="Tahoma" w:cs="Tahoma"/>
        </w:rPr>
        <w:t>itumiczn</w:t>
      </w:r>
      <w:r>
        <w:rPr>
          <w:rFonts w:ascii="Tahoma" w:hAnsi="Tahoma" w:cs="Tahoma"/>
        </w:rPr>
        <w:t>ą</w:t>
      </w:r>
      <w:r w:rsidRPr="00C32008">
        <w:rPr>
          <w:rFonts w:ascii="Tahoma" w:hAnsi="Tahoma" w:cs="Tahoma"/>
        </w:rPr>
        <w:t>, trwale elastyczn</w:t>
      </w:r>
      <w:r>
        <w:rPr>
          <w:rFonts w:ascii="Tahoma" w:hAnsi="Tahoma" w:cs="Tahoma"/>
        </w:rPr>
        <w:t>ą</w:t>
      </w:r>
      <w:r w:rsidRPr="00C32008">
        <w:rPr>
          <w:rFonts w:ascii="Tahoma" w:hAnsi="Tahoma" w:cs="Tahoma"/>
        </w:rPr>
        <w:t xml:space="preserve"> mas</w:t>
      </w:r>
      <w:r>
        <w:rPr>
          <w:rFonts w:ascii="Tahoma" w:hAnsi="Tahoma" w:cs="Tahoma"/>
        </w:rPr>
        <w:t>ę zalewową</w:t>
      </w:r>
      <w:r w:rsidRPr="00C32008">
        <w:rPr>
          <w:rFonts w:ascii="Tahoma" w:hAnsi="Tahoma" w:cs="Tahoma"/>
        </w:rPr>
        <w:t xml:space="preserve"> do szczelin i dylatacji w nawierzchniach asfaltowych i betonowych, do naprawy pęknięć stosowana na gorąco, zgodn</w:t>
      </w:r>
      <w:r>
        <w:rPr>
          <w:rFonts w:ascii="Tahoma" w:hAnsi="Tahoma" w:cs="Tahoma"/>
        </w:rPr>
        <w:t>ą</w:t>
      </w:r>
      <w:r w:rsidRPr="00C32008">
        <w:rPr>
          <w:rFonts w:ascii="Tahoma" w:hAnsi="Tahoma" w:cs="Tahoma"/>
        </w:rPr>
        <w:t xml:space="preserve"> z PN-EN 14188-1</w:t>
      </w:r>
      <w:r w:rsidRPr="00196075">
        <w:rPr>
          <w:rFonts w:ascii="Tahoma" w:hAnsi="Tahoma" w:cs="Tahoma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1" w:name="_3._SPRZĘT"/>
      <w:bookmarkStart w:id="2" w:name="_Toc428239274"/>
      <w:bookmarkStart w:id="3" w:name="_Toc428759423"/>
      <w:bookmarkStart w:id="4" w:name="_Toc141496949"/>
      <w:bookmarkEnd w:id="1"/>
      <w:r w:rsidRPr="00196075">
        <w:rPr>
          <w:rFonts w:ascii="Tahoma" w:hAnsi="Tahoma" w:cs="Tahoma"/>
          <w:b/>
        </w:rPr>
        <w:t>3. Sprzęt</w:t>
      </w:r>
      <w:bookmarkEnd w:id="2"/>
      <w:bookmarkEnd w:id="3"/>
      <w:bookmarkEnd w:id="4"/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3.1. Ogólne wymagania dotyczące sprzętu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Ogólne wymagania dotyczące sprzętu podano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 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3.2. Sprzęt do wykonania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Roboty wykonuje się ręcznie przy zastosowaniu:</w:t>
      </w:r>
    </w:p>
    <w:p w:rsidR="00296202" w:rsidRPr="00196075" w:rsidRDefault="00296202" w:rsidP="00296202">
      <w:pPr>
        <w:numPr>
          <w:ilvl w:val="0"/>
          <w:numId w:val="4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betoniarek do wytwarzania betonu i zapraw oraz przygotowania podsypki cementowo-piaskowej,</w:t>
      </w:r>
    </w:p>
    <w:p w:rsidR="00296202" w:rsidRDefault="00296202" w:rsidP="00296202">
      <w:pPr>
        <w:numPr>
          <w:ilvl w:val="0"/>
          <w:numId w:val="4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wibratorów płytowych, ubijaków ręcznych lub mechanicznych,</w:t>
      </w:r>
    </w:p>
    <w:p w:rsidR="00C32008" w:rsidRPr="00196075" w:rsidRDefault="00C32008" w:rsidP="00296202">
      <w:pPr>
        <w:numPr>
          <w:ilvl w:val="0"/>
          <w:numId w:val="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kotłów z mieszadłem i termometrem do masy zalewowej,</w:t>
      </w:r>
    </w:p>
    <w:p w:rsidR="00296202" w:rsidRPr="00196075" w:rsidRDefault="00296202" w:rsidP="00296202">
      <w:pPr>
        <w:numPr>
          <w:ilvl w:val="0"/>
          <w:numId w:val="4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innego sprzętu zaakceptowanego przez </w:t>
      </w:r>
      <w:r w:rsidR="003672D1">
        <w:rPr>
          <w:rFonts w:ascii="Tahoma" w:hAnsi="Tahoma" w:cs="Tahoma"/>
        </w:rPr>
        <w:t>Zamawiającego</w:t>
      </w:r>
      <w:r w:rsidRPr="00196075">
        <w:rPr>
          <w:rFonts w:ascii="Tahoma" w:hAnsi="Tahoma" w:cs="Tahoma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5" w:name="_4._TRANSPORT"/>
      <w:bookmarkStart w:id="6" w:name="_Toc428239275"/>
      <w:bookmarkStart w:id="7" w:name="_Toc428759424"/>
      <w:bookmarkStart w:id="8" w:name="_Toc141496950"/>
      <w:bookmarkEnd w:id="5"/>
      <w:r w:rsidRPr="00196075">
        <w:rPr>
          <w:rFonts w:ascii="Tahoma" w:hAnsi="Tahoma" w:cs="Tahoma"/>
          <w:b/>
        </w:rPr>
        <w:t>4. Transport</w:t>
      </w:r>
      <w:bookmarkEnd w:id="6"/>
      <w:bookmarkEnd w:id="7"/>
      <w:bookmarkEnd w:id="8"/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4.1. Ogólne wymagania dotyczące transportu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Ogólne wymagania dotyczące transportu podano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 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4.2. Transport krawężników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betonowe mogą być przewożone dowolnymi środkami transportowymi.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betonowe układać należy na środkach transportowych w pozycji pionowej z nachyleniem w kierunku jazdy.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powinny być zabezpieczone przed przemieszczeniem się i uszkodzeniami w czasie transportu, a górna warstwa nie powinna wystawać poza ściany środka transportowego więcej niż 1/3 wysokości tej warstwy.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4.3. Transport pozostałych materiałów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Transport cementu powinien się odbywać w warunkach zgodnych z BN-88/6731-08.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:rsidR="003672D1" w:rsidRPr="00196075" w:rsidRDefault="003672D1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9" w:name="_Toc141496951"/>
      <w:r w:rsidRPr="00196075">
        <w:rPr>
          <w:rFonts w:ascii="Tahoma" w:hAnsi="Tahoma" w:cs="Tahoma"/>
          <w:b/>
        </w:rPr>
        <w:t>5. Wykonanie robót</w:t>
      </w:r>
      <w:bookmarkEnd w:id="9"/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5.1. Ogólne zasady wykonania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Ogólne zasady wykonywania Robót podano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 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5.2. Zasady wykonywania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Sposób wykonania robót powinien być zgodny z Dokumentacją Projektową i </w:t>
      </w:r>
      <w:proofErr w:type="spellStart"/>
      <w:r w:rsidRPr="00196075">
        <w:rPr>
          <w:rFonts w:ascii="Tahoma" w:hAnsi="Tahoma" w:cs="Tahoma"/>
        </w:rPr>
        <w:t>STW</w:t>
      </w:r>
      <w:r w:rsidR="003672D1">
        <w:rPr>
          <w:rFonts w:ascii="Tahoma" w:hAnsi="Tahoma" w:cs="Tahoma"/>
        </w:rPr>
        <w:t>iORB</w:t>
      </w:r>
      <w:proofErr w:type="spellEnd"/>
      <w:r w:rsidR="003672D1">
        <w:rPr>
          <w:rFonts w:ascii="Tahoma" w:hAnsi="Tahoma" w:cs="Tahoma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Podstawowe czynności przy wykonywaniu robót obejmują:</w:t>
      </w:r>
    </w:p>
    <w:p w:rsidR="00296202" w:rsidRPr="00196075" w:rsidRDefault="00296202" w:rsidP="00296202">
      <w:pPr>
        <w:numPr>
          <w:ilvl w:val="0"/>
          <w:numId w:val="5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roboty przygotowawcze,</w:t>
      </w:r>
    </w:p>
    <w:p w:rsidR="00296202" w:rsidRPr="00196075" w:rsidRDefault="00296202" w:rsidP="00296202">
      <w:pPr>
        <w:numPr>
          <w:ilvl w:val="0"/>
          <w:numId w:val="5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wykonanie ławy,</w:t>
      </w:r>
    </w:p>
    <w:p w:rsidR="00296202" w:rsidRPr="00196075" w:rsidRDefault="00296202" w:rsidP="00296202">
      <w:pPr>
        <w:numPr>
          <w:ilvl w:val="0"/>
          <w:numId w:val="5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ustawienie krawężników,</w:t>
      </w:r>
    </w:p>
    <w:p w:rsidR="00296202" w:rsidRPr="00196075" w:rsidRDefault="00296202" w:rsidP="00296202">
      <w:pPr>
        <w:numPr>
          <w:ilvl w:val="0"/>
          <w:numId w:val="5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roboty wykończeniowe.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5.3. Roboty przygotowawcze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Przed przystąpieniem do robót należy, na podstawie Dokumentacji Projektowej,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lub wskazań </w:t>
      </w:r>
      <w:r w:rsidR="003672D1">
        <w:rPr>
          <w:rFonts w:ascii="Tahoma" w:hAnsi="Tahoma" w:cs="Tahoma"/>
        </w:rPr>
        <w:t>Zamawiającego</w:t>
      </w:r>
      <w:r w:rsidRPr="00196075">
        <w:rPr>
          <w:rFonts w:ascii="Tahoma" w:hAnsi="Tahoma" w:cs="Tahoma"/>
        </w:rPr>
        <w:t>:</w:t>
      </w:r>
    </w:p>
    <w:p w:rsidR="00296202" w:rsidRPr="00196075" w:rsidRDefault="00296202" w:rsidP="00296202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ustalić lokalizację robót,</w:t>
      </w:r>
    </w:p>
    <w:p w:rsidR="00296202" w:rsidRPr="00196075" w:rsidRDefault="00296202" w:rsidP="00296202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ustalić dane niezbędne do szczegółowego wytyczenia robót oraz ustalenia danych wysokościowych,</w:t>
      </w:r>
    </w:p>
    <w:p w:rsidR="00296202" w:rsidRPr="00196075" w:rsidRDefault="00296202" w:rsidP="00296202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usunąć przeszkody, np. słupki, pachołki, elementy dróg, ogrodzeń itd.</w:t>
      </w:r>
    </w:p>
    <w:p w:rsidR="00296202" w:rsidRPr="00196075" w:rsidRDefault="00296202" w:rsidP="00296202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ustalić materiały niezbędne do wykonania robót,</w:t>
      </w:r>
    </w:p>
    <w:p w:rsidR="00296202" w:rsidRPr="00196075" w:rsidRDefault="00296202" w:rsidP="00296202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określić kolejność, sposób i termin wykonania robót.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5.4. Wykonanie ławy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5.4.1. Koryto pod ławę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Wymiary wykopu, stanowiącego koryto pod ławę, powinny odpowiadać wymiarom ławy w planie z uwzględnieniem w szerokości dna wykopu ew. konstrukcji szalunku.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Wskaźnik zagęszczenia dna wykonanego koryta pod ławę powinien wynosić, co najmniej 0,97 według normalnej metody </w:t>
      </w:r>
      <w:proofErr w:type="spellStart"/>
      <w:r w:rsidRPr="00196075">
        <w:rPr>
          <w:rFonts w:ascii="Tahoma" w:hAnsi="Tahoma" w:cs="Tahoma"/>
        </w:rPr>
        <w:t>Proctora</w:t>
      </w:r>
      <w:proofErr w:type="spellEnd"/>
      <w:r w:rsidRPr="00196075">
        <w:rPr>
          <w:rFonts w:ascii="Tahoma" w:hAnsi="Tahoma" w:cs="Tahoma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5.4.2. Ława betonowa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Ławę betonową wykonuje się w szalowaniu. Beton rozścielony w szalowaniu lub bezpośrednio w korycie powinien być wyrównywany warstwami. Betonowanie ław należy wykonywać zgodnie z wymaganiami PN-63/B-06251, przy czym należy stosować, co </w:t>
      </w:r>
      <w:smartTag w:uri="urn:schemas-microsoft-com:office:smarttags" w:element="metricconverter">
        <w:smartTagPr>
          <w:attr w:name="ProductID" w:val="50 m"/>
        </w:smartTagPr>
        <w:r w:rsidRPr="00196075">
          <w:rPr>
            <w:rFonts w:ascii="Tahoma" w:hAnsi="Tahoma" w:cs="Tahoma"/>
          </w:rPr>
          <w:t>50 m</w:t>
        </w:r>
      </w:smartTag>
      <w:r w:rsidRPr="00196075">
        <w:rPr>
          <w:rFonts w:ascii="Tahoma" w:hAnsi="Tahoma" w:cs="Tahoma"/>
        </w:rPr>
        <w:t xml:space="preserve"> szczeliny dylatacyjne.</w:t>
      </w:r>
    </w:p>
    <w:p w:rsidR="00296202" w:rsidRPr="00196075" w:rsidRDefault="00296202" w:rsidP="00296202">
      <w:pPr>
        <w:jc w:val="both"/>
        <w:rPr>
          <w:rFonts w:ascii="Tahoma" w:hAnsi="Tahoma" w:cs="Tahoma"/>
          <w:highlight w:val="yellow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5.5. Ustawienie krawężników betonowych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5.5.1.</w:t>
      </w:r>
      <w:r w:rsidRPr="00196075">
        <w:rPr>
          <w:rFonts w:ascii="Tahoma" w:hAnsi="Tahoma" w:cs="Tahoma"/>
        </w:rPr>
        <w:t xml:space="preserve"> </w:t>
      </w:r>
      <w:r w:rsidRPr="00196075">
        <w:rPr>
          <w:rFonts w:ascii="Tahoma" w:hAnsi="Tahoma" w:cs="Tahoma"/>
          <w:b/>
        </w:rPr>
        <w:t>Zasady ustawiania krawężników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Światło (odległość górnej powierzchni krawężnika od jezdni) powinno być zgodne z ustaleniami dokumentacji projektowej, </w:t>
      </w:r>
      <w:r w:rsidR="00674290" w:rsidRPr="00674290">
        <w:rPr>
          <w:rFonts w:ascii="Tahoma" w:hAnsi="Tahoma" w:cs="Tahoma"/>
        </w:rPr>
        <w:t>w przypadku braku takich ustaleń powinno wynosić</w:t>
      </w:r>
      <w:r w:rsidR="00674290">
        <w:rPr>
          <w:rFonts w:ascii="Tahoma" w:hAnsi="Tahoma" w:cs="Tahoma"/>
        </w:rPr>
        <w:t>: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- </w:t>
      </w:r>
      <w:smartTag w:uri="urn:schemas-microsoft-com:office:smarttags" w:element="metricconverter">
        <w:smartTagPr>
          <w:attr w:name="ProductID" w:val="12 cm"/>
        </w:smartTagPr>
        <w:r w:rsidRPr="00196075">
          <w:rPr>
            <w:rFonts w:ascii="Tahoma" w:hAnsi="Tahoma" w:cs="Tahoma"/>
          </w:rPr>
          <w:t>12 cm</w:t>
        </w:r>
      </w:smartTag>
      <w:r w:rsidRPr="00196075">
        <w:rPr>
          <w:rFonts w:ascii="Tahoma" w:hAnsi="Tahoma" w:cs="Tahoma"/>
        </w:rPr>
        <w:t>, zasadnicza wysokość wystawienia krawężnika wzdłuż jezdni,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- </w:t>
      </w:r>
      <w:smartTag w:uri="urn:schemas-microsoft-com:office:smarttags" w:element="metricconverter">
        <w:smartTagPr>
          <w:attr w:name="ProductID" w:val="2 cm"/>
        </w:smartTagPr>
        <w:r w:rsidRPr="00196075">
          <w:rPr>
            <w:rFonts w:ascii="Tahoma" w:hAnsi="Tahoma" w:cs="Tahoma"/>
          </w:rPr>
          <w:t>2 cm</w:t>
        </w:r>
      </w:smartTag>
      <w:r w:rsidRPr="00196075">
        <w:rPr>
          <w:rFonts w:ascii="Tahoma" w:hAnsi="Tahoma" w:cs="Tahoma"/>
        </w:rPr>
        <w:t xml:space="preserve"> na odcinku zejść chodnikowych w miejscach przejść dla pieszych,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- </w:t>
      </w:r>
      <w:smartTag w:uri="urn:schemas-microsoft-com:office:smarttags" w:element="metricconverter">
        <w:smartTagPr>
          <w:attr w:name="ProductID" w:val="10 cm"/>
        </w:smartTagPr>
        <w:r w:rsidRPr="00196075">
          <w:rPr>
            <w:rFonts w:ascii="Tahoma" w:hAnsi="Tahoma" w:cs="Tahoma"/>
          </w:rPr>
          <w:t>10 cm</w:t>
        </w:r>
      </w:smartTag>
      <w:r w:rsidRPr="00196075">
        <w:rPr>
          <w:rFonts w:ascii="Tahoma" w:hAnsi="Tahoma" w:cs="Tahoma"/>
        </w:rPr>
        <w:t xml:space="preserve"> na krawędzi wysp środkowych.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Zewnętrzna ściana krawężnika od strony chodnika powinna być po ustawieniu krawężnika obsypana piaskiem starannie ubitym.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Szerokość spoin przy ustawianiu krawężnika nie powinna przekraczać </w:t>
      </w:r>
      <w:smartTag w:uri="urn:schemas-microsoft-com:office:smarttags" w:element="metricconverter">
        <w:smartTagPr>
          <w:attr w:name="ProductID" w:val="5 mm"/>
        </w:smartTagPr>
        <w:r w:rsidRPr="00196075">
          <w:rPr>
            <w:rFonts w:ascii="Tahoma" w:hAnsi="Tahoma" w:cs="Tahoma"/>
          </w:rPr>
          <w:t xml:space="preserve">5 </w:t>
        </w:r>
        <w:proofErr w:type="spellStart"/>
        <w:r w:rsidRPr="00196075">
          <w:rPr>
            <w:rFonts w:ascii="Tahoma" w:hAnsi="Tahoma" w:cs="Tahoma"/>
          </w:rPr>
          <w:t>mm</w:t>
        </w:r>
      </w:smartTag>
      <w:proofErr w:type="spellEnd"/>
      <w:r w:rsidRPr="00196075">
        <w:rPr>
          <w:rFonts w:ascii="Tahoma" w:hAnsi="Tahoma" w:cs="Tahoma"/>
        </w:rPr>
        <w:t>. Spoin nie należy wypełniać.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5.5.2. Ustawienie krawężników na ławie betonowej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Ustawianie krawężników na ławie betonowej wykonuje się na podsypce cementowo-piaskowej o grubości </w:t>
      </w:r>
      <w:r w:rsidR="00674290">
        <w:rPr>
          <w:rFonts w:ascii="Tahoma" w:hAnsi="Tahoma" w:cs="Tahoma"/>
        </w:rPr>
        <w:t>określonej w</w:t>
      </w:r>
      <w:r w:rsidR="00674290" w:rsidRPr="00196075">
        <w:rPr>
          <w:rFonts w:ascii="Tahoma" w:hAnsi="Tahoma" w:cs="Tahoma"/>
        </w:rPr>
        <w:t xml:space="preserve"> dokumentacji projektowej, </w:t>
      </w:r>
      <w:r w:rsidR="00674290" w:rsidRPr="00674290">
        <w:rPr>
          <w:rFonts w:ascii="Tahoma" w:hAnsi="Tahoma" w:cs="Tahoma"/>
        </w:rPr>
        <w:t xml:space="preserve">w przypadku braku </w:t>
      </w:r>
      <w:r w:rsidR="00A33B88">
        <w:rPr>
          <w:rFonts w:ascii="Tahoma" w:hAnsi="Tahoma" w:cs="Tahoma"/>
        </w:rPr>
        <w:t>takiej informacji o grubości 5 cm</w:t>
      </w:r>
      <w:r w:rsidRPr="00196075">
        <w:rPr>
          <w:rFonts w:ascii="Tahoma" w:hAnsi="Tahoma" w:cs="Tahoma"/>
        </w:rPr>
        <w:t xml:space="preserve"> po zagęszczeniu.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5.6. Roboty wykończeniowe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Roboty wykończeniowe powinny być zgodne z Dokumentacją Projektową i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>. Do robót wykończeniowych należą prace związane z dostosowaniem wykonanych robót do istniejących warunków terenowych, takie jak:</w:t>
      </w:r>
    </w:p>
    <w:p w:rsidR="00C32008" w:rsidRDefault="00C32008" w:rsidP="00296202">
      <w:pPr>
        <w:numPr>
          <w:ilvl w:val="0"/>
          <w:numId w:val="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wypełnienie </w:t>
      </w:r>
      <w:r w:rsidRPr="00EE5138">
        <w:rPr>
          <w:rFonts w:ascii="Tahoma" w:hAnsi="Tahoma" w:cs="Tahoma"/>
        </w:rPr>
        <w:t>bitumiczną masą zalewową szczeliny między krawężnikiem a nawierzchnią drogową</w:t>
      </w:r>
      <w:r w:rsidR="004E60A4">
        <w:rPr>
          <w:rFonts w:ascii="Tahoma" w:hAnsi="Tahoma" w:cs="Tahoma"/>
        </w:rPr>
        <w:t xml:space="preserve"> o ile krawężnik dostawiany jest do istniejącej nawierzchni drogowej</w:t>
      </w:r>
      <w:r w:rsidR="0026549F">
        <w:rPr>
          <w:rFonts w:ascii="Tahoma" w:hAnsi="Tahoma" w:cs="Tahoma"/>
        </w:rPr>
        <w:t>,</w:t>
      </w:r>
    </w:p>
    <w:p w:rsidR="00296202" w:rsidRPr="00196075" w:rsidRDefault="00296202" w:rsidP="00296202">
      <w:pPr>
        <w:numPr>
          <w:ilvl w:val="0"/>
          <w:numId w:val="7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odtworzenie elementów czasowo usuniętych,</w:t>
      </w:r>
    </w:p>
    <w:p w:rsidR="00296202" w:rsidRPr="00196075" w:rsidRDefault="00296202" w:rsidP="00296202">
      <w:pPr>
        <w:numPr>
          <w:ilvl w:val="0"/>
          <w:numId w:val="7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lastRenderedPageBreak/>
        <w:t>roboty porządkujące otoczenie terenu robót.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10" w:name="_Toc141496952"/>
      <w:bookmarkStart w:id="11" w:name="_Toc141072308"/>
      <w:bookmarkStart w:id="12" w:name="_Toc120590626"/>
      <w:bookmarkStart w:id="13" w:name="_Toc113338102"/>
      <w:bookmarkStart w:id="14" w:name="_Toc70745916"/>
      <w:bookmarkStart w:id="15" w:name="_Toc51995834"/>
      <w:bookmarkStart w:id="16" w:name="_Toc46644001"/>
      <w:bookmarkStart w:id="17" w:name="_Toc424534470"/>
      <w:r w:rsidRPr="00196075">
        <w:rPr>
          <w:rFonts w:ascii="Tahoma" w:hAnsi="Tahoma" w:cs="Tahoma"/>
          <w:b/>
        </w:rPr>
        <w:t>6. Kontrola jakości robót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6.1. Ogólne zasady kontroli jakości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Ogólne zasady kontroli jakości robót podano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 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6.2. Badania przed przystąpieniem do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Przed przystąpieniem do robót Wykonawca powinien przedłożyć </w:t>
      </w:r>
      <w:r w:rsidR="00A33B88">
        <w:rPr>
          <w:rFonts w:ascii="Tahoma" w:hAnsi="Tahoma" w:cs="Tahoma"/>
        </w:rPr>
        <w:t>Zamawiającemu</w:t>
      </w:r>
      <w:r w:rsidRPr="00196075">
        <w:rPr>
          <w:rFonts w:ascii="Tahoma" w:hAnsi="Tahoma" w:cs="Tahoma"/>
        </w:rPr>
        <w:t xml:space="preserve"> do akceptacji: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- wymagane dokumenty, dopuszczające wyroby budowlane do obrotu i powszechnego stosowania, deklaracje zgodności z dokumentem odniesienia, ew. badania materiałów wykonane przez dostawców itp.),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- własne badania właściwości materiałów przeznaczonych do wykonania robót, określone w pkt. 2 - sprawozdanie z pomiaru cech zewnętrznych krawężników.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Ocenę prefabrykatu do wbudowania zgodnie z pkt. 2, należy wykonać jednorazowo dla każdej dostarczonej na budowę partii materiału.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Sprawdzenie wyglądu zewnętrznego krawężników należy przeprowadzić na podstawie oględzin elementu przez pomiar i ocenę uszkodzeń występujących na powierzchniach i krawędziach elementu zgodnie z wymaganiami tablicy 1 i ustaleniami PN-EN 1340.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Badania pozostałych materiałów stosowanych przy ustawianiu krawężników betonowych powinny obejmować właściwości, określone w normach podanych dla odpowiednich materiałów w pkt. 2.</w:t>
      </w:r>
    </w:p>
    <w:p w:rsidR="00296202" w:rsidRPr="00196075" w:rsidRDefault="00296202" w:rsidP="00296202">
      <w:pPr>
        <w:jc w:val="both"/>
        <w:rPr>
          <w:rFonts w:ascii="Tahoma" w:hAnsi="Tahoma" w:cs="Tahoma"/>
          <w:highlight w:val="yellow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6.3. Badania w czasie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6.3.1</w:t>
      </w:r>
      <w:r w:rsidRPr="00196075">
        <w:rPr>
          <w:rFonts w:ascii="Tahoma" w:hAnsi="Tahoma" w:cs="Tahoma"/>
        </w:rPr>
        <w:t xml:space="preserve">. </w:t>
      </w:r>
      <w:r w:rsidRPr="00196075">
        <w:rPr>
          <w:rFonts w:ascii="Tahoma" w:hAnsi="Tahoma" w:cs="Tahoma"/>
          <w:b/>
        </w:rPr>
        <w:t>Sprawdzenie koryta pod ławę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Należy sprawdzać wymiary koryta oraz zagęszczenie podłoża na dnie wykopu.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Tolerancja dla szerokości wykopu wynosi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</w:t>
      </w:r>
      <w:r w:rsidR="00A33B88">
        <w:rPr>
          <w:rFonts w:ascii="Tahoma" w:hAnsi="Tahoma" w:cs="Tahoma"/>
        </w:rPr>
        <w:t>5</w:t>
      </w:r>
      <w:r w:rsidRPr="00196075">
        <w:rPr>
          <w:rFonts w:ascii="Tahoma" w:hAnsi="Tahoma" w:cs="Tahoma"/>
        </w:rPr>
        <w:t xml:space="preserve"> </w:t>
      </w:r>
      <w:proofErr w:type="spellStart"/>
      <w:r w:rsidRPr="00196075">
        <w:rPr>
          <w:rFonts w:ascii="Tahoma" w:hAnsi="Tahoma" w:cs="Tahoma"/>
        </w:rPr>
        <w:t>cm</w:t>
      </w:r>
      <w:proofErr w:type="spellEnd"/>
      <w:r w:rsidRPr="00196075">
        <w:rPr>
          <w:rFonts w:ascii="Tahoma" w:hAnsi="Tahoma" w:cs="Tahoma"/>
        </w:rPr>
        <w:t>. Zagęszczenie podłoża powinno być zgodne z pkt. 5.4.1.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6.3.2</w:t>
      </w:r>
      <w:r w:rsidRPr="00196075">
        <w:rPr>
          <w:rFonts w:ascii="Tahoma" w:hAnsi="Tahoma" w:cs="Tahoma"/>
        </w:rPr>
        <w:t xml:space="preserve">. </w:t>
      </w:r>
      <w:r w:rsidRPr="00196075">
        <w:rPr>
          <w:rFonts w:ascii="Tahoma" w:hAnsi="Tahoma" w:cs="Tahoma"/>
          <w:b/>
        </w:rPr>
        <w:t>Sprawdzenie ław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Przy wykonywaniu ław badaniu podlegają:</w:t>
      </w:r>
    </w:p>
    <w:p w:rsidR="00296202" w:rsidRPr="00196075" w:rsidRDefault="00296202" w:rsidP="00296202">
      <w:pPr>
        <w:numPr>
          <w:ilvl w:val="0"/>
          <w:numId w:val="10"/>
        </w:numPr>
        <w:ind w:left="284" w:hanging="284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zgodność profilu podłużnego górnej powierzchni ław z Dokumentacją Projektową.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Profil podłużny górnej powierzchni ławy powinien być zgodny z projektowaną niweletą. Dopuszczalne odchylenia mogą wynosić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196075">
          <w:rPr>
            <w:rFonts w:ascii="Tahoma" w:hAnsi="Tahoma" w:cs="Tahoma"/>
          </w:rPr>
          <w:t>1 cm</w:t>
        </w:r>
      </w:smartTag>
      <w:r w:rsidRPr="00196075">
        <w:rPr>
          <w:rFonts w:ascii="Tahoma" w:hAnsi="Tahoma" w:cs="Tahoma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196075">
          <w:rPr>
            <w:rFonts w:ascii="Tahoma" w:hAnsi="Tahoma" w:cs="Tahoma"/>
          </w:rPr>
          <w:t>100 m</w:t>
        </w:r>
      </w:smartTag>
      <w:r w:rsidRPr="00196075">
        <w:rPr>
          <w:rFonts w:ascii="Tahoma" w:hAnsi="Tahoma" w:cs="Tahoma"/>
        </w:rPr>
        <w:t xml:space="preserve"> ławy,</w:t>
      </w:r>
    </w:p>
    <w:p w:rsidR="00296202" w:rsidRPr="00196075" w:rsidRDefault="00296202" w:rsidP="00296202">
      <w:pPr>
        <w:numPr>
          <w:ilvl w:val="0"/>
          <w:numId w:val="10"/>
        </w:numPr>
        <w:ind w:left="284" w:hanging="284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wymiary ław.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Wymiary ław należy sprawdzić w dwóch dowolnie wybranych punktach na każde </w:t>
      </w:r>
      <w:smartTag w:uri="urn:schemas-microsoft-com:office:smarttags" w:element="metricconverter">
        <w:smartTagPr>
          <w:attr w:name="ProductID" w:val="100 m"/>
        </w:smartTagPr>
        <w:r w:rsidRPr="00196075">
          <w:rPr>
            <w:rFonts w:ascii="Tahoma" w:hAnsi="Tahoma" w:cs="Tahoma"/>
          </w:rPr>
          <w:t>100 m</w:t>
        </w:r>
      </w:smartTag>
      <w:r w:rsidRPr="00196075">
        <w:rPr>
          <w:rFonts w:ascii="Tahoma" w:hAnsi="Tahoma" w:cs="Tahoma"/>
        </w:rPr>
        <w:t xml:space="preserve"> ławy. Tolerancje wymiarów wynoszą:</w:t>
      </w:r>
    </w:p>
    <w:p w:rsidR="00296202" w:rsidRPr="00196075" w:rsidRDefault="00296202" w:rsidP="00296202">
      <w:pPr>
        <w:numPr>
          <w:ilvl w:val="0"/>
          <w:numId w:val="9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dla wysokości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10% wysokości projektowanej,</w:t>
      </w:r>
    </w:p>
    <w:p w:rsidR="00296202" w:rsidRPr="00196075" w:rsidRDefault="00296202" w:rsidP="00296202">
      <w:pPr>
        <w:numPr>
          <w:ilvl w:val="0"/>
          <w:numId w:val="9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dla szerokości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10% szerokości projektowanej,</w:t>
      </w:r>
    </w:p>
    <w:p w:rsidR="00296202" w:rsidRPr="00196075" w:rsidRDefault="00296202" w:rsidP="00296202">
      <w:pPr>
        <w:numPr>
          <w:ilvl w:val="0"/>
          <w:numId w:val="10"/>
        </w:numPr>
        <w:ind w:left="284" w:hanging="284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równość górnej powierzchni ław.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Równość górnej powierzchni ławy sprawdza się przez przyłożenie w dwóch punktach, na każde </w:t>
      </w:r>
      <w:smartTag w:uri="urn:schemas-microsoft-com:office:smarttags" w:element="metricconverter">
        <w:smartTagPr>
          <w:attr w:name="ProductID" w:val="100 m"/>
        </w:smartTagPr>
        <w:r w:rsidRPr="00196075">
          <w:rPr>
            <w:rFonts w:ascii="Tahoma" w:hAnsi="Tahoma" w:cs="Tahoma"/>
          </w:rPr>
          <w:t>100 m</w:t>
        </w:r>
      </w:smartTag>
      <w:r w:rsidRPr="00196075">
        <w:rPr>
          <w:rFonts w:ascii="Tahoma" w:hAnsi="Tahoma" w:cs="Tahoma"/>
        </w:rPr>
        <w:t xml:space="preserve"> ławy, trzymetrowej łaty. Prześwit pomiędzy górną powierzchnią ławy i przyłożoną łatą nie może przekraczać </w:t>
      </w:r>
      <w:smartTag w:uri="urn:schemas-microsoft-com:office:smarttags" w:element="metricconverter">
        <w:smartTagPr>
          <w:attr w:name="ProductID" w:val="1 cm"/>
        </w:smartTagPr>
        <w:r w:rsidRPr="00196075">
          <w:rPr>
            <w:rFonts w:ascii="Tahoma" w:hAnsi="Tahoma" w:cs="Tahoma"/>
          </w:rPr>
          <w:t>1 cm</w:t>
        </w:r>
      </w:smartTag>
      <w:r w:rsidRPr="00196075">
        <w:rPr>
          <w:rFonts w:ascii="Tahoma" w:hAnsi="Tahoma" w:cs="Tahoma"/>
        </w:rPr>
        <w:t>,</w:t>
      </w:r>
    </w:p>
    <w:p w:rsidR="00296202" w:rsidRPr="00196075" w:rsidRDefault="00296202" w:rsidP="00296202">
      <w:pPr>
        <w:numPr>
          <w:ilvl w:val="0"/>
          <w:numId w:val="10"/>
        </w:numPr>
        <w:ind w:left="284" w:hanging="284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odchylenie linii ław od projektowanego kierunku.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Dopuszczalne odchylenie linii ław od projektowanego kierunku nie może przekraczać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</w:t>
      </w:r>
      <w:r w:rsidR="00A33B88">
        <w:rPr>
          <w:rFonts w:ascii="Tahoma" w:hAnsi="Tahoma" w:cs="Tahoma"/>
        </w:rPr>
        <w:t>5</w:t>
      </w:r>
      <w:r w:rsidRPr="00196075">
        <w:rPr>
          <w:rFonts w:ascii="Tahoma" w:hAnsi="Tahoma" w:cs="Tahoma"/>
        </w:rPr>
        <w:t xml:space="preserve"> cm na każde </w:t>
      </w:r>
      <w:smartTag w:uri="urn:schemas-microsoft-com:office:smarttags" w:element="metricconverter">
        <w:smartTagPr>
          <w:attr w:name="ProductID" w:val="100 m"/>
        </w:smartTagPr>
        <w:r w:rsidRPr="00196075">
          <w:rPr>
            <w:rFonts w:ascii="Tahoma" w:hAnsi="Tahoma" w:cs="Tahoma"/>
          </w:rPr>
          <w:t>100 m</w:t>
        </w:r>
      </w:smartTag>
      <w:r w:rsidRPr="00196075">
        <w:rPr>
          <w:rFonts w:ascii="Tahoma" w:hAnsi="Tahoma" w:cs="Tahoma"/>
        </w:rPr>
        <w:t xml:space="preserve"> wykonanej ławy.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6.3.3</w:t>
      </w:r>
      <w:r w:rsidRPr="00196075">
        <w:rPr>
          <w:rFonts w:ascii="Tahoma" w:hAnsi="Tahoma" w:cs="Tahoma"/>
        </w:rPr>
        <w:t xml:space="preserve">. </w:t>
      </w:r>
      <w:r w:rsidRPr="00196075">
        <w:rPr>
          <w:rFonts w:ascii="Tahoma" w:hAnsi="Tahoma" w:cs="Tahoma"/>
          <w:b/>
        </w:rPr>
        <w:t>Sprawdzenie ustawienia krawężników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Przy ustawianiu krawężników należy sprawdzać:</w:t>
      </w:r>
    </w:p>
    <w:p w:rsidR="00296202" w:rsidRPr="00196075" w:rsidRDefault="00296202" w:rsidP="00296202">
      <w:pPr>
        <w:numPr>
          <w:ilvl w:val="0"/>
          <w:numId w:val="8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dopuszczalne odchylenia linii krawężników w poziomie od linii projektowanej, które wynosi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</w:t>
      </w:r>
      <w:r w:rsidR="00A33B88">
        <w:rPr>
          <w:rFonts w:ascii="Tahoma" w:hAnsi="Tahoma" w:cs="Tahoma"/>
        </w:rPr>
        <w:t>5</w:t>
      </w:r>
      <w:r w:rsidRPr="00196075">
        <w:rPr>
          <w:rFonts w:ascii="Tahoma" w:hAnsi="Tahoma" w:cs="Tahoma"/>
        </w:rPr>
        <w:t xml:space="preserve"> cm na każde 100 m ustawionego krawężnika,</w:t>
      </w:r>
    </w:p>
    <w:p w:rsidR="00296202" w:rsidRPr="00196075" w:rsidRDefault="00296202" w:rsidP="00296202">
      <w:pPr>
        <w:numPr>
          <w:ilvl w:val="0"/>
          <w:numId w:val="8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dopuszczalne odchylenie niwelety górnej płaszczyzny krawężnika od niwelety projektowanej, które wynosi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196075">
          <w:rPr>
            <w:rFonts w:ascii="Tahoma" w:hAnsi="Tahoma" w:cs="Tahoma"/>
          </w:rPr>
          <w:t>1 cm</w:t>
        </w:r>
      </w:smartTag>
      <w:r w:rsidRPr="00196075">
        <w:rPr>
          <w:rFonts w:ascii="Tahoma" w:hAnsi="Tahoma" w:cs="Tahoma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196075">
          <w:rPr>
            <w:rFonts w:ascii="Tahoma" w:hAnsi="Tahoma" w:cs="Tahoma"/>
          </w:rPr>
          <w:t>100 m</w:t>
        </w:r>
      </w:smartTag>
      <w:r w:rsidRPr="00196075">
        <w:rPr>
          <w:rFonts w:ascii="Tahoma" w:hAnsi="Tahoma" w:cs="Tahoma"/>
        </w:rPr>
        <w:t xml:space="preserve"> ustawionego krawężnika,</w:t>
      </w:r>
    </w:p>
    <w:p w:rsidR="00296202" w:rsidRPr="00196075" w:rsidRDefault="00296202" w:rsidP="00296202">
      <w:pPr>
        <w:numPr>
          <w:ilvl w:val="0"/>
          <w:numId w:val="8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równość górnej powierzchni krawężników, sprawdzane przez przyłożenie w dwóch punktach na każde </w:t>
      </w:r>
      <w:smartTag w:uri="urn:schemas-microsoft-com:office:smarttags" w:element="metricconverter">
        <w:smartTagPr>
          <w:attr w:name="ProductID" w:val="100 m"/>
        </w:smartTagPr>
        <w:r w:rsidRPr="00196075">
          <w:rPr>
            <w:rFonts w:ascii="Tahoma" w:hAnsi="Tahoma" w:cs="Tahoma"/>
          </w:rPr>
          <w:t>100 m</w:t>
        </w:r>
      </w:smartTag>
      <w:r w:rsidRPr="00196075">
        <w:rPr>
          <w:rFonts w:ascii="Tahoma" w:hAnsi="Tahoma" w:cs="Tahoma"/>
        </w:rPr>
        <w:t xml:space="preserve"> krawężnika, trzymetrowej łaty, przy czym prześwit pomiędzy górną powierzchnią krawężnika i przyłożoną łatą nie może przekraczać </w:t>
      </w:r>
      <w:smartTag w:uri="urn:schemas-microsoft-com:office:smarttags" w:element="metricconverter">
        <w:smartTagPr>
          <w:attr w:name="ProductID" w:val="1 cm"/>
        </w:smartTagPr>
        <w:r w:rsidRPr="00196075">
          <w:rPr>
            <w:rFonts w:ascii="Tahoma" w:hAnsi="Tahoma" w:cs="Tahoma"/>
          </w:rPr>
          <w:t xml:space="preserve">1 </w:t>
        </w:r>
        <w:proofErr w:type="spellStart"/>
        <w:r w:rsidRPr="00196075">
          <w:rPr>
            <w:rFonts w:ascii="Tahoma" w:hAnsi="Tahoma" w:cs="Tahoma"/>
          </w:rPr>
          <w:t>cm</w:t>
        </w:r>
      </w:smartTag>
      <w:proofErr w:type="spellEnd"/>
      <w:r w:rsidRPr="00196075">
        <w:rPr>
          <w:rFonts w:ascii="Tahoma" w:hAnsi="Tahoma" w:cs="Tahoma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6.4. Roboty nie spełniające wymagań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DM.00.00.00.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18" w:name="_7._OBMIAR_ROBÓT"/>
      <w:bookmarkStart w:id="19" w:name="_Toc141072309"/>
      <w:bookmarkStart w:id="20" w:name="_Toc141496953"/>
      <w:bookmarkEnd w:id="18"/>
      <w:r w:rsidRPr="00196075">
        <w:rPr>
          <w:rFonts w:ascii="Tahoma" w:hAnsi="Tahoma" w:cs="Tahoma"/>
          <w:b/>
        </w:rPr>
        <w:t>7. Obmiar robót</w:t>
      </w:r>
      <w:bookmarkEnd w:id="19"/>
      <w:bookmarkEnd w:id="20"/>
    </w:p>
    <w:p w:rsidR="00A33B88" w:rsidRDefault="00A33B88" w:rsidP="00A33B88">
      <w:pPr>
        <w:jc w:val="both"/>
        <w:rPr>
          <w:rFonts w:ascii="Tahoma" w:hAnsi="Tahoma" w:cs="Tahoma"/>
          <w:b/>
        </w:rPr>
      </w:pPr>
      <w:bookmarkStart w:id="21" w:name="_Toc141072310"/>
      <w:bookmarkStart w:id="22" w:name="_Toc141496954"/>
    </w:p>
    <w:p w:rsidR="00A33B88" w:rsidRPr="00A33B88" w:rsidRDefault="00A33B88" w:rsidP="00A33B88">
      <w:pPr>
        <w:jc w:val="both"/>
        <w:rPr>
          <w:rFonts w:ascii="Tahoma" w:hAnsi="Tahoma" w:cs="Tahoma"/>
          <w:b/>
        </w:rPr>
      </w:pPr>
      <w:r w:rsidRPr="00A33B88">
        <w:rPr>
          <w:rFonts w:ascii="Tahoma" w:hAnsi="Tahoma" w:cs="Tahoma"/>
          <w:b/>
        </w:rPr>
        <w:lastRenderedPageBreak/>
        <w:t>7.1. Ogólne zasady obmiaru robót</w:t>
      </w:r>
    </w:p>
    <w:p w:rsidR="00A33B88" w:rsidRPr="00A33B88" w:rsidRDefault="00A33B88" w:rsidP="00A33B88">
      <w:pPr>
        <w:jc w:val="both"/>
        <w:rPr>
          <w:rFonts w:ascii="Tahoma" w:hAnsi="Tahoma" w:cs="Tahoma"/>
        </w:rPr>
      </w:pPr>
      <w:r w:rsidRPr="00A33B88">
        <w:rPr>
          <w:rFonts w:ascii="Tahoma" w:hAnsi="Tahoma" w:cs="Tahoma"/>
        </w:rPr>
        <w:t>Ogólne zasady obmiaru robót podano w SST D-M-00.00.00 „Wymagania ogólne”.</w:t>
      </w:r>
    </w:p>
    <w:p w:rsidR="00A33B88" w:rsidRPr="00A33B88" w:rsidRDefault="00A33B88" w:rsidP="00A33B88">
      <w:pPr>
        <w:jc w:val="both"/>
        <w:rPr>
          <w:rFonts w:ascii="Tahoma" w:hAnsi="Tahoma" w:cs="Tahoma"/>
          <w:b/>
        </w:rPr>
      </w:pPr>
      <w:r w:rsidRPr="00A33B88">
        <w:rPr>
          <w:rFonts w:ascii="Tahoma" w:hAnsi="Tahoma" w:cs="Tahoma"/>
          <w:b/>
        </w:rPr>
        <w:t>7.2. Jednostka obmiarowa</w:t>
      </w:r>
    </w:p>
    <w:p w:rsidR="00296202" w:rsidRPr="00196075" w:rsidRDefault="00A33B88" w:rsidP="00A33B88">
      <w:pPr>
        <w:jc w:val="both"/>
        <w:rPr>
          <w:rFonts w:ascii="Tahoma" w:hAnsi="Tahoma" w:cs="Tahoma"/>
        </w:rPr>
      </w:pPr>
      <w:r w:rsidRPr="00A33B88">
        <w:rPr>
          <w:rFonts w:ascii="Tahoma" w:hAnsi="Tahoma" w:cs="Tahoma"/>
        </w:rPr>
        <w:t>Jednostką obmiarową jest m (metr) ustawionego krawężnika betonowego</w:t>
      </w:r>
      <w:r w:rsidR="0026549F">
        <w:rPr>
          <w:rFonts w:ascii="Tahoma" w:hAnsi="Tahoma" w:cs="Tahoma"/>
        </w:rPr>
        <w:t xml:space="preserve"> z wypełnieniem </w:t>
      </w:r>
      <w:r w:rsidR="0026549F" w:rsidRPr="00EE5138">
        <w:rPr>
          <w:rFonts w:ascii="Tahoma" w:hAnsi="Tahoma" w:cs="Tahoma"/>
        </w:rPr>
        <w:t>bitumiczną masą zalewową szczeliny między krawężnikiem a nawierzchnią drogową</w:t>
      </w:r>
      <w:r w:rsidRPr="00A33B88">
        <w:rPr>
          <w:rFonts w:ascii="Tahoma" w:hAnsi="Tahoma" w:cs="Tahoma"/>
        </w:rPr>
        <w:t>.</w:t>
      </w:r>
    </w:p>
    <w:p w:rsidR="00296202" w:rsidRDefault="00296202" w:rsidP="00296202">
      <w:pPr>
        <w:jc w:val="both"/>
        <w:rPr>
          <w:rFonts w:ascii="Tahoma" w:hAnsi="Tahoma" w:cs="Tahoma"/>
        </w:rPr>
      </w:pPr>
    </w:p>
    <w:bookmarkEnd w:id="21"/>
    <w:bookmarkEnd w:id="22"/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8. Odbiór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8.1. Ogólne zasady odbioru robót</w:t>
      </w:r>
    </w:p>
    <w:p w:rsidR="00D16A35" w:rsidRDefault="00D16A35" w:rsidP="00D16A35">
      <w:pPr>
        <w:jc w:val="both"/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 xml:space="preserve">Ogólne zasady odbioru robót podano w </w:t>
      </w:r>
      <w:proofErr w:type="spellStart"/>
      <w:r>
        <w:rPr>
          <w:rFonts w:ascii="Tahoma" w:eastAsia="Calibri" w:hAnsi="Tahoma" w:cs="Tahoma"/>
          <w:lang w:eastAsia="en-US"/>
        </w:rPr>
        <w:t>STWiORB</w:t>
      </w:r>
      <w:proofErr w:type="spellEnd"/>
      <w:r>
        <w:rPr>
          <w:rFonts w:ascii="Tahoma" w:eastAsia="Calibri" w:hAnsi="Tahoma" w:cs="Tahoma"/>
          <w:lang w:eastAsia="en-US"/>
        </w:rPr>
        <w:t xml:space="preserve">  D-M-00.00.00 „Wymagania ogólne” </w:t>
      </w:r>
      <w:proofErr w:type="spellStart"/>
      <w:r>
        <w:rPr>
          <w:rFonts w:ascii="Tahoma" w:eastAsia="Calibri" w:hAnsi="Tahoma" w:cs="Tahoma"/>
          <w:lang w:eastAsia="en-US"/>
        </w:rPr>
        <w:t>pkt</w:t>
      </w:r>
      <w:proofErr w:type="spellEnd"/>
      <w:r>
        <w:rPr>
          <w:rFonts w:ascii="Tahoma" w:eastAsia="Calibri" w:hAnsi="Tahoma" w:cs="Tahoma"/>
          <w:lang w:eastAsia="en-US"/>
        </w:rPr>
        <w:t xml:space="preserve"> 8.</w:t>
      </w:r>
    </w:p>
    <w:p w:rsidR="00296202" w:rsidRPr="00196075" w:rsidRDefault="00D16A35" w:rsidP="00D16A3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Roboty uznaje się za wykonane zgodnie z dokumentacją projektową,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 i wymaganiami Zamawiającego, jeżeli wszystkie pomiary i badania z zachowaniem tolerancji według </w:t>
      </w:r>
      <w:proofErr w:type="spellStart"/>
      <w:r>
        <w:rPr>
          <w:rFonts w:ascii="Tahoma" w:hAnsi="Tahoma" w:cs="Tahoma"/>
        </w:rPr>
        <w:t>pktu</w:t>
      </w:r>
      <w:proofErr w:type="spellEnd"/>
      <w:r>
        <w:rPr>
          <w:rFonts w:ascii="Tahoma" w:hAnsi="Tahoma" w:cs="Tahoma"/>
        </w:rPr>
        <w:t xml:space="preserve"> 6 dały wyniki pozytywne.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8.2. Dokumenty do odbioru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DM.00.00.00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23" w:name="_9._PODSTAWA_PŁATNOŚCI"/>
      <w:bookmarkStart w:id="24" w:name="_Toc141072311"/>
      <w:bookmarkStart w:id="25" w:name="_Toc141496955"/>
      <w:bookmarkEnd w:id="23"/>
      <w:r w:rsidRPr="00196075">
        <w:rPr>
          <w:rFonts w:ascii="Tahoma" w:hAnsi="Tahoma" w:cs="Tahoma"/>
          <w:b/>
        </w:rPr>
        <w:t>9. Podstawa płatności</w:t>
      </w:r>
      <w:bookmarkEnd w:id="24"/>
      <w:bookmarkEnd w:id="25"/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9.1. Ogólne ustalenia dotyczące podstawy płatności</w:t>
      </w:r>
    </w:p>
    <w:p w:rsidR="00296202" w:rsidRDefault="00D16A35" w:rsidP="0029620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D-M-00.00.00 „Wymagania ogólne” </w:t>
      </w:r>
      <w:proofErr w:type="spellStart"/>
      <w:r>
        <w:rPr>
          <w:rFonts w:ascii="Tahoma" w:hAnsi="Tahoma" w:cs="Tahoma"/>
        </w:rPr>
        <w:t>pkt</w:t>
      </w:r>
      <w:proofErr w:type="spellEnd"/>
      <w:r>
        <w:rPr>
          <w:rFonts w:ascii="Tahoma" w:hAnsi="Tahoma" w:cs="Tahoma"/>
        </w:rPr>
        <w:t xml:space="preserve"> 9.</w:t>
      </w:r>
    </w:p>
    <w:p w:rsidR="00D16A35" w:rsidRDefault="00D16A35" w:rsidP="00296202">
      <w:pPr>
        <w:jc w:val="both"/>
        <w:rPr>
          <w:rFonts w:ascii="Tahoma" w:hAnsi="Tahoma" w:cs="Tahoma"/>
        </w:rPr>
      </w:pPr>
    </w:p>
    <w:p w:rsidR="00D16A35" w:rsidRPr="00D16A35" w:rsidRDefault="00D16A35" w:rsidP="00296202">
      <w:pPr>
        <w:jc w:val="both"/>
        <w:rPr>
          <w:rFonts w:ascii="Tahoma" w:hAnsi="Tahoma" w:cs="Tahoma"/>
          <w:b/>
        </w:rPr>
      </w:pPr>
      <w:r w:rsidRPr="00D16A35">
        <w:rPr>
          <w:rFonts w:ascii="Tahoma" w:hAnsi="Tahoma" w:cs="Tahoma"/>
          <w:b/>
        </w:rPr>
        <w:t xml:space="preserve">9.2. Cena jednostkowa </w:t>
      </w:r>
    </w:p>
    <w:p w:rsidR="00D16A35" w:rsidRPr="00D16A35" w:rsidRDefault="00D16A35" w:rsidP="00D16A35">
      <w:pPr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Cena wykonania 1 m krawężnika betonowego obejmuje: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prace pomiarowe i roboty przygotowawcze,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dostarczenie materiałów na miejsce wbudowania,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wykonanie koryta pod ławę,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wykonanie szalunku,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wykonanie ławy,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wykonanie podsypki,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ustawienie krawężników na podsypce,</w:t>
      </w:r>
    </w:p>
    <w:p w:rsid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zasypanie zewnętrznej ściany krawężnika gruntem i ubicie,</w:t>
      </w:r>
    </w:p>
    <w:p w:rsidR="0026549F" w:rsidRPr="00D16A35" w:rsidRDefault="0026549F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wypełnienie </w:t>
      </w:r>
      <w:r w:rsidRPr="00EE5138">
        <w:rPr>
          <w:rFonts w:ascii="Tahoma" w:hAnsi="Tahoma" w:cs="Tahoma"/>
        </w:rPr>
        <w:t>bitumiczną masą zalewową szczeliny między krawężnikiem a nawierzchnią drogową</w:t>
      </w:r>
      <w:r>
        <w:rPr>
          <w:rFonts w:ascii="Tahoma" w:hAnsi="Tahoma" w:cs="Tahoma"/>
        </w:rPr>
        <w:t>,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przeprowadzenie badań i pomiarów wymaganych w specyfikacji technicznej.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26" w:name="_Toc141496956"/>
      <w:bookmarkStart w:id="27" w:name="_Toc141072312"/>
      <w:bookmarkStart w:id="28" w:name="_Toc120590630"/>
      <w:bookmarkStart w:id="29" w:name="_Toc115670890"/>
      <w:bookmarkStart w:id="30" w:name="_Toc113935596"/>
      <w:bookmarkStart w:id="31" w:name="_Toc92608251"/>
      <w:bookmarkStart w:id="32" w:name="_Toc90274382"/>
      <w:bookmarkStart w:id="33" w:name="_Toc85259367"/>
      <w:bookmarkStart w:id="34" w:name="_Toc84822934"/>
      <w:bookmarkStart w:id="35" w:name="_Toc84648750"/>
      <w:bookmarkStart w:id="36" w:name="_Toc79371980"/>
      <w:bookmarkStart w:id="37" w:name="_Toc25041751"/>
      <w:bookmarkStart w:id="38" w:name="_Toc24955917"/>
      <w:r w:rsidRPr="00196075">
        <w:rPr>
          <w:rFonts w:ascii="Tahoma" w:hAnsi="Tahoma" w:cs="Tahoma"/>
          <w:b/>
        </w:rPr>
        <w:t>10. Przepisy związane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  <w:lang w:val="de-DE"/>
        </w:rPr>
      </w:pPr>
      <w:r w:rsidRPr="00196075">
        <w:rPr>
          <w:rFonts w:ascii="Tahoma" w:hAnsi="Tahoma" w:cs="Tahoma"/>
          <w:b/>
          <w:lang w:val="de-DE"/>
        </w:rPr>
        <w:t xml:space="preserve">10.1. </w:t>
      </w:r>
      <w:proofErr w:type="spellStart"/>
      <w:r w:rsidRPr="00196075">
        <w:rPr>
          <w:rFonts w:ascii="Tahoma" w:hAnsi="Tahoma" w:cs="Tahoma"/>
          <w:b/>
          <w:lang w:val="de-DE"/>
        </w:rPr>
        <w:t>Normy</w:t>
      </w:r>
      <w:proofErr w:type="spellEnd"/>
    </w:p>
    <w:p w:rsidR="00296202" w:rsidRPr="00196075" w:rsidRDefault="00296202" w:rsidP="00296202">
      <w:pPr>
        <w:tabs>
          <w:tab w:val="left" w:pos="1418"/>
        </w:tabs>
        <w:ind w:left="1418" w:hanging="1418"/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lang w:val="de-DE"/>
        </w:rPr>
        <w:t>PN-EN 197-1</w:t>
      </w:r>
      <w:r w:rsidRPr="00196075">
        <w:rPr>
          <w:rFonts w:ascii="Tahoma" w:hAnsi="Tahoma" w:cs="Tahoma"/>
          <w:lang w:val="de-DE"/>
        </w:rPr>
        <w:tab/>
      </w:r>
      <w:r w:rsidRPr="00196075">
        <w:rPr>
          <w:rFonts w:ascii="Tahoma" w:hAnsi="Tahoma" w:cs="Tahoma"/>
        </w:rPr>
        <w:t>Cement. Część 1: Skład, wymagania i kryteria zgodności dotyczące cementu powszechnego użytku</w:t>
      </w:r>
    </w:p>
    <w:p w:rsidR="00296202" w:rsidRPr="00196075" w:rsidRDefault="00296202" w:rsidP="00296202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196075">
        <w:rPr>
          <w:rFonts w:ascii="Tahoma" w:hAnsi="Tahoma" w:cs="Tahoma"/>
        </w:rPr>
        <w:t>PN-EN 206</w:t>
      </w:r>
      <w:r w:rsidRPr="00196075">
        <w:rPr>
          <w:rFonts w:ascii="Tahoma" w:hAnsi="Tahoma" w:cs="Tahoma"/>
        </w:rPr>
        <w:tab/>
        <w:t>Beton. Wymagania, właściwości, produkcja i zgodność</w:t>
      </w:r>
    </w:p>
    <w:p w:rsidR="00296202" w:rsidRPr="00196075" w:rsidRDefault="00296202" w:rsidP="00296202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196075">
        <w:rPr>
          <w:rFonts w:ascii="Tahoma" w:hAnsi="Tahoma" w:cs="Tahoma"/>
        </w:rPr>
        <w:t>PN-EN 1340</w:t>
      </w:r>
      <w:r w:rsidRPr="00196075">
        <w:rPr>
          <w:rFonts w:ascii="Tahoma" w:hAnsi="Tahoma" w:cs="Tahoma"/>
        </w:rPr>
        <w:tab/>
        <w:t>Krawężniki betonowe. Wymagania i metody badań</w:t>
      </w:r>
    </w:p>
    <w:p w:rsidR="00296202" w:rsidRPr="00196075" w:rsidRDefault="00296202" w:rsidP="00296202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196075">
        <w:rPr>
          <w:rFonts w:ascii="Tahoma" w:hAnsi="Tahoma" w:cs="Tahoma"/>
        </w:rPr>
        <w:t>PN-EN 13369</w:t>
      </w:r>
      <w:r w:rsidRPr="00196075">
        <w:rPr>
          <w:rFonts w:ascii="Tahoma" w:hAnsi="Tahoma" w:cs="Tahoma"/>
        </w:rPr>
        <w:tab/>
        <w:t>Wspólne wymagania dla prefabrykatów betonowych</w:t>
      </w:r>
    </w:p>
    <w:p w:rsidR="00296202" w:rsidRPr="00196075" w:rsidRDefault="00296202" w:rsidP="00296202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196075">
        <w:rPr>
          <w:rFonts w:ascii="Tahoma" w:hAnsi="Tahoma" w:cs="Tahoma"/>
        </w:rPr>
        <w:t>PN-63/B-06251</w:t>
      </w:r>
      <w:r w:rsidRPr="00196075">
        <w:rPr>
          <w:rFonts w:ascii="Tahoma" w:hAnsi="Tahoma" w:cs="Tahoma"/>
        </w:rPr>
        <w:tab/>
        <w:t>Roboty betonowe i żelbetowe</w:t>
      </w:r>
    </w:p>
    <w:p w:rsidR="00296202" w:rsidRPr="00196075" w:rsidRDefault="00296202" w:rsidP="00296202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196075">
        <w:rPr>
          <w:rFonts w:ascii="Tahoma" w:hAnsi="Tahoma" w:cs="Tahoma"/>
        </w:rPr>
        <w:t>PN-EN 1008</w:t>
      </w:r>
      <w:r w:rsidRPr="00196075">
        <w:rPr>
          <w:rFonts w:ascii="Tahoma" w:hAnsi="Tahoma" w:cs="Tahoma"/>
        </w:rPr>
        <w:tab/>
        <w:t xml:space="preserve">Woda </w:t>
      </w:r>
      <w:proofErr w:type="spellStart"/>
      <w:r w:rsidRPr="00196075">
        <w:rPr>
          <w:rFonts w:ascii="Tahoma" w:hAnsi="Tahoma" w:cs="Tahoma"/>
        </w:rPr>
        <w:t>zarobowa</w:t>
      </w:r>
      <w:proofErr w:type="spellEnd"/>
      <w:r w:rsidRPr="00196075">
        <w:rPr>
          <w:rFonts w:ascii="Tahoma" w:hAnsi="Tahoma" w:cs="Tahoma"/>
        </w:rPr>
        <w:t xml:space="preserve"> do betonu</w:t>
      </w:r>
    </w:p>
    <w:p w:rsidR="00296202" w:rsidRPr="00196075" w:rsidRDefault="00296202" w:rsidP="00296202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196075">
        <w:rPr>
          <w:rFonts w:ascii="Tahoma" w:hAnsi="Tahoma" w:cs="Tahoma"/>
        </w:rPr>
        <w:t>BN-6731-08</w:t>
      </w:r>
      <w:r w:rsidRPr="00196075">
        <w:rPr>
          <w:rFonts w:ascii="Tahoma" w:hAnsi="Tahoma" w:cs="Tahoma"/>
        </w:rPr>
        <w:tab/>
        <w:t>Cement. Transport i przechowywanie</w:t>
      </w:r>
    </w:p>
    <w:p w:rsidR="00296202" w:rsidRDefault="00296202" w:rsidP="00296202">
      <w:pPr>
        <w:pStyle w:val="Tekstpodstawowy"/>
        <w:tabs>
          <w:tab w:val="left" w:pos="1418"/>
        </w:tabs>
        <w:ind w:left="1418" w:hanging="1418"/>
        <w:rPr>
          <w:rFonts w:ascii="Tahoma" w:hAnsi="Tahoma" w:cs="Tahoma"/>
          <w:sz w:val="20"/>
        </w:rPr>
      </w:pPr>
      <w:r w:rsidRPr="00196075">
        <w:rPr>
          <w:rFonts w:ascii="Tahoma" w:hAnsi="Tahoma" w:cs="Tahoma"/>
          <w:sz w:val="20"/>
        </w:rPr>
        <w:t>PN-EN 13242</w:t>
      </w:r>
      <w:r w:rsidRPr="00196075">
        <w:rPr>
          <w:rFonts w:ascii="Tahoma" w:hAnsi="Tahoma" w:cs="Tahoma"/>
          <w:sz w:val="20"/>
        </w:rPr>
        <w:tab/>
        <w:t>Kruszywa do niezwiązanych i związanych hydraulicznie materiałów stosowanych w obiektach budowlanych i budownictwie drogowym</w:t>
      </w:r>
    </w:p>
    <w:p w:rsidR="00296202" w:rsidRPr="00D07C94" w:rsidRDefault="0026549F" w:rsidP="00D07C94">
      <w:pPr>
        <w:pStyle w:val="Tekstpodstawowy"/>
        <w:tabs>
          <w:tab w:val="left" w:pos="1418"/>
        </w:tabs>
        <w:ind w:left="1418" w:hanging="1418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PN-EN 14188-1 </w:t>
      </w:r>
      <w:r w:rsidRPr="0026549F">
        <w:rPr>
          <w:rFonts w:ascii="Tahoma" w:hAnsi="Tahoma" w:cs="Tahoma"/>
          <w:sz w:val="20"/>
        </w:rPr>
        <w:t xml:space="preserve">Wypełniacze szczelin i zalewy drogowe. Część 1: Wymagania </w:t>
      </w:r>
      <w:r>
        <w:rPr>
          <w:rFonts w:ascii="Tahoma" w:hAnsi="Tahoma" w:cs="Tahoma"/>
          <w:sz w:val="20"/>
        </w:rPr>
        <w:t>wobec zalew drogowych na gorąco</w:t>
      </w:r>
    </w:p>
    <w:sectPr w:rsidR="00296202" w:rsidRPr="00D07C94" w:rsidSect="00035801">
      <w:headerReference w:type="even" r:id="rId7"/>
      <w:footerReference w:type="even" r:id="rId8"/>
      <w:footerReference w:type="default" r:id="rId9"/>
      <w:pgSz w:w="11906" w:h="16838" w:code="9"/>
      <w:pgMar w:top="1276" w:right="1134" w:bottom="1276" w:left="1134" w:header="850" w:footer="709" w:gutter="0"/>
      <w:paperSrc w:first="15" w:other="15"/>
      <w:pgNumType w:start="1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FF9" w:rsidRDefault="00000FF9" w:rsidP="00296202">
      <w:r>
        <w:separator/>
      </w:r>
    </w:p>
  </w:endnote>
  <w:endnote w:type="continuationSeparator" w:id="0">
    <w:p w:rsidR="00000FF9" w:rsidRDefault="00000FF9" w:rsidP="002962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49D" w:rsidRDefault="00F01D8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947E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5449D" w:rsidRDefault="00000FF9">
    <w:pPr>
      <w:pStyle w:val="Stopk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01313"/>
      <w:docPartObj>
        <w:docPartGallery w:val="Page Numbers (Bottom of Page)"/>
        <w:docPartUnique/>
      </w:docPartObj>
    </w:sdtPr>
    <w:sdtContent>
      <w:p w:rsidR="00035801" w:rsidRDefault="00F01D8F">
        <w:pPr>
          <w:pStyle w:val="Stopka"/>
          <w:jc w:val="right"/>
        </w:pPr>
        <w:r w:rsidRPr="00035801">
          <w:rPr>
            <w:rFonts w:ascii="Tahoma" w:hAnsi="Tahoma" w:cs="Tahoma"/>
          </w:rPr>
          <w:fldChar w:fldCharType="begin"/>
        </w:r>
        <w:r w:rsidR="00035801" w:rsidRPr="00035801">
          <w:rPr>
            <w:rFonts w:ascii="Tahoma" w:hAnsi="Tahoma" w:cs="Tahoma"/>
          </w:rPr>
          <w:instrText xml:space="preserve"> PAGE   \* MERGEFORMAT </w:instrText>
        </w:r>
        <w:r w:rsidRPr="00035801">
          <w:rPr>
            <w:rFonts w:ascii="Tahoma" w:hAnsi="Tahoma" w:cs="Tahoma"/>
          </w:rPr>
          <w:fldChar w:fldCharType="separate"/>
        </w:r>
        <w:r w:rsidR="00EC37C7">
          <w:rPr>
            <w:rFonts w:ascii="Tahoma" w:hAnsi="Tahoma" w:cs="Tahoma"/>
            <w:noProof/>
          </w:rPr>
          <w:t>2</w:t>
        </w:r>
        <w:r w:rsidRPr="00035801">
          <w:rPr>
            <w:rFonts w:ascii="Tahoma" w:hAnsi="Tahoma" w:cs="Tahoma"/>
          </w:rPr>
          <w:fldChar w:fldCharType="end"/>
        </w:r>
      </w:p>
    </w:sdtContent>
  </w:sdt>
  <w:p w:rsidR="00035801" w:rsidRDefault="0003580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FF9" w:rsidRDefault="00000FF9" w:rsidP="00296202">
      <w:r>
        <w:separator/>
      </w:r>
    </w:p>
  </w:footnote>
  <w:footnote w:type="continuationSeparator" w:id="0">
    <w:p w:rsidR="00000FF9" w:rsidRDefault="00000FF9" w:rsidP="002962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49D" w:rsidRDefault="00F01D8F">
    <w:pPr>
      <w:pStyle w:val="Nagwek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6947E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947E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5449D" w:rsidRDefault="00000FF9">
    <w:pPr>
      <w:pStyle w:val="Nagwek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61A9B"/>
    <w:multiLevelType w:val="hybridMultilevel"/>
    <w:tmpl w:val="C206F306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D93E63"/>
    <w:multiLevelType w:val="hybridMultilevel"/>
    <w:tmpl w:val="1466F3B4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C311AA1"/>
    <w:multiLevelType w:val="hybridMultilevel"/>
    <w:tmpl w:val="B568CE30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745098"/>
    <w:multiLevelType w:val="hybridMultilevel"/>
    <w:tmpl w:val="418C03F4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E61E1E"/>
    <w:multiLevelType w:val="hybridMultilevel"/>
    <w:tmpl w:val="25662F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915C9B"/>
    <w:multiLevelType w:val="hybridMultilevel"/>
    <w:tmpl w:val="C0DC4AE4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00E5F69"/>
    <w:multiLevelType w:val="hybridMultilevel"/>
    <w:tmpl w:val="0DBE9E18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047813"/>
    <w:multiLevelType w:val="hybridMultilevel"/>
    <w:tmpl w:val="6430F418"/>
    <w:lvl w:ilvl="0" w:tplc="2482D654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vertAlign w:val="baseli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9356B1"/>
    <w:multiLevelType w:val="hybridMultilevel"/>
    <w:tmpl w:val="12F212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FB3D35"/>
    <w:multiLevelType w:val="hybridMultilevel"/>
    <w:tmpl w:val="A0E64198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AB07916"/>
    <w:multiLevelType w:val="hybridMultilevel"/>
    <w:tmpl w:val="4574E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54646F"/>
    <w:multiLevelType w:val="hybridMultilevel"/>
    <w:tmpl w:val="9EDE2726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CC029DB"/>
    <w:multiLevelType w:val="hybridMultilevel"/>
    <w:tmpl w:val="C90EB0A4"/>
    <w:lvl w:ilvl="0" w:tplc="36FCC8B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013928"/>
    <w:multiLevelType w:val="hybridMultilevel"/>
    <w:tmpl w:val="6E60E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11"/>
  </w:num>
  <w:num w:numId="8">
    <w:abstractNumId w:val="5"/>
  </w:num>
  <w:num w:numId="9">
    <w:abstractNumId w:val="12"/>
  </w:num>
  <w:num w:numId="10">
    <w:abstractNumId w:val="4"/>
  </w:num>
  <w:num w:numId="11">
    <w:abstractNumId w:val="10"/>
  </w:num>
  <w:num w:numId="12">
    <w:abstractNumId w:val="8"/>
  </w:num>
  <w:num w:numId="13">
    <w:abstractNumId w:val="1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6202"/>
    <w:rsid w:val="00000FF9"/>
    <w:rsid w:val="00035801"/>
    <w:rsid w:val="000556AE"/>
    <w:rsid w:val="000A069D"/>
    <w:rsid w:val="000A1990"/>
    <w:rsid w:val="000A228A"/>
    <w:rsid w:val="001176CB"/>
    <w:rsid w:val="00123A70"/>
    <w:rsid w:val="00156617"/>
    <w:rsid w:val="00196075"/>
    <w:rsid w:val="001B67E2"/>
    <w:rsid w:val="002001EF"/>
    <w:rsid w:val="00200EF6"/>
    <w:rsid w:val="0026549F"/>
    <w:rsid w:val="0029120B"/>
    <w:rsid w:val="00296202"/>
    <w:rsid w:val="002D3E0B"/>
    <w:rsid w:val="00300A01"/>
    <w:rsid w:val="00352FCF"/>
    <w:rsid w:val="00356988"/>
    <w:rsid w:val="003672D1"/>
    <w:rsid w:val="00370816"/>
    <w:rsid w:val="003A11F5"/>
    <w:rsid w:val="003A19FD"/>
    <w:rsid w:val="003D05EA"/>
    <w:rsid w:val="003F152A"/>
    <w:rsid w:val="00451C60"/>
    <w:rsid w:val="00477EED"/>
    <w:rsid w:val="004C3EED"/>
    <w:rsid w:val="004C7F0A"/>
    <w:rsid w:val="004E60A4"/>
    <w:rsid w:val="005054EA"/>
    <w:rsid w:val="005A2FD5"/>
    <w:rsid w:val="005C0F45"/>
    <w:rsid w:val="005C62B3"/>
    <w:rsid w:val="005D58C0"/>
    <w:rsid w:val="00642F57"/>
    <w:rsid w:val="00674290"/>
    <w:rsid w:val="00686EE3"/>
    <w:rsid w:val="006947E4"/>
    <w:rsid w:val="006F6EEC"/>
    <w:rsid w:val="00700296"/>
    <w:rsid w:val="00703EBF"/>
    <w:rsid w:val="00767D9A"/>
    <w:rsid w:val="007C38DD"/>
    <w:rsid w:val="00821A4A"/>
    <w:rsid w:val="00844DDA"/>
    <w:rsid w:val="00856A21"/>
    <w:rsid w:val="00895C23"/>
    <w:rsid w:val="008F669A"/>
    <w:rsid w:val="009A152E"/>
    <w:rsid w:val="009F0908"/>
    <w:rsid w:val="00A33B88"/>
    <w:rsid w:val="00A97364"/>
    <w:rsid w:val="00AA4D2C"/>
    <w:rsid w:val="00AB6509"/>
    <w:rsid w:val="00AF4D9A"/>
    <w:rsid w:val="00AF6037"/>
    <w:rsid w:val="00B25D02"/>
    <w:rsid w:val="00B27761"/>
    <w:rsid w:val="00B30F95"/>
    <w:rsid w:val="00B530A3"/>
    <w:rsid w:val="00B64E39"/>
    <w:rsid w:val="00C07322"/>
    <w:rsid w:val="00C27F4B"/>
    <w:rsid w:val="00C32008"/>
    <w:rsid w:val="00C62B30"/>
    <w:rsid w:val="00CD1290"/>
    <w:rsid w:val="00D07C94"/>
    <w:rsid w:val="00D16A35"/>
    <w:rsid w:val="00D24A74"/>
    <w:rsid w:val="00D30262"/>
    <w:rsid w:val="00DC7844"/>
    <w:rsid w:val="00DE2ED5"/>
    <w:rsid w:val="00E92124"/>
    <w:rsid w:val="00EC37C7"/>
    <w:rsid w:val="00EE194D"/>
    <w:rsid w:val="00EE5138"/>
    <w:rsid w:val="00EE6CFE"/>
    <w:rsid w:val="00EF1F04"/>
    <w:rsid w:val="00EF2C00"/>
    <w:rsid w:val="00F01D8F"/>
    <w:rsid w:val="00F614C5"/>
    <w:rsid w:val="00F75A54"/>
    <w:rsid w:val="00FA509F"/>
    <w:rsid w:val="00FB5502"/>
    <w:rsid w:val="00FF5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620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96202"/>
    <w:pPr>
      <w:keepNext/>
      <w:jc w:val="both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96202"/>
    <w:rPr>
      <w:rFonts w:ascii="Times New Roman" w:eastAsia="Times New Roman" w:hAnsi="Times New Roman" w:cs="Times New Roman"/>
      <w:b/>
      <w:snapToGrid w:val="0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96202"/>
    <w:pPr>
      <w:ind w:firstLine="705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96202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296202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96202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2962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6202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2962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6202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styleId="Numerstrony">
    <w:name w:val="page number"/>
    <w:basedOn w:val="Domylnaczcionkaakapitu"/>
    <w:rsid w:val="00296202"/>
  </w:style>
  <w:style w:type="paragraph" w:styleId="Tekstdymka">
    <w:name w:val="Balloon Text"/>
    <w:basedOn w:val="Normalny"/>
    <w:link w:val="TekstdymkaZnak"/>
    <w:uiPriority w:val="99"/>
    <w:semiHidden/>
    <w:unhideWhenUsed/>
    <w:rsid w:val="002962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6202"/>
    <w:rPr>
      <w:rFonts w:ascii="Tahoma" w:eastAsia="Times New Roman" w:hAnsi="Tahoma" w:cs="Tahoma"/>
      <w:snapToGrid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96075"/>
    <w:pPr>
      <w:ind w:left="720"/>
      <w:contextualSpacing/>
    </w:pPr>
  </w:style>
  <w:style w:type="paragraph" w:customStyle="1" w:styleId="Default">
    <w:name w:val="Default"/>
    <w:rsid w:val="001960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2247</Words>
  <Characters>13487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2022-03-14T21:20:00Z</dcterms:created>
  <dcterms:modified xsi:type="dcterms:W3CDTF">2022-03-14T21:20:00Z</dcterms:modified>
</cp:coreProperties>
</file>