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700EE6">
        <w:rPr>
          <w:rFonts w:ascii="Tahoma" w:hAnsi="Tahoma" w:cs="Tahoma"/>
          <w:sz w:val="20"/>
        </w:rPr>
        <w:t>„</w:t>
      </w:r>
      <w:bookmarkStart w:id="1" w:name="_Hlk511220879"/>
      <w:bookmarkEnd w:id="1"/>
      <w:r w:rsidR="004F4C31" w:rsidRPr="004F4C31">
        <w:rPr>
          <w:rFonts w:ascii="Tahoma" w:hAnsi="Tahoma" w:cs="Tahoma"/>
          <w:sz w:val="20"/>
        </w:rPr>
        <w:t xml:space="preserve">Modernizacja infrastruktury drogowej na terenie gminy Wodzierady - przebudowa drogi gminnej wewnętrznej w m. Dobruchów - dz. nr </w:t>
      </w:r>
      <w:proofErr w:type="spellStart"/>
      <w:r w:rsidR="004F4C31" w:rsidRPr="004F4C31">
        <w:rPr>
          <w:rFonts w:ascii="Tahoma" w:hAnsi="Tahoma" w:cs="Tahoma"/>
          <w:sz w:val="20"/>
        </w:rPr>
        <w:t>ewid</w:t>
      </w:r>
      <w:proofErr w:type="spellEnd"/>
      <w:r w:rsidR="004F4C31" w:rsidRPr="004F4C31">
        <w:rPr>
          <w:rFonts w:ascii="Tahoma" w:hAnsi="Tahoma" w:cs="Tahoma"/>
          <w:sz w:val="20"/>
        </w:rPr>
        <w:t>. 97, 71, 118/3, 118/4, 118/5, 118/6, obręb Dobruchów</w:t>
      </w:r>
      <w:r w:rsidR="00700EE6">
        <w:rPr>
          <w:rFonts w:ascii="Tahoma" w:hAnsi="Tahoma" w:cs="Tahoma"/>
          <w:sz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t>
      </w:r>
      <w:r>
        <w:rPr>
          <w:rFonts w:ascii="Tahoma" w:hAnsi="Tahoma" w:cs="Tahoma"/>
          <w:sz w:val="20"/>
        </w:rPr>
        <w:lastRenderedPageBreak/>
        <w:t>właściwościom płyty warstwowej, a mocowanie jej do konstrukcji wsporczej należy zapewnić 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w:t>
      </w:r>
      <w:r>
        <w:rPr>
          <w:rFonts w:ascii="Tahoma" w:hAnsi="Tahoma" w:cs="Tahoma"/>
          <w:sz w:val="20"/>
          <w:szCs w:val="20"/>
        </w:rPr>
        <w:lastRenderedPageBreak/>
        <w:t>2 lub zwiększone wymagania postawione w Krajowej Ocenie Technicznej (KOT) lub/i aktualnej 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lastRenderedPageBreak/>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w:t>
      </w:r>
      <w:r>
        <w:rPr>
          <w:rFonts w:ascii="Tahoma" w:hAnsi="Tahoma" w:cs="Tahoma"/>
          <w:sz w:val="20"/>
          <w:szCs w:val="20"/>
        </w:rPr>
        <w:lastRenderedPageBreak/>
        <w:t>fundamentu betonem. Płaszczyzny boczne fundamentów stykające się z gruntem należy zabezpieczyć 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lastRenderedPageBreak/>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lastRenderedPageBreak/>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 xml:space="preserve">Bierne bezpieczeństwo konstrukcji wsporczych dla urządzeń drogowych.  </w:t>
      </w:r>
      <w:r>
        <w:rPr>
          <w:rFonts w:ascii="Tahoma" w:hAnsi="Tahoma" w:cs="Tahoma"/>
          <w:sz w:val="20"/>
          <w:szCs w:val="20"/>
        </w:rPr>
        <w:lastRenderedPageBreak/>
        <w:t>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16F" w:rsidRDefault="0051516F" w:rsidP="0062765D">
      <w:r>
        <w:separator/>
      </w:r>
    </w:p>
  </w:endnote>
  <w:endnote w:type="continuationSeparator" w:id="0">
    <w:p w:rsidR="0051516F" w:rsidRDefault="0051516F"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AF39B2">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4F4C31">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16F" w:rsidRDefault="0051516F" w:rsidP="0062765D">
      <w:r>
        <w:separator/>
      </w:r>
    </w:p>
  </w:footnote>
  <w:footnote w:type="continuationSeparator" w:id="0">
    <w:p w:rsidR="0051516F" w:rsidRDefault="0051516F"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0F35"/>
    <w:rsid w:val="00097E35"/>
    <w:rsid w:val="000B61D8"/>
    <w:rsid w:val="001008A8"/>
    <w:rsid w:val="002E1045"/>
    <w:rsid w:val="00302198"/>
    <w:rsid w:val="00323648"/>
    <w:rsid w:val="00347F82"/>
    <w:rsid w:val="0039089D"/>
    <w:rsid w:val="00437C17"/>
    <w:rsid w:val="004F0208"/>
    <w:rsid w:val="004F4C31"/>
    <w:rsid w:val="0051516F"/>
    <w:rsid w:val="00517541"/>
    <w:rsid w:val="00552D4E"/>
    <w:rsid w:val="005D6302"/>
    <w:rsid w:val="0062765D"/>
    <w:rsid w:val="00700EE6"/>
    <w:rsid w:val="00915607"/>
    <w:rsid w:val="009A37DB"/>
    <w:rsid w:val="00AF39B2"/>
    <w:rsid w:val="00C7549E"/>
    <w:rsid w:val="00E516CB"/>
    <w:rsid w:val="00EE740A"/>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856E5-A5E2-401D-8E4A-436FB4FC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6055</Words>
  <Characters>36331</Characters>
  <Application>Microsoft Office Word</Application>
  <DocSecurity>0</DocSecurity>
  <Lines>302</Lines>
  <Paragraphs>84</Paragraphs>
  <ScaleCrop>false</ScaleCrop>
  <Company>MOSTY Katowice</Company>
  <LinksUpToDate>false</LinksUpToDate>
  <CharactersWithSpaces>42302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2022-03-14T21:59:00Z</dcterms:created>
  <dcterms:modified xsi:type="dcterms:W3CDTF">2022-03-14T21:59:00Z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