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70708D" w:rsidRPr="0070708D">
        <w:rPr>
          <w:rFonts w:ascii="Tahoma" w:hAnsi="Tahoma" w:cs="Tahoma"/>
          <w:sz w:val="20"/>
        </w:rPr>
        <w:t xml:space="preserve">Modernizacja infrastruktury drogowej na terenie gminy Wodzierady - remont drogi gminnej nr 108208E </w:t>
      </w:r>
      <w:proofErr w:type="spellStart"/>
      <w:r w:rsidR="0070708D" w:rsidRPr="0070708D">
        <w:rPr>
          <w:rFonts w:ascii="Tahoma" w:hAnsi="Tahoma" w:cs="Tahoma"/>
          <w:sz w:val="20"/>
        </w:rPr>
        <w:t>Ludowinka</w:t>
      </w:r>
      <w:proofErr w:type="spellEnd"/>
      <w:r w:rsidR="0070708D" w:rsidRPr="0070708D">
        <w:rPr>
          <w:rFonts w:ascii="Tahoma" w:hAnsi="Tahoma" w:cs="Tahoma"/>
          <w:sz w:val="20"/>
        </w:rPr>
        <w:t xml:space="preserve"> - Hipolitów</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975" w:rsidRDefault="00A62975" w:rsidP="0062765D">
      <w:r>
        <w:separator/>
      </w:r>
    </w:p>
  </w:endnote>
  <w:endnote w:type="continuationSeparator" w:id="0">
    <w:p w:rsidR="00A62975" w:rsidRDefault="00A62975"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8849FE">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70708D">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975" w:rsidRDefault="00A62975" w:rsidP="0062765D">
      <w:r>
        <w:separator/>
      </w:r>
    </w:p>
  </w:footnote>
  <w:footnote w:type="continuationSeparator" w:id="0">
    <w:p w:rsidR="00A62975" w:rsidRDefault="00A62975"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E1045"/>
    <w:rsid w:val="00302198"/>
    <w:rsid w:val="00323648"/>
    <w:rsid w:val="00347F82"/>
    <w:rsid w:val="0039089D"/>
    <w:rsid w:val="00437C17"/>
    <w:rsid w:val="004E3A1D"/>
    <w:rsid w:val="004F0208"/>
    <w:rsid w:val="00517541"/>
    <w:rsid w:val="00552D4E"/>
    <w:rsid w:val="005D6302"/>
    <w:rsid w:val="0062765D"/>
    <w:rsid w:val="00700EE6"/>
    <w:rsid w:val="0070708D"/>
    <w:rsid w:val="00781761"/>
    <w:rsid w:val="008849FE"/>
    <w:rsid w:val="00915607"/>
    <w:rsid w:val="009A37DB"/>
    <w:rsid w:val="00A62975"/>
    <w:rsid w:val="00C7549E"/>
    <w:rsid w:val="00CF44B2"/>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D5CED-D9BA-4837-89B6-C0639DDF6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6045</Words>
  <Characters>36276</Characters>
  <Application>Microsoft Office Word</Application>
  <DocSecurity>0</DocSecurity>
  <Lines>302</Lines>
  <Paragraphs>84</Paragraphs>
  <ScaleCrop>false</ScaleCrop>
  <Company>MOSTY Katowice</Company>
  <LinksUpToDate>false</LinksUpToDate>
  <CharactersWithSpaces>42237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2022-03-21T22:26:00Z</dcterms:created>
  <dcterms:modified xsi:type="dcterms:W3CDTF">2022-03-21T22:26:00Z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