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CC567D" w:rsidRPr="00CC567D">
        <w:rPr>
          <w:rFonts w:ascii="Tahoma" w:hAnsi="Tahoma" w:cs="Tahoma"/>
          <w:sz w:val="20"/>
        </w:rPr>
        <w:t xml:space="preserve">Modernizacja infrastruktury drogowej na terenie Gminy Wodzierady - remont drogi gminnej nr 103405E granica Gminy </w:t>
      </w:r>
      <w:r w:rsidR="00CC567D" w:rsidRPr="00CC567D">
        <w:rPr>
          <w:rFonts w:ascii="Tahoma" w:hAnsi="Tahoma" w:cs="Tahoma" w:hint="eastAsia"/>
          <w:sz w:val="20"/>
        </w:rPr>
        <w:t>Ł</w:t>
      </w:r>
      <w:r w:rsidR="00CC567D" w:rsidRPr="00CC567D">
        <w:rPr>
          <w:rFonts w:ascii="Tahoma" w:hAnsi="Tahoma" w:cs="Tahoma"/>
          <w:sz w:val="20"/>
        </w:rPr>
        <w:t>ask - Kiki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5B5551" w:rsidRPr="006C7655"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CF9" w:rsidRDefault="00E00CF9" w:rsidP="005E5D9E">
      <w:r>
        <w:separator/>
      </w:r>
    </w:p>
  </w:endnote>
  <w:endnote w:type="continuationSeparator" w:id="0">
    <w:p w:rsidR="00E00CF9" w:rsidRDefault="00E00CF9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C8578F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C567D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CF9" w:rsidRDefault="00E00CF9" w:rsidP="005E5D9E">
      <w:r>
        <w:separator/>
      </w:r>
    </w:p>
  </w:footnote>
  <w:footnote w:type="continuationSeparator" w:id="0">
    <w:p w:rsidR="00E00CF9" w:rsidRDefault="00E00CF9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40106"/>
    <w:rsid w:val="00C57155"/>
    <w:rsid w:val="00C6224C"/>
    <w:rsid w:val="00C712F5"/>
    <w:rsid w:val="00C76FDB"/>
    <w:rsid w:val="00C8578F"/>
    <w:rsid w:val="00C86A7E"/>
    <w:rsid w:val="00CC567D"/>
    <w:rsid w:val="00CF0BF5"/>
    <w:rsid w:val="00CF0CD0"/>
    <w:rsid w:val="00D05802"/>
    <w:rsid w:val="00D361B9"/>
    <w:rsid w:val="00D45B30"/>
    <w:rsid w:val="00D62D52"/>
    <w:rsid w:val="00E00CF9"/>
    <w:rsid w:val="00E32DFA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7291</Words>
  <Characters>43750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2022-03-15T20:17:00Z</dcterms:created>
  <dcterms:modified xsi:type="dcterms:W3CDTF">2022-03-15T20:17:00Z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