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2C7F" w:rsidRPr="00386DE6" w:rsidRDefault="00252C7F" w:rsidP="00252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B164F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.12.2024r.</w:t>
      </w:r>
    </w:p>
    <w:p w:rsidR="00252C7F" w:rsidRDefault="00252C7F" w:rsidP="00252C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252C7F" w:rsidRDefault="00252C7F" w:rsidP="00252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2C7F" w:rsidRDefault="00252C7F" w:rsidP="00252C7F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 w:rsidR="00DA45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252C7F" w:rsidRDefault="00252C7F" w:rsidP="00252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C7F" w:rsidRDefault="00252C7F" w:rsidP="00252C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:rsidR="00252C7F" w:rsidRDefault="00252C7F" w:rsidP="00252C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575" w:rsidRPr="0023355C" w:rsidRDefault="00252C7F" w:rsidP="00DA45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pn. </w:t>
      </w:r>
      <w:r w:rsidR="00DA4575" w:rsidRPr="00D4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„Budowa zespołu farm fotowoltaicznych </w:t>
      </w:r>
      <w:r w:rsidR="00DA4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A4575" w:rsidRPr="00D4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mocy do 8 MW wraz z niezbędną infrastrukturą techniczną zlokalizowanych w obrębie Garbatka-Dziewiątka, gmina Garbatka-Letnisko, powiat kozienicki, województwo mazowieckie.”</w:t>
      </w:r>
    </w:p>
    <w:p w:rsidR="00252C7F" w:rsidRDefault="00252C7F" w:rsidP="00252C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572),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2024r. poz. 1112)</w:t>
      </w:r>
    </w:p>
    <w:p w:rsidR="00252C7F" w:rsidRDefault="00252C7F" w:rsidP="00252C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8D3" w:rsidRDefault="00B068D3" w:rsidP="00B068D3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zawiadamiam osoby, którym przysługują prawa rzeczowe do działki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nr ew. 3, 10/3, 13, 48, 52, 55, 58 obręb 0009 Garbatka-Dziewiątka,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gmina Garbatka-Letnisko</w:t>
      </w:r>
    </w:p>
    <w:p w:rsidR="00252C7F" w:rsidRDefault="00252C7F" w:rsidP="00252C7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2C7F" w:rsidRPr="00DA4575" w:rsidRDefault="00252C7F" w:rsidP="00252C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pn. </w:t>
      </w:r>
      <w:r w:rsidR="00DA4575" w:rsidRPr="00D4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zespołu farm fotowoltaicznych o mocy do 8 MW wraz z niezbędną infrastrukturą techniczną zlokalizowanych w obrębie Garbatka-Dziewiątka, gmina Garbatka-Letnisko, powiat kozienicki, województwo mazowieckie.”</w:t>
      </w: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E0D">
        <w:rPr>
          <w:rFonts w:ascii="Times New Roman" w:hAnsi="Times New Roman" w:cs="Times New Roman"/>
          <w:sz w:val="24"/>
          <w:szCs w:val="24"/>
        </w:rPr>
        <w:t>Zgodnie z art. 74 ust. 3f i 3h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B20E0D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o środowiskowych uwarunkowaniach. Do zawiadomień o decyzjach i innych czynnościach organu osób, którym przysługują prawa rzeczowe do</w:t>
      </w:r>
      <w: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w szczególności danych osobowych, w tym adresu, właściciela lub użytkownika wieczystego nieruchomości znajdującej się w obszarze, na który będzie oddziaływać przedsięwzięcie</w:t>
      </w: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zgodnie z art. 49 Kodeksu postępowania administracyjnego </w:t>
      </w:r>
      <w:r w:rsidRPr="00B20E0D">
        <w:rPr>
          <w:rFonts w:ascii="Times New Roman" w:hAnsi="Times New Roman" w:cs="Times New Roman"/>
          <w:sz w:val="24"/>
          <w:szCs w:val="24"/>
        </w:rPr>
        <w:t xml:space="preserve">zawiadomienie stron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na stronie podmiotowej właściwego organu administracji publicznej</w:t>
      </w:r>
      <w:r>
        <w:rPr>
          <w:rFonts w:ascii="Times New Roman" w:hAnsi="Times New Roman" w:cs="Times New Roman"/>
          <w:sz w:val="24"/>
          <w:szCs w:val="24"/>
        </w:rPr>
        <w:t>– niniejsze zawiadomienie zostaje podane stronom do wiadomości poprzez:</w:t>
      </w: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4F5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.12.2024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C7F" w:rsidRDefault="00252C7F" w:rsidP="00252C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C7F" w:rsidRDefault="00252C7F" w:rsidP="00252C7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252C7F" w:rsidRDefault="00252C7F" w:rsidP="00252C7F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Fryszkiewicz</w:t>
      </w: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7F"/>
    <w:rsid w:val="00041051"/>
    <w:rsid w:val="00187153"/>
    <w:rsid w:val="00252C7F"/>
    <w:rsid w:val="00260ED7"/>
    <w:rsid w:val="00475A18"/>
    <w:rsid w:val="005B5FE6"/>
    <w:rsid w:val="005C4C1F"/>
    <w:rsid w:val="00B068D3"/>
    <w:rsid w:val="00B164F5"/>
    <w:rsid w:val="00DA4575"/>
    <w:rsid w:val="00E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D889"/>
  <w15:chartTrackingRefBased/>
  <w15:docId w15:val="{35301720-4F7C-454D-B16E-E2882B92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C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6</cp:revision>
  <dcterms:created xsi:type="dcterms:W3CDTF">2024-12-05T12:48:00Z</dcterms:created>
  <dcterms:modified xsi:type="dcterms:W3CDTF">2024-12-10T12:39:00Z</dcterms:modified>
</cp:coreProperties>
</file>