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2.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3.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4.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5.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6.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7.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8.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9.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0.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36F" w:rsidRPr="009A79B5" w:rsidRDefault="0001736F" w:rsidP="00585CA6">
      <w:pPr>
        <w:pStyle w:val="Nagwek"/>
        <w:rPr>
          <w:rFonts w:ascii="Arial" w:hAnsi="Arial" w:cs="Arial"/>
          <w:sz w:val="24"/>
          <w:szCs w:val="24"/>
        </w:rPr>
      </w:pPr>
      <w:bookmarkStart w:id="0" w:name="_GoBack"/>
      <w:bookmarkEnd w:id="0"/>
    </w:p>
    <w:p w:rsidR="0001736F" w:rsidRPr="007D62E8" w:rsidRDefault="0001736F" w:rsidP="0001736F">
      <w:pPr>
        <w:pStyle w:val="Nagwek"/>
        <w:jc w:val="center"/>
        <w:rPr>
          <w:rFonts w:ascii="Arial" w:hAnsi="Arial" w:cs="Arial"/>
          <w:sz w:val="48"/>
          <w:szCs w:val="48"/>
        </w:rPr>
      </w:pPr>
      <w:r w:rsidRPr="007D62E8">
        <w:rPr>
          <w:rFonts w:ascii="Arial" w:hAnsi="Arial" w:cs="Arial"/>
          <w:sz w:val="48"/>
          <w:szCs w:val="48"/>
        </w:rPr>
        <w:t>Instrukcja do Bazy Inwentaryzacyjnej Planu Gospodar</w:t>
      </w:r>
      <w:r w:rsidR="00073519" w:rsidRPr="007D62E8">
        <w:rPr>
          <w:rFonts w:ascii="Arial" w:hAnsi="Arial" w:cs="Arial"/>
          <w:sz w:val="48"/>
          <w:szCs w:val="48"/>
        </w:rPr>
        <w:t xml:space="preserve">ki </w:t>
      </w:r>
      <w:r w:rsidR="00D87E8D" w:rsidRPr="007D62E8">
        <w:rPr>
          <w:rFonts w:ascii="Arial" w:hAnsi="Arial" w:cs="Arial"/>
          <w:sz w:val="48"/>
          <w:szCs w:val="48"/>
        </w:rPr>
        <w:t xml:space="preserve">Niskoemisyjnej dla Gminy </w:t>
      </w:r>
      <w:r w:rsidR="00A40176">
        <w:rPr>
          <w:rFonts w:ascii="Arial" w:hAnsi="Arial" w:cs="Arial"/>
          <w:sz w:val="48"/>
          <w:szCs w:val="48"/>
        </w:rPr>
        <w:t>Garbatka-Letnisko</w:t>
      </w:r>
      <w:r w:rsidR="00252A2C" w:rsidRPr="007D62E8">
        <w:rPr>
          <w:rFonts w:ascii="Arial" w:hAnsi="Arial" w:cs="Arial"/>
          <w:sz w:val="48"/>
          <w:szCs w:val="48"/>
        </w:rPr>
        <w:t xml:space="preserve"> </w:t>
      </w:r>
      <w:r w:rsidR="00A40176">
        <w:rPr>
          <w:rFonts w:ascii="Arial" w:hAnsi="Arial" w:cs="Arial"/>
          <w:sz w:val="48"/>
          <w:szCs w:val="48"/>
        </w:rPr>
        <w:br/>
      </w:r>
      <w:r w:rsidR="00252A2C" w:rsidRPr="007D62E8">
        <w:rPr>
          <w:rFonts w:ascii="Arial" w:hAnsi="Arial" w:cs="Arial"/>
          <w:sz w:val="48"/>
          <w:szCs w:val="48"/>
        </w:rPr>
        <w:t>na lata 2016</w:t>
      </w:r>
      <w:r w:rsidRPr="007D62E8">
        <w:rPr>
          <w:rFonts w:ascii="Arial" w:hAnsi="Arial" w:cs="Arial"/>
          <w:sz w:val="48"/>
          <w:szCs w:val="48"/>
        </w:rPr>
        <w:t>-2020</w:t>
      </w:r>
    </w:p>
    <w:p w:rsidR="0001736F" w:rsidRDefault="0001736F">
      <w:pPr>
        <w:rPr>
          <w:rFonts w:ascii="Arial" w:hAnsi="Arial" w:cs="Arial"/>
          <w:sz w:val="24"/>
          <w:szCs w:val="24"/>
        </w:rPr>
      </w:pPr>
    </w:p>
    <w:p w:rsidR="0080033E" w:rsidRDefault="0080033E">
      <w:pPr>
        <w:rPr>
          <w:rFonts w:ascii="Arial" w:hAnsi="Arial" w:cs="Arial"/>
          <w:sz w:val="24"/>
          <w:szCs w:val="24"/>
        </w:rPr>
      </w:pPr>
    </w:p>
    <w:p w:rsidR="0080033E" w:rsidRDefault="0080033E">
      <w:pPr>
        <w:rPr>
          <w:rFonts w:ascii="Arial" w:hAnsi="Arial" w:cs="Arial"/>
          <w:sz w:val="24"/>
          <w:szCs w:val="24"/>
        </w:rPr>
      </w:pPr>
    </w:p>
    <w:p w:rsidR="0080033E" w:rsidRPr="009A79B5" w:rsidRDefault="0080033E">
      <w:pPr>
        <w:rPr>
          <w:rFonts w:ascii="Arial" w:hAnsi="Arial" w:cs="Arial"/>
          <w:sz w:val="24"/>
          <w:szCs w:val="24"/>
        </w:rPr>
      </w:pPr>
    </w:p>
    <w:p w:rsidR="00252A2C" w:rsidRPr="009A79B5" w:rsidRDefault="00252A2C" w:rsidP="00307D70">
      <w:pPr>
        <w:jc w:val="center"/>
        <w:rPr>
          <w:rFonts w:ascii="Arial" w:hAnsi="Arial" w:cs="Arial"/>
          <w:sz w:val="24"/>
          <w:szCs w:val="24"/>
        </w:rPr>
      </w:pPr>
    </w:p>
    <w:p w:rsidR="00085596" w:rsidRPr="00A40176" w:rsidRDefault="00482FB3" w:rsidP="00A40176">
      <w:pPr>
        <w:rPr>
          <w:rFonts w:ascii="Arial" w:hAnsi="Arial" w:cs="Arial"/>
          <w:sz w:val="24"/>
          <w:szCs w:val="24"/>
        </w:rPr>
      </w:pPr>
      <w:r>
        <w:rPr>
          <w:rFonts w:ascii="Arial" w:hAnsi="Arial" w:cs="Arial"/>
          <w:noProof/>
          <w:sz w:val="24"/>
          <w:szCs w:val="24"/>
          <w:lang w:eastAsia="pl-PL"/>
        </w:rPr>
        <w:drawing>
          <wp:anchor distT="0" distB="0" distL="114300" distR="114300" simplePos="0" relativeHeight="251662336" behindDoc="1" locked="0" layoutInCell="1" allowOverlap="1" wp14:anchorId="4DF0C852" wp14:editId="2941E09C">
            <wp:simplePos x="0" y="0"/>
            <wp:positionH relativeFrom="column">
              <wp:posOffset>75565</wp:posOffset>
            </wp:positionH>
            <wp:positionV relativeFrom="paragraph">
              <wp:posOffset>8890</wp:posOffset>
            </wp:positionV>
            <wp:extent cx="2926080" cy="3040380"/>
            <wp:effectExtent l="0" t="0" r="0" b="7620"/>
            <wp:wrapTight wrapText="bothSides">
              <wp:wrapPolygon edited="0">
                <wp:start x="984" y="0"/>
                <wp:lineTo x="844" y="13128"/>
                <wp:lineTo x="1266" y="15293"/>
                <wp:lineTo x="2391" y="17459"/>
                <wp:lineTo x="4219" y="19624"/>
                <wp:lineTo x="4359" y="20030"/>
                <wp:lineTo x="8016" y="21519"/>
                <wp:lineTo x="8859" y="21519"/>
                <wp:lineTo x="12656" y="21519"/>
                <wp:lineTo x="13500" y="21519"/>
                <wp:lineTo x="17297" y="19895"/>
                <wp:lineTo x="19266" y="17459"/>
                <wp:lineTo x="20250" y="15293"/>
                <wp:lineTo x="20672" y="13128"/>
                <wp:lineTo x="20531" y="0"/>
                <wp:lineTo x="984"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926080" cy="3040380"/>
                    </a:xfrm>
                    <a:prstGeom prst="rect">
                      <a:avLst/>
                    </a:prstGeom>
                    <a:noFill/>
                  </pic:spPr>
                </pic:pic>
              </a:graphicData>
            </a:graphic>
            <wp14:sizeRelH relativeFrom="margin">
              <wp14:pctWidth>0</wp14:pctWidth>
            </wp14:sizeRelH>
            <wp14:sizeRelV relativeFrom="margin">
              <wp14:pctHeight>0</wp14:pctHeight>
            </wp14:sizeRelV>
          </wp:anchor>
        </w:drawing>
      </w:r>
    </w:p>
    <w:p w:rsidR="00073519" w:rsidRDefault="00073519" w:rsidP="00085596">
      <w:pPr>
        <w:tabs>
          <w:tab w:val="left" w:pos="1100"/>
        </w:tabs>
        <w:rPr>
          <w:rFonts w:ascii="Arial" w:hAnsi="Arial" w:cs="Arial"/>
          <w:i/>
          <w:sz w:val="24"/>
          <w:szCs w:val="24"/>
          <w:lang w:eastAsia="pl-PL"/>
        </w:rPr>
      </w:pPr>
    </w:p>
    <w:p w:rsidR="0080033E" w:rsidRPr="009A79B5" w:rsidRDefault="0080033E" w:rsidP="00085596">
      <w:pPr>
        <w:tabs>
          <w:tab w:val="left" w:pos="1100"/>
        </w:tabs>
        <w:rPr>
          <w:rFonts w:ascii="Arial" w:hAnsi="Arial" w:cs="Arial"/>
          <w:i/>
          <w:sz w:val="24"/>
          <w:szCs w:val="24"/>
          <w:lang w:eastAsia="pl-PL"/>
        </w:rPr>
      </w:pPr>
    </w:p>
    <w:p w:rsidR="00252A2C" w:rsidRPr="009A79B5" w:rsidRDefault="00A40176" w:rsidP="00A40176">
      <w:pPr>
        <w:tabs>
          <w:tab w:val="left" w:pos="1100"/>
        </w:tabs>
        <w:rPr>
          <w:rFonts w:ascii="Arial" w:hAnsi="Arial" w:cs="Arial"/>
          <w:b/>
          <w:i/>
          <w:sz w:val="24"/>
          <w:szCs w:val="24"/>
          <w:lang w:eastAsia="pl-PL"/>
        </w:rPr>
      </w:pPr>
      <w:r>
        <w:rPr>
          <w:rFonts w:ascii="Arial" w:hAnsi="Arial" w:cs="Arial"/>
          <w:b/>
          <w:i/>
          <w:sz w:val="24"/>
          <w:szCs w:val="24"/>
          <w:lang w:eastAsia="pl-PL"/>
        </w:rPr>
        <w:t xml:space="preserve">Plan Opracowany </w:t>
      </w:r>
      <w:r w:rsidR="00252A2C" w:rsidRPr="009A79B5">
        <w:rPr>
          <w:rFonts w:ascii="Arial" w:hAnsi="Arial" w:cs="Arial"/>
          <w:b/>
          <w:i/>
          <w:sz w:val="24"/>
          <w:szCs w:val="24"/>
          <w:lang w:eastAsia="pl-PL"/>
        </w:rPr>
        <w:t xml:space="preserve">przez firmę </w:t>
      </w:r>
      <w:r>
        <w:rPr>
          <w:rFonts w:ascii="Arial" w:hAnsi="Arial" w:cs="Arial"/>
          <w:b/>
          <w:i/>
          <w:sz w:val="24"/>
          <w:szCs w:val="24"/>
          <w:lang w:eastAsia="pl-PL"/>
        </w:rPr>
        <w:br/>
      </w:r>
      <w:r w:rsidR="00252A2C" w:rsidRPr="009A79B5">
        <w:rPr>
          <w:rFonts w:ascii="Arial" w:hAnsi="Arial" w:cs="Arial"/>
          <w:b/>
          <w:i/>
          <w:sz w:val="24"/>
          <w:szCs w:val="24"/>
          <w:lang w:eastAsia="pl-PL"/>
        </w:rPr>
        <w:t>ANLUK Łukasz Kozikowski</w:t>
      </w:r>
      <w:r w:rsidR="00252A2C" w:rsidRPr="009A79B5">
        <w:rPr>
          <w:rFonts w:ascii="Arial" w:hAnsi="Arial" w:cs="Arial"/>
          <w:b/>
          <w:i/>
          <w:sz w:val="24"/>
          <w:szCs w:val="24"/>
          <w:lang w:eastAsia="pl-PL"/>
        </w:rPr>
        <w:br/>
        <w:t>pr</w:t>
      </w:r>
      <w:r w:rsidR="00485F9F">
        <w:rPr>
          <w:rFonts w:ascii="Arial" w:hAnsi="Arial" w:cs="Arial"/>
          <w:b/>
          <w:i/>
          <w:sz w:val="24"/>
          <w:szCs w:val="24"/>
          <w:lang w:eastAsia="pl-PL"/>
        </w:rPr>
        <w:t xml:space="preserve">zy współpracy z Urzędem Gminy </w:t>
      </w:r>
      <w:r w:rsidR="00485F9F">
        <w:rPr>
          <w:rFonts w:ascii="Arial" w:hAnsi="Arial" w:cs="Arial"/>
          <w:b/>
          <w:i/>
          <w:sz w:val="24"/>
          <w:szCs w:val="24"/>
          <w:lang w:eastAsia="pl-PL"/>
        </w:rPr>
        <w:br/>
      </w:r>
      <w:r>
        <w:rPr>
          <w:rFonts w:ascii="Arial" w:hAnsi="Arial" w:cs="Arial"/>
          <w:b/>
          <w:i/>
          <w:sz w:val="24"/>
          <w:szCs w:val="24"/>
          <w:lang w:eastAsia="pl-PL"/>
        </w:rPr>
        <w:t>Garbatka-Letnisko</w:t>
      </w:r>
    </w:p>
    <w:p w:rsidR="002A0A03" w:rsidRPr="009A79B5" w:rsidRDefault="00252A2C" w:rsidP="009B46E3">
      <w:pPr>
        <w:tabs>
          <w:tab w:val="left" w:pos="1100"/>
        </w:tabs>
        <w:ind w:right="8221"/>
        <w:jc w:val="right"/>
        <w:rPr>
          <w:rFonts w:ascii="Arial" w:hAnsi="Arial" w:cs="Arial"/>
          <w:i/>
          <w:sz w:val="24"/>
          <w:szCs w:val="24"/>
          <w:lang w:eastAsia="pl-PL"/>
        </w:rPr>
      </w:pPr>
      <w:r w:rsidRPr="009A79B5">
        <w:rPr>
          <w:rFonts w:ascii="Arial" w:hAnsi="Arial" w:cs="Arial"/>
          <w:noProof/>
          <w:sz w:val="24"/>
          <w:szCs w:val="24"/>
          <w:lang w:eastAsia="pl-PL"/>
        </w:rPr>
        <w:drawing>
          <wp:anchor distT="0" distB="0" distL="114300" distR="114300" simplePos="0" relativeHeight="251661312" behindDoc="0" locked="0" layoutInCell="1" allowOverlap="1" wp14:anchorId="648E4757" wp14:editId="4153B03E">
            <wp:simplePos x="0" y="0"/>
            <wp:positionH relativeFrom="margin">
              <wp:posOffset>1500505</wp:posOffset>
            </wp:positionH>
            <wp:positionV relativeFrom="paragraph">
              <wp:posOffset>2646045</wp:posOffset>
            </wp:positionV>
            <wp:extent cx="2830637" cy="742950"/>
            <wp:effectExtent l="0" t="0" r="8255"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Bez tytułu.jpg"/>
                    <pic:cNvPicPr/>
                  </pic:nvPicPr>
                  <pic:blipFill>
                    <a:blip r:embed="rId9">
                      <a:extLst>
                        <a:ext uri="{28A0092B-C50C-407E-A947-70E740481C1C}">
                          <a14:useLocalDpi xmlns:a14="http://schemas.microsoft.com/office/drawing/2010/main" val="0"/>
                        </a:ext>
                      </a:extLst>
                    </a:blip>
                    <a:stretch>
                      <a:fillRect/>
                    </a:stretch>
                  </pic:blipFill>
                  <pic:spPr>
                    <a:xfrm>
                      <a:off x="0" y="0"/>
                      <a:ext cx="2830637" cy="742950"/>
                    </a:xfrm>
                    <a:prstGeom prst="rect">
                      <a:avLst/>
                    </a:prstGeom>
                  </pic:spPr>
                </pic:pic>
              </a:graphicData>
            </a:graphic>
            <wp14:sizeRelH relativeFrom="margin">
              <wp14:pctWidth>0</wp14:pctWidth>
            </wp14:sizeRelH>
            <wp14:sizeRelV relativeFrom="margin">
              <wp14:pctHeight>0</wp14:pctHeight>
            </wp14:sizeRelV>
          </wp:anchor>
        </w:drawing>
      </w:r>
      <w:r w:rsidR="002A0A03" w:rsidRPr="009A79B5">
        <w:rPr>
          <w:rFonts w:ascii="Arial" w:hAnsi="Arial" w:cs="Arial"/>
          <w:i/>
          <w:sz w:val="24"/>
          <w:szCs w:val="24"/>
          <w:lang w:eastAsia="pl-PL"/>
        </w:rPr>
        <w:br w:type="page"/>
      </w:r>
    </w:p>
    <w:p w:rsidR="0001736F" w:rsidRPr="009A79B5" w:rsidRDefault="0001736F" w:rsidP="00604786">
      <w:pPr>
        <w:shd w:val="clear" w:color="auto" w:fill="FFC000" w:themeFill="accent4"/>
        <w:jc w:val="center"/>
        <w:rPr>
          <w:rFonts w:ascii="Arial" w:hAnsi="Arial" w:cs="Arial"/>
          <w:i/>
          <w:sz w:val="24"/>
          <w:szCs w:val="24"/>
          <w:u w:val="single"/>
          <w:lang w:eastAsia="pl-PL"/>
        </w:rPr>
      </w:pPr>
      <w:r w:rsidRPr="009A79B5">
        <w:rPr>
          <w:rFonts w:ascii="Arial" w:hAnsi="Arial" w:cs="Arial"/>
          <w:i/>
          <w:sz w:val="24"/>
          <w:szCs w:val="24"/>
          <w:u w:val="single"/>
          <w:lang w:eastAsia="pl-PL"/>
        </w:rPr>
        <w:lastRenderedPageBreak/>
        <w:t>Ogólne informacje</w:t>
      </w:r>
    </w:p>
    <w:p w:rsidR="00B929E8" w:rsidRPr="009A79B5" w:rsidRDefault="00B929E8" w:rsidP="00B929E8">
      <w:pPr>
        <w:spacing w:line="360" w:lineRule="auto"/>
        <w:jc w:val="both"/>
        <w:rPr>
          <w:rFonts w:ascii="Arial" w:hAnsi="Arial" w:cs="Arial"/>
          <w:sz w:val="24"/>
          <w:szCs w:val="24"/>
          <w:lang w:eastAsia="pl-PL"/>
        </w:rPr>
      </w:pPr>
    </w:p>
    <w:p w:rsidR="00466A9C" w:rsidRPr="009A79B5" w:rsidRDefault="00466A9C" w:rsidP="00466A9C">
      <w:pPr>
        <w:spacing w:line="360" w:lineRule="auto"/>
        <w:ind w:firstLine="709"/>
        <w:jc w:val="both"/>
        <w:rPr>
          <w:rFonts w:ascii="Arial" w:hAnsi="Arial" w:cs="Arial"/>
          <w:sz w:val="24"/>
          <w:szCs w:val="24"/>
        </w:rPr>
      </w:pPr>
      <w:r w:rsidRPr="009A79B5">
        <w:rPr>
          <w:rFonts w:ascii="Arial" w:hAnsi="Arial" w:cs="Arial"/>
          <w:sz w:val="24"/>
          <w:szCs w:val="24"/>
        </w:rPr>
        <w:t xml:space="preserve">Częścią Planu Gospodarki Niskoemisyjnej dla Gminy </w:t>
      </w:r>
      <w:r w:rsidR="00A40176">
        <w:rPr>
          <w:rFonts w:ascii="Arial" w:hAnsi="Arial" w:cs="Arial"/>
          <w:sz w:val="24"/>
          <w:szCs w:val="24"/>
        </w:rPr>
        <w:t>Garbatka-Letnisko</w:t>
      </w:r>
      <w:r w:rsidR="00252A2C" w:rsidRPr="009A79B5">
        <w:rPr>
          <w:rFonts w:ascii="Arial" w:hAnsi="Arial" w:cs="Arial"/>
          <w:sz w:val="24"/>
          <w:szCs w:val="24"/>
        </w:rPr>
        <w:t xml:space="preserve"> na lata </w:t>
      </w:r>
      <w:r w:rsidR="00252A2C" w:rsidRPr="009A79B5">
        <w:rPr>
          <w:rFonts w:ascii="Arial" w:hAnsi="Arial" w:cs="Arial"/>
          <w:sz w:val="24"/>
          <w:szCs w:val="24"/>
        </w:rPr>
        <w:br/>
        <w:t>2016</w:t>
      </w:r>
      <w:r w:rsidRPr="009A79B5">
        <w:rPr>
          <w:rFonts w:ascii="Arial" w:hAnsi="Arial" w:cs="Arial"/>
          <w:sz w:val="24"/>
          <w:szCs w:val="24"/>
        </w:rPr>
        <w:t>-2020 jest Baza</w:t>
      </w:r>
      <w:r w:rsidR="00B431F4">
        <w:rPr>
          <w:rFonts w:ascii="Arial" w:hAnsi="Arial" w:cs="Arial"/>
          <w:sz w:val="24"/>
          <w:szCs w:val="24"/>
        </w:rPr>
        <w:t xml:space="preserve"> Inwentaryzacyjna Dwutlenku Węgla dla Gminy</w:t>
      </w:r>
      <w:r w:rsidRPr="009A79B5">
        <w:rPr>
          <w:rFonts w:ascii="Arial" w:hAnsi="Arial" w:cs="Arial"/>
          <w:sz w:val="24"/>
          <w:szCs w:val="24"/>
        </w:rPr>
        <w:t xml:space="preserve"> </w:t>
      </w:r>
      <w:r w:rsidR="00A40176">
        <w:rPr>
          <w:rFonts w:ascii="Arial" w:hAnsi="Arial" w:cs="Arial"/>
          <w:sz w:val="24"/>
          <w:szCs w:val="24"/>
        </w:rPr>
        <w:t>Garbatka-Letnisko</w:t>
      </w:r>
      <w:r w:rsidR="00252A2C" w:rsidRPr="009A79B5">
        <w:rPr>
          <w:rFonts w:ascii="Arial" w:hAnsi="Arial" w:cs="Arial"/>
          <w:sz w:val="24"/>
          <w:szCs w:val="24"/>
        </w:rPr>
        <w:t>.</w:t>
      </w:r>
    </w:p>
    <w:p w:rsidR="00B929E8" w:rsidRPr="009A79B5" w:rsidRDefault="0001736F" w:rsidP="00466A9C">
      <w:pPr>
        <w:spacing w:line="360" w:lineRule="auto"/>
        <w:ind w:firstLine="709"/>
        <w:jc w:val="both"/>
        <w:rPr>
          <w:rFonts w:ascii="Arial" w:hAnsi="Arial" w:cs="Arial"/>
          <w:sz w:val="24"/>
          <w:szCs w:val="24"/>
        </w:rPr>
      </w:pPr>
      <w:r w:rsidRPr="009A79B5">
        <w:rPr>
          <w:rFonts w:ascii="Arial" w:hAnsi="Arial" w:cs="Arial"/>
          <w:sz w:val="24"/>
          <w:szCs w:val="24"/>
          <w:lang w:eastAsia="pl-PL"/>
        </w:rPr>
        <w:t xml:space="preserve">Celem głównym stworzenia </w:t>
      </w:r>
      <w:r w:rsidR="00252A2C" w:rsidRPr="009A79B5">
        <w:rPr>
          <w:rFonts w:ascii="Arial" w:hAnsi="Arial" w:cs="Arial"/>
          <w:sz w:val="24"/>
          <w:szCs w:val="24"/>
          <w:lang w:eastAsia="pl-PL"/>
        </w:rPr>
        <w:t xml:space="preserve">przedmiotowej </w:t>
      </w:r>
      <w:r w:rsidRPr="009A79B5">
        <w:rPr>
          <w:rFonts w:ascii="Arial" w:hAnsi="Arial" w:cs="Arial"/>
          <w:sz w:val="24"/>
          <w:szCs w:val="24"/>
          <w:lang w:eastAsia="pl-PL"/>
        </w:rPr>
        <w:t xml:space="preserve">Bazy Inwentaryzacyjnej </w:t>
      </w:r>
      <w:r w:rsidR="00B929E8" w:rsidRPr="009A79B5">
        <w:rPr>
          <w:rFonts w:ascii="Arial" w:hAnsi="Arial" w:cs="Arial"/>
          <w:sz w:val="24"/>
          <w:szCs w:val="24"/>
          <w:lang w:eastAsia="pl-PL"/>
        </w:rPr>
        <w:t>jest wyznaczenie emisji zanieczyszczeń p</w:t>
      </w:r>
      <w:r w:rsidR="00252A2C" w:rsidRPr="009A79B5">
        <w:rPr>
          <w:rFonts w:ascii="Arial" w:hAnsi="Arial" w:cs="Arial"/>
          <w:sz w:val="24"/>
          <w:szCs w:val="24"/>
          <w:lang w:eastAsia="pl-PL"/>
        </w:rPr>
        <w:t>owietrza i monitorowanie zmian.</w:t>
      </w:r>
    </w:p>
    <w:p w:rsidR="00B929E8" w:rsidRPr="009A79B5" w:rsidRDefault="00252A2C" w:rsidP="009E07E9">
      <w:pPr>
        <w:spacing w:line="360" w:lineRule="auto"/>
        <w:ind w:firstLine="709"/>
        <w:jc w:val="both"/>
        <w:rPr>
          <w:rFonts w:ascii="Arial" w:hAnsi="Arial" w:cs="Arial"/>
          <w:sz w:val="24"/>
          <w:szCs w:val="24"/>
          <w:lang w:eastAsia="pl-PL"/>
        </w:rPr>
      </w:pPr>
      <w:r w:rsidRPr="009A79B5">
        <w:rPr>
          <w:rFonts w:ascii="Arial" w:hAnsi="Arial" w:cs="Arial"/>
          <w:sz w:val="24"/>
          <w:szCs w:val="24"/>
          <w:lang w:eastAsia="pl-PL"/>
        </w:rPr>
        <w:t xml:space="preserve">Niniejsza </w:t>
      </w:r>
      <w:r w:rsidR="00B929E8" w:rsidRPr="009A79B5">
        <w:rPr>
          <w:rFonts w:ascii="Arial" w:hAnsi="Arial" w:cs="Arial"/>
          <w:sz w:val="24"/>
          <w:szCs w:val="24"/>
          <w:lang w:eastAsia="pl-PL"/>
        </w:rPr>
        <w:t xml:space="preserve">Baza zawiera wyselekcjonowane i usystematyzowane informacje pozwalające na ocenę gospodarki energią w gminie oraz jej poszczególnych sektorach i obiektach. Dodatkowo, pozwala ona na ocenę emisji gazów cieplarnianych na terenie całej gminy </w:t>
      </w:r>
      <w:r w:rsidR="00A40176">
        <w:rPr>
          <w:rFonts w:ascii="Arial" w:hAnsi="Arial" w:cs="Arial"/>
          <w:sz w:val="24"/>
          <w:szCs w:val="24"/>
          <w:lang w:eastAsia="pl-PL"/>
        </w:rPr>
        <w:t>Garbatka-Letnisko</w:t>
      </w:r>
      <w:r w:rsidR="00B929E8" w:rsidRPr="009A79B5">
        <w:rPr>
          <w:rFonts w:ascii="Arial" w:hAnsi="Arial" w:cs="Arial"/>
          <w:sz w:val="24"/>
          <w:szCs w:val="24"/>
          <w:lang w:eastAsia="pl-PL"/>
        </w:rPr>
        <w:t>.</w:t>
      </w:r>
    </w:p>
    <w:p w:rsidR="007345A4" w:rsidRPr="009A79B5" w:rsidRDefault="007345A4" w:rsidP="007345A4">
      <w:pPr>
        <w:spacing w:line="360" w:lineRule="auto"/>
        <w:ind w:firstLine="709"/>
        <w:jc w:val="both"/>
        <w:rPr>
          <w:rFonts w:ascii="Arial" w:hAnsi="Arial" w:cs="Arial"/>
          <w:sz w:val="24"/>
          <w:szCs w:val="24"/>
        </w:rPr>
      </w:pPr>
      <w:r w:rsidRPr="009A79B5">
        <w:rPr>
          <w:rFonts w:ascii="Arial" w:hAnsi="Arial" w:cs="Arial"/>
          <w:sz w:val="24"/>
          <w:szCs w:val="24"/>
        </w:rPr>
        <w:t>Emisję dwutlenku węgla oszacowano w Megagramach [Mg]. Jest to jednostka miary, którą popularnie nazwa się tona [t]. Dane liczbowe podane są  w skali roku. Zużycia energii otrzymane z różnych źródeł zostały podane w różnych jednostkach, w związku z tym przy opracowaniu niniejszej Bazy zastosowano następujące przeliczniki:</w:t>
      </w:r>
    </w:p>
    <w:p w:rsidR="007345A4" w:rsidRPr="007345A4" w:rsidRDefault="007345A4" w:rsidP="007345A4">
      <w:pPr>
        <w:pStyle w:val="Legenda"/>
        <w:rPr>
          <w:rFonts w:ascii="Arial" w:hAnsi="Arial" w:cs="Arial"/>
          <w:sz w:val="24"/>
          <w:szCs w:val="24"/>
        </w:rPr>
      </w:pPr>
      <w:r w:rsidRPr="007345A4">
        <w:rPr>
          <w:sz w:val="24"/>
          <w:szCs w:val="24"/>
        </w:rPr>
        <w:t xml:space="preserve">Tabela </w:t>
      </w:r>
      <w:r w:rsidRPr="007345A4">
        <w:rPr>
          <w:sz w:val="24"/>
          <w:szCs w:val="24"/>
        </w:rPr>
        <w:fldChar w:fldCharType="begin"/>
      </w:r>
      <w:r w:rsidRPr="007345A4">
        <w:rPr>
          <w:sz w:val="24"/>
          <w:szCs w:val="24"/>
        </w:rPr>
        <w:instrText xml:space="preserve"> SEQ Tabela \* ARABIC </w:instrText>
      </w:r>
      <w:r w:rsidRPr="007345A4">
        <w:rPr>
          <w:sz w:val="24"/>
          <w:szCs w:val="24"/>
        </w:rPr>
        <w:fldChar w:fldCharType="separate"/>
      </w:r>
      <w:r w:rsidR="009246DC">
        <w:rPr>
          <w:noProof/>
          <w:sz w:val="24"/>
          <w:szCs w:val="24"/>
        </w:rPr>
        <w:t>1</w:t>
      </w:r>
      <w:r w:rsidRPr="007345A4">
        <w:rPr>
          <w:sz w:val="24"/>
          <w:szCs w:val="24"/>
        </w:rPr>
        <w:fldChar w:fldCharType="end"/>
      </w:r>
      <w:r w:rsidRPr="007345A4">
        <w:rPr>
          <w:sz w:val="24"/>
          <w:szCs w:val="24"/>
        </w:rPr>
        <w:t xml:space="preserve"> Przeliczniki</w:t>
      </w:r>
      <w:bookmarkStart w:id="1" w:name="_Toc446485074"/>
      <w:r w:rsidRPr="007345A4">
        <w:rPr>
          <w:rFonts w:ascii="Arial" w:hAnsi="Arial" w:cs="Arial"/>
          <w:sz w:val="24"/>
          <w:szCs w:val="24"/>
        </w:rPr>
        <w:t xml:space="preserve"> do wyliczenia emisji CO</w:t>
      </w:r>
      <w:r w:rsidRPr="007345A4">
        <w:rPr>
          <w:rFonts w:ascii="Arial" w:hAnsi="Arial" w:cs="Arial"/>
          <w:sz w:val="24"/>
          <w:szCs w:val="24"/>
          <w:vertAlign w:val="subscript"/>
        </w:rPr>
        <w:t>2</w:t>
      </w:r>
      <w:bookmarkEnd w:id="1"/>
    </w:p>
    <w:tbl>
      <w:tblPr>
        <w:tblStyle w:val="Tabelasiatki4akcent4"/>
        <w:tblW w:w="0" w:type="auto"/>
        <w:tblLook w:val="04A0" w:firstRow="1" w:lastRow="0" w:firstColumn="1" w:lastColumn="0" w:noHBand="0" w:noVBand="1"/>
      </w:tblPr>
      <w:tblGrid>
        <w:gridCol w:w="4531"/>
        <w:gridCol w:w="4531"/>
      </w:tblGrid>
      <w:tr w:rsidR="00EB04B6" w:rsidRPr="009A79B5" w:rsidTr="009B46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EB04B6" w:rsidRPr="009A79B5" w:rsidRDefault="00EB04B6" w:rsidP="00BB5F36">
            <w:pPr>
              <w:spacing w:line="360" w:lineRule="auto"/>
              <w:jc w:val="center"/>
              <w:rPr>
                <w:rFonts w:ascii="Arial" w:hAnsi="Arial" w:cs="Arial"/>
                <w:sz w:val="24"/>
                <w:szCs w:val="24"/>
              </w:rPr>
            </w:pPr>
            <w:r w:rsidRPr="009A79B5">
              <w:rPr>
                <w:rFonts w:ascii="Arial" w:hAnsi="Arial" w:cs="Arial"/>
                <w:color w:val="auto"/>
                <w:sz w:val="24"/>
                <w:szCs w:val="24"/>
              </w:rPr>
              <w:t>Przelicznik</w:t>
            </w:r>
          </w:p>
        </w:tc>
      </w:tr>
      <w:tr w:rsidR="00EB04B6" w:rsidRPr="009A79B5" w:rsidTr="009B4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EB04B6" w:rsidRPr="009A79B5" w:rsidRDefault="00EB04B6" w:rsidP="00BB5F36">
            <w:pPr>
              <w:spacing w:line="360" w:lineRule="auto"/>
              <w:jc w:val="both"/>
              <w:rPr>
                <w:rFonts w:ascii="Arial" w:hAnsi="Arial" w:cs="Arial"/>
                <w:sz w:val="24"/>
                <w:szCs w:val="24"/>
              </w:rPr>
            </w:pPr>
            <w:r w:rsidRPr="009A79B5">
              <w:rPr>
                <w:rFonts w:ascii="Arial" w:hAnsi="Arial" w:cs="Arial"/>
                <w:sz w:val="24"/>
                <w:szCs w:val="24"/>
              </w:rPr>
              <w:t>1 [</w:t>
            </w:r>
            <w:r w:rsidRPr="009A79B5">
              <w:rPr>
                <w:rFonts w:ascii="Arial" w:hAnsi="Arial" w:cs="Arial"/>
                <w:caps/>
                <w:sz w:val="24"/>
                <w:szCs w:val="24"/>
              </w:rPr>
              <w:t>l</w:t>
            </w:r>
            <w:r w:rsidRPr="009A79B5">
              <w:rPr>
                <w:rFonts w:ascii="Arial" w:hAnsi="Arial" w:cs="Arial"/>
                <w:sz w:val="24"/>
                <w:szCs w:val="24"/>
              </w:rPr>
              <w:t>]</w:t>
            </w:r>
          </w:p>
        </w:tc>
        <w:tc>
          <w:tcPr>
            <w:tcW w:w="4531" w:type="dxa"/>
          </w:tcPr>
          <w:p w:rsidR="00EB04B6" w:rsidRPr="009A79B5" w:rsidRDefault="00EB04B6" w:rsidP="00BB5F3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A79B5">
              <w:rPr>
                <w:rFonts w:ascii="Arial" w:hAnsi="Arial" w:cs="Arial"/>
                <w:sz w:val="24"/>
                <w:szCs w:val="24"/>
              </w:rPr>
              <w:t>0,00086 [Mg]</w:t>
            </w:r>
          </w:p>
        </w:tc>
      </w:tr>
      <w:tr w:rsidR="00EB04B6" w:rsidRPr="009A79B5" w:rsidTr="009B46E3">
        <w:tc>
          <w:tcPr>
            <w:cnfStyle w:val="001000000000" w:firstRow="0" w:lastRow="0" w:firstColumn="1" w:lastColumn="0" w:oddVBand="0" w:evenVBand="0" w:oddHBand="0" w:evenHBand="0" w:firstRowFirstColumn="0" w:firstRowLastColumn="0" w:lastRowFirstColumn="0" w:lastRowLastColumn="0"/>
            <w:tcW w:w="4531" w:type="dxa"/>
          </w:tcPr>
          <w:p w:rsidR="00EB04B6" w:rsidRPr="009A79B5" w:rsidRDefault="00EB04B6" w:rsidP="00BB5F36">
            <w:pPr>
              <w:spacing w:line="360" w:lineRule="auto"/>
              <w:jc w:val="both"/>
              <w:rPr>
                <w:rFonts w:ascii="Arial" w:hAnsi="Arial" w:cs="Arial"/>
                <w:sz w:val="24"/>
                <w:szCs w:val="24"/>
              </w:rPr>
            </w:pPr>
            <w:r w:rsidRPr="009A79B5">
              <w:rPr>
                <w:rFonts w:ascii="Arial" w:hAnsi="Arial" w:cs="Arial"/>
                <w:sz w:val="24"/>
                <w:szCs w:val="24"/>
              </w:rPr>
              <w:t>1 [</w:t>
            </w:r>
            <w:r w:rsidRPr="009A79B5">
              <w:rPr>
                <w:rFonts w:ascii="Arial" w:hAnsi="Arial" w:cs="Arial"/>
                <w:caps/>
                <w:sz w:val="24"/>
                <w:szCs w:val="24"/>
              </w:rPr>
              <w:t>m</w:t>
            </w:r>
            <w:r w:rsidRPr="009A79B5">
              <w:rPr>
                <w:rFonts w:ascii="Arial" w:hAnsi="Arial" w:cs="Arial"/>
                <w:sz w:val="24"/>
                <w:szCs w:val="24"/>
                <w:vertAlign w:val="superscript"/>
              </w:rPr>
              <w:t>3</w:t>
            </w:r>
            <w:r w:rsidRPr="009A79B5">
              <w:rPr>
                <w:rFonts w:ascii="Arial" w:hAnsi="Arial" w:cs="Arial"/>
                <w:sz w:val="24"/>
                <w:szCs w:val="24"/>
              </w:rPr>
              <w:t>]</w:t>
            </w:r>
          </w:p>
        </w:tc>
        <w:tc>
          <w:tcPr>
            <w:tcW w:w="4531" w:type="dxa"/>
          </w:tcPr>
          <w:p w:rsidR="00EB04B6" w:rsidRPr="009A79B5" w:rsidRDefault="00EB04B6" w:rsidP="00BB5F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A79B5">
              <w:rPr>
                <w:rFonts w:ascii="Arial" w:hAnsi="Arial" w:cs="Arial"/>
                <w:sz w:val="24"/>
                <w:szCs w:val="24"/>
              </w:rPr>
              <w:t>0,45 [Mg</w:t>
            </w:r>
          </w:p>
        </w:tc>
      </w:tr>
      <w:tr w:rsidR="00EB04B6" w:rsidRPr="009A79B5" w:rsidTr="009B46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EB04B6" w:rsidRPr="009A79B5" w:rsidRDefault="00EB04B6" w:rsidP="00BB5F36">
            <w:pPr>
              <w:spacing w:line="360" w:lineRule="auto"/>
              <w:jc w:val="both"/>
              <w:rPr>
                <w:rFonts w:ascii="Arial" w:hAnsi="Arial" w:cs="Arial"/>
                <w:sz w:val="24"/>
                <w:szCs w:val="24"/>
              </w:rPr>
            </w:pPr>
            <w:r w:rsidRPr="009A79B5">
              <w:rPr>
                <w:rFonts w:ascii="Arial" w:hAnsi="Arial" w:cs="Arial"/>
                <w:sz w:val="24"/>
                <w:szCs w:val="24"/>
              </w:rPr>
              <w:t>1 [</w:t>
            </w:r>
            <w:r w:rsidRPr="009A79B5">
              <w:rPr>
                <w:rFonts w:ascii="Arial" w:hAnsi="Arial" w:cs="Arial"/>
                <w:caps/>
                <w:sz w:val="24"/>
                <w:szCs w:val="24"/>
              </w:rPr>
              <w:t>kWh</w:t>
            </w:r>
            <w:r w:rsidRPr="009A79B5">
              <w:rPr>
                <w:rFonts w:ascii="Arial" w:hAnsi="Arial" w:cs="Arial"/>
                <w:sz w:val="24"/>
                <w:szCs w:val="24"/>
              </w:rPr>
              <w:t>]</w:t>
            </w:r>
          </w:p>
        </w:tc>
        <w:tc>
          <w:tcPr>
            <w:tcW w:w="4531" w:type="dxa"/>
          </w:tcPr>
          <w:p w:rsidR="00EB04B6" w:rsidRPr="009A79B5" w:rsidRDefault="00EB04B6" w:rsidP="00BB5F3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A79B5">
              <w:rPr>
                <w:rFonts w:ascii="Arial" w:hAnsi="Arial" w:cs="Arial"/>
                <w:sz w:val="24"/>
                <w:szCs w:val="24"/>
              </w:rPr>
              <w:t>0,001 [MWh]</w:t>
            </w:r>
          </w:p>
        </w:tc>
      </w:tr>
      <w:tr w:rsidR="00EB04B6" w:rsidRPr="009A79B5" w:rsidTr="009B46E3">
        <w:tc>
          <w:tcPr>
            <w:cnfStyle w:val="001000000000" w:firstRow="0" w:lastRow="0" w:firstColumn="1" w:lastColumn="0" w:oddVBand="0" w:evenVBand="0" w:oddHBand="0" w:evenHBand="0" w:firstRowFirstColumn="0" w:firstRowLastColumn="0" w:lastRowFirstColumn="0" w:lastRowLastColumn="0"/>
            <w:tcW w:w="4531" w:type="dxa"/>
          </w:tcPr>
          <w:p w:rsidR="00EB04B6" w:rsidRPr="009A79B5" w:rsidRDefault="00EB04B6" w:rsidP="00BB5F36">
            <w:pPr>
              <w:spacing w:line="360" w:lineRule="auto"/>
              <w:jc w:val="both"/>
              <w:rPr>
                <w:rFonts w:ascii="Arial" w:hAnsi="Arial" w:cs="Arial"/>
                <w:sz w:val="24"/>
                <w:szCs w:val="24"/>
              </w:rPr>
            </w:pPr>
            <w:r w:rsidRPr="009A79B5">
              <w:rPr>
                <w:rFonts w:ascii="Arial" w:hAnsi="Arial" w:cs="Arial"/>
                <w:sz w:val="24"/>
                <w:szCs w:val="24"/>
              </w:rPr>
              <w:t>1 [</w:t>
            </w:r>
            <w:r w:rsidRPr="009A79B5">
              <w:rPr>
                <w:rFonts w:ascii="Arial" w:hAnsi="Arial" w:cs="Arial"/>
                <w:caps/>
                <w:sz w:val="24"/>
                <w:szCs w:val="24"/>
              </w:rPr>
              <w:t>M</w:t>
            </w:r>
            <w:r w:rsidRPr="009A79B5">
              <w:rPr>
                <w:rFonts w:ascii="Arial" w:hAnsi="Arial" w:cs="Arial"/>
                <w:sz w:val="24"/>
                <w:szCs w:val="24"/>
              </w:rPr>
              <w:t>g</w:t>
            </w:r>
            <w:r w:rsidRPr="009A79B5">
              <w:rPr>
                <w:rFonts w:ascii="Arial" w:hAnsi="Arial" w:cs="Arial"/>
                <w:caps/>
                <w:sz w:val="24"/>
                <w:szCs w:val="24"/>
              </w:rPr>
              <w:t>]</w:t>
            </w:r>
          </w:p>
        </w:tc>
        <w:tc>
          <w:tcPr>
            <w:tcW w:w="4531" w:type="dxa"/>
          </w:tcPr>
          <w:p w:rsidR="00EB04B6" w:rsidRPr="009A79B5" w:rsidRDefault="00EB04B6" w:rsidP="00BB5F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A79B5">
              <w:rPr>
                <w:rFonts w:ascii="Arial" w:hAnsi="Arial" w:cs="Arial"/>
                <w:sz w:val="24"/>
                <w:szCs w:val="24"/>
              </w:rPr>
              <w:t>1 [t]</w:t>
            </w:r>
          </w:p>
        </w:tc>
      </w:tr>
    </w:tbl>
    <w:p w:rsidR="00466A9C" w:rsidRPr="001F3ADA" w:rsidRDefault="007345A4" w:rsidP="007345A4">
      <w:pPr>
        <w:spacing w:line="360" w:lineRule="auto"/>
        <w:jc w:val="right"/>
        <w:rPr>
          <w:rFonts w:ascii="Arial" w:hAnsi="Arial" w:cs="Arial"/>
          <w:b/>
          <w:sz w:val="20"/>
          <w:szCs w:val="20"/>
        </w:rPr>
      </w:pPr>
      <w:r w:rsidRPr="001F3ADA">
        <w:rPr>
          <w:rFonts w:ascii="Arial" w:hAnsi="Arial" w:cs="Arial"/>
          <w:b/>
          <w:sz w:val="20"/>
          <w:szCs w:val="20"/>
        </w:rPr>
        <w:t>Źródło: Opracowanie własne na podstawie danych z Poradnika „</w:t>
      </w:r>
      <w:r w:rsidRPr="001F3ADA">
        <w:rPr>
          <w:rFonts w:ascii="Arial" w:hAnsi="Arial" w:cs="Arial"/>
          <w:b/>
          <w:sz w:val="20"/>
          <w:szCs w:val="20"/>
          <w:lang w:eastAsia="pl-PL"/>
        </w:rPr>
        <w:t>Jak opracować plan działań na rzecz zrównoważonej energii (SEAP)”</w:t>
      </w:r>
      <w:r w:rsidRPr="001F3ADA">
        <w:rPr>
          <w:rFonts w:ascii="Arial" w:hAnsi="Arial" w:cs="Arial"/>
          <w:b/>
          <w:sz w:val="20"/>
          <w:szCs w:val="20"/>
        </w:rPr>
        <w:t>.</w:t>
      </w:r>
      <w:r w:rsidR="00E03109" w:rsidRPr="001F3ADA">
        <w:rPr>
          <w:rFonts w:ascii="Arial" w:eastAsia="Calibri" w:hAnsi="Arial" w:cs="Arial"/>
          <w:sz w:val="20"/>
          <w:szCs w:val="20"/>
        </w:rPr>
        <w:br w:type="page"/>
      </w:r>
    </w:p>
    <w:p w:rsidR="00466A9C" w:rsidRPr="009A79B5" w:rsidRDefault="00466A9C" w:rsidP="00604786">
      <w:pPr>
        <w:shd w:val="clear" w:color="auto" w:fill="FFC000" w:themeFill="accent4"/>
        <w:jc w:val="center"/>
        <w:rPr>
          <w:rFonts w:ascii="Arial" w:hAnsi="Arial" w:cs="Arial"/>
          <w:i/>
          <w:sz w:val="24"/>
          <w:szCs w:val="24"/>
          <w:u w:val="single"/>
          <w:lang w:eastAsia="pl-PL"/>
        </w:rPr>
      </w:pPr>
      <w:r w:rsidRPr="009A79B5">
        <w:rPr>
          <w:rFonts w:ascii="Arial" w:hAnsi="Arial" w:cs="Arial"/>
          <w:i/>
          <w:sz w:val="24"/>
          <w:szCs w:val="24"/>
          <w:u w:val="single"/>
          <w:lang w:eastAsia="pl-PL"/>
        </w:rPr>
        <w:lastRenderedPageBreak/>
        <w:t>Źródła danych do opracowania Bazy Inwentaryzacyjnej</w:t>
      </w:r>
    </w:p>
    <w:p w:rsidR="00466A9C" w:rsidRPr="009A79B5" w:rsidRDefault="00466A9C" w:rsidP="00466A9C">
      <w:pPr>
        <w:spacing w:line="360" w:lineRule="auto"/>
        <w:jc w:val="both"/>
        <w:rPr>
          <w:rFonts w:ascii="Arial" w:hAnsi="Arial" w:cs="Arial"/>
          <w:i/>
          <w:sz w:val="24"/>
          <w:szCs w:val="24"/>
          <w:lang w:eastAsia="pl-PL"/>
        </w:rPr>
      </w:pPr>
    </w:p>
    <w:p w:rsidR="00B929E8" w:rsidRPr="009A79B5" w:rsidRDefault="00B929E8" w:rsidP="009E07E9">
      <w:pPr>
        <w:spacing w:line="360" w:lineRule="auto"/>
        <w:ind w:firstLine="709"/>
        <w:jc w:val="both"/>
        <w:rPr>
          <w:rFonts w:ascii="Arial" w:eastAsia="Calibri" w:hAnsi="Arial" w:cs="Arial"/>
          <w:sz w:val="24"/>
          <w:szCs w:val="24"/>
        </w:rPr>
      </w:pPr>
      <w:r w:rsidRPr="009A79B5">
        <w:rPr>
          <w:rFonts w:ascii="Arial" w:eastAsia="Calibri" w:hAnsi="Arial" w:cs="Arial"/>
          <w:sz w:val="24"/>
          <w:szCs w:val="24"/>
        </w:rPr>
        <w:t xml:space="preserve">Źródła danych na podstawie których została wykonana </w:t>
      </w:r>
      <w:r w:rsidR="009E07E9" w:rsidRPr="009A79B5">
        <w:rPr>
          <w:rFonts w:ascii="Arial" w:eastAsia="Calibri" w:hAnsi="Arial" w:cs="Arial"/>
          <w:sz w:val="24"/>
          <w:szCs w:val="24"/>
        </w:rPr>
        <w:t xml:space="preserve">Baza Inwentaryzacyjna Planu Gospodarki Niskoemisyjnej dla Gminy </w:t>
      </w:r>
      <w:r w:rsidR="00A40176">
        <w:rPr>
          <w:rFonts w:ascii="Arial" w:eastAsia="Calibri" w:hAnsi="Arial" w:cs="Arial"/>
          <w:sz w:val="24"/>
          <w:szCs w:val="24"/>
        </w:rPr>
        <w:t>Garbatka-Letnisko</w:t>
      </w:r>
      <w:r w:rsidR="00252A2C" w:rsidRPr="009A79B5">
        <w:rPr>
          <w:rFonts w:ascii="Arial" w:eastAsia="Calibri" w:hAnsi="Arial" w:cs="Arial"/>
          <w:sz w:val="24"/>
          <w:szCs w:val="24"/>
        </w:rPr>
        <w:t xml:space="preserve"> na lata 2016</w:t>
      </w:r>
      <w:r w:rsidR="009E07E9" w:rsidRPr="009A79B5">
        <w:rPr>
          <w:rFonts w:ascii="Arial" w:eastAsia="Calibri" w:hAnsi="Arial" w:cs="Arial"/>
          <w:sz w:val="24"/>
          <w:szCs w:val="24"/>
        </w:rPr>
        <w:t>-2020</w:t>
      </w:r>
      <w:r w:rsidRPr="009A79B5">
        <w:rPr>
          <w:rFonts w:ascii="Arial" w:eastAsia="Calibri" w:hAnsi="Arial" w:cs="Arial"/>
          <w:sz w:val="24"/>
          <w:szCs w:val="24"/>
        </w:rPr>
        <w:t xml:space="preserve"> to:</w:t>
      </w:r>
    </w:p>
    <w:p w:rsidR="009E07E9" w:rsidRPr="009A79B5" w:rsidRDefault="00485F9F" w:rsidP="00C552FE">
      <w:pPr>
        <w:pStyle w:val="Akapitzlist"/>
        <w:numPr>
          <w:ilvl w:val="0"/>
          <w:numId w:val="3"/>
        </w:numPr>
        <w:spacing w:before="100" w:after="200" w:line="360" w:lineRule="auto"/>
        <w:jc w:val="both"/>
        <w:rPr>
          <w:rFonts w:ascii="Arial" w:hAnsi="Arial" w:cs="Arial"/>
        </w:rPr>
      </w:pPr>
      <w:r>
        <w:rPr>
          <w:rFonts w:ascii="Arial" w:hAnsi="Arial" w:cs="Arial"/>
        </w:rPr>
        <w:t xml:space="preserve">dane z Urzędu Gminy w </w:t>
      </w:r>
      <w:r w:rsidR="00A40176">
        <w:rPr>
          <w:rFonts w:ascii="Arial" w:hAnsi="Arial" w:cs="Arial"/>
        </w:rPr>
        <w:t>Garbatka-Letnisko</w:t>
      </w:r>
      <w:r w:rsidR="009E07E9" w:rsidRPr="00DB2C01">
        <w:rPr>
          <w:rFonts w:ascii="Arial" w:hAnsi="Arial" w:cs="Arial"/>
        </w:rPr>
        <w:t>,</w:t>
      </w:r>
    </w:p>
    <w:p w:rsidR="009E07E9" w:rsidRPr="009A79B5" w:rsidRDefault="009E07E9" w:rsidP="00C552FE">
      <w:pPr>
        <w:pStyle w:val="Akapitzlist"/>
        <w:numPr>
          <w:ilvl w:val="0"/>
          <w:numId w:val="3"/>
        </w:numPr>
        <w:spacing w:before="100" w:after="200" w:line="360" w:lineRule="auto"/>
        <w:jc w:val="both"/>
        <w:rPr>
          <w:rFonts w:ascii="Arial" w:hAnsi="Arial" w:cs="Arial"/>
        </w:rPr>
      </w:pPr>
      <w:r w:rsidRPr="00DB2C01">
        <w:rPr>
          <w:rFonts w:ascii="Arial" w:hAnsi="Arial" w:cs="Arial"/>
        </w:rPr>
        <w:t xml:space="preserve">dane od Starostwa Powiatowego w </w:t>
      </w:r>
      <w:r w:rsidR="00252A2C" w:rsidRPr="00DB2C01">
        <w:rPr>
          <w:rFonts w:ascii="Arial" w:hAnsi="Arial" w:cs="Arial"/>
        </w:rPr>
        <w:t>Kozienicach</w:t>
      </w:r>
      <w:r w:rsidRPr="00DB2C01">
        <w:rPr>
          <w:rFonts w:ascii="Arial" w:hAnsi="Arial" w:cs="Arial"/>
        </w:rPr>
        <w:t>,</w:t>
      </w:r>
    </w:p>
    <w:p w:rsidR="009E07E9" w:rsidRPr="009A79B5" w:rsidRDefault="009E07E9" w:rsidP="00C552FE">
      <w:pPr>
        <w:pStyle w:val="Akapitzlist"/>
        <w:numPr>
          <w:ilvl w:val="0"/>
          <w:numId w:val="3"/>
        </w:numPr>
        <w:spacing w:before="100" w:after="200" w:line="360" w:lineRule="auto"/>
        <w:jc w:val="both"/>
        <w:rPr>
          <w:rFonts w:ascii="Arial" w:hAnsi="Arial" w:cs="Arial"/>
        </w:rPr>
      </w:pPr>
      <w:r w:rsidRPr="00DB2C01">
        <w:rPr>
          <w:rFonts w:ascii="Arial" w:hAnsi="Arial" w:cs="Arial"/>
        </w:rPr>
        <w:t>dane od Operatora Sieci Energetycznej,</w:t>
      </w:r>
    </w:p>
    <w:p w:rsidR="009E07E9" w:rsidRPr="009A79B5" w:rsidRDefault="009E07E9" w:rsidP="00C552FE">
      <w:pPr>
        <w:pStyle w:val="Akapitzlist"/>
        <w:numPr>
          <w:ilvl w:val="0"/>
          <w:numId w:val="3"/>
        </w:numPr>
        <w:spacing w:before="100" w:after="200" w:line="360" w:lineRule="auto"/>
        <w:jc w:val="both"/>
        <w:rPr>
          <w:rFonts w:ascii="Arial" w:hAnsi="Arial" w:cs="Arial"/>
        </w:rPr>
      </w:pPr>
      <w:r w:rsidRPr="00DB2C01">
        <w:rPr>
          <w:rFonts w:ascii="Arial" w:hAnsi="Arial" w:cs="Arial"/>
        </w:rPr>
        <w:t>dane od Głównego Urzędu Statystycznego,</w:t>
      </w:r>
    </w:p>
    <w:p w:rsidR="009E07E9" w:rsidRPr="009A79B5" w:rsidRDefault="009E07E9" w:rsidP="00C552FE">
      <w:pPr>
        <w:pStyle w:val="Akapitzlist"/>
        <w:numPr>
          <w:ilvl w:val="0"/>
          <w:numId w:val="3"/>
        </w:numPr>
        <w:spacing w:before="100" w:after="200" w:line="360" w:lineRule="auto"/>
        <w:jc w:val="both"/>
        <w:rPr>
          <w:rFonts w:ascii="Arial" w:hAnsi="Arial" w:cs="Arial"/>
        </w:rPr>
      </w:pPr>
      <w:r w:rsidRPr="00DB2C01">
        <w:rPr>
          <w:rFonts w:ascii="Arial" w:hAnsi="Arial" w:cs="Arial"/>
        </w:rPr>
        <w:t>dane z punktów pomiarowych Gener</w:t>
      </w:r>
      <w:r w:rsidR="00DB2C01">
        <w:rPr>
          <w:rFonts w:ascii="Arial" w:hAnsi="Arial" w:cs="Arial"/>
        </w:rPr>
        <w:t>alnej Dyrekcji Dróg Krajowych i </w:t>
      </w:r>
      <w:r w:rsidRPr="00DB2C01">
        <w:rPr>
          <w:rFonts w:ascii="Arial" w:hAnsi="Arial" w:cs="Arial"/>
        </w:rPr>
        <w:t xml:space="preserve">Autostrad na terenie gminy </w:t>
      </w:r>
      <w:r w:rsidR="00A40176">
        <w:rPr>
          <w:rFonts w:ascii="Arial" w:hAnsi="Arial" w:cs="Arial"/>
        </w:rPr>
        <w:t>Garbatka-Letnisko</w:t>
      </w:r>
      <w:r w:rsidRPr="00DB2C01">
        <w:rPr>
          <w:rFonts w:ascii="Arial" w:hAnsi="Arial" w:cs="Arial"/>
        </w:rPr>
        <w:t>,</w:t>
      </w:r>
    </w:p>
    <w:p w:rsidR="009E07E9" w:rsidRPr="009A79B5" w:rsidRDefault="009E07E9" w:rsidP="00C552FE">
      <w:pPr>
        <w:pStyle w:val="Akapitzlist"/>
        <w:numPr>
          <w:ilvl w:val="0"/>
          <w:numId w:val="3"/>
        </w:numPr>
        <w:spacing w:before="100" w:after="200" w:line="360" w:lineRule="auto"/>
        <w:jc w:val="both"/>
        <w:rPr>
          <w:rFonts w:ascii="Arial" w:hAnsi="Arial" w:cs="Arial"/>
        </w:rPr>
      </w:pPr>
      <w:r w:rsidRPr="00DB2C01">
        <w:rPr>
          <w:rFonts w:ascii="Arial" w:hAnsi="Arial" w:cs="Arial"/>
        </w:rPr>
        <w:t>ankiety od mieszkańców – Ankieta dla gospodarstw domowych,</w:t>
      </w:r>
    </w:p>
    <w:p w:rsidR="009E07E9" w:rsidRPr="009A79B5" w:rsidRDefault="009E07E9" w:rsidP="00C552FE">
      <w:pPr>
        <w:pStyle w:val="Akapitzlist"/>
        <w:numPr>
          <w:ilvl w:val="0"/>
          <w:numId w:val="3"/>
        </w:numPr>
        <w:spacing w:before="100" w:after="200" w:line="360" w:lineRule="auto"/>
        <w:jc w:val="both"/>
        <w:rPr>
          <w:rFonts w:ascii="Arial" w:hAnsi="Arial" w:cs="Arial"/>
        </w:rPr>
      </w:pPr>
      <w:r w:rsidRPr="00DB2C01">
        <w:rPr>
          <w:rFonts w:ascii="Arial" w:hAnsi="Arial" w:cs="Arial"/>
        </w:rPr>
        <w:t>ankiety od przedsiębiorcó</w:t>
      </w:r>
      <w:r w:rsidR="00252A2C" w:rsidRPr="00DB2C01">
        <w:rPr>
          <w:rFonts w:ascii="Arial" w:hAnsi="Arial" w:cs="Arial"/>
        </w:rPr>
        <w:t>w – Ankieta dla przedsiębiorców,</w:t>
      </w:r>
    </w:p>
    <w:p w:rsidR="00252A2C" w:rsidRPr="009A79B5" w:rsidRDefault="00252A2C" w:rsidP="00C552FE">
      <w:pPr>
        <w:pStyle w:val="Akapitzlist"/>
        <w:numPr>
          <w:ilvl w:val="0"/>
          <w:numId w:val="3"/>
        </w:numPr>
        <w:spacing w:before="100" w:after="200" w:line="360" w:lineRule="auto"/>
        <w:jc w:val="both"/>
        <w:rPr>
          <w:rFonts w:ascii="Arial" w:hAnsi="Arial" w:cs="Arial"/>
        </w:rPr>
      </w:pPr>
      <w:r w:rsidRPr="00DB2C01">
        <w:rPr>
          <w:rFonts w:ascii="Arial" w:hAnsi="Arial" w:cs="Arial"/>
        </w:rPr>
        <w:t xml:space="preserve">dane przekazane od Instytucji użyteczności publicznych znajdujących się na terenie Gminy </w:t>
      </w:r>
      <w:r w:rsidR="00A40176">
        <w:rPr>
          <w:rFonts w:ascii="Arial" w:hAnsi="Arial" w:cs="Arial"/>
        </w:rPr>
        <w:t>Garbatka-Letnisko</w:t>
      </w:r>
      <w:r w:rsidRPr="00DB2C01">
        <w:rPr>
          <w:rFonts w:ascii="Arial" w:hAnsi="Arial" w:cs="Arial"/>
        </w:rPr>
        <w:t>.</w:t>
      </w:r>
    </w:p>
    <w:p w:rsidR="0008291C" w:rsidRPr="009A79B5" w:rsidRDefault="0008291C" w:rsidP="00E03109">
      <w:pPr>
        <w:spacing w:line="360" w:lineRule="auto"/>
        <w:jc w:val="both"/>
        <w:rPr>
          <w:rFonts w:ascii="Arial" w:hAnsi="Arial" w:cs="Arial"/>
          <w:sz w:val="24"/>
          <w:szCs w:val="24"/>
        </w:rPr>
      </w:pPr>
    </w:p>
    <w:p w:rsidR="00E03109" w:rsidRPr="009A79B5" w:rsidRDefault="0008291C" w:rsidP="002B6D43">
      <w:pPr>
        <w:spacing w:line="360" w:lineRule="auto"/>
        <w:ind w:firstLine="709"/>
        <w:jc w:val="both"/>
        <w:rPr>
          <w:rFonts w:ascii="Arial" w:hAnsi="Arial" w:cs="Arial"/>
          <w:sz w:val="24"/>
          <w:szCs w:val="24"/>
        </w:rPr>
      </w:pPr>
      <w:r w:rsidRPr="009A79B5">
        <w:rPr>
          <w:rFonts w:ascii="Arial" w:hAnsi="Arial" w:cs="Arial"/>
          <w:sz w:val="24"/>
          <w:szCs w:val="24"/>
        </w:rPr>
        <w:t xml:space="preserve">Rokiem </w:t>
      </w:r>
      <w:r w:rsidR="00E03109" w:rsidRPr="009A79B5">
        <w:rPr>
          <w:rFonts w:ascii="Arial" w:hAnsi="Arial" w:cs="Arial"/>
          <w:sz w:val="24"/>
          <w:szCs w:val="24"/>
        </w:rPr>
        <w:t xml:space="preserve">Bazowym Inwentaryzacji jest </w:t>
      </w:r>
      <w:r w:rsidR="00252A2C" w:rsidRPr="009A79B5">
        <w:rPr>
          <w:rFonts w:ascii="Arial" w:hAnsi="Arial" w:cs="Arial"/>
          <w:sz w:val="24"/>
          <w:szCs w:val="24"/>
        </w:rPr>
        <w:t>rok 2015</w:t>
      </w:r>
      <w:r w:rsidRPr="009A79B5">
        <w:rPr>
          <w:rFonts w:ascii="Arial" w:hAnsi="Arial" w:cs="Arial"/>
          <w:sz w:val="24"/>
          <w:szCs w:val="24"/>
        </w:rPr>
        <w:t>, gdyż z tego roku można pozyskać dane najbardziej realnej oceny emisji dwutlenku węgla na analizowanym terenie.</w:t>
      </w:r>
    </w:p>
    <w:p w:rsidR="00466A9C" w:rsidRPr="009A79B5" w:rsidRDefault="00466A9C" w:rsidP="00604786">
      <w:pPr>
        <w:shd w:val="clear" w:color="auto" w:fill="FFC000" w:themeFill="accent4"/>
        <w:jc w:val="center"/>
        <w:rPr>
          <w:rFonts w:ascii="Arial" w:hAnsi="Arial" w:cs="Arial"/>
          <w:i/>
          <w:sz w:val="24"/>
          <w:szCs w:val="24"/>
        </w:rPr>
      </w:pPr>
      <w:r w:rsidRPr="009A79B5">
        <w:rPr>
          <w:rFonts w:ascii="Arial" w:hAnsi="Arial" w:cs="Arial"/>
          <w:i/>
          <w:sz w:val="24"/>
          <w:szCs w:val="24"/>
          <w:u w:val="single"/>
        </w:rPr>
        <w:t xml:space="preserve">Zakres Bazy </w:t>
      </w:r>
      <w:r w:rsidRPr="009A79B5">
        <w:rPr>
          <w:rFonts w:ascii="Arial" w:hAnsi="Arial" w:cs="Arial"/>
          <w:i/>
          <w:sz w:val="24"/>
          <w:szCs w:val="24"/>
          <w:u w:val="single"/>
          <w:lang w:eastAsia="pl-PL"/>
        </w:rPr>
        <w:t>Inwentaryzacyjnej</w:t>
      </w:r>
    </w:p>
    <w:p w:rsidR="00466A9C" w:rsidRPr="009A79B5" w:rsidRDefault="00466A9C" w:rsidP="00466A9C">
      <w:pPr>
        <w:spacing w:line="360" w:lineRule="auto"/>
        <w:ind w:left="360"/>
        <w:jc w:val="both"/>
        <w:rPr>
          <w:rFonts w:ascii="Arial" w:hAnsi="Arial" w:cs="Arial"/>
          <w:sz w:val="24"/>
          <w:szCs w:val="24"/>
        </w:rPr>
      </w:pPr>
    </w:p>
    <w:p w:rsidR="00DD7D45" w:rsidRPr="009A79B5" w:rsidRDefault="00536957" w:rsidP="00466A9C">
      <w:pPr>
        <w:spacing w:line="360" w:lineRule="auto"/>
        <w:ind w:firstLine="709"/>
        <w:jc w:val="both"/>
        <w:rPr>
          <w:rFonts w:ascii="Arial" w:hAnsi="Arial" w:cs="Arial"/>
          <w:sz w:val="24"/>
          <w:szCs w:val="24"/>
        </w:rPr>
      </w:pPr>
      <w:r w:rsidRPr="009A79B5">
        <w:rPr>
          <w:rFonts w:ascii="Arial" w:hAnsi="Arial" w:cs="Arial"/>
          <w:sz w:val="24"/>
          <w:szCs w:val="24"/>
        </w:rPr>
        <w:t>Baza inwentaryzacyjna obejmuje sektory,</w:t>
      </w:r>
      <w:r w:rsidR="008E42F1" w:rsidRPr="009A79B5">
        <w:rPr>
          <w:rFonts w:ascii="Arial" w:hAnsi="Arial" w:cs="Arial"/>
          <w:sz w:val="24"/>
          <w:szCs w:val="24"/>
        </w:rPr>
        <w:t xml:space="preserve"> które mają największy wpływ na </w:t>
      </w:r>
      <w:r w:rsidRPr="009A79B5">
        <w:rPr>
          <w:rFonts w:ascii="Arial" w:hAnsi="Arial" w:cs="Arial"/>
          <w:sz w:val="24"/>
          <w:szCs w:val="24"/>
        </w:rPr>
        <w:t xml:space="preserve">emisję dwutlenku węgla na terenie gminy </w:t>
      </w:r>
      <w:r w:rsidR="00A40176">
        <w:rPr>
          <w:rFonts w:ascii="Arial" w:hAnsi="Arial" w:cs="Arial"/>
          <w:sz w:val="24"/>
          <w:szCs w:val="24"/>
        </w:rPr>
        <w:t>Garbatka-Letnisko</w:t>
      </w:r>
      <w:r w:rsidRPr="009A79B5">
        <w:rPr>
          <w:rFonts w:ascii="Arial" w:hAnsi="Arial" w:cs="Arial"/>
          <w:sz w:val="24"/>
          <w:szCs w:val="24"/>
        </w:rPr>
        <w:t>. Należą do nich</w:t>
      </w:r>
      <w:r w:rsidR="00DD7D45" w:rsidRPr="009A79B5">
        <w:rPr>
          <w:rFonts w:ascii="Arial" w:hAnsi="Arial" w:cs="Arial"/>
          <w:sz w:val="24"/>
          <w:szCs w:val="24"/>
        </w:rPr>
        <w:t>:</w:t>
      </w:r>
    </w:p>
    <w:p w:rsidR="004936E4" w:rsidRPr="009A79B5" w:rsidRDefault="004936E4" w:rsidP="00C552FE">
      <w:pPr>
        <w:pStyle w:val="Akapitzlist"/>
        <w:numPr>
          <w:ilvl w:val="0"/>
          <w:numId w:val="4"/>
        </w:numPr>
        <w:spacing w:before="100" w:after="200" w:line="360" w:lineRule="auto"/>
        <w:jc w:val="both"/>
        <w:rPr>
          <w:rFonts w:ascii="Arial" w:hAnsi="Arial" w:cs="Arial"/>
        </w:rPr>
      </w:pPr>
      <w:r w:rsidRPr="009A79B5">
        <w:rPr>
          <w:rFonts w:ascii="Arial" w:hAnsi="Arial" w:cs="Arial"/>
        </w:rPr>
        <w:t>budynki, wyposażenie/urządzenia komunalne,</w:t>
      </w:r>
    </w:p>
    <w:p w:rsidR="004936E4" w:rsidRPr="009A79B5" w:rsidRDefault="004936E4" w:rsidP="00C552FE">
      <w:pPr>
        <w:pStyle w:val="Akapitzlist"/>
        <w:numPr>
          <w:ilvl w:val="0"/>
          <w:numId w:val="4"/>
        </w:numPr>
        <w:spacing w:before="100" w:after="200" w:line="360" w:lineRule="auto"/>
        <w:jc w:val="both"/>
        <w:rPr>
          <w:rFonts w:ascii="Arial" w:hAnsi="Arial" w:cs="Arial"/>
        </w:rPr>
      </w:pPr>
      <w:r w:rsidRPr="009A79B5">
        <w:rPr>
          <w:rFonts w:ascii="Arial" w:hAnsi="Arial" w:cs="Arial"/>
        </w:rPr>
        <w:t>budynki, wyposażenie/urządzenia usługowe (niekomunalne),</w:t>
      </w:r>
    </w:p>
    <w:p w:rsidR="004936E4" w:rsidRPr="009A79B5" w:rsidRDefault="004936E4" w:rsidP="00C552FE">
      <w:pPr>
        <w:pStyle w:val="Akapitzlist"/>
        <w:numPr>
          <w:ilvl w:val="0"/>
          <w:numId w:val="4"/>
        </w:numPr>
        <w:spacing w:before="100" w:after="200" w:line="360" w:lineRule="auto"/>
        <w:jc w:val="both"/>
        <w:rPr>
          <w:rFonts w:ascii="Arial" w:hAnsi="Arial" w:cs="Arial"/>
        </w:rPr>
      </w:pPr>
      <w:r w:rsidRPr="009A79B5">
        <w:rPr>
          <w:rFonts w:ascii="Arial" w:hAnsi="Arial" w:cs="Arial"/>
        </w:rPr>
        <w:t>budynki mieszkalne,</w:t>
      </w:r>
    </w:p>
    <w:p w:rsidR="004936E4" w:rsidRPr="009A79B5" w:rsidRDefault="004936E4" w:rsidP="00C552FE">
      <w:pPr>
        <w:pStyle w:val="Akapitzlist"/>
        <w:numPr>
          <w:ilvl w:val="0"/>
          <w:numId w:val="4"/>
        </w:numPr>
        <w:spacing w:before="100" w:after="200" w:line="360" w:lineRule="auto"/>
        <w:jc w:val="both"/>
        <w:rPr>
          <w:rFonts w:ascii="Arial" w:hAnsi="Arial" w:cs="Arial"/>
        </w:rPr>
      </w:pPr>
      <w:r w:rsidRPr="009A79B5">
        <w:rPr>
          <w:rFonts w:ascii="Arial" w:hAnsi="Arial" w:cs="Arial"/>
        </w:rPr>
        <w:t>komunalne oświetlenie publiczne,</w:t>
      </w:r>
    </w:p>
    <w:p w:rsidR="004936E4" w:rsidRPr="009A79B5" w:rsidRDefault="004936E4" w:rsidP="00C552FE">
      <w:pPr>
        <w:pStyle w:val="Akapitzlist"/>
        <w:numPr>
          <w:ilvl w:val="0"/>
          <w:numId w:val="4"/>
        </w:numPr>
        <w:spacing w:before="100" w:after="200" w:line="360" w:lineRule="auto"/>
        <w:jc w:val="both"/>
        <w:rPr>
          <w:rFonts w:ascii="Arial" w:hAnsi="Arial" w:cs="Arial"/>
        </w:rPr>
      </w:pPr>
      <w:r w:rsidRPr="009A79B5">
        <w:rPr>
          <w:rFonts w:ascii="Arial" w:hAnsi="Arial" w:cs="Arial"/>
        </w:rPr>
        <w:t>przemysł (z wyjątkiem zakładów objętych systemem handlu uprawnieniami do emisji UE-ETS),</w:t>
      </w:r>
    </w:p>
    <w:p w:rsidR="004936E4" w:rsidRPr="009A79B5" w:rsidRDefault="004936E4" w:rsidP="00C552FE">
      <w:pPr>
        <w:pStyle w:val="Akapitzlist"/>
        <w:numPr>
          <w:ilvl w:val="0"/>
          <w:numId w:val="4"/>
        </w:numPr>
        <w:spacing w:before="100" w:after="200" w:line="360" w:lineRule="auto"/>
        <w:jc w:val="both"/>
        <w:rPr>
          <w:rFonts w:ascii="Arial" w:hAnsi="Arial" w:cs="Arial"/>
        </w:rPr>
      </w:pPr>
      <w:r w:rsidRPr="009A79B5">
        <w:rPr>
          <w:rFonts w:ascii="Arial" w:hAnsi="Arial" w:cs="Arial"/>
        </w:rPr>
        <w:t>tabor gminny,</w:t>
      </w:r>
    </w:p>
    <w:p w:rsidR="004936E4" w:rsidRPr="009A79B5" w:rsidRDefault="004936E4" w:rsidP="00C552FE">
      <w:pPr>
        <w:pStyle w:val="Akapitzlist"/>
        <w:numPr>
          <w:ilvl w:val="0"/>
          <w:numId w:val="4"/>
        </w:numPr>
        <w:spacing w:before="100" w:after="200" w:line="360" w:lineRule="auto"/>
        <w:jc w:val="both"/>
        <w:rPr>
          <w:rFonts w:ascii="Arial" w:hAnsi="Arial" w:cs="Arial"/>
        </w:rPr>
      </w:pPr>
      <w:r w:rsidRPr="009A79B5">
        <w:rPr>
          <w:rFonts w:ascii="Arial" w:hAnsi="Arial" w:cs="Arial"/>
        </w:rPr>
        <w:t>transport publiczny,</w:t>
      </w:r>
    </w:p>
    <w:p w:rsidR="00DD7D45" w:rsidRPr="009A79B5" w:rsidRDefault="004936E4" w:rsidP="00C552FE">
      <w:pPr>
        <w:pStyle w:val="Akapitzlist"/>
        <w:numPr>
          <w:ilvl w:val="0"/>
          <w:numId w:val="4"/>
        </w:numPr>
        <w:spacing w:before="100" w:after="200" w:line="360" w:lineRule="auto"/>
        <w:jc w:val="both"/>
        <w:rPr>
          <w:rFonts w:ascii="Arial" w:hAnsi="Arial" w:cs="Arial"/>
        </w:rPr>
      </w:pPr>
      <w:r w:rsidRPr="009A79B5">
        <w:rPr>
          <w:rFonts w:ascii="Arial" w:hAnsi="Arial" w:cs="Arial"/>
        </w:rPr>
        <w:lastRenderedPageBreak/>
        <w:t>transport prywatny i komercyjny.</w:t>
      </w:r>
    </w:p>
    <w:p w:rsidR="00987E0C" w:rsidRPr="009A79B5" w:rsidRDefault="00E07052" w:rsidP="00E07052">
      <w:pPr>
        <w:spacing w:line="360" w:lineRule="auto"/>
        <w:jc w:val="both"/>
        <w:rPr>
          <w:rFonts w:ascii="Arial" w:hAnsi="Arial" w:cs="Arial"/>
          <w:sz w:val="24"/>
          <w:szCs w:val="24"/>
        </w:rPr>
      </w:pPr>
      <w:r w:rsidRPr="009A79B5">
        <w:rPr>
          <w:rFonts w:ascii="Arial" w:hAnsi="Arial" w:cs="Arial"/>
          <w:sz w:val="24"/>
          <w:szCs w:val="24"/>
        </w:rPr>
        <w:t>Wyżej wskazane sektory są zgodne z SEAP-em.</w:t>
      </w:r>
    </w:p>
    <w:p w:rsidR="009E07E9" w:rsidRPr="009A79B5" w:rsidRDefault="00987E0C" w:rsidP="006B1CCB">
      <w:pPr>
        <w:spacing w:line="360" w:lineRule="auto"/>
        <w:ind w:firstLine="709"/>
        <w:jc w:val="both"/>
        <w:rPr>
          <w:rFonts w:ascii="Arial" w:hAnsi="Arial" w:cs="Arial"/>
          <w:sz w:val="24"/>
          <w:szCs w:val="24"/>
          <w:lang w:eastAsia="pl-PL"/>
        </w:rPr>
      </w:pPr>
      <w:r w:rsidRPr="009A79B5">
        <w:rPr>
          <w:rFonts w:ascii="Arial" w:hAnsi="Arial" w:cs="Arial"/>
          <w:sz w:val="24"/>
          <w:szCs w:val="24"/>
        </w:rPr>
        <w:t>Baza Inwentary</w:t>
      </w:r>
      <w:r w:rsidR="00E07052" w:rsidRPr="009A79B5">
        <w:rPr>
          <w:rFonts w:ascii="Arial" w:hAnsi="Arial" w:cs="Arial"/>
          <w:sz w:val="24"/>
          <w:szCs w:val="24"/>
        </w:rPr>
        <w:t>zacyjna jest podzielona na sześć</w:t>
      </w:r>
      <w:r w:rsidRPr="009A79B5">
        <w:rPr>
          <w:rFonts w:ascii="Arial" w:hAnsi="Arial" w:cs="Arial"/>
          <w:sz w:val="24"/>
          <w:szCs w:val="24"/>
        </w:rPr>
        <w:t xml:space="preserve"> </w:t>
      </w:r>
      <w:r w:rsidR="00466A9C" w:rsidRPr="009A79B5">
        <w:rPr>
          <w:rFonts w:ascii="Arial" w:hAnsi="Arial" w:cs="Arial"/>
          <w:sz w:val="24"/>
          <w:szCs w:val="24"/>
        </w:rPr>
        <w:t>części (</w:t>
      </w:r>
      <w:r w:rsidRPr="009A79B5">
        <w:rPr>
          <w:rFonts w:ascii="Arial" w:hAnsi="Arial" w:cs="Arial"/>
          <w:sz w:val="24"/>
          <w:szCs w:val="24"/>
        </w:rPr>
        <w:t xml:space="preserve">zakładek w arkuszu </w:t>
      </w:r>
      <w:r w:rsidRPr="009A79B5">
        <w:rPr>
          <w:rFonts w:ascii="Arial" w:eastAsia="Calibri" w:hAnsi="Arial" w:cs="Arial"/>
          <w:sz w:val="24"/>
          <w:szCs w:val="24"/>
        </w:rPr>
        <w:t>MS Excel</w:t>
      </w:r>
      <w:r w:rsidR="00466A9C" w:rsidRPr="009A79B5">
        <w:rPr>
          <w:rFonts w:ascii="Arial" w:eastAsia="Calibri" w:hAnsi="Arial" w:cs="Arial"/>
          <w:sz w:val="24"/>
          <w:szCs w:val="24"/>
        </w:rPr>
        <w:t>)</w:t>
      </w:r>
      <w:r w:rsidRPr="009A79B5">
        <w:rPr>
          <w:rFonts w:ascii="Arial" w:hAnsi="Arial" w:cs="Arial"/>
          <w:sz w:val="24"/>
          <w:szCs w:val="24"/>
          <w:lang w:eastAsia="pl-PL"/>
        </w:rPr>
        <w:t>, tj</w:t>
      </w:r>
      <w:r w:rsidR="00466A9C" w:rsidRPr="009A79B5">
        <w:rPr>
          <w:rFonts w:ascii="Arial" w:hAnsi="Arial" w:cs="Arial"/>
          <w:sz w:val="24"/>
          <w:szCs w:val="24"/>
          <w:lang w:eastAsia="pl-PL"/>
        </w:rPr>
        <w:t>.</w:t>
      </w:r>
      <w:r w:rsidRPr="009A79B5">
        <w:rPr>
          <w:rFonts w:ascii="Arial" w:hAnsi="Arial" w:cs="Arial"/>
          <w:sz w:val="24"/>
          <w:szCs w:val="24"/>
          <w:lang w:eastAsia="pl-PL"/>
        </w:rPr>
        <w:t>:</w:t>
      </w:r>
    </w:p>
    <w:p w:rsidR="00BB2739" w:rsidRPr="009A79B5" w:rsidRDefault="009E64D6" w:rsidP="00C552FE">
      <w:pPr>
        <w:pStyle w:val="Akapitzlist"/>
        <w:numPr>
          <w:ilvl w:val="0"/>
          <w:numId w:val="1"/>
        </w:numPr>
        <w:spacing w:line="360" w:lineRule="auto"/>
        <w:jc w:val="both"/>
        <w:rPr>
          <w:rFonts w:ascii="Arial" w:hAnsi="Arial" w:cs="Arial"/>
        </w:rPr>
      </w:pPr>
      <w:r w:rsidRPr="009A79B5">
        <w:rPr>
          <w:rFonts w:ascii="Arial" w:hAnsi="Arial" w:cs="Arial"/>
        </w:rPr>
        <w:t xml:space="preserve">Baza, w tym: Strona tytułowa i </w:t>
      </w:r>
      <w:r w:rsidR="00BB2739" w:rsidRPr="009A79B5">
        <w:rPr>
          <w:rFonts w:ascii="Arial" w:hAnsi="Arial" w:cs="Arial"/>
        </w:rPr>
        <w:t>Spis treści,</w:t>
      </w:r>
    </w:p>
    <w:p w:rsidR="004936E4" w:rsidRPr="009A79B5" w:rsidRDefault="00065550" w:rsidP="00C552FE">
      <w:pPr>
        <w:pStyle w:val="Akapitzlist"/>
        <w:numPr>
          <w:ilvl w:val="0"/>
          <w:numId w:val="1"/>
        </w:numPr>
        <w:spacing w:before="100" w:after="200" w:line="360" w:lineRule="auto"/>
        <w:jc w:val="both"/>
        <w:rPr>
          <w:rFonts w:ascii="Arial" w:hAnsi="Arial" w:cs="Arial"/>
        </w:rPr>
      </w:pPr>
      <w:r w:rsidRPr="009A79B5">
        <w:rPr>
          <w:rFonts w:ascii="Arial" w:hAnsi="Arial" w:cs="Arial"/>
        </w:rPr>
        <w:t>Sektor Komunalny</w:t>
      </w:r>
      <w:r w:rsidR="00E07052" w:rsidRPr="009A79B5">
        <w:rPr>
          <w:rFonts w:ascii="Arial" w:hAnsi="Arial" w:cs="Arial"/>
        </w:rPr>
        <w:t>,</w:t>
      </w:r>
    </w:p>
    <w:p w:rsidR="00E07052" w:rsidRPr="009A79B5" w:rsidRDefault="00065550" w:rsidP="00C552FE">
      <w:pPr>
        <w:pStyle w:val="Akapitzlist"/>
        <w:numPr>
          <w:ilvl w:val="0"/>
          <w:numId w:val="1"/>
        </w:numPr>
        <w:spacing w:before="100" w:after="200" w:line="360" w:lineRule="auto"/>
        <w:jc w:val="both"/>
        <w:rPr>
          <w:rFonts w:ascii="Arial" w:hAnsi="Arial" w:cs="Arial"/>
        </w:rPr>
      </w:pPr>
      <w:r w:rsidRPr="009A79B5">
        <w:rPr>
          <w:rFonts w:ascii="Arial" w:hAnsi="Arial" w:cs="Arial"/>
        </w:rPr>
        <w:t>Budynki Usługowe</w:t>
      </w:r>
      <w:r w:rsidR="00E07052" w:rsidRPr="009A79B5">
        <w:rPr>
          <w:rFonts w:ascii="Arial" w:hAnsi="Arial" w:cs="Arial"/>
        </w:rPr>
        <w:t>,</w:t>
      </w:r>
    </w:p>
    <w:p w:rsidR="00E07052" w:rsidRPr="009A79B5" w:rsidRDefault="00065550" w:rsidP="00C552FE">
      <w:pPr>
        <w:pStyle w:val="Akapitzlist"/>
        <w:numPr>
          <w:ilvl w:val="0"/>
          <w:numId w:val="1"/>
        </w:numPr>
        <w:spacing w:before="100" w:after="200" w:line="360" w:lineRule="auto"/>
        <w:jc w:val="both"/>
        <w:rPr>
          <w:rFonts w:ascii="Arial" w:hAnsi="Arial" w:cs="Arial"/>
        </w:rPr>
      </w:pPr>
      <w:r w:rsidRPr="009A79B5">
        <w:rPr>
          <w:rFonts w:ascii="Arial" w:hAnsi="Arial" w:cs="Arial"/>
        </w:rPr>
        <w:t>Budynki Mieszkalne</w:t>
      </w:r>
      <w:r w:rsidR="00E07052" w:rsidRPr="009A79B5">
        <w:rPr>
          <w:rFonts w:ascii="Arial" w:hAnsi="Arial" w:cs="Arial"/>
        </w:rPr>
        <w:t>,</w:t>
      </w:r>
    </w:p>
    <w:p w:rsidR="00E07052" w:rsidRPr="009A79B5" w:rsidRDefault="00E07052" w:rsidP="00C552FE">
      <w:pPr>
        <w:pStyle w:val="Akapitzlist"/>
        <w:numPr>
          <w:ilvl w:val="0"/>
          <w:numId w:val="1"/>
        </w:numPr>
        <w:spacing w:before="100" w:after="200" w:line="360" w:lineRule="auto"/>
        <w:jc w:val="both"/>
        <w:rPr>
          <w:rFonts w:ascii="Arial" w:hAnsi="Arial" w:cs="Arial"/>
        </w:rPr>
      </w:pPr>
      <w:r w:rsidRPr="009A79B5">
        <w:rPr>
          <w:rFonts w:ascii="Arial" w:hAnsi="Arial" w:cs="Arial"/>
        </w:rPr>
        <w:t>Przemysł,</w:t>
      </w:r>
    </w:p>
    <w:p w:rsidR="00E07052" w:rsidRPr="009A79B5" w:rsidRDefault="00065550" w:rsidP="00C552FE">
      <w:pPr>
        <w:pStyle w:val="Akapitzlist"/>
        <w:numPr>
          <w:ilvl w:val="0"/>
          <w:numId w:val="1"/>
        </w:numPr>
        <w:spacing w:before="100" w:after="200" w:line="360" w:lineRule="auto"/>
        <w:jc w:val="both"/>
        <w:rPr>
          <w:rFonts w:ascii="Arial" w:hAnsi="Arial" w:cs="Arial"/>
        </w:rPr>
      </w:pPr>
      <w:r w:rsidRPr="009A79B5">
        <w:rPr>
          <w:rFonts w:ascii="Arial" w:hAnsi="Arial" w:cs="Arial"/>
        </w:rPr>
        <w:t>Transport</w:t>
      </w:r>
      <w:r w:rsidR="00E07052" w:rsidRPr="009A79B5">
        <w:rPr>
          <w:rFonts w:ascii="Arial" w:hAnsi="Arial" w:cs="Arial"/>
        </w:rPr>
        <w:t>.</w:t>
      </w:r>
    </w:p>
    <w:p w:rsidR="00466A9C" w:rsidRPr="009A79B5" w:rsidRDefault="00466A9C" w:rsidP="00604786">
      <w:pPr>
        <w:shd w:val="clear" w:color="auto" w:fill="FFC000" w:themeFill="accent4"/>
        <w:jc w:val="center"/>
        <w:rPr>
          <w:rFonts w:ascii="Arial" w:hAnsi="Arial" w:cs="Arial"/>
          <w:sz w:val="24"/>
          <w:szCs w:val="24"/>
        </w:rPr>
      </w:pPr>
      <w:r w:rsidRPr="009A79B5">
        <w:rPr>
          <w:rFonts w:ascii="Arial" w:hAnsi="Arial" w:cs="Arial"/>
          <w:sz w:val="24"/>
          <w:szCs w:val="24"/>
          <w:u w:val="single"/>
        </w:rPr>
        <w:t>Omówienie poszczególnych części Bazy Inwentaryzacyjnej</w:t>
      </w:r>
    </w:p>
    <w:p w:rsidR="009E07E9" w:rsidRPr="009A79B5" w:rsidRDefault="009E07E9" w:rsidP="009E07E9">
      <w:pPr>
        <w:spacing w:line="360" w:lineRule="auto"/>
        <w:jc w:val="both"/>
        <w:rPr>
          <w:rFonts w:ascii="Arial" w:hAnsi="Arial" w:cs="Arial"/>
          <w:sz w:val="24"/>
          <w:szCs w:val="24"/>
          <w:lang w:eastAsia="pl-PL"/>
        </w:rPr>
      </w:pPr>
    </w:p>
    <w:p w:rsidR="00466A9C" w:rsidRPr="009A79B5" w:rsidRDefault="00466A9C" w:rsidP="00466A9C">
      <w:pPr>
        <w:spacing w:line="360" w:lineRule="auto"/>
        <w:jc w:val="center"/>
        <w:rPr>
          <w:rFonts w:ascii="Arial" w:hAnsi="Arial" w:cs="Arial"/>
          <w:i/>
          <w:sz w:val="24"/>
          <w:szCs w:val="24"/>
          <w:lang w:eastAsia="pl-PL"/>
        </w:rPr>
      </w:pPr>
      <w:r w:rsidRPr="009A79B5">
        <w:rPr>
          <w:rFonts w:ascii="Arial" w:hAnsi="Arial" w:cs="Arial"/>
          <w:i/>
          <w:sz w:val="24"/>
          <w:szCs w:val="24"/>
          <w:lang w:eastAsia="pl-PL"/>
        </w:rPr>
        <w:t xml:space="preserve">Część I </w:t>
      </w:r>
      <w:r w:rsidR="00E07052" w:rsidRPr="009A79B5">
        <w:rPr>
          <w:rFonts w:ascii="Arial" w:hAnsi="Arial" w:cs="Arial"/>
          <w:i/>
          <w:sz w:val="24"/>
          <w:szCs w:val="24"/>
          <w:lang w:eastAsia="pl-PL"/>
        </w:rPr>
        <w:t>Baza</w:t>
      </w:r>
    </w:p>
    <w:p w:rsidR="006B1CCB" w:rsidRPr="009A79B5" w:rsidRDefault="006B1CCB" w:rsidP="00466A9C">
      <w:pPr>
        <w:spacing w:line="360" w:lineRule="auto"/>
        <w:jc w:val="center"/>
        <w:rPr>
          <w:rFonts w:ascii="Arial" w:hAnsi="Arial" w:cs="Arial"/>
          <w:i/>
          <w:sz w:val="24"/>
          <w:szCs w:val="24"/>
          <w:lang w:eastAsia="pl-PL"/>
        </w:rPr>
      </w:pPr>
    </w:p>
    <w:p w:rsidR="00BB2739" w:rsidRPr="009A79B5" w:rsidRDefault="00E07052" w:rsidP="00E07052">
      <w:pPr>
        <w:spacing w:before="100" w:after="200" w:line="360" w:lineRule="auto"/>
        <w:ind w:firstLine="709"/>
        <w:jc w:val="both"/>
        <w:rPr>
          <w:rFonts w:ascii="Arial" w:hAnsi="Arial" w:cs="Arial"/>
          <w:sz w:val="24"/>
          <w:szCs w:val="24"/>
        </w:rPr>
      </w:pPr>
      <w:r w:rsidRPr="009A79B5">
        <w:rPr>
          <w:rFonts w:ascii="Arial" w:hAnsi="Arial" w:cs="Arial"/>
          <w:sz w:val="24"/>
          <w:szCs w:val="24"/>
        </w:rPr>
        <w:t>Na</w:t>
      </w:r>
      <w:r w:rsidR="00466A9C" w:rsidRPr="009A79B5">
        <w:rPr>
          <w:rFonts w:ascii="Arial" w:hAnsi="Arial" w:cs="Arial"/>
          <w:sz w:val="24"/>
          <w:szCs w:val="24"/>
        </w:rPr>
        <w:t xml:space="preserve"> Stron</w:t>
      </w:r>
      <w:r w:rsidRPr="009A79B5">
        <w:rPr>
          <w:rFonts w:ascii="Arial" w:hAnsi="Arial" w:cs="Arial"/>
          <w:sz w:val="24"/>
          <w:szCs w:val="24"/>
        </w:rPr>
        <w:t>ie</w:t>
      </w:r>
      <w:r w:rsidR="00466A9C" w:rsidRPr="009A79B5">
        <w:rPr>
          <w:rFonts w:ascii="Arial" w:hAnsi="Arial" w:cs="Arial"/>
          <w:sz w:val="24"/>
          <w:szCs w:val="24"/>
        </w:rPr>
        <w:t xml:space="preserve"> Tytu</w:t>
      </w:r>
      <w:r w:rsidRPr="009A79B5">
        <w:rPr>
          <w:rFonts w:ascii="Arial" w:hAnsi="Arial" w:cs="Arial"/>
          <w:sz w:val="24"/>
          <w:szCs w:val="24"/>
        </w:rPr>
        <w:t>łowej</w:t>
      </w:r>
      <w:r w:rsidR="00E03109" w:rsidRPr="009A79B5">
        <w:rPr>
          <w:rFonts w:ascii="Arial" w:hAnsi="Arial" w:cs="Arial"/>
          <w:sz w:val="24"/>
          <w:szCs w:val="24"/>
        </w:rPr>
        <w:t xml:space="preserve"> znajdują się dane dotyczące łącznej wartości emisji dwutlenku węgla wyrażone w tonach, z podziałem na </w:t>
      </w:r>
      <w:r w:rsidRPr="009A79B5">
        <w:rPr>
          <w:rFonts w:ascii="Arial" w:hAnsi="Arial" w:cs="Arial"/>
          <w:sz w:val="24"/>
          <w:szCs w:val="24"/>
        </w:rPr>
        <w:t xml:space="preserve">Transport, Budynki Mieszkalne, Budynki Usługowe, Przemysł i Sektor Komunalny </w:t>
      </w:r>
      <w:r w:rsidR="00E03109" w:rsidRPr="009A79B5">
        <w:rPr>
          <w:rFonts w:ascii="Arial" w:hAnsi="Arial" w:cs="Arial"/>
          <w:sz w:val="24"/>
          <w:szCs w:val="24"/>
          <w:lang w:eastAsia="pl-PL"/>
        </w:rPr>
        <w:t xml:space="preserve">oraz łączna emisja dla całego obszaru gminy </w:t>
      </w:r>
      <w:r w:rsidR="00A40176">
        <w:rPr>
          <w:rFonts w:ascii="Arial" w:hAnsi="Arial" w:cs="Arial"/>
          <w:sz w:val="24"/>
          <w:szCs w:val="24"/>
          <w:lang w:eastAsia="pl-PL"/>
        </w:rPr>
        <w:t>Garbatka-Letnisko</w:t>
      </w:r>
      <w:r w:rsidR="00E03109" w:rsidRPr="009A79B5">
        <w:rPr>
          <w:rFonts w:ascii="Arial" w:hAnsi="Arial" w:cs="Arial"/>
          <w:sz w:val="24"/>
          <w:szCs w:val="24"/>
          <w:lang w:eastAsia="pl-PL"/>
        </w:rPr>
        <w:t>. Wartości prze</w:t>
      </w:r>
      <w:r w:rsidR="006B1CCB" w:rsidRPr="009A79B5">
        <w:rPr>
          <w:rFonts w:ascii="Arial" w:hAnsi="Arial" w:cs="Arial"/>
          <w:sz w:val="24"/>
          <w:szCs w:val="24"/>
          <w:lang w:eastAsia="pl-PL"/>
        </w:rPr>
        <w:t>dstawione w omawianej części są </w:t>
      </w:r>
      <w:r w:rsidR="00E03109" w:rsidRPr="009A79B5">
        <w:rPr>
          <w:rFonts w:ascii="Arial" w:hAnsi="Arial" w:cs="Arial"/>
          <w:sz w:val="24"/>
          <w:szCs w:val="24"/>
          <w:lang w:eastAsia="pl-PL"/>
        </w:rPr>
        <w:t xml:space="preserve">wyliczane automatycznie przy pomocy formuł </w:t>
      </w:r>
      <w:r w:rsidR="006B1CCB" w:rsidRPr="009A79B5">
        <w:rPr>
          <w:rFonts w:ascii="Arial" w:hAnsi="Arial" w:cs="Arial"/>
          <w:sz w:val="24"/>
          <w:szCs w:val="24"/>
          <w:lang w:eastAsia="pl-PL"/>
        </w:rPr>
        <w:t xml:space="preserve">z następnych zakładek arkusza kalkulacyjnego </w:t>
      </w:r>
      <w:r w:rsidR="00E03109" w:rsidRPr="009A79B5">
        <w:rPr>
          <w:rFonts w:ascii="Arial" w:hAnsi="Arial" w:cs="Arial"/>
          <w:sz w:val="24"/>
          <w:szCs w:val="24"/>
          <w:lang w:eastAsia="pl-PL"/>
        </w:rPr>
        <w:t>MS Excel.</w:t>
      </w:r>
      <w:r w:rsidRPr="009A79B5">
        <w:rPr>
          <w:rFonts w:ascii="Arial" w:hAnsi="Arial" w:cs="Arial"/>
          <w:sz w:val="24"/>
          <w:szCs w:val="24"/>
          <w:lang w:eastAsia="pl-PL"/>
        </w:rPr>
        <w:t xml:space="preserve"> Dodatkowo, jest aktywny Spis Treści</w:t>
      </w:r>
      <w:r w:rsidRPr="009A79B5">
        <w:rPr>
          <w:rFonts w:ascii="Arial" w:hAnsi="Arial" w:cs="Arial"/>
          <w:sz w:val="24"/>
          <w:szCs w:val="24"/>
        </w:rPr>
        <w:t xml:space="preserve"> </w:t>
      </w:r>
      <w:r w:rsidR="00BB2739" w:rsidRPr="009A79B5">
        <w:rPr>
          <w:rFonts w:ascii="Arial" w:hAnsi="Arial" w:cs="Arial"/>
          <w:sz w:val="24"/>
          <w:szCs w:val="24"/>
          <w:lang w:eastAsia="pl-PL"/>
        </w:rPr>
        <w:t>ułatwiający użytkownikowi poruszanie się po całej Bazie Inwentaryzacji.</w:t>
      </w:r>
    </w:p>
    <w:p w:rsidR="006B1CCB" w:rsidRDefault="006B1CCB" w:rsidP="00E03109">
      <w:pPr>
        <w:spacing w:line="360" w:lineRule="auto"/>
        <w:ind w:firstLine="709"/>
        <w:jc w:val="both"/>
        <w:rPr>
          <w:rFonts w:ascii="Arial" w:hAnsi="Arial" w:cs="Arial"/>
          <w:sz w:val="24"/>
          <w:szCs w:val="24"/>
          <w:lang w:eastAsia="pl-PL"/>
        </w:rPr>
      </w:pPr>
    </w:p>
    <w:p w:rsidR="00065550" w:rsidRDefault="00065550" w:rsidP="00065550">
      <w:pPr>
        <w:spacing w:line="360" w:lineRule="auto"/>
        <w:jc w:val="center"/>
        <w:rPr>
          <w:rFonts w:ascii="Arial" w:hAnsi="Arial" w:cs="Arial"/>
          <w:i/>
          <w:sz w:val="24"/>
          <w:szCs w:val="24"/>
          <w:lang w:eastAsia="pl-PL"/>
        </w:rPr>
      </w:pPr>
      <w:r>
        <w:rPr>
          <w:rFonts w:ascii="Arial" w:hAnsi="Arial" w:cs="Arial"/>
          <w:i/>
          <w:sz w:val="24"/>
          <w:szCs w:val="24"/>
          <w:lang w:eastAsia="pl-PL"/>
        </w:rPr>
        <w:t>Część II Sektor Komunalny</w:t>
      </w:r>
    </w:p>
    <w:p w:rsidR="00065550" w:rsidRPr="009A79B5" w:rsidRDefault="00065550" w:rsidP="00065550">
      <w:pPr>
        <w:spacing w:line="360" w:lineRule="auto"/>
        <w:jc w:val="center"/>
        <w:rPr>
          <w:rFonts w:ascii="Arial" w:hAnsi="Arial" w:cs="Arial"/>
          <w:i/>
          <w:sz w:val="24"/>
          <w:szCs w:val="24"/>
          <w:lang w:eastAsia="pl-PL"/>
        </w:rPr>
      </w:pPr>
    </w:p>
    <w:p w:rsidR="00065550" w:rsidRDefault="00065550" w:rsidP="00065550">
      <w:pPr>
        <w:spacing w:line="360" w:lineRule="auto"/>
        <w:ind w:firstLine="709"/>
        <w:jc w:val="both"/>
        <w:rPr>
          <w:rFonts w:ascii="Arial" w:hAnsi="Arial" w:cs="Arial"/>
          <w:sz w:val="24"/>
          <w:szCs w:val="24"/>
          <w:lang w:eastAsia="pl-PL"/>
        </w:rPr>
      </w:pPr>
      <w:r>
        <w:rPr>
          <w:rFonts w:ascii="Arial" w:hAnsi="Arial" w:cs="Arial"/>
          <w:sz w:val="24"/>
          <w:szCs w:val="24"/>
          <w:lang w:eastAsia="pl-PL"/>
        </w:rPr>
        <w:t>Części II</w:t>
      </w:r>
      <w:r w:rsidRPr="009A79B5">
        <w:rPr>
          <w:rFonts w:ascii="Arial" w:hAnsi="Arial" w:cs="Arial"/>
          <w:sz w:val="24"/>
          <w:szCs w:val="24"/>
          <w:lang w:eastAsia="pl-PL"/>
        </w:rPr>
        <w:t xml:space="preserve"> </w:t>
      </w:r>
      <w:r>
        <w:rPr>
          <w:rFonts w:ascii="Arial" w:hAnsi="Arial" w:cs="Arial"/>
          <w:sz w:val="24"/>
          <w:szCs w:val="24"/>
          <w:lang w:eastAsia="pl-PL"/>
        </w:rPr>
        <w:t xml:space="preserve">Sektor komunalny </w:t>
      </w:r>
      <w:r w:rsidRPr="009A79B5">
        <w:rPr>
          <w:rFonts w:ascii="Arial" w:hAnsi="Arial" w:cs="Arial"/>
          <w:sz w:val="24"/>
          <w:szCs w:val="24"/>
          <w:lang w:eastAsia="pl-PL"/>
        </w:rPr>
        <w:t>podzielon</w:t>
      </w:r>
      <w:r>
        <w:rPr>
          <w:rFonts w:ascii="Arial" w:hAnsi="Arial" w:cs="Arial"/>
          <w:sz w:val="24"/>
          <w:szCs w:val="24"/>
          <w:lang w:eastAsia="pl-PL"/>
        </w:rPr>
        <w:t>y</w:t>
      </w:r>
      <w:r w:rsidRPr="009A79B5">
        <w:rPr>
          <w:rFonts w:ascii="Arial" w:hAnsi="Arial" w:cs="Arial"/>
          <w:sz w:val="24"/>
          <w:szCs w:val="24"/>
          <w:lang w:eastAsia="pl-PL"/>
        </w:rPr>
        <w:t xml:space="preserve"> jest n</w:t>
      </w:r>
      <w:r>
        <w:rPr>
          <w:rFonts w:ascii="Arial" w:hAnsi="Arial" w:cs="Arial"/>
          <w:sz w:val="24"/>
          <w:szCs w:val="24"/>
          <w:lang w:eastAsia="pl-PL"/>
        </w:rPr>
        <w:t xml:space="preserve">a dwie części A, B. W Części A jest ilość zużywanego paliwa w taborze gminnym i ilość zużywanego paliwa pojazdów w transporcie publicznym. </w:t>
      </w:r>
      <w:r w:rsidRPr="009A79B5">
        <w:rPr>
          <w:rFonts w:ascii="Arial" w:hAnsi="Arial" w:cs="Arial"/>
          <w:sz w:val="24"/>
          <w:szCs w:val="24"/>
          <w:lang w:eastAsia="pl-PL"/>
        </w:rPr>
        <w:t>W części A dane podzielone zostały na: grupy pojazdów, rodzaj paliwa, średni roczny przebieg, średni wiek pojazdu, średnie spalanie. Wyżej wymienione dane są przeliczone automatycznie przez wskaźniki emisji CO</w:t>
      </w:r>
      <w:r w:rsidRPr="009A79B5">
        <w:rPr>
          <w:rFonts w:ascii="Arial" w:hAnsi="Arial" w:cs="Arial"/>
          <w:sz w:val="24"/>
          <w:szCs w:val="24"/>
          <w:vertAlign w:val="subscript"/>
          <w:lang w:eastAsia="pl-PL"/>
        </w:rPr>
        <w:t>2</w:t>
      </w:r>
      <w:r w:rsidRPr="009A79B5">
        <w:rPr>
          <w:rFonts w:ascii="Arial" w:hAnsi="Arial" w:cs="Arial"/>
          <w:sz w:val="24"/>
          <w:szCs w:val="24"/>
          <w:lang w:eastAsia="pl-PL"/>
        </w:rPr>
        <w:t xml:space="preserve"> przy </w:t>
      </w:r>
      <w:r w:rsidRPr="009A79B5">
        <w:rPr>
          <w:rFonts w:ascii="Arial" w:hAnsi="Arial" w:cs="Arial"/>
          <w:sz w:val="24"/>
          <w:szCs w:val="24"/>
          <w:lang w:eastAsia="pl-PL"/>
        </w:rPr>
        <w:lastRenderedPageBreak/>
        <w:t>pomocy formuł, dając sumaryczną emisję dwutlenku węgla - zaznaczone pola na kolor czerwony.</w:t>
      </w:r>
    </w:p>
    <w:p w:rsidR="00065550" w:rsidRPr="009A79B5" w:rsidRDefault="00065550" w:rsidP="00065550">
      <w:pPr>
        <w:spacing w:line="360" w:lineRule="auto"/>
        <w:ind w:firstLine="709"/>
        <w:jc w:val="both"/>
        <w:rPr>
          <w:rFonts w:ascii="Arial" w:hAnsi="Arial" w:cs="Arial"/>
          <w:sz w:val="24"/>
          <w:szCs w:val="24"/>
          <w:lang w:eastAsia="pl-PL"/>
        </w:rPr>
      </w:pPr>
      <w:r w:rsidRPr="009A79B5">
        <w:rPr>
          <w:rFonts w:ascii="Arial" w:hAnsi="Arial" w:cs="Arial"/>
          <w:sz w:val="24"/>
          <w:szCs w:val="24"/>
          <w:lang w:eastAsia="pl-PL"/>
        </w:rPr>
        <w:t>Na kolor niebieski są zaznaczone komórki, gdzie należy wpisać pozyskane dane w latach następnych ze źródeł zewnętrznych. Rok bazowy, tj. rok 201</w:t>
      </w:r>
      <w:r>
        <w:rPr>
          <w:rFonts w:ascii="Arial" w:hAnsi="Arial" w:cs="Arial"/>
          <w:sz w:val="24"/>
          <w:szCs w:val="24"/>
          <w:lang w:eastAsia="pl-PL"/>
        </w:rPr>
        <w:t>5</w:t>
      </w:r>
      <w:r w:rsidRPr="009A79B5">
        <w:rPr>
          <w:rFonts w:ascii="Arial" w:hAnsi="Arial" w:cs="Arial"/>
          <w:sz w:val="24"/>
          <w:szCs w:val="24"/>
          <w:lang w:eastAsia="pl-PL"/>
        </w:rPr>
        <w:t xml:space="preserve"> został już uzupełniony.</w:t>
      </w:r>
    </w:p>
    <w:p w:rsidR="00065550" w:rsidRDefault="00065550" w:rsidP="00065550">
      <w:pPr>
        <w:spacing w:before="100" w:after="200" w:line="360" w:lineRule="auto"/>
        <w:ind w:firstLine="709"/>
        <w:jc w:val="both"/>
        <w:rPr>
          <w:rFonts w:ascii="Arial" w:hAnsi="Arial" w:cs="Arial"/>
          <w:sz w:val="24"/>
          <w:szCs w:val="24"/>
        </w:rPr>
      </w:pPr>
      <w:r w:rsidRPr="00A427E0">
        <w:rPr>
          <w:rFonts w:ascii="Arial" w:hAnsi="Arial" w:cs="Arial"/>
          <w:sz w:val="24"/>
          <w:szCs w:val="24"/>
        </w:rPr>
        <w:t xml:space="preserve">Na wzorze tabeli </w:t>
      </w:r>
      <w:r w:rsidRPr="006D1414">
        <w:rPr>
          <w:rFonts w:ascii="Arial" w:hAnsi="Arial" w:cs="Arial"/>
          <w:sz w:val="24"/>
          <w:szCs w:val="24"/>
        </w:rPr>
        <w:t xml:space="preserve">wg. SEAPU-u ta część odpowiada sektorowi </w:t>
      </w:r>
      <w:r>
        <w:rPr>
          <w:rFonts w:ascii="Arial" w:hAnsi="Arial" w:cs="Arial"/>
          <w:sz w:val="24"/>
          <w:szCs w:val="24"/>
        </w:rPr>
        <w:t>–</w:t>
      </w:r>
      <w:r w:rsidRPr="006D1414">
        <w:rPr>
          <w:rFonts w:ascii="Arial" w:hAnsi="Arial" w:cs="Arial"/>
          <w:sz w:val="24"/>
          <w:szCs w:val="24"/>
        </w:rPr>
        <w:t xml:space="preserve"> </w:t>
      </w:r>
      <w:r>
        <w:rPr>
          <w:rFonts w:ascii="Arial" w:hAnsi="Arial" w:cs="Arial"/>
          <w:sz w:val="24"/>
          <w:szCs w:val="24"/>
        </w:rPr>
        <w:t>tabor gminny i transport publiczny.</w:t>
      </w:r>
    </w:p>
    <w:p w:rsidR="00065550" w:rsidRDefault="00065550" w:rsidP="00065550">
      <w:pPr>
        <w:spacing w:line="360" w:lineRule="auto"/>
        <w:ind w:firstLine="709"/>
        <w:jc w:val="both"/>
        <w:rPr>
          <w:rFonts w:ascii="Arial" w:hAnsi="Arial" w:cs="Arial"/>
          <w:sz w:val="24"/>
          <w:szCs w:val="24"/>
          <w:lang w:eastAsia="pl-PL"/>
        </w:rPr>
      </w:pPr>
      <w:r>
        <w:rPr>
          <w:rFonts w:ascii="Arial" w:hAnsi="Arial" w:cs="Arial"/>
          <w:sz w:val="24"/>
          <w:szCs w:val="24"/>
          <w:lang w:eastAsia="pl-PL"/>
        </w:rPr>
        <w:t>Zaś część B zawiera dane:</w:t>
      </w:r>
    </w:p>
    <w:p w:rsidR="00065550" w:rsidRDefault="00065550" w:rsidP="00C552FE">
      <w:pPr>
        <w:pStyle w:val="Akapitzlist"/>
        <w:numPr>
          <w:ilvl w:val="0"/>
          <w:numId w:val="2"/>
        </w:numPr>
        <w:spacing w:line="360" w:lineRule="auto"/>
        <w:jc w:val="both"/>
        <w:rPr>
          <w:rFonts w:ascii="Arial" w:hAnsi="Arial" w:cs="Arial"/>
        </w:rPr>
      </w:pPr>
      <w:r w:rsidRPr="00C35863">
        <w:rPr>
          <w:rFonts w:ascii="Arial" w:hAnsi="Arial" w:cs="Arial"/>
        </w:rPr>
        <w:t>Inwentaryzacja emisji na podstawie zużycia paliw w budynkach komunalnych</w:t>
      </w:r>
      <w:r>
        <w:rPr>
          <w:rFonts w:ascii="Arial" w:hAnsi="Arial" w:cs="Arial"/>
        </w:rPr>
        <w:t xml:space="preserve"> (budynki/</w:t>
      </w:r>
      <w:r w:rsidRPr="00C35863">
        <w:rPr>
          <w:rFonts w:ascii="Arial" w:hAnsi="Arial" w:cs="Arial"/>
        </w:rPr>
        <w:t>wyposażenie/urządzenia)</w:t>
      </w:r>
      <w:r>
        <w:rPr>
          <w:rFonts w:ascii="Arial" w:hAnsi="Arial" w:cs="Arial"/>
        </w:rPr>
        <w:t>,</w:t>
      </w:r>
    </w:p>
    <w:p w:rsidR="00065550" w:rsidRDefault="00065550" w:rsidP="00C552FE">
      <w:pPr>
        <w:pStyle w:val="Akapitzlist"/>
        <w:numPr>
          <w:ilvl w:val="0"/>
          <w:numId w:val="2"/>
        </w:numPr>
        <w:spacing w:line="360" w:lineRule="auto"/>
        <w:jc w:val="both"/>
        <w:rPr>
          <w:rFonts w:ascii="Arial" w:hAnsi="Arial" w:cs="Arial"/>
        </w:rPr>
      </w:pPr>
      <w:r>
        <w:rPr>
          <w:rFonts w:ascii="Arial" w:hAnsi="Arial" w:cs="Arial"/>
        </w:rPr>
        <w:t xml:space="preserve">Inwentaryzacja emisji na podstawie zużycia energii w budynkach komunalnych </w:t>
      </w:r>
      <w:r w:rsidRPr="00C35863">
        <w:rPr>
          <w:rFonts w:ascii="Arial" w:hAnsi="Arial" w:cs="Arial"/>
        </w:rPr>
        <w:t>(budynki</w:t>
      </w:r>
      <w:r>
        <w:rPr>
          <w:rFonts w:ascii="Arial" w:hAnsi="Arial" w:cs="Arial"/>
        </w:rPr>
        <w:t>/</w:t>
      </w:r>
      <w:r w:rsidRPr="00C35863">
        <w:rPr>
          <w:rFonts w:ascii="Arial" w:hAnsi="Arial" w:cs="Arial"/>
        </w:rPr>
        <w:t>wyposażenie/urządzenia)</w:t>
      </w:r>
      <w:r>
        <w:rPr>
          <w:rFonts w:ascii="Arial" w:hAnsi="Arial" w:cs="Arial"/>
        </w:rPr>
        <w:t>,</w:t>
      </w:r>
    </w:p>
    <w:p w:rsidR="00065550" w:rsidRDefault="00065550" w:rsidP="00C552FE">
      <w:pPr>
        <w:pStyle w:val="Akapitzlist"/>
        <w:numPr>
          <w:ilvl w:val="0"/>
          <w:numId w:val="2"/>
        </w:numPr>
        <w:spacing w:line="360" w:lineRule="auto"/>
        <w:jc w:val="both"/>
        <w:rPr>
          <w:rFonts w:ascii="Arial" w:hAnsi="Arial" w:cs="Arial"/>
        </w:rPr>
      </w:pPr>
      <w:r>
        <w:rPr>
          <w:rFonts w:ascii="Arial" w:hAnsi="Arial" w:cs="Arial"/>
        </w:rPr>
        <w:t>Inwentaryzacja emisji na podstawie zużycia energii przez komunalne oświetlenie uliczne,</w:t>
      </w:r>
    </w:p>
    <w:p w:rsidR="00065550" w:rsidRDefault="00065550" w:rsidP="00C552FE">
      <w:pPr>
        <w:pStyle w:val="Akapitzlist"/>
        <w:numPr>
          <w:ilvl w:val="0"/>
          <w:numId w:val="2"/>
        </w:numPr>
        <w:spacing w:line="360" w:lineRule="auto"/>
        <w:jc w:val="both"/>
        <w:rPr>
          <w:rFonts w:ascii="Arial" w:hAnsi="Arial" w:cs="Arial"/>
        </w:rPr>
      </w:pPr>
      <w:r>
        <w:rPr>
          <w:rFonts w:ascii="Arial" w:hAnsi="Arial" w:cs="Arial"/>
        </w:rPr>
        <w:t>Inwentaryzacja emisji na podstawie zużycia ciepła zasilanego z miejskiej sieci ciepłowniczej,</w:t>
      </w:r>
    </w:p>
    <w:p w:rsidR="00065550" w:rsidRPr="00C35863" w:rsidRDefault="00065550" w:rsidP="00C552FE">
      <w:pPr>
        <w:pStyle w:val="Akapitzlist"/>
        <w:numPr>
          <w:ilvl w:val="0"/>
          <w:numId w:val="2"/>
        </w:numPr>
        <w:spacing w:line="360" w:lineRule="auto"/>
        <w:jc w:val="both"/>
        <w:rPr>
          <w:rFonts w:ascii="Arial" w:hAnsi="Arial" w:cs="Arial"/>
        </w:rPr>
      </w:pPr>
      <w:r>
        <w:rPr>
          <w:rFonts w:ascii="Arial" w:hAnsi="Arial" w:cs="Arial"/>
        </w:rPr>
        <w:t>Inwentaryzacja emisji na podstawie zużycia energii pochodzenia słonecznego.</w:t>
      </w:r>
    </w:p>
    <w:p w:rsidR="00065550" w:rsidRPr="009A79B5" w:rsidRDefault="00065550" w:rsidP="00065550">
      <w:pPr>
        <w:spacing w:line="360" w:lineRule="auto"/>
        <w:ind w:firstLine="709"/>
        <w:jc w:val="both"/>
        <w:rPr>
          <w:rFonts w:ascii="Arial" w:hAnsi="Arial" w:cs="Arial"/>
          <w:sz w:val="24"/>
          <w:szCs w:val="24"/>
          <w:lang w:eastAsia="pl-PL"/>
        </w:rPr>
      </w:pPr>
      <w:r>
        <w:rPr>
          <w:rFonts w:ascii="Arial" w:hAnsi="Arial" w:cs="Arial"/>
          <w:sz w:val="24"/>
          <w:szCs w:val="24"/>
          <w:lang w:eastAsia="pl-PL"/>
        </w:rPr>
        <w:t>Wyżej wymienione</w:t>
      </w:r>
      <w:r w:rsidRPr="009A79B5">
        <w:rPr>
          <w:rFonts w:ascii="Arial" w:hAnsi="Arial" w:cs="Arial"/>
          <w:sz w:val="24"/>
          <w:szCs w:val="24"/>
          <w:lang w:eastAsia="pl-PL"/>
        </w:rPr>
        <w:t xml:space="preserve"> części</w:t>
      </w:r>
      <w:r>
        <w:rPr>
          <w:rFonts w:ascii="Arial" w:hAnsi="Arial" w:cs="Arial"/>
          <w:sz w:val="24"/>
          <w:szCs w:val="24"/>
          <w:lang w:eastAsia="pl-PL"/>
        </w:rPr>
        <w:t xml:space="preserve"> składowe</w:t>
      </w:r>
      <w:r w:rsidRPr="009A79B5">
        <w:rPr>
          <w:rFonts w:ascii="Arial" w:hAnsi="Arial" w:cs="Arial"/>
          <w:sz w:val="24"/>
          <w:szCs w:val="24"/>
          <w:lang w:eastAsia="pl-PL"/>
        </w:rPr>
        <w:t xml:space="preserve"> zostały podsumowane oraz została przedstawiona łączna emisja dwutlenku węgla w </w:t>
      </w:r>
      <w:r>
        <w:rPr>
          <w:rFonts w:ascii="Arial" w:hAnsi="Arial" w:cs="Arial"/>
          <w:sz w:val="24"/>
          <w:szCs w:val="24"/>
          <w:lang w:eastAsia="pl-PL"/>
        </w:rPr>
        <w:t>sektorze komunalnym</w:t>
      </w:r>
      <w:r w:rsidRPr="009A79B5">
        <w:rPr>
          <w:rFonts w:ascii="Arial" w:hAnsi="Arial" w:cs="Arial"/>
          <w:sz w:val="24"/>
          <w:szCs w:val="24"/>
          <w:lang w:eastAsia="pl-PL"/>
        </w:rPr>
        <w:t>, która wyliczana jest automatycznie przy pomocy formuł aktywnego arkusza kalkulacyjnego MS Excel - zaznaczone pola na kolor czerwony.</w:t>
      </w:r>
    </w:p>
    <w:p w:rsidR="00065550" w:rsidRPr="009A79B5" w:rsidRDefault="00065550" w:rsidP="00065550">
      <w:pPr>
        <w:spacing w:line="360" w:lineRule="auto"/>
        <w:ind w:firstLine="709"/>
        <w:jc w:val="both"/>
        <w:rPr>
          <w:rFonts w:ascii="Arial" w:hAnsi="Arial" w:cs="Arial"/>
          <w:sz w:val="24"/>
          <w:szCs w:val="24"/>
          <w:lang w:eastAsia="pl-PL"/>
        </w:rPr>
      </w:pPr>
      <w:r w:rsidRPr="009A79B5">
        <w:rPr>
          <w:rFonts w:ascii="Arial" w:hAnsi="Arial" w:cs="Arial"/>
          <w:sz w:val="24"/>
          <w:szCs w:val="24"/>
          <w:lang w:eastAsia="pl-PL"/>
        </w:rPr>
        <w:t>Na kolor niebieski są zaznaczone komórki, gdzie należy wpisać pozyskane dane w latach następnych ze źródeł zewnętrznych. Rok bazowy, tj. rok 201</w:t>
      </w:r>
      <w:r>
        <w:rPr>
          <w:rFonts w:ascii="Arial" w:hAnsi="Arial" w:cs="Arial"/>
          <w:sz w:val="24"/>
          <w:szCs w:val="24"/>
          <w:lang w:eastAsia="pl-PL"/>
        </w:rPr>
        <w:t>5</w:t>
      </w:r>
      <w:r w:rsidRPr="009A79B5">
        <w:rPr>
          <w:rFonts w:ascii="Arial" w:hAnsi="Arial" w:cs="Arial"/>
          <w:sz w:val="24"/>
          <w:szCs w:val="24"/>
          <w:lang w:eastAsia="pl-PL"/>
        </w:rPr>
        <w:t xml:space="preserve"> został już uzupełniony.</w:t>
      </w:r>
    </w:p>
    <w:p w:rsidR="00065550" w:rsidRDefault="00065550" w:rsidP="00065550">
      <w:pPr>
        <w:spacing w:before="100" w:after="200" w:line="360" w:lineRule="auto"/>
        <w:ind w:firstLine="709"/>
        <w:jc w:val="both"/>
        <w:rPr>
          <w:rFonts w:ascii="Arial" w:hAnsi="Arial" w:cs="Arial"/>
          <w:sz w:val="24"/>
          <w:szCs w:val="24"/>
        </w:rPr>
      </w:pPr>
      <w:r w:rsidRPr="00A427E0">
        <w:rPr>
          <w:rFonts w:ascii="Arial" w:hAnsi="Arial" w:cs="Arial"/>
          <w:sz w:val="24"/>
          <w:szCs w:val="24"/>
        </w:rPr>
        <w:t>Na wzorze tabeli wg. SEAPU-u punkt a, b, d i e odpowiada sektorowi - budynki, wyposażenie/urządzenia komunalne, a punkt c odpowiada sektorowi komunalne oświetlenie publiczne.</w:t>
      </w:r>
    </w:p>
    <w:p w:rsidR="00065550" w:rsidRPr="009A79B5" w:rsidRDefault="00065550" w:rsidP="00E03109">
      <w:pPr>
        <w:spacing w:line="360" w:lineRule="auto"/>
        <w:ind w:firstLine="709"/>
        <w:jc w:val="both"/>
        <w:rPr>
          <w:rFonts w:ascii="Arial" w:hAnsi="Arial" w:cs="Arial"/>
          <w:sz w:val="24"/>
          <w:szCs w:val="24"/>
          <w:lang w:eastAsia="pl-PL"/>
        </w:rPr>
      </w:pPr>
    </w:p>
    <w:p w:rsidR="00A72E4D" w:rsidRPr="009A79B5" w:rsidRDefault="00A72E4D" w:rsidP="00C04E94">
      <w:pPr>
        <w:spacing w:line="360" w:lineRule="auto"/>
        <w:jc w:val="center"/>
        <w:rPr>
          <w:rFonts w:ascii="Arial" w:hAnsi="Arial" w:cs="Arial"/>
          <w:i/>
          <w:sz w:val="24"/>
          <w:szCs w:val="24"/>
          <w:lang w:eastAsia="pl-PL"/>
        </w:rPr>
      </w:pPr>
    </w:p>
    <w:p w:rsidR="00065550" w:rsidRPr="009A79B5" w:rsidRDefault="00065550" w:rsidP="00065550">
      <w:pPr>
        <w:spacing w:line="360" w:lineRule="auto"/>
        <w:jc w:val="center"/>
        <w:rPr>
          <w:rFonts w:ascii="Arial" w:hAnsi="Arial" w:cs="Arial"/>
          <w:i/>
          <w:sz w:val="24"/>
          <w:szCs w:val="24"/>
          <w:lang w:eastAsia="pl-PL"/>
        </w:rPr>
      </w:pPr>
      <w:r w:rsidRPr="009A79B5">
        <w:rPr>
          <w:rFonts w:ascii="Arial" w:hAnsi="Arial" w:cs="Arial"/>
          <w:i/>
          <w:sz w:val="24"/>
          <w:szCs w:val="24"/>
          <w:lang w:eastAsia="pl-PL"/>
        </w:rPr>
        <w:lastRenderedPageBreak/>
        <w:t xml:space="preserve">Część </w:t>
      </w:r>
      <w:r>
        <w:rPr>
          <w:rFonts w:ascii="Arial" w:hAnsi="Arial" w:cs="Arial"/>
          <w:i/>
          <w:sz w:val="24"/>
          <w:szCs w:val="24"/>
          <w:lang w:eastAsia="pl-PL"/>
        </w:rPr>
        <w:t>III</w:t>
      </w:r>
      <w:r w:rsidRPr="009A79B5">
        <w:rPr>
          <w:rFonts w:ascii="Arial" w:hAnsi="Arial" w:cs="Arial"/>
          <w:i/>
          <w:sz w:val="24"/>
          <w:szCs w:val="24"/>
          <w:lang w:eastAsia="pl-PL"/>
        </w:rPr>
        <w:t xml:space="preserve"> </w:t>
      </w:r>
      <w:r>
        <w:rPr>
          <w:rFonts w:ascii="Arial" w:hAnsi="Arial" w:cs="Arial"/>
          <w:i/>
          <w:sz w:val="24"/>
          <w:szCs w:val="24"/>
          <w:lang w:eastAsia="pl-PL"/>
        </w:rPr>
        <w:t>Budynki Usługowe</w:t>
      </w:r>
    </w:p>
    <w:p w:rsidR="00065550" w:rsidRPr="009A79B5" w:rsidRDefault="00065550" w:rsidP="00065550">
      <w:pPr>
        <w:spacing w:line="360" w:lineRule="auto"/>
        <w:jc w:val="center"/>
        <w:rPr>
          <w:rFonts w:ascii="Arial" w:hAnsi="Arial" w:cs="Arial"/>
          <w:i/>
          <w:sz w:val="24"/>
          <w:szCs w:val="24"/>
          <w:highlight w:val="green"/>
          <w:lang w:eastAsia="pl-PL"/>
        </w:rPr>
      </w:pPr>
    </w:p>
    <w:p w:rsidR="00065550" w:rsidRPr="009A79B5" w:rsidRDefault="00065550" w:rsidP="00065550">
      <w:pPr>
        <w:spacing w:line="360" w:lineRule="auto"/>
        <w:ind w:firstLine="709"/>
        <w:jc w:val="both"/>
        <w:rPr>
          <w:rFonts w:ascii="Arial" w:hAnsi="Arial" w:cs="Arial"/>
          <w:sz w:val="24"/>
          <w:szCs w:val="24"/>
          <w:lang w:eastAsia="pl-PL"/>
        </w:rPr>
      </w:pPr>
      <w:r w:rsidRPr="009A79B5">
        <w:rPr>
          <w:rFonts w:ascii="Arial" w:hAnsi="Arial" w:cs="Arial"/>
          <w:sz w:val="24"/>
          <w:szCs w:val="24"/>
          <w:lang w:eastAsia="pl-PL"/>
        </w:rPr>
        <w:t xml:space="preserve">Części </w:t>
      </w:r>
      <w:r>
        <w:rPr>
          <w:rFonts w:ascii="Arial" w:hAnsi="Arial" w:cs="Arial"/>
          <w:sz w:val="24"/>
          <w:szCs w:val="24"/>
          <w:lang w:eastAsia="pl-PL"/>
        </w:rPr>
        <w:t>III</w:t>
      </w:r>
      <w:r w:rsidRPr="009A79B5">
        <w:rPr>
          <w:rFonts w:ascii="Arial" w:hAnsi="Arial" w:cs="Arial"/>
          <w:sz w:val="24"/>
          <w:szCs w:val="24"/>
          <w:lang w:eastAsia="pl-PL"/>
        </w:rPr>
        <w:t xml:space="preserve"> </w:t>
      </w:r>
      <w:r>
        <w:rPr>
          <w:rFonts w:ascii="Arial" w:hAnsi="Arial" w:cs="Arial"/>
          <w:sz w:val="24"/>
          <w:szCs w:val="24"/>
          <w:lang w:eastAsia="pl-PL"/>
        </w:rPr>
        <w:t xml:space="preserve">Budynki Usługowe </w:t>
      </w:r>
      <w:r w:rsidRPr="009A79B5">
        <w:rPr>
          <w:rFonts w:ascii="Arial" w:hAnsi="Arial" w:cs="Arial"/>
          <w:sz w:val="24"/>
          <w:szCs w:val="24"/>
          <w:lang w:eastAsia="pl-PL"/>
        </w:rPr>
        <w:t>podzielona jest n</w:t>
      </w:r>
      <w:r>
        <w:rPr>
          <w:rFonts w:ascii="Arial" w:hAnsi="Arial" w:cs="Arial"/>
          <w:sz w:val="24"/>
          <w:szCs w:val="24"/>
          <w:lang w:eastAsia="pl-PL"/>
        </w:rPr>
        <w:t>a trzy części A, B i C. Część A to inwentaryzacja emisji na podstawie zużycia energii cieplnej, część B to inwentaryzacja emisji na podstawie zużycia energii elektrycznej, zaś część C to inwentaryzacja emisji na podstawie zużycia ciepła zasilanego z sieci ciepłowniczej</w:t>
      </w:r>
      <w:r w:rsidRPr="009A79B5">
        <w:rPr>
          <w:rFonts w:ascii="Arial" w:hAnsi="Arial" w:cs="Arial"/>
          <w:sz w:val="24"/>
          <w:szCs w:val="24"/>
          <w:lang w:eastAsia="pl-PL"/>
        </w:rPr>
        <w:t xml:space="preserve">. </w:t>
      </w:r>
      <w:r>
        <w:rPr>
          <w:rFonts w:ascii="Arial" w:hAnsi="Arial" w:cs="Arial"/>
          <w:sz w:val="24"/>
          <w:szCs w:val="24"/>
          <w:lang w:eastAsia="pl-PL"/>
        </w:rPr>
        <w:t>Te trzy</w:t>
      </w:r>
      <w:r w:rsidRPr="009A79B5">
        <w:rPr>
          <w:rFonts w:ascii="Arial" w:hAnsi="Arial" w:cs="Arial"/>
          <w:sz w:val="24"/>
          <w:szCs w:val="24"/>
          <w:lang w:eastAsia="pl-PL"/>
        </w:rPr>
        <w:t xml:space="preserve"> części zostały podsumowane oraz została przedstawiona łączna emisja dwutlenku węgla w </w:t>
      </w:r>
      <w:r>
        <w:rPr>
          <w:rFonts w:ascii="Arial" w:hAnsi="Arial" w:cs="Arial"/>
          <w:sz w:val="24"/>
          <w:szCs w:val="24"/>
          <w:lang w:eastAsia="pl-PL"/>
        </w:rPr>
        <w:t>Budynkach Usługowych</w:t>
      </w:r>
      <w:r w:rsidRPr="009A79B5">
        <w:rPr>
          <w:rFonts w:ascii="Arial" w:hAnsi="Arial" w:cs="Arial"/>
          <w:sz w:val="24"/>
          <w:szCs w:val="24"/>
          <w:lang w:eastAsia="pl-PL"/>
        </w:rPr>
        <w:t>, która wyliczana jest automatycznie przy pomocy formuł aktywnego arkusza kalkulacyjnego MS Excel - zaznaczone pola na kolor czerwony.</w:t>
      </w:r>
    </w:p>
    <w:p w:rsidR="00065550" w:rsidRPr="009A79B5" w:rsidRDefault="00065550" w:rsidP="00065550">
      <w:pPr>
        <w:spacing w:line="360" w:lineRule="auto"/>
        <w:ind w:firstLine="709"/>
        <w:jc w:val="both"/>
        <w:rPr>
          <w:rFonts w:ascii="Arial" w:hAnsi="Arial" w:cs="Arial"/>
          <w:sz w:val="24"/>
          <w:szCs w:val="24"/>
          <w:lang w:eastAsia="pl-PL"/>
        </w:rPr>
      </w:pPr>
      <w:r w:rsidRPr="009A79B5">
        <w:rPr>
          <w:rFonts w:ascii="Arial" w:hAnsi="Arial" w:cs="Arial"/>
          <w:sz w:val="24"/>
          <w:szCs w:val="24"/>
          <w:lang w:eastAsia="pl-PL"/>
        </w:rPr>
        <w:t>Na kolor niebieski są zaznaczone komórki, gdzie należy wpisać pozyskane dane w latach następnych ze źródeł zewnętrznych. Rok bazowy, tj. rok 201</w:t>
      </w:r>
      <w:r>
        <w:rPr>
          <w:rFonts w:ascii="Arial" w:hAnsi="Arial" w:cs="Arial"/>
          <w:sz w:val="24"/>
          <w:szCs w:val="24"/>
          <w:lang w:eastAsia="pl-PL"/>
        </w:rPr>
        <w:t>5</w:t>
      </w:r>
      <w:r w:rsidRPr="009A79B5">
        <w:rPr>
          <w:rFonts w:ascii="Arial" w:hAnsi="Arial" w:cs="Arial"/>
          <w:sz w:val="24"/>
          <w:szCs w:val="24"/>
          <w:lang w:eastAsia="pl-PL"/>
        </w:rPr>
        <w:t xml:space="preserve"> został już uzupełniony.</w:t>
      </w:r>
    </w:p>
    <w:p w:rsidR="00065550" w:rsidRPr="00374AAD" w:rsidRDefault="00065550" w:rsidP="00065550">
      <w:pPr>
        <w:spacing w:before="100" w:after="200" w:line="360" w:lineRule="auto"/>
        <w:ind w:firstLine="709"/>
        <w:jc w:val="both"/>
        <w:rPr>
          <w:rFonts w:ascii="Arial" w:hAnsi="Arial" w:cs="Arial"/>
          <w:sz w:val="24"/>
          <w:szCs w:val="24"/>
        </w:rPr>
      </w:pPr>
      <w:r w:rsidRPr="00A427E0">
        <w:rPr>
          <w:rFonts w:ascii="Arial" w:hAnsi="Arial" w:cs="Arial"/>
          <w:sz w:val="24"/>
          <w:szCs w:val="24"/>
        </w:rPr>
        <w:t xml:space="preserve">Na wzorze tabeli </w:t>
      </w:r>
      <w:r w:rsidRPr="00374AAD">
        <w:rPr>
          <w:rFonts w:ascii="Arial" w:hAnsi="Arial" w:cs="Arial"/>
          <w:sz w:val="24"/>
          <w:szCs w:val="24"/>
        </w:rPr>
        <w:t>wg. SEAPU-u ta część odpowiada sektorowi - budynki, wyposażenie/urządzenia usługowe (niekomunalne).</w:t>
      </w:r>
    </w:p>
    <w:p w:rsidR="00065550" w:rsidRDefault="00065550" w:rsidP="00C04E94">
      <w:pPr>
        <w:spacing w:line="360" w:lineRule="auto"/>
        <w:jc w:val="center"/>
        <w:rPr>
          <w:rFonts w:ascii="Arial" w:hAnsi="Arial" w:cs="Arial"/>
          <w:i/>
          <w:sz w:val="24"/>
          <w:szCs w:val="24"/>
          <w:lang w:eastAsia="pl-PL"/>
        </w:rPr>
      </w:pPr>
    </w:p>
    <w:p w:rsidR="00C04E94" w:rsidRPr="009A79B5" w:rsidRDefault="00C04E94" w:rsidP="00C04E94">
      <w:pPr>
        <w:spacing w:line="360" w:lineRule="auto"/>
        <w:jc w:val="center"/>
        <w:rPr>
          <w:rFonts w:ascii="Arial" w:hAnsi="Arial" w:cs="Arial"/>
          <w:i/>
          <w:sz w:val="24"/>
          <w:szCs w:val="24"/>
          <w:lang w:eastAsia="pl-PL"/>
        </w:rPr>
      </w:pPr>
      <w:r w:rsidRPr="009A79B5">
        <w:rPr>
          <w:rFonts w:ascii="Arial" w:hAnsi="Arial" w:cs="Arial"/>
          <w:i/>
          <w:sz w:val="24"/>
          <w:szCs w:val="24"/>
          <w:lang w:eastAsia="pl-PL"/>
        </w:rPr>
        <w:t>Część I</w:t>
      </w:r>
      <w:r w:rsidR="00065550">
        <w:rPr>
          <w:rFonts w:ascii="Arial" w:hAnsi="Arial" w:cs="Arial"/>
          <w:i/>
          <w:sz w:val="24"/>
          <w:szCs w:val="24"/>
          <w:lang w:eastAsia="pl-PL"/>
        </w:rPr>
        <w:t>V</w:t>
      </w:r>
      <w:r w:rsidR="00476BE6" w:rsidRPr="009A79B5">
        <w:rPr>
          <w:rFonts w:ascii="Arial" w:hAnsi="Arial" w:cs="Arial"/>
          <w:i/>
          <w:sz w:val="24"/>
          <w:szCs w:val="24"/>
          <w:lang w:eastAsia="pl-PL"/>
        </w:rPr>
        <w:t xml:space="preserve"> </w:t>
      </w:r>
      <w:r w:rsidR="008D22A6">
        <w:rPr>
          <w:rFonts w:ascii="Arial" w:hAnsi="Arial" w:cs="Arial"/>
          <w:i/>
          <w:sz w:val="24"/>
          <w:szCs w:val="24"/>
          <w:lang w:eastAsia="pl-PL"/>
        </w:rPr>
        <w:t>Budynki Mieszkalne</w:t>
      </w:r>
    </w:p>
    <w:p w:rsidR="00A72E4D" w:rsidRPr="009A79B5" w:rsidRDefault="00A72E4D" w:rsidP="00C04E94">
      <w:pPr>
        <w:spacing w:line="360" w:lineRule="auto"/>
        <w:jc w:val="center"/>
        <w:rPr>
          <w:rFonts w:ascii="Arial" w:hAnsi="Arial" w:cs="Arial"/>
          <w:i/>
          <w:sz w:val="24"/>
          <w:szCs w:val="24"/>
          <w:lang w:eastAsia="pl-PL"/>
        </w:rPr>
      </w:pPr>
    </w:p>
    <w:p w:rsidR="00476BE6" w:rsidRPr="009A79B5" w:rsidRDefault="00476BE6" w:rsidP="00374AAD">
      <w:pPr>
        <w:spacing w:line="360" w:lineRule="auto"/>
        <w:ind w:firstLine="709"/>
        <w:jc w:val="both"/>
        <w:rPr>
          <w:rFonts w:ascii="Arial" w:hAnsi="Arial" w:cs="Arial"/>
          <w:sz w:val="24"/>
          <w:szCs w:val="24"/>
          <w:lang w:eastAsia="pl-PL"/>
        </w:rPr>
      </w:pPr>
      <w:r w:rsidRPr="009A79B5">
        <w:rPr>
          <w:rFonts w:ascii="Arial" w:hAnsi="Arial" w:cs="Arial"/>
          <w:sz w:val="24"/>
          <w:szCs w:val="24"/>
          <w:lang w:eastAsia="pl-PL"/>
        </w:rPr>
        <w:t>Części</w:t>
      </w:r>
      <w:r w:rsidR="00065550">
        <w:rPr>
          <w:rFonts w:ascii="Arial" w:hAnsi="Arial" w:cs="Arial"/>
          <w:sz w:val="24"/>
          <w:szCs w:val="24"/>
          <w:lang w:eastAsia="pl-PL"/>
        </w:rPr>
        <w:t xml:space="preserve"> IV</w:t>
      </w:r>
      <w:r w:rsidR="008D22A6">
        <w:rPr>
          <w:rFonts w:ascii="Arial" w:hAnsi="Arial" w:cs="Arial"/>
          <w:sz w:val="24"/>
          <w:szCs w:val="24"/>
          <w:lang w:eastAsia="pl-PL"/>
        </w:rPr>
        <w:t xml:space="preserve"> Budynki Mieszkalne</w:t>
      </w:r>
      <w:r w:rsidRPr="009A79B5">
        <w:rPr>
          <w:rFonts w:ascii="Arial" w:hAnsi="Arial" w:cs="Arial"/>
          <w:sz w:val="24"/>
          <w:szCs w:val="24"/>
          <w:lang w:eastAsia="pl-PL"/>
        </w:rPr>
        <w:t xml:space="preserve"> podzielona jest n</w:t>
      </w:r>
      <w:r w:rsidR="008D22A6">
        <w:rPr>
          <w:rFonts w:ascii="Arial" w:hAnsi="Arial" w:cs="Arial"/>
          <w:sz w:val="24"/>
          <w:szCs w:val="24"/>
          <w:lang w:eastAsia="pl-PL"/>
        </w:rPr>
        <w:t>a trzy części A, B i C. Część A to inwentaryzacja emisji na podstawie zużycia energii cieplnej, część B to inwentaryzacja emisji na podstawie zużycia energii elektrycznej, zaś część C to inwentaryzacja emisji na podstawie zużycia ciepła zasilanego z sieci ciepłowniczej</w:t>
      </w:r>
      <w:r w:rsidRPr="009A79B5">
        <w:rPr>
          <w:rFonts w:ascii="Arial" w:hAnsi="Arial" w:cs="Arial"/>
          <w:sz w:val="24"/>
          <w:szCs w:val="24"/>
          <w:lang w:eastAsia="pl-PL"/>
        </w:rPr>
        <w:t xml:space="preserve">. </w:t>
      </w:r>
      <w:r w:rsidR="00374AAD">
        <w:rPr>
          <w:rFonts w:ascii="Arial" w:hAnsi="Arial" w:cs="Arial"/>
          <w:sz w:val="24"/>
          <w:szCs w:val="24"/>
          <w:lang w:eastAsia="pl-PL"/>
        </w:rPr>
        <w:t>Te trzy</w:t>
      </w:r>
      <w:r w:rsidRPr="009A79B5">
        <w:rPr>
          <w:rFonts w:ascii="Arial" w:hAnsi="Arial" w:cs="Arial"/>
          <w:sz w:val="24"/>
          <w:szCs w:val="24"/>
          <w:lang w:eastAsia="pl-PL"/>
        </w:rPr>
        <w:t xml:space="preserve"> części zostały podsumowane oraz została przedstawiona </w:t>
      </w:r>
      <w:r w:rsidR="008E42F1" w:rsidRPr="009A79B5">
        <w:rPr>
          <w:rFonts w:ascii="Arial" w:hAnsi="Arial" w:cs="Arial"/>
          <w:sz w:val="24"/>
          <w:szCs w:val="24"/>
          <w:lang w:eastAsia="pl-PL"/>
        </w:rPr>
        <w:t>łączna emisja dwutlenku węgla w </w:t>
      </w:r>
      <w:r w:rsidR="00374AAD">
        <w:rPr>
          <w:rFonts w:ascii="Arial" w:hAnsi="Arial" w:cs="Arial"/>
          <w:sz w:val="24"/>
          <w:szCs w:val="24"/>
          <w:lang w:eastAsia="pl-PL"/>
        </w:rPr>
        <w:t>Budynkach Mieszkalnych</w:t>
      </w:r>
      <w:r w:rsidRPr="009A79B5">
        <w:rPr>
          <w:rFonts w:ascii="Arial" w:hAnsi="Arial" w:cs="Arial"/>
          <w:sz w:val="24"/>
          <w:szCs w:val="24"/>
          <w:lang w:eastAsia="pl-PL"/>
        </w:rPr>
        <w:t>, która wyliczana jest automatycznie przy pomocy formuł aktywnego ar</w:t>
      </w:r>
      <w:r w:rsidR="008E42F1" w:rsidRPr="009A79B5">
        <w:rPr>
          <w:rFonts w:ascii="Arial" w:hAnsi="Arial" w:cs="Arial"/>
          <w:sz w:val="24"/>
          <w:szCs w:val="24"/>
          <w:lang w:eastAsia="pl-PL"/>
        </w:rPr>
        <w:t>kusza kalkulacyjnego MS Excel - </w:t>
      </w:r>
      <w:r w:rsidRPr="009A79B5">
        <w:rPr>
          <w:rFonts w:ascii="Arial" w:hAnsi="Arial" w:cs="Arial"/>
          <w:sz w:val="24"/>
          <w:szCs w:val="24"/>
          <w:lang w:eastAsia="pl-PL"/>
        </w:rPr>
        <w:t>zaznaczone pola na kolor czerwony.</w:t>
      </w:r>
    </w:p>
    <w:p w:rsidR="006B1CCB" w:rsidRPr="009A79B5" w:rsidRDefault="00476BE6" w:rsidP="00A72E4D">
      <w:pPr>
        <w:spacing w:line="360" w:lineRule="auto"/>
        <w:ind w:firstLine="709"/>
        <w:jc w:val="both"/>
        <w:rPr>
          <w:rFonts w:ascii="Arial" w:hAnsi="Arial" w:cs="Arial"/>
          <w:sz w:val="24"/>
          <w:szCs w:val="24"/>
          <w:lang w:eastAsia="pl-PL"/>
        </w:rPr>
      </w:pPr>
      <w:r w:rsidRPr="009A79B5">
        <w:rPr>
          <w:rFonts w:ascii="Arial" w:hAnsi="Arial" w:cs="Arial"/>
          <w:sz w:val="24"/>
          <w:szCs w:val="24"/>
          <w:lang w:eastAsia="pl-PL"/>
        </w:rPr>
        <w:t>Na kolor niebieski są zaznaczone komórki, gdzie należy wpisać pozyskane dane w latach następnych ze źródeł zewnętrznych. Rok bazowy, tj. rok 201</w:t>
      </w:r>
      <w:r w:rsidR="00374AAD">
        <w:rPr>
          <w:rFonts w:ascii="Arial" w:hAnsi="Arial" w:cs="Arial"/>
          <w:sz w:val="24"/>
          <w:szCs w:val="24"/>
          <w:lang w:eastAsia="pl-PL"/>
        </w:rPr>
        <w:t>5</w:t>
      </w:r>
      <w:r w:rsidRPr="009A79B5">
        <w:rPr>
          <w:rFonts w:ascii="Arial" w:hAnsi="Arial" w:cs="Arial"/>
          <w:sz w:val="24"/>
          <w:szCs w:val="24"/>
          <w:lang w:eastAsia="pl-PL"/>
        </w:rPr>
        <w:t xml:space="preserve"> został już uzupełniony.</w:t>
      </w:r>
    </w:p>
    <w:p w:rsidR="00466A9C" w:rsidRPr="009A79B5" w:rsidRDefault="00C04E94" w:rsidP="00476BE6">
      <w:pPr>
        <w:spacing w:line="360" w:lineRule="auto"/>
        <w:ind w:firstLine="709"/>
        <w:jc w:val="both"/>
        <w:rPr>
          <w:rFonts w:ascii="Arial" w:hAnsi="Arial" w:cs="Arial"/>
          <w:sz w:val="24"/>
          <w:szCs w:val="24"/>
          <w:lang w:eastAsia="pl-PL"/>
        </w:rPr>
      </w:pPr>
      <w:r w:rsidRPr="009A79B5">
        <w:rPr>
          <w:rFonts w:ascii="Arial" w:hAnsi="Arial" w:cs="Arial"/>
          <w:sz w:val="24"/>
          <w:szCs w:val="24"/>
          <w:lang w:eastAsia="pl-PL"/>
        </w:rPr>
        <w:lastRenderedPageBreak/>
        <w:t>W tej części dodatkowo znajdują się tabele z przelicznikami jednostek, które ułatwią w</w:t>
      </w:r>
      <w:r w:rsidR="00476BE6" w:rsidRPr="009A79B5">
        <w:rPr>
          <w:rFonts w:ascii="Arial" w:hAnsi="Arial" w:cs="Arial"/>
          <w:sz w:val="24"/>
          <w:szCs w:val="24"/>
          <w:lang w:eastAsia="pl-PL"/>
        </w:rPr>
        <w:t> </w:t>
      </w:r>
      <w:r w:rsidRPr="009A79B5">
        <w:rPr>
          <w:rFonts w:ascii="Arial" w:hAnsi="Arial" w:cs="Arial"/>
          <w:sz w:val="24"/>
          <w:szCs w:val="24"/>
          <w:lang w:eastAsia="pl-PL"/>
        </w:rPr>
        <w:t>przyszłości wprowadzanie danych w latach następnych ze źródeł zewnętrznych.</w:t>
      </w:r>
    </w:p>
    <w:p w:rsidR="00374AAD" w:rsidRPr="00374AAD" w:rsidRDefault="00A427E0" w:rsidP="00374AAD">
      <w:pPr>
        <w:spacing w:before="100" w:after="200" w:line="360" w:lineRule="auto"/>
        <w:ind w:firstLine="709"/>
        <w:jc w:val="both"/>
        <w:rPr>
          <w:rFonts w:ascii="Arial" w:hAnsi="Arial" w:cs="Arial"/>
          <w:sz w:val="24"/>
          <w:szCs w:val="24"/>
        </w:rPr>
      </w:pPr>
      <w:r w:rsidRPr="00A427E0">
        <w:rPr>
          <w:rFonts w:ascii="Arial" w:hAnsi="Arial" w:cs="Arial"/>
          <w:sz w:val="24"/>
          <w:szCs w:val="24"/>
        </w:rPr>
        <w:t xml:space="preserve">Na wzorze tabeli </w:t>
      </w:r>
      <w:r w:rsidR="00374AAD" w:rsidRPr="00374AAD">
        <w:rPr>
          <w:rFonts w:ascii="Arial" w:hAnsi="Arial" w:cs="Arial"/>
          <w:sz w:val="24"/>
          <w:szCs w:val="24"/>
        </w:rPr>
        <w:t>wg. SEAPU-u ta część odpowiada sektorowi - budynki mieszkalne</w:t>
      </w:r>
      <w:r w:rsidR="00374AAD">
        <w:rPr>
          <w:rFonts w:ascii="Arial" w:hAnsi="Arial" w:cs="Arial"/>
          <w:sz w:val="24"/>
          <w:szCs w:val="24"/>
        </w:rPr>
        <w:t>.</w:t>
      </w:r>
    </w:p>
    <w:p w:rsidR="006F1B41" w:rsidRPr="009A79B5" w:rsidRDefault="006F1B41" w:rsidP="00BF5DBB">
      <w:pPr>
        <w:spacing w:line="360" w:lineRule="auto"/>
        <w:jc w:val="both"/>
        <w:rPr>
          <w:rFonts w:ascii="Arial" w:hAnsi="Arial" w:cs="Arial"/>
          <w:sz w:val="24"/>
          <w:szCs w:val="24"/>
          <w:lang w:eastAsia="pl-PL"/>
        </w:rPr>
      </w:pPr>
    </w:p>
    <w:p w:rsidR="00360563" w:rsidRDefault="00360563" w:rsidP="00360563">
      <w:pPr>
        <w:spacing w:line="360" w:lineRule="auto"/>
        <w:jc w:val="center"/>
        <w:rPr>
          <w:rFonts w:ascii="Arial" w:hAnsi="Arial" w:cs="Arial"/>
          <w:i/>
          <w:sz w:val="24"/>
          <w:szCs w:val="24"/>
          <w:lang w:eastAsia="pl-PL"/>
        </w:rPr>
      </w:pPr>
      <w:r w:rsidRPr="009A79B5">
        <w:rPr>
          <w:rFonts w:ascii="Arial" w:hAnsi="Arial" w:cs="Arial"/>
          <w:i/>
          <w:sz w:val="24"/>
          <w:szCs w:val="24"/>
          <w:lang w:eastAsia="pl-PL"/>
        </w:rPr>
        <w:t>Część V</w:t>
      </w:r>
      <w:r w:rsidR="00B41BB6">
        <w:rPr>
          <w:rFonts w:ascii="Arial" w:hAnsi="Arial" w:cs="Arial"/>
          <w:i/>
          <w:sz w:val="24"/>
          <w:szCs w:val="24"/>
          <w:lang w:eastAsia="pl-PL"/>
        </w:rPr>
        <w:t xml:space="preserve"> Przemysł</w:t>
      </w:r>
    </w:p>
    <w:p w:rsidR="00B20E0A" w:rsidRPr="009A79B5" w:rsidRDefault="00B20E0A" w:rsidP="00360563">
      <w:pPr>
        <w:spacing w:line="360" w:lineRule="auto"/>
        <w:jc w:val="center"/>
        <w:rPr>
          <w:rFonts w:ascii="Arial" w:hAnsi="Arial" w:cs="Arial"/>
          <w:i/>
          <w:sz w:val="24"/>
          <w:szCs w:val="24"/>
          <w:lang w:eastAsia="pl-PL"/>
        </w:rPr>
      </w:pPr>
    </w:p>
    <w:p w:rsidR="00315249" w:rsidRPr="009A79B5" w:rsidRDefault="00315249" w:rsidP="00315249">
      <w:pPr>
        <w:spacing w:line="360" w:lineRule="auto"/>
        <w:ind w:firstLine="709"/>
        <w:jc w:val="both"/>
        <w:rPr>
          <w:rFonts w:ascii="Arial" w:hAnsi="Arial" w:cs="Arial"/>
          <w:sz w:val="24"/>
          <w:szCs w:val="24"/>
          <w:lang w:eastAsia="pl-PL"/>
        </w:rPr>
      </w:pPr>
      <w:r w:rsidRPr="009A79B5">
        <w:rPr>
          <w:rFonts w:ascii="Arial" w:hAnsi="Arial" w:cs="Arial"/>
          <w:sz w:val="24"/>
          <w:szCs w:val="24"/>
          <w:lang w:eastAsia="pl-PL"/>
        </w:rPr>
        <w:t xml:space="preserve">Części V </w:t>
      </w:r>
      <w:r>
        <w:rPr>
          <w:rFonts w:ascii="Arial" w:hAnsi="Arial" w:cs="Arial"/>
          <w:sz w:val="24"/>
          <w:szCs w:val="24"/>
          <w:lang w:eastAsia="pl-PL"/>
        </w:rPr>
        <w:t xml:space="preserve">Przemysł </w:t>
      </w:r>
      <w:r w:rsidRPr="009A79B5">
        <w:rPr>
          <w:rFonts w:ascii="Arial" w:hAnsi="Arial" w:cs="Arial"/>
          <w:sz w:val="24"/>
          <w:szCs w:val="24"/>
          <w:lang w:eastAsia="pl-PL"/>
        </w:rPr>
        <w:t>podzielona jest n</w:t>
      </w:r>
      <w:r>
        <w:rPr>
          <w:rFonts w:ascii="Arial" w:hAnsi="Arial" w:cs="Arial"/>
          <w:sz w:val="24"/>
          <w:szCs w:val="24"/>
          <w:lang w:eastAsia="pl-PL"/>
        </w:rPr>
        <w:t>a trzy części A, B i C. Część A to inwentaryzacja emisji na podstawie zużycia paliwa w pojazdach, część B to inwentaryzacja emisji na podstawie zużycia energii w obiektach i przez maszyny, zaś część C to inwentaryzacja emisji na podstawie zużycia ciepła zasila</w:t>
      </w:r>
      <w:r w:rsidR="006669F3">
        <w:rPr>
          <w:rFonts w:ascii="Arial" w:hAnsi="Arial" w:cs="Arial"/>
          <w:sz w:val="24"/>
          <w:szCs w:val="24"/>
          <w:lang w:eastAsia="pl-PL"/>
        </w:rPr>
        <w:t>nego z </w:t>
      </w:r>
      <w:r>
        <w:rPr>
          <w:rFonts w:ascii="Arial" w:hAnsi="Arial" w:cs="Arial"/>
          <w:sz w:val="24"/>
          <w:szCs w:val="24"/>
          <w:lang w:eastAsia="pl-PL"/>
        </w:rPr>
        <w:t xml:space="preserve">miejskiej sieci ciepłowniczej </w:t>
      </w:r>
      <w:r w:rsidRPr="009A79B5">
        <w:rPr>
          <w:rFonts w:ascii="Arial" w:hAnsi="Arial" w:cs="Arial"/>
          <w:sz w:val="24"/>
          <w:szCs w:val="24"/>
          <w:lang w:eastAsia="pl-PL"/>
        </w:rPr>
        <w:t xml:space="preserve">na terenie Gminy </w:t>
      </w:r>
      <w:r w:rsidR="00A40176">
        <w:rPr>
          <w:rFonts w:ascii="Arial" w:hAnsi="Arial" w:cs="Arial"/>
          <w:sz w:val="24"/>
          <w:szCs w:val="24"/>
          <w:lang w:eastAsia="pl-PL"/>
        </w:rPr>
        <w:t>Garbatka-Letnisko</w:t>
      </w:r>
      <w:r w:rsidRPr="009A79B5">
        <w:rPr>
          <w:rFonts w:ascii="Arial" w:hAnsi="Arial" w:cs="Arial"/>
          <w:sz w:val="24"/>
          <w:szCs w:val="24"/>
          <w:lang w:eastAsia="pl-PL"/>
        </w:rPr>
        <w:t xml:space="preserve">. </w:t>
      </w:r>
      <w:r>
        <w:rPr>
          <w:rFonts w:ascii="Arial" w:hAnsi="Arial" w:cs="Arial"/>
          <w:sz w:val="24"/>
          <w:szCs w:val="24"/>
          <w:lang w:eastAsia="pl-PL"/>
        </w:rPr>
        <w:t>Te trzy</w:t>
      </w:r>
      <w:r w:rsidRPr="009A79B5">
        <w:rPr>
          <w:rFonts w:ascii="Arial" w:hAnsi="Arial" w:cs="Arial"/>
          <w:sz w:val="24"/>
          <w:szCs w:val="24"/>
          <w:lang w:eastAsia="pl-PL"/>
        </w:rPr>
        <w:t xml:space="preserve"> części zostały podsumowane oraz została przedstawiona łączna emisja dwutlenku węgla w </w:t>
      </w:r>
      <w:r>
        <w:rPr>
          <w:rFonts w:ascii="Arial" w:hAnsi="Arial" w:cs="Arial"/>
          <w:sz w:val="24"/>
          <w:szCs w:val="24"/>
          <w:lang w:eastAsia="pl-PL"/>
        </w:rPr>
        <w:t>Przemyśle</w:t>
      </w:r>
      <w:r w:rsidRPr="009A79B5">
        <w:rPr>
          <w:rFonts w:ascii="Arial" w:hAnsi="Arial" w:cs="Arial"/>
          <w:sz w:val="24"/>
          <w:szCs w:val="24"/>
          <w:lang w:eastAsia="pl-PL"/>
        </w:rPr>
        <w:t>, która wyliczana jest automatycznie przy pomocy formuł aktywnego arkusza kalkulacyjnego MS Excel - zaznaczone pola na kolor czerwony.</w:t>
      </w:r>
    </w:p>
    <w:p w:rsidR="00315249" w:rsidRPr="009A79B5" w:rsidRDefault="00315249" w:rsidP="00315249">
      <w:pPr>
        <w:spacing w:line="360" w:lineRule="auto"/>
        <w:ind w:firstLine="709"/>
        <w:jc w:val="both"/>
        <w:rPr>
          <w:rFonts w:ascii="Arial" w:hAnsi="Arial" w:cs="Arial"/>
          <w:sz w:val="24"/>
          <w:szCs w:val="24"/>
          <w:lang w:eastAsia="pl-PL"/>
        </w:rPr>
      </w:pPr>
      <w:r w:rsidRPr="009A79B5">
        <w:rPr>
          <w:rFonts w:ascii="Arial" w:hAnsi="Arial" w:cs="Arial"/>
          <w:sz w:val="24"/>
          <w:szCs w:val="24"/>
          <w:lang w:eastAsia="pl-PL"/>
        </w:rPr>
        <w:t>Na kolor niebieski są zaznaczone komórki, gdzie należy wpisać pozyskane dane w latach następnych ze źródeł zewnętrznych. Rok bazowy, tj. rok 201</w:t>
      </w:r>
      <w:r>
        <w:rPr>
          <w:rFonts w:ascii="Arial" w:hAnsi="Arial" w:cs="Arial"/>
          <w:sz w:val="24"/>
          <w:szCs w:val="24"/>
          <w:lang w:eastAsia="pl-PL"/>
        </w:rPr>
        <w:t>5</w:t>
      </w:r>
      <w:r w:rsidRPr="009A79B5">
        <w:rPr>
          <w:rFonts w:ascii="Arial" w:hAnsi="Arial" w:cs="Arial"/>
          <w:sz w:val="24"/>
          <w:szCs w:val="24"/>
          <w:lang w:eastAsia="pl-PL"/>
        </w:rPr>
        <w:t xml:space="preserve"> został już uzupełniony.</w:t>
      </w:r>
    </w:p>
    <w:p w:rsidR="006D1414" w:rsidRPr="006D1414" w:rsidRDefault="00A427E0" w:rsidP="006D1414">
      <w:pPr>
        <w:spacing w:before="100" w:after="200" w:line="360" w:lineRule="auto"/>
        <w:ind w:firstLine="709"/>
        <w:jc w:val="both"/>
        <w:rPr>
          <w:rFonts w:ascii="Arial" w:hAnsi="Arial" w:cs="Arial"/>
          <w:sz w:val="24"/>
          <w:szCs w:val="24"/>
        </w:rPr>
      </w:pPr>
      <w:r w:rsidRPr="00A427E0">
        <w:rPr>
          <w:rFonts w:ascii="Arial" w:hAnsi="Arial" w:cs="Arial"/>
          <w:sz w:val="24"/>
          <w:szCs w:val="24"/>
        </w:rPr>
        <w:t xml:space="preserve">Na wzorze tabeli </w:t>
      </w:r>
      <w:r w:rsidR="00315249" w:rsidRPr="006D1414">
        <w:rPr>
          <w:rFonts w:ascii="Arial" w:hAnsi="Arial" w:cs="Arial"/>
          <w:sz w:val="24"/>
          <w:szCs w:val="24"/>
        </w:rPr>
        <w:t xml:space="preserve">wg. SEAPU-u ta część odpowiada sektorowi - </w:t>
      </w:r>
      <w:r w:rsidR="006669F3">
        <w:rPr>
          <w:rFonts w:ascii="Arial" w:hAnsi="Arial" w:cs="Arial"/>
          <w:sz w:val="24"/>
          <w:szCs w:val="24"/>
        </w:rPr>
        <w:t>przemysł (z </w:t>
      </w:r>
      <w:r w:rsidR="006D1414" w:rsidRPr="006D1414">
        <w:rPr>
          <w:rFonts w:ascii="Arial" w:hAnsi="Arial" w:cs="Arial"/>
          <w:sz w:val="24"/>
          <w:szCs w:val="24"/>
        </w:rPr>
        <w:t>wyjątkiem zakładów objętych systemem handlu uprawnieniami do emisji UE-ETS).</w:t>
      </w:r>
    </w:p>
    <w:p w:rsidR="00315249" w:rsidRPr="00374AAD" w:rsidRDefault="00315249" w:rsidP="00315249">
      <w:pPr>
        <w:spacing w:before="100" w:after="200" w:line="360" w:lineRule="auto"/>
        <w:ind w:firstLine="709"/>
        <w:jc w:val="both"/>
        <w:rPr>
          <w:rFonts w:ascii="Arial" w:hAnsi="Arial" w:cs="Arial"/>
          <w:sz w:val="24"/>
          <w:szCs w:val="24"/>
        </w:rPr>
      </w:pPr>
    </w:p>
    <w:p w:rsidR="00065550" w:rsidRPr="009A79B5" w:rsidRDefault="00065550" w:rsidP="00065550">
      <w:pPr>
        <w:spacing w:line="360" w:lineRule="auto"/>
        <w:jc w:val="center"/>
        <w:rPr>
          <w:rFonts w:ascii="Arial" w:hAnsi="Arial" w:cs="Arial"/>
          <w:i/>
          <w:sz w:val="24"/>
          <w:szCs w:val="24"/>
          <w:lang w:eastAsia="pl-PL"/>
        </w:rPr>
      </w:pPr>
      <w:r>
        <w:rPr>
          <w:rFonts w:ascii="Arial" w:hAnsi="Arial" w:cs="Arial"/>
          <w:i/>
          <w:sz w:val="24"/>
          <w:szCs w:val="24"/>
          <w:lang w:eastAsia="pl-PL"/>
        </w:rPr>
        <w:t>Część VI</w:t>
      </w:r>
      <w:r w:rsidRPr="009A79B5">
        <w:rPr>
          <w:rFonts w:ascii="Arial" w:hAnsi="Arial" w:cs="Arial"/>
          <w:i/>
          <w:sz w:val="24"/>
          <w:szCs w:val="24"/>
          <w:lang w:eastAsia="pl-PL"/>
        </w:rPr>
        <w:t xml:space="preserve"> Transport</w:t>
      </w:r>
    </w:p>
    <w:p w:rsidR="00065550" w:rsidRPr="009A79B5" w:rsidRDefault="00065550" w:rsidP="00065550">
      <w:pPr>
        <w:spacing w:line="360" w:lineRule="auto"/>
        <w:jc w:val="center"/>
        <w:rPr>
          <w:rFonts w:ascii="Arial" w:hAnsi="Arial" w:cs="Arial"/>
          <w:i/>
          <w:sz w:val="24"/>
          <w:szCs w:val="24"/>
          <w:lang w:eastAsia="pl-PL"/>
        </w:rPr>
      </w:pPr>
    </w:p>
    <w:p w:rsidR="00065550" w:rsidRPr="009A79B5" w:rsidRDefault="00065550" w:rsidP="00065550">
      <w:pPr>
        <w:spacing w:line="360" w:lineRule="auto"/>
        <w:ind w:firstLine="709"/>
        <w:jc w:val="both"/>
        <w:rPr>
          <w:rFonts w:ascii="Arial" w:hAnsi="Arial" w:cs="Arial"/>
          <w:sz w:val="24"/>
          <w:szCs w:val="24"/>
          <w:lang w:eastAsia="pl-PL"/>
        </w:rPr>
      </w:pPr>
      <w:r w:rsidRPr="009A79B5">
        <w:rPr>
          <w:rFonts w:ascii="Arial" w:hAnsi="Arial" w:cs="Arial"/>
          <w:sz w:val="24"/>
          <w:szCs w:val="24"/>
          <w:lang w:eastAsia="pl-PL"/>
        </w:rPr>
        <w:t>Części</w:t>
      </w:r>
      <w:r>
        <w:rPr>
          <w:rFonts w:ascii="Arial" w:hAnsi="Arial" w:cs="Arial"/>
          <w:sz w:val="24"/>
          <w:szCs w:val="24"/>
          <w:lang w:eastAsia="pl-PL"/>
        </w:rPr>
        <w:t xml:space="preserve"> V</w:t>
      </w:r>
      <w:r w:rsidRPr="009A79B5">
        <w:rPr>
          <w:rFonts w:ascii="Arial" w:hAnsi="Arial" w:cs="Arial"/>
          <w:sz w:val="24"/>
          <w:szCs w:val="24"/>
          <w:lang w:eastAsia="pl-PL"/>
        </w:rPr>
        <w:t xml:space="preserve">I Transport podzielona jest na dwie części A i B. Część A to część dotycząca samochodów zarejestrowanych na terenie Gminy </w:t>
      </w:r>
      <w:r w:rsidR="00A40176">
        <w:rPr>
          <w:rFonts w:ascii="Arial" w:hAnsi="Arial" w:cs="Arial"/>
          <w:sz w:val="24"/>
          <w:szCs w:val="24"/>
          <w:lang w:eastAsia="pl-PL"/>
        </w:rPr>
        <w:t>Garbatka-Letnisko</w:t>
      </w:r>
      <w:r w:rsidRPr="009A79B5">
        <w:rPr>
          <w:rFonts w:ascii="Arial" w:hAnsi="Arial" w:cs="Arial"/>
          <w:sz w:val="24"/>
          <w:szCs w:val="24"/>
          <w:lang w:eastAsia="pl-PL"/>
        </w:rPr>
        <w:t xml:space="preserve">, a część B to dane dotyczące emisji dwutlenku węgla z punktów pomiarowych. Dwie części zostały podsumowane oraz została przedstawiona łączna emisja dwutlenku węgla w całym sektorze transportu, która wyliczana jest automatycznie przy pomocy </w:t>
      </w:r>
      <w:r w:rsidRPr="009A79B5">
        <w:rPr>
          <w:rFonts w:ascii="Arial" w:hAnsi="Arial" w:cs="Arial"/>
          <w:sz w:val="24"/>
          <w:szCs w:val="24"/>
          <w:lang w:eastAsia="pl-PL"/>
        </w:rPr>
        <w:lastRenderedPageBreak/>
        <w:t xml:space="preserve">formuł aktywnego arkusza kalkulacyjnego MS Excel - zaznaczone pola na kolor czerwony. </w:t>
      </w:r>
      <w:r w:rsidRPr="00A427E0">
        <w:rPr>
          <w:rFonts w:ascii="Arial" w:hAnsi="Arial" w:cs="Arial"/>
          <w:sz w:val="24"/>
          <w:szCs w:val="24"/>
        </w:rPr>
        <w:t xml:space="preserve">Na wzorze tabeli </w:t>
      </w:r>
      <w:r w:rsidRPr="009A79B5">
        <w:rPr>
          <w:rFonts w:ascii="Arial" w:hAnsi="Arial" w:cs="Arial"/>
          <w:sz w:val="24"/>
          <w:szCs w:val="24"/>
          <w:lang w:eastAsia="pl-PL"/>
        </w:rPr>
        <w:t xml:space="preserve">wg. SEAPU-u ta część odpowiada sektorowi - </w:t>
      </w:r>
      <w:r>
        <w:rPr>
          <w:rFonts w:ascii="Arial" w:hAnsi="Arial" w:cs="Arial"/>
          <w:sz w:val="24"/>
          <w:szCs w:val="24"/>
        </w:rPr>
        <w:t>transport prywatny i </w:t>
      </w:r>
      <w:r w:rsidRPr="009A79B5">
        <w:rPr>
          <w:rFonts w:ascii="Arial" w:hAnsi="Arial" w:cs="Arial"/>
          <w:sz w:val="24"/>
          <w:szCs w:val="24"/>
        </w:rPr>
        <w:t>komercyjny</w:t>
      </w:r>
      <w:r>
        <w:rPr>
          <w:rFonts w:ascii="Arial" w:hAnsi="Arial" w:cs="Arial"/>
          <w:sz w:val="24"/>
          <w:szCs w:val="24"/>
        </w:rPr>
        <w:t>.</w:t>
      </w:r>
    </w:p>
    <w:p w:rsidR="00065550" w:rsidRPr="009A79B5" w:rsidRDefault="00065550" w:rsidP="00065550">
      <w:pPr>
        <w:spacing w:line="360" w:lineRule="auto"/>
        <w:ind w:firstLine="709"/>
        <w:jc w:val="both"/>
        <w:rPr>
          <w:rFonts w:ascii="Arial" w:hAnsi="Arial" w:cs="Arial"/>
          <w:sz w:val="24"/>
          <w:szCs w:val="24"/>
          <w:lang w:eastAsia="pl-PL"/>
        </w:rPr>
      </w:pPr>
      <w:r w:rsidRPr="009A79B5">
        <w:rPr>
          <w:rFonts w:ascii="Arial" w:hAnsi="Arial" w:cs="Arial"/>
          <w:sz w:val="24"/>
          <w:szCs w:val="24"/>
          <w:lang w:eastAsia="pl-PL"/>
        </w:rPr>
        <w:t>W części A dane podzielone zostały na: grupy pojazdów, rodzaj paliwa, średni roczny przebieg, średni wiek pojazdu, średnie spalanie. Wyżej wymienione dane są przeliczone automatycznie przez wskaźniki emisji CO</w:t>
      </w:r>
      <w:r w:rsidRPr="009A79B5">
        <w:rPr>
          <w:rFonts w:ascii="Arial" w:hAnsi="Arial" w:cs="Arial"/>
          <w:sz w:val="24"/>
          <w:szCs w:val="24"/>
          <w:vertAlign w:val="subscript"/>
          <w:lang w:eastAsia="pl-PL"/>
        </w:rPr>
        <w:t>2</w:t>
      </w:r>
      <w:r w:rsidRPr="009A79B5">
        <w:rPr>
          <w:rFonts w:ascii="Arial" w:hAnsi="Arial" w:cs="Arial"/>
          <w:sz w:val="24"/>
          <w:szCs w:val="24"/>
          <w:lang w:eastAsia="pl-PL"/>
        </w:rPr>
        <w:t xml:space="preserve"> przy pomocy formuł, dając sumaryczną emisję dwutlenku węgla - zaznaczone pola na kolor czerwony.</w:t>
      </w:r>
    </w:p>
    <w:p w:rsidR="00065550" w:rsidRPr="009A79B5" w:rsidRDefault="00065550" w:rsidP="00065550">
      <w:pPr>
        <w:spacing w:line="360" w:lineRule="auto"/>
        <w:ind w:firstLine="709"/>
        <w:jc w:val="both"/>
        <w:rPr>
          <w:rFonts w:ascii="Arial" w:hAnsi="Arial" w:cs="Arial"/>
          <w:sz w:val="24"/>
          <w:szCs w:val="24"/>
          <w:lang w:eastAsia="pl-PL"/>
        </w:rPr>
      </w:pPr>
      <w:r w:rsidRPr="009A79B5">
        <w:rPr>
          <w:rFonts w:ascii="Arial" w:hAnsi="Arial" w:cs="Arial"/>
          <w:sz w:val="24"/>
          <w:szCs w:val="24"/>
          <w:lang w:eastAsia="pl-PL"/>
        </w:rPr>
        <w:t>W części B dane podzielone zostały na: nr. punktu pomiarowego, rodzaj pojazdów, nr drogi, opis odcinak, długość odcinka pomiarowego. Z wyżej wymienionych danych automatycznie przy pomocy formuł wyliczana jest emisja dwutlenku węgla - zaznaczone pola na kolor czerwony.</w:t>
      </w:r>
    </w:p>
    <w:p w:rsidR="00065550" w:rsidRDefault="00065550" w:rsidP="001F3ADA">
      <w:pPr>
        <w:spacing w:line="360" w:lineRule="auto"/>
        <w:ind w:firstLine="709"/>
        <w:jc w:val="both"/>
        <w:rPr>
          <w:rFonts w:ascii="Arial" w:hAnsi="Arial" w:cs="Arial"/>
          <w:sz w:val="24"/>
          <w:szCs w:val="24"/>
          <w:lang w:eastAsia="pl-PL"/>
        </w:rPr>
      </w:pPr>
      <w:r w:rsidRPr="009A79B5">
        <w:rPr>
          <w:rFonts w:ascii="Arial" w:hAnsi="Arial" w:cs="Arial"/>
          <w:sz w:val="24"/>
          <w:szCs w:val="24"/>
          <w:lang w:eastAsia="pl-PL"/>
        </w:rPr>
        <w:t>Na kolor niebieski są zaznaczone komórki, gdzie należy wpisać pozyskane dane w latach następnych ze źródeł zewnętrznych. Rok bazowy, tj. rok 201</w:t>
      </w:r>
      <w:r>
        <w:rPr>
          <w:rFonts w:ascii="Arial" w:hAnsi="Arial" w:cs="Arial"/>
          <w:sz w:val="24"/>
          <w:szCs w:val="24"/>
          <w:lang w:eastAsia="pl-PL"/>
        </w:rPr>
        <w:t>5</w:t>
      </w:r>
      <w:r w:rsidRPr="009A79B5">
        <w:rPr>
          <w:rFonts w:ascii="Arial" w:hAnsi="Arial" w:cs="Arial"/>
          <w:sz w:val="24"/>
          <w:szCs w:val="24"/>
          <w:lang w:eastAsia="pl-PL"/>
        </w:rPr>
        <w:t xml:space="preserve"> został już uzupełniony.</w:t>
      </w:r>
    </w:p>
    <w:p w:rsidR="00A427E0" w:rsidRPr="00A427E0" w:rsidRDefault="00A427E0" w:rsidP="00A427E0">
      <w:pPr>
        <w:rPr>
          <w:rFonts w:ascii="Arial" w:hAnsi="Arial" w:cs="Arial"/>
          <w:sz w:val="24"/>
          <w:szCs w:val="24"/>
        </w:rPr>
      </w:pPr>
      <w:r>
        <w:rPr>
          <w:rFonts w:ascii="Arial" w:hAnsi="Arial" w:cs="Arial"/>
          <w:sz w:val="24"/>
          <w:szCs w:val="24"/>
        </w:rPr>
        <w:br w:type="page"/>
      </w:r>
    </w:p>
    <w:p w:rsidR="00360563" w:rsidRDefault="00A427E0" w:rsidP="00360563">
      <w:pPr>
        <w:spacing w:line="360" w:lineRule="auto"/>
        <w:jc w:val="center"/>
        <w:rPr>
          <w:rFonts w:ascii="Arial" w:hAnsi="Arial" w:cs="Arial"/>
          <w:sz w:val="24"/>
          <w:szCs w:val="24"/>
        </w:rPr>
      </w:pPr>
      <w:r w:rsidRPr="00A427E0">
        <w:rPr>
          <w:rFonts w:ascii="Arial" w:hAnsi="Arial" w:cs="Arial"/>
          <w:i/>
          <w:sz w:val="24"/>
          <w:szCs w:val="24"/>
          <w:lang w:eastAsia="pl-PL"/>
        </w:rPr>
        <w:lastRenderedPageBreak/>
        <w:t>Wyniki w Planie Gospodarki Niskoemisyjnej dla Gminy</w:t>
      </w:r>
      <w:r>
        <w:rPr>
          <w:rFonts w:ascii="Arial" w:hAnsi="Arial" w:cs="Arial"/>
          <w:i/>
          <w:sz w:val="24"/>
          <w:szCs w:val="24"/>
          <w:lang w:eastAsia="pl-PL"/>
        </w:rPr>
        <w:t xml:space="preserve"> </w:t>
      </w:r>
      <w:r w:rsidR="00A40176">
        <w:rPr>
          <w:rFonts w:ascii="Arial" w:hAnsi="Arial" w:cs="Arial"/>
          <w:i/>
          <w:sz w:val="24"/>
          <w:szCs w:val="24"/>
          <w:lang w:eastAsia="pl-PL"/>
        </w:rPr>
        <w:t>Garbatka-Letnisko</w:t>
      </w:r>
      <w:r w:rsidRPr="00A427E0">
        <w:rPr>
          <w:rFonts w:ascii="Arial" w:hAnsi="Arial" w:cs="Arial"/>
          <w:i/>
          <w:sz w:val="24"/>
          <w:szCs w:val="24"/>
          <w:lang w:eastAsia="pl-PL"/>
        </w:rPr>
        <w:t xml:space="preserve"> na lata 2016-2020 zostały przedstawione wg. </w:t>
      </w:r>
      <w:r w:rsidRPr="0046012A">
        <w:rPr>
          <w:rFonts w:ascii="Arial" w:hAnsi="Arial" w:cs="Arial"/>
          <w:i/>
          <w:sz w:val="24"/>
          <w:szCs w:val="24"/>
        </w:rPr>
        <w:t>wzoru tabeli SEAP</w:t>
      </w:r>
      <w:r w:rsidRPr="00A427E0">
        <w:rPr>
          <w:rFonts w:ascii="Arial" w:hAnsi="Arial" w:cs="Arial"/>
          <w:sz w:val="24"/>
          <w:szCs w:val="24"/>
        </w:rPr>
        <w:t>.</w:t>
      </w:r>
    </w:p>
    <w:p w:rsidR="00A427E0" w:rsidRPr="009A79B5" w:rsidRDefault="00A427E0" w:rsidP="00360563">
      <w:pPr>
        <w:spacing w:line="360" w:lineRule="auto"/>
        <w:jc w:val="center"/>
        <w:rPr>
          <w:rFonts w:ascii="Arial" w:hAnsi="Arial" w:cs="Arial"/>
          <w:i/>
          <w:sz w:val="24"/>
          <w:szCs w:val="24"/>
          <w:highlight w:val="green"/>
          <w:lang w:eastAsia="pl-PL"/>
        </w:rPr>
      </w:pPr>
    </w:p>
    <w:p w:rsidR="00360563" w:rsidRPr="009A79B5" w:rsidRDefault="007E5537" w:rsidP="00604786">
      <w:pPr>
        <w:shd w:val="clear" w:color="auto" w:fill="FFC000" w:themeFill="accent4"/>
        <w:jc w:val="center"/>
        <w:rPr>
          <w:rFonts w:ascii="Arial" w:hAnsi="Arial" w:cs="Arial"/>
          <w:sz w:val="24"/>
          <w:szCs w:val="24"/>
        </w:rPr>
      </w:pPr>
      <w:r w:rsidRPr="009A79B5">
        <w:rPr>
          <w:rFonts w:ascii="Arial" w:hAnsi="Arial" w:cs="Arial"/>
          <w:sz w:val="24"/>
          <w:szCs w:val="24"/>
          <w:u w:val="single"/>
        </w:rPr>
        <w:t>Wyniki Bazy Inwentaryzacyjnej dla Gminy</w:t>
      </w:r>
      <w:r w:rsidR="00B41BB6">
        <w:rPr>
          <w:rFonts w:ascii="Arial" w:hAnsi="Arial" w:cs="Arial"/>
          <w:sz w:val="24"/>
          <w:szCs w:val="24"/>
          <w:u w:val="single"/>
        </w:rPr>
        <w:t xml:space="preserve"> </w:t>
      </w:r>
      <w:r w:rsidR="00A40176">
        <w:rPr>
          <w:rFonts w:ascii="Arial" w:hAnsi="Arial" w:cs="Arial"/>
          <w:sz w:val="24"/>
          <w:szCs w:val="24"/>
          <w:u w:val="single"/>
        </w:rPr>
        <w:t>Garbatka-Letnisko</w:t>
      </w:r>
      <w:r w:rsidR="00B41BB6">
        <w:rPr>
          <w:rFonts w:ascii="Arial" w:hAnsi="Arial" w:cs="Arial"/>
          <w:sz w:val="24"/>
          <w:szCs w:val="24"/>
          <w:u w:val="single"/>
        </w:rPr>
        <w:t xml:space="preserve"> w roku bazowym - 2015</w:t>
      </w:r>
    </w:p>
    <w:p w:rsidR="00252A2C" w:rsidRPr="009A79B5" w:rsidRDefault="00252A2C" w:rsidP="007E5537">
      <w:pPr>
        <w:spacing w:line="360" w:lineRule="auto"/>
        <w:jc w:val="both"/>
        <w:rPr>
          <w:rFonts w:ascii="Arial" w:hAnsi="Arial" w:cs="Arial"/>
          <w:sz w:val="24"/>
          <w:szCs w:val="24"/>
          <w:lang w:eastAsia="pl-PL"/>
        </w:rPr>
      </w:pPr>
    </w:p>
    <w:p w:rsidR="001F3ADA" w:rsidRPr="00FC47E2" w:rsidRDefault="001F3ADA" w:rsidP="001F3ADA">
      <w:pPr>
        <w:spacing w:line="360" w:lineRule="auto"/>
        <w:ind w:firstLine="709"/>
        <w:jc w:val="both"/>
        <w:rPr>
          <w:rFonts w:ascii="Arial" w:hAnsi="Arial" w:cs="Arial"/>
          <w:sz w:val="24"/>
          <w:szCs w:val="24"/>
        </w:rPr>
      </w:pPr>
      <w:r w:rsidRPr="00950A68">
        <w:rPr>
          <w:rFonts w:ascii="Arial" w:hAnsi="Arial" w:cs="Arial"/>
          <w:sz w:val="24"/>
          <w:szCs w:val="24"/>
        </w:rPr>
        <w:t>Baza</w:t>
      </w:r>
      <w:r>
        <w:rPr>
          <w:rFonts w:ascii="Arial" w:hAnsi="Arial" w:cs="Arial"/>
          <w:sz w:val="24"/>
          <w:szCs w:val="24"/>
        </w:rPr>
        <w:t xml:space="preserve"> Inwentaryzacyjna przedstawia wyniki zużycia energii, emisji dwutlenku węgla oraz udział odnawialnych źródeł energii na całym terenie Gminy Garbatka-Letnisko. </w:t>
      </w:r>
      <w:r w:rsidRPr="00295CF8">
        <w:rPr>
          <w:rFonts w:ascii="Arial" w:hAnsi="Arial" w:cs="Arial"/>
          <w:sz w:val="24"/>
          <w:szCs w:val="24"/>
        </w:rPr>
        <w:t xml:space="preserve">Dane </w:t>
      </w:r>
      <w:r>
        <w:rPr>
          <w:rFonts w:ascii="Arial" w:hAnsi="Arial" w:cs="Arial"/>
          <w:sz w:val="24"/>
          <w:szCs w:val="24"/>
        </w:rPr>
        <w:t xml:space="preserve">i informacje, zostały </w:t>
      </w:r>
      <w:r w:rsidRPr="00295CF8">
        <w:rPr>
          <w:rFonts w:ascii="Arial" w:hAnsi="Arial" w:cs="Arial"/>
          <w:sz w:val="24"/>
          <w:szCs w:val="24"/>
        </w:rPr>
        <w:t>w niej wyselekcjonowane i usystematyzowane</w:t>
      </w:r>
      <w:r>
        <w:rPr>
          <w:rFonts w:ascii="Arial" w:hAnsi="Arial" w:cs="Arial"/>
          <w:sz w:val="24"/>
          <w:szCs w:val="24"/>
        </w:rPr>
        <w:t xml:space="preserve"> w sposób</w:t>
      </w:r>
      <w:r w:rsidRPr="00295CF8">
        <w:rPr>
          <w:rFonts w:ascii="Arial" w:hAnsi="Arial" w:cs="Arial"/>
          <w:sz w:val="24"/>
          <w:szCs w:val="24"/>
        </w:rPr>
        <w:t xml:space="preserve"> umożliwia</w:t>
      </w:r>
      <w:r>
        <w:rPr>
          <w:rFonts w:ascii="Arial" w:hAnsi="Arial" w:cs="Arial"/>
          <w:sz w:val="24"/>
          <w:szCs w:val="24"/>
        </w:rPr>
        <w:t>jący</w:t>
      </w:r>
      <w:r w:rsidRPr="00295CF8">
        <w:rPr>
          <w:rFonts w:ascii="Arial" w:hAnsi="Arial" w:cs="Arial"/>
          <w:sz w:val="24"/>
          <w:szCs w:val="24"/>
        </w:rPr>
        <w:t xml:space="preserve"> ocenę gospodarki energią w </w:t>
      </w:r>
      <w:r>
        <w:rPr>
          <w:rFonts w:ascii="Arial" w:hAnsi="Arial" w:cs="Arial"/>
          <w:sz w:val="24"/>
          <w:szCs w:val="24"/>
        </w:rPr>
        <w:t xml:space="preserve">omawianym samorządzie lokalnym. Dodatkowo, wartości zostały podzielone </w:t>
      </w:r>
      <w:r w:rsidRPr="00FC47E2">
        <w:rPr>
          <w:rFonts w:ascii="Arial" w:hAnsi="Arial" w:cs="Arial"/>
          <w:sz w:val="24"/>
          <w:szCs w:val="24"/>
        </w:rPr>
        <w:t xml:space="preserve">na następujące </w:t>
      </w:r>
      <w:r>
        <w:rPr>
          <w:rFonts w:ascii="Arial" w:hAnsi="Arial" w:cs="Arial"/>
          <w:sz w:val="24"/>
          <w:szCs w:val="24"/>
        </w:rPr>
        <w:t>sektory:</w:t>
      </w:r>
    </w:p>
    <w:p w:rsidR="001F3ADA" w:rsidRDefault="001F3ADA" w:rsidP="00C552FE">
      <w:pPr>
        <w:pStyle w:val="Akapitzlist"/>
        <w:numPr>
          <w:ilvl w:val="0"/>
          <w:numId w:val="5"/>
        </w:numPr>
        <w:spacing w:after="160" w:line="360" w:lineRule="auto"/>
        <w:jc w:val="both"/>
        <w:rPr>
          <w:rFonts w:ascii="Arial" w:hAnsi="Arial" w:cs="Arial"/>
        </w:rPr>
      </w:pPr>
      <w:r>
        <w:rPr>
          <w:rFonts w:ascii="Arial" w:hAnsi="Arial" w:cs="Arial"/>
        </w:rPr>
        <w:t>budynki, wyposażenie/urządzenia komunalne,</w:t>
      </w:r>
    </w:p>
    <w:p w:rsidR="001F3ADA" w:rsidRDefault="001F3ADA" w:rsidP="00C552FE">
      <w:pPr>
        <w:pStyle w:val="Akapitzlist"/>
        <w:numPr>
          <w:ilvl w:val="0"/>
          <w:numId w:val="5"/>
        </w:numPr>
        <w:spacing w:after="160" w:line="360" w:lineRule="auto"/>
        <w:jc w:val="both"/>
        <w:rPr>
          <w:rFonts w:ascii="Arial" w:hAnsi="Arial" w:cs="Arial"/>
        </w:rPr>
      </w:pPr>
      <w:r w:rsidRPr="00BC16C6">
        <w:rPr>
          <w:rFonts w:ascii="Arial" w:hAnsi="Arial" w:cs="Arial"/>
        </w:rPr>
        <w:t>budynki, wyposażenie/urząd</w:t>
      </w:r>
      <w:r>
        <w:rPr>
          <w:rFonts w:ascii="Arial" w:hAnsi="Arial" w:cs="Arial"/>
        </w:rPr>
        <w:t>zenia usługowe (niekomunalne)</w:t>
      </w:r>
      <w:r w:rsidRPr="00BC16C6">
        <w:rPr>
          <w:rFonts w:ascii="Arial" w:hAnsi="Arial" w:cs="Arial"/>
        </w:rPr>
        <w:t>,</w:t>
      </w:r>
    </w:p>
    <w:p w:rsidR="001F3ADA" w:rsidRDefault="001F3ADA" w:rsidP="00C552FE">
      <w:pPr>
        <w:pStyle w:val="Akapitzlist"/>
        <w:numPr>
          <w:ilvl w:val="0"/>
          <w:numId w:val="5"/>
        </w:numPr>
        <w:spacing w:after="160" w:line="360" w:lineRule="auto"/>
        <w:jc w:val="both"/>
        <w:rPr>
          <w:rFonts w:ascii="Arial" w:hAnsi="Arial" w:cs="Arial"/>
        </w:rPr>
      </w:pPr>
      <w:r>
        <w:rPr>
          <w:rFonts w:ascii="Arial" w:hAnsi="Arial" w:cs="Arial"/>
        </w:rPr>
        <w:t>budynki mieszkalne</w:t>
      </w:r>
      <w:r w:rsidRPr="00BC16C6">
        <w:rPr>
          <w:rFonts w:ascii="Arial" w:hAnsi="Arial" w:cs="Arial"/>
        </w:rPr>
        <w:t>,</w:t>
      </w:r>
    </w:p>
    <w:p w:rsidR="001F3ADA" w:rsidRDefault="001F3ADA" w:rsidP="00C552FE">
      <w:pPr>
        <w:pStyle w:val="Akapitzlist"/>
        <w:numPr>
          <w:ilvl w:val="0"/>
          <w:numId w:val="5"/>
        </w:numPr>
        <w:spacing w:after="160" w:line="360" w:lineRule="auto"/>
        <w:jc w:val="both"/>
        <w:rPr>
          <w:rFonts w:ascii="Arial" w:hAnsi="Arial" w:cs="Arial"/>
        </w:rPr>
      </w:pPr>
      <w:r>
        <w:rPr>
          <w:rFonts w:ascii="Arial" w:hAnsi="Arial" w:cs="Arial"/>
        </w:rPr>
        <w:t>komunalne oświetlenie publiczne,</w:t>
      </w:r>
    </w:p>
    <w:p w:rsidR="001F3ADA" w:rsidRDefault="001F3ADA" w:rsidP="00C552FE">
      <w:pPr>
        <w:pStyle w:val="Akapitzlist"/>
        <w:numPr>
          <w:ilvl w:val="0"/>
          <w:numId w:val="5"/>
        </w:numPr>
        <w:spacing w:after="160" w:line="360" w:lineRule="auto"/>
        <w:jc w:val="both"/>
        <w:rPr>
          <w:rFonts w:ascii="Arial" w:hAnsi="Arial" w:cs="Arial"/>
        </w:rPr>
      </w:pPr>
      <w:r>
        <w:rPr>
          <w:rFonts w:ascii="Arial" w:hAnsi="Arial" w:cs="Arial"/>
        </w:rPr>
        <w:t>przemysł (z wyjątkiem zakładów objętych systemem handlu uprawnieniami do emisji UE-ETS),</w:t>
      </w:r>
    </w:p>
    <w:p w:rsidR="001F3ADA" w:rsidRDefault="001F3ADA" w:rsidP="00C552FE">
      <w:pPr>
        <w:pStyle w:val="Akapitzlist"/>
        <w:numPr>
          <w:ilvl w:val="0"/>
          <w:numId w:val="5"/>
        </w:numPr>
        <w:spacing w:after="160" w:line="360" w:lineRule="auto"/>
        <w:jc w:val="both"/>
        <w:rPr>
          <w:rFonts w:ascii="Arial" w:hAnsi="Arial" w:cs="Arial"/>
        </w:rPr>
      </w:pPr>
      <w:r>
        <w:rPr>
          <w:rFonts w:ascii="Arial" w:hAnsi="Arial" w:cs="Arial"/>
        </w:rPr>
        <w:t>tabor gminny</w:t>
      </w:r>
      <w:r w:rsidRPr="00573774">
        <w:rPr>
          <w:rFonts w:ascii="Arial" w:hAnsi="Arial" w:cs="Arial"/>
        </w:rPr>
        <w:t>,</w:t>
      </w:r>
    </w:p>
    <w:p w:rsidR="001F3ADA" w:rsidRDefault="001F3ADA" w:rsidP="00C552FE">
      <w:pPr>
        <w:pStyle w:val="Akapitzlist"/>
        <w:numPr>
          <w:ilvl w:val="0"/>
          <w:numId w:val="5"/>
        </w:numPr>
        <w:spacing w:after="160" w:line="360" w:lineRule="auto"/>
        <w:jc w:val="both"/>
        <w:rPr>
          <w:rFonts w:ascii="Arial" w:hAnsi="Arial" w:cs="Arial"/>
        </w:rPr>
      </w:pPr>
      <w:r>
        <w:rPr>
          <w:rFonts w:ascii="Arial" w:hAnsi="Arial" w:cs="Arial"/>
        </w:rPr>
        <w:t>transport publiczny,</w:t>
      </w:r>
    </w:p>
    <w:p w:rsidR="001F3ADA" w:rsidRPr="00250AE1" w:rsidRDefault="001F3ADA" w:rsidP="00C552FE">
      <w:pPr>
        <w:pStyle w:val="Akapitzlist"/>
        <w:numPr>
          <w:ilvl w:val="0"/>
          <w:numId w:val="5"/>
        </w:numPr>
        <w:spacing w:after="160" w:line="360" w:lineRule="auto"/>
        <w:jc w:val="both"/>
        <w:rPr>
          <w:rFonts w:ascii="Arial" w:hAnsi="Arial" w:cs="Arial"/>
        </w:rPr>
      </w:pPr>
      <w:r w:rsidRPr="00250AE1">
        <w:rPr>
          <w:rFonts w:ascii="Arial" w:hAnsi="Arial" w:cs="Arial"/>
        </w:rPr>
        <w:t>t</w:t>
      </w:r>
      <w:r>
        <w:rPr>
          <w:rFonts w:ascii="Arial" w:hAnsi="Arial" w:cs="Arial"/>
        </w:rPr>
        <w:t>ransport prywatny i komercyjny</w:t>
      </w:r>
      <w:r w:rsidRPr="00250AE1">
        <w:rPr>
          <w:rFonts w:ascii="Arial" w:hAnsi="Arial" w:cs="Arial"/>
        </w:rPr>
        <w:t>.</w:t>
      </w:r>
    </w:p>
    <w:p w:rsidR="001F3ADA" w:rsidRPr="006A6D6F" w:rsidRDefault="001F3ADA" w:rsidP="001F3ADA">
      <w:pPr>
        <w:spacing w:line="360" w:lineRule="auto"/>
        <w:ind w:firstLine="709"/>
        <w:jc w:val="both"/>
        <w:rPr>
          <w:rFonts w:ascii="Arial" w:hAnsi="Arial" w:cs="Arial"/>
          <w:sz w:val="24"/>
          <w:szCs w:val="24"/>
        </w:rPr>
      </w:pPr>
      <w:r w:rsidRPr="00950A68">
        <w:rPr>
          <w:rFonts w:ascii="Arial" w:hAnsi="Arial" w:cs="Arial"/>
          <w:sz w:val="24"/>
          <w:szCs w:val="24"/>
        </w:rPr>
        <w:t>Emisję dwutlenku</w:t>
      </w:r>
      <w:r>
        <w:rPr>
          <w:rFonts w:ascii="Arial" w:hAnsi="Arial" w:cs="Arial"/>
          <w:sz w:val="24"/>
          <w:szCs w:val="24"/>
        </w:rPr>
        <w:t xml:space="preserve"> węgla oszacowano w Megagramach [Mg]. Jest to jednostka miary, którą popularnie nazwa się tona [t].</w:t>
      </w:r>
      <w:r w:rsidRPr="00950A68">
        <w:rPr>
          <w:rFonts w:ascii="Arial" w:hAnsi="Arial" w:cs="Arial"/>
          <w:sz w:val="24"/>
          <w:szCs w:val="24"/>
        </w:rPr>
        <w:t xml:space="preserve"> </w:t>
      </w:r>
      <w:r>
        <w:rPr>
          <w:rFonts w:ascii="Arial" w:hAnsi="Arial" w:cs="Arial"/>
          <w:sz w:val="24"/>
          <w:szCs w:val="24"/>
        </w:rPr>
        <w:t>Dane liczbowe podane</w:t>
      </w:r>
      <w:r w:rsidRPr="00DF233B">
        <w:rPr>
          <w:rFonts w:ascii="Arial" w:hAnsi="Arial" w:cs="Arial"/>
          <w:sz w:val="24"/>
          <w:szCs w:val="24"/>
        </w:rPr>
        <w:t xml:space="preserve"> </w:t>
      </w:r>
      <w:r w:rsidRPr="00950A68">
        <w:rPr>
          <w:rFonts w:ascii="Arial" w:hAnsi="Arial" w:cs="Arial"/>
          <w:sz w:val="24"/>
          <w:szCs w:val="24"/>
        </w:rPr>
        <w:t>są  w skali roku.</w:t>
      </w:r>
      <w:r>
        <w:rPr>
          <w:rFonts w:ascii="Arial" w:hAnsi="Arial" w:cs="Arial"/>
          <w:sz w:val="24"/>
          <w:szCs w:val="24"/>
        </w:rPr>
        <w:t xml:space="preserve"> Zużycia energii otrzymane z różnych źródeł zostały podane w różnych jednostkach, w związku z tym przy opracowaniu niniejszej Bazy zastosowano następujące p</w:t>
      </w:r>
      <w:r w:rsidRPr="00950A68">
        <w:rPr>
          <w:rFonts w:ascii="Arial" w:hAnsi="Arial" w:cs="Arial"/>
          <w:sz w:val="24"/>
          <w:szCs w:val="24"/>
        </w:rPr>
        <w:t>rzeliczniki</w:t>
      </w:r>
      <w:r>
        <w:rPr>
          <w:rFonts w:ascii="Arial" w:hAnsi="Arial" w:cs="Arial"/>
          <w:sz w:val="24"/>
          <w:szCs w:val="24"/>
        </w:rPr>
        <w:t>:</w:t>
      </w:r>
    </w:p>
    <w:p w:rsidR="001F3ADA" w:rsidRDefault="001F3ADA">
      <w:pPr>
        <w:rPr>
          <w:rFonts w:ascii="Times New Roman" w:eastAsia="Times New Roman" w:hAnsi="Times New Roman" w:cs="Times New Roman"/>
          <w:b/>
          <w:bCs/>
        </w:rPr>
      </w:pPr>
      <w:bookmarkStart w:id="2" w:name="_Toc448611439"/>
      <w:r>
        <w:br w:type="page"/>
      </w:r>
    </w:p>
    <w:p w:rsidR="001F3ADA" w:rsidRPr="000D652F" w:rsidRDefault="001F3ADA" w:rsidP="001F3ADA">
      <w:pPr>
        <w:pStyle w:val="Legenda"/>
        <w:rPr>
          <w:rFonts w:ascii="Arial" w:hAnsi="Arial" w:cs="Arial"/>
          <w:sz w:val="22"/>
          <w:szCs w:val="22"/>
        </w:rPr>
      </w:pPr>
      <w:r w:rsidRPr="000D652F">
        <w:rPr>
          <w:sz w:val="22"/>
          <w:szCs w:val="22"/>
        </w:rPr>
        <w:lastRenderedPageBreak/>
        <w:t xml:space="preserve">Tabela </w:t>
      </w:r>
      <w:r w:rsidRPr="000D652F">
        <w:rPr>
          <w:sz w:val="22"/>
          <w:szCs w:val="22"/>
        </w:rPr>
        <w:fldChar w:fldCharType="begin"/>
      </w:r>
      <w:r w:rsidRPr="000D652F">
        <w:rPr>
          <w:sz w:val="22"/>
          <w:szCs w:val="22"/>
        </w:rPr>
        <w:instrText xml:space="preserve"> SEQ Tabela \* ARABIC </w:instrText>
      </w:r>
      <w:r w:rsidRPr="000D652F">
        <w:rPr>
          <w:sz w:val="22"/>
          <w:szCs w:val="22"/>
        </w:rPr>
        <w:fldChar w:fldCharType="separate"/>
      </w:r>
      <w:r w:rsidR="009246DC">
        <w:rPr>
          <w:noProof/>
          <w:sz w:val="22"/>
          <w:szCs w:val="22"/>
        </w:rPr>
        <w:t>2</w:t>
      </w:r>
      <w:r w:rsidRPr="000D652F">
        <w:rPr>
          <w:noProof/>
          <w:sz w:val="22"/>
          <w:szCs w:val="22"/>
        </w:rPr>
        <w:fldChar w:fldCharType="end"/>
      </w:r>
      <w:r w:rsidRPr="000D652F">
        <w:rPr>
          <w:sz w:val="22"/>
          <w:szCs w:val="22"/>
        </w:rPr>
        <w:t xml:space="preserve"> Przeliczniki do wyliczenia emisji CO</w:t>
      </w:r>
      <w:r w:rsidRPr="000D652F">
        <w:rPr>
          <w:sz w:val="22"/>
          <w:szCs w:val="22"/>
          <w:vertAlign w:val="subscript"/>
        </w:rPr>
        <w:t>2</w:t>
      </w:r>
      <w:bookmarkEnd w:id="2"/>
    </w:p>
    <w:tbl>
      <w:tblPr>
        <w:tblStyle w:val="Tabelasiatki5ciemnaakcent4"/>
        <w:tblW w:w="0" w:type="auto"/>
        <w:tblLook w:val="04A0" w:firstRow="1" w:lastRow="0" w:firstColumn="1" w:lastColumn="0" w:noHBand="0" w:noVBand="1"/>
      </w:tblPr>
      <w:tblGrid>
        <w:gridCol w:w="4531"/>
        <w:gridCol w:w="4531"/>
      </w:tblGrid>
      <w:tr w:rsidR="001F3ADA" w:rsidRPr="00E24102" w:rsidTr="001F3ADA">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9062" w:type="dxa"/>
            <w:gridSpan w:val="2"/>
          </w:tcPr>
          <w:p w:rsidR="001F3ADA" w:rsidRPr="00E24102" w:rsidRDefault="001F3ADA" w:rsidP="000A1112">
            <w:pPr>
              <w:spacing w:line="360" w:lineRule="auto"/>
              <w:jc w:val="center"/>
              <w:rPr>
                <w:rFonts w:ascii="Arial" w:hAnsi="Arial" w:cs="Arial"/>
                <w:color w:val="auto"/>
                <w:sz w:val="24"/>
                <w:szCs w:val="24"/>
              </w:rPr>
            </w:pPr>
            <w:r w:rsidRPr="00E24102">
              <w:rPr>
                <w:rFonts w:ascii="Arial" w:hAnsi="Arial" w:cs="Arial"/>
                <w:color w:val="auto"/>
                <w:sz w:val="24"/>
                <w:szCs w:val="24"/>
              </w:rPr>
              <w:t>Przelicznik</w:t>
            </w:r>
          </w:p>
        </w:tc>
      </w:tr>
      <w:tr w:rsidR="001F3ADA" w:rsidRPr="00E24102" w:rsidTr="001F3ADA">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4531" w:type="dxa"/>
          </w:tcPr>
          <w:p w:rsidR="001F3ADA" w:rsidRPr="00E24102" w:rsidRDefault="001F3ADA" w:rsidP="000A1112">
            <w:pPr>
              <w:spacing w:line="360" w:lineRule="auto"/>
              <w:rPr>
                <w:rFonts w:ascii="Arial" w:hAnsi="Arial" w:cs="Arial"/>
                <w:color w:val="auto"/>
                <w:sz w:val="24"/>
                <w:szCs w:val="24"/>
              </w:rPr>
            </w:pPr>
            <w:r w:rsidRPr="00E24102">
              <w:rPr>
                <w:rFonts w:ascii="Arial" w:hAnsi="Arial" w:cs="Arial"/>
                <w:color w:val="auto"/>
                <w:sz w:val="24"/>
                <w:szCs w:val="24"/>
              </w:rPr>
              <w:t>1 [</w:t>
            </w:r>
            <w:r w:rsidRPr="00E24102">
              <w:rPr>
                <w:rFonts w:ascii="Arial" w:hAnsi="Arial" w:cs="Arial"/>
                <w:caps/>
                <w:color w:val="auto"/>
                <w:sz w:val="24"/>
                <w:szCs w:val="24"/>
              </w:rPr>
              <w:t>l</w:t>
            </w:r>
            <w:r>
              <w:rPr>
                <w:rFonts w:ascii="Arial" w:hAnsi="Arial" w:cs="Arial"/>
                <w:color w:val="auto"/>
                <w:sz w:val="24"/>
                <w:szCs w:val="24"/>
              </w:rPr>
              <w:t>]</w:t>
            </w:r>
          </w:p>
        </w:tc>
        <w:tc>
          <w:tcPr>
            <w:tcW w:w="4531" w:type="dxa"/>
          </w:tcPr>
          <w:p w:rsidR="001F3ADA" w:rsidRPr="00E24102" w:rsidRDefault="001F3ADA" w:rsidP="000A111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24102">
              <w:rPr>
                <w:rFonts w:ascii="Arial" w:hAnsi="Arial" w:cs="Arial"/>
                <w:sz w:val="24"/>
                <w:szCs w:val="24"/>
              </w:rPr>
              <w:t>0,00086 [Mg]</w:t>
            </w:r>
          </w:p>
        </w:tc>
      </w:tr>
      <w:tr w:rsidR="001F3ADA" w:rsidRPr="00E24102" w:rsidTr="001F3ADA">
        <w:trPr>
          <w:trHeight w:val="624"/>
        </w:trPr>
        <w:tc>
          <w:tcPr>
            <w:cnfStyle w:val="001000000000" w:firstRow="0" w:lastRow="0" w:firstColumn="1" w:lastColumn="0" w:oddVBand="0" w:evenVBand="0" w:oddHBand="0" w:evenHBand="0" w:firstRowFirstColumn="0" w:firstRowLastColumn="0" w:lastRowFirstColumn="0" w:lastRowLastColumn="0"/>
            <w:tcW w:w="4531" w:type="dxa"/>
          </w:tcPr>
          <w:p w:rsidR="001F3ADA" w:rsidRPr="00E24102" w:rsidRDefault="001F3ADA" w:rsidP="000A1112">
            <w:pPr>
              <w:spacing w:line="360" w:lineRule="auto"/>
              <w:rPr>
                <w:rFonts w:ascii="Arial" w:hAnsi="Arial" w:cs="Arial"/>
                <w:color w:val="auto"/>
                <w:sz w:val="24"/>
                <w:szCs w:val="24"/>
              </w:rPr>
            </w:pPr>
            <w:r w:rsidRPr="00E24102">
              <w:rPr>
                <w:rFonts w:ascii="Arial" w:hAnsi="Arial" w:cs="Arial"/>
                <w:color w:val="auto"/>
                <w:sz w:val="24"/>
                <w:szCs w:val="24"/>
              </w:rPr>
              <w:t>1 [</w:t>
            </w:r>
            <w:r w:rsidRPr="00E24102">
              <w:rPr>
                <w:rFonts w:ascii="Arial" w:hAnsi="Arial" w:cs="Arial"/>
                <w:caps/>
                <w:color w:val="auto"/>
                <w:sz w:val="24"/>
                <w:szCs w:val="24"/>
              </w:rPr>
              <w:t>m</w:t>
            </w:r>
            <w:r w:rsidRPr="00E24102">
              <w:rPr>
                <w:rFonts w:ascii="Arial" w:hAnsi="Arial" w:cs="Arial"/>
                <w:color w:val="auto"/>
                <w:sz w:val="24"/>
                <w:szCs w:val="24"/>
                <w:vertAlign w:val="superscript"/>
              </w:rPr>
              <w:t>3</w:t>
            </w:r>
            <w:r w:rsidRPr="00E24102">
              <w:rPr>
                <w:rFonts w:ascii="Arial" w:hAnsi="Arial" w:cs="Arial"/>
                <w:color w:val="auto"/>
                <w:sz w:val="24"/>
                <w:szCs w:val="24"/>
              </w:rPr>
              <w:t>]</w:t>
            </w:r>
          </w:p>
        </w:tc>
        <w:tc>
          <w:tcPr>
            <w:tcW w:w="4531" w:type="dxa"/>
          </w:tcPr>
          <w:p w:rsidR="001F3ADA" w:rsidRPr="00E24102" w:rsidRDefault="001F3ADA" w:rsidP="000A111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24102">
              <w:rPr>
                <w:rFonts w:ascii="Arial" w:hAnsi="Arial" w:cs="Arial"/>
                <w:sz w:val="24"/>
                <w:szCs w:val="24"/>
              </w:rPr>
              <w:t>0,45 [Mg</w:t>
            </w:r>
          </w:p>
        </w:tc>
      </w:tr>
      <w:tr w:rsidR="001F3ADA" w:rsidRPr="00E24102" w:rsidTr="001F3ADA">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4531" w:type="dxa"/>
          </w:tcPr>
          <w:p w:rsidR="001F3ADA" w:rsidRPr="00E24102" w:rsidRDefault="001F3ADA" w:rsidP="000A1112">
            <w:pPr>
              <w:spacing w:line="360" w:lineRule="auto"/>
              <w:rPr>
                <w:rFonts w:ascii="Arial" w:hAnsi="Arial" w:cs="Arial"/>
                <w:color w:val="auto"/>
                <w:sz w:val="24"/>
                <w:szCs w:val="24"/>
              </w:rPr>
            </w:pPr>
            <w:r w:rsidRPr="00E24102">
              <w:rPr>
                <w:rFonts w:ascii="Arial" w:hAnsi="Arial" w:cs="Arial"/>
                <w:color w:val="auto"/>
                <w:sz w:val="24"/>
                <w:szCs w:val="24"/>
              </w:rPr>
              <w:t>1 [</w:t>
            </w:r>
            <w:r w:rsidRPr="00E24102">
              <w:rPr>
                <w:rFonts w:ascii="Arial" w:hAnsi="Arial" w:cs="Arial"/>
                <w:caps/>
                <w:color w:val="auto"/>
                <w:sz w:val="24"/>
                <w:szCs w:val="24"/>
              </w:rPr>
              <w:t>kWh</w:t>
            </w:r>
            <w:r>
              <w:rPr>
                <w:rFonts w:ascii="Arial" w:hAnsi="Arial" w:cs="Arial"/>
                <w:color w:val="auto"/>
                <w:sz w:val="24"/>
                <w:szCs w:val="24"/>
              </w:rPr>
              <w:t>]</w:t>
            </w:r>
          </w:p>
        </w:tc>
        <w:tc>
          <w:tcPr>
            <w:tcW w:w="4531" w:type="dxa"/>
          </w:tcPr>
          <w:p w:rsidR="001F3ADA" w:rsidRPr="00E24102" w:rsidRDefault="001F3ADA" w:rsidP="000A1112">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0,001 [MWh]</w:t>
            </w:r>
          </w:p>
        </w:tc>
      </w:tr>
      <w:tr w:rsidR="001F3ADA" w:rsidRPr="00E24102" w:rsidTr="001F3ADA">
        <w:trPr>
          <w:trHeight w:val="624"/>
        </w:trPr>
        <w:tc>
          <w:tcPr>
            <w:cnfStyle w:val="001000000000" w:firstRow="0" w:lastRow="0" w:firstColumn="1" w:lastColumn="0" w:oddVBand="0" w:evenVBand="0" w:oddHBand="0" w:evenHBand="0" w:firstRowFirstColumn="0" w:firstRowLastColumn="0" w:lastRowFirstColumn="0" w:lastRowLastColumn="0"/>
            <w:tcW w:w="4531" w:type="dxa"/>
          </w:tcPr>
          <w:p w:rsidR="001F3ADA" w:rsidRPr="006A6D6F" w:rsidRDefault="001F3ADA" w:rsidP="000A1112">
            <w:pPr>
              <w:spacing w:line="360" w:lineRule="auto"/>
              <w:rPr>
                <w:rFonts w:ascii="Arial" w:hAnsi="Arial" w:cs="Arial"/>
                <w:caps/>
                <w:color w:val="auto"/>
                <w:sz w:val="24"/>
                <w:szCs w:val="24"/>
              </w:rPr>
            </w:pPr>
            <w:r w:rsidRPr="00E24102">
              <w:rPr>
                <w:rFonts w:ascii="Arial" w:hAnsi="Arial" w:cs="Arial"/>
                <w:color w:val="auto"/>
                <w:sz w:val="24"/>
                <w:szCs w:val="24"/>
              </w:rPr>
              <w:t>1 [</w:t>
            </w:r>
            <w:r w:rsidRPr="00E24102">
              <w:rPr>
                <w:rFonts w:ascii="Arial" w:hAnsi="Arial" w:cs="Arial"/>
                <w:caps/>
                <w:color w:val="auto"/>
                <w:sz w:val="24"/>
                <w:szCs w:val="24"/>
              </w:rPr>
              <w:t>M</w:t>
            </w:r>
            <w:r w:rsidRPr="00E24102">
              <w:rPr>
                <w:rFonts w:ascii="Arial" w:hAnsi="Arial" w:cs="Arial"/>
                <w:color w:val="auto"/>
                <w:sz w:val="24"/>
                <w:szCs w:val="24"/>
              </w:rPr>
              <w:t>g</w:t>
            </w:r>
            <w:r w:rsidRPr="00E24102">
              <w:rPr>
                <w:rFonts w:ascii="Arial" w:hAnsi="Arial" w:cs="Arial"/>
                <w:caps/>
                <w:color w:val="auto"/>
                <w:sz w:val="24"/>
                <w:szCs w:val="24"/>
              </w:rPr>
              <w:t>]</w:t>
            </w:r>
          </w:p>
        </w:tc>
        <w:tc>
          <w:tcPr>
            <w:tcW w:w="4531" w:type="dxa"/>
          </w:tcPr>
          <w:p w:rsidR="001F3ADA" w:rsidRDefault="001F3ADA" w:rsidP="000A111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24102">
              <w:rPr>
                <w:rFonts w:ascii="Arial" w:hAnsi="Arial" w:cs="Arial"/>
                <w:sz w:val="24"/>
                <w:szCs w:val="24"/>
              </w:rPr>
              <w:t>1 [t]</w:t>
            </w:r>
          </w:p>
        </w:tc>
      </w:tr>
    </w:tbl>
    <w:p w:rsidR="001F3ADA" w:rsidRPr="00250AE1" w:rsidRDefault="001F3ADA" w:rsidP="001F3ADA">
      <w:pPr>
        <w:spacing w:line="360" w:lineRule="auto"/>
        <w:jc w:val="right"/>
        <w:rPr>
          <w:rFonts w:ascii="Arial" w:hAnsi="Arial" w:cs="Arial"/>
          <w:b/>
          <w:sz w:val="20"/>
          <w:szCs w:val="20"/>
        </w:rPr>
      </w:pPr>
      <w:r w:rsidRPr="00D90465">
        <w:rPr>
          <w:rFonts w:ascii="Arial" w:hAnsi="Arial" w:cs="Arial"/>
          <w:b/>
          <w:sz w:val="20"/>
          <w:szCs w:val="20"/>
        </w:rPr>
        <w:t>Źródło: Opracowanie własne na podstawie danych z Poradnika „</w:t>
      </w:r>
      <w:r>
        <w:rPr>
          <w:rFonts w:ascii="Arial" w:hAnsi="Arial" w:cs="Arial"/>
          <w:b/>
          <w:sz w:val="20"/>
          <w:szCs w:val="20"/>
          <w:lang w:eastAsia="pl-PL"/>
        </w:rPr>
        <w:t>Jak opracować plan działań na </w:t>
      </w:r>
      <w:r w:rsidRPr="00D90465">
        <w:rPr>
          <w:rFonts w:ascii="Arial" w:hAnsi="Arial" w:cs="Arial"/>
          <w:b/>
          <w:sz w:val="20"/>
          <w:szCs w:val="20"/>
          <w:lang w:eastAsia="pl-PL"/>
        </w:rPr>
        <w:t>rzecz zrównoważonej energii (SEAP)”</w:t>
      </w:r>
      <w:r w:rsidRPr="00D90465">
        <w:rPr>
          <w:rFonts w:ascii="Arial" w:hAnsi="Arial" w:cs="Arial"/>
          <w:b/>
          <w:sz w:val="20"/>
          <w:szCs w:val="20"/>
        </w:rPr>
        <w:t>.</w:t>
      </w:r>
    </w:p>
    <w:p w:rsidR="001F3ADA" w:rsidRDefault="001F3ADA" w:rsidP="001F3ADA">
      <w:pPr>
        <w:spacing w:line="360" w:lineRule="auto"/>
        <w:ind w:firstLine="709"/>
        <w:jc w:val="both"/>
        <w:rPr>
          <w:rFonts w:ascii="Arial" w:hAnsi="Arial" w:cs="Arial"/>
          <w:sz w:val="24"/>
          <w:szCs w:val="24"/>
        </w:rPr>
      </w:pPr>
    </w:p>
    <w:p w:rsidR="001F3ADA" w:rsidRPr="009754BE" w:rsidRDefault="001F3ADA" w:rsidP="001F3ADA">
      <w:pPr>
        <w:spacing w:line="360" w:lineRule="auto"/>
        <w:ind w:firstLine="709"/>
        <w:jc w:val="both"/>
        <w:rPr>
          <w:rFonts w:ascii="Arial" w:hAnsi="Arial" w:cs="Arial"/>
          <w:sz w:val="24"/>
          <w:szCs w:val="24"/>
        </w:rPr>
      </w:pPr>
      <w:r w:rsidRPr="009754BE">
        <w:rPr>
          <w:rFonts w:ascii="Arial" w:hAnsi="Arial" w:cs="Arial"/>
          <w:sz w:val="24"/>
          <w:szCs w:val="24"/>
        </w:rPr>
        <w:t>Na podstawie Bazy Inwentaryzacyjnej</w:t>
      </w:r>
      <w:r>
        <w:rPr>
          <w:rFonts w:ascii="Arial" w:hAnsi="Arial" w:cs="Arial"/>
          <w:sz w:val="24"/>
          <w:szCs w:val="24"/>
        </w:rPr>
        <w:t xml:space="preserve"> do</w:t>
      </w:r>
      <w:r w:rsidRPr="009754BE">
        <w:rPr>
          <w:rFonts w:ascii="Arial" w:hAnsi="Arial" w:cs="Arial"/>
          <w:sz w:val="24"/>
          <w:szCs w:val="24"/>
        </w:rPr>
        <w:t xml:space="preserve"> Planu Gospodarki Niskoemisyjnej dla Gminy </w:t>
      </w:r>
      <w:r>
        <w:rPr>
          <w:rFonts w:ascii="Arial" w:hAnsi="Arial" w:cs="Arial"/>
          <w:sz w:val="24"/>
          <w:szCs w:val="24"/>
        </w:rPr>
        <w:t>Garbatka-Letnisko na lata 2016-2020</w:t>
      </w:r>
      <w:r w:rsidRPr="009754BE">
        <w:rPr>
          <w:rFonts w:ascii="Arial" w:hAnsi="Arial" w:cs="Arial"/>
          <w:sz w:val="24"/>
          <w:szCs w:val="24"/>
        </w:rPr>
        <w:t>,</w:t>
      </w:r>
      <w:r>
        <w:rPr>
          <w:rFonts w:ascii="Arial" w:hAnsi="Arial" w:cs="Arial"/>
          <w:sz w:val="24"/>
          <w:szCs w:val="24"/>
        </w:rPr>
        <w:t xml:space="preserve"> łączne</w:t>
      </w:r>
      <w:r w:rsidRPr="009754BE">
        <w:rPr>
          <w:rFonts w:ascii="Arial" w:hAnsi="Arial" w:cs="Arial"/>
          <w:sz w:val="24"/>
          <w:szCs w:val="24"/>
        </w:rPr>
        <w:t xml:space="preserve"> </w:t>
      </w:r>
      <w:r>
        <w:rPr>
          <w:rFonts w:ascii="Arial" w:hAnsi="Arial" w:cs="Arial"/>
          <w:sz w:val="24"/>
          <w:szCs w:val="24"/>
        </w:rPr>
        <w:t>końcowe zużycie energii</w:t>
      </w:r>
      <w:r w:rsidRPr="009754BE">
        <w:rPr>
          <w:rFonts w:ascii="Arial" w:hAnsi="Arial" w:cs="Arial"/>
          <w:sz w:val="24"/>
          <w:szCs w:val="24"/>
        </w:rPr>
        <w:t xml:space="preserve"> na terenie </w:t>
      </w:r>
      <w:r>
        <w:rPr>
          <w:rFonts w:ascii="Arial" w:hAnsi="Arial" w:cs="Arial"/>
          <w:sz w:val="24"/>
          <w:szCs w:val="24"/>
        </w:rPr>
        <w:t xml:space="preserve">omawianej </w:t>
      </w:r>
      <w:r w:rsidRPr="009754BE">
        <w:rPr>
          <w:rFonts w:ascii="Arial" w:hAnsi="Arial" w:cs="Arial"/>
          <w:sz w:val="24"/>
          <w:szCs w:val="24"/>
        </w:rPr>
        <w:t xml:space="preserve">Gminy </w:t>
      </w:r>
      <w:r w:rsidRPr="00CA7B57">
        <w:rPr>
          <w:rFonts w:ascii="Arial" w:hAnsi="Arial" w:cs="Arial"/>
          <w:sz w:val="24"/>
          <w:szCs w:val="24"/>
        </w:rPr>
        <w:t>wyniosło 110.636,7</w:t>
      </w:r>
      <w:r>
        <w:rPr>
          <w:rFonts w:ascii="Arial" w:hAnsi="Arial" w:cs="Arial"/>
          <w:sz w:val="24"/>
          <w:szCs w:val="24"/>
        </w:rPr>
        <w:t xml:space="preserve"> MWh</w:t>
      </w:r>
      <w:r w:rsidRPr="009754BE">
        <w:rPr>
          <w:rFonts w:ascii="Arial" w:hAnsi="Arial" w:cs="Arial"/>
          <w:sz w:val="24"/>
          <w:szCs w:val="24"/>
        </w:rPr>
        <w:t>, w tym:</w:t>
      </w:r>
    </w:p>
    <w:p w:rsidR="001F3ADA" w:rsidRPr="0078089F" w:rsidRDefault="001F3ADA" w:rsidP="00C552FE">
      <w:pPr>
        <w:pStyle w:val="Akapitzlist"/>
        <w:numPr>
          <w:ilvl w:val="0"/>
          <w:numId w:val="6"/>
        </w:numPr>
        <w:spacing w:after="160" w:line="360" w:lineRule="auto"/>
        <w:jc w:val="both"/>
        <w:rPr>
          <w:rFonts w:ascii="Arial" w:hAnsi="Arial" w:cs="Arial"/>
        </w:rPr>
      </w:pPr>
      <w:r w:rsidRPr="0078089F">
        <w:rPr>
          <w:rFonts w:ascii="Arial" w:hAnsi="Arial" w:cs="Arial"/>
        </w:rPr>
        <w:t>budynki, wyposażenie/urządzenia komunalne – 2.741,4 MWh,</w:t>
      </w:r>
    </w:p>
    <w:p w:rsidR="001F3ADA" w:rsidRPr="0078089F" w:rsidRDefault="001F3ADA" w:rsidP="00C552FE">
      <w:pPr>
        <w:pStyle w:val="Akapitzlist"/>
        <w:numPr>
          <w:ilvl w:val="0"/>
          <w:numId w:val="6"/>
        </w:numPr>
        <w:spacing w:after="160" w:line="360" w:lineRule="auto"/>
        <w:jc w:val="both"/>
        <w:rPr>
          <w:rFonts w:ascii="Arial" w:hAnsi="Arial" w:cs="Arial"/>
        </w:rPr>
      </w:pPr>
      <w:r w:rsidRPr="0078089F">
        <w:rPr>
          <w:rFonts w:ascii="Arial" w:hAnsi="Arial" w:cs="Arial"/>
        </w:rPr>
        <w:t xml:space="preserve">budynki, wyposażenie/urządzenia usługowe (niekomunalne) </w:t>
      </w:r>
      <w:r>
        <w:rPr>
          <w:rFonts w:ascii="Arial" w:hAnsi="Arial" w:cs="Arial"/>
        </w:rPr>
        <w:br/>
      </w:r>
      <w:r w:rsidRPr="0078089F">
        <w:rPr>
          <w:rFonts w:ascii="Arial" w:hAnsi="Arial" w:cs="Arial"/>
        </w:rPr>
        <w:t>– 4.560,8 MWh,</w:t>
      </w:r>
    </w:p>
    <w:p w:rsidR="001F3ADA" w:rsidRPr="0078089F" w:rsidRDefault="001F3ADA" w:rsidP="00C552FE">
      <w:pPr>
        <w:pStyle w:val="Akapitzlist"/>
        <w:numPr>
          <w:ilvl w:val="0"/>
          <w:numId w:val="6"/>
        </w:numPr>
        <w:spacing w:after="160" w:line="360" w:lineRule="auto"/>
        <w:jc w:val="both"/>
        <w:rPr>
          <w:rFonts w:ascii="Arial" w:hAnsi="Arial" w:cs="Arial"/>
        </w:rPr>
      </w:pPr>
      <w:r w:rsidRPr="0078089F">
        <w:rPr>
          <w:rFonts w:ascii="Arial" w:hAnsi="Arial" w:cs="Arial"/>
        </w:rPr>
        <w:t>budynki mieszkalne – 28.056,3 MWh,</w:t>
      </w:r>
    </w:p>
    <w:p w:rsidR="001F3ADA" w:rsidRPr="0078089F" w:rsidRDefault="001F3ADA" w:rsidP="00C552FE">
      <w:pPr>
        <w:pStyle w:val="Akapitzlist"/>
        <w:numPr>
          <w:ilvl w:val="0"/>
          <w:numId w:val="6"/>
        </w:numPr>
        <w:spacing w:after="160" w:line="360" w:lineRule="auto"/>
        <w:jc w:val="both"/>
        <w:rPr>
          <w:rFonts w:ascii="Arial" w:hAnsi="Arial" w:cs="Arial"/>
        </w:rPr>
      </w:pPr>
      <w:r w:rsidRPr="0078089F">
        <w:rPr>
          <w:rFonts w:ascii="Arial" w:hAnsi="Arial" w:cs="Arial"/>
        </w:rPr>
        <w:t>komunalne oświetlenie publiczne – 358,5 MWh,</w:t>
      </w:r>
    </w:p>
    <w:p w:rsidR="001F3ADA" w:rsidRPr="0078089F" w:rsidRDefault="001F3ADA" w:rsidP="00C552FE">
      <w:pPr>
        <w:pStyle w:val="Akapitzlist"/>
        <w:numPr>
          <w:ilvl w:val="0"/>
          <w:numId w:val="6"/>
        </w:numPr>
        <w:spacing w:after="160" w:line="360" w:lineRule="auto"/>
        <w:jc w:val="both"/>
        <w:rPr>
          <w:rFonts w:ascii="Arial" w:hAnsi="Arial" w:cs="Arial"/>
        </w:rPr>
      </w:pPr>
      <w:r w:rsidRPr="0078089F">
        <w:rPr>
          <w:rFonts w:ascii="Arial" w:hAnsi="Arial" w:cs="Arial"/>
        </w:rPr>
        <w:t>przemysł (z wyjątkiem zakładów objętych systemem handlu uprawnieniami do emisji UE-ETS) – 8.516 MWh,</w:t>
      </w:r>
    </w:p>
    <w:p w:rsidR="001F3ADA" w:rsidRPr="00CA7B57" w:rsidRDefault="001F3ADA" w:rsidP="00C552FE">
      <w:pPr>
        <w:pStyle w:val="Akapitzlist"/>
        <w:numPr>
          <w:ilvl w:val="0"/>
          <w:numId w:val="6"/>
        </w:numPr>
        <w:spacing w:after="160" w:line="360" w:lineRule="auto"/>
        <w:jc w:val="both"/>
        <w:rPr>
          <w:rFonts w:ascii="Arial" w:hAnsi="Arial" w:cs="Arial"/>
        </w:rPr>
      </w:pPr>
      <w:r w:rsidRPr="00CA7B57">
        <w:rPr>
          <w:rFonts w:ascii="Arial" w:hAnsi="Arial" w:cs="Arial"/>
        </w:rPr>
        <w:t>tabor gminny – 53,5 MWh,</w:t>
      </w:r>
    </w:p>
    <w:p w:rsidR="001F3ADA" w:rsidRPr="0078089F" w:rsidRDefault="001F3ADA" w:rsidP="00C552FE">
      <w:pPr>
        <w:pStyle w:val="Akapitzlist"/>
        <w:numPr>
          <w:ilvl w:val="0"/>
          <w:numId w:val="6"/>
        </w:numPr>
        <w:spacing w:after="160" w:line="360" w:lineRule="auto"/>
        <w:jc w:val="both"/>
        <w:rPr>
          <w:rFonts w:ascii="Arial" w:hAnsi="Arial" w:cs="Arial"/>
        </w:rPr>
      </w:pPr>
      <w:r w:rsidRPr="0078089F">
        <w:rPr>
          <w:rFonts w:ascii="Arial" w:hAnsi="Arial" w:cs="Arial"/>
        </w:rPr>
        <w:t>transport publiczny – 395,1 MWh,</w:t>
      </w:r>
    </w:p>
    <w:p w:rsidR="001F3ADA" w:rsidRPr="001F3ADA" w:rsidRDefault="001F3ADA" w:rsidP="00C552FE">
      <w:pPr>
        <w:pStyle w:val="Akapitzlist"/>
        <w:numPr>
          <w:ilvl w:val="0"/>
          <w:numId w:val="6"/>
        </w:numPr>
        <w:spacing w:after="160" w:line="360" w:lineRule="auto"/>
        <w:jc w:val="both"/>
        <w:rPr>
          <w:rFonts w:ascii="Arial" w:hAnsi="Arial" w:cs="Arial"/>
        </w:rPr>
      </w:pPr>
      <w:r w:rsidRPr="0078089F">
        <w:rPr>
          <w:rFonts w:ascii="Arial" w:hAnsi="Arial" w:cs="Arial"/>
        </w:rPr>
        <w:t>transport prywatny i komercyjny – 65.955,1 MWh.</w:t>
      </w:r>
    </w:p>
    <w:p w:rsidR="001F3ADA" w:rsidRDefault="001F3ADA">
      <w:pPr>
        <w:rPr>
          <w:rFonts w:ascii="Times New Roman" w:eastAsia="Times New Roman" w:hAnsi="Times New Roman" w:cs="Times New Roman"/>
          <w:b/>
          <w:bCs/>
        </w:rPr>
      </w:pPr>
      <w:bookmarkStart w:id="3" w:name="_Toc448611416"/>
      <w:r>
        <w:br w:type="page"/>
      </w:r>
    </w:p>
    <w:p w:rsidR="001F3ADA" w:rsidRPr="000D652F" w:rsidRDefault="001F3ADA" w:rsidP="001F3ADA">
      <w:pPr>
        <w:pStyle w:val="Legenda"/>
        <w:rPr>
          <w:sz w:val="22"/>
          <w:szCs w:val="22"/>
        </w:rPr>
      </w:pPr>
      <w:r w:rsidRPr="00CA7B57">
        <w:rPr>
          <w:sz w:val="22"/>
          <w:szCs w:val="22"/>
        </w:rPr>
        <w:lastRenderedPageBreak/>
        <w:t xml:space="preserve">Rysunek </w:t>
      </w:r>
      <w:r w:rsidRPr="00CA7B57">
        <w:rPr>
          <w:sz w:val="22"/>
          <w:szCs w:val="22"/>
        </w:rPr>
        <w:fldChar w:fldCharType="begin"/>
      </w:r>
      <w:r w:rsidRPr="00CA7B57">
        <w:rPr>
          <w:sz w:val="22"/>
          <w:szCs w:val="22"/>
        </w:rPr>
        <w:instrText xml:space="preserve"> SEQ Rysunek \* ARABIC </w:instrText>
      </w:r>
      <w:r w:rsidRPr="00CA7B57">
        <w:rPr>
          <w:sz w:val="22"/>
          <w:szCs w:val="22"/>
        </w:rPr>
        <w:fldChar w:fldCharType="separate"/>
      </w:r>
      <w:r w:rsidR="009246DC">
        <w:rPr>
          <w:noProof/>
          <w:sz w:val="22"/>
          <w:szCs w:val="22"/>
        </w:rPr>
        <w:t>1</w:t>
      </w:r>
      <w:r w:rsidRPr="00CA7B57">
        <w:rPr>
          <w:noProof/>
          <w:sz w:val="22"/>
          <w:szCs w:val="22"/>
        </w:rPr>
        <w:fldChar w:fldCharType="end"/>
      </w:r>
      <w:r w:rsidRPr="00CA7B57">
        <w:rPr>
          <w:sz w:val="22"/>
          <w:szCs w:val="22"/>
        </w:rPr>
        <w:t xml:space="preserve"> Końcowe zużycie energii na terenie Gminy Garbatka-Letnisko z podziałem na sektory</w:t>
      </w:r>
      <w:bookmarkEnd w:id="3"/>
    </w:p>
    <w:p w:rsidR="001F3ADA" w:rsidRDefault="001F3ADA" w:rsidP="001F3ADA">
      <w:r w:rsidRPr="00167D4B">
        <w:rPr>
          <w:noProof/>
          <w:lang w:eastAsia="pl-PL"/>
        </w:rPr>
        <w:drawing>
          <wp:inline distT="0" distB="0" distL="0" distR="0" wp14:anchorId="6FA64988" wp14:editId="595FD66C">
            <wp:extent cx="5788025" cy="3943350"/>
            <wp:effectExtent l="0" t="0" r="3175" b="0"/>
            <wp:docPr id="60" name="Wykres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F3ADA" w:rsidRPr="00250AE1" w:rsidRDefault="001F3ADA" w:rsidP="001F3ADA">
      <w:pPr>
        <w:spacing w:line="360" w:lineRule="auto"/>
        <w:jc w:val="right"/>
        <w:rPr>
          <w:b/>
          <w:sz w:val="20"/>
          <w:szCs w:val="20"/>
        </w:rPr>
      </w:pPr>
      <w:r w:rsidRPr="00167D4B">
        <w:rPr>
          <w:b/>
          <w:sz w:val="20"/>
          <w:szCs w:val="20"/>
        </w:rPr>
        <w:t>Źródło: Opracowanie własne na podstawie</w:t>
      </w:r>
      <w:r>
        <w:rPr>
          <w:b/>
          <w:sz w:val="20"/>
          <w:szCs w:val="20"/>
        </w:rPr>
        <w:t xml:space="preserve"> przeprowadzonej inwentaryzacji</w:t>
      </w:r>
    </w:p>
    <w:p w:rsidR="001F3ADA" w:rsidRDefault="001F3ADA" w:rsidP="001F3ADA">
      <w:pPr>
        <w:spacing w:line="360" w:lineRule="auto"/>
        <w:ind w:firstLine="709"/>
        <w:jc w:val="both"/>
        <w:rPr>
          <w:rFonts w:ascii="Arial" w:hAnsi="Arial" w:cs="Arial"/>
          <w:sz w:val="24"/>
          <w:szCs w:val="24"/>
        </w:rPr>
      </w:pPr>
    </w:p>
    <w:p w:rsidR="001F3ADA" w:rsidRPr="009754BE" w:rsidRDefault="001F3ADA" w:rsidP="001F3ADA">
      <w:pPr>
        <w:spacing w:line="360" w:lineRule="auto"/>
        <w:ind w:firstLine="709"/>
        <w:jc w:val="both"/>
        <w:rPr>
          <w:rFonts w:ascii="Arial" w:hAnsi="Arial" w:cs="Arial"/>
          <w:sz w:val="24"/>
          <w:szCs w:val="24"/>
        </w:rPr>
      </w:pPr>
      <w:r w:rsidRPr="009754BE">
        <w:rPr>
          <w:rFonts w:ascii="Arial" w:hAnsi="Arial" w:cs="Arial"/>
          <w:sz w:val="24"/>
          <w:szCs w:val="24"/>
        </w:rPr>
        <w:t>Na podstawie Bazy Inwentaryzacyjnej</w:t>
      </w:r>
      <w:r>
        <w:rPr>
          <w:rFonts w:ascii="Arial" w:hAnsi="Arial" w:cs="Arial"/>
          <w:sz w:val="24"/>
          <w:szCs w:val="24"/>
        </w:rPr>
        <w:t xml:space="preserve"> </w:t>
      </w:r>
      <w:r w:rsidRPr="009754BE">
        <w:rPr>
          <w:rFonts w:ascii="Arial" w:hAnsi="Arial" w:cs="Arial"/>
          <w:sz w:val="24"/>
          <w:szCs w:val="24"/>
        </w:rPr>
        <w:t xml:space="preserve">dla Gminy </w:t>
      </w:r>
      <w:r>
        <w:rPr>
          <w:rFonts w:ascii="Arial" w:hAnsi="Arial" w:cs="Arial"/>
          <w:sz w:val="24"/>
          <w:szCs w:val="24"/>
        </w:rPr>
        <w:t>Garbatka-Letnisko</w:t>
      </w:r>
      <w:r w:rsidRPr="009754BE">
        <w:rPr>
          <w:rFonts w:ascii="Arial" w:hAnsi="Arial" w:cs="Arial"/>
          <w:sz w:val="24"/>
          <w:szCs w:val="24"/>
        </w:rPr>
        <w:t xml:space="preserve">, łączna emisja dwutlenku węgla wyniosła </w:t>
      </w:r>
      <w:r>
        <w:rPr>
          <w:rFonts w:ascii="Arial" w:hAnsi="Arial" w:cs="Arial"/>
          <w:sz w:val="24"/>
          <w:szCs w:val="24"/>
        </w:rPr>
        <w:t>35.528,4</w:t>
      </w:r>
      <w:r w:rsidRPr="009754BE">
        <w:rPr>
          <w:rFonts w:ascii="Arial" w:hAnsi="Arial" w:cs="Arial"/>
          <w:sz w:val="24"/>
          <w:szCs w:val="24"/>
        </w:rPr>
        <w:t xml:space="preserve"> Mg, w tym:</w:t>
      </w:r>
    </w:p>
    <w:p w:rsidR="001F3ADA" w:rsidRPr="00A472A4" w:rsidRDefault="001F3ADA" w:rsidP="00C552FE">
      <w:pPr>
        <w:pStyle w:val="Akapitzlist"/>
        <w:numPr>
          <w:ilvl w:val="0"/>
          <w:numId w:val="7"/>
        </w:numPr>
        <w:spacing w:after="160" w:line="360" w:lineRule="auto"/>
        <w:jc w:val="both"/>
        <w:rPr>
          <w:rFonts w:ascii="Arial" w:hAnsi="Arial" w:cs="Arial"/>
        </w:rPr>
      </w:pPr>
      <w:r w:rsidRPr="00A472A4">
        <w:rPr>
          <w:rFonts w:ascii="Arial" w:hAnsi="Arial" w:cs="Arial"/>
        </w:rPr>
        <w:t>budynki, wyposażenie/urządzenia komunalne – 1.225,4 Mg,</w:t>
      </w:r>
    </w:p>
    <w:p w:rsidR="001F3ADA" w:rsidRPr="00A472A4" w:rsidRDefault="001F3ADA" w:rsidP="00C552FE">
      <w:pPr>
        <w:pStyle w:val="Akapitzlist"/>
        <w:numPr>
          <w:ilvl w:val="0"/>
          <w:numId w:val="7"/>
        </w:numPr>
        <w:spacing w:after="160" w:line="360" w:lineRule="auto"/>
        <w:jc w:val="both"/>
        <w:rPr>
          <w:rFonts w:ascii="Arial" w:hAnsi="Arial" w:cs="Arial"/>
        </w:rPr>
      </w:pPr>
      <w:r w:rsidRPr="00A472A4">
        <w:rPr>
          <w:rFonts w:ascii="Arial" w:hAnsi="Arial" w:cs="Arial"/>
        </w:rPr>
        <w:t xml:space="preserve">budynki, wyposażenie/urządzenia usługowe (niekomunalne) </w:t>
      </w:r>
      <w:r>
        <w:rPr>
          <w:rFonts w:ascii="Arial" w:hAnsi="Arial" w:cs="Arial"/>
        </w:rPr>
        <w:br/>
      </w:r>
      <w:r w:rsidRPr="00A472A4">
        <w:rPr>
          <w:rFonts w:ascii="Arial" w:hAnsi="Arial" w:cs="Arial"/>
        </w:rPr>
        <w:t>– 2.650,1 Mg,</w:t>
      </w:r>
    </w:p>
    <w:p w:rsidR="001F3ADA" w:rsidRPr="00A472A4" w:rsidRDefault="001F3ADA" w:rsidP="00C552FE">
      <w:pPr>
        <w:pStyle w:val="Akapitzlist"/>
        <w:numPr>
          <w:ilvl w:val="0"/>
          <w:numId w:val="7"/>
        </w:numPr>
        <w:spacing w:after="160" w:line="360" w:lineRule="auto"/>
        <w:jc w:val="both"/>
        <w:rPr>
          <w:rFonts w:ascii="Arial" w:hAnsi="Arial" w:cs="Arial"/>
        </w:rPr>
      </w:pPr>
      <w:r w:rsidRPr="00A472A4">
        <w:rPr>
          <w:rFonts w:ascii="Arial" w:hAnsi="Arial" w:cs="Arial"/>
        </w:rPr>
        <w:t>budynki mieszkalne – 9.430,8 Mg,</w:t>
      </w:r>
    </w:p>
    <w:p w:rsidR="001F3ADA" w:rsidRPr="00A472A4" w:rsidRDefault="001F3ADA" w:rsidP="00C552FE">
      <w:pPr>
        <w:pStyle w:val="Akapitzlist"/>
        <w:numPr>
          <w:ilvl w:val="0"/>
          <w:numId w:val="7"/>
        </w:numPr>
        <w:spacing w:after="160" w:line="360" w:lineRule="auto"/>
        <w:jc w:val="both"/>
        <w:rPr>
          <w:rFonts w:ascii="Arial" w:hAnsi="Arial" w:cs="Arial"/>
        </w:rPr>
      </w:pPr>
      <w:r w:rsidRPr="00A472A4">
        <w:rPr>
          <w:rFonts w:ascii="Arial" w:hAnsi="Arial" w:cs="Arial"/>
        </w:rPr>
        <w:t>komunalne oświetlenie publiczne – 427 Mg,</w:t>
      </w:r>
    </w:p>
    <w:p w:rsidR="001F3ADA" w:rsidRPr="00A472A4" w:rsidRDefault="001F3ADA" w:rsidP="00C552FE">
      <w:pPr>
        <w:pStyle w:val="Akapitzlist"/>
        <w:numPr>
          <w:ilvl w:val="0"/>
          <w:numId w:val="7"/>
        </w:numPr>
        <w:spacing w:after="160" w:line="360" w:lineRule="auto"/>
        <w:jc w:val="both"/>
        <w:rPr>
          <w:rFonts w:ascii="Arial" w:hAnsi="Arial" w:cs="Arial"/>
        </w:rPr>
      </w:pPr>
      <w:r w:rsidRPr="00A472A4">
        <w:rPr>
          <w:rFonts w:ascii="Arial" w:hAnsi="Arial" w:cs="Arial"/>
        </w:rPr>
        <w:t>przemysł (z wyjątkiem zakładów objętych systemem handlu uprawnieniami do emisji UE-ETS) – 4.897,5 Mg,</w:t>
      </w:r>
    </w:p>
    <w:p w:rsidR="001F3ADA" w:rsidRPr="00CA7B57" w:rsidRDefault="001F3ADA" w:rsidP="00C552FE">
      <w:pPr>
        <w:pStyle w:val="Akapitzlist"/>
        <w:numPr>
          <w:ilvl w:val="0"/>
          <w:numId w:val="7"/>
        </w:numPr>
        <w:spacing w:after="160" w:line="360" w:lineRule="auto"/>
        <w:jc w:val="both"/>
        <w:rPr>
          <w:rFonts w:ascii="Arial" w:hAnsi="Arial" w:cs="Arial"/>
        </w:rPr>
      </w:pPr>
      <w:r w:rsidRPr="00CA7B57">
        <w:rPr>
          <w:rFonts w:ascii="Arial" w:hAnsi="Arial" w:cs="Arial"/>
        </w:rPr>
        <w:t>tabor gminny – 14,1 Mg,</w:t>
      </w:r>
    </w:p>
    <w:p w:rsidR="001F3ADA" w:rsidRPr="00A472A4" w:rsidRDefault="001F3ADA" w:rsidP="00C552FE">
      <w:pPr>
        <w:pStyle w:val="Akapitzlist"/>
        <w:numPr>
          <w:ilvl w:val="0"/>
          <w:numId w:val="7"/>
        </w:numPr>
        <w:spacing w:after="160" w:line="360" w:lineRule="auto"/>
        <w:jc w:val="both"/>
        <w:rPr>
          <w:rFonts w:ascii="Arial" w:hAnsi="Arial" w:cs="Arial"/>
        </w:rPr>
      </w:pPr>
      <w:r w:rsidRPr="00A472A4">
        <w:rPr>
          <w:rFonts w:ascii="Arial" w:hAnsi="Arial" w:cs="Arial"/>
        </w:rPr>
        <w:t>transport publiczny – 105,5 Mg,</w:t>
      </w:r>
    </w:p>
    <w:p w:rsidR="001F3ADA" w:rsidRDefault="001F3ADA" w:rsidP="00C552FE">
      <w:pPr>
        <w:pStyle w:val="Akapitzlist"/>
        <w:numPr>
          <w:ilvl w:val="0"/>
          <w:numId w:val="8"/>
        </w:numPr>
        <w:spacing w:after="160" w:line="360" w:lineRule="auto"/>
        <w:jc w:val="both"/>
        <w:rPr>
          <w:rFonts w:ascii="Arial" w:hAnsi="Arial" w:cs="Arial"/>
        </w:rPr>
      </w:pPr>
      <w:r w:rsidRPr="00A472A4">
        <w:rPr>
          <w:rFonts w:ascii="Arial" w:hAnsi="Arial" w:cs="Arial"/>
        </w:rPr>
        <w:t>transport prywatny i komercyjny – 16.778 Mg</w:t>
      </w:r>
      <w:r>
        <w:rPr>
          <w:rFonts w:ascii="Arial" w:hAnsi="Arial" w:cs="Arial"/>
        </w:rPr>
        <w:t>.</w:t>
      </w:r>
    </w:p>
    <w:p w:rsidR="001F3ADA" w:rsidRPr="007F03DF" w:rsidRDefault="001F3ADA" w:rsidP="001F3ADA">
      <w:pPr>
        <w:rPr>
          <w:rFonts w:ascii="Arial" w:hAnsi="Arial" w:cs="Arial"/>
          <w:sz w:val="24"/>
          <w:szCs w:val="24"/>
        </w:rPr>
      </w:pPr>
      <w:r>
        <w:rPr>
          <w:rFonts w:ascii="Arial" w:hAnsi="Arial" w:cs="Arial"/>
          <w:sz w:val="24"/>
          <w:szCs w:val="24"/>
        </w:rPr>
        <w:br w:type="page"/>
      </w:r>
    </w:p>
    <w:p w:rsidR="001F3ADA" w:rsidRPr="000D652F" w:rsidRDefault="001F3ADA" w:rsidP="001F3ADA">
      <w:pPr>
        <w:pStyle w:val="Legenda"/>
        <w:rPr>
          <w:rFonts w:ascii="Arial" w:hAnsi="Arial" w:cs="Arial"/>
          <w:sz w:val="22"/>
          <w:szCs w:val="22"/>
        </w:rPr>
      </w:pPr>
      <w:bookmarkStart w:id="4" w:name="_Toc448611417"/>
      <w:r w:rsidRPr="00CA7B57">
        <w:rPr>
          <w:sz w:val="22"/>
          <w:szCs w:val="22"/>
        </w:rPr>
        <w:lastRenderedPageBreak/>
        <w:t xml:space="preserve">Rysunek </w:t>
      </w:r>
      <w:r w:rsidRPr="00CA7B57">
        <w:rPr>
          <w:sz w:val="22"/>
          <w:szCs w:val="22"/>
        </w:rPr>
        <w:fldChar w:fldCharType="begin"/>
      </w:r>
      <w:r w:rsidRPr="00CA7B57">
        <w:rPr>
          <w:sz w:val="22"/>
          <w:szCs w:val="22"/>
        </w:rPr>
        <w:instrText xml:space="preserve"> SEQ Rysunek \* ARABIC </w:instrText>
      </w:r>
      <w:r w:rsidRPr="00CA7B57">
        <w:rPr>
          <w:sz w:val="22"/>
          <w:szCs w:val="22"/>
        </w:rPr>
        <w:fldChar w:fldCharType="separate"/>
      </w:r>
      <w:r w:rsidR="009246DC">
        <w:rPr>
          <w:noProof/>
          <w:sz w:val="22"/>
          <w:szCs w:val="22"/>
        </w:rPr>
        <w:t>2</w:t>
      </w:r>
      <w:r w:rsidRPr="00CA7B57">
        <w:rPr>
          <w:noProof/>
          <w:sz w:val="22"/>
          <w:szCs w:val="22"/>
        </w:rPr>
        <w:fldChar w:fldCharType="end"/>
      </w:r>
      <w:r w:rsidRPr="00CA7B57">
        <w:rPr>
          <w:sz w:val="22"/>
          <w:szCs w:val="22"/>
        </w:rPr>
        <w:t xml:space="preserve"> Emisja CO</w:t>
      </w:r>
      <w:r w:rsidRPr="00CA7B57">
        <w:rPr>
          <w:sz w:val="22"/>
          <w:szCs w:val="22"/>
          <w:vertAlign w:val="subscript"/>
        </w:rPr>
        <w:t>2</w:t>
      </w:r>
      <w:r w:rsidRPr="00CA7B57">
        <w:rPr>
          <w:sz w:val="22"/>
          <w:szCs w:val="22"/>
        </w:rPr>
        <w:t xml:space="preserve"> z podziałem na sektory w Gminie Garbatka-Letnisko</w:t>
      </w:r>
      <w:bookmarkEnd w:id="4"/>
    </w:p>
    <w:p w:rsidR="001F3ADA" w:rsidRPr="00167D4B" w:rsidRDefault="001F3ADA" w:rsidP="001F3ADA">
      <w:pPr>
        <w:spacing w:line="360" w:lineRule="auto"/>
      </w:pPr>
      <w:r w:rsidRPr="00167D4B">
        <w:rPr>
          <w:noProof/>
          <w:lang w:eastAsia="pl-PL"/>
        </w:rPr>
        <w:drawing>
          <wp:inline distT="0" distB="0" distL="0" distR="0" wp14:anchorId="4CB1DC5A" wp14:editId="5E5F50D8">
            <wp:extent cx="5760720" cy="4318000"/>
            <wp:effectExtent l="0" t="0" r="11430" b="6350"/>
            <wp:docPr id="75" name="Wykres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F3ADA" w:rsidRPr="003722D9" w:rsidRDefault="001F3ADA" w:rsidP="001F3ADA">
      <w:pPr>
        <w:spacing w:line="360" w:lineRule="auto"/>
        <w:jc w:val="right"/>
        <w:rPr>
          <w:b/>
          <w:sz w:val="20"/>
          <w:szCs w:val="20"/>
        </w:rPr>
      </w:pPr>
      <w:r w:rsidRPr="00167D4B">
        <w:rPr>
          <w:b/>
          <w:sz w:val="20"/>
          <w:szCs w:val="20"/>
        </w:rPr>
        <w:t>Źródło: Opracowanie własne na podstawie przeprowadzonej inwentaryzacji</w:t>
      </w:r>
    </w:p>
    <w:p w:rsidR="001F3ADA" w:rsidRDefault="001F3ADA" w:rsidP="001F3ADA">
      <w:pPr>
        <w:spacing w:line="360" w:lineRule="auto"/>
        <w:ind w:firstLine="709"/>
        <w:jc w:val="both"/>
        <w:rPr>
          <w:rFonts w:ascii="Arial" w:hAnsi="Arial" w:cs="Arial"/>
          <w:sz w:val="24"/>
          <w:szCs w:val="24"/>
        </w:rPr>
      </w:pPr>
      <w:r>
        <w:rPr>
          <w:rFonts w:ascii="Arial" w:hAnsi="Arial" w:cs="Arial"/>
          <w:sz w:val="24"/>
          <w:szCs w:val="24"/>
        </w:rPr>
        <w:t>Baza Inwentaryzacyjna, także uwzględnia dane dotyczące udziału odnawialnych źródeł energii w całościowym zużyciu energii, która dla Gminy Garbatka-Letnisko wynosi 11.378,1 MWh, w tym:</w:t>
      </w:r>
    </w:p>
    <w:p w:rsidR="001F3ADA" w:rsidRPr="00193185" w:rsidRDefault="001F3ADA" w:rsidP="00C552FE">
      <w:pPr>
        <w:pStyle w:val="Akapitzlist"/>
        <w:numPr>
          <w:ilvl w:val="0"/>
          <w:numId w:val="9"/>
        </w:numPr>
        <w:spacing w:after="160" w:line="360" w:lineRule="auto"/>
        <w:jc w:val="both"/>
        <w:rPr>
          <w:rFonts w:ascii="Arial" w:hAnsi="Arial" w:cs="Arial"/>
        </w:rPr>
      </w:pPr>
      <w:r w:rsidRPr="00193185">
        <w:rPr>
          <w:rFonts w:ascii="Arial" w:hAnsi="Arial" w:cs="Arial"/>
        </w:rPr>
        <w:t>budynki, wyposażenie/urządzenia komunalne – 0 MWh,</w:t>
      </w:r>
    </w:p>
    <w:p w:rsidR="001F3ADA" w:rsidRPr="00193185" w:rsidRDefault="001F3ADA" w:rsidP="00C552FE">
      <w:pPr>
        <w:pStyle w:val="Akapitzlist"/>
        <w:numPr>
          <w:ilvl w:val="0"/>
          <w:numId w:val="9"/>
        </w:numPr>
        <w:spacing w:after="160" w:line="360" w:lineRule="auto"/>
        <w:jc w:val="both"/>
        <w:rPr>
          <w:rFonts w:ascii="Arial" w:hAnsi="Arial" w:cs="Arial"/>
        </w:rPr>
      </w:pPr>
      <w:r w:rsidRPr="00193185">
        <w:rPr>
          <w:rFonts w:ascii="Arial" w:hAnsi="Arial" w:cs="Arial"/>
        </w:rPr>
        <w:t xml:space="preserve">budynki, wyposażenie/urządzenia usługowe (niekomunalne) </w:t>
      </w:r>
      <w:r>
        <w:rPr>
          <w:rFonts w:ascii="Arial" w:hAnsi="Arial" w:cs="Arial"/>
        </w:rPr>
        <w:br/>
      </w:r>
      <w:r w:rsidRPr="00193185">
        <w:rPr>
          <w:rFonts w:ascii="Arial" w:hAnsi="Arial" w:cs="Arial"/>
        </w:rPr>
        <w:t>– 928,5 MWh,</w:t>
      </w:r>
    </w:p>
    <w:p w:rsidR="001F3ADA" w:rsidRPr="00193185" w:rsidRDefault="001F3ADA" w:rsidP="00C552FE">
      <w:pPr>
        <w:pStyle w:val="Akapitzlist"/>
        <w:numPr>
          <w:ilvl w:val="0"/>
          <w:numId w:val="9"/>
        </w:numPr>
        <w:spacing w:after="160" w:line="360" w:lineRule="auto"/>
        <w:jc w:val="both"/>
        <w:rPr>
          <w:rFonts w:ascii="Arial" w:hAnsi="Arial" w:cs="Arial"/>
        </w:rPr>
      </w:pPr>
      <w:r w:rsidRPr="00193185">
        <w:rPr>
          <w:rFonts w:ascii="Arial" w:hAnsi="Arial" w:cs="Arial"/>
        </w:rPr>
        <w:t>budynki mieszkalne – 8.005,1 MWh,</w:t>
      </w:r>
    </w:p>
    <w:p w:rsidR="001F3ADA" w:rsidRPr="00193185" w:rsidRDefault="001F3ADA" w:rsidP="00C552FE">
      <w:pPr>
        <w:pStyle w:val="Akapitzlist"/>
        <w:numPr>
          <w:ilvl w:val="0"/>
          <w:numId w:val="9"/>
        </w:numPr>
        <w:spacing w:after="160" w:line="360" w:lineRule="auto"/>
        <w:jc w:val="both"/>
        <w:rPr>
          <w:rFonts w:ascii="Arial" w:hAnsi="Arial" w:cs="Arial"/>
        </w:rPr>
      </w:pPr>
      <w:r w:rsidRPr="00193185">
        <w:rPr>
          <w:rFonts w:ascii="Arial" w:hAnsi="Arial" w:cs="Arial"/>
        </w:rPr>
        <w:t>komunalne oświetlenie publiczne – 0 MWh,</w:t>
      </w:r>
    </w:p>
    <w:p w:rsidR="001F3ADA" w:rsidRPr="00193185" w:rsidRDefault="001F3ADA" w:rsidP="00C552FE">
      <w:pPr>
        <w:pStyle w:val="Akapitzlist"/>
        <w:numPr>
          <w:ilvl w:val="0"/>
          <w:numId w:val="9"/>
        </w:numPr>
        <w:spacing w:after="160" w:line="360" w:lineRule="auto"/>
        <w:jc w:val="both"/>
        <w:rPr>
          <w:rFonts w:ascii="Arial" w:hAnsi="Arial" w:cs="Arial"/>
        </w:rPr>
      </w:pPr>
      <w:r w:rsidRPr="00193185">
        <w:rPr>
          <w:rFonts w:ascii="Arial" w:hAnsi="Arial" w:cs="Arial"/>
        </w:rPr>
        <w:t>przemysł (z wyjątkiem zakładów objętych systemem handlu uprawnieniami do emisji UE-ETS) – 2.444,5 MWh,</w:t>
      </w:r>
    </w:p>
    <w:p w:rsidR="001F3ADA" w:rsidRPr="00193185" w:rsidRDefault="001F3ADA" w:rsidP="00C552FE">
      <w:pPr>
        <w:pStyle w:val="Akapitzlist"/>
        <w:numPr>
          <w:ilvl w:val="0"/>
          <w:numId w:val="9"/>
        </w:numPr>
        <w:spacing w:after="160" w:line="360" w:lineRule="auto"/>
        <w:jc w:val="both"/>
        <w:rPr>
          <w:rFonts w:ascii="Arial" w:hAnsi="Arial" w:cs="Arial"/>
        </w:rPr>
      </w:pPr>
      <w:r w:rsidRPr="00193185">
        <w:rPr>
          <w:rFonts w:ascii="Arial" w:hAnsi="Arial" w:cs="Arial"/>
        </w:rPr>
        <w:t>tabor gminny – 0 MWh,</w:t>
      </w:r>
    </w:p>
    <w:p w:rsidR="001F3ADA" w:rsidRPr="00193185" w:rsidRDefault="001F3ADA" w:rsidP="00C552FE">
      <w:pPr>
        <w:pStyle w:val="Akapitzlist"/>
        <w:numPr>
          <w:ilvl w:val="0"/>
          <w:numId w:val="10"/>
        </w:numPr>
        <w:spacing w:after="160" w:line="360" w:lineRule="auto"/>
        <w:jc w:val="both"/>
        <w:rPr>
          <w:rFonts w:ascii="Arial" w:hAnsi="Arial" w:cs="Arial"/>
        </w:rPr>
      </w:pPr>
      <w:r w:rsidRPr="00193185">
        <w:rPr>
          <w:rFonts w:ascii="Arial" w:hAnsi="Arial" w:cs="Arial"/>
        </w:rPr>
        <w:t>transport publiczny – 0 MWh,</w:t>
      </w:r>
    </w:p>
    <w:p w:rsidR="001F3ADA" w:rsidRPr="001F3ADA" w:rsidRDefault="001F3ADA" w:rsidP="00C552FE">
      <w:pPr>
        <w:pStyle w:val="Akapitzlist"/>
        <w:numPr>
          <w:ilvl w:val="0"/>
          <w:numId w:val="10"/>
        </w:numPr>
        <w:spacing w:after="160" w:line="360" w:lineRule="auto"/>
        <w:jc w:val="both"/>
        <w:rPr>
          <w:rFonts w:ascii="Arial" w:hAnsi="Arial" w:cs="Arial"/>
        </w:rPr>
      </w:pPr>
      <w:r w:rsidRPr="00193185">
        <w:rPr>
          <w:rFonts w:ascii="Arial" w:hAnsi="Arial" w:cs="Arial"/>
        </w:rPr>
        <w:t>transport prywatny i komercyjny – 0 MWh.</w:t>
      </w:r>
      <w:r w:rsidRPr="001F3ADA">
        <w:rPr>
          <w:rFonts w:ascii="Arial" w:hAnsi="Arial" w:cs="Arial"/>
        </w:rPr>
        <w:br w:type="page"/>
      </w:r>
    </w:p>
    <w:p w:rsidR="001F3ADA" w:rsidRPr="000D652F" w:rsidRDefault="001F3ADA" w:rsidP="001F3ADA">
      <w:pPr>
        <w:pStyle w:val="Legenda"/>
        <w:rPr>
          <w:b w:val="0"/>
          <w:sz w:val="22"/>
          <w:szCs w:val="22"/>
        </w:rPr>
      </w:pPr>
      <w:bookmarkStart w:id="5" w:name="_Toc448611418"/>
      <w:r w:rsidRPr="00F32AA5">
        <w:rPr>
          <w:sz w:val="22"/>
          <w:szCs w:val="22"/>
        </w:rPr>
        <w:lastRenderedPageBreak/>
        <w:t xml:space="preserve">Rysunek </w:t>
      </w:r>
      <w:r w:rsidRPr="00F32AA5">
        <w:rPr>
          <w:sz w:val="22"/>
          <w:szCs w:val="22"/>
        </w:rPr>
        <w:fldChar w:fldCharType="begin"/>
      </w:r>
      <w:r w:rsidRPr="00F32AA5">
        <w:rPr>
          <w:sz w:val="22"/>
          <w:szCs w:val="22"/>
        </w:rPr>
        <w:instrText xml:space="preserve"> SEQ Rysunek \* ARABIC </w:instrText>
      </w:r>
      <w:r w:rsidRPr="00F32AA5">
        <w:rPr>
          <w:sz w:val="22"/>
          <w:szCs w:val="22"/>
        </w:rPr>
        <w:fldChar w:fldCharType="separate"/>
      </w:r>
      <w:r w:rsidR="009246DC">
        <w:rPr>
          <w:noProof/>
          <w:sz w:val="22"/>
          <w:szCs w:val="22"/>
        </w:rPr>
        <w:t>3</w:t>
      </w:r>
      <w:r w:rsidRPr="00F32AA5">
        <w:rPr>
          <w:noProof/>
          <w:sz w:val="22"/>
          <w:szCs w:val="22"/>
        </w:rPr>
        <w:fldChar w:fldCharType="end"/>
      </w:r>
      <w:r w:rsidRPr="00F32AA5">
        <w:rPr>
          <w:sz w:val="22"/>
          <w:szCs w:val="22"/>
        </w:rPr>
        <w:t xml:space="preserve"> Udział energii OZE w końcowym zużyciu energii na terenie Gminy Garbatka-Letnisko</w:t>
      </w:r>
      <w:bookmarkEnd w:id="5"/>
    </w:p>
    <w:p w:rsidR="001F3ADA" w:rsidRDefault="001F3ADA" w:rsidP="001F3ADA">
      <w:r w:rsidRPr="00325F8D">
        <w:rPr>
          <w:rFonts w:ascii="Arial" w:hAnsi="Arial" w:cs="Arial"/>
          <w:noProof/>
          <w:sz w:val="24"/>
          <w:szCs w:val="24"/>
          <w:lang w:eastAsia="pl-PL"/>
        </w:rPr>
        <w:drawing>
          <wp:inline distT="0" distB="0" distL="0" distR="0" wp14:anchorId="09AD5ABE" wp14:editId="5A7EF08E">
            <wp:extent cx="5760720" cy="2982595"/>
            <wp:effectExtent l="0" t="0" r="11430" b="8255"/>
            <wp:docPr id="85" name="Wykres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F3ADA" w:rsidRPr="00AB05FD" w:rsidRDefault="001F3ADA" w:rsidP="001F3ADA">
      <w:pPr>
        <w:spacing w:after="0" w:line="360" w:lineRule="auto"/>
        <w:ind w:firstLine="709"/>
        <w:jc w:val="right"/>
        <w:rPr>
          <w:rFonts w:ascii="Arial" w:hAnsi="Arial" w:cs="Arial"/>
          <w:sz w:val="24"/>
          <w:szCs w:val="24"/>
        </w:rPr>
      </w:pPr>
      <w:r w:rsidRPr="00325F8D">
        <w:rPr>
          <w:rFonts w:ascii="Arial" w:hAnsi="Arial" w:cs="Arial"/>
          <w:b/>
          <w:sz w:val="20"/>
          <w:szCs w:val="20"/>
        </w:rPr>
        <w:t>Źródło: Opracowanie własne na podstawie przeprowadzonej inwentaryzacji</w:t>
      </w:r>
    </w:p>
    <w:p w:rsidR="001F3ADA" w:rsidRDefault="001F3ADA" w:rsidP="001F3ADA">
      <w:pPr>
        <w:spacing w:line="360" w:lineRule="auto"/>
        <w:jc w:val="center"/>
        <w:rPr>
          <w:rFonts w:ascii="Arial" w:hAnsi="Arial" w:cs="Arial"/>
          <w:i/>
          <w:sz w:val="24"/>
          <w:szCs w:val="24"/>
          <w:lang w:eastAsia="pl-PL"/>
        </w:rPr>
      </w:pPr>
      <w:bookmarkStart w:id="6" w:name="_Toc448611503"/>
    </w:p>
    <w:p w:rsidR="001F3ADA" w:rsidRPr="001F3ADA" w:rsidRDefault="001F3ADA" w:rsidP="001F3ADA">
      <w:pPr>
        <w:spacing w:line="360" w:lineRule="auto"/>
        <w:jc w:val="center"/>
        <w:rPr>
          <w:rFonts w:ascii="Arial" w:hAnsi="Arial" w:cs="Arial"/>
          <w:i/>
          <w:sz w:val="24"/>
          <w:szCs w:val="24"/>
          <w:u w:val="single"/>
          <w:lang w:eastAsia="pl-PL"/>
        </w:rPr>
      </w:pPr>
      <w:r w:rsidRPr="001F3ADA">
        <w:rPr>
          <w:rFonts w:ascii="Arial" w:hAnsi="Arial" w:cs="Arial"/>
          <w:i/>
          <w:sz w:val="24"/>
          <w:szCs w:val="24"/>
          <w:u w:val="single"/>
          <w:lang w:eastAsia="pl-PL"/>
        </w:rPr>
        <w:t>Budynki, wyposażenie/urządzenia komunalne</w:t>
      </w:r>
      <w:bookmarkEnd w:id="6"/>
    </w:p>
    <w:p w:rsidR="001F3ADA" w:rsidRDefault="001F3ADA" w:rsidP="001F3ADA">
      <w:pPr>
        <w:spacing w:after="0" w:line="360" w:lineRule="auto"/>
        <w:jc w:val="both"/>
        <w:rPr>
          <w:rFonts w:ascii="Arial" w:hAnsi="Arial" w:cs="Arial"/>
          <w:sz w:val="24"/>
          <w:szCs w:val="24"/>
        </w:rPr>
      </w:pPr>
    </w:p>
    <w:p w:rsidR="001F3ADA" w:rsidRPr="00CA167A" w:rsidRDefault="001F3ADA" w:rsidP="001F3ADA">
      <w:pPr>
        <w:spacing w:after="0" w:line="360" w:lineRule="auto"/>
        <w:ind w:firstLine="709"/>
        <w:jc w:val="both"/>
        <w:rPr>
          <w:rFonts w:ascii="Arial" w:hAnsi="Arial" w:cs="Arial"/>
          <w:sz w:val="24"/>
          <w:szCs w:val="24"/>
        </w:rPr>
      </w:pPr>
      <w:r w:rsidRPr="003A5579">
        <w:rPr>
          <w:rFonts w:ascii="Arial" w:hAnsi="Arial" w:cs="Arial"/>
          <w:sz w:val="24"/>
          <w:szCs w:val="24"/>
        </w:rPr>
        <w:t>Wyniki w sektorze budynki, wyposażenie/urządzenia komunalne zostały wyliczone na podstawie danych i informacji otrzymanych z Urzędu Gminy Garbatka-Letnisko.</w:t>
      </w:r>
    </w:p>
    <w:p w:rsidR="001F3ADA" w:rsidRPr="003A5579" w:rsidRDefault="001F3ADA" w:rsidP="001F3ADA">
      <w:pPr>
        <w:spacing w:line="360" w:lineRule="auto"/>
        <w:ind w:firstLine="709"/>
        <w:jc w:val="both"/>
        <w:rPr>
          <w:rFonts w:ascii="Arial" w:hAnsi="Arial" w:cs="Arial"/>
          <w:sz w:val="24"/>
          <w:szCs w:val="24"/>
        </w:rPr>
      </w:pPr>
      <w:r w:rsidRPr="003A5579">
        <w:rPr>
          <w:rFonts w:ascii="Arial" w:hAnsi="Arial" w:cs="Arial"/>
          <w:sz w:val="24"/>
          <w:szCs w:val="24"/>
        </w:rPr>
        <w:t>Końcowe zużycie energii na terenie Gminy Garbatka-Letnisko w sektorze budynki, wyposażenie/urządzenia komunalne wynosi 2.741,4 MWh, w tym:</w:t>
      </w:r>
    </w:p>
    <w:p w:rsidR="001F3ADA" w:rsidRPr="003A5579" w:rsidRDefault="001F3ADA" w:rsidP="00C552FE">
      <w:pPr>
        <w:pStyle w:val="Akapitzlist"/>
        <w:numPr>
          <w:ilvl w:val="0"/>
          <w:numId w:val="11"/>
        </w:numPr>
        <w:spacing w:after="160" w:line="360" w:lineRule="auto"/>
        <w:jc w:val="both"/>
        <w:rPr>
          <w:rFonts w:ascii="Arial" w:hAnsi="Arial" w:cs="Arial"/>
        </w:rPr>
      </w:pPr>
      <w:r w:rsidRPr="003A5579">
        <w:rPr>
          <w:rFonts w:ascii="Arial" w:hAnsi="Arial" w:cs="Arial"/>
        </w:rPr>
        <w:t>energię elektryczną – 637,1 MWh,</w:t>
      </w:r>
    </w:p>
    <w:p w:rsidR="001F3ADA" w:rsidRPr="003A5579" w:rsidRDefault="001F3ADA" w:rsidP="00C552FE">
      <w:pPr>
        <w:pStyle w:val="Akapitzlist"/>
        <w:numPr>
          <w:ilvl w:val="0"/>
          <w:numId w:val="11"/>
        </w:numPr>
        <w:spacing w:after="160" w:line="360" w:lineRule="auto"/>
        <w:jc w:val="both"/>
        <w:rPr>
          <w:rFonts w:ascii="Arial" w:hAnsi="Arial" w:cs="Arial"/>
        </w:rPr>
      </w:pPr>
      <w:r w:rsidRPr="003A5579">
        <w:rPr>
          <w:rFonts w:ascii="Arial" w:hAnsi="Arial" w:cs="Arial"/>
        </w:rPr>
        <w:t>energia cieplna – 2.104,3 MWh, w tym gaz ziemny – 1.805,5 MWh i węgiel kamienny 298,8 MWh.</w:t>
      </w:r>
    </w:p>
    <w:p w:rsidR="001F3ADA" w:rsidRDefault="001F3ADA" w:rsidP="001F3ADA">
      <w:pPr>
        <w:spacing w:after="0" w:line="360" w:lineRule="auto"/>
        <w:ind w:firstLine="709"/>
        <w:jc w:val="both"/>
        <w:rPr>
          <w:rFonts w:ascii="Arial" w:hAnsi="Arial" w:cs="Arial"/>
          <w:sz w:val="24"/>
          <w:szCs w:val="24"/>
        </w:rPr>
      </w:pPr>
      <w:r w:rsidRPr="003A5579">
        <w:rPr>
          <w:rFonts w:ascii="Arial" w:hAnsi="Arial" w:cs="Arial"/>
          <w:sz w:val="24"/>
          <w:szCs w:val="24"/>
        </w:rPr>
        <w:t xml:space="preserve">Poniższy rysunek przedstawia </w:t>
      </w:r>
      <w:r>
        <w:rPr>
          <w:rFonts w:ascii="Arial" w:hAnsi="Arial" w:cs="Arial"/>
          <w:sz w:val="24"/>
          <w:szCs w:val="24"/>
        </w:rPr>
        <w:t xml:space="preserve">omawiany </w:t>
      </w:r>
      <w:r w:rsidRPr="003A5579">
        <w:rPr>
          <w:rFonts w:ascii="Arial" w:hAnsi="Arial" w:cs="Arial"/>
          <w:sz w:val="24"/>
          <w:szCs w:val="24"/>
        </w:rPr>
        <w:t>sektor z podziałem na energię elektryczną i energię cieplną</w:t>
      </w:r>
      <w:r>
        <w:rPr>
          <w:rFonts w:ascii="Arial" w:hAnsi="Arial" w:cs="Arial"/>
          <w:sz w:val="24"/>
          <w:szCs w:val="24"/>
        </w:rPr>
        <w:t>,</w:t>
      </w:r>
      <w:r w:rsidRPr="003A5579">
        <w:rPr>
          <w:rFonts w:ascii="Arial" w:hAnsi="Arial" w:cs="Arial"/>
          <w:sz w:val="24"/>
          <w:szCs w:val="24"/>
        </w:rPr>
        <w:t xml:space="preserve"> w aspekcie końcowego zużycia energii</w:t>
      </w:r>
      <w:r>
        <w:rPr>
          <w:rFonts w:ascii="Arial" w:hAnsi="Arial" w:cs="Arial"/>
          <w:sz w:val="24"/>
          <w:szCs w:val="24"/>
        </w:rPr>
        <w:t>.</w:t>
      </w:r>
    </w:p>
    <w:p w:rsidR="001F3ADA" w:rsidRPr="00EE2873" w:rsidRDefault="001F3ADA" w:rsidP="001F3ADA">
      <w:pPr>
        <w:rPr>
          <w:rFonts w:ascii="Arial" w:hAnsi="Arial" w:cs="Arial"/>
          <w:sz w:val="24"/>
          <w:szCs w:val="24"/>
        </w:rPr>
      </w:pPr>
      <w:r>
        <w:rPr>
          <w:rFonts w:ascii="Arial" w:hAnsi="Arial" w:cs="Arial"/>
          <w:sz w:val="24"/>
          <w:szCs w:val="24"/>
        </w:rPr>
        <w:br w:type="page"/>
      </w:r>
    </w:p>
    <w:p w:rsidR="001F3ADA" w:rsidRPr="000D652F" w:rsidRDefault="001F3ADA" w:rsidP="001F3ADA">
      <w:pPr>
        <w:pStyle w:val="Legenda"/>
        <w:rPr>
          <w:rFonts w:ascii="Arial" w:hAnsi="Arial" w:cs="Arial"/>
          <w:sz w:val="22"/>
          <w:szCs w:val="22"/>
        </w:rPr>
      </w:pPr>
      <w:bookmarkStart w:id="7" w:name="_Toc448611419"/>
      <w:r w:rsidRPr="003A5579">
        <w:rPr>
          <w:sz w:val="22"/>
          <w:szCs w:val="22"/>
        </w:rPr>
        <w:lastRenderedPageBreak/>
        <w:t xml:space="preserve">Rysunek </w:t>
      </w:r>
      <w:r w:rsidRPr="003A5579">
        <w:rPr>
          <w:sz w:val="22"/>
          <w:szCs w:val="22"/>
        </w:rPr>
        <w:fldChar w:fldCharType="begin"/>
      </w:r>
      <w:r w:rsidRPr="003A5579">
        <w:rPr>
          <w:sz w:val="22"/>
          <w:szCs w:val="22"/>
        </w:rPr>
        <w:instrText xml:space="preserve"> SEQ Rysunek \* ARABIC </w:instrText>
      </w:r>
      <w:r w:rsidRPr="003A5579">
        <w:rPr>
          <w:sz w:val="22"/>
          <w:szCs w:val="22"/>
        </w:rPr>
        <w:fldChar w:fldCharType="separate"/>
      </w:r>
      <w:r w:rsidR="009246DC">
        <w:rPr>
          <w:noProof/>
          <w:sz w:val="22"/>
          <w:szCs w:val="22"/>
        </w:rPr>
        <w:t>4</w:t>
      </w:r>
      <w:r w:rsidRPr="003A5579">
        <w:rPr>
          <w:noProof/>
          <w:sz w:val="22"/>
          <w:szCs w:val="22"/>
        </w:rPr>
        <w:fldChar w:fldCharType="end"/>
      </w:r>
      <w:r w:rsidRPr="003A5579">
        <w:rPr>
          <w:sz w:val="22"/>
          <w:szCs w:val="22"/>
        </w:rPr>
        <w:t xml:space="preserve"> Końcowe zużycie energii na terenie Gminy Garbatka-Letnisko w sektorze budynki wyposażenie/urządzenia komunalne.</w:t>
      </w:r>
      <w:bookmarkEnd w:id="7"/>
    </w:p>
    <w:p w:rsidR="001F3ADA" w:rsidRDefault="001F3ADA" w:rsidP="001F3ADA">
      <w:pPr>
        <w:spacing w:line="360" w:lineRule="auto"/>
        <w:jc w:val="right"/>
        <w:rPr>
          <w:rFonts w:ascii="Arial" w:hAnsi="Arial" w:cs="Arial"/>
          <w:b/>
          <w:sz w:val="20"/>
          <w:szCs w:val="20"/>
        </w:rPr>
      </w:pPr>
      <w:r w:rsidRPr="00325F8D">
        <w:rPr>
          <w:rFonts w:ascii="Arial" w:hAnsi="Arial" w:cs="Arial"/>
          <w:noProof/>
          <w:sz w:val="24"/>
          <w:szCs w:val="24"/>
          <w:lang w:eastAsia="pl-PL"/>
        </w:rPr>
        <w:drawing>
          <wp:inline distT="0" distB="0" distL="0" distR="0" wp14:anchorId="52DF6701" wp14:editId="5F7F6F06">
            <wp:extent cx="5760720" cy="2654300"/>
            <wp:effectExtent l="0" t="0" r="11430" b="12700"/>
            <wp:docPr id="77" name="Wykres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325F8D">
        <w:rPr>
          <w:rFonts w:ascii="Arial" w:hAnsi="Arial" w:cs="Arial"/>
          <w:b/>
          <w:sz w:val="20"/>
          <w:szCs w:val="20"/>
        </w:rPr>
        <w:t>Źródło: Opracowanie własne na podstawie przeprowadzonej inwentaryzacji</w:t>
      </w:r>
    </w:p>
    <w:p w:rsidR="001F3ADA" w:rsidRPr="00B70E68" w:rsidRDefault="001F3ADA" w:rsidP="001F3ADA">
      <w:pPr>
        <w:spacing w:line="360" w:lineRule="auto"/>
        <w:jc w:val="right"/>
        <w:rPr>
          <w:rFonts w:ascii="Arial" w:hAnsi="Arial" w:cs="Arial"/>
          <w:b/>
          <w:sz w:val="20"/>
          <w:szCs w:val="20"/>
        </w:rPr>
      </w:pPr>
    </w:p>
    <w:p w:rsidR="001F3ADA" w:rsidRPr="00D13497" w:rsidRDefault="001F3ADA" w:rsidP="001F3ADA">
      <w:pPr>
        <w:spacing w:line="360" w:lineRule="auto"/>
        <w:ind w:firstLine="709"/>
        <w:jc w:val="both"/>
        <w:rPr>
          <w:rFonts w:ascii="Arial" w:hAnsi="Arial" w:cs="Arial"/>
          <w:sz w:val="24"/>
          <w:szCs w:val="24"/>
        </w:rPr>
      </w:pPr>
      <w:r w:rsidRPr="00D13497">
        <w:rPr>
          <w:rFonts w:ascii="Arial" w:hAnsi="Arial" w:cs="Arial"/>
          <w:sz w:val="24"/>
          <w:szCs w:val="24"/>
        </w:rPr>
        <w:t xml:space="preserve">Łączna emisja dwutlenku węgla w sektorze budynki, wyposażenie/urządzenia komunalne wyniosła 1.225,4 Mg, w tym wyszczególniono: </w:t>
      </w:r>
    </w:p>
    <w:p w:rsidR="001F3ADA" w:rsidRPr="00D13497" w:rsidRDefault="001F3ADA" w:rsidP="00C552FE">
      <w:pPr>
        <w:pStyle w:val="Akapitzlist"/>
        <w:numPr>
          <w:ilvl w:val="0"/>
          <w:numId w:val="12"/>
        </w:numPr>
        <w:spacing w:after="160" w:line="360" w:lineRule="auto"/>
        <w:jc w:val="both"/>
        <w:rPr>
          <w:rFonts w:ascii="Arial" w:hAnsi="Arial" w:cs="Arial"/>
        </w:rPr>
      </w:pPr>
      <w:r w:rsidRPr="00D13497">
        <w:rPr>
          <w:rFonts w:ascii="Arial" w:hAnsi="Arial" w:cs="Arial"/>
        </w:rPr>
        <w:t>energie elektryczną – 758,8 Mg,</w:t>
      </w:r>
    </w:p>
    <w:p w:rsidR="001F3ADA" w:rsidRPr="00622CAF" w:rsidRDefault="001F3ADA" w:rsidP="00C552FE">
      <w:pPr>
        <w:pStyle w:val="Akapitzlist"/>
        <w:numPr>
          <w:ilvl w:val="0"/>
          <w:numId w:val="12"/>
        </w:numPr>
        <w:spacing w:after="160" w:line="360" w:lineRule="auto"/>
        <w:jc w:val="both"/>
        <w:rPr>
          <w:rFonts w:ascii="Arial" w:hAnsi="Arial" w:cs="Arial"/>
        </w:rPr>
      </w:pPr>
      <w:r w:rsidRPr="00D13497">
        <w:rPr>
          <w:rFonts w:ascii="Arial" w:hAnsi="Arial" w:cs="Arial"/>
        </w:rPr>
        <w:t>energie cieplną – 466,6 Mg.</w:t>
      </w:r>
    </w:p>
    <w:p w:rsidR="001F3ADA" w:rsidRPr="000D652F" w:rsidRDefault="001F3ADA" w:rsidP="001F3ADA">
      <w:pPr>
        <w:pStyle w:val="Legenda"/>
        <w:rPr>
          <w:rFonts w:ascii="Arial" w:hAnsi="Arial" w:cs="Arial"/>
          <w:sz w:val="22"/>
          <w:szCs w:val="22"/>
        </w:rPr>
      </w:pPr>
      <w:bookmarkStart w:id="8" w:name="_Toc448611420"/>
      <w:r w:rsidRPr="000D652F">
        <w:rPr>
          <w:sz w:val="22"/>
          <w:szCs w:val="22"/>
        </w:rPr>
        <w:t xml:space="preserve">Rysunek </w:t>
      </w:r>
      <w:r w:rsidRPr="000D652F">
        <w:rPr>
          <w:sz w:val="22"/>
          <w:szCs w:val="22"/>
        </w:rPr>
        <w:fldChar w:fldCharType="begin"/>
      </w:r>
      <w:r w:rsidRPr="000D652F">
        <w:rPr>
          <w:sz w:val="22"/>
          <w:szCs w:val="22"/>
        </w:rPr>
        <w:instrText xml:space="preserve"> SEQ Rysunek \* ARABIC </w:instrText>
      </w:r>
      <w:r w:rsidRPr="000D652F">
        <w:rPr>
          <w:sz w:val="22"/>
          <w:szCs w:val="22"/>
        </w:rPr>
        <w:fldChar w:fldCharType="separate"/>
      </w:r>
      <w:r w:rsidR="009246DC">
        <w:rPr>
          <w:noProof/>
          <w:sz w:val="22"/>
          <w:szCs w:val="22"/>
        </w:rPr>
        <w:t>5</w:t>
      </w:r>
      <w:r w:rsidRPr="000D652F">
        <w:rPr>
          <w:noProof/>
          <w:sz w:val="22"/>
          <w:szCs w:val="22"/>
        </w:rPr>
        <w:fldChar w:fldCharType="end"/>
      </w:r>
      <w:r w:rsidRPr="000D652F">
        <w:rPr>
          <w:sz w:val="22"/>
          <w:szCs w:val="22"/>
        </w:rPr>
        <w:t xml:space="preserve"> Emisja </w:t>
      </w:r>
      <w:r w:rsidRPr="00D13497">
        <w:rPr>
          <w:sz w:val="22"/>
          <w:szCs w:val="22"/>
        </w:rPr>
        <w:t>CO</w:t>
      </w:r>
      <w:r w:rsidRPr="00D13497">
        <w:rPr>
          <w:sz w:val="22"/>
          <w:szCs w:val="22"/>
          <w:vertAlign w:val="subscript"/>
        </w:rPr>
        <w:t>2</w:t>
      </w:r>
      <w:r w:rsidRPr="00D13497">
        <w:rPr>
          <w:sz w:val="22"/>
          <w:szCs w:val="22"/>
        </w:rPr>
        <w:t xml:space="preserve"> w sektorze budynki, wyposażenie/urządzenia komunalne</w:t>
      </w:r>
      <w:bookmarkEnd w:id="8"/>
    </w:p>
    <w:p w:rsidR="001F3ADA" w:rsidRDefault="001F3ADA" w:rsidP="001F3ADA">
      <w:pPr>
        <w:spacing w:after="0" w:line="360" w:lineRule="auto"/>
        <w:jc w:val="both"/>
        <w:rPr>
          <w:rFonts w:ascii="Arial" w:hAnsi="Arial" w:cs="Arial"/>
          <w:sz w:val="24"/>
          <w:szCs w:val="24"/>
        </w:rPr>
      </w:pPr>
      <w:r w:rsidRPr="00325F8D">
        <w:rPr>
          <w:rFonts w:ascii="Arial" w:hAnsi="Arial" w:cs="Arial"/>
          <w:noProof/>
          <w:sz w:val="24"/>
          <w:szCs w:val="24"/>
          <w:lang w:eastAsia="pl-PL"/>
        </w:rPr>
        <w:drawing>
          <wp:inline distT="0" distB="0" distL="0" distR="0" wp14:anchorId="36D314F8" wp14:editId="5AD83520">
            <wp:extent cx="5760720" cy="2982595"/>
            <wp:effectExtent l="0" t="0" r="11430" b="8255"/>
            <wp:docPr id="79" name="Wykres 7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F3ADA" w:rsidRPr="00622CAF" w:rsidRDefault="001F3ADA" w:rsidP="00622CAF">
      <w:pPr>
        <w:spacing w:after="0" w:line="360" w:lineRule="auto"/>
        <w:ind w:firstLine="709"/>
        <w:jc w:val="right"/>
        <w:rPr>
          <w:rFonts w:ascii="Arial" w:hAnsi="Arial" w:cs="Arial"/>
          <w:b/>
          <w:sz w:val="20"/>
          <w:szCs w:val="20"/>
        </w:rPr>
      </w:pPr>
      <w:r w:rsidRPr="00325F8D">
        <w:rPr>
          <w:rFonts w:ascii="Arial" w:hAnsi="Arial" w:cs="Arial"/>
          <w:b/>
          <w:sz w:val="20"/>
          <w:szCs w:val="20"/>
        </w:rPr>
        <w:t>Źródło: Opracowanie własne na podstawie przeprowadzonej inwentaryzacji</w:t>
      </w:r>
      <w:r w:rsidR="00622CAF">
        <w:rPr>
          <w:rFonts w:ascii="Arial" w:hAnsi="Arial" w:cs="Arial"/>
          <w:b/>
          <w:sz w:val="20"/>
          <w:szCs w:val="20"/>
        </w:rPr>
        <w:br w:type="page"/>
      </w:r>
    </w:p>
    <w:p w:rsidR="001F3ADA" w:rsidRDefault="001F3ADA" w:rsidP="001F3ADA">
      <w:pPr>
        <w:spacing w:after="0" w:line="360" w:lineRule="auto"/>
        <w:ind w:firstLine="709"/>
        <w:jc w:val="both"/>
        <w:rPr>
          <w:rFonts w:ascii="Arial" w:hAnsi="Arial" w:cs="Arial"/>
          <w:sz w:val="24"/>
          <w:szCs w:val="24"/>
        </w:rPr>
      </w:pPr>
      <w:r w:rsidRPr="00D13497">
        <w:rPr>
          <w:rFonts w:ascii="Arial" w:hAnsi="Arial" w:cs="Arial"/>
          <w:sz w:val="24"/>
          <w:szCs w:val="24"/>
        </w:rPr>
        <w:lastRenderedPageBreak/>
        <w:t>W omawianym sektorze brak jest udziału odnawialnych źródeł energii.</w:t>
      </w:r>
    </w:p>
    <w:p w:rsidR="00622CAF" w:rsidRPr="00AE509F" w:rsidRDefault="00622CAF" w:rsidP="001F3ADA">
      <w:pPr>
        <w:spacing w:after="0" w:line="360" w:lineRule="auto"/>
        <w:ind w:firstLine="709"/>
        <w:jc w:val="both"/>
        <w:rPr>
          <w:rFonts w:ascii="Arial" w:hAnsi="Arial" w:cs="Arial"/>
          <w:sz w:val="24"/>
          <w:szCs w:val="24"/>
        </w:rPr>
      </w:pPr>
    </w:p>
    <w:p w:rsidR="001F3ADA" w:rsidRPr="001F3ADA" w:rsidRDefault="001F3ADA" w:rsidP="001F3ADA">
      <w:pPr>
        <w:spacing w:line="360" w:lineRule="auto"/>
        <w:jc w:val="center"/>
        <w:rPr>
          <w:rFonts w:ascii="Arial" w:hAnsi="Arial" w:cs="Arial"/>
          <w:i/>
          <w:sz w:val="24"/>
          <w:szCs w:val="24"/>
          <w:u w:val="single"/>
          <w:lang w:eastAsia="pl-PL"/>
        </w:rPr>
      </w:pPr>
      <w:bookmarkStart w:id="9" w:name="_Toc448611504"/>
      <w:r w:rsidRPr="001F3ADA">
        <w:rPr>
          <w:rFonts w:ascii="Arial" w:hAnsi="Arial" w:cs="Arial"/>
          <w:i/>
          <w:sz w:val="24"/>
          <w:szCs w:val="24"/>
          <w:u w:val="single"/>
          <w:lang w:eastAsia="pl-PL"/>
        </w:rPr>
        <w:t>Budynki, wyposażenie/urządzenia usługowe (niekomunalne)</w:t>
      </w:r>
      <w:bookmarkEnd w:id="9"/>
    </w:p>
    <w:p w:rsidR="001F3ADA" w:rsidRDefault="001F3ADA" w:rsidP="001F3ADA">
      <w:pPr>
        <w:spacing w:after="0" w:line="360" w:lineRule="auto"/>
        <w:jc w:val="both"/>
        <w:rPr>
          <w:rFonts w:ascii="Arial" w:hAnsi="Arial" w:cs="Arial"/>
          <w:sz w:val="24"/>
          <w:szCs w:val="24"/>
        </w:rPr>
      </w:pPr>
    </w:p>
    <w:p w:rsidR="001F3ADA" w:rsidRPr="00A142F9" w:rsidRDefault="001F3ADA" w:rsidP="001F3ADA">
      <w:pPr>
        <w:spacing w:after="0" w:line="360" w:lineRule="auto"/>
        <w:ind w:firstLine="709"/>
        <w:jc w:val="both"/>
        <w:rPr>
          <w:rFonts w:ascii="Arial" w:hAnsi="Arial" w:cs="Arial"/>
          <w:sz w:val="24"/>
          <w:szCs w:val="24"/>
        </w:rPr>
      </w:pPr>
      <w:r w:rsidRPr="00A142F9">
        <w:rPr>
          <w:rFonts w:ascii="Arial" w:hAnsi="Arial" w:cs="Arial"/>
          <w:sz w:val="24"/>
          <w:szCs w:val="24"/>
        </w:rPr>
        <w:t xml:space="preserve">Wyniki w sektorze budynki, wyposażenie/urządzenia usługowe (niekomunalne) oszacowano po analizie informacji otrzymanych z Urzędu Gminy Garbatka-Letnisko, danych statystycznych z Głównego Urzędu </w:t>
      </w:r>
      <w:r>
        <w:rPr>
          <w:rFonts w:ascii="Arial" w:hAnsi="Arial" w:cs="Arial"/>
          <w:sz w:val="24"/>
          <w:szCs w:val="24"/>
        </w:rPr>
        <w:t>Statystycznego,</w:t>
      </w:r>
      <w:r w:rsidRPr="00A142F9">
        <w:rPr>
          <w:rFonts w:ascii="Arial" w:hAnsi="Arial" w:cs="Arial"/>
          <w:sz w:val="24"/>
          <w:szCs w:val="24"/>
        </w:rPr>
        <w:t xml:space="preserve"> wyliczeń od Operatora Sieci Energetycznej, od Operatora Sieci Gazowej oraz z ankiet od przedsiębiorców. Następnie, zostały one odpowiednio przeliczone, tak</w:t>
      </w:r>
      <w:r>
        <w:rPr>
          <w:rFonts w:ascii="Arial" w:hAnsi="Arial" w:cs="Arial"/>
          <w:sz w:val="24"/>
          <w:szCs w:val="24"/>
        </w:rPr>
        <w:t xml:space="preserve"> aby można było je uwzględnić w </w:t>
      </w:r>
      <w:r w:rsidRPr="00A142F9">
        <w:rPr>
          <w:rFonts w:ascii="Arial" w:hAnsi="Arial" w:cs="Arial"/>
          <w:sz w:val="24"/>
          <w:szCs w:val="24"/>
        </w:rPr>
        <w:t>Bazie Inwentaryzacyjnej.</w:t>
      </w:r>
    </w:p>
    <w:p w:rsidR="001F3ADA" w:rsidRDefault="001F3ADA" w:rsidP="001F3ADA">
      <w:pPr>
        <w:spacing w:after="0" w:line="360" w:lineRule="auto"/>
        <w:ind w:firstLine="709"/>
        <w:jc w:val="both"/>
        <w:rPr>
          <w:rFonts w:ascii="Arial" w:hAnsi="Arial" w:cs="Arial"/>
          <w:sz w:val="24"/>
          <w:szCs w:val="24"/>
        </w:rPr>
      </w:pPr>
      <w:r w:rsidRPr="00A142F9">
        <w:rPr>
          <w:rFonts w:ascii="Arial" w:hAnsi="Arial" w:cs="Arial"/>
          <w:sz w:val="24"/>
          <w:szCs w:val="24"/>
        </w:rPr>
        <w:t>Poniższy rysunek przedstawia sektor budynki, wyposażenie/urządzenia usługowe (niekomunalne)</w:t>
      </w:r>
      <w:r>
        <w:rPr>
          <w:rFonts w:ascii="Arial" w:hAnsi="Arial" w:cs="Arial"/>
          <w:sz w:val="24"/>
          <w:szCs w:val="24"/>
        </w:rPr>
        <w:t xml:space="preserve"> w aspekcie zużycia energii w Gminie Garbatka-Letnisko.</w:t>
      </w:r>
    </w:p>
    <w:p w:rsidR="001F3ADA" w:rsidRDefault="001F3ADA" w:rsidP="001F3ADA">
      <w:pPr>
        <w:spacing w:line="360" w:lineRule="auto"/>
        <w:jc w:val="both"/>
        <w:rPr>
          <w:rFonts w:ascii="Arial" w:hAnsi="Arial" w:cs="Arial"/>
          <w:sz w:val="24"/>
          <w:szCs w:val="24"/>
        </w:rPr>
      </w:pPr>
    </w:p>
    <w:p w:rsidR="001F3ADA" w:rsidRPr="00A142F9" w:rsidRDefault="001F3ADA" w:rsidP="001F3ADA">
      <w:pPr>
        <w:pStyle w:val="Legenda"/>
        <w:rPr>
          <w:sz w:val="22"/>
          <w:szCs w:val="22"/>
        </w:rPr>
      </w:pPr>
      <w:bookmarkStart w:id="10" w:name="_Toc448611421"/>
      <w:r w:rsidRPr="000D652F">
        <w:rPr>
          <w:sz w:val="22"/>
          <w:szCs w:val="22"/>
        </w:rPr>
        <w:t xml:space="preserve">Rysunek </w:t>
      </w:r>
      <w:r w:rsidRPr="000D652F">
        <w:rPr>
          <w:sz w:val="22"/>
          <w:szCs w:val="22"/>
        </w:rPr>
        <w:fldChar w:fldCharType="begin"/>
      </w:r>
      <w:r w:rsidRPr="000D652F">
        <w:rPr>
          <w:sz w:val="22"/>
          <w:szCs w:val="22"/>
        </w:rPr>
        <w:instrText xml:space="preserve"> SEQ Rysunek \* ARABIC </w:instrText>
      </w:r>
      <w:r w:rsidRPr="000D652F">
        <w:rPr>
          <w:sz w:val="22"/>
          <w:szCs w:val="22"/>
        </w:rPr>
        <w:fldChar w:fldCharType="separate"/>
      </w:r>
      <w:r w:rsidR="009246DC">
        <w:rPr>
          <w:noProof/>
          <w:sz w:val="22"/>
          <w:szCs w:val="22"/>
        </w:rPr>
        <w:t>6</w:t>
      </w:r>
      <w:r w:rsidRPr="000D652F">
        <w:rPr>
          <w:noProof/>
          <w:sz w:val="22"/>
          <w:szCs w:val="22"/>
        </w:rPr>
        <w:fldChar w:fldCharType="end"/>
      </w:r>
      <w:r w:rsidRPr="000D652F">
        <w:rPr>
          <w:sz w:val="22"/>
          <w:szCs w:val="22"/>
        </w:rPr>
        <w:t xml:space="preserve"> Zużycie energii </w:t>
      </w:r>
      <w:r w:rsidRPr="00A142F9">
        <w:rPr>
          <w:sz w:val="22"/>
          <w:szCs w:val="22"/>
        </w:rPr>
        <w:t>na terenie Gminy Garbatka-Letnisko w sektorze budynki wyposażenie/urządzenia usługowe (niekomunalne).</w:t>
      </w:r>
      <w:bookmarkEnd w:id="10"/>
    </w:p>
    <w:p w:rsidR="001F3ADA" w:rsidRPr="00B70E68" w:rsidRDefault="001F3ADA" w:rsidP="001F3ADA">
      <w:pPr>
        <w:spacing w:line="360" w:lineRule="auto"/>
        <w:jc w:val="right"/>
        <w:rPr>
          <w:rFonts w:ascii="Arial" w:hAnsi="Arial" w:cs="Arial"/>
          <w:b/>
          <w:sz w:val="20"/>
          <w:szCs w:val="20"/>
        </w:rPr>
      </w:pPr>
      <w:r w:rsidRPr="00325F8D">
        <w:rPr>
          <w:rFonts w:ascii="Arial" w:hAnsi="Arial" w:cs="Arial"/>
          <w:noProof/>
          <w:sz w:val="24"/>
          <w:szCs w:val="24"/>
          <w:lang w:eastAsia="pl-PL"/>
        </w:rPr>
        <w:drawing>
          <wp:inline distT="0" distB="0" distL="0" distR="0" wp14:anchorId="337AEDF5" wp14:editId="0E07A7F9">
            <wp:extent cx="5760720" cy="3810000"/>
            <wp:effectExtent l="0" t="0" r="11430" b="0"/>
            <wp:docPr id="80" name="Wykres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325F8D">
        <w:rPr>
          <w:rFonts w:ascii="Arial" w:hAnsi="Arial" w:cs="Arial"/>
          <w:b/>
          <w:sz w:val="20"/>
          <w:szCs w:val="20"/>
        </w:rPr>
        <w:t>Źródło: Opracowanie własne na podstawie przeprowadzonej inwentaryzacji</w:t>
      </w:r>
    </w:p>
    <w:p w:rsidR="001F3ADA" w:rsidRDefault="001F3ADA" w:rsidP="001F3ADA">
      <w:pPr>
        <w:rPr>
          <w:rFonts w:ascii="Arial" w:hAnsi="Arial" w:cs="Arial"/>
          <w:sz w:val="24"/>
          <w:szCs w:val="24"/>
        </w:rPr>
      </w:pPr>
      <w:r>
        <w:rPr>
          <w:rFonts w:ascii="Arial" w:hAnsi="Arial" w:cs="Arial"/>
          <w:sz w:val="24"/>
          <w:szCs w:val="24"/>
        </w:rPr>
        <w:br w:type="page"/>
      </w:r>
    </w:p>
    <w:p w:rsidR="001F3ADA" w:rsidRPr="00A142F9" w:rsidRDefault="001F3ADA" w:rsidP="001F3ADA">
      <w:pPr>
        <w:spacing w:line="360" w:lineRule="auto"/>
        <w:ind w:firstLine="709"/>
        <w:jc w:val="both"/>
        <w:rPr>
          <w:rFonts w:ascii="Arial" w:hAnsi="Arial" w:cs="Arial"/>
          <w:sz w:val="24"/>
          <w:szCs w:val="24"/>
        </w:rPr>
      </w:pPr>
      <w:r w:rsidRPr="00A142F9">
        <w:rPr>
          <w:rFonts w:ascii="Arial" w:hAnsi="Arial" w:cs="Arial"/>
          <w:sz w:val="24"/>
          <w:szCs w:val="24"/>
        </w:rPr>
        <w:lastRenderedPageBreak/>
        <w:t>Końcowe zużycie energii na terenie Gminy Garbatka-Letnisko w sektorze budynki, wyposażenie/urządzenia usługowe (niekomunalne) wynosi 4.560,8 MWh, w tym:</w:t>
      </w:r>
    </w:p>
    <w:p w:rsidR="001F3ADA" w:rsidRPr="00A142F9" w:rsidRDefault="001F3ADA" w:rsidP="00C552FE">
      <w:pPr>
        <w:pStyle w:val="Akapitzlist"/>
        <w:numPr>
          <w:ilvl w:val="0"/>
          <w:numId w:val="13"/>
        </w:numPr>
        <w:spacing w:after="160" w:line="360" w:lineRule="auto"/>
        <w:jc w:val="both"/>
        <w:rPr>
          <w:rFonts w:ascii="Arial" w:hAnsi="Arial" w:cs="Arial"/>
        </w:rPr>
      </w:pPr>
      <w:r w:rsidRPr="00A142F9">
        <w:rPr>
          <w:rFonts w:ascii="Arial" w:hAnsi="Arial" w:cs="Arial"/>
        </w:rPr>
        <w:t>energię elektryczną – 1.780,9 MWh,</w:t>
      </w:r>
    </w:p>
    <w:p w:rsidR="001F3ADA" w:rsidRPr="00A142F9" w:rsidRDefault="001F3ADA" w:rsidP="00C552FE">
      <w:pPr>
        <w:pStyle w:val="Akapitzlist"/>
        <w:numPr>
          <w:ilvl w:val="0"/>
          <w:numId w:val="13"/>
        </w:numPr>
        <w:spacing w:after="160" w:line="360" w:lineRule="auto"/>
        <w:jc w:val="both"/>
        <w:rPr>
          <w:rFonts w:ascii="Arial" w:hAnsi="Arial" w:cs="Arial"/>
        </w:rPr>
      </w:pPr>
      <w:r w:rsidRPr="00A142F9">
        <w:rPr>
          <w:rFonts w:ascii="Arial" w:hAnsi="Arial" w:cs="Arial"/>
        </w:rPr>
        <w:t>gaz ziemny – 678,3 MWh,</w:t>
      </w:r>
    </w:p>
    <w:p w:rsidR="001F3ADA" w:rsidRPr="00A142F9" w:rsidRDefault="001F3ADA" w:rsidP="00C552FE">
      <w:pPr>
        <w:pStyle w:val="Akapitzlist"/>
        <w:numPr>
          <w:ilvl w:val="0"/>
          <w:numId w:val="13"/>
        </w:numPr>
        <w:spacing w:after="160" w:line="360" w:lineRule="auto"/>
        <w:jc w:val="both"/>
        <w:rPr>
          <w:rFonts w:ascii="Arial" w:hAnsi="Arial" w:cs="Arial"/>
        </w:rPr>
      </w:pPr>
      <w:r w:rsidRPr="00A142F9">
        <w:rPr>
          <w:rFonts w:ascii="Arial" w:hAnsi="Arial" w:cs="Arial"/>
        </w:rPr>
        <w:t>gaz ciekły – 55,6 MWh,</w:t>
      </w:r>
    </w:p>
    <w:p w:rsidR="001F3ADA" w:rsidRPr="00A142F9" w:rsidRDefault="001F3ADA" w:rsidP="00C552FE">
      <w:pPr>
        <w:pStyle w:val="Akapitzlist"/>
        <w:numPr>
          <w:ilvl w:val="0"/>
          <w:numId w:val="13"/>
        </w:numPr>
        <w:spacing w:after="160" w:line="360" w:lineRule="auto"/>
        <w:jc w:val="both"/>
        <w:rPr>
          <w:rFonts w:ascii="Arial" w:hAnsi="Arial" w:cs="Arial"/>
        </w:rPr>
      </w:pPr>
      <w:r w:rsidRPr="00A142F9">
        <w:rPr>
          <w:rFonts w:ascii="Arial" w:hAnsi="Arial" w:cs="Arial"/>
        </w:rPr>
        <w:t>olej opałowy – 27,8 MWh,</w:t>
      </w:r>
    </w:p>
    <w:p w:rsidR="001F3ADA" w:rsidRPr="00A142F9" w:rsidRDefault="001F3ADA" w:rsidP="00C552FE">
      <w:pPr>
        <w:pStyle w:val="Akapitzlist"/>
        <w:numPr>
          <w:ilvl w:val="0"/>
          <w:numId w:val="13"/>
        </w:numPr>
        <w:spacing w:after="160" w:line="360" w:lineRule="auto"/>
        <w:jc w:val="both"/>
        <w:rPr>
          <w:rFonts w:ascii="Arial" w:hAnsi="Arial" w:cs="Arial"/>
        </w:rPr>
      </w:pPr>
      <w:r w:rsidRPr="00A142F9">
        <w:rPr>
          <w:rFonts w:ascii="Arial" w:hAnsi="Arial" w:cs="Arial"/>
        </w:rPr>
        <w:t>węgiel kamienny – 1.089,7 MWh,</w:t>
      </w:r>
    </w:p>
    <w:p w:rsidR="001F3ADA" w:rsidRPr="00A142F9" w:rsidRDefault="001F3ADA" w:rsidP="00C552FE">
      <w:pPr>
        <w:pStyle w:val="Akapitzlist"/>
        <w:numPr>
          <w:ilvl w:val="0"/>
          <w:numId w:val="13"/>
        </w:numPr>
        <w:spacing w:after="160" w:line="360" w:lineRule="auto"/>
        <w:jc w:val="both"/>
        <w:rPr>
          <w:rFonts w:ascii="Arial" w:hAnsi="Arial" w:cs="Arial"/>
        </w:rPr>
      </w:pPr>
      <w:r w:rsidRPr="00A142F9">
        <w:rPr>
          <w:rFonts w:ascii="Arial" w:hAnsi="Arial" w:cs="Arial"/>
        </w:rPr>
        <w:t>inna biomasa – 928,5 MWh.</w:t>
      </w:r>
    </w:p>
    <w:p w:rsidR="001F3ADA" w:rsidRPr="00A142F9" w:rsidRDefault="001F3ADA" w:rsidP="001F3ADA">
      <w:pPr>
        <w:spacing w:line="360" w:lineRule="auto"/>
        <w:ind w:firstLine="709"/>
        <w:jc w:val="both"/>
        <w:rPr>
          <w:rFonts w:ascii="Arial" w:hAnsi="Arial" w:cs="Arial"/>
          <w:sz w:val="24"/>
          <w:szCs w:val="24"/>
        </w:rPr>
      </w:pPr>
      <w:r w:rsidRPr="00A142F9">
        <w:rPr>
          <w:rFonts w:ascii="Arial" w:hAnsi="Arial" w:cs="Arial"/>
          <w:sz w:val="24"/>
          <w:szCs w:val="24"/>
        </w:rPr>
        <w:t>Łączna emisja dwutlenku węgla w sektorze w sektorze budynki, wyposażenie/urządzenia usługowe (niekomunalne) wynosi 2.650,1 Mg, w tym wyszczególniono:</w:t>
      </w:r>
    </w:p>
    <w:p w:rsidR="001F3ADA" w:rsidRPr="00A142F9" w:rsidRDefault="001F3ADA" w:rsidP="00C552FE">
      <w:pPr>
        <w:pStyle w:val="Akapitzlist"/>
        <w:numPr>
          <w:ilvl w:val="0"/>
          <w:numId w:val="13"/>
        </w:numPr>
        <w:spacing w:after="160" w:line="360" w:lineRule="auto"/>
        <w:jc w:val="both"/>
        <w:rPr>
          <w:rFonts w:ascii="Arial" w:hAnsi="Arial" w:cs="Arial"/>
        </w:rPr>
      </w:pPr>
      <w:r w:rsidRPr="00A142F9">
        <w:rPr>
          <w:rFonts w:ascii="Arial" w:hAnsi="Arial" w:cs="Arial"/>
        </w:rPr>
        <w:t>energię elektryczną – 2.121,1 Mg,</w:t>
      </w:r>
    </w:p>
    <w:p w:rsidR="001F3ADA" w:rsidRPr="00A142F9" w:rsidRDefault="001F3ADA" w:rsidP="00C552FE">
      <w:pPr>
        <w:pStyle w:val="Akapitzlist"/>
        <w:numPr>
          <w:ilvl w:val="0"/>
          <w:numId w:val="13"/>
        </w:numPr>
        <w:spacing w:after="160" w:line="360" w:lineRule="auto"/>
        <w:jc w:val="both"/>
        <w:rPr>
          <w:rFonts w:ascii="Arial" w:hAnsi="Arial" w:cs="Arial"/>
        </w:rPr>
      </w:pPr>
      <w:r w:rsidRPr="00A142F9">
        <w:rPr>
          <w:rFonts w:ascii="Arial" w:hAnsi="Arial" w:cs="Arial"/>
        </w:rPr>
        <w:t>gaz ziemny – 137 Mg,</w:t>
      </w:r>
    </w:p>
    <w:p w:rsidR="001F3ADA" w:rsidRPr="00A142F9" w:rsidRDefault="001F3ADA" w:rsidP="00C552FE">
      <w:pPr>
        <w:pStyle w:val="Akapitzlist"/>
        <w:numPr>
          <w:ilvl w:val="0"/>
          <w:numId w:val="13"/>
        </w:numPr>
        <w:spacing w:after="160" w:line="360" w:lineRule="auto"/>
        <w:jc w:val="both"/>
        <w:rPr>
          <w:rFonts w:ascii="Arial" w:hAnsi="Arial" w:cs="Arial"/>
        </w:rPr>
      </w:pPr>
      <w:r w:rsidRPr="00A142F9">
        <w:rPr>
          <w:rFonts w:ascii="Arial" w:hAnsi="Arial" w:cs="Arial"/>
        </w:rPr>
        <w:t>gaz ciekły – 12,6 Mg,</w:t>
      </w:r>
    </w:p>
    <w:p w:rsidR="001F3ADA" w:rsidRPr="00A142F9" w:rsidRDefault="001F3ADA" w:rsidP="00C552FE">
      <w:pPr>
        <w:pStyle w:val="Akapitzlist"/>
        <w:numPr>
          <w:ilvl w:val="0"/>
          <w:numId w:val="13"/>
        </w:numPr>
        <w:spacing w:after="160" w:line="360" w:lineRule="auto"/>
        <w:jc w:val="both"/>
        <w:rPr>
          <w:rFonts w:ascii="Arial" w:hAnsi="Arial" w:cs="Arial"/>
        </w:rPr>
      </w:pPr>
      <w:r w:rsidRPr="00A142F9">
        <w:rPr>
          <w:rFonts w:ascii="Arial" w:hAnsi="Arial" w:cs="Arial"/>
        </w:rPr>
        <w:t>olej opałowy – 7,8 Mg,</w:t>
      </w:r>
    </w:p>
    <w:p w:rsidR="001F3ADA" w:rsidRPr="00545DD8" w:rsidRDefault="001F3ADA" w:rsidP="00C552FE">
      <w:pPr>
        <w:pStyle w:val="Akapitzlist"/>
        <w:numPr>
          <w:ilvl w:val="0"/>
          <w:numId w:val="13"/>
        </w:numPr>
        <w:spacing w:after="160" w:line="360" w:lineRule="auto"/>
        <w:jc w:val="both"/>
        <w:rPr>
          <w:rFonts w:ascii="Arial" w:hAnsi="Arial" w:cs="Arial"/>
        </w:rPr>
      </w:pPr>
      <w:r w:rsidRPr="00A142F9">
        <w:rPr>
          <w:rFonts w:ascii="Arial" w:hAnsi="Arial" w:cs="Arial"/>
        </w:rPr>
        <w:t>węgiel kamienny – 371,6 Mg.</w:t>
      </w:r>
    </w:p>
    <w:p w:rsidR="001F3ADA" w:rsidRPr="000D652F" w:rsidRDefault="001F3ADA" w:rsidP="001F3ADA">
      <w:pPr>
        <w:pStyle w:val="Legenda"/>
        <w:rPr>
          <w:sz w:val="22"/>
          <w:szCs w:val="22"/>
        </w:rPr>
      </w:pPr>
      <w:bookmarkStart w:id="11" w:name="_Toc448611422"/>
      <w:r w:rsidRPr="00325F8D">
        <w:rPr>
          <w:rFonts w:ascii="Arial" w:hAnsi="Arial" w:cs="Arial"/>
          <w:noProof/>
          <w:sz w:val="24"/>
          <w:szCs w:val="24"/>
          <w:lang w:eastAsia="pl-PL"/>
        </w:rPr>
        <w:drawing>
          <wp:anchor distT="0" distB="0" distL="114300" distR="114300" simplePos="0" relativeHeight="251664384" behindDoc="1" locked="0" layoutInCell="1" allowOverlap="1" wp14:anchorId="56C3B85F" wp14:editId="2D850834">
            <wp:simplePos x="0" y="0"/>
            <wp:positionH relativeFrom="column">
              <wp:posOffset>64770</wp:posOffset>
            </wp:positionH>
            <wp:positionV relativeFrom="paragraph">
              <wp:posOffset>388620</wp:posOffset>
            </wp:positionV>
            <wp:extent cx="5759450" cy="3276600"/>
            <wp:effectExtent l="0" t="0" r="12700" b="0"/>
            <wp:wrapTight wrapText="bothSides">
              <wp:wrapPolygon edited="0">
                <wp:start x="0" y="0"/>
                <wp:lineTo x="0" y="21474"/>
                <wp:lineTo x="21576" y="21474"/>
                <wp:lineTo x="21576" y="0"/>
                <wp:lineTo x="0" y="0"/>
              </wp:wrapPolygon>
            </wp:wrapTight>
            <wp:docPr id="82" name="Wykres 8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V relativeFrom="margin">
              <wp14:pctHeight>0</wp14:pctHeight>
            </wp14:sizeRelV>
          </wp:anchor>
        </w:drawing>
      </w:r>
      <w:r w:rsidRPr="000D652F">
        <w:rPr>
          <w:sz w:val="22"/>
          <w:szCs w:val="22"/>
        </w:rPr>
        <w:t xml:space="preserve">Rysunek </w:t>
      </w:r>
      <w:r w:rsidRPr="000D652F">
        <w:rPr>
          <w:sz w:val="22"/>
          <w:szCs w:val="22"/>
        </w:rPr>
        <w:fldChar w:fldCharType="begin"/>
      </w:r>
      <w:r w:rsidRPr="000D652F">
        <w:rPr>
          <w:sz w:val="22"/>
          <w:szCs w:val="22"/>
        </w:rPr>
        <w:instrText xml:space="preserve"> SEQ Rysunek \* ARABIC </w:instrText>
      </w:r>
      <w:r w:rsidRPr="000D652F">
        <w:rPr>
          <w:sz w:val="22"/>
          <w:szCs w:val="22"/>
        </w:rPr>
        <w:fldChar w:fldCharType="separate"/>
      </w:r>
      <w:r w:rsidR="009246DC">
        <w:rPr>
          <w:noProof/>
          <w:sz w:val="22"/>
          <w:szCs w:val="22"/>
        </w:rPr>
        <w:t>7</w:t>
      </w:r>
      <w:r w:rsidRPr="000D652F">
        <w:rPr>
          <w:noProof/>
          <w:sz w:val="22"/>
          <w:szCs w:val="22"/>
        </w:rPr>
        <w:fldChar w:fldCharType="end"/>
      </w:r>
      <w:r w:rsidRPr="000D652F">
        <w:rPr>
          <w:sz w:val="22"/>
          <w:szCs w:val="22"/>
        </w:rPr>
        <w:t xml:space="preserve"> Emisja CO</w:t>
      </w:r>
      <w:r w:rsidRPr="000D652F">
        <w:rPr>
          <w:sz w:val="22"/>
          <w:szCs w:val="22"/>
          <w:vertAlign w:val="subscript"/>
        </w:rPr>
        <w:t>2</w:t>
      </w:r>
      <w:r w:rsidRPr="000D652F">
        <w:rPr>
          <w:sz w:val="22"/>
          <w:szCs w:val="22"/>
        </w:rPr>
        <w:t xml:space="preserve"> w sektorze budynki, wyposażenie/</w:t>
      </w:r>
      <w:r w:rsidRPr="00A142F9">
        <w:rPr>
          <w:sz w:val="22"/>
          <w:szCs w:val="22"/>
        </w:rPr>
        <w:t>urządzenia usługowe (niekomunalne)</w:t>
      </w:r>
      <w:bookmarkEnd w:id="11"/>
    </w:p>
    <w:p w:rsidR="001F3ADA" w:rsidRPr="00545DD8" w:rsidRDefault="001F3ADA" w:rsidP="001F3ADA">
      <w:pPr>
        <w:spacing w:after="0" w:line="360" w:lineRule="auto"/>
        <w:jc w:val="right"/>
        <w:rPr>
          <w:rFonts w:ascii="Arial" w:hAnsi="Arial" w:cs="Arial"/>
          <w:sz w:val="24"/>
          <w:szCs w:val="24"/>
        </w:rPr>
      </w:pPr>
      <w:r w:rsidRPr="00325F8D">
        <w:rPr>
          <w:rFonts w:ascii="Arial" w:hAnsi="Arial" w:cs="Arial"/>
          <w:b/>
          <w:sz w:val="20"/>
          <w:szCs w:val="20"/>
        </w:rPr>
        <w:t>Źródło: Opracowanie własne na podstawie przeprowadzonej inwentaryzacji</w:t>
      </w:r>
      <w:r>
        <w:br w:type="page"/>
      </w:r>
    </w:p>
    <w:p w:rsidR="001F3ADA" w:rsidRDefault="001F3ADA" w:rsidP="001F3ADA">
      <w:pPr>
        <w:spacing w:line="360" w:lineRule="auto"/>
        <w:ind w:firstLine="709"/>
        <w:jc w:val="both"/>
        <w:rPr>
          <w:rFonts w:ascii="Arial" w:hAnsi="Arial" w:cs="Arial"/>
          <w:sz w:val="24"/>
          <w:szCs w:val="24"/>
        </w:rPr>
      </w:pPr>
      <w:r w:rsidRPr="00A73323">
        <w:rPr>
          <w:rFonts w:ascii="Arial" w:hAnsi="Arial" w:cs="Arial"/>
          <w:sz w:val="24"/>
          <w:szCs w:val="24"/>
        </w:rPr>
        <w:lastRenderedPageBreak/>
        <w:t>W sektorze budynki, wyposażenie/urządzenia usługowe (niekomunalne) udział OZE w zu</w:t>
      </w:r>
      <w:r>
        <w:rPr>
          <w:rFonts w:ascii="Arial" w:hAnsi="Arial" w:cs="Arial"/>
          <w:sz w:val="24"/>
          <w:szCs w:val="24"/>
        </w:rPr>
        <w:t>życiu energii wynosi</w:t>
      </w:r>
      <w:r w:rsidRPr="00A73323">
        <w:rPr>
          <w:rFonts w:ascii="Arial" w:hAnsi="Arial" w:cs="Arial"/>
          <w:sz w:val="24"/>
          <w:szCs w:val="24"/>
        </w:rPr>
        <w:t xml:space="preserve"> 928,5 MWh i pochodzi z kategorii inna biomasa.</w:t>
      </w:r>
    </w:p>
    <w:p w:rsidR="001F3ADA" w:rsidRPr="00A73323" w:rsidRDefault="001F3ADA" w:rsidP="001F3ADA">
      <w:pPr>
        <w:spacing w:line="360" w:lineRule="auto"/>
        <w:ind w:firstLine="709"/>
        <w:jc w:val="both"/>
        <w:rPr>
          <w:rFonts w:ascii="Arial" w:hAnsi="Arial" w:cs="Arial"/>
          <w:sz w:val="24"/>
          <w:szCs w:val="24"/>
        </w:rPr>
      </w:pPr>
    </w:p>
    <w:p w:rsidR="001F3ADA" w:rsidRPr="000D652F" w:rsidRDefault="001F3ADA" w:rsidP="001F3ADA">
      <w:pPr>
        <w:pStyle w:val="Legenda"/>
        <w:rPr>
          <w:sz w:val="22"/>
          <w:szCs w:val="22"/>
        </w:rPr>
      </w:pPr>
      <w:bookmarkStart w:id="12" w:name="_Toc448611423"/>
      <w:r w:rsidRPr="00A73323">
        <w:rPr>
          <w:sz w:val="22"/>
          <w:szCs w:val="22"/>
        </w:rPr>
        <w:t xml:space="preserve">Rysunek </w:t>
      </w:r>
      <w:r w:rsidRPr="00A73323">
        <w:rPr>
          <w:sz w:val="22"/>
          <w:szCs w:val="22"/>
        </w:rPr>
        <w:fldChar w:fldCharType="begin"/>
      </w:r>
      <w:r w:rsidRPr="00A73323">
        <w:rPr>
          <w:sz w:val="22"/>
          <w:szCs w:val="22"/>
        </w:rPr>
        <w:instrText xml:space="preserve"> SEQ Rysunek \* ARABIC </w:instrText>
      </w:r>
      <w:r w:rsidRPr="00A73323">
        <w:rPr>
          <w:sz w:val="22"/>
          <w:szCs w:val="22"/>
        </w:rPr>
        <w:fldChar w:fldCharType="separate"/>
      </w:r>
      <w:r w:rsidR="009246DC">
        <w:rPr>
          <w:noProof/>
          <w:sz w:val="22"/>
          <w:szCs w:val="22"/>
        </w:rPr>
        <w:t>8</w:t>
      </w:r>
      <w:r w:rsidRPr="00A73323">
        <w:rPr>
          <w:noProof/>
          <w:sz w:val="22"/>
          <w:szCs w:val="22"/>
        </w:rPr>
        <w:fldChar w:fldCharType="end"/>
      </w:r>
      <w:r w:rsidRPr="00A73323">
        <w:rPr>
          <w:sz w:val="22"/>
          <w:szCs w:val="22"/>
        </w:rPr>
        <w:t xml:space="preserve"> Udział energii OZE w sektorze  budynki, wyposażenie/urządzenia usługowe (niekomunalne)</w:t>
      </w:r>
      <w:bookmarkEnd w:id="12"/>
    </w:p>
    <w:p w:rsidR="001F3ADA" w:rsidRDefault="001F3ADA" w:rsidP="001F3ADA">
      <w:r w:rsidRPr="00325F8D">
        <w:rPr>
          <w:rFonts w:ascii="Arial" w:hAnsi="Arial" w:cs="Arial"/>
          <w:noProof/>
          <w:sz w:val="24"/>
          <w:szCs w:val="24"/>
          <w:lang w:eastAsia="pl-PL"/>
        </w:rPr>
        <w:drawing>
          <wp:inline distT="0" distB="0" distL="0" distR="0" wp14:anchorId="639877BF" wp14:editId="6B36D7D0">
            <wp:extent cx="5760720" cy="3403600"/>
            <wp:effectExtent l="0" t="0" r="11430" b="6350"/>
            <wp:docPr id="83" name="Wykres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F3ADA" w:rsidRPr="00D953BB" w:rsidRDefault="001F3ADA" w:rsidP="001F3ADA">
      <w:pPr>
        <w:spacing w:after="0" w:line="360" w:lineRule="auto"/>
        <w:ind w:firstLine="709"/>
        <w:jc w:val="right"/>
        <w:rPr>
          <w:rFonts w:ascii="Arial" w:hAnsi="Arial" w:cs="Arial"/>
          <w:b/>
          <w:sz w:val="20"/>
          <w:szCs w:val="20"/>
        </w:rPr>
      </w:pPr>
      <w:r w:rsidRPr="00325F8D">
        <w:rPr>
          <w:rFonts w:ascii="Arial" w:hAnsi="Arial" w:cs="Arial"/>
          <w:b/>
          <w:sz w:val="20"/>
          <w:szCs w:val="20"/>
        </w:rPr>
        <w:t>Źródło: Opracowanie własne na podstawie przeprowadzonej inwentaryzacji</w:t>
      </w:r>
    </w:p>
    <w:p w:rsidR="00622CAF" w:rsidRDefault="00622CAF" w:rsidP="00622CAF">
      <w:pPr>
        <w:spacing w:line="360" w:lineRule="auto"/>
        <w:jc w:val="center"/>
        <w:rPr>
          <w:rFonts w:ascii="Arial" w:hAnsi="Arial" w:cs="Arial"/>
          <w:i/>
          <w:sz w:val="24"/>
          <w:szCs w:val="24"/>
          <w:u w:val="single"/>
          <w:lang w:eastAsia="pl-PL"/>
        </w:rPr>
      </w:pPr>
      <w:bookmarkStart w:id="13" w:name="_Toc448611505"/>
    </w:p>
    <w:p w:rsidR="001F3ADA" w:rsidRPr="00622CAF" w:rsidRDefault="001F3ADA" w:rsidP="00622CAF">
      <w:pPr>
        <w:spacing w:line="360" w:lineRule="auto"/>
        <w:jc w:val="center"/>
        <w:rPr>
          <w:rFonts w:ascii="Arial" w:hAnsi="Arial" w:cs="Arial"/>
          <w:i/>
          <w:sz w:val="24"/>
          <w:szCs w:val="24"/>
          <w:u w:val="single"/>
          <w:lang w:eastAsia="pl-PL"/>
        </w:rPr>
      </w:pPr>
      <w:r w:rsidRPr="00622CAF">
        <w:rPr>
          <w:rFonts w:ascii="Arial" w:hAnsi="Arial" w:cs="Arial"/>
          <w:i/>
          <w:sz w:val="24"/>
          <w:szCs w:val="24"/>
          <w:u w:val="single"/>
          <w:lang w:eastAsia="pl-PL"/>
        </w:rPr>
        <w:t>Budynki mieszkalne</w:t>
      </w:r>
      <w:bookmarkEnd w:id="13"/>
    </w:p>
    <w:p w:rsidR="001F3ADA" w:rsidRDefault="001F3ADA" w:rsidP="001F3ADA">
      <w:pPr>
        <w:spacing w:after="0" w:line="360" w:lineRule="auto"/>
        <w:ind w:firstLine="709"/>
        <w:jc w:val="both"/>
        <w:rPr>
          <w:rFonts w:ascii="Arial" w:hAnsi="Arial" w:cs="Arial"/>
          <w:sz w:val="24"/>
          <w:szCs w:val="24"/>
        </w:rPr>
      </w:pPr>
    </w:p>
    <w:p w:rsidR="001F3ADA" w:rsidRPr="005A6E5F" w:rsidRDefault="001F3ADA" w:rsidP="001F3ADA">
      <w:pPr>
        <w:spacing w:after="0" w:line="360" w:lineRule="auto"/>
        <w:ind w:firstLine="709"/>
        <w:jc w:val="both"/>
        <w:rPr>
          <w:rFonts w:ascii="Arial" w:hAnsi="Arial" w:cs="Arial"/>
          <w:sz w:val="24"/>
          <w:szCs w:val="24"/>
        </w:rPr>
      </w:pPr>
      <w:r w:rsidRPr="005A6E5F">
        <w:rPr>
          <w:rFonts w:ascii="Arial" w:hAnsi="Arial" w:cs="Arial"/>
          <w:sz w:val="24"/>
          <w:szCs w:val="24"/>
        </w:rPr>
        <w:t xml:space="preserve">Wyniki inwentaryzacji w sektorze budynki mieszkalne opracowano po analizie danych i informacji z Głównego Urzędu Statystycznego, wyliczeń od Operatora Sieci Energetycznej, od Operatora Sieci Gazowej oraz </w:t>
      </w:r>
      <w:r>
        <w:rPr>
          <w:rFonts w:ascii="Arial" w:hAnsi="Arial" w:cs="Arial"/>
          <w:sz w:val="24"/>
          <w:szCs w:val="24"/>
        </w:rPr>
        <w:t xml:space="preserve">informacji </w:t>
      </w:r>
      <w:r w:rsidRPr="005A6E5F">
        <w:rPr>
          <w:rFonts w:ascii="Arial" w:hAnsi="Arial" w:cs="Arial"/>
          <w:sz w:val="24"/>
          <w:szCs w:val="24"/>
        </w:rPr>
        <w:t>z ankiet od mieszkańców. Wyżej wymienione dane zostały odpowiednio przeliczone, tak aby można było je uwzględnić w Bazie Inwentaryzacyjnej.</w:t>
      </w:r>
    </w:p>
    <w:p w:rsidR="001F3ADA" w:rsidRPr="005A6E5F" w:rsidRDefault="001F3ADA" w:rsidP="001F3ADA">
      <w:pPr>
        <w:spacing w:line="360" w:lineRule="auto"/>
        <w:ind w:firstLine="709"/>
        <w:jc w:val="both"/>
        <w:rPr>
          <w:rFonts w:ascii="Arial" w:hAnsi="Arial" w:cs="Arial"/>
          <w:sz w:val="24"/>
          <w:szCs w:val="24"/>
        </w:rPr>
      </w:pPr>
      <w:r w:rsidRPr="005A6E5F">
        <w:rPr>
          <w:rFonts w:ascii="Arial" w:hAnsi="Arial" w:cs="Arial"/>
          <w:sz w:val="24"/>
          <w:szCs w:val="24"/>
        </w:rPr>
        <w:t>Końcowe zużycie energii na terenie Gminy Garbatka-Letnisko w sektorze budynki, mieszkalne wynosi 28.056,3 MWh, w tym:</w:t>
      </w:r>
    </w:p>
    <w:p w:rsidR="001F3ADA" w:rsidRPr="005A6E5F" w:rsidRDefault="001F3ADA" w:rsidP="00C552FE">
      <w:pPr>
        <w:pStyle w:val="Akapitzlist"/>
        <w:numPr>
          <w:ilvl w:val="0"/>
          <w:numId w:val="14"/>
        </w:numPr>
        <w:spacing w:after="160" w:line="360" w:lineRule="auto"/>
        <w:jc w:val="both"/>
        <w:rPr>
          <w:rFonts w:ascii="Arial" w:hAnsi="Arial" w:cs="Arial"/>
        </w:rPr>
      </w:pPr>
      <w:r w:rsidRPr="005A6E5F">
        <w:rPr>
          <w:rFonts w:ascii="Arial" w:hAnsi="Arial" w:cs="Arial"/>
        </w:rPr>
        <w:t>energię elektryczną – 4.089 MWh,</w:t>
      </w:r>
    </w:p>
    <w:p w:rsidR="001F3ADA" w:rsidRPr="005A6E5F" w:rsidRDefault="001F3ADA" w:rsidP="00C552FE">
      <w:pPr>
        <w:pStyle w:val="Akapitzlist"/>
        <w:numPr>
          <w:ilvl w:val="0"/>
          <w:numId w:val="14"/>
        </w:numPr>
        <w:spacing w:after="160" w:line="360" w:lineRule="auto"/>
        <w:jc w:val="both"/>
        <w:rPr>
          <w:rFonts w:ascii="Arial" w:hAnsi="Arial" w:cs="Arial"/>
        </w:rPr>
      </w:pPr>
      <w:r w:rsidRPr="005A6E5F">
        <w:rPr>
          <w:rFonts w:ascii="Arial" w:hAnsi="Arial" w:cs="Arial"/>
        </w:rPr>
        <w:t>gaz ziemny – 5.848 MWh,</w:t>
      </w:r>
    </w:p>
    <w:p w:rsidR="001F3ADA" w:rsidRPr="005A6E5F" w:rsidRDefault="001F3ADA" w:rsidP="00C552FE">
      <w:pPr>
        <w:pStyle w:val="Akapitzlist"/>
        <w:numPr>
          <w:ilvl w:val="0"/>
          <w:numId w:val="14"/>
        </w:numPr>
        <w:spacing w:after="160" w:line="360" w:lineRule="auto"/>
        <w:jc w:val="both"/>
        <w:rPr>
          <w:rFonts w:ascii="Arial" w:hAnsi="Arial" w:cs="Arial"/>
        </w:rPr>
      </w:pPr>
      <w:r w:rsidRPr="005A6E5F">
        <w:rPr>
          <w:rFonts w:ascii="Arial" w:hAnsi="Arial" w:cs="Arial"/>
        </w:rPr>
        <w:lastRenderedPageBreak/>
        <w:t>gaz ciekły – 479,3 MWh,</w:t>
      </w:r>
    </w:p>
    <w:p w:rsidR="001F3ADA" w:rsidRPr="005A6E5F" w:rsidRDefault="001F3ADA" w:rsidP="00C552FE">
      <w:pPr>
        <w:pStyle w:val="Akapitzlist"/>
        <w:numPr>
          <w:ilvl w:val="0"/>
          <w:numId w:val="14"/>
        </w:numPr>
        <w:spacing w:after="160" w:line="360" w:lineRule="auto"/>
        <w:jc w:val="both"/>
        <w:rPr>
          <w:rFonts w:ascii="Arial" w:hAnsi="Arial" w:cs="Arial"/>
        </w:rPr>
      </w:pPr>
      <w:r w:rsidRPr="005A6E5F">
        <w:rPr>
          <w:rFonts w:ascii="Arial" w:hAnsi="Arial" w:cs="Arial"/>
        </w:rPr>
        <w:t>olej opałowy – 239,7 MWh,</w:t>
      </w:r>
    </w:p>
    <w:p w:rsidR="001F3ADA" w:rsidRPr="005A6E5F" w:rsidRDefault="001F3ADA" w:rsidP="00C552FE">
      <w:pPr>
        <w:pStyle w:val="Akapitzlist"/>
        <w:numPr>
          <w:ilvl w:val="0"/>
          <w:numId w:val="14"/>
        </w:numPr>
        <w:spacing w:after="160" w:line="360" w:lineRule="auto"/>
        <w:jc w:val="both"/>
        <w:rPr>
          <w:rFonts w:ascii="Arial" w:hAnsi="Arial" w:cs="Arial"/>
        </w:rPr>
      </w:pPr>
      <w:r w:rsidRPr="005A6E5F">
        <w:rPr>
          <w:rFonts w:ascii="Arial" w:hAnsi="Arial" w:cs="Arial"/>
        </w:rPr>
        <w:t>węgiel kamienny – 9.395,2 MWh,</w:t>
      </w:r>
    </w:p>
    <w:p w:rsidR="001F3ADA" w:rsidRPr="005A6E5F" w:rsidRDefault="001F3ADA" w:rsidP="00C552FE">
      <w:pPr>
        <w:pStyle w:val="Akapitzlist"/>
        <w:numPr>
          <w:ilvl w:val="0"/>
          <w:numId w:val="14"/>
        </w:numPr>
        <w:spacing w:after="160" w:line="360" w:lineRule="auto"/>
        <w:jc w:val="both"/>
        <w:rPr>
          <w:rFonts w:ascii="Arial" w:hAnsi="Arial" w:cs="Arial"/>
        </w:rPr>
      </w:pPr>
      <w:r w:rsidRPr="005A6E5F">
        <w:rPr>
          <w:rFonts w:ascii="Arial" w:hAnsi="Arial" w:cs="Arial"/>
        </w:rPr>
        <w:t>inna biomasa – 8.005,1 MWh.</w:t>
      </w:r>
    </w:p>
    <w:p w:rsidR="001F3ADA" w:rsidRDefault="001F3ADA" w:rsidP="001F3ADA">
      <w:pPr>
        <w:spacing w:after="0" w:line="360" w:lineRule="auto"/>
        <w:ind w:firstLine="709"/>
        <w:jc w:val="both"/>
        <w:rPr>
          <w:rFonts w:ascii="Arial" w:hAnsi="Arial" w:cs="Arial"/>
          <w:sz w:val="24"/>
          <w:szCs w:val="24"/>
        </w:rPr>
      </w:pPr>
      <w:r w:rsidRPr="005A6E5F">
        <w:rPr>
          <w:rFonts w:ascii="Arial" w:hAnsi="Arial" w:cs="Arial"/>
          <w:sz w:val="24"/>
          <w:szCs w:val="24"/>
        </w:rPr>
        <w:t>Poniższy rysunek przedstawia sektor budynki mieszkalne w aspekcie finalnego zużycia energii na omawianym terenie.</w:t>
      </w:r>
    </w:p>
    <w:p w:rsidR="00622CAF" w:rsidRPr="00EE2873" w:rsidRDefault="00622CAF" w:rsidP="001F3ADA">
      <w:pPr>
        <w:spacing w:after="0" w:line="360" w:lineRule="auto"/>
        <w:ind w:firstLine="709"/>
        <w:jc w:val="both"/>
        <w:rPr>
          <w:rFonts w:ascii="Arial" w:hAnsi="Arial" w:cs="Arial"/>
          <w:sz w:val="24"/>
          <w:szCs w:val="24"/>
        </w:rPr>
      </w:pPr>
    </w:p>
    <w:p w:rsidR="001F3ADA" w:rsidRDefault="001F3ADA" w:rsidP="001F3ADA">
      <w:pPr>
        <w:pStyle w:val="Legenda"/>
        <w:rPr>
          <w:sz w:val="22"/>
          <w:szCs w:val="22"/>
        </w:rPr>
      </w:pPr>
      <w:bookmarkStart w:id="14" w:name="_Toc448611424"/>
      <w:r w:rsidRPr="00A81C76">
        <w:rPr>
          <w:sz w:val="22"/>
          <w:szCs w:val="22"/>
        </w:rPr>
        <w:t xml:space="preserve">Rysunek </w:t>
      </w:r>
      <w:r w:rsidRPr="00A81C76">
        <w:rPr>
          <w:sz w:val="22"/>
          <w:szCs w:val="22"/>
        </w:rPr>
        <w:fldChar w:fldCharType="begin"/>
      </w:r>
      <w:r w:rsidRPr="00A81C76">
        <w:rPr>
          <w:sz w:val="22"/>
          <w:szCs w:val="22"/>
        </w:rPr>
        <w:instrText xml:space="preserve"> SEQ Rysunek \* ARABIC </w:instrText>
      </w:r>
      <w:r w:rsidRPr="00A81C76">
        <w:rPr>
          <w:sz w:val="22"/>
          <w:szCs w:val="22"/>
        </w:rPr>
        <w:fldChar w:fldCharType="separate"/>
      </w:r>
      <w:r w:rsidR="009246DC">
        <w:rPr>
          <w:noProof/>
          <w:sz w:val="22"/>
          <w:szCs w:val="22"/>
        </w:rPr>
        <w:t>9</w:t>
      </w:r>
      <w:r w:rsidRPr="00A81C76">
        <w:rPr>
          <w:noProof/>
          <w:sz w:val="22"/>
          <w:szCs w:val="22"/>
        </w:rPr>
        <w:fldChar w:fldCharType="end"/>
      </w:r>
      <w:r w:rsidRPr="00A81C76">
        <w:rPr>
          <w:sz w:val="22"/>
          <w:szCs w:val="22"/>
        </w:rPr>
        <w:t xml:space="preserve"> Zużycie energii na terenie Gminy Garbatka-Letnisko w sektorze budynki mieszkalne.</w:t>
      </w:r>
      <w:bookmarkEnd w:id="14"/>
    </w:p>
    <w:p w:rsidR="001F3ADA" w:rsidRPr="00A81C76" w:rsidRDefault="001F3ADA" w:rsidP="001F3ADA"/>
    <w:p w:rsidR="001F3ADA" w:rsidRPr="00B70E68" w:rsidRDefault="001F3ADA" w:rsidP="001F3ADA">
      <w:pPr>
        <w:spacing w:line="360" w:lineRule="auto"/>
        <w:jc w:val="right"/>
        <w:rPr>
          <w:rFonts w:ascii="Arial" w:hAnsi="Arial" w:cs="Arial"/>
          <w:b/>
          <w:sz w:val="20"/>
          <w:szCs w:val="20"/>
        </w:rPr>
      </w:pPr>
      <w:r w:rsidRPr="00325F8D">
        <w:rPr>
          <w:rFonts w:ascii="Arial" w:hAnsi="Arial" w:cs="Arial"/>
          <w:noProof/>
          <w:sz w:val="24"/>
          <w:szCs w:val="24"/>
          <w:lang w:eastAsia="pl-PL"/>
        </w:rPr>
        <w:drawing>
          <wp:inline distT="0" distB="0" distL="0" distR="0" wp14:anchorId="32024950" wp14:editId="1CC35A8E">
            <wp:extent cx="5760720" cy="3587750"/>
            <wp:effectExtent l="0" t="0" r="11430" b="12700"/>
            <wp:docPr id="86" name="Wykres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4559FF">
        <w:rPr>
          <w:rFonts w:ascii="Arial" w:hAnsi="Arial" w:cs="Arial"/>
          <w:b/>
          <w:sz w:val="20"/>
          <w:szCs w:val="20"/>
        </w:rPr>
        <w:t xml:space="preserve"> </w:t>
      </w:r>
      <w:r w:rsidRPr="00325F8D">
        <w:rPr>
          <w:rFonts w:ascii="Arial" w:hAnsi="Arial" w:cs="Arial"/>
          <w:b/>
          <w:sz w:val="20"/>
          <w:szCs w:val="20"/>
        </w:rPr>
        <w:t>Źródło: Opracowanie własne na podstawie przeprowadzonej inwentaryzacji</w:t>
      </w:r>
    </w:p>
    <w:p w:rsidR="001F3ADA" w:rsidRDefault="001F3ADA" w:rsidP="001F3ADA">
      <w:pPr>
        <w:spacing w:line="360" w:lineRule="auto"/>
        <w:ind w:firstLine="709"/>
        <w:jc w:val="both"/>
        <w:rPr>
          <w:rFonts w:ascii="Arial" w:hAnsi="Arial" w:cs="Arial"/>
          <w:sz w:val="24"/>
          <w:szCs w:val="24"/>
          <w:highlight w:val="yellow"/>
        </w:rPr>
      </w:pPr>
    </w:p>
    <w:p w:rsidR="001F3ADA" w:rsidRPr="00A81C76" w:rsidRDefault="001F3ADA" w:rsidP="001F3ADA">
      <w:pPr>
        <w:spacing w:line="360" w:lineRule="auto"/>
        <w:ind w:firstLine="709"/>
        <w:jc w:val="both"/>
        <w:rPr>
          <w:rFonts w:ascii="Arial" w:hAnsi="Arial" w:cs="Arial"/>
          <w:sz w:val="24"/>
          <w:szCs w:val="24"/>
        </w:rPr>
      </w:pPr>
      <w:r w:rsidRPr="00A81C76">
        <w:rPr>
          <w:rFonts w:ascii="Arial" w:hAnsi="Arial" w:cs="Arial"/>
          <w:sz w:val="24"/>
          <w:szCs w:val="24"/>
        </w:rPr>
        <w:t>Łączna emisja dwutlenku węgla w sektorze w sektorze budynki mieszkalne wynosi 9.430,8 Mg, w tym wyszczególniono:</w:t>
      </w:r>
    </w:p>
    <w:p w:rsidR="001F3ADA" w:rsidRPr="00A81C76" w:rsidRDefault="001F3ADA" w:rsidP="00C552FE">
      <w:pPr>
        <w:pStyle w:val="Akapitzlist"/>
        <w:numPr>
          <w:ilvl w:val="0"/>
          <w:numId w:val="14"/>
        </w:numPr>
        <w:spacing w:after="160" w:line="360" w:lineRule="auto"/>
        <w:jc w:val="both"/>
        <w:rPr>
          <w:rFonts w:ascii="Arial" w:hAnsi="Arial" w:cs="Arial"/>
        </w:rPr>
      </w:pPr>
      <w:r w:rsidRPr="00A81C76">
        <w:rPr>
          <w:rFonts w:ascii="Arial" w:hAnsi="Arial" w:cs="Arial"/>
        </w:rPr>
        <w:t>energię elektryczną – 4.870,0 Mg,</w:t>
      </w:r>
    </w:p>
    <w:p w:rsidR="001F3ADA" w:rsidRPr="00A81C76" w:rsidRDefault="001F3ADA" w:rsidP="00C552FE">
      <w:pPr>
        <w:pStyle w:val="Akapitzlist"/>
        <w:numPr>
          <w:ilvl w:val="0"/>
          <w:numId w:val="14"/>
        </w:numPr>
        <w:spacing w:after="160" w:line="360" w:lineRule="auto"/>
        <w:jc w:val="both"/>
        <w:rPr>
          <w:rFonts w:ascii="Arial" w:hAnsi="Arial" w:cs="Arial"/>
        </w:rPr>
      </w:pPr>
      <w:r w:rsidRPr="00A81C76">
        <w:rPr>
          <w:rFonts w:ascii="Arial" w:hAnsi="Arial" w:cs="Arial"/>
        </w:rPr>
        <w:t>gaz ziemny – 1.181,3 Mg,</w:t>
      </w:r>
    </w:p>
    <w:p w:rsidR="001F3ADA" w:rsidRPr="00A81C76" w:rsidRDefault="001F3ADA" w:rsidP="00C552FE">
      <w:pPr>
        <w:pStyle w:val="Akapitzlist"/>
        <w:numPr>
          <w:ilvl w:val="0"/>
          <w:numId w:val="14"/>
        </w:numPr>
        <w:spacing w:after="160" w:line="360" w:lineRule="auto"/>
        <w:jc w:val="both"/>
        <w:rPr>
          <w:rFonts w:ascii="Arial" w:hAnsi="Arial" w:cs="Arial"/>
        </w:rPr>
      </w:pPr>
      <w:r w:rsidRPr="00A81C76">
        <w:rPr>
          <w:rFonts w:ascii="Arial" w:hAnsi="Arial" w:cs="Arial"/>
        </w:rPr>
        <w:t>gaz ciekły – 108,8 Mg,</w:t>
      </w:r>
    </w:p>
    <w:p w:rsidR="001F3ADA" w:rsidRPr="00A81C76" w:rsidRDefault="001F3ADA" w:rsidP="00C552FE">
      <w:pPr>
        <w:pStyle w:val="Akapitzlist"/>
        <w:numPr>
          <w:ilvl w:val="0"/>
          <w:numId w:val="14"/>
        </w:numPr>
        <w:spacing w:after="160" w:line="360" w:lineRule="auto"/>
        <w:jc w:val="both"/>
        <w:rPr>
          <w:rFonts w:ascii="Arial" w:hAnsi="Arial" w:cs="Arial"/>
        </w:rPr>
      </w:pPr>
      <w:r w:rsidRPr="00A81C76">
        <w:rPr>
          <w:rFonts w:ascii="Arial" w:hAnsi="Arial" w:cs="Arial"/>
        </w:rPr>
        <w:t>olej opałowy – 66,9 Mg,</w:t>
      </w:r>
    </w:p>
    <w:p w:rsidR="001F3ADA" w:rsidRPr="00622CAF" w:rsidRDefault="001F3ADA" w:rsidP="00C552FE">
      <w:pPr>
        <w:pStyle w:val="Akapitzlist"/>
        <w:numPr>
          <w:ilvl w:val="0"/>
          <w:numId w:val="14"/>
        </w:numPr>
        <w:spacing w:after="160" w:line="360" w:lineRule="auto"/>
        <w:jc w:val="both"/>
        <w:rPr>
          <w:rFonts w:ascii="Arial" w:hAnsi="Arial" w:cs="Arial"/>
        </w:rPr>
      </w:pPr>
      <w:r w:rsidRPr="00A81C76">
        <w:rPr>
          <w:rFonts w:ascii="Arial" w:hAnsi="Arial" w:cs="Arial"/>
        </w:rPr>
        <w:t>węgiel kamienny – 3.203,8 Mg.</w:t>
      </w:r>
      <w:r>
        <w:br w:type="page"/>
      </w:r>
    </w:p>
    <w:p w:rsidR="001F3ADA" w:rsidRPr="00A81C76" w:rsidRDefault="001F3ADA" w:rsidP="001F3ADA">
      <w:pPr>
        <w:pStyle w:val="Legenda"/>
        <w:rPr>
          <w:sz w:val="22"/>
          <w:szCs w:val="22"/>
        </w:rPr>
      </w:pPr>
      <w:bookmarkStart w:id="15" w:name="_Toc448611425"/>
      <w:r w:rsidRPr="00A81C76">
        <w:rPr>
          <w:sz w:val="22"/>
          <w:szCs w:val="22"/>
        </w:rPr>
        <w:lastRenderedPageBreak/>
        <w:t xml:space="preserve">Rysunek </w:t>
      </w:r>
      <w:r w:rsidRPr="00A81C76">
        <w:rPr>
          <w:sz w:val="22"/>
          <w:szCs w:val="22"/>
        </w:rPr>
        <w:fldChar w:fldCharType="begin"/>
      </w:r>
      <w:r w:rsidRPr="00A81C76">
        <w:rPr>
          <w:sz w:val="22"/>
          <w:szCs w:val="22"/>
        </w:rPr>
        <w:instrText xml:space="preserve"> SEQ Rysunek \* ARABIC </w:instrText>
      </w:r>
      <w:r w:rsidRPr="00A81C76">
        <w:rPr>
          <w:sz w:val="22"/>
          <w:szCs w:val="22"/>
        </w:rPr>
        <w:fldChar w:fldCharType="separate"/>
      </w:r>
      <w:r w:rsidR="009246DC">
        <w:rPr>
          <w:noProof/>
          <w:sz w:val="22"/>
          <w:szCs w:val="22"/>
        </w:rPr>
        <w:t>10</w:t>
      </w:r>
      <w:r w:rsidRPr="00A81C76">
        <w:rPr>
          <w:noProof/>
          <w:sz w:val="22"/>
          <w:szCs w:val="22"/>
        </w:rPr>
        <w:fldChar w:fldCharType="end"/>
      </w:r>
      <w:r w:rsidRPr="00A81C76">
        <w:rPr>
          <w:sz w:val="22"/>
          <w:szCs w:val="22"/>
        </w:rPr>
        <w:t xml:space="preserve"> Emisja CO</w:t>
      </w:r>
      <w:r w:rsidRPr="00A81C76">
        <w:rPr>
          <w:sz w:val="22"/>
          <w:szCs w:val="22"/>
          <w:vertAlign w:val="subscript"/>
        </w:rPr>
        <w:t>2</w:t>
      </w:r>
      <w:r w:rsidRPr="00A81C76">
        <w:rPr>
          <w:sz w:val="22"/>
          <w:szCs w:val="22"/>
        </w:rPr>
        <w:t xml:space="preserve"> w sektorze budynki mieszkalne.</w:t>
      </w:r>
      <w:bookmarkEnd w:id="15"/>
    </w:p>
    <w:p w:rsidR="001F3ADA" w:rsidRDefault="001F3ADA" w:rsidP="001F3ADA">
      <w:pPr>
        <w:spacing w:after="0" w:line="360" w:lineRule="auto"/>
        <w:jc w:val="both"/>
        <w:rPr>
          <w:rFonts w:ascii="Arial" w:hAnsi="Arial" w:cs="Arial"/>
          <w:sz w:val="24"/>
          <w:szCs w:val="24"/>
        </w:rPr>
      </w:pPr>
      <w:r w:rsidRPr="00325F8D">
        <w:rPr>
          <w:rFonts w:ascii="Arial" w:hAnsi="Arial" w:cs="Arial"/>
          <w:noProof/>
          <w:sz w:val="24"/>
          <w:szCs w:val="24"/>
          <w:lang w:eastAsia="pl-PL"/>
        </w:rPr>
        <w:drawing>
          <wp:inline distT="0" distB="0" distL="0" distR="0" wp14:anchorId="0D75C0EC" wp14:editId="7976CE36">
            <wp:extent cx="5760720" cy="2982595"/>
            <wp:effectExtent l="0" t="0" r="11430" b="8255"/>
            <wp:docPr id="87" name="Wykres 8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F3ADA" w:rsidRDefault="001F3ADA" w:rsidP="001F3ADA">
      <w:pPr>
        <w:spacing w:after="0" w:line="360" w:lineRule="auto"/>
        <w:ind w:firstLine="709"/>
        <w:jc w:val="both"/>
        <w:rPr>
          <w:rFonts w:ascii="Arial" w:hAnsi="Arial" w:cs="Arial"/>
          <w:sz w:val="24"/>
          <w:szCs w:val="24"/>
        </w:rPr>
      </w:pPr>
      <w:r w:rsidRPr="00325F8D">
        <w:rPr>
          <w:rFonts w:ascii="Arial" w:hAnsi="Arial" w:cs="Arial"/>
          <w:b/>
          <w:sz w:val="20"/>
          <w:szCs w:val="20"/>
        </w:rPr>
        <w:t>Źródło: Opracowanie własne na podstawie przeprowadzonej inwentaryzacji</w:t>
      </w:r>
    </w:p>
    <w:p w:rsidR="001F3ADA" w:rsidRDefault="001F3ADA" w:rsidP="001F3ADA"/>
    <w:p w:rsidR="001F3ADA" w:rsidRPr="00A81C76" w:rsidRDefault="001F3ADA" w:rsidP="001F3ADA">
      <w:pPr>
        <w:spacing w:line="360" w:lineRule="auto"/>
        <w:ind w:firstLine="709"/>
        <w:jc w:val="both"/>
        <w:rPr>
          <w:rFonts w:ascii="Arial" w:hAnsi="Arial" w:cs="Arial"/>
          <w:sz w:val="24"/>
          <w:szCs w:val="24"/>
        </w:rPr>
      </w:pPr>
      <w:r w:rsidRPr="00A81C76">
        <w:rPr>
          <w:rFonts w:ascii="Arial" w:hAnsi="Arial" w:cs="Arial"/>
          <w:sz w:val="24"/>
          <w:szCs w:val="24"/>
        </w:rPr>
        <w:t xml:space="preserve">W sektorze budynki mieszkalne udział OZE w zużyciu energii, wynosi </w:t>
      </w:r>
      <w:r w:rsidRPr="00A81C76">
        <w:rPr>
          <w:rFonts w:ascii="Arial" w:hAnsi="Arial" w:cs="Arial"/>
          <w:sz w:val="24"/>
          <w:szCs w:val="24"/>
        </w:rPr>
        <w:br/>
        <w:t>8.005,1 MWh i pochodzi z kategorii inna biomasa.</w:t>
      </w:r>
    </w:p>
    <w:p w:rsidR="001F3ADA" w:rsidRPr="006918A9" w:rsidRDefault="001F3ADA" w:rsidP="001F3ADA">
      <w:pPr>
        <w:spacing w:line="360" w:lineRule="auto"/>
        <w:ind w:firstLine="709"/>
        <w:jc w:val="both"/>
        <w:rPr>
          <w:rFonts w:ascii="Arial" w:hAnsi="Arial" w:cs="Arial"/>
          <w:sz w:val="24"/>
          <w:szCs w:val="24"/>
          <w:highlight w:val="yellow"/>
        </w:rPr>
      </w:pPr>
    </w:p>
    <w:p w:rsidR="001F3ADA" w:rsidRPr="000D652F" w:rsidRDefault="001F3ADA" w:rsidP="001F3ADA">
      <w:pPr>
        <w:pStyle w:val="Legenda"/>
        <w:rPr>
          <w:sz w:val="22"/>
          <w:szCs w:val="22"/>
        </w:rPr>
      </w:pPr>
      <w:bookmarkStart w:id="16" w:name="_Toc448611426"/>
      <w:r w:rsidRPr="00A81C76">
        <w:rPr>
          <w:sz w:val="22"/>
          <w:szCs w:val="22"/>
        </w:rPr>
        <w:t xml:space="preserve">Rysunek </w:t>
      </w:r>
      <w:r w:rsidRPr="00A81C76">
        <w:rPr>
          <w:sz w:val="22"/>
          <w:szCs w:val="22"/>
        </w:rPr>
        <w:fldChar w:fldCharType="begin"/>
      </w:r>
      <w:r w:rsidRPr="00A81C76">
        <w:rPr>
          <w:sz w:val="22"/>
          <w:szCs w:val="22"/>
        </w:rPr>
        <w:instrText xml:space="preserve"> SEQ Rysunek \* ARABIC </w:instrText>
      </w:r>
      <w:r w:rsidRPr="00A81C76">
        <w:rPr>
          <w:sz w:val="22"/>
          <w:szCs w:val="22"/>
        </w:rPr>
        <w:fldChar w:fldCharType="separate"/>
      </w:r>
      <w:r w:rsidR="009246DC">
        <w:rPr>
          <w:noProof/>
          <w:sz w:val="22"/>
          <w:szCs w:val="22"/>
        </w:rPr>
        <w:t>11</w:t>
      </w:r>
      <w:r w:rsidRPr="00A81C76">
        <w:rPr>
          <w:noProof/>
          <w:sz w:val="22"/>
          <w:szCs w:val="22"/>
        </w:rPr>
        <w:fldChar w:fldCharType="end"/>
      </w:r>
      <w:r w:rsidRPr="00A81C76">
        <w:rPr>
          <w:sz w:val="22"/>
          <w:szCs w:val="22"/>
        </w:rPr>
        <w:t xml:space="preserve"> Udział energii OZE w sektorze budynki mieszkalne.</w:t>
      </w:r>
      <w:bookmarkEnd w:id="16"/>
    </w:p>
    <w:p w:rsidR="001F3ADA" w:rsidRDefault="001F3ADA" w:rsidP="001F3ADA">
      <w:r w:rsidRPr="00325F8D">
        <w:rPr>
          <w:rFonts w:ascii="Arial" w:hAnsi="Arial" w:cs="Arial"/>
          <w:noProof/>
          <w:sz w:val="24"/>
          <w:szCs w:val="24"/>
          <w:lang w:eastAsia="pl-PL"/>
        </w:rPr>
        <w:drawing>
          <wp:inline distT="0" distB="0" distL="0" distR="0" wp14:anchorId="5DD1DB76" wp14:editId="56DD22CB">
            <wp:extent cx="5760720" cy="2982595"/>
            <wp:effectExtent l="0" t="0" r="11430" b="8255"/>
            <wp:docPr id="88" name="Wykres 8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F3ADA" w:rsidRPr="00BE176D" w:rsidRDefault="001F3ADA" w:rsidP="001F3ADA">
      <w:pPr>
        <w:jc w:val="right"/>
        <w:rPr>
          <w:rFonts w:ascii="Arial" w:hAnsi="Arial" w:cs="Arial"/>
          <w:b/>
          <w:sz w:val="20"/>
          <w:szCs w:val="20"/>
        </w:rPr>
      </w:pPr>
      <w:r w:rsidRPr="00325F8D">
        <w:rPr>
          <w:rFonts w:ascii="Arial" w:hAnsi="Arial" w:cs="Arial"/>
          <w:b/>
          <w:sz w:val="20"/>
          <w:szCs w:val="20"/>
        </w:rPr>
        <w:t>Źródło: Opracowanie własne na podstawie przeprowadzonej inwentaryzacji</w:t>
      </w:r>
    </w:p>
    <w:p w:rsidR="00622CAF" w:rsidRDefault="00622CAF">
      <w:pPr>
        <w:rPr>
          <w:rFonts w:ascii="Arial" w:hAnsi="Arial" w:cs="Arial"/>
          <w:i/>
          <w:sz w:val="24"/>
          <w:szCs w:val="24"/>
          <w:u w:val="single"/>
          <w:lang w:eastAsia="pl-PL"/>
        </w:rPr>
      </w:pPr>
      <w:bookmarkStart w:id="17" w:name="_Toc448611506"/>
      <w:r>
        <w:rPr>
          <w:rFonts w:ascii="Arial" w:hAnsi="Arial" w:cs="Arial"/>
          <w:i/>
          <w:sz w:val="24"/>
          <w:szCs w:val="24"/>
          <w:u w:val="single"/>
          <w:lang w:eastAsia="pl-PL"/>
        </w:rPr>
        <w:br w:type="page"/>
      </w:r>
    </w:p>
    <w:p w:rsidR="001F3ADA" w:rsidRPr="00622CAF" w:rsidRDefault="001F3ADA" w:rsidP="00622CAF">
      <w:pPr>
        <w:spacing w:line="360" w:lineRule="auto"/>
        <w:jc w:val="center"/>
        <w:rPr>
          <w:rFonts w:ascii="Arial" w:hAnsi="Arial" w:cs="Arial"/>
          <w:i/>
          <w:sz w:val="24"/>
          <w:szCs w:val="24"/>
          <w:u w:val="single"/>
          <w:lang w:eastAsia="pl-PL"/>
        </w:rPr>
      </w:pPr>
      <w:r w:rsidRPr="00622CAF">
        <w:rPr>
          <w:rFonts w:ascii="Arial" w:hAnsi="Arial" w:cs="Arial"/>
          <w:i/>
          <w:sz w:val="24"/>
          <w:szCs w:val="24"/>
          <w:u w:val="single"/>
          <w:lang w:eastAsia="pl-PL"/>
        </w:rPr>
        <w:lastRenderedPageBreak/>
        <w:t>Komunalne oświetlenie uliczne</w:t>
      </w:r>
      <w:bookmarkEnd w:id="17"/>
    </w:p>
    <w:p w:rsidR="001F3ADA" w:rsidRDefault="001F3ADA" w:rsidP="001F3ADA">
      <w:pPr>
        <w:spacing w:after="0" w:line="360" w:lineRule="auto"/>
        <w:ind w:firstLine="709"/>
        <w:contextualSpacing/>
        <w:jc w:val="both"/>
        <w:rPr>
          <w:rFonts w:ascii="Arial" w:hAnsi="Arial" w:cs="Arial"/>
          <w:sz w:val="24"/>
          <w:szCs w:val="24"/>
          <w:highlight w:val="yellow"/>
        </w:rPr>
      </w:pPr>
    </w:p>
    <w:p w:rsidR="001F3ADA" w:rsidRPr="00980991" w:rsidRDefault="001F3ADA" w:rsidP="001F3ADA">
      <w:pPr>
        <w:spacing w:after="0" w:line="360" w:lineRule="auto"/>
        <w:ind w:firstLine="709"/>
        <w:contextualSpacing/>
        <w:jc w:val="both"/>
        <w:rPr>
          <w:rFonts w:ascii="Arial" w:hAnsi="Arial" w:cs="Arial"/>
          <w:sz w:val="24"/>
          <w:szCs w:val="24"/>
        </w:rPr>
      </w:pPr>
      <w:r w:rsidRPr="00980991">
        <w:rPr>
          <w:rFonts w:ascii="Arial" w:hAnsi="Arial" w:cs="Arial"/>
          <w:sz w:val="24"/>
          <w:szCs w:val="24"/>
        </w:rPr>
        <w:t xml:space="preserve">Wyniki pochodzące z komunalnego </w:t>
      </w:r>
      <w:r>
        <w:rPr>
          <w:rFonts w:ascii="Arial" w:hAnsi="Arial" w:cs="Arial"/>
          <w:sz w:val="24"/>
          <w:szCs w:val="24"/>
        </w:rPr>
        <w:t>oświetlenia ulicznego zostały</w:t>
      </w:r>
      <w:r w:rsidRPr="00980991">
        <w:rPr>
          <w:rFonts w:ascii="Arial" w:hAnsi="Arial" w:cs="Arial"/>
          <w:sz w:val="24"/>
          <w:szCs w:val="24"/>
        </w:rPr>
        <w:t xml:space="preserve"> oszacowana na podstawie informacji z Urzędu Gminy Garbatka-Letnisko. </w:t>
      </w:r>
      <w:r>
        <w:rPr>
          <w:rFonts w:ascii="Arial" w:hAnsi="Arial" w:cs="Arial"/>
          <w:sz w:val="24"/>
          <w:szCs w:val="24"/>
        </w:rPr>
        <w:t>Przy wyliczaniu wartości z</w:t>
      </w:r>
      <w:r w:rsidRPr="00980991">
        <w:rPr>
          <w:rFonts w:ascii="Arial" w:hAnsi="Arial" w:cs="Arial"/>
          <w:sz w:val="24"/>
          <w:szCs w:val="24"/>
        </w:rPr>
        <w:t>ostała uwzględniona specyfikacja w zakresie ilości lamp, ich parametrów technicznych i godzin włączenia/wyłączenia. Po oszacowaniu zużycia prądu wyznaczono emisję CO</w:t>
      </w:r>
      <w:r w:rsidRPr="00980991">
        <w:rPr>
          <w:rFonts w:ascii="Arial" w:hAnsi="Arial" w:cs="Arial"/>
          <w:sz w:val="24"/>
          <w:szCs w:val="24"/>
          <w:vertAlign w:val="subscript"/>
        </w:rPr>
        <w:t>2</w:t>
      </w:r>
      <w:r w:rsidRPr="00980991">
        <w:rPr>
          <w:rFonts w:ascii="Arial" w:hAnsi="Arial" w:cs="Arial"/>
          <w:sz w:val="24"/>
          <w:szCs w:val="24"/>
        </w:rPr>
        <w:t xml:space="preserve"> na podstawie odpowiednich przeliczników.</w:t>
      </w:r>
    </w:p>
    <w:p w:rsidR="001F3ADA" w:rsidRPr="00980991" w:rsidRDefault="001F3ADA" w:rsidP="001F3ADA">
      <w:pPr>
        <w:spacing w:line="360" w:lineRule="auto"/>
        <w:ind w:firstLine="709"/>
        <w:jc w:val="both"/>
        <w:rPr>
          <w:rFonts w:ascii="Arial" w:hAnsi="Arial" w:cs="Arial"/>
          <w:sz w:val="24"/>
          <w:szCs w:val="24"/>
        </w:rPr>
      </w:pPr>
      <w:r w:rsidRPr="00980991">
        <w:rPr>
          <w:rFonts w:ascii="Arial" w:hAnsi="Arial" w:cs="Arial"/>
          <w:sz w:val="24"/>
          <w:szCs w:val="24"/>
        </w:rPr>
        <w:t>Końcowe zużycie energii na terenie Gminy Garbatka-Letnisko w sektorze komunalne oświetlenie uliczne wynosi 358,5 MWh</w:t>
      </w:r>
      <w:r>
        <w:rPr>
          <w:rFonts w:ascii="Arial" w:hAnsi="Arial" w:cs="Arial"/>
          <w:sz w:val="24"/>
          <w:szCs w:val="24"/>
        </w:rPr>
        <w:t>. W</w:t>
      </w:r>
      <w:r w:rsidRPr="00980991">
        <w:rPr>
          <w:rFonts w:ascii="Arial" w:hAnsi="Arial" w:cs="Arial"/>
          <w:sz w:val="24"/>
          <w:szCs w:val="24"/>
        </w:rPr>
        <w:t xml:space="preserve">ynika </w:t>
      </w:r>
      <w:r>
        <w:rPr>
          <w:rFonts w:ascii="Arial" w:hAnsi="Arial" w:cs="Arial"/>
          <w:sz w:val="24"/>
          <w:szCs w:val="24"/>
        </w:rPr>
        <w:t xml:space="preserve">ono </w:t>
      </w:r>
      <w:r w:rsidRPr="00980991">
        <w:rPr>
          <w:rFonts w:ascii="Arial" w:hAnsi="Arial" w:cs="Arial"/>
          <w:sz w:val="24"/>
          <w:szCs w:val="24"/>
        </w:rPr>
        <w:t>ze zużycia energii elektrycznej.</w:t>
      </w:r>
    </w:p>
    <w:p w:rsidR="001F3ADA" w:rsidRPr="00980991" w:rsidRDefault="001F3ADA" w:rsidP="001F3ADA">
      <w:pPr>
        <w:spacing w:line="360" w:lineRule="auto"/>
        <w:ind w:firstLine="709"/>
        <w:jc w:val="both"/>
        <w:rPr>
          <w:rFonts w:ascii="Arial" w:hAnsi="Arial" w:cs="Arial"/>
          <w:sz w:val="24"/>
          <w:szCs w:val="24"/>
        </w:rPr>
      </w:pPr>
      <w:r w:rsidRPr="00980991">
        <w:rPr>
          <w:rFonts w:ascii="Arial" w:hAnsi="Arial" w:cs="Arial"/>
          <w:sz w:val="24"/>
          <w:szCs w:val="24"/>
        </w:rPr>
        <w:t>Łączna emisja dwutlenku węgla w sektorze komunalne oświetlenie uliczne wyniosła 427 Mg.</w:t>
      </w:r>
    </w:p>
    <w:p w:rsidR="001F3ADA" w:rsidRDefault="001F3ADA" w:rsidP="001F3ADA">
      <w:pPr>
        <w:ind w:firstLine="709"/>
        <w:rPr>
          <w:rFonts w:ascii="Arial" w:hAnsi="Arial" w:cs="Arial"/>
          <w:sz w:val="24"/>
          <w:szCs w:val="24"/>
        </w:rPr>
      </w:pPr>
      <w:r w:rsidRPr="00980991">
        <w:rPr>
          <w:rFonts w:ascii="Arial" w:hAnsi="Arial" w:cs="Arial"/>
          <w:sz w:val="24"/>
          <w:szCs w:val="24"/>
        </w:rPr>
        <w:t>W omawianym sektorze brak jest udziału odnawialnych źródeł energii.</w:t>
      </w:r>
    </w:p>
    <w:p w:rsidR="00622CAF" w:rsidRDefault="00622CAF" w:rsidP="001F3ADA">
      <w:pPr>
        <w:ind w:firstLine="709"/>
        <w:rPr>
          <w:rFonts w:ascii="Arial" w:hAnsi="Arial" w:cs="Arial"/>
          <w:sz w:val="24"/>
          <w:szCs w:val="24"/>
        </w:rPr>
      </w:pPr>
    </w:p>
    <w:p w:rsidR="001F3ADA" w:rsidRPr="00622CAF" w:rsidRDefault="001F3ADA" w:rsidP="00622CAF">
      <w:pPr>
        <w:spacing w:line="360" w:lineRule="auto"/>
        <w:jc w:val="center"/>
        <w:rPr>
          <w:rFonts w:ascii="Arial" w:hAnsi="Arial" w:cs="Arial"/>
          <w:i/>
          <w:sz w:val="24"/>
          <w:szCs w:val="24"/>
          <w:u w:val="single"/>
          <w:lang w:eastAsia="pl-PL"/>
        </w:rPr>
      </w:pPr>
      <w:bookmarkStart w:id="18" w:name="_Toc448611507"/>
      <w:r w:rsidRPr="00622CAF">
        <w:rPr>
          <w:rFonts w:ascii="Arial" w:hAnsi="Arial" w:cs="Arial"/>
          <w:i/>
          <w:sz w:val="24"/>
          <w:szCs w:val="24"/>
          <w:u w:val="single"/>
          <w:lang w:eastAsia="pl-PL"/>
        </w:rPr>
        <w:t>Tabor gminny</w:t>
      </w:r>
      <w:bookmarkEnd w:id="18"/>
    </w:p>
    <w:p w:rsidR="001F3ADA" w:rsidRDefault="001F3ADA" w:rsidP="001F3ADA">
      <w:pPr>
        <w:spacing w:after="0" w:line="360" w:lineRule="auto"/>
        <w:ind w:firstLine="709"/>
        <w:jc w:val="both"/>
        <w:rPr>
          <w:rFonts w:ascii="Arial" w:hAnsi="Arial" w:cs="Arial"/>
          <w:sz w:val="24"/>
          <w:szCs w:val="24"/>
        </w:rPr>
      </w:pPr>
    </w:p>
    <w:p w:rsidR="001F3ADA" w:rsidRPr="00B368BE" w:rsidRDefault="001F3ADA" w:rsidP="001F3ADA">
      <w:pPr>
        <w:spacing w:after="0" w:line="360" w:lineRule="auto"/>
        <w:ind w:firstLine="709"/>
        <w:jc w:val="both"/>
        <w:rPr>
          <w:rFonts w:ascii="Arial" w:hAnsi="Arial" w:cs="Arial"/>
          <w:sz w:val="24"/>
          <w:szCs w:val="24"/>
        </w:rPr>
      </w:pPr>
      <w:r w:rsidRPr="00B368BE">
        <w:rPr>
          <w:rFonts w:ascii="Arial" w:hAnsi="Arial" w:cs="Arial"/>
          <w:sz w:val="24"/>
          <w:szCs w:val="24"/>
        </w:rPr>
        <w:t>Wyniki w sektorze tabor gminny zostały uzyskane po analizie danych otrzymanych z Urzędu Gminy Garbatka-Letnisko, które następnie odpowiednio przeliczono, aby uwzględnić je w Bazie Inwentaryzacyjnej.</w:t>
      </w:r>
    </w:p>
    <w:p w:rsidR="001F3ADA" w:rsidRPr="00F32AA5" w:rsidRDefault="001F3ADA" w:rsidP="001F3ADA">
      <w:pPr>
        <w:spacing w:line="360" w:lineRule="auto"/>
        <w:ind w:firstLine="709"/>
        <w:jc w:val="both"/>
        <w:rPr>
          <w:rFonts w:ascii="Arial" w:hAnsi="Arial" w:cs="Arial"/>
          <w:sz w:val="24"/>
          <w:szCs w:val="24"/>
        </w:rPr>
      </w:pPr>
      <w:r w:rsidRPr="00B368BE">
        <w:rPr>
          <w:rFonts w:ascii="Arial" w:hAnsi="Arial" w:cs="Arial"/>
          <w:sz w:val="24"/>
          <w:szCs w:val="24"/>
        </w:rPr>
        <w:t xml:space="preserve">Końcowe zużycie energii na terenie Gminy Garbatka-Letnisko w sektorze tabor gminny wynosi </w:t>
      </w:r>
      <w:r w:rsidRPr="00F32AA5">
        <w:rPr>
          <w:rFonts w:ascii="Arial" w:hAnsi="Arial" w:cs="Arial"/>
          <w:sz w:val="24"/>
          <w:szCs w:val="24"/>
        </w:rPr>
        <w:t>53,5 MWh, w tym:</w:t>
      </w:r>
    </w:p>
    <w:p w:rsidR="001F3ADA" w:rsidRPr="00F32AA5" w:rsidRDefault="001F3ADA" w:rsidP="00C552FE">
      <w:pPr>
        <w:pStyle w:val="Akapitzlist"/>
        <w:numPr>
          <w:ilvl w:val="0"/>
          <w:numId w:val="15"/>
        </w:numPr>
        <w:spacing w:after="160" w:line="360" w:lineRule="auto"/>
        <w:jc w:val="both"/>
        <w:rPr>
          <w:rFonts w:ascii="Arial" w:hAnsi="Arial" w:cs="Arial"/>
        </w:rPr>
      </w:pPr>
      <w:r w:rsidRPr="00F32AA5">
        <w:rPr>
          <w:rFonts w:ascii="Arial" w:hAnsi="Arial" w:cs="Arial"/>
        </w:rPr>
        <w:t>gaz ciekły – 1,8 MWh,</w:t>
      </w:r>
    </w:p>
    <w:p w:rsidR="001F3ADA" w:rsidRPr="00F32AA5" w:rsidRDefault="001F3ADA" w:rsidP="00C552FE">
      <w:pPr>
        <w:pStyle w:val="Akapitzlist"/>
        <w:numPr>
          <w:ilvl w:val="0"/>
          <w:numId w:val="15"/>
        </w:numPr>
        <w:spacing w:after="160" w:line="360" w:lineRule="auto"/>
        <w:jc w:val="both"/>
        <w:rPr>
          <w:rFonts w:ascii="Arial" w:hAnsi="Arial" w:cs="Arial"/>
        </w:rPr>
      </w:pPr>
      <w:r w:rsidRPr="00F32AA5">
        <w:rPr>
          <w:rFonts w:ascii="Arial" w:hAnsi="Arial" w:cs="Arial"/>
        </w:rPr>
        <w:t>olej napędowy – 46,1 MWh,</w:t>
      </w:r>
    </w:p>
    <w:p w:rsidR="001F3ADA" w:rsidRDefault="001F3ADA" w:rsidP="00C552FE">
      <w:pPr>
        <w:pStyle w:val="Akapitzlist"/>
        <w:numPr>
          <w:ilvl w:val="0"/>
          <w:numId w:val="15"/>
        </w:numPr>
        <w:spacing w:after="160" w:line="360" w:lineRule="auto"/>
        <w:jc w:val="both"/>
        <w:rPr>
          <w:rFonts w:ascii="Arial" w:hAnsi="Arial" w:cs="Arial"/>
        </w:rPr>
      </w:pPr>
      <w:r w:rsidRPr="00F32AA5">
        <w:rPr>
          <w:rFonts w:ascii="Arial" w:hAnsi="Arial" w:cs="Arial"/>
        </w:rPr>
        <w:t>benzyna – 5,6 MWh.</w:t>
      </w:r>
    </w:p>
    <w:p w:rsidR="001F3ADA" w:rsidRPr="00F72599" w:rsidRDefault="001F3ADA" w:rsidP="001F3ADA">
      <w:pPr>
        <w:rPr>
          <w:rFonts w:ascii="Arial" w:hAnsi="Arial" w:cs="Arial"/>
          <w:sz w:val="24"/>
          <w:szCs w:val="24"/>
        </w:rPr>
      </w:pPr>
      <w:r>
        <w:rPr>
          <w:rFonts w:ascii="Arial" w:hAnsi="Arial" w:cs="Arial"/>
          <w:sz w:val="24"/>
          <w:szCs w:val="24"/>
        </w:rPr>
        <w:br w:type="page"/>
      </w:r>
    </w:p>
    <w:p w:rsidR="001F3ADA" w:rsidRPr="00F32AA5" w:rsidRDefault="001F3ADA" w:rsidP="001F3ADA">
      <w:pPr>
        <w:pStyle w:val="Legenda"/>
        <w:rPr>
          <w:rFonts w:ascii="Arial" w:hAnsi="Arial" w:cs="Arial"/>
          <w:sz w:val="22"/>
          <w:szCs w:val="22"/>
        </w:rPr>
      </w:pPr>
      <w:bookmarkStart w:id="19" w:name="_Toc448611427"/>
      <w:r w:rsidRPr="00F32AA5">
        <w:rPr>
          <w:sz w:val="22"/>
          <w:szCs w:val="22"/>
        </w:rPr>
        <w:lastRenderedPageBreak/>
        <w:t xml:space="preserve">Rysunek </w:t>
      </w:r>
      <w:r w:rsidRPr="00F32AA5">
        <w:rPr>
          <w:sz w:val="22"/>
          <w:szCs w:val="22"/>
        </w:rPr>
        <w:fldChar w:fldCharType="begin"/>
      </w:r>
      <w:r w:rsidRPr="00F32AA5">
        <w:rPr>
          <w:sz w:val="22"/>
          <w:szCs w:val="22"/>
        </w:rPr>
        <w:instrText xml:space="preserve"> SEQ Rysunek \* ARABIC </w:instrText>
      </w:r>
      <w:r w:rsidRPr="00F32AA5">
        <w:rPr>
          <w:sz w:val="22"/>
          <w:szCs w:val="22"/>
        </w:rPr>
        <w:fldChar w:fldCharType="separate"/>
      </w:r>
      <w:r w:rsidR="009246DC">
        <w:rPr>
          <w:noProof/>
          <w:sz w:val="22"/>
          <w:szCs w:val="22"/>
        </w:rPr>
        <w:t>12</w:t>
      </w:r>
      <w:r w:rsidRPr="00F32AA5">
        <w:rPr>
          <w:sz w:val="22"/>
          <w:szCs w:val="22"/>
        </w:rPr>
        <w:fldChar w:fldCharType="end"/>
      </w:r>
      <w:r w:rsidRPr="00F32AA5">
        <w:rPr>
          <w:sz w:val="22"/>
          <w:szCs w:val="22"/>
        </w:rPr>
        <w:t xml:space="preserve"> Zużycie</w:t>
      </w:r>
      <w:r>
        <w:rPr>
          <w:sz w:val="22"/>
          <w:szCs w:val="22"/>
        </w:rPr>
        <w:t xml:space="preserve"> paliwa </w:t>
      </w:r>
      <w:r w:rsidRPr="00F32AA5">
        <w:rPr>
          <w:sz w:val="22"/>
          <w:szCs w:val="22"/>
        </w:rPr>
        <w:t>w sektorze tabor gminny w Gminie Garbatka-Letnisko</w:t>
      </w:r>
      <w:bookmarkEnd w:id="19"/>
    </w:p>
    <w:p w:rsidR="001F3ADA" w:rsidRDefault="001F3ADA" w:rsidP="001F3ADA">
      <w:pPr>
        <w:spacing w:line="360" w:lineRule="auto"/>
        <w:jc w:val="both"/>
        <w:rPr>
          <w:rFonts w:ascii="Arial" w:hAnsi="Arial" w:cs="Arial"/>
          <w:b/>
          <w:sz w:val="20"/>
          <w:szCs w:val="20"/>
        </w:rPr>
      </w:pPr>
      <w:r w:rsidRPr="00325F8D">
        <w:rPr>
          <w:rFonts w:ascii="Arial" w:hAnsi="Arial" w:cs="Arial"/>
          <w:noProof/>
          <w:sz w:val="24"/>
          <w:szCs w:val="24"/>
          <w:lang w:eastAsia="pl-PL"/>
        </w:rPr>
        <w:drawing>
          <wp:inline distT="0" distB="0" distL="0" distR="0" wp14:anchorId="7C8CB948" wp14:editId="3DAD02CE">
            <wp:extent cx="5759450" cy="3460750"/>
            <wp:effectExtent l="0" t="0" r="12700" b="6350"/>
            <wp:docPr id="32" name="Wykres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F3ADA" w:rsidRPr="00622CAF" w:rsidRDefault="001F3ADA" w:rsidP="00622CAF">
      <w:pPr>
        <w:spacing w:line="360" w:lineRule="auto"/>
        <w:ind w:firstLine="709"/>
        <w:jc w:val="right"/>
        <w:rPr>
          <w:rFonts w:ascii="Arial" w:hAnsi="Arial" w:cs="Arial"/>
          <w:b/>
          <w:sz w:val="20"/>
          <w:szCs w:val="20"/>
        </w:rPr>
      </w:pPr>
      <w:r w:rsidRPr="00325F8D">
        <w:rPr>
          <w:rFonts w:ascii="Arial" w:hAnsi="Arial" w:cs="Arial"/>
          <w:b/>
          <w:sz w:val="20"/>
          <w:szCs w:val="20"/>
        </w:rPr>
        <w:t>Źródło: Opracowanie własne na podstawie przeprowadzonej inwentaryzacji</w:t>
      </w:r>
    </w:p>
    <w:p w:rsidR="001F3ADA" w:rsidRPr="00F32AA5" w:rsidRDefault="001F3ADA" w:rsidP="001F3ADA">
      <w:pPr>
        <w:spacing w:line="360" w:lineRule="auto"/>
        <w:ind w:firstLine="709"/>
        <w:jc w:val="both"/>
        <w:rPr>
          <w:rFonts w:ascii="Arial" w:hAnsi="Arial" w:cs="Arial"/>
          <w:sz w:val="24"/>
          <w:szCs w:val="24"/>
        </w:rPr>
      </w:pPr>
      <w:r w:rsidRPr="00F32AA5">
        <w:rPr>
          <w:rFonts w:ascii="Arial" w:hAnsi="Arial" w:cs="Arial"/>
          <w:sz w:val="24"/>
          <w:szCs w:val="24"/>
        </w:rPr>
        <w:t xml:space="preserve">Łączna emisja dwutlenku węgla w sektorze tabor gminny wyniosła 14,1 Mg, </w:t>
      </w:r>
      <w:r w:rsidRPr="00F32AA5">
        <w:rPr>
          <w:rFonts w:ascii="Arial" w:hAnsi="Arial" w:cs="Arial"/>
          <w:sz w:val="24"/>
          <w:szCs w:val="24"/>
        </w:rPr>
        <w:br/>
        <w:t>w tym:</w:t>
      </w:r>
    </w:p>
    <w:p w:rsidR="001F3ADA" w:rsidRPr="00177032" w:rsidRDefault="001F3ADA" w:rsidP="00C552FE">
      <w:pPr>
        <w:pStyle w:val="Akapitzlist"/>
        <w:numPr>
          <w:ilvl w:val="0"/>
          <w:numId w:val="15"/>
        </w:numPr>
        <w:spacing w:after="160" w:line="360" w:lineRule="auto"/>
        <w:jc w:val="both"/>
        <w:rPr>
          <w:rFonts w:ascii="Arial" w:hAnsi="Arial" w:cs="Arial"/>
        </w:rPr>
      </w:pPr>
      <w:r w:rsidRPr="00177032">
        <w:rPr>
          <w:rFonts w:ascii="Arial" w:hAnsi="Arial" w:cs="Arial"/>
        </w:rPr>
        <w:t>gaz ciekły – 0</w:t>
      </w:r>
      <w:r>
        <w:rPr>
          <w:rFonts w:ascii="Arial" w:hAnsi="Arial" w:cs="Arial"/>
        </w:rPr>
        <w:t>,4 Mg</w:t>
      </w:r>
      <w:r w:rsidRPr="00177032">
        <w:rPr>
          <w:rFonts w:ascii="Arial" w:hAnsi="Arial" w:cs="Arial"/>
        </w:rPr>
        <w:t>,</w:t>
      </w:r>
    </w:p>
    <w:p w:rsidR="001F3ADA" w:rsidRPr="00177032" w:rsidRDefault="001F3ADA" w:rsidP="00C552FE">
      <w:pPr>
        <w:pStyle w:val="Akapitzlist"/>
        <w:numPr>
          <w:ilvl w:val="0"/>
          <w:numId w:val="15"/>
        </w:numPr>
        <w:spacing w:after="160" w:line="360" w:lineRule="auto"/>
        <w:jc w:val="both"/>
        <w:rPr>
          <w:rFonts w:ascii="Arial" w:hAnsi="Arial" w:cs="Arial"/>
        </w:rPr>
      </w:pPr>
      <w:r w:rsidRPr="00177032">
        <w:rPr>
          <w:rFonts w:ascii="Arial" w:hAnsi="Arial" w:cs="Arial"/>
        </w:rPr>
        <w:t xml:space="preserve">olej napędowy – </w:t>
      </w:r>
      <w:r>
        <w:rPr>
          <w:rFonts w:ascii="Arial" w:hAnsi="Arial" w:cs="Arial"/>
        </w:rPr>
        <w:t>12,3</w:t>
      </w:r>
      <w:r w:rsidRPr="00177032">
        <w:rPr>
          <w:rFonts w:ascii="Arial" w:hAnsi="Arial" w:cs="Arial"/>
        </w:rPr>
        <w:t xml:space="preserve"> M</w:t>
      </w:r>
      <w:r>
        <w:rPr>
          <w:rFonts w:ascii="Arial" w:hAnsi="Arial" w:cs="Arial"/>
        </w:rPr>
        <w:t>g</w:t>
      </w:r>
      <w:r w:rsidRPr="00177032">
        <w:rPr>
          <w:rFonts w:ascii="Arial" w:hAnsi="Arial" w:cs="Arial"/>
        </w:rPr>
        <w:t>,</w:t>
      </w:r>
    </w:p>
    <w:p w:rsidR="001F3ADA" w:rsidRDefault="001F3ADA" w:rsidP="00C552FE">
      <w:pPr>
        <w:pStyle w:val="Akapitzlist"/>
        <w:numPr>
          <w:ilvl w:val="0"/>
          <w:numId w:val="15"/>
        </w:numPr>
        <w:spacing w:after="160" w:line="360" w:lineRule="auto"/>
        <w:jc w:val="both"/>
        <w:rPr>
          <w:rFonts w:ascii="Arial" w:hAnsi="Arial" w:cs="Arial"/>
        </w:rPr>
      </w:pPr>
      <w:r w:rsidRPr="00177032">
        <w:rPr>
          <w:rFonts w:ascii="Arial" w:hAnsi="Arial" w:cs="Arial"/>
        </w:rPr>
        <w:t>benzyna – 1</w:t>
      </w:r>
      <w:r>
        <w:rPr>
          <w:rFonts w:ascii="Arial" w:hAnsi="Arial" w:cs="Arial"/>
        </w:rPr>
        <w:t>,4</w:t>
      </w:r>
      <w:r w:rsidRPr="00177032">
        <w:rPr>
          <w:rFonts w:ascii="Arial" w:hAnsi="Arial" w:cs="Arial"/>
        </w:rPr>
        <w:t xml:space="preserve"> M</w:t>
      </w:r>
      <w:r>
        <w:rPr>
          <w:rFonts w:ascii="Arial" w:hAnsi="Arial" w:cs="Arial"/>
        </w:rPr>
        <w:t>g</w:t>
      </w:r>
      <w:r w:rsidRPr="00177032">
        <w:rPr>
          <w:rFonts w:ascii="Arial" w:hAnsi="Arial" w:cs="Arial"/>
        </w:rPr>
        <w:t>.</w:t>
      </w:r>
    </w:p>
    <w:p w:rsidR="0078034F" w:rsidRDefault="0078034F">
      <w:pPr>
        <w:rPr>
          <w:rFonts w:ascii="Times New Roman" w:eastAsia="Times New Roman" w:hAnsi="Times New Roman" w:cs="Times New Roman"/>
          <w:b/>
          <w:bCs/>
        </w:rPr>
      </w:pPr>
      <w:bookmarkStart w:id="20" w:name="_Toc448611428"/>
      <w:r>
        <w:br w:type="page"/>
      </w:r>
    </w:p>
    <w:p w:rsidR="001F3ADA" w:rsidRPr="00F72599" w:rsidRDefault="001F3ADA" w:rsidP="001F3ADA">
      <w:pPr>
        <w:pStyle w:val="Legenda"/>
        <w:rPr>
          <w:sz w:val="22"/>
          <w:szCs w:val="22"/>
        </w:rPr>
      </w:pPr>
      <w:r w:rsidRPr="00F72599">
        <w:rPr>
          <w:sz w:val="22"/>
          <w:szCs w:val="22"/>
        </w:rPr>
        <w:lastRenderedPageBreak/>
        <w:t xml:space="preserve">Rysunek </w:t>
      </w:r>
      <w:r w:rsidRPr="00F72599">
        <w:rPr>
          <w:sz w:val="22"/>
          <w:szCs w:val="22"/>
        </w:rPr>
        <w:fldChar w:fldCharType="begin"/>
      </w:r>
      <w:r w:rsidRPr="00F72599">
        <w:rPr>
          <w:sz w:val="22"/>
          <w:szCs w:val="22"/>
        </w:rPr>
        <w:instrText xml:space="preserve"> SEQ Rysunek \* ARABIC </w:instrText>
      </w:r>
      <w:r w:rsidRPr="00F72599">
        <w:rPr>
          <w:sz w:val="22"/>
          <w:szCs w:val="22"/>
        </w:rPr>
        <w:fldChar w:fldCharType="separate"/>
      </w:r>
      <w:r w:rsidR="009246DC">
        <w:rPr>
          <w:noProof/>
          <w:sz w:val="22"/>
          <w:szCs w:val="22"/>
        </w:rPr>
        <w:t>13</w:t>
      </w:r>
      <w:r w:rsidRPr="00F72599">
        <w:rPr>
          <w:sz w:val="22"/>
          <w:szCs w:val="22"/>
        </w:rPr>
        <w:fldChar w:fldCharType="end"/>
      </w:r>
      <w:r w:rsidRPr="00F72599">
        <w:rPr>
          <w:sz w:val="22"/>
          <w:szCs w:val="22"/>
        </w:rPr>
        <w:t xml:space="preserve"> Emisja</w:t>
      </w:r>
      <w:r>
        <w:rPr>
          <w:sz w:val="22"/>
          <w:szCs w:val="22"/>
        </w:rPr>
        <w:t xml:space="preserve"> CO</w:t>
      </w:r>
      <w:r w:rsidRPr="00F72599">
        <w:rPr>
          <w:sz w:val="22"/>
          <w:szCs w:val="22"/>
          <w:vertAlign w:val="subscript"/>
        </w:rPr>
        <w:t>2</w:t>
      </w:r>
      <w:r w:rsidRPr="00F72599">
        <w:rPr>
          <w:sz w:val="22"/>
          <w:szCs w:val="22"/>
        </w:rPr>
        <w:t xml:space="preserve"> z paliwa</w:t>
      </w:r>
      <w:r w:rsidRPr="00F72599">
        <w:rPr>
          <w:rFonts w:ascii="Arial" w:hAnsi="Arial" w:cs="Arial"/>
          <w:sz w:val="22"/>
          <w:szCs w:val="22"/>
        </w:rPr>
        <w:t xml:space="preserve"> </w:t>
      </w:r>
      <w:r w:rsidRPr="00F72599">
        <w:rPr>
          <w:sz w:val="22"/>
          <w:szCs w:val="22"/>
        </w:rPr>
        <w:t>w sektorze tabor gminny w Gminie Garbatka-Letnisko</w:t>
      </w:r>
      <w:bookmarkEnd w:id="20"/>
    </w:p>
    <w:p w:rsidR="001F3ADA" w:rsidRPr="00F72599" w:rsidRDefault="001F3ADA" w:rsidP="001F3ADA">
      <w:pPr>
        <w:pStyle w:val="Akapitzlist"/>
        <w:spacing w:line="360" w:lineRule="auto"/>
        <w:ind w:left="0"/>
        <w:jc w:val="both"/>
        <w:rPr>
          <w:rFonts w:ascii="Arial" w:hAnsi="Arial" w:cs="Arial"/>
          <w:b/>
          <w:sz w:val="20"/>
          <w:szCs w:val="20"/>
        </w:rPr>
      </w:pPr>
      <w:r w:rsidRPr="00325F8D">
        <w:rPr>
          <w:noProof/>
        </w:rPr>
        <w:drawing>
          <wp:inline distT="0" distB="0" distL="0" distR="0" wp14:anchorId="31517839" wp14:editId="1D7DDEF4">
            <wp:extent cx="5759450" cy="3359150"/>
            <wp:effectExtent l="0" t="0" r="12700" b="12700"/>
            <wp:docPr id="40" name="Wykres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22CAF" w:rsidRDefault="001F3ADA" w:rsidP="001F3ADA">
      <w:pPr>
        <w:pStyle w:val="Akapitzlist"/>
        <w:spacing w:line="360" w:lineRule="auto"/>
        <w:ind w:left="1429"/>
        <w:jc w:val="right"/>
        <w:rPr>
          <w:rFonts w:ascii="Arial" w:hAnsi="Arial" w:cs="Arial"/>
          <w:b/>
          <w:sz w:val="20"/>
          <w:szCs w:val="20"/>
        </w:rPr>
      </w:pPr>
      <w:r w:rsidRPr="00F72599">
        <w:rPr>
          <w:rFonts w:ascii="Arial" w:hAnsi="Arial" w:cs="Arial"/>
          <w:b/>
          <w:sz w:val="20"/>
          <w:szCs w:val="20"/>
        </w:rPr>
        <w:t>Źródło: Opracowanie własne na podstawie przeprowadzonej inwentaryzacji</w:t>
      </w:r>
    </w:p>
    <w:p w:rsidR="001F3ADA" w:rsidRPr="00622CAF" w:rsidRDefault="001F3ADA" w:rsidP="00622CAF">
      <w:pPr>
        <w:rPr>
          <w:rFonts w:ascii="Arial" w:eastAsia="Times New Roman" w:hAnsi="Arial" w:cs="Arial"/>
          <w:b/>
          <w:sz w:val="20"/>
          <w:szCs w:val="20"/>
          <w:lang w:eastAsia="pl-PL"/>
        </w:rPr>
      </w:pPr>
    </w:p>
    <w:p w:rsidR="001F3ADA" w:rsidRDefault="001F3ADA" w:rsidP="001F3ADA">
      <w:pPr>
        <w:spacing w:line="360" w:lineRule="auto"/>
        <w:ind w:firstLine="709"/>
        <w:rPr>
          <w:rFonts w:ascii="Arial" w:hAnsi="Arial" w:cs="Arial"/>
          <w:sz w:val="24"/>
          <w:szCs w:val="24"/>
        </w:rPr>
      </w:pPr>
      <w:r>
        <w:rPr>
          <w:rFonts w:ascii="Arial" w:hAnsi="Arial" w:cs="Arial"/>
          <w:sz w:val="24"/>
          <w:szCs w:val="24"/>
        </w:rPr>
        <w:t xml:space="preserve">W omawianym sektorze </w:t>
      </w:r>
      <w:r w:rsidRPr="00B368BE">
        <w:rPr>
          <w:rFonts w:ascii="Arial" w:hAnsi="Arial" w:cs="Arial"/>
          <w:sz w:val="24"/>
          <w:szCs w:val="24"/>
        </w:rPr>
        <w:t>brak jest udziału odnawialnych źródeł energii.</w:t>
      </w:r>
    </w:p>
    <w:p w:rsidR="00622CAF" w:rsidRDefault="00622CAF" w:rsidP="001F3ADA">
      <w:pPr>
        <w:spacing w:line="360" w:lineRule="auto"/>
        <w:ind w:firstLine="709"/>
      </w:pPr>
    </w:p>
    <w:p w:rsidR="001F3ADA" w:rsidRPr="00622CAF" w:rsidRDefault="001F3ADA" w:rsidP="00622CAF">
      <w:pPr>
        <w:spacing w:line="360" w:lineRule="auto"/>
        <w:jc w:val="center"/>
        <w:rPr>
          <w:rFonts w:ascii="Arial" w:hAnsi="Arial" w:cs="Arial"/>
          <w:i/>
          <w:sz w:val="24"/>
          <w:szCs w:val="24"/>
          <w:u w:val="single"/>
          <w:lang w:eastAsia="pl-PL"/>
        </w:rPr>
      </w:pPr>
      <w:bookmarkStart w:id="21" w:name="_Toc448611508"/>
      <w:r w:rsidRPr="00622CAF">
        <w:rPr>
          <w:rFonts w:ascii="Arial" w:hAnsi="Arial" w:cs="Arial"/>
          <w:i/>
          <w:sz w:val="24"/>
          <w:szCs w:val="24"/>
          <w:u w:val="single"/>
          <w:lang w:eastAsia="pl-PL"/>
        </w:rPr>
        <w:t>Transport publiczny</w:t>
      </w:r>
      <w:bookmarkEnd w:id="21"/>
    </w:p>
    <w:p w:rsidR="001F3ADA" w:rsidRDefault="001F3ADA" w:rsidP="001F3ADA">
      <w:pPr>
        <w:spacing w:after="0" w:line="360" w:lineRule="auto"/>
        <w:jc w:val="both"/>
        <w:rPr>
          <w:rFonts w:ascii="Arial" w:hAnsi="Arial" w:cs="Arial"/>
          <w:sz w:val="24"/>
          <w:szCs w:val="24"/>
          <w:highlight w:val="yellow"/>
        </w:rPr>
      </w:pPr>
    </w:p>
    <w:p w:rsidR="001F3ADA" w:rsidRPr="001C33B6" w:rsidRDefault="001F3ADA" w:rsidP="001F3ADA">
      <w:pPr>
        <w:spacing w:after="0" w:line="360" w:lineRule="auto"/>
        <w:ind w:firstLine="709"/>
        <w:jc w:val="both"/>
        <w:rPr>
          <w:rFonts w:ascii="Arial" w:hAnsi="Arial" w:cs="Arial"/>
          <w:sz w:val="24"/>
          <w:szCs w:val="24"/>
        </w:rPr>
      </w:pPr>
      <w:r>
        <w:rPr>
          <w:rFonts w:ascii="Arial" w:hAnsi="Arial" w:cs="Arial"/>
          <w:sz w:val="24"/>
          <w:szCs w:val="24"/>
        </w:rPr>
        <w:t>Emisję</w:t>
      </w:r>
      <w:r w:rsidRPr="001C33B6">
        <w:rPr>
          <w:rFonts w:ascii="Arial" w:hAnsi="Arial" w:cs="Arial"/>
          <w:sz w:val="24"/>
          <w:szCs w:val="24"/>
        </w:rPr>
        <w:t xml:space="preserve"> i zużycie energii w sektorze transport publiczny wyliczono na podstawie danych z Głównego Urzędu Statystycznego i z Starostwa Powiatowego w Kozienicach. Przedmiotowe dane zostały odpowiednio przeliczone, tak aby można było je uwzględnić w Bazie Inwentaryzacyjnej.</w:t>
      </w:r>
    </w:p>
    <w:p w:rsidR="001F3ADA" w:rsidRPr="001C33B6" w:rsidRDefault="001F3ADA" w:rsidP="001F3ADA">
      <w:pPr>
        <w:spacing w:line="360" w:lineRule="auto"/>
        <w:ind w:firstLine="709"/>
        <w:jc w:val="both"/>
        <w:rPr>
          <w:rFonts w:ascii="Arial" w:hAnsi="Arial" w:cs="Arial"/>
          <w:sz w:val="24"/>
          <w:szCs w:val="24"/>
        </w:rPr>
      </w:pPr>
      <w:r w:rsidRPr="001C33B6">
        <w:rPr>
          <w:rFonts w:ascii="Arial" w:hAnsi="Arial" w:cs="Arial"/>
          <w:sz w:val="24"/>
          <w:szCs w:val="24"/>
        </w:rPr>
        <w:t>Końcowe zużycie energii na terenie Gminy Garbatka-Letnisko w sektorze transport publiczny wynosi 395,1</w:t>
      </w:r>
      <w:r>
        <w:rPr>
          <w:rFonts w:ascii="Arial" w:hAnsi="Arial" w:cs="Arial"/>
          <w:sz w:val="24"/>
          <w:szCs w:val="24"/>
        </w:rPr>
        <w:t xml:space="preserve"> MWh. P</w:t>
      </w:r>
      <w:r w:rsidRPr="001C33B6">
        <w:rPr>
          <w:rFonts w:ascii="Arial" w:hAnsi="Arial" w:cs="Arial"/>
          <w:sz w:val="24"/>
          <w:szCs w:val="24"/>
        </w:rPr>
        <w:t>owstaje</w:t>
      </w:r>
      <w:r>
        <w:rPr>
          <w:rFonts w:ascii="Arial" w:hAnsi="Arial" w:cs="Arial"/>
          <w:sz w:val="24"/>
          <w:szCs w:val="24"/>
        </w:rPr>
        <w:t xml:space="preserve"> ono </w:t>
      </w:r>
      <w:r w:rsidRPr="001C33B6">
        <w:rPr>
          <w:rFonts w:ascii="Arial" w:hAnsi="Arial" w:cs="Arial"/>
          <w:sz w:val="24"/>
          <w:szCs w:val="24"/>
        </w:rPr>
        <w:t xml:space="preserve">w </w:t>
      </w:r>
      <w:r>
        <w:rPr>
          <w:rFonts w:ascii="Arial" w:hAnsi="Arial" w:cs="Arial"/>
          <w:sz w:val="24"/>
          <w:szCs w:val="24"/>
        </w:rPr>
        <w:t>wyniku spalania oleju napędowego. Zaś e</w:t>
      </w:r>
      <w:r w:rsidRPr="001C33B6">
        <w:rPr>
          <w:rFonts w:ascii="Arial" w:hAnsi="Arial" w:cs="Arial"/>
          <w:sz w:val="24"/>
          <w:szCs w:val="24"/>
        </w:rPr>
        <w:t xml:space="preserve">misja dwutlenku węgla w </w:t>
      </w:r>
      <w:r>
        <w:rPr>
          <w:rFonts w:ascii="Arial" w:hAnsi="Arial" w:cs="Arial"/>
          <w:sz w:val="24"/>
          <w:szCs w:val="24"/>
        </w:rPr>
        <w:t xml:space="preserve">omawianym </w:t>
      </w:r>
      <w:r w:rsidRPr="001C33B6">
        <w:rPr>
          <w:rFonts w:ascii="Arial" w:hAnsi="Arial" w:cs="Arial"/>
          <w:sz w:val="24"/>
          <w:szCs w:val="24"/>
        </w:rPr>
        <w:t>sektorze wyniosła 105,5 Mg.</w:t>
      </w:r>
    </w:p>
    <w:p w:rsidR="001F3ADA" w:rsidRDefault="001F3ADA" w:rsidP="001F3ADA">
      <w:pPr>
        <w:ind w:firstLine="709"/>
        <w:rPr>
          <w:rFonts w:ascii="Arial" w:hAnsi="Arial" w:cs="Arial"/>
          <w:sz w:val="24"/>
          <w:szCs w:val="24"/>
        </w:rPr>
      </w:pPr>
      <w:r w:rsidRPr="001C33B6">
        <w:rPr>
          <w:rFonts w:ascii="Arial" w:hAnsi="Arial" w:cs="Arial"/>
          <w:sz w:val="24"/>
          <w:szCs w:val="24"/>
        </w:rPr>
        <w:t>W omawianym sektorze brak jest udziału odnawialnych źródeł energii.</w:t>
      </w:r>
    </w:p>
    <w:p w:rsidR="0078034F" w:rsidRDefault="0078034F">
      <w:pPr>
        <w:rPr>
          <w:rFonts w:ascii="Arial" w:hAnsi="Arial" w:cs="Arial"/>
          <w:sz w:val="24"/>
          <w:szCs w:val="24"/>
        </w:rPr>
      </w:pPr>
      <w:r>
        <w:rPr>
          <w:rFonts w:ascii="Arial" w:hAnsi="Arial" w:cs="Arial"/>
          <w:sz w:val="24"/>
          <w:szCs w:val="24"/>
        </w:rPr>
        <w:br w:type="page"/>
      </w:r>
    </w:p>
    <w:p w:rsidR="001F3ADA" w:rsidRPr="00622CAF" w:rsidRDefault="001F3ADA" w:rsidP="00622CAF">
      <w:pPr>
        <w:spacing w:line="360" w:lineRule="auto"/>
        <w:jc w:val="center"/>
        <w:rPr>
          <w:rFonts w:ascii="Arial" w:hAnsi="Arial" w:cs="Arial"/>
          <w:i/>
          <w:sz w:val="24"/>
          <w:szCs w:val="24"/>
          <w:u w:val="single"/>
          <w:lang w:eastAsia="pl-PL"/>
        </w:rPr>
      </w:pPr>
      <w:bookmarkStart w:id="22" w:name="_Toc448611509"/>
      <w:r w:rsidRPr="00622CAF">
        <w:rPr>
          <w:rFonts w:ascii="Arial" w:hAnsi="Arial" w:cs="Arial"/>
          <w:i/>
          <w:sz w:val="24"/>
          <w:szCs w:val="24"/>
          <w:u w:val="single"/>
          <w:lang w:eastAsia="pl-PL"/>
        </w:rPr>
        <w:lastRenderedPageBreak/>
        <w:t>Transport prywatny i komercyjny</w:t>
      </w:r>
      <w:bookmarkEnd w:id="22"/>
    </w:p>
    <w:p w:rsidR="001F3ADA" w:rsidRDefault="001F3ADA" w:rsidP="001F3ADA">
      <w:pPr>
        <w:spacing w:after="0" w:line="360" w:lineRule="auto"/>
        <w:jc w:val="both"/>
        <w:rPr>
          <w:rFonts w:ascii="Arial" w:hAnsi="Arial" w:cs="Arial"/>
          <w:sz w:val="24"/>
          <w:szCs w:val="24"/>
        </w:rPr>
      </w:pPr>
    </w:p>
    <w:p w:rsidR="001F3ADA" w:rsidRPr="00177032" w:rsidRDefault="001F3ADA" w:rsidP="001F3ADA">
      <w:pPr>
        <w:spacing w:after="0" w:line="360" w:lineRule="auto"/>
        <w:ind w:firstLine="709"/>
        <w:jc w:val="both"/>
        <w:rPr>
          <w:rFonts w:ascii="Arial" w:hAnsi="Arial" w:cs="Arial"/>
          <w:sz w:val="24"/>
          <w:szCs w:val="24"/>
        </w:rPr>
      </w:pPr>
      <w:r w:rsidRPr="00177032">
        <w:rPr>
          <w:rFonts w:ascii="Arial" w:hAnsi="Arial" w:cs="Arial"/>
          <w:sz w:val="24"/>
          <w:szCs w:val="24"/>
        </w:rPr>
        <w:t>Wyniki w sektorze transport prywatny i komercyjny opracowano po analizie danych i informacji otrzymanych ze Starostwa Powiatowego w Kozienicach, ankiet dla mieszkańców i przedsiębiorców oraz z punktów kontrolnych Generalnej Dyrekcji Dróg Krajowych i Autostrad</w:t>
      </w:r>
      <w:r>
        <w:rPr>
          <w:rFonts w:ascii="Arial" w:hAnsi="Arial" w:cs="Arial"/>
          <w:sz w:val="24"/>
          <w:szCs w:val="24"/>
        </w:rPr>
        <w:t>.</w:t>
      </w:r>
      <w:r w:rsidRPr="00177032">
        <w:rPr>
          <w:rFonts w:ascii="Arial" w:hAnsi="Arial" w:cs="Arial"/>
          <w:sz w:val="24"/>
          <w:szCs w:val="24"/>
        </w:rPr>
        <w:t xml:space="preserve"> Wyżej wymienione dane zostały odpowiednio przeliczone, tak aby można było je uwzględnić w Bazie Inwentaryzacyjnej.</w:t>
      </w:r>
    </w:p>
    <w:p w:rsidR="001F3ADA" w:rsidRPr="00177032" w:rsidRDefault="001F3ADA" w:rsidP="001F3ADA">
      <w:pPr>
        <w:spacing w:line="360" w:lineRule="auto"/>
        <w:ind w:firstLine="709"/>
        <w:jc w:val="both"/>
        <w:rPr>
          <w:rFonts w:ascii="Arial" w:hAnsi="Arial" w:cs="Arial"/>
          <w:sz w:val="24"/>
          <w:szCs w:val="24"/>
        </w:rPr>
      </w:pPr>
      <w:r w:rsidRPr="00177032">
        <w:rPr>
          <w:rFonts w:ascii="Arial" w:hAnsi="Arial" w:cs="Arial"/>
          <w:sz w:val="24"/>
          <w:szCs w:val="24"/>
        </w:rPr>
        <w:t>Końcowe zużycie energii na terenie Gminy Garbatka-Letnisko w sektorze transport prywatny i komercyjny wynosi 65.955,1 MWh, w tym:</w:t>
      </w:r>
    </w:p>
    <w:p w:rsidR="001F3ADA" w:rsidRPr="00177032" w:rsidRDefault="001F3ADA" w:rsidP="00C552FE">
      <w:pPr>
        <w:pStyle w:val="Akapitzlist"/>
        <w:numPr>
          <w:ilvl w:val="0"/>
          <w:numId w:val="15"/>
        </w:numPr>
        <w:spacing w:after="160" w:line="360" w:lineRule="auto"/>
        <w:jc w:val="both"/>
        <w:rPr>
          <w:rFonts w:ascii="Arial" w:hAnsi="Arial" w:cs="Arial"/>
        </w:rPr>
      </w:pPr>
      <w:r w:rsidRPr="00177032">
        <w:rPr>
          <w:rFonts w:ascii="Arial" w:hAnsi="Arial" w:cs="Arial"/>
        </w:rPr>
        <w:t>gaz ciekły – 10.336,9 MWh,</w:t>
      </w:r>
    </w:p>
    <w:p w:rsidR="001F3ADA" w:rsidRPr="00177032" w:rsidRDefault="001F3ADA" w:rsidP="00C552FE">
      <w:pPr>
        <w:pStyle w:val="Akapitzlist"/>
        <w:numPr>
          <w:ilvl w:val="0"/>
          <w:numId w:val="15"/>
        </w:numPr>
        <w:spacing w:after="160" w:line="360" w:lineRule="auto"/>
        <w:jc w:val="both"/>
        <w:rPr>
          <w:rFonts w:ascii="Arial" w:hAnsi="Arial" w:cs="Arial"/>
        </w:rPr>
      </w:pPr>
      <w:r w:rsidRPr="00177032">
        <w:rPr>
          <w:rFonts w:ascii="Arial" w:hAnsi="Arial" w:cs="Arial"/>
        </w:rPr>
        <w:t>olej napędowy – 37.896,7 MWh,</w:t>
      </w:r>
    </w:p>
    <w:p w:rsidR="001F3ADA" w:rsidRPr="00177032" w:rsidRDefault="001F3ADA" w:rsidP="00C552FE">
      <w:pPr>
        <w:pStyle w:val="Akapitzlist"/>
        <w:numPr>
          <w:ilvl w:val="0"/>
          <w:numId w:val="15"/>
        </w:numPr>
        <w:spacing w:after="160" w:line="360" w:lineRule="auto"/>
        <w:jc w:val="both"/>
        <w:rPr>
          <w:rFonts w:ascii="Arial" w:hAnsi="Arial" w:cs="Arial"/>
        </w:rPr>
      </w:pPr>
      <w:r w:rsidRPr="00177032">
        <w:rPr>
          <w:rFonts w:ascii="Arial" w:hAnsi="Arial" w:cs="Arial"/>
        </w:rPr>
        <w:t>benzyna – 17.721,5 MWh.</w:t>
      </w:r>
    </w:p>
    <w:p w:rsidR="001F3ADA" w:rsidRDefault="001F3ADA" w:rsidP="001F3ADA">
      <w:pPr>
        <w:spacing w:after="0" w:line="360" w:lineRule="auto"/>
        <w:ind w:firstLine="709"/>
        <w:jc w:val="both"/>
        <w:rPr>
          <w:rFonts w:ascii="Arial" w:hAnsi="Arial" w:cs="Arial"/>
          <w:sz w:val="24"/>
          <w:szCs w:val="24"/>
        </w:rPr>
      </w:pPr>
      <w:r w:rsidRPr="00177032">
        <w:rPr>
          <w:rFonts w:ascii="Arial" w:hAnsi="Arial" w:cs="Arial"/>
          <w:sz w:val="24"/>
          <w:szCs w:val="24"/>
        </w:rPr>
        <w:t>Poniższy rysunek przedstawia sektor transport prywatny i komercyjny z podziałem na rodzaj paliwa.</w:t>
      </w:r>
    </w:p>
    <w:p w:rsidR="00573270" w:rsidRDefault="00573270" w:rsidP="001F3ADA">
      <w:pPr>
        <w:spacing w:after="0" w:line="360" w:lineRule="auto"/>
        <w:ind w:firstLine="709"/>
        <w:jc w:val="both"/>
        <w:rPr>
          <w:rFonts w:ascii="Arial" w:hAnsi="Arial" w:cs="Arial"/>
          <w:sz w:val="24"/>
          <w:szCs w:val="24"/>
        </w:rPr>
      </w:pPr>
    </w:p>
    <w:p w:rsidR="001F3ADA" w:rsidRPr="000D652F" w:rsidRDefault="001F3ADA" w:rsidP="001F3ADA">
      <w:pPr>
        <w:pStyle w:val="Legenda"/>
        <w:rPr>
          <w:rFonts w:ascii="Arial" w:hAnsi="Arial" w:cs="Arial"/>
          <w:sz w:val="22"/>
          <w:szCs w:val="22"/>
        </w:rPr>
      </w:pPr>
      <w:bookmarkStart w:id="23" w:name="_Toc448611429"/>
      <w:r w:rsidRPr="00177032">
        <w:rPr>
          <w:sz w:val="22"/>
          <w:szCs w:val="22"/>
        </w:rPr>
        <w:t xml:space="preserve">Rysunek </w:t>
      </w:r>
      <w:r w:rsidRPr="00177032">
        <w:rPr>
          <w:sz w:val="22"/>
          <w:szCs w:val="22"/>
        </w:rPr>
        <w:fldChar w:fldCharType="begin"/>
      </w:r>
      <w:r w:rsidRPr="00177032">
        <w:rPr>
          <w:sz w:val="22"/>
          <w:szCs w:val="22"/>
        </w:rPr>
        <w:instrText xml:space="preserve"> SEQ Rysunek \* ARABIC </w:instrText>
      </w:r>
      <w:r w:rsidRPr="00177032">
        <w:rPr>
          <w:sz w:val="22"/>
          <w:szCs w:val="22"/>
        </w:rPr>
        <w:fldChar w:fldCharType="separate"/>
      </w:r>
      <w:r w:rsidR="009246DC">
        <w:rPr>
          <w:noProof/>
          <w:sz w:val="22"/>
          <w:szCs w:val="22"/>
        </w:rPr>
        <w:t>14</w:t>
      </w:r>
      <w:r w:rsidRPr="00177032">
        <w:rPr>
          <w:noProof/>
          <w:sz w:val="22"/>
          <w:szCs w:val="22"/>
        </w:rPr>
        <w:fldChar w:fldCharType="end"/>
      </w:r>
      <w:r w:rsidRPr="00177032">
        <w:rPr>
          <w:sz w:val="22"/>
          <w:szCs w:val="22"/>
        </w:rPr>
        <w:t xml:space="preserve"> Zużycie energii na terenie Gminy Garbatka-Letnisko w sektorze transport prywatny i komercyjny.</w:t>
      </w:r>
      <w:bookmarkEnd w:id="23"/>
    </w:p>
    <w:p w:rsidR="001F3ADA" w:rsidRPr="00B70E68" w:rsidRDefault="001F3ADA" w:rsidP="001F3ADA">
      <w:pPr>
        <w:spacing w:line="360" w:lineRule="auto"/>
        <w:jc w:val="right"/>
        <w:rPr>
          <w:rFonts w:ascii="Arial" w:hAnsi="Arial" w:cs="Arial"/>
          <w:b/>
          <w:sz w:val="20"/>
          <w:szCs w:val="20"/>
        </w:rPr>
      </w:pPr>
      <w:r w:rsidRPr="00325F8D">
        <w:rPr>
          <w:rFonts w:ascii="Arial" w:hAnsi="Arial" w:cs="Arial"/>
          <w:noProof/>
          <w:sz w:val="24"/>
          <w:szCs w:val="24"/>
          <w:lang w:eastAsia="pl-PL"/>
        </w:rPr>
        <w:drawing>
          <wp:inline distT="0" distB="0" distL="0" distR="0" wp14:anchorId="586C6567" wp14:editId="517B0007">
            <wp:extent cx="5760720" cy="2781300"/>
            <wp:effectExtent l="0" t="0" r="11430" b="0"/>
            <wp:docPr id="89" name="Wykres 8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4559FF">
        <w:rPr>
          <w:rFonts w:ascii="Arial" w:hAnsi="Arial" w:cs="Arial"/>
          <w:b/>
          <w:sz w:val="20"/>
          <w:szCs w:val="20"/>
        </w:rPr>
        <w:t xml:space="preserve"> </w:t>
      </w:r>
      <w:r w:rsidRPr="00325F8D">
        <w:rPr>
          <w:rFonts w:ascii="Arial" w:hAnsi="Arial" w:cs="Arial"/>
          <w:b/>
          <w:sz w:val="20"/>
          <w:szCs w:val="20"/>
        </w:rPr>
        <w:t>Źródło: Opracowanie własne na podstawie przeprowadzonej inwentaryzacji</w:t>
      </w:r>
    </w:p>
    <w:p w:rsidR="001F3ADA" w:rsidRPr="00177032" w:rsidRDefault="001F3ADA" w:rsidP="001F3ADA">
      <w:pPr>
        <w:spacing w:line="360" w:lineRule="auto"/>
        <w:ind w:firstLine="709"/>
        <w:jc w:val="both"/>
        <w:rPr>
          <w:rFonts w:ascii="Arial" w:hAnsi="Arial" w:cs="Arial"/>
          <w:sz w:val="24"/>
          <w:szCs w:val="24"/>
        </w:rPr>
      </w:pPr>
      <w:r w:rsidRPr="00177032">
        <w:rPr>
          <w:rFonts w:ascii="Arial" w:hAnsi="Arial" w:cs="Arial"/>
          <w:sz w:val="24"/>
          <w:szCs w:val="24"/>
        </w:rPr>
        <w:t>Łączna emisja dwutlenku węgla w sektorze budynki, wyposażenie/urządzenia komunalne wyniosła 16.778,0 Mg, w tym wyszczególniono:</w:t>
      </w:r>
    </w:p>
    <w:p w:rsidR="001F3ADA" w:rsidRPr="00177032" w:rsidRDefault="001F3ADA" w:rsidP="00C552FE">
      <w:pPr>
        <w:pStyle w:val="Akapitzlist"/>
        <w:numPr>
          <w:ilvl w:val="0"/>
          <w:numId w:val="16"/>
        </w:numPr>
        <w:spacing w:after="160" w:line="360" w:lineRule="auto"/>
        <w:jc w:val="both"/>
        <w:rPr>
          <w:rFonts w:ascii="Arial" w:hAnsi="Arial" w:cs="Arial"/>
        </w:rPr>
      </w:pPr>
      <w:r w:rsidRPr="00177032">
        <w:rPr>
          <w:rFonts w:ascii="Arial" w:hAnsi="Arial" w:cs="Arial"/>
        </w:rPr>
        <w:t>gaz ciekły – 2.440,2 Mg,</w:t>
      </w:r>
    </w:p>
    <w:p w:rsidR="001F3ADA" w:rsidRPr="00177032" w:rsidRDefault="001F3ADA" w:rsidP="00C552FE">
      <w:pPr>
        <w:pStyle w:val="Akapitzlist"/>
        <w:numPr>
          <w:ilvl w:val="0"/>
          <w:numId w:val="16"/>
        </w:numPr>
        <w:spacing w:after="160" w:line="360" w:lineRule="auto"/>
        <w:jc w:val="both"/>
        <w:rPr>
          <w:rFonts w:ascii="Arial" w:hAnsi="Arial" w:cs="Arial"/>
        </w:rPr>
      </w:pPr>
      <w:r w:rsidRPr="00177032">
        <w:rPr>
          <w:rFonts w:ascii="Arial" w:hAnsi="Arial" w:cs="Arial"/>
        </w:rPr>
        <w:lastRenderedPageBreak/>
        <w:t>olej napędowy – 9.925,1 Mg,</w:t>
      </w:r>
    </w:p>
    <w:p w:rsidR="001F3ADA" w:rsidRDefault="001F3ADA" w:rsidP="00C552FE">
      <w:pPr>
        <w:pStyle w:val="Akapitzlist"/>
        <w:numPr>
          <w:ilvl w:val="0"/>
          <w:numId w:val="16"/>
        </w:numPr>
        <w:spacing w:after="160" w:line="360" w:lineRule="auto"/>
        <w:jc w:val="both"/>
        <w:rPr>
          <w:rFonts w:ascii="Arial" w:hAnsi="Arial" w:cs="Arial"/>
        </w:rPr>
      </w:pPr>
      <w:r w:rsidRPr="00177032">
        <w:rPr>
          <w:rFonts w:ascii="Arial" w:hAnsi="Arial" w:cs="Arial"/>
        </w:rPr>
        <w:t>benzyna – 4.412,7 Mg.</w:t>
      </w:r>
    </w:p>
    <w:p w:rsidR="00E379EB" w:rsidRPr="002C1E04" w:rsidRDefault="00E379EB" w:rsidP="00E379EB">
      <w:pPr>
        <w:pStyle w:val="Akapitzlist"/>
        <w:spacing w:after="160" w:line="360" w:lineRule="auto"/>
        <w:ind w:left="1429"/>
        <w:jc w:val="both"/>
        <w:rPr>
          <w:rFonts w:ascii="Arial" w:hAnsi="Arial" w:cs="Arial"/>
        </w:rPr>
      </w:pPr>
    </w:p>
    <w:p w:rsidR="001F3ADA" w:rsidRPr="000D652F" w:rsidRDefault="001F3ADA" w:rsidP="001F3ADA">
      <w:pPr>
        <w:pStyle w:val="Legenda"/>
        <w:rPr>
          <w:sz w:val="22"/>
          <w:szCs w:val="22"/>
        </w:rPr>
      </w:pPr>
      <w:bookmarkStart w:id="24" w:name="_Toc448611430"/>
      <w:r w:rsidRPr="00177032">
        <w:rPr>
          <w:sz w:val="22"/>
          <w:szCs w:val="22"/>
        </w:rPr>
        <w:t xml:space="preserve">Rysunek </w:t>
      </w:r>
      <w:r w:rsidRPr="00177032">
        <w:rPr>
          <w:sz w:val="22"/>
          <w:szCs w:val="22"/>
        </w:rPr>
        <w:fldChar w:fldCharType="begin"/>
      </w:r>
      <w:r w:rsidRPr="00177032">
        <w:rPr>
          <w:sz w:val="22"/>
          <w:szCs w:val="22"/>
        </w:rPr>
        <w:instrText xml:space="preserve"> SEQ Rysunek \* ARABIC </w:instrText>
      </w:r>
      <w:r w:rsidRPr="00177032">
        <w:rPr>
          <w:sz w:val="22"/>
          <w:szCs w:val="22"/>
        </w:rPr>
        <w:fldChar w:fldCharType="separate"/>
      </w:r>
      <w:r w:rsidR="009246DC">
        <w:rPr>
          <w:noProof/>
          <w:sz w:val="22"/>
          <w:szCs w:val="22"/>
        </w:rPr>
        <w:t>15</w:t>
      </w:r>
      <w:r w:rsidRPr="00177032">
        <w:rPr>
          <w:noProof/>
          <w:sz w:val="22"/>
          <w:szCs w:val="22"/>
        </w:rPr>
        <w:fldChar w:fldCharType="end"/>
      </w:r>
      <w:r w:rsidRPr="00177032">
        <w:rPr>
          <w:sz w:val="22"/>
          <w:szCs w:val="22"/>
        </w:rPr>
        <w:t xml:space="preserve"> Emisja CO</w:t>
      </w:r>
      <w:r w:rsidRPr="00177032">
        <w:rPr>
          <w:sz w:val="22"/>
          <w:szCs w:val="22"/>
          <w:vertAlign w:val="subscript"/>
        </w:rPr>
        <w:t>2</w:t>
      </w:r>
      <w:r w:rsidRPr="00177032">
        <w:rPr>
          <w:sz w:val="22"/>
          <w:szCs w:val="22"/>
        </w:rPr>
        <w:t xml:space="preserve"> w sektorze transport prywatny i komercyjny.</w:t>
      </w:r>
      <w:bookmarkEnd w:id="24"/>
    </w:p>
    <w:p w:rsidR="001F3ADA" w:rsidRDefault="001F3ADA" w:rsidP="001F3ADA">
      <w:pPr>
        <w:spacing w:after="0" w:line="360" w:lineRule="auto"/>
        <w:jc w:val="both"/>
        <w:rPr>
          <w:rFonts w:ascii="Arial" w:hAnsi="Arial" w:cs="Arial"/>
          <w:sz w:val="24"/>
          <w:szCs w:val="24"/>
        </w:rPr>
      </w:pPr>
      <w:r w:rsidRPr="00325F8D">
        <w:rPr>
          <w:rFonts w:ascii="Arial" w:hAnsi="Arial" w:cs="Arial"/>
          <w:noProof/>
          <w:sz w:val="24"/>
          <w:szCs w:val="24"/>
          <w:lang w:eastAsia="pl-PL"/>
        </w:rPr>
        <w:drawing>
          <wp:inline distT="0" distB="0" distL="0" distR="0" wp14:anchorId="622465EC" wp14:editId="29670B0B">
            <wp:extent cx="5760720" cy="3162300"/>
            <wp:effectExtent l="0" t="0" r="11430" b="0"/>
            <wp:docPr id="90" name="Wykres 9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F3ADA" w:rsidRDefault="001F3ADA" w:rsidP="002C1E04">
      <w:pPr>
        <w:spacing w:after="0" w:line="360" w:lineRule="auto"/>
        <w:ind w:firstLine="709"/>
        <w:jc w:val="right"/>
        <w:rPr>
          <w:rFonts w:ascii="Arial" w:hAnsi="Arial" w:cs="Arial"/>
          <w:sz w:val="24"/>
          <w:szCs w:val="24"/>
        </w:rPr>
      </w:pPr>
      <w:r w:rsidRPr="00325F8D">
        <w:rPr>
          <w:rFonts w:ascii="Arial" w:hAnsi="Arial" w:cs="Arial"/>
          <w:b/>
          <w:sz w:val="20"/>
          <w:szCs w:val="20"/>
        </w:rPr>
        <w:t>Źródło: Opracowanie własne na podstawie przeprowadzonej inwentaryzacji</w:t>
      </w:r>
    </w:p>
    <w:p w:rsidR="001F3ADA" w:rsidRDefault="001F3ADA" w:rsidP="001F3ADA">
      <w:pPr>
        <w:spacing w:after="0" w:line="360" w:lineRule="auto"/>
        <w:ind w:firstLine="709"/>
        <w:jc w:val="both"/>
        <w:rPr>
          <w:rFonts w:ascii="Arial" w:hAnsi="Arial" w:cs="Arial"/>
          <w:sz w:val="24"/>
          <w:szCs w:val="24"/>
        </w:rPr>
      </w:pPr>
    </w:p>
    <w:p w:rsidR="00252A2C" w:rsidRPr="00604786" w:rsidRDefault="001F3ADA" w:rsidP="001F3ADA">
      <w:pPr>
        <w:spacing w:line="360" w:lineRule="auto"/>
        <w:ind w:firstLine="709"/>
        <w:jc w:val="both"/>
        <w:rPr>
          <w:rFonts w:ascii="Arial" w:hAnsi="Arial" w:cs="Arial"/>
          <w:i/>
          <w:sz w:val="24"/>
          <w:szCs w:val="24"/>
          <w:lang w:eastAsia="pl-PL"/>
        </w:rPr>
      </w:pPr>
      <w:r w:rsidRPr="00177032">
        <w:rPr>
          <w:rFonts w:ascii="Arial" w:hAnsi="Arial" w:cs="Arial"/>
          <w:sz w:val="24"/>
          <w:szCs w:val="24"/>
        </w:rPr>
        <w:t>W omawianym sektorze brak jest udziału odnawialnych źródeł energii</w:t>
      </w:r>
      <w:r>
        <w:rPr>
          <w:rFonts w:ascii="Arial" w:hAnsi="Arial" w:cs="Arial"/>
          <w:sz w:val="24"/>
          <w:szCs w:val="24"/>
        </w:rPr>
        <w:t>.</w:t>
      </w:r>
    </w:p>
    <w:sectPr w:rsidR="00252A2C" w:rsidRPr="00604786" w:rsidSect="0001736F">
      <w:headerReference w:type="default" r:id="rId25"/>
      <w:footerReference w:type="default" r:id="rId2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DB6" w:rsidRDefault="00514DB6" w:rsidP="0001736F">
      <w:pPr>
        <w:spacing w:after="0" w:line="240" w:lineRule="auto"/>
      </w:pPr>
      <w:r>
        <w:separator/>
      </w:r>
    </w:p>
  </w:endnote>
  <w:endnote w:type="continuationSeparator" w:id="0">
    <w:p w:rsidR="00514DB6" w:rsidRDefault="00514DB6" w:rsidP="00017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F71" w:rsidRDefault="009E4F71">
    <w:pPr>
      <w:pStyle w:val="Stopka"/>
    </w:pPr>
    <w:r>
      <w:rPr>
        <w:noProof/>
        <w:lang w:eastAsia="pl-PL"/>
      </w:rPr>
      <w:drawing>
        <wp:anchor distT="0" distB="0" distL="114300" distR="114300" simplePos="0" relativeHeight="251661312" behindDoc="0" locked="0" layoutInCell="1" allowOverlap="1" wp14:anchorId="441A0548" wp14:editId="35496676">
          <wp:simplePos x="0" y="0"/>
          <wp:positionH relativeFrom="margin">
            <wp:posOffset>2063115</wp:posOffset>
          </wp:positionH>
          <wp:positionV relativeFrom="paragraph">
            <wp:posOffset>-68580</wp:posOffset>
          </wp:positionV>
          <wp:extent cx="1742400" cy="457323"/>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Bez tytułu.jpg"/>
                  <pic:cNvPicPr/>
                </pic:nvPicPr>
                <pic:blipFill>
                  <a:blip r:embed="rId1">
                    <a:extLst>
                      <a:ext uri="{28A0092B-C50C-407E-A947-70E740481C1C}">
                        <a14:useLocalDpi xmlns:a14="http://schemas.microsoft.com/office/drawing/2010/main" val="0"/>
                      </a:ext>
                    </a:extLst>
                  </a:blip>
                  <a:stretch>
                    <a:fillRect/>
                  </a:stretch>
                </pic:blipFill>
                <pic:spPr>
                  <a:xfrm>
                    <a:off x="0" y="0"/>
                    <a:ext cx="1742400" cy="457323"/>
                  </a:xfrm>
                  <a:prstGeom prst="rect">
                    <a:avLst/>
                  </a:prstGeom>
                </pic:spPr>
              </pic:pic>
            </a:graphicData>
          </a:graphic>
          <wp14:sizeRelH relativeFrom="margin">
            <wp14:pctWidth>0</wp14:pctWidth>
          </wp14:sizeRelH>
          <wp14:sizeRelV relativeFrom="margin">
            <wp14:pctHeight>0</wp14:pctHeight>
          </wp14:sizeRelV>
        </wp:anchor>
      </w:drawing>
    </w:r>
    <w:r>
      <w:rPr>
        <w:noProof/>
        <w:lang w:eastAsia="pl-PL"/>
      </w:rPr>
      <mc:AlternateContent>
        <mc:Choice Requires="wps">
          <w:drawing>
            <wp:anchor distT="0" distB="0" distL="114300" distR="114300" simplePos="0" relativeHeight="251675648" behindDoc="0" locked="0" layoutInCell="1" allowOverlap="1" wp14:anchorId="4D5B02BF" wp14:editId="378528A9">
              <wp:simplePos x="0" y="0"/>
              <wp:positionH relativeFrom="margin">
                <wp:align>left</wp:align>
              </wp:positionH>
              <wp:positionV relativeFrom="paragraph">
                <wp:posOffset>-265268</wp:posOffset>
              </wp:positionV>
              <wp:extent cx="7781925" cy="0"/>
              <wp:effectExtent l="0" t="0" r="28575" b="19050"/>
              <wp:wrapNone/>
              <wp:docPr id="50" name="Łącznik prosty 50"/>
              <wp:cNvGraphicFramePr/>
              <a:graphic xmlns:a="http://schemas.openxmlformats.org/drawingml/2006/main">
                <a:graphicData uri="http://schemas.microsoft.com/office/word/2010/wordprocessingShape">
                  <wps:wsp>
                    <wps:cNvCnPr/>
                    <wps:spPr>
                      <a:xfrm>
                        <a:off x="0" y="0"/>
                        <a:ext cx="7781925" cy="0"/>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2D4F1255" id="Łącznik prosty 50" o:spid="_x0000_s1026" style="position:absolute;z-index:25167564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20.9pt" to="612.7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" strokecolor="#ffc000 [3207]" strokeweight="1.5pt">
              <v:stroke joinstyle="miter"/>
              <w10:wrap anchorx="margin"/>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DB6" w:rsidRDefault="00514DB6" w:rsidP="0001736F">
      <w:pPr>
        <w:spacing w:after="0" w:line="240" w:lineRule="auto"/>
      </w:pPr>
      <w:r>
        <w:separator/>
      </w:r>
    </w:p>
  </w:footnote>
  <w:footnote w:type="continuationSeparator" w:id="0">
    <w:p w:rsidR="00514DB6" w:rsidRDefault="00514DB6" w:rsidP="000173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F71" w:rsidRPr="00725AC9" w:rsidRDefault="00514DB6" w:rsidP="00725AC9">
    <w:pPr>
      <w:pStyle w:val="Nagwek"/>
      <w:jc w:val="center"/>
      <w:rPr>
        <w:i/>
        <w:sz w:val="21"/>
        <w:szCs w:val="21"/>
      </w:rPr>
    </w:pPr>
    <w:sdt>
      <w:sdtPr>
        <w:rPr>
          <w:sz w:val="21"/>
          <w:szCs w:val="21"/>
        </w:rPr>
        <w:id w:val="-241797171"/>
        <w:docPartObj>
          <w:docPartGallery w:val="Page Numbers (Margins)"/>
          <w:docPartUnique/>
        </w:docPartObj>
      </w:sdtPr>
      <w:sdtEndPr/>
      <w:sdtContent>
        <w:r w:rsidR="009E4F71" w:rsidRPr="00D23665">
          <w:rPr>
            <w:noProof/>
            <w:sz w:val="21"/>
            <w:szCs w:val="21"/>
            <w:lang w:eastAsia="pl-PL"/>
          </w:rPr>
          <mc:AlternateContent>
            <mc:Choice Requires="wps">
              <w:drawing>
                <wp:anchor distT="0" distB="0" distL="114300" distR="114300" simplePos="0" relativeHeight="251667456" behindDoc="0" locked="0" layoutInCell="0" allowOverlap="1">
                  <wp:simplePos x="0" y="0"/>
                  <wp:positionH relativeFrom="rightMargin">
                    <wp:align>center</wp:align>
                  </wp:positionH>
                  <wp:positionV relativeFrom="margin">
                    <wp:align>bottom</wp:align>
                  </wp:positionV>
                  <wp:extent cx="510540" cy="2183130"/>
                  <wp:effectExtent l="0" t="0" r="3810" b="0"/>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F71" w:rsidRPr="00482FB3" w:rsidRDefault="009E4F71">
                              <w:pPr>
                                <w:pStyle w:val="Stopka"/>
                                <w:rPr>
                                  <w:rFonts w:asciiTheme="majorHAnsi" w:eastAsiaTheme="majorEastAsia" w:hAnsiTheme="majorHAnsi" w:cstheme="majorBidi"/>
                                  <w:b/>
                                  <w:sz w:val="44"/>
                                  <w:szCs w:val="44"/>
                                </w:rPr>
                              </w:pPr>
                              <w:r w:rsidRPr="00482FB3">
                                <w:rPr>
                                  <w:rFonts w:asciiTheme="majorHAnsi" w:eastAsiaTheme="majorEastAsia" w:hAnsiTheme="majorHAnsi" w:cstheme="majorBidi"/>
                                  <w:b/>
                                  <w:color w:val="FF6600"/>
                                </w:rPr>
                                <w:t>Strona</w:t>
                              </w:r>
                              <w:r w:rsidRPr="00482FB3">
                                <w:rPr>
                                  <w:rFonts w:eastAsiaTheme="minorEastAsia" w:cs="Times New Roman"/>
                                  <w:b/>
                                </w:rPr>
                                <w:fldChar w:fldCharType="begin"/>
                              </w:r>
                              <w:r w:rsidRPr="00482FB3">
                                <w:rPr>
                                  <w:b/>
                                </w:rPr>
                                <w:instrText>PAGE    \* MERGEFORMAT</w:instrText>
                              </w:r>
                              <w:r w:rsidRPr="00482FB3">
                                <w:rPr>
                                  <w:rFonts w:eastAsiaTheme="minorEastAsia" w:cs="Times New Roman"/>
                                  <w:b/>
                                </w:rPr>
                                <w:fldChar w:fldCharType="separate"/>
                              </w:r>
                              <w:r w:rsidR="00CE74EC" w:rsidRPr="00CE74EC">
                                <w:rPr>
                                  <w:rFonts w:asciiTheme="majorHAnsi" w:eastAsiaTheme="majorEastAsia" w:hAnsiTheme="majorHAnsi" w:cstheme="majorBidi"/>
                                  <w:b/>
                                  <w:noProof/>
                                  <w:sz w:val="44"/>
                                  <w:szCs w:val="44"/>
                                </w:rPr>
                                <w:t>3</w:t>
                              </w:r>
                              <w:r w:rsidRPr="00482FB3">
                                <w:rPr>
                                  <w:rFonts w:asciiTheme="majorHAnsi" w:eastAsiaTheme="majorEastAsia" w:hAnsiTheme="majorHAnsi" w:cstheme="majorBidi"/>
                                  <w:b/>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11" o:spid="_x0000_s1026" style="position:absolute;left:0;text-align:left;margin-left:0;margin-top:0;width:40.2pt;height:171.9pt;z-index:25166745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nXugIAALg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" o:allowincell="f" filled="f" stroked="f">
                  <v:textbox style="layout-flow:vertical;mso-layout-flow-alt:bottom-to-top;mso-fit-shape-to-text:t">
                    <w:txbxContent>
                      <w:p w:rsidR="009E4F71" w:rsidRPr="00482FB3" w:rsidRDefault="009E4F71">
                        <w:pPr>
                          <w:pStyle w:val="Stopka"/>
                          <w:rPr>
                            <w:rFonts w:asciiTheme="majorHAnsi" w:eastAsiaTheme="majorEastAsia" w:hAnsiTheme="majorHAnsi" w:cstheme="majorBidi"/>
                            <w:b/>
                            <w:sz w:val="44"/>
                            <w:szCs w:val="44"/>
                          </w:rPr>
                        </w:pPr>
                        <w:r w:rsidRPr="00482FB3">
                          <w:rPr>
                            <w:rFonts w:asciiTheme="majorHAnsi" w:eastAsiaTheme="majorEastAsia" w:hAnsiTheme="majorHAnsi" w:cstheme="majorBidi"/>
                            <w:b/>
                            <w:color w:val="FF6600"/>
                          </w:rPr>
                          <w:t>Strona</w:t>
                        </w:r>
                        <w:r w:rsidRPr="00482FB3">
                          <w:rPr>
                            <w:rFonts w:eastAsiaTheme="minorEastAsia" w:cs="Times New Roman"/>
                            <w:b/>
                          </w:rPr>
                          <w:fldChar w:fldCharType="begin"/>
                        </w:r>
                        <w:r w:rsidRPr="00482FB3">
                          <w:rPr>
                            <w:b/>
                          </w:rPr>
                          <w:instrText>PAGE    \* MERGEFORMAT</w:instrText>
                        </w:r>
                        <w:r w:rsidRPr="00482FB3">
                          <w:rPr>
                            <w:rFonts w:eastAsiaTheme="minorEastAsia" w:cs="Times New Roman"/>
                            <w:b/>
                          </w:rPr>
                          <w:fldChar w:fldCharType="separate"/>
                        </w:r>
                        <w:r w:rsidR="00CE74EC" w:rsidRPr="00CE74EC">
                          <w:rPr>
                            <w:rFonts w:asciiTheme="majorHAnsi" w:eastAsiaTheme="majorEastAsia" w:hAnsiTheme="majorHAnsi" w:cstheme="majorBidi"/>
                            <w:b/>
                            <w:noProof/>
                            <w:sz w:val="44"/>
                            <w:szCs w:val="44"/>
                          </w:rPr>
                          <w:t>3</w:t>
                        </w:r>
                        <w:r w:rsidRPr="00482FB3">
                          <w:rPr>
                            <w:rFonts w:asciiTheme="majorHAnsi" w:eastAsiaTheme="majorEastAsia" w:hAnsiTheme="majorHAnsi" w:cstheme="majorBidi"/>
                            <w:b/>
                            <w:sz w:val="44"/>
                            <w:szCs w:val="44"/>
                          </w:rPr>
                          <w:fldChar w:fldCharType="end"/>
                        </w:r>
                      </w:p>
                    </w:txbxContent>
                  </v:textbox>
                  <w10:wrap anchorx="margin" anchory="margin"/>
                </v:rect>
              </w:pict>
            </mc:Fallback>
          </mc:AlternateContent>
        </w:r>
      </w:sdtContent>
    </w:sdt>
    <w:r w:rsidR="009E4F71" w:rsidRPr="00725AC9">
      <w:rPr>
        <w:i/>
        <w:sz w:val="21"/>
        <w:szCs w:val="21"/>
      </w:rPr>
      <w:t xml:space="preserve">Instrukcja do Bazy Inwentaryzacyjnej Planu Gospodarki </w:t>
    </w:r>
    <w:r w:rsidR="009E4F71">
      <w:rPr>
        <w:i/>
        <w:sz w:val="21"/>
        <w:szCs w:val="21"/>
      </w:rPr>
      <w:t>Ni</w:t>
    </w:r>
    <w:r w:rsidR="00485F9F">
      <w:rPr>
        <w:i/>
        <w:sz w:val="21"/>
        <w:szCs w:val="21"/>
      </w:rPr>
      <w:t xml:space="preserve">skoemisyjnej dla Gminy </w:t>
    </w:r>
    <w:r w:rsidR="00A40176">
      <w:rPr>
        <w:i/>
        <w:sz w:val="21"/>
        <w:szCs w:val="21"/>
      </w:rPr>
      <w:t>Garbatka-Letnisko</w:t>
    </w:r>
    <w:r w:rsidR="009E4F71">
      <w:rPr>
        <w:i/>
        <w:sz w:val="21"/>
        <w:szCs w:val="21"/>
      </w:rPr>
      <w:t xml:space="preserve"> </w:t>
    </w:r>
    <w:r w:rsidR="009E4F71">
      <w:rPr>
        <w:i/>
        <w:sz w:val="21"/>
        <w:szCs w:val="21"/>
      </w:rPr>
      <w:br/>
      <w:t>na lata 2016</w:t>
    </w:r>
    <w:r w:rsidR="009E4F71" w:rsidRPr="00725AC9">
      <w:rPr>
        <w:i/>
        <w:sz w:val="21"/>
        <w:szCs w:val="21"/>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E296D"/>
    <w:multiLevelType w:val="hybridMultilevel"/>
    <w:tmpl w:val="05BC47CE"/>
    <w:lvl w:ilvl="0" w:tplc="2650283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 w15:restartNumberingAfterBreak="0">
    <w:nsid w:val="16DF17BF"/>
    <w:multiLevelType w:val="hybridMultilevel"/>
    <w:tmpl w:val="7AFC86BE"/>
    <w:lvl w:ilvl="0" w:tplc="2650283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15:restartNumberingAfterBreak="0">
    <w:nsid w:val="1D1C667E"/>
    <w:multiLevelType w:val="hybridMultilevel"/>
    <w:tmpl w:val="54DC1566"/>
    <w:lvl w:ilvl="0" w:tplc="04150019">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15:restartNumberingAfterBreak="0">
    <w:nsid w:val="22D177BB"/>
    <w:multiLevelType w:val="hybridMultilevel"/>
    <w:tmpl w:val="3858F3F4"/>
    <w:lvl w:ilvl="0" w:tplc="2650283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 w15:restartNumberingAfterBreak="0">
    <w:nsid w:val="28F44BE1"/>
    <w:multiLevelType w:val="hybridMultilevel"/>
    <w:tmpl w:val="8F5EAE7C"/>
    <w:lvl w:ilvl="0" w:tplc="2650283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 w15:restartNumberingAfterBreak="0">
    <w:nsid w:val="2B4D6CFF"/>
    <w:multiLevelType w:val="hybridMultilevel"/>
    <w:tmpl w:val="976EFEC4"/>
    <w:lvl w:ilvl="0" w:tplc="2650283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 w15:restartNumberingAfterBreak="0">
    <w:nsid w:val="383636EF"/>
    <w:multiLevelType w:val="hybridMultilevel"/>
    <w:tmpl w:val="06D21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C9D1961"/>
    <w:multiLevelType w:val="hybridMultilevel"/>
    <w:tmpl w:val="864A3B4C"/>
    <w:lvl w:ilvl="0" w:tplc="2650283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 w15:restartNumberingAfterBreak="0">
    <w:nsid w:val="4B682A31"/>
    <w:multiLevelType w:val="hybridMultilevel"/>
    <w:tmpl w:val="8C72846E"/>
    <w:lvl w:ilvl="0" w:tplc="2650283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15:restartNumberingAfterBreak="0">
    <w:nsid w:val="4C1225F4"/>
    <w:multiLevelType w:val="hybridMultilevel"/>
    <w:tmpl w:val="61461990"/>
    <w:lvl w:ilvl="0" w:tplc="2650283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15:restartNumberingAfterBreak="0">
    <w:nsid w:val="685E29ED"/>
    <w:multiLevelType w:val="hybridMultilevel"/>
    <w:tmpl w:val="2FDC7372"/>
    <w:lvl w:ilvl="0" w:tplc="2650283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15:restartNumberingAfterBreak="0">
    <w:nsid w:val="6AF75205"/>
    <w:multiLevelType w:val="hybridMultilevel"/>
    <w:tmpl w:val="96CEEA56"/>
    <w:lvl w:ilvl="0" w:tplc="2650283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 w15:restartNumberingAfterBreak="0">
    <w:nsid w:val="6C304063"/>
    <w:multiLevelType w:val="hybridMultilevel"/>
    <w:tmpl w:val="CF6C17A2"/>
    <w:lvl w:ilvl="0" w:tplc="2650283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15:restartNumberingAfterBreak="0">
    <w:nsid w:val="74D72852"/>
    <w:multiLevelType w:val="hybridMultilevel"/>
    <w:tmpl w:val="36B42536"/>
    <w:lvl w:ilvl="0" w:tplc="2650283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15:restartNumberingAfterBreak="0">
    <w:nsid w:val="781E58CE"/>
    <w:multiLevelType w:val="hybridMultilevel"/>
    <w:tmpl w:val="37169AEC"/>
    <w:lvl w:ilvl="0" w:tplc="2650283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7B845505"/>
    <w:multiLevelType w:val="hybridMultilevel"/>
    <w:tmpl w:val="E62CAED0"/>
    <w:lvl w:ilvl="0" w:tplc="2650283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6"/>
  </w:num>
  <w:num w:numId="2">
    <w:abstractNumId w:val="2"/>
  </w:num>
  <w:num w:numId="3">
    <w:abstractNumId w:val="7"/>
  </w:num>
  <w:num w:numId="4">
    <w:abstractNumId w:val="4"/>
  </w:num>
  <w:num w:numId="5">
    <w:abstractNumId w:val="13"/>
  </w:num>
  <w:num w:numId="6">
    <w:abstractNumId w:val="14"/>
  </w:num>
  <w:num w:numId="7">
    <w:abstractNumId w:val="15"/>
  </w:num>
  <w:num w:numId="8">
    <w:abstractNumId w:val="11"/>
  </w:num>
  <w:num w:numId="9">
    <w:abstractNumId w:val="10"/>
  </w:num>
  <w:num w:numId="10">
    <w:abstractNumId w:val="3"/>
  </w:num>
  <w:num w:numId="11">
    <w:abstractNumId w:val="8"/>
  </w:num>
  <w:num w:numId="12">
    <w:abstractNumId w:val="0"/>
  </w:num>
  <w:num w:numId="13">
    <w:abstractNumId w:val="1"/>
  </w:num>
  <w:num w:numId="14">
    <w:abstractNumId w:val="9"/>
  </w:num>
  <w:num w:numId="15">
    <w:abstractNumId w:val="12"/>
  </w:num>
  <w:num w:numId="16">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0D8"/>
    <w:rsid w:val="0001736F"/>
    <w:rsid w:val="000556CD"/>
    <w:rsid w:val="00065550"/>
    <w:rsid w:val="00073519"/>
    <w:rsid w:val="0008291C"/>
    <w:rsid w:val="00085596"/>
    <w:rsid w:val="000E2F7A"/>
    <w:rsid w:val="001031BA"/>
    <w:rsid w:val="00116508"/>
    <w:rsid w:val="00131B0E"/>
    <w:rsid w:val="00134131"/>
    <w:rsid w:val="00155DC6"/>
    <w:rsid w:val="00170CFD"/>
    <w:rsid w:val="001F3ADA"/>
    <w:rsid w:val="00237D31"/>
    <w:rsid w:val="00252A2C"/>
    <w:rsid w:val="00273DD8"/>
    <w:rsid w:val="00296CC0"/>
    <w:rsid w:val="002A057A"/>
    <w:rsid w:val="002A0A03"/>
    <w:rsid w:val="002B6D43"/>
    <w:rsid w:val="002C1E04"/>
    <w:rsid w:val="002C4FA2"/>
    <w:rsid w:val="002D4D3C"/>
    <w:rsid w:val="00301A8C"/>
    <w:rsid w:val="00307D70"/>
    <w:rsid w:val="00313A7C"/>
    <w:rsid w:val="00315249"/>
    <w:rsid w:val="003471D6"/>
    <w:rsid w:val="00360563"/>
    <w:rsid w:val="00374AAD"/>
    <w:rsid w:val="003D395A"/>
    <w:rsid w:val="00401CC6"/>
    <w:rsid w:val="00421EEF"/>
    <w:rsid w:val="00426238"/>
    <w:rsid w:val="0046012A"/>
    <w:rsid w:val="00466A9C"/>
    <w:rsid w:val="00476BE6"/>
    <w:rsid w:val="00482FB3"/>
    <w:rsid w:val="00485F9F"/>
    <w:rsid w:val="004936E4"/>
    <w:rsid w:val="004B3204"/>
    <w:rsid w:val="004C6374"/>
    <w:rsid w:val="00512559"/>
    <w:rsid w:val="00514DB6"/>
    <w:rsid w:val="00536957"/>
    <w:rsid w:val="0055064C"/>
    <w:rsid w:val="00554BA6"/>
    <w:rsid w:val="0056389C"/>
    <w:rsid w:val="00573270"/>
    <w:rsid w:val="00585CA6"/>
    <w:rsid w:val="00604786"/>
    <w:rsid w:val="00622BF9"/>
    <w:rsid w:val="00622CAF"/>
    <w:rsid w:val="0062434D"/>
    <w:rsid w:val="00661A51"/>
    <w:rsid w:val="006669F3"/>
    <w:rsid w:val="00685A5A"/>
    <w:rsid w:val="006B1CCB"/>
    <w:rsid w:val="006D1414"/>
    <w:rsid w:val="006E0EDF"/>
    <w:rsid w:val="006F1B41"/>
    <w:rsid w:val="006F2C5C"/>
    <w:rsid w:val="00725AC9"/>
    <w:rsid w:val="007345A4"/>
    <w:rsid w:val="00766D0E"/>
    <w:rsid w:val="0078034F"/>
    <w:rsid w:val="007D62E8"/>
    <w:rsid w:val="007E2732"/>
    <w:rsid w:val="007E5537"/>
    <w:rsid w:val="0080033E"/>
    <w:rsid w:val="0088154F"/>
    <w:rsid w:val="0089354C"/>
    <w:rsid w:val="008D22A6"/>
    <w:rsid w:val="008E42F1"/>
    <w:rsid w:val="009246DC"/>
    <w:rsid w:val="00944ADF"/>
    <w:rsid w:val="00956890"/>
    <w:rsid w:val="00987E0C"/>
    <w:rsid w:val="009A54B6"/>
    <w:rsid w:val="009A5CC1"/>
    <w:rsid w:val="009A79B5"/>
    <w:rsid w:val="009B46E3"/>
    <w:rsid w:val="009B61EB"/>
    <w:rsid w:val="009C6C6D"/>
    <w:rsid w:val="009D2D86"/>
    <w:rsid w:val="009E07E9"/>
    <w:rsid w:val="009E4F71"/>
    <w:rsid w:val="009E64D6"/>
    <w:rsid w:val="009E7617"/>
    <w:rsid w:val="00A40176"/>
    <w:rsid w:val="00A427E0"/>
    <w:rsid w:val="00A72E4D"/>
    <w:rsid w:val="00A97A5B"/>
    <w:rsid w:val="00AB28A1"/>
    <w:rsid w:val="00AF6FE4"/>
    <w:rsid w:val="00B20E0A"/>
    <w:rsid w:val="00B41BB6"/>
    <w:rsid w:val="00B431F4"/>
    <w:rsid w:val="00B929E8"/>
    <w:rsid w:val="00BB2739"/>
    <w:rsid w:val="00BB4DFD"/>
    <w:rsid w:val="00BC5618"/>
    <w:rsid w:val="00BE4244"/>
    <w:rsid w:val="00BF279E"/>
    <w:rsid w:val="00BF5DBB"/>
    <w:rsid w:val="00C04E94"/>
    <w:rsid w:val="00C35863"/>
    <w:rsid w:val="00C528F1"/>
    <w:rsid w:val="00C552FE"/>
    <w:rsid w:val="00CE74EC"/>
    <w:rsid w:val="00CE77DE"/>
    <w:rsid w:val="00CF7B23"/>
    <w:rsid w:val="00D220D8"/>
    <w:rsid w:val="00D23665"/>
    <w:rsid w:val="00D87E8D"/>
    <w:rsid w:val="00DB2C01"/>
    <w:rsid w:val="00DB403A"/>
    <w:rsid w:val="00DB6AB5"/>
    <w:rsid w:val="00DD7D45"/>
    <w:rsid w:val="00DE0301"/>
    <w:rsid w:val="00DF3DC7"/>
    <w:rsid w:val="00E03109"/>
    <w:rsid w:val="00E07052"/>
    <w:rsid w:val="00E10FF0"/>
    <w:rsid w:val="00E17556"/>
    <w:rsid w:val="00E379EB"/>
    <w:rsid w:val="00E87F49"/>
    <w:rsid w:val="00EB04B6"/>
    <w:rsid w:val="00EE0671"/>
    <w:rsid w:val="00F0775B"/>
    <w:rsid w:val="00F30FB0"/>
    <w:rsid w:val="00F976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00E76A-7736-48C1-AC2D-7AE9E3B58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252A2C"/>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100" w:after="0" w:line="276" w:lineRule="auto"/>
      <w:outlineLvl w:val="0"/>
    </w:pPr>
    <w:rPr>
      <w:rFonts w:eastAsiaTheme="minorEastAsia"/>
      <w:caps/>
      <w:color w:val="FFFFFF" w:themeColor="background1"/>
      <w:spacing w:val="15"/>
    </w:rPr>
  </w:style>
  <w:style w:type="paragraph" w:styleId="Nagwek2">
    <w:name w:val="heading 2"/>
    <w:basedOn w:val="Normalny"/>
    <w:next w:val="Normalny"/>
    <w:link w:val="Nagwek2Znak"/>
    <w:uiPriority w:val="9"/>
    <w:unhideWhenUsed/>
    <w:qFormat/>
    <w:rsid w:val="00252A2C"/>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100" w:after="0" w:line="276" w:lineRule="auto"/>
      <w:outlineLvl w:val="1"/>
    </w:pPr>
    <w:rPr>
      <w:rFonts w:eastAsiaTheme="minorEastAsia"/>
      <w:caps/>
      <w:spacing w:val="1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73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736F"/>
  </w:style>
  <w:style w:type="paragraph" w:styleId="Stopka">
    <w:name w:val="footer"/>
    <w:basedOn w:val="Normalny"/>
    <w:link w:val="StopkaZnak"/>
    <w:uiPriority w:val="99"/>
    <w:unhideWhenUsed/>
    <w:rsid w:val="000173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736F"/>
  </w:style>
  <w:style w:type="paragraph" w:styleId="Akapitzlist">
    <w:name w:val="List Paragraph"/>
    <w:basedOn w:val="Normalny"/>
    <w:uiPriority w:val="99"/>
    <w:qFormat/>
    <w:rsid w:val="009E07E9"/>
    <w:pPr>
      <w:spacing w:after="0" w:line="240" w:lineRule="auto"/>
      <w:ind w:left="720"/>
      <w:contextualSpacing/>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13A7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3A7C"/>
    <w:rPr>
      <w:rFonts w:ascii="Segoe UI" w:hAnsi="Segoe UI" w:cs="Segoe UI"/>
      <w:sz w:val="18"/>
      <w:szCs w:val="18"/>
    </w:rPr>
  </w:style>
  <w:style w:type="paragraph" w:styleId="Bezodstpw">
    <w:name w:val="No Spacing"/>
    <w:link w:val="BezodstpwZnak"/>
    <w:uiPriority w:val="1"/>
    <w:qFormat/>
    <w:rsid w:val="00D23665"/>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D23665"/>
    <w:rPr>
      <w:rFonts w:eastAsiaTheme="minorEastAsia"/>
      <w:lang w:eastAsia="pl-PL"/>
    </w:rPr>
  </w:style>
  <w:style w:type="table" w:customStyle="1" w:styleId="Zwykatabela31">
    <w:name w:val="Zwykła tabela 31"/>
    <w:basedOn w:val="Standardowy"/>
    <w:next w:val="Zwykatabela3"/>
    <w:uiPriority w:val="43"/>
    <w:rsid w:val="007E553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Zwykatabela3">
    <w:name w:val="Plain Table 3"/>
    <w:basedOn w:val="Standardowy"/>
    <w:uiPriority w:val="43"/>
    <w:rsid w:val="007E553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Podpis nad obiektem, Znak"/>
    <w:basedOn w:val="Normalny"/>
    <w:next w:val="Normalny"/>
    <w:link w:val="LegendaZnak"/>
    <w:qFormat/>
    <w:rsid w:val="007E5537"/>
    <w:pPr>
      <w:widowControl w:val="0"/>
      <w:adjustRightInd w:val="0"/>
      <w:spacing w:after="200" w:line="276" w:lineRule="auto"/>
      <w:jc w:val="both"/>
      <w:textAlignment w:val="baseline"/>
    </w:pPr>
    <w:rPr>
      <w:rFonts w:ascii="Times New Roman" w:eastAsia="Times New Roman" w:hAnsi="Times New Roman" w:cs="Times New Roman"/>
      <w:b/>
      <w:bCs/>
      <w:sz w:val="20"/>
      <w:szCs w:val="20"/>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rsid w:val="007E5537"/>
    <w:rPr>
      <w:rFonts w:ascii="Times New Roman" w:eastAsia="Times New Roman" w:hAnsi="Times New Roman" w:cs="Times New Roman"/>
      <w:b/>
      <w:bCs/>
      <w:sz w:val="20"/>
      <w:szCs w:val="20"/>
    </w:rPr>
  </w:style>
  <w:style w:type="character" w:customStyle="1" w:styleId="Nagwek1Znak">
    <w:name w:val="Nagłówek 1 Znak"/>
    <w:basedOn w:val="Domylnaczcionkaakapitu"/>
    <w:link w:val="Nagwek1"/>
    <w:uiPriority w:val="9"/>
    <w:rsid w:val="00252A2C"/>
    <w:rPr>
      <w:rFonts w:eastAsiaTheme="minorEastAsia"/>
      <w:caps/>
      <w:color w:val="FFFFFF" w:themeColor="background1"/>
      <w:spacing w:val="15"/>
      <w:shd w:val="clear" w:color="auto" w:fill="5B9BD5" w:themeFill="accent1"/>
    </w:rPr>
  </w:style>
  <w:style w:type="character" w:customStyle="1" w:styleId="Nagwek2Znak">
    <w:name w:val="Nagłówek 2 Znak"/>
    <w:basedOn w:val="Domylnaczcionkaakapitu"/>
    <w:link w:val="Nagwek2"/>
    <w:uiPriority w:val="9"/>
    <w:rsid w:val="00252A2C"/>
    <w:rPr>
      <w:rFonts w:eastAsiaTheme="minorEastAsia"/>
      <w:caps/>
      <w:spacing w:val="15"/>
      <w:sz w:val="20"/>
      <w:szCs w:val="20"/>
      <w:shd w:val="clear" w:color="auto" w:fill="DEEAF6" w:themeFill="accent1" w:themeFillTint="33"/>
    </w:rPr>
  </w:style>
  <w:style w:type="table" w:styleId="Tabelasiatki4akcent1">
    <w:name w:val="Grid Table 4 Accent 1"/>
    <w:basedOn w:val="Standardowy"/>
    <w:uiPriority w:val="49"/>
    <w:rsid w:val="00252A2C"/>
    <w:pPr>
      <w:spacing w:before="100" w:after="0" w:line="240" w:lineRule="auto"/>
    </w:pPr>
    <w:rPr>
      <w:rFonts w:eastAsiaTheme="minorEastAsia"/>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siatki4akcent2">
    <w:name w:val="Grid Table 4 Accent 2"/>
    <w:basedOn w:val="Standardowy"/>
    <w:uiPriority w:val="49"/>
    <w:rsid w:val="0060478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Spisilustracji">
    <w:name w:val="table of figures"/>
    <w:basedOn w:val="Normalny"/>
    <w:next w:val="Normalny"/>
    <w:uiPriority w:val="99"/>
    <w:unhideWhenUsed/>
    <w:rsid w:val="00604786"/>
    <w:pPr>
      <w:spacing w:after="0"/>
    </w:pPr>
  </w:style>
  <w:style w:type="character" w:styleId="Hipercze">
    <w:name w:val="Hyperlink"/>
    <w:basedOn w:val="Domylnaczcionkaakapitu"/>
    <w:uiPriority w:val="99"/>
    <w:unhideWhenUsed/>
    <w:rsid w:val="00604786"/>
    <w:rPr>
      <w:color w:val="0563C1" w:themeColor="hyperlink"/>
      <w:u w:val="single"/>
    </w:rPr>
  </w:style>
  <w:style w:type="table" w:styleId="Tabelasiatki4akcent4">
    <w:name w:val="Grid Table 4 Accent 4"/>
    <w:basedOn w:val="Standardowy"/>
    <w:uiPriority w:val="49"/>
    <w:rsid w:val="0060478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siatki6kolorowaakcent6">
    <w:name w:val="Grid Table 6 Colorful Accent 6"/>
    <w:basedOn w:val="Standardowy"/>
    <w:uiPriority w:val="51"/>
    <w:rsid w:val="001F3AD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siatki5ciemnaakcent4">
    <w:name w:val="Grid Table 5 Dark Accent 4"/>
    <w:basedOn w:val="Standardowy"/>
    <w:uiPriority w:val="50"/>
    <w:rsid w:val="001F3A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30839">
      <w:bodyDiv w:val="1"/>
      <w:marLeft w:val="0"/>
      <w:marRight w:val="0"/>
      <w:marTop w:val="0"/>
      <w:marBottom w:val="0"/>
      <w:divBdr>
        <w:top w:val="none" w:sz="0" w:space="0" w:color="auto"/>
        <w:left w:val="none" w:sz="0" w:space="0" w:color="auto"/>
        <w:bottom w:val="none" w:sz="0" w:space="0" w:color="auto"/>
        <w:right w:val="none" w:sz="0" w:space="0" w:color="auto"/>
      </w:divBdr>
      <w:divsChild>
        <w:div w:id="1937011814">
          <w:marLeft w:val="446"/>
          <w:marRight w:val="0"/>
          <w:marTop w:val="0"/>
          <w:marBottom w:val="0"/>
          <w:divBdr>
            <w:top w:val="none" w:sz="0" w:space="0" w:color="auto"/>
            <w:left w:val="none" w:sz="0" w:space="0" w:color="auto"/>
            <w:bottom w:val="none" w:sz="0" w:space="0" w:color="auto"/>
            <w:right w:val="none" w:sz="0" w:space="0" w:color="auto"/>
          </w:divBdr>
        </w:div>
        <w:div w:id="165484823">
          <w:marLeft w:val="446"/>
          <w:marRight w:val="0"/>
          <w:marTop w:val="0"/>
          <w:marBottom w:val="0"/>
          <w:divBdr>
            <w:top w:val="none" w:sz="0" w:space="0" w:color="auto"/>
            <w:left w:val="none" w:sz="0" w:space="0" w:color="auto"/>
            <w:bottom w:val="none" w:sz="0" w:space="0" w:color="auto"/>
            <w:right w:val="none" w:sz="0" w:space="0" w:color="auto"/>
          </w:divBdr>
        </w:div>
        <w:div w:id="1923106592">
          <w:marLeft w:val="446"/>
          <w:marRight w:val="0"/>
          <w:marTop w:val="0"/>
          <w:marBottom w:val="0"/>
          <w:divBdr>
            <w:top w:val="none" w:sz="0" w:space="0" w:color="auto"/>
            <w:left w:val="none" w:sz="0" w:space="0" w:color="auto"/>
            <w:bottom w:val="none" w:sz="0" w:space="0" w:color="auto"/>
            <w:right w:val="none" w:sz="0" w:space="0" w:color="auto"/>
          </w:divBdr>
        </w:div>
        <w:div w:id="1503930735">
          <w:marLeft w:val="446"/>
          <w:marRight w:val="0"/>
          <w:marTop w:val="0"/>
          <w:marBottom w:val="0"/>
          <w:divBdr>
            <w:top w:val="none" w:sz="0" w:space="0" w:color="auto"/>
            <w:left w:val="none" w:sz="0" w:space="0" w:color="auto"/>
            <w:bottom w:val="none" w:sz="0" w:space="0" w:color="auto"/>
            <w:right w:val="none" w:sz="0" w:space="0" w:color="auto"/>
          </w:divBdr>
        </w:div>
        <w:div w:id="456870756">
          <w:marLeft w:val="446"/>
          <w:marRight w:val="0"/>
          <w:marTop w:val="0"/>
          <w:marBottom w:val="0"/>
          <w:divBdr>
            <w:top w:val="none" w:sz="0" w:space="0" w:color="auto"/>
            <w:left w:val="none" w:sz="0" w:space="0" w:color="auto"/>
            <w:bottom w:val="none" w:sz="0" w:space="0" w:color="auto"/>
            <w:right w:val="none" w:sz="0" w:space="0" w:color="auto"/>
          </w:divBdr>
        </w:div>
        <w:div w:id="1434091210">
          <w:marLeft w:val="446"/>
          <w:marRight w:val="0"/>
          <w:marTop w:val="0"/>
          <w:marBottom w:val="0"/>
          <w:divBdr>
            <w:top w:val="none" w:sz="0" w:space="0" w:color="auto"/>
            <w:left w:val="none" w:sz="0" w:space="0" w:color="auto"/>
            <w:bottom w:val="none" w:sz="0" w:space="0" w:color="auto"/>
            <w:right w:val="none" w:sz="0" w:space="0" w:color="auto"/>
          </w:divBdr>
        </w:div>
        <w:div w:id="841630732">
          <w:marLeft w:val="446"/>
          <w:marRight w:val="0"/>
          <w:marTop w:val="0"/>
          <w:marBottom w:val="0"/>
          <w:divBdr>
            <w:top w:val="none" w:sz="0" w:space="0" w:color="auto"/>
            <w:left w:val="none" w:sz="0" w:space="0" w:color="auto"/>
            <w:bottom w:val="none" w:sz="0" w:space="0" w:color="auto"/>
            <w:right w:val="none" w:sz="0" w:space="0" w:color="auto"/>
          </w:divBdr>
        </w:div>
      </w:divsChild>
    </w:div>
    <w:div w:id="1837570100">
      <w:bodyDiv w:val="1"/>
      <w:marLeft w:val="0"/>
      <w:marRight w:val="0"/>
      <w:marTop w:val="0"/>
      <w:marBottom w:val="0"/>
      <w:divBdr>
        <w:top w:val="none" w:sz="0" w:space="0" w:color="auto"/>
        <w:left w:val="none" w:sz="0" w:space="0" w:color="auto"/>
        <w:bottom w:val="none" w:sz="0" w:space="0" w:color="auto"/>
        <w:right w:val="none" w:sz="0" w:space="0" w:color="auto"/>
      </w:divBdr>
      <w:divsChild>
        <w:div w:id="580871048">
          <w:marLeft w:val="0"/>
          <w:marRight w:val="0"/>
          <w:marTop w:val="0"/>
          <w:marBottom w:val="0"/>
          <w:divBdr>
            <w:top w:val="none" w:sz="0" w:space="0" w:color="auto"/>
            <w:left w:val="none" w:sz="0" w:space="0" w:color="auto"/>
            <w:bottom w:val="none" w:sz="0" w:space="0" w:color="auto"/>
            <w:right w:val="none" w:sz="0" w:space="0" w:color="auto"/>
          </w:divBdr>
          <w:divsChild>
            <w:div w:id="1496607742">
              <w:marLeft w:val="0"/>
              <w:marRight w:val="0"/>
              <w:marTop w:val="0"/>
              <w:marBottom w:val="0"/>
              <w:divBdr>
                <w:top w:val="none" w:sz="0" w:space="0" w:color="auto"/>
                <w:left w:val="none" w:sz="0" w:space="0" w:color="auto"/>
                <w:bottom w:val="none" w:sz="0" w:space="0" w:color="auto"/>
                <w:right w:val="none" w:sz="0" w:space="0" w:color="auto"/>
              </w:divBdr>
              <w:divsChild>
                <w:div w:id="2071687051">
                  <w:marLeft w:val="45"/>
                  <w:marRight w:val="45"/>
                  <w:marTop w:val="0"/>
                  <w:marBottom w:val="0"/>
                  <w:divBdr>
                    <w:top w:val="none" w:sz="0" w:space="0" w:color="auto"/>
                    <w:left w:val="none" w:sz="0" w:space="0" w:color="auto"/>
                    <w:bottom w:val="none" w:sz="0" w:space="0" w:color="auto"/>
                    <w:right w:val="none" w:sz="0" w:space="0" w:color="auto"/>
                  </w:divBdr>
                  <w:divsChild>
                    <w:div w:id="205796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42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package" Target="../embeddings/Microsoft_Excel_Worksheet15.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Końcowe zużycie energii na terenie Gminy Garbatka-Letnisko [MWh]</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6592797783933517E-2"/>
          <c:y val="0.19509356784947335"/>
          <c:w val="0.62876000610726979"/>
          <c:h val="0.73695572144391042"/>
        </c:manualLayout>
      </c:layout>
      <c:bar3DChart>
        <c:barDir val="col"/>
        <c:grouping val="clustered"/>
        <c:varyColors val="0"/>
        <c:ser>
          <c:idx val="0"/>
          <c:order val="0"/>
          <c:tx>
            <c:strRef>
              <c:f>Arkusz1!$B$1</c:f>
              <c:strCache>
                <c:ptCount val="1"/>
                <c:pt idx="0">
                  <c:v>Końcowe zużycie energii na terenie Gminy Garbatka-Lenisko [MWh]</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Arkusz1!$A$2:$A$9</c:f>
              <c:strCache>
                <c:ptCount val="8"/>
                <c:pt idx="0">
                  <c:v>budynki, wyposażenie/urządzenia komunalne</c:v>
                </c:pt>
                <c:pt idx="1">
                  <c:v>budynki, wyposażenie/urządzenia usługowe (niekomunalne)</c:v>
                </c:pt>
                <c:pt idx="2">
                  <c:v>budynki mieszkalne</c:v>
                </c:pt>
                <c:pt idx="3">
                  <c:v>komunalne oświetlenie publiczne</c:v>
                </c:pt>
                <c:pt idx="4">
                  <c:v>  przemysł (z wyjątkiem zakładów objętych systemem handlu uprawnieniami do emisji UE-ETS) </c:v>
                </c:pt>
                <c:pt idx="5">
                  <c:v>tabor gminny</c:v>
                </c:pt>
                <c:pt idx="6">
                  <c:v>transport publiczny</c:v>
                </c:pt>
                <c:pt idx="7">
                  <c:v>transport prywatny i komercyjny</c:v>
                </c:pt>
              </c:strCache>
            </c:strRef>
          </c:cat>
          <c:val>
            <c:numRef>
              <c:f>Arkusz1!$B$2:$B$9</c:f>
              <c:numCache>
                <c:formatCode>General</c:formatCode>
                <c:ptCount val="8"/>
                <c:pt idx="0">
                  <c:v>2741.4</c:v>
                </c:pt>
                <c:pt idx="1">
                  <c:v>4560.8</c:v>
                </c:pt>
                <c:pt idx="2">
                  <c:v>28056.3</c:v>
                </c:pt>
                <c:pt idx="3">
                  <c:v>358.5</c:v>
                </c:pt>
                <c:pt idx="4">
                  <c:v>8516</c:v>
                </c:pt>
                <c:pt idx="5">
                  <c:v>53.5</c:v>
                </c:pt>
                <c:pt idx="6">
                  <c:v>395.1</c:v>
                </c:pt>
                <c:pt idx="7">
                  <c:v>65955.100000000006</c:v>
                </c:pt>
              </c:numCache>
            </c:numRef>
          </c:val>
          <c:extLst xmlns:c16r2="http://schemas.microsoft.com/office/drawing/2015/06/chart">
            <c:ext xmlns:c16="http://schemas.microsoft.com/office/drawing/2014/chart" uri="{C3380CC4-5D6E-409C-BE32-E72D297353CC}">
              <c16:uniqueId val="{00000000-181E-4C57-AE13-E312251434C4}"/>
            </c:ext>
          </c:extLst>
        </c:ser>
        <c:dLbls>
          <c:showLegendKey val="0"/>
          <c:showVal val="1"/>
          <c:showCatName val="0"/>
          <c:showSerName val="0"/>
          <c:showPercent val="0"/>
          <c:showBubbleSize val="0"/>
        </c:dLbls>
        <c:gapWidth val="150"/>
        <c:shape val="box"/>
        <c:axId val="309195696"/>
        <c:axId val="309189816"/>
        <c:axId val="0"/>
      </c:bar3DChart>
      <c:catAx>
        <c:axId val="3091956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09189816"/>
        <c:crosses val="autoZero"/>
        <c:auto val="1"/>
        <c:lblAlgn val="ctr"/>
        <c:lblOffset val="100"/>
        <c:noMultiLvlLbl val="0"/>
      </c:catAx>
      <c:valAx>
        <c:axId val="309189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09195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Emisja CO</a:t>
            </a:r>
            <a:r>
              <a:rPr lang="en-US" baseline="-25000"/>
              <a:t>2</a:t>
            </a:r>
            <a:r>
              <a:rPr lang="en-US"/>
              <a:t> w sektorze budynki </a:t>
            </a:r>
            <a:r>
              <a:rPr lang="pl-PL"/>
              <a:t>mieszkalne </a:t>
            </a:r>
            <a:r>
              <a:rPr lang="en-US"/>
              <a:t>[Mg]</a:t>
            </a:r>
          </a:p>
        </c:rich>
      </c:tx>
      <c:layout>
        <c:manualLayout>
          <c:xMode val="edge"/>
          <c:yMode val="edge"/>
          <c:x val="0.13239074282381369"/>
          <c:y val="2.1290185224611454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l-PL"/>
        </a:p>
      </c:txPr>
    </c:title>
    <c:autoTitleDeleted val="0"/>
    <c:plotArea>
      <c:layout/>
      <c:pieChart>
        <c:varyColors val="1"/>
        <c:ser>
          <c:idx val="0"/>
          <c:order val="0"/>
          <c:tx>
            <c:strRef>
              <c:f>Arkusz1!$B$1</c:f>
              <c:strCache>
                <c:ptCount val="1"/>
                <c:pt idx="0">
                  <c:v>Emisja CO2 w sektorze budynki wyposażenie/urządzenia usługowe (niekomunalne) [Mg]</c:v>
                </c:pt>
              </c:strCache>
            </c:strRef>
          </c:tx>
          <c:dPt>
            <c:idx val="0"/>
            <c:bubble3D val="0"/>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B9BA-40BF-9937-B919D412FBEB}"/>
              </c:ext>
            </c:extLst>
          </c:dPt>
          <c:dPt>
            <c:idx val="1"/>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B9BA-40BF-9937-B919D412FBEB}"/>
              </c:ext>
            </c:extLst>
          </c:dPt>
          <c:dPt>
            <c:idx val="2"/>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B9BA-40BF-9937-B919D412FBEB}"/>
              </c:ext>
            </c:extLst>
          </c:dPt>
          <c:dPt>
            <c:idx val="3"/>
            <c:bubble3D val="0"/>
            <c:spPr>
              <a:solidFill>
                <a:schemeClr val="accent6">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B9BA-40BF-9937-B919D412FBEB}"/>
              </c:ext>
            </c:extLst>
          </c:dPt>
          <c:dPt>
            <c:idx val="4"/>
            <c:bubble3D val="0"/>
            <c:spPr>
              <a:solidFill>
                <a:schemeClr val="accent5">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B9BA-40BF-9937-B919D412FBEB}"/>
              </c:ext>
            </c:extLst>
          </c:dPt>
          <c:dLbls>
            <c:dLbl>
              <c:idx val="0"/>
              <c:layout>
                <c:manualLayout>
                  <c:x val="-2.448617533919371E-2"/>
                  <c:y val="-0.31655152643922491"/>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B9BA-40BF-9937-B919D412FBEB}"/>
                </c:ext>
                <c:ext xmlns:c15="http://schemas.microsoft.com/office/drawing/2012/chart" uri="{CE6537A1-D6FC-4f65-9D91-7224C49458BB}"/>
              </c:extLst>
            </c:dLbl>
            <c:dLbl>
              <c:idx val="1"/>
              <c:layout>
                <c:manualLayout>
                  <c:x val="-4.3211438847921786E-2"/>
                  <c:y val="-1.7032148179689163E-2"/>
                </c:manualLayout>
              </c:layout>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t" anchorCtr="1">
                  <a:spAutoFit/>
                </a:bodyPr>
                <a:lstStyle/>
                <a:p>
                  <a:pPr>
                    <a:defRPr sz="1000" b="1" i="0" u="none" strike="noStrike" kern="1200" baseline="0">
                      <a:solidFill>
                        <a:schemeClr val="lt1"/>
                      </a:solidFill>
                      <a:latin typeface="+mn-lt"/>
                      <a:ea typeface="+mn-ea"/>
                      <a:cs typeface="+mn-cs"/>
                    </a:defRPr>
                  </a:pPr>
                  <a:endParaRPr lang="pl-PL"/>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B9BA-40BF-9937-B919D412FBEB}"/>
                </c:ext>
                <c:ext xmlns:c15="http://schemas.microsoft.com/office/drawing/2012/chart" uri="{CE6537A1-D6FC-4f65-9D91-7224C49458BB}"/>
              </c:extLst>
            </c:dLbl>
            <c:dLbl>
              <c:idx val="2"/>
              <c:layout>
                <c:manualLayout>
                  <c:x val="-5.5474315710536182E-2"/>
                  <c:y val="-7.23866297636791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B9BA-40BF-9937-B919D412FBEB}"/>
                </c:ext>
                <c:ext xmlns:c15="http://schemas.microsoft.com/office/drawing/2012/chart" uri="{CE6537A1-D6FC-4f65-9D91-7224C49458BB}"/>
              </c:extLst>
            </c:dLbl>
            <c:dLbl>
              <c:idx val="3"/>
              <c:layout>
                <c:manualLayout>
                  <c:x val="-6.5005936757905267E-2"/>
                  <c:y val="-0.20003553952179226"/>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B9BA-40BF-9937-B919D412FBEB}"/>
                </c:ext>
                <c:ext xmlns:c15="http://schemas.microsoft.com/office/drawing/2012/chart" uri="{CE6537A1-D6FC-4f65-9D91-7224C49458BB}"/>
              </c:extLst>
            </c:dLbl>
            <c:dLbl>
              <c:idx val="4"/>
              <c:layout>
                <c:manualLayout>
                  <c:x val="-2.0140190809482154E-2"/>
                  <c:y val="-3.7328903186654577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B9BA-40BF-9937-B919D412FBEB}"/>
                </c:ex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l-PL"/>
              </a:p>
            </c:txPr>
            <c:dLblPos val="ctr"/>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Arkusz1!$A$2:$A$6</c:f>
              <c:strCache>
                <c:ptCount val="5"/>
                <c:pt idx="0">
                  <c:v>energia elektryczna</c:v>
                </c:pt>
                <c:pt idx="1">
                  <c:v>gaz ziemny</c:v>
                </c:pt>
                <c:pt idx="2">
                  <c:v>gaz ciekły</c:v>
                </c:pt>
                <c:pt idx="3">
                  <c:v>olej opałowy</c:v>
                </c:pt>
                <c:pt idx="4">
                  <c:v>węgiel kamienny</c:v>
                </c:pt>
              </c:strCache>
            </c:strRef>
          </c:cat>
          <c:val>
            <c:numRef>
              <c:f>Arkusz1!$B$2:$B$6</c:f>
              <c:numCache>
                <c:formatCode>General</c:formatCode>
                <c:ptCount val="5"/>
                <c:pt idx="0">
                  <c:v>4870</c:v>
                </c:pt>
                <c:pt idx="1">
                  <c:v>1181.3</c:v>
                </c:pt>
                <c:pt idx="2">
                  <c:v>108.8</c:v>
                </c:pt>
                <c:pt idx="3">
                  <c:v>66.900000000000006</c:v>
                </c:pt>
                <c:pt idx="4">
                  <c:v>3203.8</c:v>
                </c:pt>
              </c:numCache>
            </c:numRef>
          </c:val>
          <c:extLst xmlns:c16r2="http://schemas.microsoft.com/office/drawing/2015/06/chart">
            <c:ext xmlns:c16="http://schemas.microsoft.com/office/drawing/2014/chart" uri="{C3380CC4-5D6E-409C-BE32-E72D297353CC}">
              <c16:uniqueId val="{0000000A-B9BA-40BF-9937-B919D412FBEB}"/>
            </c:ext>
          </c:extLst>
        </c:ser>
        <c:dLbls>
          <c:dLblPos val="ctr"/>
          <c:showLegendKey val="0"/>
          <c:showVal val="0"/>
          <c:showCatName val="0"/>
          <c:showSerName val="0"/>
          <c:showPercent val="1"/>
          <c:showBubbleSize val="0"/>
          <c:showLeaderLines val="0"/>
        </c:dLbls>
        <c:firstSliceAng val="0"/>
      </c:pieChart>
      <c:spPr>
        <a:noFill/>
        <a:ln>
          <a:noFill/>
        </a:ln>
        <a:effectLst/>
      </c:spPr>
    </c:plotArea>
    <c:legend>
      <c:legendPos val="r"/>
      <c:layout>
        <c:manualLayout>
          <c:xMode val="edge"/>
          <c:yMode val="edge"/>
          <c:x val="0.79253339860295235"/>
          <c:y val="0.48839550793855685"/>
          <c:w val="0.19203450263161551"/>
          <c:h val="0.35927439025412433"/>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l-PL"/>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pl-PL"/>
              <a:t>Udział energii OZE w sektorze</a:t>
            </a:r>
            <a:r>
              <a:rPr lang="pl-PL" baseline="0"/>
              <a:t> budynki, mieszkalne</a:t>
            </a:r>
            <a:endParaRPr lang="en-US"/>
          </a:p>
        </c:rich>
      </c:tx>
      <c:layout>
        <c:manualLayout>
          <c:xMode val="edge"/>
          <c:yMode val="edge"/>
          <c:x val="0.13239074282381369"/>
          <c:y val="1.7032148179689163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l-PL"/>
        </a:p>
      </c:txPr>
    </c:title>
    <c:autoTitleDeleted val="0"/>
    <c:plotArea>
      <c:layout/>
      <c:pieChart>
        <c:varyColors val="1"/>
        <c:ser>
          <c:idx val="0"/>
          <c:order val="0"/>
          <c:tx>
            <c:strRef>
              <c:f>Arkusz1!$B$1</c:f>
              <c:strCache>
                <c:ptCount val="1"/>
                <c:pt idx="0">
                  <c:v>Udział energii OZE w sektorze budynki, wyposażenie/urządzenia usługowe (niekomunalne)</c:v>
                </c:pt>
              </c:strCache>
            </c:strRef>
          </c:tx>
          <c:dPt>
            <c:idx val="0"/>
            <c:bubble3D val="0"/>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7370-4CA1-A7A1-A0A39E8519D0}"/>
              </c:ext>
            </c:extLst>
          </c:dPt>
          <c:dPt>
            <c:idx val="1"/>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7370-4CA1-A7A1-A0A39E8519D0}"/>
              </c:ext>
            </c:extLst>
          </c:dPt>
          <c:dLbls>
            <c:dLbl>
              <c:idx val="0"/>
              <c:layout>
                <c:manualLayout>
                  <c:x val="8.3538516018830986E-2"/>
                  <c:y val="9.2220029873315013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7370-4CA1-A7A1-A0A39E8519D0}"/>
                </c:ext>
                <c:ext xmlns:c15="http://schemas.microsoft.com/office/drawing/2012/chart" uri="{CE6537A1-D6FC-4f65-9D91-7224C49458BB}"/>
              </c:extLst>
            </c:dLbl>
            <c:dLbl>
              <c:idx val="1"/>
              <c:layout>
                <c:manualLayout>
                  <c:x val="-3.7489063867016621E-2"/>
                  <c:y val="-6.3870555673834359E-2"/>
                </c:manualLayout>
              </c:layout>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t" anchorCtr="1">
                  <a:spAutoFit/>
                </a:bodyPr>
                <a:lstStyle/>
                <a:p>
                  <a:pPr>
                    <a:defRPr sz="1000" b="1" i="0" u="none" strike="noStrike" kern="1200" baseline="0">
                      <a:solidFill>
                        <a:schemeClr val="lt1"/>
                      </a:solidFill>
                      <a:latin typeface="+mn-lt"/>
                      <a:ea typeface="+mn-ea"/>
                      <a:cs typeface="+mn-cs"/>
                    </a:defRPr>
                  </a:pPr>
                  <a:endParaRPr lang="pl-PL"/>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7370-4CA1-A7A1-A0A39E8519D0}"/>
                </c:ex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l-PL"/>
              </a:p>
            </c:txPr>
            <c:dLblPos val="ctr"/>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Arkusz1!$A$2:$A$3</c:f>
              <c:strCache>
                <c:ptCount val="2"/>
                <c:pt idx="0">
                  <c:v>energia pozyskiwana z OZE</c:v>
                </c:pt>
                <c:pt idx="1">
                  <c:v>pozostała energia</c:v>
                </c:pt>
              </c:strCache>
            </c:strRef>
          </c:cat>
          <c:val>
            <c:numRef>
              <c:f>Arkusz1!$B$2:$B$3</c:f>
              <c:numCache>
                <c:formatCode>General</c:formatCode>
                <c:ptCount val="2"/>
                <c:pt idx="0">
                  <c:v>8005.1</c:v>
                </c:pt>
                <c:pt idx="1">
                  <c:v>20051.2</c:v>
                </c:pt>
              </c:numCache>
            </c:numRef>
          </c:val>
          <c:extLst xmlns:c16r2="http://schemas.microsoft.com/office/drawing/2015/06/chart">
            <c:ext xmlns:c16="http://schemas.microsoft.com/office/drawing/2014/chart" uri="{C3380CC4-5D6E-409C-BE32-E72D297353CC}">
              <c16:uniqueId val="{00000004-7370-4CA1-A7A1-A0A39E8519D0}"/>
            </c:ext>
          </c:extLst>
        </c:ser>
        <c:dLbls>
          <c:dLblPos val="ctr"/>
          <c:showLegendKey val="0"/>
          <c:showVal val="0"/>
          <c:showCatName val="0"/>
          <c:showSerName val="0"/>
          <c:showPercent val="1"/>
          <c:showBubbleSize val="0"/>
          <c:showLeaderLines val="0"/>
        </c:dLbls>
        <c:firstSliceAng val="0"/>
      </c:pieChart>
      <c:spPr>
        <a:noFill/>
        <a:ln>
          <a:noFill/>
        </a:ln>
        <a:effectLst/>
      </c:spPr>
    </c:plotArea>
    <c:legend>
      <c:legendPos val="r"/>
      <c:layout>
        <c:manualLayout>
          <c:xMode val="edge"/>
          <c:yMode val="edge"/>
          <c:x val="0.79253339860295235"/>
          <c:y val="0.48839550793855685"/>
          <c:w val="0.19203450263161551"/>
          <c:h val="0.35927439025412433"/>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l-PL"/>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pl-PL"/>
              <a:t>Zużycie</a:t>
            </a:r>
            <a:r>
              <a:rPr lang="pl-PL" baseline="0"/>
              <a:t> paliwa</a:t>
            </a:r>
            <a:r>
              <a:rPr lang="pl-PL"/>
              <a:t> w sektorze tabor</a:t>
            </a:r>
            <a:r>
              <a:rPr lang="pl-PL" baseline="0"/>
              <a:t> gminny</a:t>
            </a:r>
            <a:r>
              <a:rPr lang="pl-PL"/>
              <a:t> [MWh]</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l-PL"/>
        </a:p>
      </c:txPr>
    </c:title>
    <c:autoTitleDeleted val="0"/>
    <c:plotArea>
      <c:layout/>
      <c:pieChart>
        <c:varyColors val="1"/>
        <c:ser>
          <c:idx val="0"/>
          <c:order val="0"/>
          <c:tx>
            <c:strRef>
              <c:f>Arkusz1!$B$1</c:f>
              <c:strCache>
                <c:ptCount val="1"/>
                <c:pt idx="0">
                  <c:v>Zużycie paliwa w sektorze tabor gminny [MWh]</c:v>
                </c:pt>
              </c:strCache>
            </c:strRef>
          </c:tx>
          <c:dPt>
            <c:idx val="0"/>
            <c:bubble3D val="0"/>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4B4D-4D5B-8F22-FBB0DF7A83EC}"/>
              </c:ext>
            </c:extLst>
          </c:dPt>
          <c:dPt>
            <c:idx val="1"/>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4B4D-4D5B-8F22-FBB0DF7A83EC}"/>
              </c:ext>
            </c:extLst>
          </c:dPt>
          <c:dPt>
            <c:idx val="2"/>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3903-4CA7-A2D1-488F8B1E1D9C}"/>
              </c:ext>
            </c:extLst>
          </c:dPt>
          <c:dLbls>
            <c:dLbl>
              <c:idx val="0"/>
              <c:layout>
                <c:manualLayout>
                  <c:x val="0.16733854795162734"/>
                  <c:y val="9.9845555450147047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4B4D-4D5B-8F22-FBB0DF7A83EC}"/>
                </c:ext>
                <c:ext xmlns:c15="http://schemas.microsoft.com/office/drawing/2012/chart" uri="{CE6537A1-D6FC-4f65-9D91-7224C49458BB}"/>
              </c:extLst>
            </c:dLbl>
            <c:dLbl>
              <c:idx val="1"/>
              <c:layout>
                <c:manualLayout>
                  <c:x val="0.21618748317981751"/>
                  <c:y val="-0.17931060640541333"/>
                </c:manualLayout>
              </c:layout>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t" anchorCtr="1">
                  <a:spAutoFit/>
                </a:bodyPr>
                <a:lstStyle/>
                <a:p>
                  <a:pPr>
                    <a:defRPr sz="1000" b="1" i="0" u="none" strike="noStrike" kern="1200" baseline="0">
                      <a:solidFill>
                        <a:schemeClr val="lt1"/>
                      </a:solidFill>
                      <a:latin typeface="+mn-lt"/>
                      <a:ea typeface="+mn-ea"/>
                      <a:cs typeface="+mn-cs"/>
                    </a:defRPr>
                  </a:pPr>
                  <a:endParaRPr lang="pl-PL"/>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4B4D-4D5B-8F22-FBB0DF7A83EC}"/>
                </c:ext>
                <c:ext xmlns:c15="http://schemas.microsoft.com/office/drawing/2012/chart" uri="{CE6537A1-D6FC-4f65-9D91-7224C49458BB}"/>
              </c:extLst>
            </c:dLbl>
            <c:dLbl>
              <c:idx val="2"/>
              <c:layout>
                <c:manualLayout>
                  <c:x val="-0.1199383621699989"/>
                  <c:y val="0.10681301584289915"/>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3903-4CA7-A2D1-488F8B1E1D9C}"/>
                </c:ex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l-PL"/>
              </a:p>
            </c:txPr>
            <c:dLblPos val="ctr"/>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Arkusz1!$A$2:$A$4</c:f>
              <c:strCache>
                <c:ptCount val="3"/>
                <c:pt idx="0">
                  <c:v>gaz ciekły</c:v>
                </c:pt>
                <c:pt idx="1">
                  <c:v>olej napędowy</c:v>
                </c:pt>
                <c:pt idx="2">
                  <c:v>benzyna</c:v>
                </c:pt>
              </c:strCache>
            </c:strRef>
          </c:cat>
          <c:val>
            <c:numRef>
              <c:f>Arkusz1!$B$2:$B$4</c:f>
              <c:numCache>
                <c:formatCode>General</c:formatCode>
                <c:ptCount val="3"/>
                <c:pt idx="0">
                  <c:v>1.8</c:v>
                </c:pt>
                <c:pt idx="1">
                  <c:v>46.1</c:v>
                </c:pt>
                <c:pt idx="2">
                  <c:v>5.6</c:v>
                </c:pt>
              </c:numCache>
            </c:numRef>
          </c:val>
          <c:extLst xmlns:c16r2="http://schemas.microsoft.com/office/drawing/2015/06/chart">
            <c:ext xmlns:c16="http://schemas.microsoft.com/office/drawing/2014/chart" uri="{C3380CC4-5D6E-409C-BE32-E72D297353CC}">
              <c16:uniqueId val="{00000004-4B4D-4D5B-8F22-FBB0DF7A83EC}"/>
            </c:ext>
          </c:extLst>
        </c:ser>
        <c:dLbls>
          <c:dLblPos val="ctr"/>
          <c:showLegendKey val="0"/>
          <c:showVal val="0"/>
          <c:showCatName val="0"/>
          <c:showSerName val="0"/>
          <c:showPercent val="1"/>
          <c:showBubbleSize val="0"/>
          <c:showLeaderLines val="0"/>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l-PL"/>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pl-PL" baseline="0"/>
              <a:t>Emisja CO</a:t>
            </a:r>
            <a:r>
              <a:rPr lang="pl-PL" baseline="-25000"/>
              <a:t>2</a:t>
            </a:r>
            <a:r>
              <a:rPr lang="pl-PL" baseline="0"/>
              <a:t> z paliwa</a:t>
            </a:r>
            <a:r>
              <a:rPr lang="pl-PL"/>
              <a:t> w sektorze tabor</a:t>
            </a:r>
            <a:r>
              <a:rPr lang="pl-PL" baseline="0"/>
              <a:t> gminny</a:t>
            </a:r>
            <a:r>
              <a:rPr lang="pl-PL"/>
              <a:t> [Mg]</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l-PL"/>
        </a:p>
      </c:txPr>
    </c:title>
    <c:autoTitleDeleted val="0"/>
    <c:plotArea>
      <c:layout/>
      <c:pieChart>
        <c:varyColors val="1"/>
        <c:ser>
          <c:idx val="0"/>
          <c:order val="0"/>
          <c:tx>
            <c:strRef>
              <c:f>Arkusz1!$B$1</c:f>
              <c:strCache>
                <c:ptCount val="1"/>
                <c:pt idx="0">
                  <c:v>Emisja CO2 z paliwa w sektorze budynki wyposażenie/urządzenia komunalne [Mg]</c:v>
                </c:pt>
              </c:strCache>
            </c:strRef>
          </c:tx>
          <c:dPt>
            <c:idx val="0"/>
            <c:bubble3D val="0"/>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4B4D-4D5B-8F22-FBB0DF7A83EC}"/>
              </c:ext>
            </c:extLst>
          </c:dPt>
          <c:dPt>
            <c:idx val="1"/>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4B4D-4D5B-8F22-FBB0DF7A83EC}"/>
              </c:ext>
            </c:extLst>
          </c:dPt>
          <c:dPt>
            <c:idx val="2"/>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9BED-468D-861B-1E3216036004}"/>
              </c:ext>
            </c:extLst>
          </c:dPt>
          <c:dLbls>
            <c:dLbl>
              <c:idx val="0"/>
              <c:layout>
                <c:manualLayout>
                  <c:x val="0.16733854795162734"/>
                  <c:y val="9.9845555450147047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4B4D-4D5B-8F22-FBB0DF7A83EC}"/>
                </c:ext>
                <c:ext xmlns:c15="http://schemas.microsoft.com/office/drawing/2012/chart" uri="{CE6537A1-D6FC-4f65-9D91-7224C49458BB}"/>
              </c:extLst>
            </c:dLbl>
            <c:dLbl>
              <c:idx val="1"/>
              <c:layout>
                <c:manualLayout>
                  <c:x val="0.18090633654255181"/>
                  <c:y val="-0.19857850298833138"/>
                </c:manualLayout>
              </c:layout>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t" anchorCtr="1">
                  <a:spAutoFit/>
                </a:bodyPr>
                <a:lstStyle/>
                <a:p>
                  <a:pPr>
                    <a:defRPr sz="1000" b="1" i="0" u="none" strike="noStrike" kern="1200" baseline="0">
                      <a:solidFill>
                        <a:schemeClr val="lt1"/>
                      </a:solidFill>
                      <a:latin typeface="+mn-lt"/>
                      <a:ea typeface="+mn-ea"/>
                      <a:cs typeface="+mn-cs"/>
                    </a:defRPr>
                  </a:pPr>
                  <a:endParaRPr lang="pl-PL"/>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4B4D-4D5B-8F22-FBB0DF7A83EC}"/>
                </c:ext>
                <c:ext xmlns:c15="http://schemas.microsoft.com/office/drawing/2012/chart" uri="{CE6537A1-D6FC-4f65-9D91-7224C49458BB}"/>
              </c:extLst>
            </c:dLbl>
            <c:dLbl>
              <c:idx val="2"/>
              <c:layout>
                <c:manualLayout>
                  <c:x val="-0.1199383621699989"/>
                  <c:y val="0.10681301584289915"/>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9BED-468D-861B-1E3216036004}"/>
                </c:ex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l-PL"/>
              </a:p>
            </c:txPr>
            <c:dLblPos val="ctr"/>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Arkusz1!$A$2:$A$4</c:f>
              <c:strCache>
                <c:ptCount val="3"/>
                <c:pt idx="0">
                  <c:v>gaz ciekły</c:v>
                </c:pt>
                <c:pt idx="1">
                  <c:v>olej napędowy</c:v>
                </c:pt>
                <c:pt idx="2">
                  <c:v>benzyna</c:v>
                </c:pt>
              </c:strCache>
            </c:strRef>
          </c:cat>
          <c:val>
            <c:numRef>
              <c:f>Arkusz1!$B$2:$B$4</c:f>
              <c:numCache>
                <c:formatCode>General</c:formatCode>
                <c:ptCount val="3"/>
                <c:pt idx="0">
                  <c:v>0.4</c:v>
                </c:pt>
                <c:pt idx="1">
                  <c:v>12.3</c:v>
                </c:pt>
                <c:pt idx="2">
                  <c:v>1.4</c:v>
                </c:pt>
              </c:numCache>
            </c:numRef>
          </c:val>
          <c:extLst xmlns:c16r2="http://schemas.microsoft.com/office/drawing/2015/06/chart">
            <c:ext xmlns:c16="http://schemas.microsoft.com/office/drawing/2014/chart" uri="{C3380CC4-5D6E-409C-BE32-E72D297353CC}">
              <c16:uniqueId val="{00000004-4B4D-4D5B-8F22-FBB0DF7A83EC}"/>
            </c:ext>
          </c:extLst>
        </c:ser>
        <c:dLbls>
          <c:dLblPos val="ctr"/>
          <c:showLegendKey val="0"/>
          <c:showVal val="0"/>
          <c:showCatName val="0"/>
          <c:showSerName val="0"/>
          <c:showPercent val="1"/>
          <c:showBubbleSize val="0"/>
          <c:showLeaderLines val="0"/>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l-PL"/>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pl-PL"/>
              <a:t>Końcowe zużycie energii w sektorze transport prywatny i komercyjny [MWh]</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l-PL"/>
        </a:p>
      </c:txPr>
    </c:title>
    <c:autoTitleDeleted val="0"/>
    <c:plotArea>
      <c:layout/>
      <c:pieChart>
        <c:varyColors val="1"/>
        <c:ser>
          <c:idx val="0"/>
          <c:order val="0"/>
          <c:tx>
            <c:strRef>
              <c:f>Arkusz1!$B$1</c:f>
              <c:strCache>
                <c:ptCount val="1"/>
                <c:pt idx="0">
                  <c:v>Końcowe zużycie energii w sektorze budynki wyposażenie/urządzenia komunalne [MWh]</c:v>
                </c:pt>
              </c:strCache>
            </c:strRef>
          </c:tx>
          <c:dPt>
            <c:idx val="0"/>
            <c:bubble3D val="0"/>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4B4D-4D5B-8F22-FBB0DF7A83EC}"/>
              </c:ext>
            </c:extLst>
          </c:dPt>
          <c:dPt>
            <c:idx val="1"/>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4B4D-4D5B-8F22-FBB0DF7A83EC}"/>
              </c:ext>
            </c:extLst>
          </c:dPt>
          <c:dPt>
            <c:idx val="2"/>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7C66-4B2E-90EC-7A4C8E8E98AB}"/>
              </c:ext>
            </c:extLst>
          </c:dPt>
          <c:dLbls>
            <c:dLbl>
              <c:idx val="0"/>
              <c:layout>
                <c:manualLayout>
                  <c:x val="5.0469732950047828E-2"/>
                  <c:y val="7.0929844648703555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4B4D-4D5B-8F22-FBB0DF7A83EC}"/>
                </c:ext>
                <c:ext xmlns:c15="http://schemas.microsoft.com/office/drawing/2012/chart" uri="{CE6537A1-D6FC-4f65-9D91-7224C49458BB}"/>
              </c:extLst>
            </c:dLbl>
            <c:dLbl>
              <c:idx val="1"/>
              <c:layout>
                <c:manualLayout>
                  <c:x val="0.23162295685261564"/>
                  <c:y val="-0.10219288907813498"/>
                </c:manualLayout>
              </c:layout>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t" anchorCtr="1">
                  <a:spAutoFit/>
                </a:bodyPr>
                <a:lstStyle/>
                <a:p>
                  <a:pPr>
                    <a:defRPr sz="1000" b="1" i="0" u="none" strike="noStrike" kern="1200" baseline="0">
                      <a:solidFill>
                        <a:schemeClr val="lt1"/>
                      </a:solidFill>
                      <a:latin typeface="+mn-lt"/>
                      <a:ea typeface="+mn-ea"/>
                      <a:cs typeface="+mn-cs"/>
                    </a:defRPr>
                  </a:pPr>
                  <a:endParaRPr lang="pl-PL"/>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4B4D-4D5B-8F22-FBB0DF7A83EC}"/>
                </c:ext>
                <c:ext xmlns:c15="http://schemas.microsoft.com/office/drawing/2012/chart" uri="{CE6537A1-D6FC-4f65-9D91-7224C49458BB}"/>
              </c:extLst>
            </c:dLbl>
            <c:dLbl>
              <c:idx val="2"/>
              <c:layout>
                <c:manualLayout>
                  <c:x val="-3.3940549098029453E-2"/>
                  <c:y val="5.3801136258861793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7C66-4B2E-90EC-7A4C8E8E98AB}"/>
                </c:ex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l-PL"/>
              </a:p>
            </c:txPr>
            <c:dLblPos val="ctr"/>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Arkusz1!$A$2:$A$4</c:f>
              <c:strCache>
                <c:ptCount val="3"/>
                <c:pt idx="0">
                  <c:v>gaz ciekły</c:v>
                </c:pt>
                <c:pt idx="1">
                  <c:v>olej napędowy</c:v>
                </c:pt>
                <c:pt idx="2">
                  <c:v>benzyna</c:v>
                </c:pt>
              </c:strCache>
            </c:strRef>
          </c:cat>
          <c:val>
            <c:numRef>
              <c:f>Arkusz1!$B$2:$B$4</c:f>
              <c:numCache>
                <c:formatCode>General</c:formatCode>
                <c:ptCount val="3"/>
                <c:pt idx="0">
                  <c:v>10336.9</c:v>
                </c:pt>
                <c:pt idx="1">
                  <c:v>37896.699999999997</c:v>
                </c:pt>
                <c:pt idx="2">
                  <c:v>17721.5</c:v>
                </c:pt>
              </c:numCache>
            </c:numRef>
          </c:val>
          <c:extLst xmlns:c16r2="http://schemas.microsoft.com/office/drawing/2015/06/chart">
            <c:ext xmlns:c16="http://schemas.microsoft.com/office/drawing/2014/chart" uri="{C3380CC4-5D6E-409C-BE32-E72D297353CC}">
              <c16:uniqueId val="{00000004-4B4D-4D5B-8F22-FBB0DF7A83EC}"/>
            </c:ext>
          </c:extLst>
        </c:ser>
        <c:dLbls>
          <c:dLblPos val="ctr"/>
          <c:showLegendKey val="0"/>
          <c:showVal val="0"/>
          <c:showCatName val="0"/>
          <c:showSerName val="0"/>
          <c:showPercent val="1"/>
          <c:showBubbleSize val="0"/>
          <c:showLeaderLines val="0"/>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l-PL"/>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pl-PL"/>
              <a:t>Emisja CO</a:t>
            </a:r>
            <a:r>
              <a:rPr lang="pl-PL" baseline="-25000"/>
              <a:t>2</a:t>
            </a:r>
            <a:r>
              <a:rPr lang="pl-PL"/>
              <a:t> w sektorze transport prywatny </a:t>
            </a:r>
            <a:br>
              <a:rPr lang="pl-PL"/>
            </a:br>
            <a:r>
              <a:rPr lang="pl-PL"/>
              <a:t>i komercyjny [Mg]</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l-PL"/>
        </a:p>
      </c:txPr>
    </c:title>
    <c:autoTitleDeleted val="0"/>
    <c:plotArea>
      <c:layout/>
      <c:pieChart>
        <c:varyColors val="1"/>
        <c:ser>
          <c:idx val="0"/>
          <c:order val="0"/>
          <c:tx>
            <c:strRef>
              <c:f>Arkusz1!$B$1</c:f>
              <c:strCache>
                <c:ptCount val="1"/>
                <c:pt idx="0">
                  <c:v>Emisja CO2 w sektorze budynki, wyposażenie/urządzenia komunalne [Mg]</c:v>
                </c:pt>
              </c:strCache>
            </c:strRef>
          </c:tx>
          <c:dPt>
            <c:idx val="0"/>
            <c:bubble3D val="0"/>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011C-4976-A20E-0F206EED0C3C}"/>
              </c:ext>
            </c:extLst>
          </c:dPt>
          <c:dPt>
            <c:idx val="1"/>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011C-4976-A20E-0F206EED0C3C}"/>
              </c:ext>
            </c:extLst>
          </c:dPt>
          <c:dPt>
            <c:idx val="2"/>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24D8-4434-AF02-66497D8BDA70}"/>
              </c:ext>
            </c:extLst>
          </c:dPt>
          <c:dLbls>
            <c:dLbl>
              <c:idx val="0"/>
              <c:layout>
                <c:manualLayout>
                  <c:x val="0.12763022677720831"/>
                  <c:y val="9.4645358065419655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011C-4976-A20E-0F206EED0C3C}"/>
                </c:ext>
                <c:ext xmlns:c15="http://schemas.microsoft.com/office/drawing/2012/chart" uri="{CE6537A1-D6FC-4f65-9D91-7224C49458BB}"/>
              </c:extLst>
            </c:dLbl>
            <c:dLbl>
              <c:idx val="1"/>
              <c:layout>
                <c:manualLayout>
                  <c:x val="-0.42313894790928913"/>
                  <c:y val="-5.9001587252186363E-2"/>
                </c:manualLayout>
              </c:layout>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t" anchorCtr="1">
                  <a:spAutoFit/>
                </a:bodyPr>
                <a:lstStyle/>
                <a:p>
                  <a:pPr>
                    <a:defRPr sz="1000" b="1" i="0" u="none" strike="noStrike" kern="1200" baseline="0">
                      <a:solidFill>
                        <a:schemeClr val="lt1"/>
                      </a:solidFill>
                      <a:latin typeface="+mn-lt"/>
                      <a:ea typeface="+mn-ea"/>
                      <a:cs typeface="+mn-cs"/>
                    </a:defRPr>
                  </a:pPr>
                  <a:endParaRPr lang="pl-PL"/>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011C-4976-A20E-0F206EED0C3C}"/>
                </c:ext>
                <c:ext xmlns:c15="http://schemas.microsoft.com/office/drawing/2012/chart" uri="{CE6537A1-D6FC-4f65-9D91-7224C49458BB}"/>
              </c:extLst>
            </c:dLbl>
            <c:dLbl>
              <c:idx val="2"/>
              <c:layout>
                <c:manualLayout>
                  <c:x val="-7.6587127997889137E-2"/>
                  <c:y val="6.3178876112915089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24D8-4434-AF02-66497D8BDA70}"/>
                </c:ex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l-PL"/>
              </a:p>
            </c:txPr>
            <c:dLblPos val="ctr"/>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Arkusz1!$A$2:$A$4</c:f>
              <c:strCache>
                <c:ptCount val="3"/>
                <c:pt idx="0">
                  <c:v>gaz ciekły (LPG)</c:v>
                </c:pt>
                <c:pt idx="1">
                  <c:v>olej napędowy</c:v>
                </c:pt>
                <c:pt idx="2">
                  <c:v>benzyna</c:v>
                </c:pt>
              </c:strCache>
            </c:strRef>
          </c:cat>
          <c:val>
            <c:numRef>
              <c:f>Arkusz1!$B$2:$B$4</c:f>
              <c:numCache>
                <c:formatCode>General</c:formatCode>
                <c:ptCount val="3"/>
                <c:pt idx="0">
                  <c:v>2440.1999999999998</c:v>
                </c:pt>
                <c:pt idx="1">
                  <c:v>9925.1</c:v>
                </c:pt>
                <c:pt idx="2">
                  <c:v>4412.7</c:v>
                </c:pt>
              </c:numCache>
            </c:numRef>
          </c:val>
          <c:extLst xmlns:c16r2="http://schemas.microsoft.com/office/drawing/2015/06/chart">
            <c:ext xmlns:c16="http://schemas.microsoft.com/office/drawing/2014/chart" uri="{C3380CC4-5D6E-409C-BE32-E72D297353CC}">
              <c16:uniqueId val="{00000004-011C-4976-A20E-0F206EED0C3C}"/>
            </c:ext>
          </c:extLst>
        </c:ser>
        <c:dLbls>
          <c:dLblPos val="ctr"/>
          <c:showLegendKey val="0"/>
          <c:showVal val="0"/>
          <c:showCatName val="0"/>
          <c:showSerName val="0"/>
          <c:showPercent val="1"/>
          <c:showBubbleSize val="0"/>
          <c:showLeaderLines val="0"/>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l-PL"/>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Emisja CO2 na terenie Gminy</a:t>
            </a:r>
            <a:r>
              <a:rPr lang="pl-PL" baseline="0"/>
              <a:t> </a:t>
            </a:r>
            <a:r>
              <a:rPr lang="pl-PL"/>
              <a:t>Garbatka-Letnisko </a:t>
            </a:r>
            <a:r>
              <a:rPr lang="en-US"/>
              <a:t>[Mg]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6592797783933517E-2"/>
          <c:y val="0.19509356784947335"/>
          <c:w val="0.62876000610726979"/>
          <c:h val="0.73695572144391042"/>
        </c:manualLayout>
      </c:layout>
      <c:bar3DChart>
        <c:barDir val="col"/>
        <c:grouping val="clustered"/>
        <c:varyColors val="0"/>
        <c:ser>
          <c:idx val="0"/>
          <c:order val="0"/>
          <c:tx>
            <c:strRef>
              <c:f>Arkusz1!$B$1</c:f>
              <c:strCache>
                <c:ptCount val="1"/>
                <c:pt idx="0">
                  <c:v>Emisja CO2 na terenie Gminy Garbatka-Letnisko [Mg] </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Arkusz1!$A$2:$A$9</c:f>
              <c:strCache>
                <c:ptCount val="8"/>
                <c:pt idx="0">
                  <c:v>budynki, wyposażenie/urządzenia komunalne</c:v>
                </c:pt>
                <c:pt idx="1">
                  <c:v>budynki, wyposażenie/urządzenia usługowe (niekomunalne)</c:v>
                </c:pt>
                <c:pt idx="2">
                  <c:v>budynki mieszkalne</c:v>
                </c:pt>
                <c:pt idx="3">
                  <c:v>komunalne oświetlenie publiczne</c:v>
                </c:pt>
                <c:pt idx="4">
                  <c:v>  przemysł (z wyjątkiem zakładów objętych systemem handlu uprawnieniami do emisji UE-ETS) </c:v>
                </c:pt>
                <c:pt idx="5">
                  <c:v>tabor gminny</c:v>
                </c:pt>
                <c:pt idx="6">
                  <c:v>transport publiczny</c:v>
                </c:pt>
                <c:pt idx="7">
                  <c:v>transport prywatny i komercyjny</c:v>
                </c:pt>
              </c:strCache>
            </c:strRef>
          </c:cat>
          <c:val>
            <c:numRef>
              <c:f>Arkusz1!$B$2:$B$9</c:f>
              <c:numCache>
                <c:formatCode>General</c:formatCode>
                <c:ptCount val="8"/>
                <c:pt idx="0">
                  <c:v>1225.4000000000001</c:v>
                </c:pt>
                <c:pt idx="1">
                  <c:v>2650.1</c:v>
                </c:pt>
                <c:pt idx="2">
                  <c:v>9430.7999999999993</c:v>
                </c:pt>
                <c:pt idx="3">
                  <c:v>427</c:v>
                </c:pt>
                <c:pt idx="4">
                  <c:v>4897.5</c:v>
                </c:pt>
                <c:pt idx="5">
                  <c:v>14.1</c:v>
                </c:pt>
                <c:pt idx="6">
                  <c:v>105.5</c:v>
                </c:pt>
                <c:pt idx="7">
                  <c:v>16778</c:v>
                </c:pt>
              </c:numCache>
            </c:numRef>
          </c:val>
          <c:extLst xmlns:c16r2="http://schemas.microsoft.com/office/drawing/2015/06/chart">
            <c:ext xmlns:c16="http://schemas.microsoft.com/office/drawing/2014/chart" uri="{C3380CC4-5D6E-409C-BE32-E72D297353CC}">
              <c16:uniqueId val="{00000000-9A8F-47B6-8208-60D79133205D}"/>
            </c:ext>
          </c:extLst>
        </c:ser>
        <c:dLbls>
          <c:showLegendKey val="0"/>
          <c:showVal val="1"/>
          <c:showCatName val="0"/>
          <c:showSerName val="0"/>
          <c:showPercent val="0"/>
          <c:showBubbleSize val="0"/>
        </c:dLbls>
        <c:gapWidth val="150"/>
        <c:shape val="box"/>
        <c:axId val="309196088"/>
        <c:axId val="309192952"/>
        <c:axId val="0"/>
      </c:bar3DChart>
      <c:catAx>
        <c:axId val="3091960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09192952"/>
        <c:crosses val="autoZero"/>
        <c:auto val="1"/>
        <c:lblAlgn val="ctr"/>
        <c:lblOffset val="100"/>
        <c:noMultiLvlLbl val="0"/>
      </c:catAx>
      <c:valAx>
        <c:axId val="309192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09196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pl-PL"/>
              <a:t>Udział energii OZE w końcowym zużyciu energii</a:t>
            </a:r>
            <a:r>
              <a:rPr lang="pl-PL" baseline="0"/>
              <a:t> na terenie Gminy Garbatka-Letnisko</a:t>
            </a:r>
            <a:endParaRPr lang="en-US"/>
          </a:p>
        </c:rich>
      </c:tx>
      <c:layout>
        <c:manualLayout>
          <c:xMode val="edge"/>
          <c:yMode val="edge"/>
          <c:x val="0.13239074282381369"/>
          <c:y val="1.7032148179689163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l-PL"/>
        </a:p>
      </c:txPr>
    </c:title>
    <c:autoTitleDeleted val="0"/>
    <c:plotArea>
      <c:layout/>
      <c:pieChart>
        <c:varyColors val="1"/>
        <c:ser>
          <c:idx val="0"/>
          <c:order val="0"/>
          <c:tx>
            <c:strRef>
              <c:f>Arkusz1!$B$1</c:f>
              <c:strCache>
                <c:ptCount val="1"/>
                <c:pt idx="0">
                  <c:v>Udział energii OZE w sektorze budynki, wyposażenie/urządzenia usługowe (niekomunalne)</c:v>
                </c:pt>
              </c:strCache>
            </c:strRef>
          </c:tx>
          <c:dPt>
            <c:idx val="0"/>
            <c:bubble3D val="0"/>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2DB2-4F3D-82E4-6719CDB94D9C}"/>
              </c:ext>
            </c:extLst>
          </c:dPt>
          <c:dPt>
            <c:idx val="1"/>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2DB2-4F3D-82E4-6719CDB94D9C}"/>
              </c:ext>
            </c:extLst>
          </c:dPt>
          <c:dLbls>
            <c:dLbl>
              <c:idx val="0"/>
              <c:layout>
                <c:manualLayout>
                  <c:x val="0.12763022677720831"/>
                  <c:y val="0.1858968448616054"/>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2DB2-4F3D-82E4-6719CDB94D9C}"/>
                </c:ext>
                <c:ext xmlns:c15="http://schemas.microsoft.com/office/drawing/2012/chart" uri="{CE6537A1-D6FC-4f65-9D91-7224C49458BB}"/>
              </c:extLst>
            </c:dLbl>
            <c:dLbl>
              <c:idx val="1"/>
              <c:layout>
                <c:manualLayout>
                  <c:x val="-0.11428953325278784"/>
                  <c:y val="-0.12348307430274644"/>
                </c:manualLayout>
              </c:layout>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t" anchorCtr="1">
                  <a:spAutoFit/>
                </a:bodyPr>
                <a:lstStyle/>
                <a:p>
                  <a:pPr>
                    <a:defRPr sz="1000" b="1" i="0" u="none" strike="noStrike" kern="1200" baseline="0">
                      <a:solidFill>
                        <a:schemeClr val="lt1"/>
                      </a:solidFill>
                      <a:latin typeface="+mn-lt"/>
                      <a:ea typeface="+mn-ea"/>
                      <a:cs typeface="+mn-cs"/>
                    </a:defRPr>
                  </a:pPr>
                  <a:endParaRPr lang="pl-PL"/>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2DB2-4F3D-82E4-6719CDB94D9C}"/>
                </c:ex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l-PL"/>
              </a:p>
            </c:txPr>
            <c:dLblPos val="ctr"/>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Arkusz1!$A$2:$A$3</c:f>
              <c:strCache>
                <c:ptCount val="2"/>
                <c:pt idx="0">
                  <c:v>energia pozyskiwana z OZE</c:v>
                </c:pt>
                <c:pt idx="1">
                  <c:v>pozostała energia</c:v>
                </c:pt>
              </c:strCache>
            </c:strRef>
          </c:cat>
          <c:val>
            <c:numRef>
              <c:f>Arkusz1!$B$2:$B$3</c:f>
              <c:numCache>
                <c:formatCode>General</c:formatCode>
                <c:ptCount val="2"/>
                <c:pt idx="0">
                  <c:v>11378.1</c:v>
                </c:pt>
                <c:pt idx="1">
                  <c:v>99258.599999999991</c:v>
                </c:pt>
              </c:numCache>
            </c:numRef>
          </c:val>
          <c:extLst xmlns:c16r2="http://schemas.microsoft.com/office/drawing/2015/06/chart">
            <c:ext xmlns:c16="http://schemas.microsoft.com/office/drawing/2014/chart" uri="{C3380CC4-5D6E-409C-BE32-E72D297353CC}">
              <c16:uniqueId val="{00000004-2DB2-4F3D-82E4-6719CDB94D9C}"/>
            </c:ext>
          </c:extLst>
        </c:ser>
        <c:dLbls>
          <c:dLblPos val="ctr"/>
          <c:showLegendKey val="0"/>
          <c:showVal val="0"/>
          <c:showCatName val="0"/>
          <c:showSerName val="0"/>
          <c:showPercent val="1"/>
          <c:showBubbleSize val="0"/>
          <c:showLeaderLines val="0"/>
        </c:dLbls>
        <c:firstSliceAng val="0"/>
      </c:pieChart>
      <c:spPr>
        <a:noFill/>
        <a:ln>
          <a:noFill/>
        </a:ln>
        <a:effectLst/>
      </c:spPr>
    </c:plotArea>
    <c:legend>
      <c:legendPos val="r"/>
      <c:layout>
        <c:manualLayout>
          <c:xMode val="edge"/>
          <c:yMode val="edge"/>
          <c:x val="0.79253339860295235"/>
          <c:y val="0.48839550793855685"/>
          <c:w val="0.19203450263161551"/>
          <c:h val="0.35927439025412433"/>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l-PL"/>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l-PL"/>
        </a:p>
      </c:txPr>
    </c:title>
    <c:autoTitleDeleted val="0"/>
    <c:plotArea>
      <c:layout/>
      <c:pieChart>
        <c:varyColors val="1"/>
        <c:ser>
          <c:idx val="0"/>
          <c:order val="0"/>
          <c:tx>
            <c:strRef>
              <c:f>Arkusz1!$B$1</c:f>
              <c:strCache>
                <c:ptCount val="1"/>
                <c:pt idx="0">
                  <c:v>Końcowe zużycie energii w sektorze budynki wyposażenie/urządzenia komunalne [MWh]</c:v>
                </c:pt>
              </c:strCache>
            </c:strRef>
          </c:tx>
          <c:dPt>
            <c:idx val="0"/>
            <c:bubble3D val="0"/>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5689-4477-856A-5477C7C86F78}"/>
              </c:ext>
            </c:extLst>
          </c:dPt>
          <c:dPt>
            <c:idx val="1"/>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5689-4477-856A-5477C7C86F78}"/>
              </c:ext>
            </c:extLst>
          </c:dPt>
          <c:dLbls>
            <c:dLbl>
              <c:idx val="0"/>
              <c:layout>
                <c:manualLayout>
                  <c:x val="7.9129344942993243E-2"/>
                  <c:y val="-0.21821668714659551"/>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5689-4477-856A-5477C7C86F78}"/>
                </c:ext>
                <c:ext xmlns:c15="http://schemas.microsoft.com/office/drawing/2012/chart" uri="{CE6537A1-D6FC-4f65-9D91-7224C49458BB}"/>
              </c:extLst>
            </c:dLbl>
            <c:dLbl>
              <c:idx val="1"/>
              <c:layout>
                <c:manualLayout>
                  <c:x val="-6.3482516074379589E-2"/>
                  <c:y val="6.8376363535780083E-2"/>
                </c:manualLayout>
              </c:layout>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t" anchorCtr="1">
                  <a:spAutoFit/>
                </a:bodyPr>
                <a:lstStyle/>
                <a:p>
                  <a:pPr>
                    <a:defRPr sz="1000" b="1" i="0" u="none" strike="noStrike" kern="1200" baseline="0">
                      <a:solidFill>
                        <a:schemeClr val="lt1"/>
                      </a:solidFill>
                      <a:latin typeface="+mn-lt"/>
                      <a:ea typeface="+mn-ea"/>
                      <a:cs typeface="+mn-cs"/>
                    </a:defRPr>
                  </a:pPr>
                  <a:endParaRPr lang="pl-PL"/>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5689-4477-856A-5477C7C86F78}"/>
                </c:ex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l-PL"/>
              </a:p>
            </c:txPr>
            <c:dLblPos val="ctr"/>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Arkusz1!$A$2:$A$3</c:f>
              <c:strCache>
                <c:ptCount val="2"/>
                <c:pt idx="0">
                  <c:v>energia cieplna</c:v>
                </c:pt>
                <c:pt idx="1">
                  <c:v>energia elektryczna</c:v>
                </c:pt>
              </c:strCache>
            </c:strRef>
          </c:cat>
          <c:val>
            <c:numRef>
              <c:f>Arkusz1!$B$2:$B$3</c:f>
              <c:numCache>
                <c:formatCode>General</c:formatCode>
                <c:ptCount val="2"/>
                <c:pt idx="0">
                  <c:v>2104.3000000000002</c:v>
                </c:pt>
                <c:pt idx="1">
                  <c:v>637.1</c:v>
                </c:pt>
              </c:numCache>
            </c:numRef>
          </c:val>
          <c:extLst xmlns:c16r2="http://schemas.microsoft.com/office/drawing/2015/06/chart">
            <c:ext xmlns:c16="http://schemas.microsoft.com/office/drawing/2014/chart" uri="{C3380CC4-5D6E-409C-BE32-E72D297353CC}">
              <c16:uniqueId val="{00000004-5689-4477-856A-5477C7C86F78}"/>
            </c:ext>
          </c:extLst>
        </c:ser>
        <c:dLbls>
          <c:dLblPos val="ctr"/>
          <c:showLegendKey val="0"/>
          <c:showVal val="0"/>
          <c:showCatName val="0"/>
          <c:showSerName val="0"/>
          <c:showPercent val="1"/>
          <c:showBubbleSize val="0"/>
          <c:showLeaderLines val="0"/>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l-P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pl-PL"/>
              <a:t>Emisja CO</a:t>
            </a:r>
            <a:r>
              <a:rPr lang="pl-PL" baseline="-25000"/>
              <a:t>2</a:t>
            </a:r>
            <a:r>
              <a:rPr lang="pl-PL"/>
              <a:t> w sektorze budynki, wyposażenie/urządzenia komunalne [Mg]</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l-PL"/>
        </a:p>
      </c:txPr>
    </c:title>
    <c:autoTitleDeleted val="0"/>
    <c:plotArea>
      <c:layout/>
      <c:pieChart>
        <c:varyColors val="1"/>
        <c:ser>
          <c:idx val="0"/>
          <c:order val="0"/>
          <c:tx>
            <c:strRef>
              <c:f>Arkusz1!$B$1</c:f>
              <c:strCache>
                <c:ptCount val="1"/>
                <c:pt idx="0">
                  <c:v>Emisja CO2 w sektorze budynki, wyposażenie/urządzenia komunalne [Mg]</c:v>
                </c:pt>
              </c:strCache>
            </c:strRef>
          </c:tx>
          <c:dPt>
            <c:idx val="0"/>
            <c:bubble3D val="0"/>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74A1-4C7B-B581-34EB7B995D30}"/>
              </c:ext>
            </c:extLst>
          </c:dPt>
          <c:dPt>
            <c:idx val="1"/>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74A1-4C7B-B581-34EB7B995D30}"/>
              </c:ext>
            </c:extLst>
          </c:dPt>
          <c:dLbls>
            <c:dLbl>
              <c:idx val="0"/>
              <c:layout>
                <c:manualLayout>
                  <c:x val="5.0469732950047828E-2"/>
                  <c:y val="7.0929844648703555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74A1-4C7B-B581-34EB7B995D30}"/>
                </c:ext>
                <c:ext xmlns:c15="http://schemas.microsoft.com/office/drawing/2012/chart" uri="{CE6537A1-D6FC-4f65-9D91-7224C49458BB}"/>
              </c:extLst>
            </c:dLbl>
            <c:dLbl>
              <c:idx val="1"/>
              <c:layout>
                <c:manualLayout>
                  <c:x val="-3.7809683511783251E-2"/>
                  <c:y val="-4.2580370449222908E-3"/>
                </c:manualLayout>
              </c:layout>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t" anchorCtr="1">
                  <a:spAutoFit/>
                </a:bodyPr>
                <a:lstStyle/>
                <a:p>
                  <a:pPr>
                    <a:defRPr sz="1000" b="1" i="0" u="none" strike="noStrike" kern="1200" baseline="0">
                      <a:solidFill>
                        <a:schemeClr val="lt1"/>
                      </a:solidFill>
                      <a:latin typeface="+mn-lt"/>
                      <a:ea typeface="+mn-ea"/>
                      <a:cs typeface="+mn-cs"/>
                    </a:defRPr>
                  </a:pPr>
                  <a:endParaRPr lang="pl-PL"/>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74A1-4C7B-B581-34EB7B995D30}"/>
                </c:ex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l-PL"/>
              </a:p>
            </c:txPr>
            <c:dLblPos val="ctr"/>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Arkusz1!$A$2:$A$3</c:f>
              <c:strCache>
                <c:ptCount val="2"/>
                <c:pt idx="0">
                  <c:v>energia elektryczna</c:v>
                </c:pt>
                <c:pt idx="1">
                  <c:v>energię cieplną</c:v>
                </c:pt>
              </c:strCache>
            </c:strRef>
          </c:cat>
          <c:val>
            <c:numRef>
              <c:f>Arkusz1!$B$2:$B$3</c:f>
              <c:numCache>
                <c:formatCode>General</c:formatCode>
                <c:ptCount val="2"/>
                <c:pt idx="0">
                  <c:v>758.8</c:v>
                </c:pt>
                <c:pt idx="1">
                  <c:v>466.6</c:v>
                </c:pt>
              </c:numCache>
            </c:numRef>
          </c:val>
          <c:extLst xmlns:c16r2="http://schemas.microsoft.com/office/drawing/2015/06/chart">
            <c:ext xmlns:c16="http://schemas.microsoft.com/office/drawing/2014/chart" uri="{C3380CC4-5D6E-409C-BE32-E72D297353CC}">
              <c16:uniqueId val="{00000004-74A1-4C7B-B581-34EB7B995D30}"/>
            </c:ext>
          </c:extLst>
        </c:ser>
        <c:dLbls>
          <c:dLblPos val="ctr"/>
          <c:showLegendKey val="0"/>
          <c:showVal val="0"/>
          <c:showCatName val="0"/>
          <c:showSerName val="0"/>
          <c:showPercent val="1"/>
          <c:showBubbleSize val="0"/>
          <c:showLeaderLines val="0"/>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l-P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13239074282381369"/>
          <c:y val="2.1290185224611454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l-PL"/>
        </a:p>
      </c:txPr>
    </c:title>
    <c:autoTitleDeleted val="0"/>
    <c:plotArea>
      <c:layout/>
      <c:pieChart>
        <c:varyColors val="1"/>
        <c:ser>
          <c:idx val="0"/>
          <c:order val="0"/>
          <c:tx>
            <c:strRef>
              <c:f>Arkusz1!$B$1</c:f>
              <c:strCache>
                <c:ptCount val="1"/>
                <c:pt idx="0">
                  <c:v>Końcowe zużycie energii w sektorze budynki wyposażenie/urządzenia usługowe (niekomunalne) [MWh]</c:v>
                </c:pt>
              </c:strCache>
            </c:strRef>
          </c:tx>
          <c:dPt>
            <c:idx val="0"/>
            <c:bubble3D val="0"/>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745D-499D-9EF8-06ACD856276B}"/>
              </c:ext>
            </c:extLst>
          </c:dPt>
          <c:dPt>
            <c:idx val="1"/>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745D-499D-9EF8-06ACD856276B}"/>
              </c:ext>
            </c:extLst>
          </c:dPt>
          <c:dPt>
            <c:idx val="2"/>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745D-499D-9EF8-06ACD856276B}"/>
              </c:ext>
            </c:extLst>
          </c:dPt>
          <c:dPt>
            <c:idx val="3"/>
            <c:bubble3D val="0"/>
            <c:spPr>
              <a:solidFill>
                <a:schemeClr val="accent6">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745D-499D-9EF8-06ACD856276B}"/>
              </c:ext>
            </c:extLst>
          </c:dPt>
          <c:dPt>
            <c:idx val="4"/>
            <c:bubble3D val="0"/>
            <c:spPr>
              <a:solidFill>
                <a:schemeClr val="accent5">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745D-499D-9EF8-06ACD856276B}"/>
              </c:ext>
            </c:extLst>
          </c:dPt>
          <c:dPt>
            <c:idx val="5"/>
            <c:bubble3D val="0"/>
            <c:spPr>
              <a:solidFill>
                <a:schemeClr val="accent4">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B-745D-499D-9EF8-06ACD856276B}"/>
              </c:ext>
            </c:extLst>
          </c:dPt>
          <c:dLbls>
            <c:dLbl>
              <c:idx val="0"/>
              <c:layout>
                <c:manualLayout>
                  <c:x val="-2.44031996000508E-3"/>
                  <c:y val="-0.12601742038882308"/>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745D-499D-9EF8-06ACD856276B}"/>
                </c:ext>
                <c:ext xmlns:c15="http://schemas.microsoft.com/office/drawing/2012/chart" uri="{CE6537A1-D6FC-4f65-9D91-7224C49458BB}"/>
              </c:extLst>
            </c:dLbl>
            <c:dLbl>
              <c:idx val="1"/>
              <c:layout>
                <c:manualLayout>
                  <c:x val="0.12359826549459087"/>
                  <c:y val="-2.4778761061947034E-2"/>
                </c:manualLayout>
              </c:layout>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t" anchorCtr="1">
                  <a:spAutoFit/>
                </a:bodyPr>
                <a:lstStyle/>
                <a:p>
                  <a:pPr>
                    <a:defRPr sz="1000" b="1" i="0" u="none" strike="noStrike" kern="1200" baseline="0">
                      <a:solidFill>
                        <a:schemeClr val="lt1"/>
                      </a:solidFill>
                      <a:latin typeface="+mn-lt"/>
                      <a:ea typeface="+mn-ea"/>
                      <a:cs typeface="+mn-cs"/>
                    </a:defRPr>
                  </a:pPr>
                  <a:endParaRPr lang="pl-PL"/>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745D-499D-9EF8-06ACD856276B}"/>
                </c:ext>
                <c:ext xmlns:c15="http://schemas.microsoft.com/office/drawing/2012/chart" uri="{CE6537A1-D6FC-4f65-9D91-7224C49458BB}"/>
              </c:extLst>
            </c:dLbl>
            <c:dLbl>
              <c:idx val="2"/>
              <c:layout>
                <c:manualLayout>
                  <c:x val="-0.11940729631018344"/>
                  <c:y val="-1.415929203539823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745D-499D-9EF8-06ACD856276B}"/>
                </c:ext>
                <c:ext xmlns:c15="http://schemas.microsoft.com/office/drawing/2012/chart" uri="{CE6537A1-D6FC-4f65-9D91-7224C49458BB}"/>
              </c:extLst>
            </c:dLbl>
            <c:dLbl>
              <c:idx val="3"/>
              <c:layout>
                <c:manualLayout>
                  <c:x val="-0.14737498090516463"/>
                  <c:y val="-0.13097345132743377"/>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745D-499D-9EF8-06ACD856276B}"/>
                </c:ext>
                <c:ext xmlns:c15="http://schemas.microsoft.com/office/drawing/2012/chart" uri="{CE6537A1-D6FC-4f65-9D91-7224C49458BB}"/>
              </c:extLst>
            </c:dLbl>
            <c:dLbl>
              <c:idx val="4"/>
              <c:layout>
                <c:manualLayout>
                  <c:x val="-0.15957050507575443"/>
                  <c:y val="-0.1182316070401781"/>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745D-499D-9EF8-06ACD856276B}"/>
                </c:ext>
                <c:ext xmlns:c15="http://schemas.microsoft.com/office/drawing/2012/chart" uri="{CE6537A1-D6FC-4f65-9D91-7224C49458BB}"/>
              </c:extLst>
            </c:dLbl>
            <c:dLbl>
              <c:idx val="5"/>
              <c:layout>
                <c:manualLayout>
                  <c:x val="-9.0175360024441417E-2"/>
                  <c:y val="0.11153743635994823"/>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B-745D-499D-9EF8-06ACD856276B}"/>
                </c:ext>
                <c:ext xmlns:c15="http://schemas.microsoft.com/office/drawing/2012/chart" uri="{CE6537A1-D6FC-4f65-9D91-7224C49458BB}">
                  <c15:layout>
                    <c:manualLayout>
                      <c:w val="0.15557760141093471"/>
                      <c:h val="0.11671279540131999"/>
                    </c:manualLayout>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l-PL"/>
              </a:p>
            </c:txPr>
            <c:dLblPos val="ctr"/>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Arkusz1!$A$2:$A$7</c:f>
              <c:strCache>
                <c:ptCount val="6"/>
                <c:pt idx="0">
                  <c:v>energia elektryczna</c:v>
                </c:pt>
                <c:pt idx="1">
                  <c:v>gaz ziemny</c:v>
                </c:pt>
                <c:pt idx="2">
                  <c:v>gaz ciekły</c:v>
                </c:pt>
                <c:pt idx="3">
                  <c:v>olej opałowy</c:v>
                </c:pt>
                <c:pt idx="4">
                  <c:v>węgiel kamienny</c:v>
                </c:pt>
                <c:pt idx="5">
                  <c:v>inna biomasa</c:v>
                </c:pt>
              </c:strCache>
            </c:strRef>
          </c:cat>
          <c:val>
            <c:numRef>
              <c:f>Arkusz1!$B$2:$B$7</c:f>
              <c:numCache>
                <c:formatCode>General</c:formatCode>
                <c:ptCount val="6"/>
                <c:pt idx="0">
                  <c:v>1780.9</c:v>
                </c:pt>
                <c:pt idx="1">
                  <c:v>678.3</c:v>
                </c:pt>
                <c:pt idx="2">
                  <c:v>55.6</c:v>
                </c:pt>
                <c:pt idx="3">
                  <c:v>27.8</c:v>
                </c:pt>
                <c:pt idx="4">
                  <c:v>1089.7</c:v>
                </c:pt>
                <c:pt idx="5">
                  <c:v>928.5</c:v>
                </c:pt>
              </c:numCache>
            </c:numRef>
          </c:val>
          <c:extLst xmlns:c16r2="http://schemas.microsoft.com/office/drawing/2015/06/chart">
            <c:ext xmlns:c16="http://schemas.microsoft.com/office/drawing/2014/chart" uri="{C3380CC4-5D6E-409C-BE32-E72D297353CC}">
              <c16:uniqueId val="{0000000E-745D-499D-9EF8-06ACD856276B}"/>
            </c:ext>
          </c:extLst>
        </c:ser>
        <c:dLbls>
          <c:dLblPos val="ctr"/>
          <c:showLegendKey val="0"/>
          <c:showVal val="0"/>
          <c:showCatName val="0"/>
          <c:showSerName val="0"/>
          <c:showPercent val="1"/>
          <c:showBubbleSize val="0"/>
          <c:showLeaderLines val="0"/>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l-PL"/>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Emisja CO</a:t>
            </a:r>
            <a:r>
              <a:rPr lang="en-US" baseline="-25000"/>
              <a:t>2</a:t>
            </a:r>
            <a:r>
              <a:rPr lang="en-US"/>
              <a:t> w sektorze budynki wyposażenie/urządzenia usługowe (niekomunalne) [Mg]</a:t>
            </a:r>
          </a:p>
        </c:rich>
      </c:tx>
      <c:layout>
        <c:manualLayout>
          <c:xMode val="edge"/>
          <c:yMode val="edge"/>
          <c:x val="0.22941391973191885"/>
          <c:y val="1.3711648112951398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l-PL"/>
        </a:p>
      </c:txPr>
    </c:title>
    <c:autoTitleDeleted val="0"/>
    <c:plotArea>
      <c:layout/>
      <c:pieChart>
        <c:varyColors val="1"/>
        <c:ser>
          <c:idx val="0"/>
          <c:order val="0"/>
          <c:tx>
            <c:strRef>
              <c:f>Arkusz1!$B$1</c:f>
              <c:strCache>
                <c:ptCount val="1"/>
                <c:pt idx="0">
                  <c:v>Emisja CO2 w sektorze budynki wyposażenie/urządzenia usługowe (niekomunalne) [Mg]</c:v>
                </c:pt>
              </c:strCache>
            </c:strRef>
          </c:tx>
          <c:dPt>
            <c:idx val="0"/>
            <c:bubble3D val="0"/>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2D8F-45FE-BE0C-B7634F526E94}"/>
              </c:ext>
            </c:extLst>
          </c:dPt>
          <c:dPt>
            <c:idx val="1"/>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2D8F-45FE-BE0C-B7634F526E94}"/>
              </c:ext>
            </c:extLst>
          </c:dPt>
          <c:dPt>
            <c:idx val="2"/>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2D8F-45FE-BE0C-B7634F526E94}"/>
              </c:ext>
            </c:extLst>
          </c:dPt>
          <c:dPt>
            <c:idx val="3"/>
            <c:bubble3D val="0"/>
            <c:spPr>
              <a:solidFill>
                <a:schemeClr val="accent6">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2D8F-45FE-BE0C-B7634F526E94}"/>
              </c:ext>
            </c:extLst>
          </c:dPt>
          <c:dPt>
            <c:idx val="4"/>
            <c:bubble3D val="0"/>
            <c:spPr>
              <a:solidFill>
                <a:schemeClr val="accent5">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2D8F-45FE-BE0C-B7634F526E94}"/>
              </c:ext>
            </c:extLst>
          </c:dPt>
          <c:dLbls>
            <c:dLbl>
              <c:idx val="0"/>
              <c:layout>
                <c:manualLayout>
                  <c:x val="6.5916884424728053E-2"/>
                  <c:y val="-7.5786282682834549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2D8F-45FE-BE0C-B7634F526E94}"/>
                </c:ext>
                <c:ext xmlns:c15="http://schemas.microsoft.com/office/drawing/2012/chart" uri="{CE6537A1-D6FC-4f65-9D91-7224C49458BB}"/>
              </c:extLst>
            </c:dLbl>
            <c:dLbl>
              <c:idx val="1"/>
              <c:layout>
                <c:manualLayout>
                  <c:x val="-6.0010764916788931E-2"/>
                  <c:y val="0.12606391707667836"/>
                </c:manualLayout>
              </c:layout>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t" anchorCtr="1">
                  <a:spAutoFit/>
                </a:bodyPr>
                <a:lstStyle/>
                <a:p>
                  <a:pPr>
                    <a:defRPr sz="1000" b="1" i="0" u="none" strike="noStrike" kern="1200" baseline="0">
                      <a:solidFill>
                        <a:schemeClr val="lt1"/>
                      </a:solidFill>
                      <a:latin typeface="+mn-lt"/>
                      <a:ea typeface="+mn-ea"/>
                      <a:cs typeface="+mn-cs"/>
                    </a:defRPr>
                  </a:pPr>
                  <a:endParaRPr lang="pl-PL"/>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2D8F-45FE-BE0C-B7634F526E94}"/>
                </c:ext>
                <c:ext xmlns:c15="http://schemas.microsoft.com/office/drawing/2012/chart" uri="{CE6537A1-D6FC-4f65-9D91-7224C49458BB}"/>
              </c:extLst>
            </c:dLbl>
            <c:dLbl>
              <c:idx val="2"/>
              <c:layout>
                <c:manualLayout>
                  <c:x val="-8.1942546597331342E-2"/>
                  <c:y val="2.7033325078397032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2D8F-45FE-BE0C-B7634F526E94}"/>
                </c:ext>
                <c:ext xmlns:c15="http://schemas.microsoft.com/office/drawing/2012/chart" uri="{CE6537A1-D6FC-4f65-9D91-7224C49458BB}"/>
              </c:extLst>
            </c:dLbl>
            <c:dLbl>
              <c:idx val="3"/>
              <c:layout>
                <c:manualLayout>
                  <c:x val="0.50305550009115452"/>
                  <c:y val="4.0605633844841012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2D8F-45FE-BE0C-B7634F526E94}"/>
                </c:ext>
                <c:ext xmlns:c15="http://schemas.microsoft.com/office/drawing/2012/chart" uri="{CE6537A1-D6FC-4f65-9D91-7224C49458BB}"/>
              </c:extLst>
            </c:dLbl>
            <c:dLbl>
              <c:idx val="4"/>
              <c:layout>
                <c:manualLayout>
                  <c:x val="-2.5054475687782689E-3"/>
                  <c:y val="6.8156931311967968E-3"/>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2D8F-45FE-BE0C-B7634F526E94}"/>
                </c:ex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l-PL"/>
              </a:p>
            </c:txPr>
            <c:dLblPos val="ctr"/>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Arkusz1!$A$2:$A$6</c:f>
              <c:strCache>
                <c:ptCount val="5"/>
                <c:pt idx="0">
                  <c:v>energia elektryczna</c:v>
                </c:pt>
                <c:pt idx="1">
                  <c:v>gaz ziemny</c:v>
                </c:pt>
                <c:pt idx="2">
                  <c:v>gaz ciekły</c:v>
                </c:pt>
                <c:pt idx="3">
                  <c:v>olej opałowy</c:v>
                </c:pt>
                <c:pt idx="4">
                  <c:v>węgiel kamienny</c:v>
                </c:pt>
              </c:strCache>
            </c:strRef>
          </c:cat>
          <c:val>
            <c:numRef>
              <c:f>Arkusz1!$B$2:$B$6</c:f>
              <c:numCache>
                <c:formatCode>General</c:formatCode>
                <c:ptCount val="5"/>
                <c:pt idx="0">
                  <c:v>2121.1</c:v>
                </c:pt>
                <c:pt idx="1">
                  <c:v>137</c:v>
                </c:pt>
                <c:pt idx="2">
                  <c:v>12.6</c:v>
                </c:pt>
                <c:pt idx="3">
                  <c:v>7.8</c:v>
                </c:pt>
                <c:pt idx="4">
                  <c:v>371.6</c:v>
                </c:pt>
              </c:numCache>
            </c:numRef>
          </c:val>
          <c:extLst xmlns:c16r2="http://schemas.microsoft.com/office/drawing/2015/06/chart">
            <c:ext xmlns:c16="http://schemas.microsoft.com/office/drawing/2014/chart" uri="{C3380CC4-5D6E-409C-BE32-E72D297353CC}">
              <c16:uniqueId val="{0000000A-2D8F-45FE-BE0C-B7634F526E94}"/>
            </c:ext>
          </c:extLst>
        </c:ser>
        <c:dLbls>
          <c:dLblPos val="ctr"/>
          <c:showLegendKey val="0"/>
          <c:showVal val="0"/>
          <c:showCatName val="0"/>
          <c:showSerName val="0"/>
          <c:showPercent val="1"/>
          <c:showBubbleSize val="0"/>
          <c:showLeaderLines val="0"/>
        </c:dLbls>
        <c:firstSliceAng val="0"/>
      </c:pieChart>
      <c:spPr>
        <a:noFill/>
        <a:ln>
          <a:noFill/>
        </a:ln>
        <a:effectLst/>
      </c:spPr>
    </c:plotArea>
    <c:legend>
      <c:legendPos val="r"/>
      <c:layout>
        <c:manualLayout>
          <c:xMode val="edge"/>
          <c:yMode val="edge"/>
          <c:x val="0.79253339860295235"/>
          <c:y val="0.48839550793855685"/>
          <c:w val="0.19203450263161551"/>
          <c:h val="0.35927439025412433"/>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l-PL"/>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pl-PL"/>
              <a:t>Udział energii OZE w sektorze</a:t>
            </a:r>
            <a:r>
              <a:rPr lang="pl-PL" baseline="0"/>
              <a:t> budynki, wyposażenie/urządzenia usługowe (niekomunalne)</a:t>
            </a:r>
            <a:endParaRPr lang="en-US"/>
          </a:p>
        </c:rich>
      </c:tx>
      <c:layout>
        <c:manualLayout>
          <c:xMode val="edge"/>
          <c:yMode val="edge"/>
          <c:x val="0.13239074282381369"/>
          <c:y val="1.7032148179689163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l-PL"/>
        </a:p>
      </c:txPr>
    </c:title>
    <c:autoTitleDeleted val="0"/>
    <c:plotArea>
      <c:layout/>
      <c:pieChart>
        <c:varyColors val="1"/>
        <c:ser>
          <c:idx val="0"/>
          <c:order val="0"/>
          <c:tx>
            <c:strRef>
              <c:f>Arkusz1!$B$1</c:f>
              <c:strCache>
                <c:ptCount val="1"/>
                <c:pt idx="0">
                  <c:v>Udział energii OZE w sektorze budynki, wyposażenie/urządzenia usługowe (niekomunalne)</c:v>
                </c:pt>
              </c:strCache>
            </c:strRef>
          </c:tx>
          <c:dPt>
            <c:idx val="0"/>
            <c:bubble3D val="0"/>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DFCE-4774-927E-BF7CA0409789}"/>
              </c:ext>
            </c:extLst>
          </c:dPt>
          <c:dPt>
            <c:idx val="1"/>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DFCE-4774-927E-BF7CA0409789}"/>
              </c:ext>
            </c:extLst>
          </c:dPt>
          <c:dLbls>
            <c:dLbl>
              <c:idx val="0"/>
              <c:layout>
                <c:manualLayout>
                  <c:x val="3.2833048646696943E-2"/>
                  <c:y val="5.3764249618051409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DFCE-4774-927E-BF7CA0409789}"/>
                </c:ext>
                <c:ext xmlns:c15="http://schemas.microsoft.com/office/drawing/2012/chart" uri="{CE6537A1-D6FC-4f65-9D91-7224C49458BB}"/>
              </c:extLst>
            </c:dLbl>
            <c:dLbl>
              <c:idx val="1"/>
              <c:layout>
                <c:manualLayout>
                  <c:x val="-4.9010366759710593E-2"/>
                  <c:y val="-8.9463215418968289E-2"/>
                </c:manualLayout>
              </c:layout>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t" anchorCtr="1">
                  <a:spAutoFit/>
                </a:bodyPr>
                <a:lstStyle/>
                <a:p>
                  <a:pPr>
                    <a:defRPr sz="1000" b="1" i="0" u="none" strike="noStrike" kern="1200" baseline="0">
                      <a:solidFill>
                        <a:schemeClr val="lt1"/>
                      </a:solidFill>
                      <a:latin typeface="+mn-lt"/>
                      <a:ea typeface="+mn-ea"/>
                      <a:cs typeface="+mn-cs"/>
                    </a:defRPr>
                  </a:pPr>
                  <a:endParaRPr lang="pl-PL"/>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DFCE-4774-927E-BF7CA0409789}"/>
                </c:ex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l-PL"/>
              </a:p>
            </c:txPr>
            <c:dLblPos val="ctr"/>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Arkusz1!$A$2:$A$3</c:f>
              <c:strCache>
                <c:ptCount val="2"/>
                <c:pt idx="0">
                  <c:v>energia pozyskiwana z OZE</c:v>
                </c:pt>
                <c:pt idx="1">
                  <c:v>pozostała energia</c:v>
                </c:pt>
              </c:strCache>
            </c:strRef>
          </c:cat>
          <c:val>
            <c:numRef>
              <c:f>Arkusz1!$B$2:$B$3</c:f>
              <c:numCache>
                <c:formatCode>General</c:formatCode>
                <c:ptCount val="2"/>
                <c:pt idx="0">
                  <c:v>5488.82</c:v>
                </c:pt>
                <c:pt idx="1">
                  <c:v>21103.8</c:v>
                </c:pt>
              </c:numCache>
            </c:numRef>
          </c:val>
          <c:extLst xmlns:c16r2="http://schemas.microsoft.com/office/drawing/2015/06/chart">
            <c:ext xmlns:c16="http://schemas.microsoft.com/office/drawing/2014/chart" uri="{C3380CC4-5D6E-409C-BE32-E72D297353CC}">
              <c16:uniqueId val="{00000004-DFCE-4774-927E-BF7CA0409789}"/>
            </c:ext>
          </c:extLst>
        </c:ser>
        <c:dLbls>
          <c:dLblPos val="ctr"/>
          <c:showLegendKey val="0"/>
          <c:showVal val="0"/>
          <c:showCatName val="0"/>
          <c:showSerName val="0"/>
          <c:showPercent val="1"/>
          <c:showBubbleSize val="0"/>
          <c:showLeaderLines val="0"/>
        </c:dLbls>
        <c:firstSliceAng val="0"/>
      </c:pieChart>
      <c:spPr>
        <a:noFill/>
        <a:ln>
          <a:noFill/>
        </a:ln>
        <a:effectLst/>
      </c:spPr>
    </c:plotArea>
    <c:legend>
      <c:legendPos val="r"/>
      <c:layout>
        <c:manualLayout>
          <c:xMode val="edge"/>
          <c:yMode val="edge"/>
          <c:x val="0.79253339860295235"/>
          <c:y val="0.48839550793855685"/>
          <c:w val="0.19203450263161551"/>
          <c:h val="0.35927439025412433"/>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l-PL"/>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Końcowe zużycie energii w sektorze budynki </a:t>
            </a:r>
            <a:r>
              <a:rPr lang="pl-PL"/>
              <a:t>mieszkalne </a:t>
            </a:r>
            <a:r>
              <a:rPr lang="en-US"/>
              <a:t>[MWh]</a:t>
            </a:r>
          </a:p>
        </c:rich>
      </c:tx>
      <c:layout>
        <c:manualLayout>
          <c:xMode val="edge"/>
          <c:yMode val="edge"/>
          <c:x val="0.13239074282381369"/>
          <c:y val="2.1290185224611454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l-PL"/>
        </a:p>
      </c:txPr>
    </c:title>
    <c:autoTitleDeleted val="0"/>
    <c:plotArea>
      <c:layout/>
      <c:pieChart>
        <c:varyColors val="1"/>
        <c:ser>
          <c:idx val="0"/>
          <c:order val="0"/>
          <c:tx>
            <c:strRef>
              <c:f>Arkusz1!$B$1</c:f>
              <c:strCache>
                <c:ptCount val="1"/>
                <c:pt idx="0">
                  <c:v>Końcowe zużycie energii w sektorze budynki wyposażenie/urządzenia usługowe (niekomunalne) [MWh]</c:v>
                </c:pt>
              </c:strCache>
            </c:strRef>
          </c:tx>
          <c:dPt>
            <c:idx val="0"/>
            <c:bubble3D val="0"/>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E4D5-44E5-9263-EE78B5698728}"/>
              </c:ext>
            </c:extLst>
          </c:dPt>
          <c:dPt>
            <c:idx val="1"/>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E4D5-44E5-9263-EE78B5698728}"/>
              </c:ext>
            </c:extLst>
          </c:dPt>
          <c:dPt>
            <c:idx val="2"/>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E4D5-44E5-9263-EE78B5698728}"/>
              </c:ext>
            </c:extLst>
          </c:dPt>
          <c:dPt>
            <c:idx val="3"/>
            <c:bubble3D val="0"/>
            <c:spPr>
              <a:solidFill>
                <a:schemeClr val="accent6">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E4D5-44E5-9263-EE78B5698728}"/>
              </c:ext>
            </c:extLst>
          </c:dPt>
          <c:dPt>
            <c:idx val="4"/>
            <c:bubble3D val="0"/>
            <c:spPr>
              <a:solidFill>
                <a:schemeClr val="accent5">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E4D5-44E5-9263-EE78B5698728}"/>
              </c:ext>
            </c:extLst>
          </c:dPt>
          <c:dPt>
            <c:idx val="5"/>
            <c:bubble3D val="0"/>
            <c:spPr>
              <a:solidFill>
                <a:schemeClr val="accent4">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B-E4D5-44E5-9263-EE78B5698728}"/>
              </c:ext>
            </c:extLst>
          </c:dPt>
          <c:dLbls>
            <c:dLbl>
              <c:idx val="0"/>
              <c:layout>
                <c:manualLayout>
                  <c:x val="6.3697246177561131E-2"/>
                  <c:y val="6.5133022089053028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E4D5-44E5-9263-EE78B5698728}"/>
                </c:ext>
                <c:ext xmlns:c15="http://schemas.microsoft.com/office/drawing/2012/chart" uri="{CE6537A1-D6FC-4f65-9D91-7224C49458BB}"/>
              </c:extLst>
            </c:dLbl>
            <c:dLbl>
              <c:idx val="1"/>
              <c:layout>
                <c:manualLayout>
                  <c:x val="6.7552319848907779E-3"/>
                  <c:y val="-0.12866504076370991"/>
                </c:manualLayout>
              </c:layout>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t" anchorCtr="1">
                  <a:spAutoFit/>
                </a:bodyPr>
                <a:lstStyle/>
                <a:p>
                  <a:pPr>
                    <a:defRPr sz="1000" b="1" i="0" u="none" strike="noStrike" kern="1200" baseline="0">
                      <a:solidFill>
                        <a:schemeClr val="lt1"/>
                      </a:solidFill>
                      <a:latin typeface="+mn-lt"/>
                      <a:ea typeface="+mn-ea"/>
                      <a:cs typeface="+mn-cs"/>
                    </a:defRPr>
                  </a:pPr>
                  <a:endParaRPr lang="pl-PL"/>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E4D5-44E5-9263-EE78B5698728}"/>
                </c:ext>
                <c:ext xmlns:c15="http://schemas.microsoft.com/office/drawing/2012/chart" uri="{CE6537A1-D6FC-4f65-9D91-7224C49458BB}"/>
              </c:extLst>
            </c:dLbl>
            <c:dLbl>
              <c:idx val="2"/>
              <c:layout>
                <c:manualLayout>
                  <c:x val="4.1527447957894155E-2"/>
                  <c:y val="-9.8672984461013302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E4D5-44E5-9263-EE78B5698728}"/>
                </c:ext>
                <c:ext xmlns:c15="http://schemas.microsoft.com/office/drawing/2012/chart" uri="{CE6537A1-D6FC-4f65-9D91-7224C49458BB}"/>
              </c:extLst>
            </c:dLbl>
            <c:dLbl>
              <c:idx val="3"/>
              <c:layout>
                <c:manualLayout>
                  <c:x val="1.3559763362912969E-2"/>
                  <c:y val="1.696773743989953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E4D5-44E5-9263-EE78B5698728}"/>
                </c:ext>
                <c:ext xmlns:c15="http://schemas.microsoft.com/office/drawing/2012/chart" uri="{CE6537A1-D6FC-4f65-9D91-7224C49458BB}"/>
              </c:extLst>
            </c:dLbl>
            <c:dLbl>
              <c:idx val="4"/>
              <c:layout>
                <c:manualLayout>
                  <c:x val="-0.12905192406504742"/>
                  <c:y val="-6.513413699393783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E4D5-44E5-9263-EE78B5698728}"/>
                </c:ext>
                <c:ext xmlns:c15="http://schemas.microsoft.com/office/drawing/2012/chart" uri="{CE6537A1-D6FC-4f65-9D91-7224C49458BB}"/>
              </c:extLst>
            </c:dLbl>
            <c:dLbl>
              <c:idx val="5"/>
              <c:layout>
                <c:manualLayout>
                  <c:x val="-1.4988664611368023E-2"/>
                  <c:y val="-1.9436136854574595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B-E4D5-44E5-9263-EE78B5698728}"/>
                </c:ext>
                <c:ext xmlns:c15="http://schemas.microsoft.com/office/drawing/2012/chart" uri="{CE6537A1-D6FC-4f65-9D91-7224C49458BB}">
                  <c15:layout>
                    <c:manualLayout>
                      <c:w val="0.15557760141093471"/>
                      <c:h val="0.11671279540131999"/>
                    </c:manualLayout>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l-PL"/>
              </a:p>
            </c:txPr>
            <c:dLblPos val="ctr"/>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Arkusz1!$A$2:$A$7</c:f>
              <c:strCache>
                <c:ptCount val="6"/>
                <c:pt idx="0">
                  <c:v>energia elektryczna</c:v>
                </c:pt>
                <c:pt idx="1">
                  <c:v>gaz ziemny</c:v>
                </c:pt>
                <c:pt idx="2">
                  <c:v>gaz ciekły</c:v>
                </c:pt>
                <c:pt idx="3">
                  <c:v>olej opałowy</c:v>
                </c:pt>
                <c:pt idx="4">
                  <c:v>węgiel kamienny</c:v>
                </c:pt>
                <c:pt idx="5">
                  <c:v>inna biomasa</c:v>
                </c:pt>
              </c:strCache>
            </c:strRef>
          </c:cat>
          <c:val>
            <c:numRef>
              <c:f>Arkusz1!$B$2:$B$7</c:f>
              <c:numCache>
                <c:formatCode>General</c:formatCode>
                <c:ptCount val="6"/>
                <c:pt idx="0">
                  <c:v>4089</c:v>
                </c:pt>
                <c:pt idx="1">
                  <c:v>5848</c:v>
                </c:pt>
                <c:pt idx="2">
                  <c:v>479.3</c:v>
                </c:pt>
                <c:pt idx="3">
                  <c:v>239.7</c:v>
                </c:pt>
                <c:pt idx="4">
                  <c:v>9395.2000000000007</c:v>
                </c:pt>
                <c:pt idx="5">
                  <c:v>8005.1</c:v>
                </c:pt>
              </c:numCache>
            </c:numRef>
          </c:val>
          <c:extLst xmlns:c16r2="http://schemas.microsoft.com/office/drawing/2015/06/chart">
            <c:ext xmlns:c16="http://schemas.microsoft.com/office/drawing/2014/chart" uri="{C3380CC4-5D6E-409C-BE32-E72D297353CC}">
              <c16:uniqueId val="{0000000E-E4D5-44E5-9263-EE78B5698728}"/>
            </c:ext>
          </c:extLst>
        </c:ser>
        <c:dLbls>
          <c:dLblPos val="ctr"/>
          <c:showLegendKey val="0"/>
          <c:showVal val="0"/>
          <c:showCatName val="0"/>
          <c:showSerName val="0"/>
          <c:showPercent val="1"/>
          <c:showBubbleSize val="0"/>
          <c:showLeaderLines val="0"/>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l-PL"/>
    </a:p>
  </c:txPr>
  <c:externalData r:id="rId4">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B69B5-0070-4AAB-BE4B-AC99CB7CA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3142</Words>
  <Characters>18853</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dc:creator>
  <cp:keywords/>
  <dc:description/>
  <cp:lastModifiedBy>RADA</cp:lastModifiedBy>
  <cp:revision>2</cp:revision>
  <cp:lastPrinted>2015-11-30T21:05:00Z</cp:lastPrinted>
  <dcterms:created xsi:type="dcterms:W3CDTF">2016-08-24T09:03:00Z</dcterms:created>
  <dcterms:modified xsi:type="dcterms:W3CDTF">2016-08-24T09:03:00Z</dcterms:modified>
</cp:coreProperties>
</file>