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20E" w:rsidRPr="007877EF" w:rsidRDefault="0064220E" w:rsidP="002406F7">
      <w:pPr>
        <w:spacing w:after="0" w:line="240" w:lineRule="auto"/>
        <w:rPr>
          <w:rFonts w:ascii="Arial" w:hAnsi="Arial" w:cs="Arial"/>
          <w:b/>
          <w:iCs/>
          <w:sz w:val="26"/>
          <w:szCs w:val="26"/>
        </w:rPr>
      </w:pPr>
      <w:r w:rsidRPr="007877EF">
        <w:rPr>
          <w:rFonts w:ascii="Arial" w:hAnsi="Arial" w:cs="Arial"/>
          <w:b/>
          <w:iCs/>
          <w:sz w:val="26"/>
          <w:szCs w:val="26"/>
        </w:rPr>
        <w:t>Część 3</w:t>
      </w:r>
      <w:r w:rsidR="00CE605C" w:rsidRPr="007877EF">
        <w:rPr>
          <w:rFonts w:ascii="Arial" w:hAnsi="Arial" w:cs="Arial"/>
          <w:b/>
          <w:iCs/>
          <w:sz w:val="26"/>
          <w:szCs w:val="26"/>
        </w:rPr>
        <w:t xml:space="preserve">: </w:t>
      </w:r>
      <w:r w:rsidR="00CE605C" w:rsidRPr="007877EF">
        <w:rPr>
          <w:rFonts w:ascii="Arial" w:hAnsi="Arial" w:cs="Arial"/>
          <w:b/>
          <w:iCs/>
          <w:sz w:val="26"/>
          <w:szCs w:val="26"/>
        </w:rPr>
        <w:tab/>
      </w:r>
      <w:bookmarkStart w:id="0" w:name="_Hlk107926624"/>
      <w:r w:rsidR="00CE605C" w:rsidRPr="007877EF">
        <w:rPr>
          <w:rFonts w:ascii="Arial" w:hAnsi="Arial" w:cs="Arial"/>
          <w:b/>
          <w:iCs/>
          <w:sz w:val="26"/>
          <w:szCs w:val="26"/>
        </w:rPr>
        <w:t>Zakup oprogramowania na potrzeby pracowni językowych i informatycznych</w:t>
      </w:r>
      <w:bookmarkEnd w:id="0"/>
      <w:r w:rsidR="00CE605C" w:rsidRPr="007877EF">
        <w:rPr>
          <w:rFonts w:ascii="Arial" w:hAnsi="Arial" w:cs="Arial"/>
          <w:b/>
          <w:iCs/>
          <w:sz w:val="26"/>
          <w:szCs w:val="26"/>
        </w:rPr>
        <w:t>:</w:t>
      </w:r>
    </w:p>
    <w:p w:rsidR="0064220E" w:rsidRPr="007877EF" w:rsidRDefault="0064220E" w:rsidP="002406F7">
      <w:pPr>
        <w:widowControl w:val="0"/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6"/>
          <w:szCs w:val="26"/>
          <w:lang w:eastAsia="ar-SA"/>
        </w:rPr>
      </w:pPr>
    </w:p>
    <w:p w:rsidR="0064220E" w:rsidRPr="00223BA3" w:rsidRDefault="0064220E" w:rsidP="002406F7">
      <w:pPr>
        <w:widowControl w:val="0"/>
        <w:numPr>
          <w:ilvl w:val="0"/>
          <w:numId w:val="3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6"/>
          <w:szCs w:val="26"/>
          <w:lang w:eastAsia="ar-SA"/>
        </w:rPr>
      </w:pPr>
      <w:r w:rsidRPr="00223BA3">
        <w:rPr>
          <w:rFonts w:ascii="Arial" w:eastAsia="Times New Roman" w:hAnsi="Arial" w:cs="Arial"/>
          <w:bCs/>
          <w:sz w:val="26"/>
          <w:szCs w:val="26"/>
          <w:lang w:eastAsia="ar-SA"/>
        </w:rPr>
        <w:t>Oprogramowanie do pracowni informatycznych – zestaw:</w:t>
      </w:r>
    </w:p>
    <w:p w:rsidR="0064220E" w:rsidRPr="00223BA3" w:rsidRDefault="0064220E" w:rsidP="002406F7">
      <w:pPr>
        <w:widowControl w:val="0"/>
        <w:numPr>
          <w:ilvl w:val="0"/>
          <w:numId w:val="4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6"/>
          <w:szCs w:val="26"/>
          <w:lang w:eastAsia="ar-SA"/>
        </w:rPr>
      </w:pPr>
      <w:r w:rsidRPr="00223BA3">
        <w:rPr>
          <w:rFonts w:ascii="Arial" w:eastAsia="Times New Roman" w:hAnsi="Arial" w:cs="Arial"/>
          <w:bCs/>
          <w:sz w:val="26"/>
          <w:szCs w:val="26"/>
          <w:lang w:eastAsia="ar-SA"/>
        </w:rPr>
        <w:t>Pakiet biurowy Office edukacyjny 17 szt. x 6 szkół = 102 szt.</w:t>
      </w:r>
    </w:p>
    <w:p w:rsidR="0064220E" w:rsidRPr="00223BA3" w:rsidRDefault="0064220E" w:rsidP="002406F7">
      <w:pPr>
        <w:widowControl w:val="0"/>
        <w:numPr>
          <w:ilvl w:val="0"/>
          <w:numId w:val="4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6"/>
          <w:szCs w:val="26"/>
          <w:lang w:eastAsia="ar-SA"/>
        </w:rPr>
      </w:pPr>
      <w:r w:rsidRPr="00223BA3">
        <w:rPr>
          <w:rFonts w:ascii="Arial" w:eastAsia="Times New Roman" w:hAnsi="Arial" w:cs="Arial"/>
          <w:bCs/>
          <w:sz w:val="26"/>
          <w:szCs w:val="26"/>
          <w:lang w:eastAsia="ar-SA"/>
        </w:rPr>
        <w:t>Pakiet graficzny Corel edukacyjny (komplet 15+1) x 6 szkół = 6 kpl (15+1 stanowisk)</w:t>
      </w:r>
    </w:p>
    <w:p w:rsidR="0064220E" w:rsidRPr="00223BA3" w:rsidRDefault="0064220E" w:rsidP="002406F7">
      <w:pPr>
        <w:widowControl w:val="0"/>
        <w:numPr>
          <w:ilvl w:val="0"/>
          <w:numId w:val="4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6"/>
          <w:szCs w:val="26"/>
          <w:lang w:eastAsia="ar-SA"/>
        </w:rPr>
      </w:pPr>
      <w:r w:rsidRPr="00223BA3">
        <w:rPr>
          <w:rFonts w:ascii="Arial" w:eastAsia="Times New Roman" w:hAnsi="Arial" w:cs="Arial"/>
          <w:bCs/>
          <w:sz w:val="26"/>
          <w:szCs w:val="26"/>
          <w:lang w:eastAsia="ar-SA"/>
        </w:rPr>
        <w:t>Pakiet graficzny Corel edukacyjny (1szt. nauczyciel) x 6 szkół = 6 kpl (1 stanowisko)</w:t>
      </w:r>
    </w:p>
    <w:p w:rsidR="0064220E" w:rsidRPr="00223BA3" w:rsidRDefault="0064220E" w:rsidP="002406F7">
      <w:pPr>
        <w:widowControl w:val="0"/>
        <w:numPr>
          <w:ilvl w:val="0"/>
          <w:numId w:val="3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6"/>
          <w:szCs w:val="26"/>
          <w:lang w:eastAsia="ar-SA"/>
        </w:rPr>
      </w:pPr>
      <w:r w:rsidRPr="00223BA3">
        <w:rPr>
          <w:rFonts w:ascii="Arial" w:eastAsia="Times New Roman" w:hAnsi="Arial" w:cs="Arial"/>
          <w:bCs/>
          <w:sz w:val="26"/>
          <w:szCs w:val="26"/>
          <w:lang w:eastAsia="ar-SA"/>
        </w:rPr>
        <w:t>Oprogramowanie do pracowni językowych – zestaw:</w:t>
      </w:r>
    </w:p>
    <w:p w:rsidR="0064220E" w:rsidRPr="00223BA3" w:rsidRDefault="0064220E" w:rsidP="002406F7">
      <w:pPr>
        <w:widowControl w:val="0"/>
        <w:numPr>
          <w:ilvl w:val="0"/>
          <w:numId w:val="5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6"/>
          <w:szCs w:val="26"/>
          <w:lang w:eastAsia="ar-SA"/>
        </w:rPr>
      </w:pPr>
      <w:r w:rsidRPr="00223BA3">
        <w:rPr>
          <w:rFonts w:ascii="Arial" w:eastAsia="Times New Roman" w:hAnsi="Arial" w:cs="Arial"/>
          <w:bCs/>
          <w:sz w:val="26"/>
          <w:szCs w:val="26"/>
          <w:lang w:eastAsia="ar-SA"/>
        </w:rPr>
        <w:t>Pakiet biurowy Office edukacyjny (16 szt. x 1 szkoła) + (24 szt. x 5 szkół) + (1 szt. dla nauczyciela x 6 szkół) = 142 szt.</w:t>
      </w:r>
    </w:p>
    <w:p w:rsidR="0064220E" w:rsidRPr="00223BA3" w:rsidRDefault="0064220E" w:rsidP="002406F7">
      <w:pPr>
        <w:widowControl w:val="0"/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6"/>
          <w:szCs w:val="26"/>
          <w:lang w:eastAsia="ar-SA"/>
        </w:rPr>
      </w:pPr>
      <w:r w:rsidRPr="00223BA3">
        <w:rPr>
          <w:rFonts w:ascii="Arial" w:eastAsia="Times New Roman" w:hAnsi="Arial" w:cs="Arial"/>
          <w:bCs/>
          <w:sz w:val="26"/>
          <w:szCs w:val="26"/>
          <w:lang w:eastAsia="ar-SA"/>
        </w:rPr>
        <w:t xml:space="preserve">Dostawa w miejscu wyznaczonym przez Zamawiającego wg. powyżej </w:t>
      </w:r>
      <w:r w:rsidRPr="00194AD9">
        <w:rPr>
          <w:rFonts w:ascii="Arial" w:eastAsia="Times New Roman" w:hAnsi="Arial" w:cs="Arial"/>
          <w:bCs/>
          <w:sz w:val="26"/>
          <w:szCs w:val="26"/>
          <w:lang w:eastAsia="ar-SA"/>
        </w:rPr>
        <w:t>zamieszczonych kompletów,</w:t>
      </w:r>
      <w:r w:rsidRPr="00223BA3">
        <w:rPr>
          <w:rFonts w:ascii="Arial" w:eastAsia="Times New Roman" w:hAnsi="Arial" w:cs="Arial"/>
          <w:bCs/>
          <w:sz w:val="26"/>
          <w:szCs w:val="26"/>
          <w:lang w:eastAsia="ar-SA"/>
        </w:rPr>
        <w:t xml:space="preserve"> przy założeniu jeden komplet do jednej szkoły.</w:t>
      </w:r>
    </w:p>
    <w:p w:rsidR="0064220E" w:rsidRPr="00223BA3" w:rsidRDefault="0064220E" w:rsidP="002406F7">
      <w:pPr>
        <w:spacing w:after="0" w:line="240" w:lineRule="auto"/>
        <w:ind w:left="426" w:hanging="426"/>
        <w:contextualSpacing/>
        <w:rPr>
          <w:rFonts w:ascii="Arial" w:eastAsia="Calibri" w:hAnsi="Arial" w:cs="Arial"/>
          <w:sz w:val="26"/>
          <w:szCs w:val="26"/>
        </w:rPr>
      </w:pPr>
      <w:r w:rsidRPr="00223BA3">
        <w:rPr>
          <w:rFonts w:ascii="Arial" w:eastAsia="Calibri" w:hAnsi="Arial" w:cs="Arial"/>
          <w:sz w:val="26"/>
          <w:szCs w:val="26"/>
        </w:rPr>
        <w:t>Wykaz szkół objętych dostawą:</w:t>
      </w:r>
    </w:p>
    <w:p w:rsidR="0064220E" w:rsidRPr="00223BA3" w:rsidRDefault="0064220E" w:rsidP="002406F7">
      <w:pPr>
        <w:widowControl w:val="0"/>
        <w:numPr>
          <w:ilvl w:val="0"/>
          <w:numId w:val="9"/>
        </w:numPr>
        <w:suppressAutoHyphens/>
        <w:spacing w:after="0" w:line="240" w:lineRule="auto"/>
        <w:ind w:left="426" w:hanging="426"/>
        <w:contextualSpacing/>
        <w:rPr>
          <w:rFonts w:ascii="Arial" w:eastAsia="Calibri" w:hAnsi="Arial" w:cs="Arial"/>
          <w:sz w:val="26"/>
          <w:szCs w:val="26"/>
        </w:rPr>
      </w:pPr>
      <w:r w:rsidRPr="00223BA3">
        <w:rPr>
          <w:rFonts w:ascii="Arial" w:eastAsia="Calibri" w:hAnsi="Arial" w:cs="Arial"/>
          <w:sz w:val="26"/>
          <w:szCs w:val="26"/>
        </w:rPr>
        <w:t>Zespół Szkolno-Przedszkolny nr 3 w Nisku, ul. Juliusza Słowackiego 10, 37-400 Nisko</w:t>
      </w:r>
    </w:p>
    <w:p w:rsidR="0064220E" w:rsidRPr="00223BA3" w:rsidRDefault="0064220E" w:rsidP="002406F7">
      <w:pPr>
        <w:widowControl w:val="0"/>
        <w:numPr>
          <w:ilvl w:val="0"/>
          <w:numId w:val="9"/>
        </w:numPr>
        <w:suppressAutoHyphens/>
        <w:spacing w:after="0" w:line="240" w:lineRule="auto"/>
        <w:ind w:left="426" w:hanging="426"/>
        <w:contextualSpacing/>
        <w:rPr>
          <w:rFonts w:ascii="Arial" w:eastAsia="Calibri" w:hAnsi="Arial" w:cs="Arial"/>
          <w:sz w:val="26"/>
          <w:szCs w:val="26"/>
        </w:rPr>
      </w:pPr>
      <w:r w:rsidRPr="00223BA3">
        <w:rPr>
          <w:rFonts w:ascii="Arial" w:eastAsia="Calibri" w:hAnsi="Arial" w:cs="Arial"/>
          <w:sz w:val="26"/>
          <w:szCs w:val="26"/>
        </w:rPr>
        <w:t>Publiczna Szkoła Podstawowa nr 3 w Nisku, ul. Piaskowa 15, 37-400 Nisko</w:t>
      </w:r>
    </w:p>
    <w:p w:rsidR="0064220E" w:rsidRPr="00223BA3" w:rsidRDefault="0064220E" w:rsidP="002406F7">
      <w:pPr>
        <w:widowControl w:val="0"/>
        <w:numPr>
          <w:ilvl w:val="0"/>
          <w:numId w:val="9"/>
        </w:numPr>
        <w:suppressAutoHyphens/>
        <w:spacing w:after="0" w:line="240" w:lineRule="auto"/>
        <w:ind w:left="426" w:hanging="426"/>
        <w:contextualSpacing/>
        <w:rPr>
          <w:rFonts w:ascii="Arial" w:eastAsia="Calibri" w:hAnsi="Arial" w:cs="Arial"/>
          <w:sz w:val="26"/>
          <w:szCs w:val="26"/>
        </w:rPr>
      </w:pPr>
      <w:r w:rsidRPr="00223BA3">
        <w:rPr>
          <w:rFonts w:ascii="Arial" w:eastAsia="Calibri" w:hAnsi="Arial" w:cs="Arial"/>
          <w:sz w:val="26"/>
          <w:szCs w:val="26"/>
        </w:rPr>
        <w:t>Zespół Szkolno-Przedszkolny nr 1 w Nisku, ul. Henryka Dąbrowskiego 8, 37-400 Nisko</w:t>
      </w:r>
    </w:p>
    <w:p w:rsidR="0064220E" w:rsidRPr="00223BA3" w:rsidRDefault="0064220E" w:rsidP="002406F7">
      <w:pPr>
        <w:widowControl w:val="0"/>
        <w:numPr>
          <w:ilvl w:val="0"/>
          <w:numId w:val="9"/>
        </w:numPr>
        <w:suppressAutoHyphens/>
        <w:spacing w:after="0" w:line="240" w:lineRule="auto"/>
        <w:ind w:left="426" w:hanging="426"/>
        <w:contextualSpacing/>
        <w:rPr>
          <w:rFonts w:ascii="Arial" w:eastAsia="Calibri" w:hAnsi="Arial" w:cs="Arial"/>
          <w:sz w:val="26"/>
          <w:szCs w:val="26"/>
        </w:rPr>
      </w:pPr>
      <w:r w:rsidRPr="00223BA3">
        <w:rPr>
          <w:rFonts w:ascii="Arial" w:eastAsia="Calibri" w:hAnsi="Arial" w:cs="Arial"/>
          <w:sz w:val="26"/>
          <w:szCs w:val="26"/>
        </w:rPr>
        <w:t>Zespół Szkolno-Przedszkolny nr 2 w Nisku</w:t>
      </w:r>
      <w:r>
        <w:rPr>
          <w:rFonts w:ascii="Arial" w:eastAsia="Calibri" w:hAnsi="Arial" w:cs="Arial"/>
          <w:sz w:val="26"/>
          <w:szCs w:val="26"/>
        </w:rPr>
        <w:t xml:space="preserve">, </w:t>
      </w:r>
      <w:r w:rsidRPr="00223BA3">
        <w:rPr>
          <w:rFonts w:ascii="Arial" w:eastAsia="Calibri" w:hAnsi="Arial" w:cs="Arial"/>
          <w:sz w:val="26"/>
          <w:szCs w:val="26"/>
        </w:rPr>
        <w:t xml:space="preserve">ul. 1000-lecia 12a, 37-400 Nisko, </w:t>
      </w:r>
    </w:p>
    <w:p w:rsidR="0064220E" w:rsidRPr="00223BA3" w:rsidRDefault="0064220E" w:rsidP="002406F7">
      <w:pPr>
        <w:widowControl w:val="0"/>
        <w:numPr>
          <w:ilvl w:val="0"/>
          <w:numId w:val="9"/>
        </w:numPr>
        <w:suppressAutoHyphens/>
        <w:spacing w:after="0" w:line="240" w:lineRule="auto"/>
        <w:ind w:left="426" w:hanging="426"/>
        <w:contextualSpacing/>
        <w:rPr>
          <w:rFonts w:ascii="Arial" w:eastAsia="Calibri" w:hAnsi="Arial" w:cs="Arial"/>
          <w:sz w:val="26"/>
          <w:szCs w:val="26"/>
        </w:rPr>
      </w:pPr>
      <w:r w:rsidRPr="00223BA3">
        <w:rPr>
          <w:rFonts w:ascii="Arial" w:eastAsia="Calibri" w:hAnsi="Arial" w:cs="Arial"/>
          <w:sz w:val="26"/>
          <w:szCs w:val="26"/>
        </w:rPr>
        <w:t>Zespół Szkolno-Przedszkolny w Zarzeczu,</w:t>
      </w:r>
      <w:r>
        <w:rPr>
          <w:rFonts w:ascii="Arial" w:eastAsia="Calibri" w:hAnsi="Arial" w:cs="Arial"/>
          <w:sz w:val="26"/>
          <w:szCs w:val="26"/>
        </w:rPr>
        <w:t xml:space="preserve"> </w:t>
      </w:r>
      <w:r w:rsidRPr="00223BA3">
        <w:rPr>
          <w:rFonts w:ascii="Arial" w:eastAsia="Calibri" w:hAnsi="Arial" w:cs="Arial"/>
          <w:sz w:val="26"/>
          <w:szCs w:val="26"/>
        </w:rPr>
        <w:t>ul. Mickiewicza 45, 37-400 Zarzecze</w:t>
      </w:r>
    </w:p>
    <w:p w:rsidR="0064220E" w:rsidRPr="00223BA3" w:rsidRDefault="0064220E" w:rsidP="002406F7">
      <w:pPr>
        <w:widowControl w:val="0"/>
        <w:numPr>
          <w:ilvl w:val="0"/>
          <w:numId w:val="9"/>
        </w:numPr>
        <w:suppressAutoHyphens/>
        <w:spacing w:after="0" w:line="240" w:lineRule="auto"/>
        <w:ind w:left="426" w:hanging="426"/>
        <w:contextualSpacing/>
        <w:rPr>
          <w:rFonts w:ascii="Arial" w:eastAsia="Calibri" w:hAnsi="Arial" w:cs="Arial"/>
          <w:sz w:val="26"/>
          <w:szCs w:val="26"/>
        </w:rPr>
      </w:pPr>
      <w:r w:rsidRPr="00223BA3">
        <w:rPr>
          <w:rFonts w:ascii="Arial" w:eastAsia="Calibri" w:hAnsi="Arial" w:cs="Arial"/>
          <w:sz w:val="26"/>
          <w:szCs w:val="26"/>
        </w:rPr>
        <w:t>Zespół Szkolno-Przedszkolny w Nowosielcu, Nowosielec 134, 37-400 Nisko</w:t>
      </w:r>
    </w:p>
    <w:p w:rsidR="0064220E" w:rsidRDefault="0064220E" w:rsidP="002406F7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b/>
          <w:sz w:val="26"/>
          <w:szCs w:val="26"/>
          <w:lang w:eastAsia="pl-PL"/>
        </w:rPr>
      </w:pPr>
    </w:p>
    <w:p w:rsidR="0064220E" w:rsidRPr="00CE605C" w:rsidRDefault="00CE605C" w:rsidP="002406F7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b/>
          <w:sz w:val="26"/>
          <w:szCs w:val="26"/>
          <w:lang w:eastAsia="pl-PL"/>
        </w:rPr>
      </w:pPr>
      <w:r w:rsidRPr="00CE605C">
        <w:rPr>
          <w:rFonts w:ascii="Arial" w:eastAsia="Times New Roman" w:hAnsi="Arial" w:cs="Arial"/>
          <w:b/>
          <w:sz w:val="26"/>
          <w:szCs w:val="26"/>
          <w:lang w:eastAsia="pl-PL"/>
        </w:rPr>
        <w:t>Tabela zgodności oferowanego przez Wykonawcę przedmiotu zamówienia przedstawia się następująco:</w:t>
      </w:r>
    </w:p>
    <w:p w:rsidR="0064220E" w:rsidRDefault="0064220E" w:rsidP="002406F7">
      <w:pPr>
        <w:widowControl w:val="0"/>
        <w:numPr>
          <w:ilvl w:val="3"/>
          <w:numId w:val="2"/>
        </w:numPr>
        <w:suppressAutoHyphens/>
        <w:spacing w:after="0" w:line="240" w:lineRule="auto"/>
        <w:ind w:left="426" w:hanging="425"/>
        <w:jc w:val="both"/>
        <w:rPr>
          <w:rFonts w:ascii="Arial" w:eastAsia="Times New Roman" w:hAnsi="Arial" w:cs="Arial"/>
          <w:sz w:val="26"/>
          <w:szCs w:val="26"/>
          <w:lang w:eastAsia="pl-PL"/>
        </w:rPr>
      </w:pPr>
      <w:r w:rsidRPr="001948AD">
        <w:rPr>
          <w:rFonts w:ascii="Arial" w:eastAsia="Times New Roman" w:hAnsi="Arial" w:cs="Arial"/>
          <w:sz w:val="26"/>
          <w:szCs w:val="26"/>
          <w:lang w:eastAsia="pl-PL"/>
        </w:rPr>
        <w:t xml:space="preserve">Wykonawca zobowiązany jest do wypełnienia kolumny </w:t>
      </w:r>
      <w:r w:rsidRPr="001948AD">
        <w:rPr>
          <w:rFonts w:ascii="Arial" w:eastAsia="Times New Roman" w:hAnsi="Arial" w:cs="Arial"/>
          <w:b/>
          <w:i/>
          <w:sz w:val="26"/>
          <w:szCs w:val="26"/>
          <w:lang w:eastAsia="pl-PL"/>
        </w:rPr>
        <w:t>„</w:t>
      </w:r>
      <w:r w:rsidRPr="001948AD">
        <w:rPr>
          <w:rFonts w:ascii="Arial" w:eastAsia="Times New Roman" w:hAnsi="Arial" w:cs="Arial"/>
          <w:b/>
          <w:bCs/>
          <w:i/>
          <w:sz w:val="26"/>
          <w:szCs w:val="26"/>
          <w:lang w:eastAsia="pl-PL"/>
        </w:rPr>
        <w:t>Potwierdzenie spełnienia wymagań / Propozycje Wykonawcy</w:t>
      </w:r>
      <w:r w:rsidRPr="001948AD">
        <w:rPr>
          <w:rFonts w:ascii="Arial" w:eastAsia="Times New Roman" w:hAnsi="Arial" w:cs="Arial"/>
          <w:b/>
          <w:i/>
          <w:sz w:val="26"/>
          <w:szCs w:val="26"/>
          <w:lang w:eastAsia="pl-PL"/>
        </w:rPr>
        <w:t>”</w:t>
      </w:r>
      <w:r w:rsidRPr="001948AD">
        <w:rPr>
          <w:rFonts w:ascii="Arial" w:eastAsia="Times New Roman" w:hAnsi="Arial" w:cs="Arial"/>
          <w:sz w:val="26"/>
          <w:szCs w:val="26"/>
          <w:lang w:eastAsia="pl-PL"/>
        </w:rPr>
        <w:t xml:space="preserve"> oraz kolumny </w:t>
      </w:r>
      <w:r w:rsidRPr="001948AD">
        <w:rPr>
          <w:rFonts w:ascii="Arial" w:eastAsia="Times New Roman" w:hAnsi="Arial" w:cs="Arial"/>
          <w:b/>
          <w:sz w:val="26"/>
          <w:szCs w:val="26"/>
          <w:lang w:eastAsia="pl-PL"/>
        </w:rPr>
        <w:t>„</w:t>
      </w:r>
      <w:r w:rsidRPr="001948AD">
        <w:rPr>
          <w:rFonts w:ascii="Arial" w:eastAsia="Times New Roman" w:hAnsi="Arial" w:cs="Arial"/>
          <w:b/>
          <w:bCs/>
          <w:i/>
          <w:sz w:val="26"/>
          <w:szCs w:val="26"/>
          <w:lang w:eastAsia="pl-PL"/>
        </w:rPr>
        <w:t>Marka / nazwa / model urządzenia”</w:t>
      </w:r>
      <w:r w:rsidRPr="001948AD">
        <w:rPr>
          <w:rFonts w:ascii="Arial" w:eastAsia="Times New Roman" w:hAnsi="Arial" w:cs="Arial"/>
          <w:b/>
          <w:bCs/>
          <w:sz w:val="26"/>
          <w:szCs w:val="26"/>
          <w:lang w:eastAsia="pl-PL"/>
        </w:rPr>
        <w:t xml:space="preserve"> </w:t>
      </w:r>
      <w:r w:rsidRPr="001948AD">
        <w:rPr>
          <w:rFonts w:ascii="Arial" w:eastAsia="Times New Roman" w:hAnsi="Arial" w:cs="Arial"/>
          <w:sz w:val="26"/>
          <w:szCs w:val="26"/>
          <w:lang w:eastAsia="pl-PL"/>
        </w:rPr>
        <w:t>dla wszystkich elementów w sposób czytelny, dokładny i jednoznaczny, umożliwiający Zamawiającemu sprawdzenie spełnienia minimalnych wymagań.</w:t>
      </w:r>
    </w:p>
    <w:p w:rsidR="0064220E" w:rsidRPr="00E919C6" w:rsidRDefault="0064220E" w:rsidP="002406F7">
      <w:pPr>
        <w:widowControl w:val="0"/>
        <w:numPr>
          <w:ilvl w:val="3"/>
          <w:numId w:val="2"/>
        </w:numPr>
        <w:suppressAutoHyphens/>
        <w:spacing w:after="0" w:line="240" w:lineRule="auto"/>
        <w:ind w:left="426" w:hanging="425"/>
        <w:jc w:val="both"/>
        <w:rPr>
          <w:rFonts w:ascii="Arial" w:eastAsia="Times New Roman" w:hAnsi="Arial" w:cs="Arial"/>
          <w:sz w:val="26"/>
          <w:szCs w:val="26"/>
          <w:lang w:eastAsia="pl-PL"/>
        </w:rPr>
      </w:pPr>
      <w:r w:rsidRPr="00E919C6">
        <w:rPr>
          <w:rFonts w:ascii="Arial" w:eastAsia="Times New Roman" w:hAnsi="Arial" w:cs="Arial"/>
          <w:sz w:val="26"/>
          <w:szCs w:val="26"/>
          <w:lang w:eastAsia="pl-PL"/>
        </w:rPr>
        <w:t xml:space="preserve">Wykonawca zobowiązany jest do wypełnienia kolumny </w:t>
      </w:r>
      <w:r w:rsidRPr="00E919C6">
        <w:rPr>
          <w:rFonts w:ascii="Arial" w:eastAsia="Times New Roman" w:hAnsi="Arial" w:cs="Arial"/>
          <w:b/>
          <w:i/>
          <w:sz w:val="26"/>
          <w:szCs w:val="26"/>
          <w:lang w:eastAsia="pl-PL"/>
        </w:rPr>
        <w:t>„</w:t>
      </w:r>
      <w:r w:rsidRPr="00E919C6">
        <w:rPr>
          <w:rFonts w:ascii="Arial" w:eastAsia="Times New Roman" w:hAnsi="Arial" w:cs="Arial"/>
          <w:b/>
          <w:bCs/>
          <w:i/>
          <w:sz w:val="26"/>
          <w:szCs w:val="26"/>
          <w:lang w:eastAsia="pl-PL"/>
        </w:rPr>
        <w:t>Cena jednostkowa brutto</w:t>
      </w:r>
      <w:r w:rsidRPr="00E919C6">
        <w:rPr>
          <w:rFonts w:ascii="Arial" w:eastAsia="Times New Roman" w:hAnsi="Arial" w:cs="Arial"/>
          <w:b/>
          <w:i/>
          <w:sz w:val="26"/>
          <w:szCs w:val="26"/>
          <w:lang w:eastAsia="pl-PL"/>
        </w:rPr>
        <w:t>”</w:t>
      </w:r>
      <w:r w:rsidRPr="00E919C6">
        <w:rPr>
          <w:rFonts w:ascii="Arial" w:eastAsia="Times New Roman" w:hAnsi="Arial" w:cs="Arial"/>
          <w:sz w:val="26"/>
          <w:szCs w:val="26"/>
          <w:lang w:eastAsia="pl-PL"/>
        </w:rPr>
        <w:t xml:space="preserve"> oraz kolumny </w:t>
      </w:r>
      <w:r w:rsidRPr="00E919C6">
        <w:rPr>
          <w:rFonts w:ascii="Arial" w:eastAsia="Times New Roman" w:hAnsi="Arial" w:cs="Arial"/>
          <w:b/>
          <w:sz w:val="26"/>
          <w:szCs w:val="26"/>
          <w:lang w:eastAsia="pl-PL"/>
        </w:rPr>
        <w:t>„</w:t>
      </w:r>
      <w:r w:rsidRPr="00E919C6">
        <w:rPr>
          <w:rFonts w:ascii="Arial" w:eastAsia="Times New Roman" w:hAnsi="Arial" w:cs="Arial"/>
          <w:b/>
          <w:bCs/>
          <w:i/>
          <w:sz w:val="26"/>
          <w:szCs w:val="26"/>
          <w:lang w:eastAsia="pl-PL"/>
        </w:rPr>
        <w:t>Łączna cena brutto”</w:t>
      </w:r>
      <w:r w:rsidRPr="00E919C6">
        <w:rPr>
          <w:rFonts w:ascii="Arial" w:eastAsia="Times New Roman" w:hAnsi="Arial" w:cs="Arial"/>
          <w:b/>
          <w:bCs/>
          <w:sz w:val="26"/>
          <w:szCs w:val="26"/>
          <w:lang w:eastAsia="pl-PL"/>
        </w:rPr>
        <w:t xml:space="preserve"> </w:t>
      </w:r>
      <w:r w:rsidRPr="00E919C6">
        <w:rPr>
          <w:rFonts w:ascii="Arial" w:eastAsia="Times New Roman" w:hAnsi="Arial" w:cs="Arial"/>
          <w:sz w:val="26"/>
          <w:szCs w:val="26"/>
          <w:lang w:eastAsia="pl-PL"/>
        </w:rPr>
        <w:t>w PLN z dokładnością do dwóch miejsc po przecinku</w:t>
      </w:r>
    </w:p>
    <w:p w:rsidR="00223BA3" w:rsidRDefault="00223BA3" w:rsidP="002406F7">
      <w:pPr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sz w:val="26"/>
          <w:szCs w:val="26"/>
          <w:lang w:eastAsia="pl-PL"/>
        </w:rPr>
      </w:pPr>
    </w:p>
    <w:p w:rsidR="0064220E" w:rsidRPr="0064220E" w:rsidRDefault="0064220E" w:rsidP="002406F7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b/>
          <w:sz w:val="36"/>
          <w:szCs w:val="36"/>
          <w:lang w:eastAsia="pl-PL"/>
        </w:rPr>
      </w:pPr>
      <w:r w:rsidRPr="0064220E">
        <w:rPr>
          <w:rFonts w:ascii="Arial" w:eastAsia="Times New Roman" w:hAnsi="Arial" w:cs="Arial"/>
          <w:b/>
          <w:sz w:val="36"/>
          <w:szCs w:val="36"/>
          <w:lang w:eastAsia="pl-PL"/>
        </w:rPr>
        <w:lastRenderedPageBreak/>
        <w:t xml:space="preserve">Tabela nr 1 </w:t>
      </w:r>
    </w:p>
    <w:tbl>
      <w:tblPr>
        <w:tblW w:w="15976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1"/>
        <w:gridCol w:w="2442"/>
        <w:gridCol w:w="2311"/>
        <w:gridCol w:w="1901"/>
        <w:gridCol w:w="1471"/>
      </w:tblGrid>
      <w:tr w:rsidR="00CE605C" w:rsidRPr="00CE605C" w:rsidTr="00CE605C">
        <w:trPr>
          <w:jc w:val="center"/>
        </w:trPr>
        <w:tc>
          <w:tcPr>
            <w:tcW w:w="7851" w:type="dxa"/>
            <w:shd w:val="clear" w:color="auto" w:fill="DDD9C3" w:themeFill="background2" w:themeFillShade="E6"/>
            <w:vAlign w:val="center"/>
          </w:tcPr>
          <w:p w:rsidR="00CE605C" w:rsidRPr="00745044" w:rsidRDefault="00CE605C" w:rsidP="002406F7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6"/>
                <w:szCs w:val="26"/>
              </w:rPr>
            </w:pPr>
          </w:p>
        </w:tc>
        <w:tc>
          <w:tcPr>
            <w:tcW w:w="2442" w:type="dxa"/>
            <w:shd w:val="clear" w:color="auto" w:fill="DDD9C3" w:themeFill="background2" w:themeFillShade="E6"/>
            <w:vAlign w:val="center"/>
          </w:tcPr>
          <w:p w:rsidR="00CE605C" w:rsidRPr="00CE605C" w:rsidRDefault="00CE605C" w:rsidP="002406F7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6"/>
                <w:szCs w:val="26"/>
              </w:rPr>
            </w:pPr>
            <w:r w:rsidRPr="00CE605C">
              <w:rPr>
                <w:rFonts w:ascii="Arial" w:eastAsia="Calibri" w:hAnsi="Arial" w:cs="Arial"/>
                <w:b/>
                <w:bCs/>
                <w:sz w:val="26"/>
                <w:szCs w:val="26"/>
              </w:rPr>
              <w:t>Potwierdzenie spełnienia wymagań / Propozycje Wykonawcy</w:t>
            </w:r>
          </w:p>
        </w:tc>
        <w:tc>
          <w:tcPr>
            <w:tcW w:w="2311" w:type="dxa"/>
            <w:shd w:val="clear" w:color="auto" w:fill="DDD9C3" w:themeFill="background2" w:themeFillShade="E6"/>
            <w:vAlign w:val="center"/>
          </w:tcPr>
          <w:p w:rsidR="00CE605C" w:rsidRPr="00CE605C" w:rsidRDefault="00CE605C" w:rsidP="002406F7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6"/>
                <w:szCs w:val="26"/>
              </w:rPr>
            </w:pPr>
            <w:r w:rsidRPr="00CE605C">
              <w:rPr>
                <w:rFonts w:ascii="Arial" w:eastAsia="Calibri" w:hAnsi="Arial" w:cs="Arial"/>
                <w:b/>
                <w:bCs/>
                <w:sz w:val="26"/>
                <w:szCs w:val="26"/>
              </w:rPr>
              <w:t xml:space="preserve">Marka / nazwa / model </w:t>
            </w:r>
            <w:r>
              <w:rPr>
                <w:rFonts w:ascii="Arial" w:eastAsia="Calibri" w:hAnsi="Arial" w:cs="Arial"/>
                <w:b/>
                <w:bCs/>
                <w:sz w:val="26"/>
                <w:szCs w:val="26"/>
              </w:rPr>
              <w:t>oprogramowania</w:t>
            </w:r>
          </w:p>
        </w:tc>
        <w:tc>
          <w:tcPr>
            <w:tcW w:w="1901" w:type="dxa"/>
            <w:shd w:val="clear" w:color="auto" w:fill="DDD9C3" w:themeFill="background2" w:themeFillShade="E6"/>
            <w:vAlign w:val="center"/>
          </w:tcPr>
          <w:p w:rsidR="00CE605C" w:rsidRPr="00CE605C" w:rsidRDefault="00CE605C" w:rsidP="002406F7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6"/>
                <w:szCs w:val="26"/>
              </w:rPr>
            </w:pPr>
            <w:r w:rsidRPr="00CE605C">
              <w:rPr>
                <w:rFonts w:ascii="Arial" w:eastAsia="Calibri" w:hAnsi="Arial" w:cs="Arial"/>
                <w:b/>
                <w:bCs/>
                <w:sz w:val="26"/>
                <w:szCs w:val="26"/>
              </w:rPr>
              <w:t>Cena jednostkowa brutto</w:t>
            </w:r>
          </w:p>
        </w:tc>
        <w:tc>
          <w:tcPr>
            <w:tcW w:w="1471" w:type="dxa"/>
            <w:shd w:val="clear" w:color="auto" w:fill="DDD9C3" w:themeFill="background2" w:themeFillShade="E6"/>
            <w:vAlign w:val="center"/>
          </w:tcPr>
          <w:p w:rsidR="00CE605C" w:rsidRPr="00CE605C" w:rsidRDefault="00CE605C" w:rsidP="002406F7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6"/>
                <w:szCs w:val="26"/>
              </w:rPr>
            </w:pPr>
            <w:r w:rsidRPr="00CE605C">
              <w:rPr>
                <w:rFonts w:ascii="Arial" w:eastAsia="Calibri" w:hAnsi="Arial" w:cs="Arial"/>
                <w:b/>
                <w:bCs/>
                <w:sz w:val="26"/>
                <w:szCs w:val="26"/>
              </w:rPr>
              <w:t>Łączna cena brutto</w:t>
            </w:r>
          </w:p>
        </w:tc>
      </w:tr>
      <w:tr w:rsidR="00CE605C" w:rsidRPr="00CE605C" w:rsidTr="0014577D">
        <w:trPr>
          <w:jc w:val="center"/>
        </w:trPr>
        <w:tc>
          <w:tcPr>
            <w:tcW w:w="7851" w:type="dxa"/>
            <w:shd w:val="clear" w:color="auto" w:fill="FABF8F" w:themeFill="accent6" w:themeFillTint="99"/>
            <w:vAlign w:val="center"/>
          </w:tcPr>
          <w:p w:rsidR="00CE605C" w:rsidRPr="0064220E" w:rsidRDefault="00CE605C" w:rsidP="002406F7">
            <w:pPr>
              <w:widowControl w:val="0"/>
              <w:suppressAutoHyphens/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b/>
                <w:bCs/>
                <w:sz w:val="36"/>
                <w:szCs w:val="36"/>
                <w:lang w:eastAsia="ar-SA"/>
              </w:rPr>
            </w:pPr>
            <w:r w:rsidRPr="0064220E">
              <w:rPr>
                <w:rFonts w:ascii="Arial" w:eastAsia="Times New Roman" w:hAnsi="Arial" w:cs="Arial"/>
                <w:b/>
                <w:bCs/>
                <w:sz w:val="36"/>
                <w:szCs w:val="36"/>
                <w:lang w:eastAsia="ar-SA"/>
              </w:rPr>
              <w:t xml:space="preserve">Specyfikacja Pakietu biurowego </w:t>
            </w:r>
            <w:r w:rsidRPr="00194AD9">
              <w:rPr>
                <w:rFonts w:ascii="Arial" w:eastAsia="Times New Roman" w:hAnsi="Arial" w:cs="Arial"/>
                <w:b/>
                <w:bCs/>
                <w:sz w:val="36"/>
                <w:szCs w:val="36"/>
                <w:lang w:eastAsia="ar-SA"/>
              </w:rPr>
              <w:t>Office:</w:t>
            </w:r>
            <w:r w:rsidR="00594FEF">
              <w:rPr>
                <w:rFonts w:ascii="Arial" w:eastAsia="Times New Roman" w:hAnsi="Arial" w:cs="Arial"/>
                <w:b/>
                <w:bCs/>
                <w:sz w:val="36"/>
                <w:szCs w:val="36"/>
                <w:lang w:eastAsia="ar-SA"/>
              </w:rPr>
              <w:t xml:space="preserve"> 244 szt.</w:t>
            </w:r>
          </w:p>
        </w:tc>
        <w:tc>
          <w:tcPr>
            <w:tcW w:w="2442" w:type="dxa"/>
            <w:shd w:val="clear" w:color="auto" w:fill="FABF8F" w:themeFill="accent6" w:themeFillTint="99"/>
            <w:vAlign w:val="center"/>
          </w:tcPr>
          <w:p w:rsidR="00CE605C" w:rsidRPr="00CE605C" w:rsidRDefault="00CE605C" w:rsidP="002406F7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6"/>
                <w:szCs w:val="26"/>
              </w:rPr>
            </w:pPr>
          </w:p>
        </w:tc>
        <w:tc>
          <w:tcPr>
            <w:tcW w:w="2311" w:type="dxa"/>
            <w:shd w:val="clear" w:color="auto" w:fill="FABF8F" w:themeFill="accent6" w:themeFillTint="99"/>
            <w:vAlign w:val="center"/>
          </w:tcPr>
          <w:p w:rsidR="00CE605C" w:rsidRPr="00CE605C" w:rsidRDefault="00CE605C" w:rsidP="002406F7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6"/>
                <w:szCs w:val="26"/>
              </w:rPr>
            </w:pPr>
          </w:p>
        </w:tc>
        <w:tc>
          <w:tcPr>
            <w:tcW w:w="1901" w:type="dxa"/>
            <w:shd w:val="clear" w:color="auto" w:fill="FABF8F" w:themeFill="accent6" w:themeFillTint="99"/>
            <w:vAlign w:val="center"/>
          </w:tcPr>
          <w:p w:rsidR="00CE605C" w:rsidRPr="00CE605C" w:rsidRDefault="00CE605C" w:rsidP="002406F7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6"/>
                <w:szCs w:val="26"/>
              </w:rPr>
            </w:pPr>
          </w:p>
        </w:tc>
        <w:tc>
          <w:tcPr>
            <w:tcW w:w="1471" w:type="dxa"/>
            <w:shd w:val="clear" w:color="auto" w:fill="FABF8F" w:themeFill="accent6" w:themeFillTint="99"/>
            <w:vAlign w:val="center"/>
          </w:tcPr>
          <w:p w:rsidR="00CE605C" w:rsidRPr="00CE605C" w:rsidRDefault="00CE605C" w:rsidP="002406F7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6"/>
                <w:szCs w:val="26"/>
              </w:rPr>
            </w:pPr>
          </w:p>
        </w:tc>
      </w:tr>
      <w:tr w:rsidR="00194AD9" w:rsidRPr="00CE605C" w:rsidTr="00CE605C">
        <w:trPr>
          <w:jc w:val="center"/>
        </w:trPr>
        <w:tc>
          <w:tcPr>
            <w:tcW w:w="7851" w:type="dxa"/>
            <w:shd w:val="clear" w:color="auto" w:fill="auto"/>
            <w:vAlign w:val="center"/>
          </w:tcPr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b/>
                <w:sz w:val="26"/>
                <w:szCs w:val="26"/>
                <w:lang w:eastAsia="pl-PL"/>
              </w:rPr>
              <w:t>Pakiet biurowy Microsoft Office 2021 Professional Plus PL dla jednostek edukacyjnych lub równoważny.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b/>
                <w:sz w:val="26"/>
                <w:szCs w:val="26"/>
                <w:lang w:eastAsia="pl-PL"/>
              </w:rPr>
              <w:t>Parametry równoważności pakietu biurowego: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a)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Zakres stosowania: edukacja.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b)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Wszystkie komponenty oferowanego pakietu biurowego muszą być integralną częścią tego samego pakietu, współpracować ze sobą (osadzanie i wymiana danych), posiadać jednolity interfejs oraz ten sam jednolity sposób obsługi.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c)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Prawidłowe odczytywanie i zapisywanie danych w dokumentach w formatach: doc, docx, xls, xlsx, ppt, pptx, pps, ppsx, mdb, accdb w tym obsługa formatowania bez utraty parametrów i cech użytkowych (zachowane wszelkie formatowanie, umiejscowienie tekstów, liczb, obrazków, wykresów, odstępy między tymi obiektami i kolorów itp.).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d)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Wykonywanie i edycja makr oraz kodu zapisanego w języku Visual Basic w plikach xls, xlsx oraz formuł w plikach wytworzonych w MS Office 2003, MS Office 2007, MS Office 2010, MS Office 2013, MS Office 2016 oraz MS Office 2019 bez utraty danych oraz bez konieczności przerabiania dokumentów.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e)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Oprogramowanie musi umożliwiać tworzenie i edycję dokumentów elektronicznych w ustalonym formacie, który spełnia następujące warunki: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posiada kompletny i publicznie dostępny opis formatu,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ma zdefiniowany układ informacji w postaci XML zgodnie z Załącznikiem 2 Rozporządzenia Rady Ministrów z dnia 12 kwietnia 2012 r. w sprawie Krajowych Ram Interoperacyjności, minimalnych wymagań dla rejestrów publicznych i wymiany informacji w postaci elektronicznej oraz minimalnych wymagań dla systemów teleinformatycznych (Dz.U. 2012, poz. 526).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f)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Język: pełna polska wersja językowa interfejsu użytkownika, do aplikacji musi być dostępna pełna dokumentacja w języku polskim.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g)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Moduły funkcjonalne oprogramowania: edytor tekstu, arkusz kalkulacyjny, narzędzie do przygotowywania i prowadzenia prezentacji multimedialnych, narzędzie do tworzenia drukowanych materiałów informacyjnych, narzędzie do zarządzania informacją prywatną (pocztą elektroniczną, kalendarzem, kontaktami i zadaniami), program do wykonywania notatek, narzędzie do tworzenia relacyjnych baz danych.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h)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Edytor tekstów: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edycję i formatowanie tekstu w języku polskim wraz z obsługą języka polskiego w zakresie sprawdzania pisowni i poprawności gramatycznej oraz funkcjonalnością słownika wyrazów bliskoznacznych i autokorekty;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wstawianie oraz formatowanie tabel;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wstawianie oraz formatowanie obiektów graficznych;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wstawianie wykresów i tabel z arkusza kalkulacyjnego (wliczając tabele przestawne);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automatyczne numerowanie rozdziałów, punktów, akapitów, tabel i rysunków;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automatyczne tworzenie spisów treści;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formatowanie nagłówków i stopek stron;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śledzenie i porównywanie zmian wprowadzonych przez użytkowników w dokumencie;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nagrywanie, tworzenie i edycję makr automatyzujących wykonywanie czynności;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określenie układu strony (pionowa/pozioma);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wydruk dokumentów;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wykonywanie korespondencji seryjnej bazując na danych adresowych pochodzących z arkusza kalkulacyjnego i z narzędzia do zarządzania informacją prywatną;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pracę na dokumentach utworzonych przy pomocy Microsoft Word 2013, 2016 i 2019 z zapewnieniem bezproblemowej konwersji wszystkich elementów i atrybutów dokumentu;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zabezpieczenie dokumentów hasłem przed odczytem oraz przed wprowadzaniem modyfikacji;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i)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Arkusz kalkulacyjny: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tworzenie raportów tabelarycznych;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tworzenie wykresów liniowych (wraz linią trendu), słupkowych, kołowych;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tworzenie arkuszy kalkulacyjnych zawierających teksty, dane liczbowe oraz formuły przeprowadzające operacje matematyczne, logiczne, tekstowe, statystyczne oraz operacje na danych finansowych i na miarach czasu;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tworzenie raportów z zewnętrznych źródeł danych (inne arkusze kalkulacyjne, bazy danych zgodne z ODBC, pliki tekstowe, pliki XML, webservice);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obsługę kostek OLAP oraz tworzenie i edycję kwerend bazodanowych i webowych. Narzędzia wspomagające analizę statystyczną i finansową, analizę wariantową i rozwiązywanie problemów optymalizacyjnych;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tworzenie raportów tabeli przestawnych umożliwiających dynamiczną zmianę wymiarów oraz wykresów bazujących na danych z tabeli przestawnych;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wyszukiwanie i zamianę danych;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wykonywanie analiz danych przy użyciu formatowania warunkowego;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nazywanie komórek arkusza i odwoływanie się w formułach po takiej nazwie;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nagrywanie, tworzenie i edycję makr automatyzujących wykonywanie czynności;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formatowanie czasu, daty i wartości finansowych z polskim formatem;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zapis wielu arkuszy kalkulacyjnych w jednym pliku;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zachowanie pełnej zgodności z formatami plików utworzonych za pomocą oprogramowania Microsoft Excel 2013, 2016 i 2019, z uwzględnieniem poprawnej realizacji użytych w nich funkcji specjalnych i makropoleceń;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zabezpieczenie dokumentów hasłem przed odczytem oraz przed wprowadzaniem modyfikacji.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j)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Narzędzie do przygotowywania prezentacji multimedialnych: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przygotowywanie prezentacji multimedialnych, które będą prezentowanie przy użyciu projektora multimedialnego;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drukowane w formacie umożliwiającym robienie notatek;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zapisanie jako prezentacja tylko do odczytu;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nagrywanie narracji i dołączanie jej do prezentacji;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opatrywanie slajdów notatkami dla prezentera;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umieszczanie i formatowanie tekstów, obiektów graficznych, tabel, nagrań dźwiękowych i wideo;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umieszczanie tabel i wykresów pochodzących z arkusza kalkulacyjnego;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odświeżenie wykresu znajdującego się w prezentacji po zmianie danych w źródłowym arkuszu kalkulacyjnym;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możliwość tworzenia animacji obiektów i całych slajdów;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prowadzenie prezentacji w trybie prezentera, gdzie slajdy są widoczne na jednym monitorze lub projektorze, a na drugim widoczne są slajdy i notatki prezentera;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pełna zgodność z formatami plików utworzonych za pomocą oprogramowania MS PowerPoint 2013, 2016 i 2019.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k)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Narzędzie do tworzenia drukowanych materiałów informacyjnych: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tworzenie i edycję drukowanych materiałów informacyjnych;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tworzenie materiałów przy użyciu dostępnych z narzędziem szablonów: broszur, biuletynów, katalogów;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edycję poszczególnych stron materiałów;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podział treści na kolumny;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umieszczanie elementów graficznych;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wykorzystanie mechanizmu korespondencji seryjnej;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płynne przesuwanie elementów po całej stronie publikacji;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eksport publikacji do formatu PDF oraz TIFF;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wydruk publikacji;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możliwość przygotowywania materiałów do wydruku w standardzie CMYK.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l)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Narzędzie do zarządzania informacją prywatną (pocztą elektroniczną, kalendarzem,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kontaktami i zadaniami):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pobieranie i wysyłanie poczty elektronicznej z serwera pocztowego;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filtrowanie niechcianej poczty elektronicznej (SPAM) oraz określanie listy zablokowanych i bezpiecznych nadawców;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tworzenie katalogów, pozwalających katalogować pocztę elektroniczną;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automatyczne grupowanie poczty o tym samym tytule;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tworzenie reguł przenoszących automatycznie nową pocztę elektroniczną do określonych katalogów bazując na słowach zawartych w tytule, adresie nadawcy i odbiorcy;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oflagowanie poczty elektronicznej z określeniem terminu przypomnienia;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zarządzanie kalendarzem;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udostępnianie kalendarza innym użytkownikom;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przeglądanie kalendarza innych użytkowników;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zapraszanie uczestników na spotkanie, co po ich akceptacji powoduje automatyczne wprowadzenie spotkania w ich kalendarzach;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zarządzanie listą zadań;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zlecanie zadań innym użytkownikom;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zarządzanie listą kontaktów;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udostępnianie listy kontaktów innym użytkownikom;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przeglądanie listy kontaktów innych użytkowników;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możliwość przesyłania kontaktów innym użytkowników.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m)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Narzędzie do tworzenia relacyjnych baz danych: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definiowanie tabel składających się z unikatowego klucza i pól różnych typów, w tym tekstowych i liczbowych;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definiowanie relacji pomiędzy tabelami;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tworzenie formularzy do wprowadzania i edycji danych;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tworzenie raportów;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edycja danych i zapisywanie ich w lokalnie przechowywanej bazie danych;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tworzenie bazy danych przy użyciu zdefiniowanych szablonów;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połączenie z zewnętrznymi, a w szczególności z innymi bazami danych zgodnymi z odbc, plikami xml, arkuszem kalkulacyjnym,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-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zgodność z posiadanymi przez zamawiającego plikami utworzonymi za pomocą oprogramowania Microsoft Access w wersjach poprzedzających edycję 2021.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Wszystkie ww. funkcjonalności nie mogą być realizowane w oparciu o rozwiązania chmury oraz rozwiązania wymagające stałych opłat w okresie</w:t>
            </w:r>
            <w:r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 xml:space="preserve"> używania zakupionego produktu.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 xml:space="preserve">Za oprogramowanie równoważne opisanemu w specyfikacji przy pomocy nazwy uznaje się oprogramowanie posiadające następujące cechy: 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1.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Warunki licencji w każdym aspekcie licencjonowania są nie gorsze niż licencja na oprogramowanie wskazane przez Zamawiającego.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2.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Zakres funkcjonalny oprogramowania jest w pełni zgodny z zakresem funkcjonalnym oprogramowania wskazanego przez Zamawiającego.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3.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 xml:space="preserve">Formaty danych wejściowych i wyjściowych są identyczne i odpowiadają przynajmniej liczbie i typowi formatów dla oprogramowania </w:t>
            </w:r>
            <w:r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wskazanego przez Zamawiającego.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 xml:space="preserve">Wraz z produktem równoważnym Wykonawca jest zobowiązany do dostarczenia następujących dokumentów: 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•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pełnego postanowienia licencji/sublicencji produktu równoważnego,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•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pełnego wykazu funkcjonalności produktu równoważnego,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•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pełnych warunków i zasad świadczenia usług gwarancji, serwisu pogwarancyjnego, asysty technicznej i konserwacji dla produktu równoważnego.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W przypadku zaoferowania przez Wykonawcę produktu równoważnego Wykonawca dokona wspólnie z Zamawiającym instalacji i testowania produktu równoważnego w środowisku sprzętowo-programowym Zamawiającego.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Dodatkowe wymagania dla produktu równoważnego: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1.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Nabycie licencji oprogramowania równoważnego pozwala na legalne używanie posiadanych przez Zamawiającego licencji oprogramowania.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2.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Oprogramowanie równoważne nie może zakłócić pracy środowiska systemowo-programowego Zamawiającego.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3.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Oprogramowanie równoważne musi być kompatybilne i w sposób niezakłócony współdziałać ze sprzętem i oprogramowaniem funkcjonującym u Zamawiającego.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4.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Oprogramowanie równoważne nie może powodować utraty kompatybilności oraz wsparcia producentów innego używanego i współpracującego z nim oprogramowaniem.</w:t>
            </w:r>
          </w:p>
          <w:p w:rsidR="00194AD9" w:rsidRPr="00CE605C" w:rsidRDefault="00194AD9" w:rsidP="00194AD9">
            <w:pPr>
              <w:widowControl w:val="0"/>
              <w:suppressAutoHyphens/>
              <w:spacing w:after="0" w:line="240" w:lineRule="auto"/>
              <w:ind w:left="452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>5.</w:t>
            </w:r>
            <w:r w:rsidRPr="00194AD9">
              <w:rPr>
                <w:rFonts w:ascii="Arial" w:eastAsia="Times New Roman" w:hAnsi="Arial" w:cs="Arial"/>
                <w:sz w:val="26"/>
                <w:szCs w:val="26"/>
                <w:lang w:eastAsia="pl-PL"/>
              </w:rPr>
              <w:tab/>
              <w:t>W przypadku, gdy zaoferowany przez Wykonawcę produkt równoważny nie będzie właściwie współdziałać ze sprzętem i oprogramowaniem funkcjonującym u Zamawiającego i/lub spowoduje zakłócenia w funkcjonowaniu pracy środowiska sprzętowo-programowego u Zamawiającego, Wykonawca pokryje wszystkie koszty związane z przywróceniem i sprawnym działaniem infrastruktury sprzętowo-programowej Zamawiającego oraz na własny koszt dokona niezbędnych modyfikacji przywracających właściwe działanie środowiska sprzętowo-programowego Zamawiającego również po usunięciu produktu równoważnego.</w:t>
            </w:r>
          </w:p>
        </w:tc>
        <w:tc>
          <w:tcPr>
            <w:tcW w:w="2442" w:type="dxa"/>
            <w:vAlign w:val="center"/>
          </w:tcPr>
          <w:p w:rsidR="00194AD9" w:rsidRPr="00CE605C" w:rsidRDefault="00194AD9" w:rsidP="002406F7">
            <w:pPr>
              <w:spacing w:after="0" w:line="240" w:lineRule="auto"/>
              <w:rPr>
                <w:rFonts w:ascii="Arial" w:eastAsia="Calibri" w:hAnsi="Arial" w:cs="Arial"/>
                <w:sz w:val="26"/>
                <w:szCs w:val="26"/>
              </w:rPr>
            </w:pPr>
          </w:p>
        </w:tc>
        <w:tc>
          <w:tcPr>
            <w:tcW w:w="2311" w:type="dxa"/>
            <w:vAlign w:val="center"/>
          </w:tcPr>
          <w:p w:rsidR="00194AD9" w:rsidRPr="00CE605C" w:rsidRDefault="00194AD9" w:rsidP="002406F7">
            <w:pPr>
              <w:spacing w:after="0" w:line="240" w:lineRule="auto"/>
              <w:rPr>
                <w:rFonts w:ascii="Arial" w:eastAsia="Calibri" w:hAnsi="Arial" w:cs="Arial"/>
                <w:sz w:val="26"/>
                <w:szCs w:val="26"/>
              </w:rPr>
            </w:pPr>
          </w:p>
        </w:tc>
        <w:tc>
          <w:tcPr>
            <w:tcW w:w="1901" w:type="dxa"/>
            <w:vAlign w:val="center"/>
          </w:tcPr>
          <w:p w:rsidR="00194AD9" w:rsidRPr="00CE605C" w:rsidRDefault="00194AD9" w:rsidP="002406F7">
            <w:pPr>
              <w:spacing w:after="0" w:line="240" w:lineRule="auto"/>
              <w:rPr>
                <w:rFonts w:ascii="Arial" w:eastAsia="Calibri" w:hAnsi="Arial" w:cs="Arial"/>
                <w:sz w:val="26"/>
                <w:szCs w:val="26"/>
              </w:rPr>
            </w:pPr>
          </w:p>
        </w:tc>
        <w:tc>
          <w:tcPr>
            <w:tcW w:w="1471" w:type="dxa"/>
            <w:vAlign w:val="center"/>
          </w:tcPr>
          <w:p w:rsidR="00194AD9" w:rsidRPr="00CE605C" w:rsidRDefault="00194AD9" w:rsidP="002406F7">
            <w:pPr>
              <w:spacing w:after="0" w:line="240" w:lineRule="auto"/>
              <w:rPr>
                <w:rFonts w:ascii="Arial" w:eastAsia="Calibri" w:hAnsi="Arial" w:cs="Arial"/>
                <w:sz w:val="26"/>
                <w:szCs w:val="26"/>
              </w:rPr>
            </w:pPr>
          </w:p>
        </w:tc>
      </w:tr>
    </w:tbl>
    <w:p w:rsidR="007877EF" w:rsidRDefault="007877EF" w:rsidP="002406F7">
      <w:pPr>
        <w:spacing w:after="0" w:line="240" w:lineRule="auto"/>
      </w:pPr>
    </w:p>
    <w:p w:rsidR="002406F7" w:rsidRDefault="002406F7" w:rsidP="002406F7">
      <w:pPr>
        <w:spacing w:after="0" w:line="240" w:lineRule="auto"/>
      </w:pPr>
    </w:p>
    <w:p w:rsidR="002406F7" w:rsidRPr="00594FEF" w:rsidRDefault="00594FEF" w:rsidP="002406F7">
      <w:pPr>
        <w:spacing w:after="0" w:line="240" w:lineRule="auto"/>
        <w:rPr>
          <w:rFonts w:ascii="Arial" w:hAnsi="Arial" w:cs="Arial"/>
          <w:b/>
          <w:sz w:val="36"/>
          <w:szCs w:val="36"/>
        </w:rPr>
      </w:pPr>
      <w:r w:rsidRPr="00594FEF">
        <w:rPr>
          <w:rFonts w:ascii="Arial" w:hAnsi="Arial" w:cs="Arial"/>
          <w:b/>
          <w:sz w:val="36"/>
          <w:szCs w:val="36"/>
        </w:rPr>
        <w:t xml:space="preserve">Tabela nr 2 </w:t>
      </w:r>
    </w:p>
    <w:tbl>
      <w:tblPr>
        <w:tblW w:w="15976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1"/>
        <w:gridCol w:w="2442"/>
        <w:gridCol w:w="2311"/>
        <w:gridCol w:w="1901"/>
        <w:gridCol w:w="1471"/>
      </w:tblGrid>
      <w:tr w:rsidR="0064220E" w:rsidRPr="00CE605C" w:rsidTr="0064220E">
        <w:trPr>
          <w:jc w:val="center"/>
        </w:trPr>
        <w:tc>
          <w:tcPr>
            <w:tcW w:w="7851" w:type="dxa"/>
            <w:shd w:val="clear" w:color="auto" w:fill="DDD9C3" w:themeFill="background2" w:themeFillShade="E6"/>
            <w:vAlign w:val="center"/>
          </w:tcPr>
          <w:p w:rsidR="0064220E" w:rsidRPr="0064220E" w:rsidRDefault="0064220E" w:rsidP="002406F7">
            <w:pPr>
              <w:shd w:val="clear" w:color="auto" w:fill="FABF8F" w:themeFill="accent6" w:themeFillTint="99"/>
              <w:spacing w:after="0" w:line="240" w:lineRule="auto"/>
              <w:rPr>
                <w:rFonts w:ascii="Arial" w:eastAsia="Times New Roman" w:hAnsi="Arial" w:cs="Arial"/>
                <w:b/>
                <w:sz w:val="26"/>
                <w:szCs w:val="26"/>
                <w:lang w:eastAsia="pl-PL"/>
              </w:rPr>
            </w:pPr>
          </w:p>
        </w:tc>
        <w:tc>
          <w:tcPr>
            <w:tcW w:w="2442" w:type="dxa"/>
            <w:shd w:val="clear" w:color="auto" w:fill="DDD9C3" w:themeFill="background2" w:themeFillShade="E6"/>
            <w:vAlign w:val="center"/>
          </w:tcPr>
          <w:p w:rsidR="0064220E" w:rsidRPr="0064220E" w:rsidRDefault="0064220E" w:rsidP="002406F7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6"/>
                <w:szCs w:val="26"/>
              </w:rPr>
            </w:pPr>
            <w:r w:rsidRPr="0064220E">
              <w:rPr>
                <w:rFonts w:ascii="Arial" w:eastAsia="Calibri" w:hAnsi="Arial" w:cs="Arial"/>
                <w:b/>
                <w:bCs/>
                <w:sz w:val="26"/>
                <w:szCs w:val="26"/>
              </w:rPr>
              <w:t>Potwierdzenie spełnienia wymagań / Propozycje Wykonawcy</w:t>
            </w:r>
          </w:p>
        </w:tc>
        <w:tc>
          <w:tcPr>
            <w:tcW w:w="2311" w:type="dxa"/>
            <w:shd w:val="clear" w:color="auto" w:fill="DDD9C3" w:themeFill="background2" w:themeFillShade="E6"/>
            <w:vAlign w:val="center"/>
          </w:tcPr>
          <w:p w:rsidR="0064220E" w:rsidRPr="00CE605C" w:rsidRDefault="0064220E" w:rsidP="002406F7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6"/>
                <w:szCs w:val="26"/>
              </w:rPr>
            </w:pPr>
            <w:r w:rsidRPr="00CE605C">
              <w:rPr>
                <w:rFonts w:ascii="Arial" w:eastAsia="Calibri" w:hAnsi="Arial" w:cs="Arial"/>
                <w:b/>
                <w:bCs/>
                <w:sz w:val="26"/>
                <w:szCs w:val="26"/>
              </w:rPr>
              <w:t xml:space="preserve">Marka / nazwa / model </w:t>
            </w:r>
            <w:r>
              <w:rPr>
                <w:rFonts w:ascii="Arial" w:eastAsia="Calibri" w:hAnsi="Arial" w:cs="Arial"/>
                <w:b/>
                <w:bCs/>
                <w:sz w:val="26"/>
                <w:szCs w:val="26"/>
              </w:rPr>
              <w:t>oprogramowania</w:t>
            </w:r>
          </w:p>
        </w:tc>
        <w:tc>
          <w:tcPr>
            <w:tcW w:w="1901" w:type="dxa"/>
            <w:shd w:val="clear" w:color="auto" w:fill="DDD9C3" w:themeFill="background2" w:themeFillShade="E6"/>
            <w:vAlign w:val="center"/>
          </w:tcPr>
          <w:p w:rsidR="0064220E" w:rsidRPr="00CE605C" w:rsidRDefault="0064220E" w:rsidP="002406F7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6"/>
                <w:szCs w:val="26"/>
              </w:rPr>
            </w:pPr>
            <w:r w:rsidRPr="00CE605C">
              <w:rPr>
                <w:rFonts w:ascii="Arial" w:eastAsia="Calibri" w:hAnsi="Arial" w:cs="Arial"/>
                <w:b/>
                <w:bCs/>
                <w:sz w:val="26"/>
                <w:szCs w:val="26"/>
              </w:rPr>
              <w:t>Cena jednostkowa brutto</w:t>
            </w:r>
          </w:p>
        </w:tc>
        <w:tc>
          <w:tcPr>
            <w:tcW w:w="1471" w:type="dxa"/>
            <w:shd w:val="clear" w:color="auto" w:fill="DDD9C3" w:themeFill="background2" w:themeFillShade="E6"/>
            <w:vAlign w:val="center"/>
          </w:tcPr>
          <w:p w:rsidR="0064220E" w:rsidRPr="00CE605C" w:rsidRDefault="0064220E" w:rsidP="002406F7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6"/>
                <w:szCs w:val="26"/>
              </w:rPr>
            </w:pPr>
            <w:r w:rsidRPr="00CE605C">
              <w:rPr>
                <w:rFonts w:ascii="Arial" w:eastAsia="Calibri" w:hAnsi="Arial" w:cs="Arial"/>
                <w:b/>
                <w:bCs/>
                <w:sz w:val="26"/>
                <w:szCs w:val="26"/>
              </w:rPr>
              <w:t>Łączna cena brutto</w:t>
            </w:r>
          </w:p>
        </w:tc>
      </w:tr>
      <w:tr w:rsidR="0064220E" w:rsidRPr="00CE605C" w:rsidTr="002406F7">
        <w:trPr>
          <w:jc w:val="center"/>
        </w:trPr>
        <w:tc>
          <w:tcPr>
            <w:tcW w:w="7851" w:type="dxa"/>
            <w:shd w:val="clear" w:color="auto" w:fill="FABF8F" w:themeFill="accent6" w:themeFillTint="99"/>
            <w:vAlign w:val="center"/>
          </w:tcPr>
          <w:p w:rsidR="0064220E" w:rsidRDefault="0064220E" w:rsidP="002406F7">
            <w:pPr>
              <w:shd w:val="clear" w:color="auto" w:fill="FABF8F" w:themeFill="accent6" w:themeFillTint="99"/>
              <w:spacing w:after="0" w:line="240" w:lineRule="auto"/>
              <w:ind w:left="311"/>
              <w:rPr>
                <w:rFonts w:ascii="Arial" w:eastAsia="Times New Roman" w:hAnsi="Arial" w:cs="Arial"/>
                <w:b/>
                <w:sz w:val="36"/>
                <w:szCs w:val="36"/>
                <w:lang w:eastAsia="pl-PL"/>
              </w:rPr>
            </w:pPr>
            <w:r w:rsidRPr="0064220E">
              <w:rPr>
                <w:rFonts w:ascii="Arial" w:eastAsia="Times New Roman" w:hAnsi="Arial" w:cs="Arial"/>
                <w:b/>
                <w:sz w:val="36"/>
                <w:szCs w:val="36"/>
                <w:lang w:eastAsia="pl-PL"/>
              </w:rPr>
              <w:t xml:space="preserve">Specyfikacja Pakietu graficznego </w:t>
            </w:r>
            <w:r w:rsidRPr="00194AD9">
              <w:rPr>
                <w:rFonts w:ascii="Arial" w:eastAsia="Times New Roman" w:hAnsi="Arial" w:cs="Arial"/>
                <w:b/>
                <w:sz w:val="36"/>
                <w:szCs w:val="36"/>
                <w:lang w:eastAsia="pl-PL"/>
              </w:rPr>
              <w:t>COREL:</w:t>
            </w:r>
          </w:p>
          <w:p w:rsidR="00594FEF" w:rsidRPr="0064220E" w:rsidRDefault="00594FEF" w:rsidP="00594FEF">
            <w:pPr>
              <w:shd w:val="clear" w:color="auto" w:fill="FABF8F" w:themeFill="accent6" w:themeFillTint="99"/>
              <w:spacing w:after="0" w:line="240" w:lineRule="auto"/>
              <w:ind w:left="311"/>
              <w:rPr>
                <w:rFonts w:ascii="Arial" w:eastAsia="Times New Roman" w:hAnsi="Arial" w:cs="Arial"/>
                <w:b/>
                <w:sz w:val="36"/>
                <w:szCs w:val="3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36"/>
                <w:szCs w:val="36"/>
                <w:lang w:eastAsia="pl-PL"/>
              </w:rPr>
              <w:t>(15 + 1)</w:t>
            </w:r>
            <w:r w:rsidR="006F0CB3">
              <w:rPr>
                <w:rFonts w:ascii="Arial" w:eastAsia="Times New Roman" w:hAnsi="Arial" w:cs="Arial"/>
                <w:b/>
                <w:sz w:val="36"/>
                <w:szCs w:val="36"/>
                <w:lang w:eastAsia="pl-PL"/>
              </w:rPr>
              <w:t xml:space="preserve"> =</w:t>
            </w:r>
            <w:r>
              <w:rPr>
                <w:rFonts w:ascii="Arial" w:eastAsia="Times New Roman" w:hAnsi="Arial" w:cs="Arial"/>
                <w:b/>
                <w:sz w:val="36"/>
                <w:szCs w:val="36"/>
                <w:lang w:eastAsia="pl-PL"/>
              </w:rPr>
              <w:t xml:space="preserve"> 6 kpl.</w:t>
            </w:r>
          </w:p>
        </w:tc>
        <w:tc>
          <w:tcPr>
            <w:tcW w:w="2442" w:type="dxa"/>
            <w:shd w:val="clear" w:color="auto" w:fill="FABF8F" w:themeFill="accent6" w:themeFillTint="99"/>
            <w:vAlign w:val="center"/>
          </w:tcPr>
          <w:p w:rsidR="0064220E" w:rsidRPr="00CE605C" w:rsidRDefault="0064220E" w:rsidP="002406F7">
            <w:pPr>
              <w:spacing w:after="0" w:line="240" w:lineRule="auto"/>
              <w:rPr>
                <w:rFonts w:ascii="Arial" w:eastAsia="Calibri" w:hAnsi="Arial" w:cs="Arial"/>
                <w:sz w:val="26"/>
                <w:szCs w:val="26"/>
              </w:rPr>
            </w:pPr>
          </w:p>
        </w:tc>
        <w:tc>
          <w:tcPr>
            <w:tcW w:w="2311" w:type="dxa"/>
            <w:shd w:val="clear" w:color="auto" w:fill="FABF8F" w:themeFill="accent6" w:themeFillTint="99"/>
            <w:vAlign w:val="center"/>
          </w:tcPr>
          <w:p w:rsidR="0064220E" w:rsidRPr="00CE605C" w:rsidRDefault="0064220E" w:rsidP="002406F7">
            <w:pPr>
              <w:spacing w:after="0" w:line="240" w:lineRule="auto"/>
              <w:rPr>
                <w:rFonts w:ascii="Arial" w:eastAsia="Calibri" w:hAnsi="Arial" w:cs="Arial"/>
                <w:sz w:val="26"/>
                <w:szCs w:val="26"/>
              </w:rPr>
            </w:pPr>
          </w:p>
        </w:tc>
        <w:tc>
          <w:tcPr>
            <w:tcW w:w="1901" w:type="dxa"/>
            <w:shd w:val="clear" w:color="auto" w:fill="FABF8F" w:themeFill="accent6" w:themeFillTint="99"/>
            <w:vAlign w:val="center"/>
          </w:tcPr>
          <w:p w:rsidR="0064220E" w:rsidRPr="00CE605C" w:rsidRDefault="0064220E" w:rsidP="002406F7">
            <w:pPr>
              <w:spacing w:after="0" w:line="240" w:lineRule="auto"/>
              <w:rPr>
                <w:rFonts w:ascii="Arial" w:eastAsia="Calibri" w:hAnsi="Arial" w:cs="Arial"/>
                <w:sz w:val="26"/>
                <w:szCs w:val="26"/>
              </w:rPr>
            </w:pPr>
          </w:p>
        </w:tc>
        <w:tc>
          <w:tcPr>
            <w:tcW w:w="1471" w:type="dxa"/>
            <w:shd w:val="clear" w:color="auto" w:fill="FABF8F" w:themeFill="accent6" w:themeFillTint="99"/>
            <w:vAlign w:val="center"/>
          </w:tcPr>
          <w:p w:rsidR="0064220E" w:rsidRPr="00CE605C" w:rsidRDefault="0064220E" w:rsidP="002406F7">
            <w:pPr>
              <w:spacing w:after="0" w:line="240" w:lineRule="auto"/>
              <w:rPr>
                <w:rFonts w:ascii="Arial" w:eastAsia="Calibri" w:hAnsi="Arial" w:cs="Arial"/>
                <w:sz w:val="26"/>
                <w:szCs w:val="26"/>
              </w:rPr>
            </w:pPr>
          </w:p>
        </w:tc>
      </w:tr>
      <w:tr w:rsidR="0064220E" w:rsidRPr="00CE605C" w:rsidTr="00CE605C">
        <w:trPr>
          <w:jc w:val="center"/>
        </w:trPr>
        <w:tc>
          <w:tcPr>
            <w:tcW w:w="7851" w:type="dxa"/>
            <w:shd w:val="clear" w:color="auto" w:fill="auto"/>
            <w:vAlign w:val="center"/>
          </w:tcPr>
          <w:p w:rsidR="00194AD9" w:rsidRPr="00194AD9" w:rsidRDefault="00194AD9" w:rsidP="00194AD9">
            <w:pPr>
              <w:widowControl w:val="0"/>
              <w:suppressAutoHyphens/>
              <w:spacing w:after="0"/>
              <w:ind w:left="311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Pakiet graficzny CorelDRAW Graphics Suite 2022 </w:t>
            </w: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dla jednostek edukacyjnych lub równoważny.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/>
              <w:ind w:left="311"/>
              <w:jc w:val="both"/>
              <w:rPr>
                <w:rFonts w:ascii="Arial" w:eastAsia="Lucida Sans Unicode" w:hAnsi="Arial" w:cs="Arial"/>
                <w:b/>
                <w:bCs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Arial" w:eastAsia="Lucida Sans Unicode" w:hAnsi="Arial" w:cs="Arial"/>
                <w:b/>
                <w:bCs/>
                <w:kern w:val="1"/>
                <w:sz w:val="24"/>
                <w:szCs w:val="24"/>
                <w:lang w:eastAsia="ar-SA"/>
              </w:rPr>
              <w:t xml:space="preserve">Parametry równoważności pakietu </w:t>
            </w:r>
            <w:r w:rsidRPr="00194AD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graficznego</w:t>
            </w:r>
            <w:r w:rsidRPr="00194AD9">
              <w:rPr>
                <w:rFonts w:ascii="Arial" w:eastAsia="Lucida Sans Unicode" w:hAnsi="Arial" w:cs="Arial"/>
                <w:b/>
                <w:bCs/>
                <w:kern w:val="1"/>
                <w:sz w:val="24"/>
                <w:szCs w:val="24"/>
                <w:lang w:eastAsia="ar-SA"/>
              </w:rPr>
              <w:t>:</w:t>
            </w:r>
          </w:p>
          <w:p w:rsidR="00194AD9" w:rsidRPr="00194AD9" w:rsidRDefault="00194AD9" w:rsidP="00194AD9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311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pakiet do projektowania graficznego do pracowni komputerowych w szkołach podstawowych i średnich – wersja edukacyjna;</w:t>
            </w:r>
          </w:p>
          <w:p w:rsidR="00194AD9" w:rsidRPr="00194AD9" w:rsidRDefault="00194AD9" w:rsidP="00194AD9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311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pełni kompatybilny z systemem Windows;</w:t>
            </w:r>
          </w:p>
          <w:p w:rsidR="00194AD9" w:rsidRPr="00194AD9" w:rsidRDefault="00194AD9" w:rsidP="00194AD9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311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 – miesięczna aktualizacja oraz licencja wieczysta (bezterminowa);</w:t>
            </w:r>
          </w:p>
          <w:p w:rsidR="00194AD9" w:rsidRPr="00194AD9" w:rsidRDefault="00194AD9" w:rsidP="00194AD9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311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obejmuje minimum zestaw narzędzi do tworzenia złożonych grafik wektorowych, edycji zdjęć, projektowania układów stron, kompozycji typograficznych, a także grafik internetowych oraz przygotowywania projektów do druku;</w:t>
            </w:r>
          </w:p>
          <w:p w:rsidR="00194AD9" w:rsidRPr="00194AD9" w:rsidRDefault="00194AD9" w:rsidP="00194AD9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311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dedykowany do tworzenia projektów szkolnych, a także tworzenia różnorodnych materiałów niezbędnych w każdej placówce edukacyjnej - logotypów, broszur, materiałów reklamowych, marketingowych, szkoleniowych, oznakowania i druku wielkoformatowego, grafik na pojazdy, odzieży i tekstylia, itp.;</w:t>
            </w:r>
          </w:p>
          <w:p w:rsidR="00194AD9" w:rsidRPr="00194AD9" w:rsidRDefault="00194AD9" w:rsidP="00194AD9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311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umożliwia pracę z dowolnego miejsca i łatwe udostępnianie materiałów;</w:t>
            </w:r>
          </w:p>
          <w:p w:rsidR="00194AD9" w:rsidRPr="00194AD9" w:rsidRDefault="00194AD9" w:rsidP="00194AD9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311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zestaw narzędzi zawierać będzie:</w:t>
            </w:r>
          </w:p>
          <w:p w:rsidR="00194AD9" w:rsidRPr="00194AD9" w:rsidRDefault="00194AD9" w:rsidP="00194AD9">
            <w:pPr>
              <w:widowControl w:val="0"/>
              <w:numPr>
                <w:ilvl w:val="1"/>
                <w:numId w:val="7"/>
              </w:numPr>
              <w:suppressAutoHyphens/>
              <w:spacing w:after="0" w:line="240" w:lineRule="auto"/>
              <w:ind w:left="311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oprogramowanie do tworzenia grafiki wektorowej i przygotowania układów stron;</w:t>
            </w:r>
          </w:p>
          <w:p w:rsidR="00194AD9" w:rsidRPr="00194AD9" w:rsidRDefault="00194AD9" w:rsidP="00194AD9">
            <w:pPr>
              <w:widowControl w:val="0"/>
              <w:numPr>
                <w:ilvl w:val="1"/>
                <w:numId w:val="7"/>
              </w:numPr>
              <w:suppressAutoHyphens/>
              <w:spacing w:after="0" w:line="240" w:lineRule="auto"/>
              <w:ind w:left="311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oprogramowanie do obróbki zdjęć, ich ulepszania i retuszowania;</w:t>
            </w:r>
          </w:p>
          <w:p w:rsidR="00194AD9" w:rsidRPr="00194AD9" w:rsidRDefault="00194AD9" w:rsidP="00194AD9">
            <w:pPr>
              <w:widowControl w:val="0"/>
              <w:numPr>
                <w:ilvl w:val="1"/>
                <w:numId w:val="7"/>
              </w:numPr>
              <w:suppressAutoHyphens/>
              <w:spacing w:after="0" w:line="240" w:lineRule="auto"/>
              <w:ind w:left="311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oprogramowanie do przeglądania czcionek i zarządzania nimi;</w:t>
            </w:r>
          </w:p>
          <w:p w:rsidR="00194AD9" w:rsidRPr="00194AD9" w:rsidRDefault="00194AD9" w:rsidP="00194AD9">
            <w:pPr>
              <w:widowControl w:val="0"/>
              <w:numPr>
                <w:ilvl w:val="1"/>
                <w:numId w:val="7"/>
              </w:numPr>
              <w:suppressAutoHyphens/>
              <w:spacing w:after="0" w:line="240" w:lineRule="auto"/>
              <w:ind w:left="311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oprogramowanie do przekształcania map bitowych w edytowalne grafiki wektorowe;</w:t>
            </w:r>
          </w:p>
          <w:p w:rsidR="00194AD9" w:rsidRPr="00194AD9" w:rsidRDefault="00194AD9" w:rsidP="00194AD9">
            <w:pPr>
              <w:widowControl w:val="0"/>
              <w:numPr>
                <w:ilvl w:val="1"/>
                <w:numId w:val="7"/>
              </w:numPr>
              <w:suppressAutoHyphens/>
              <w:spacing w:after="0" w:line="240" w:lineRule="auto"/>
              <w:ind w:left="311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aplikację do projektowania graficznego online, pracy z dowolnego miejsca i udostępniania materiałów;</w:t>
            </w:r>
          </w:p>
          <w:p w:rsidR="00194AD9" w:rsidRPr="00194AD9" w:rsidRDefault="00194AD9" w:rsidP="00194AD9">
            <w:pPr>
              <w:widowControl w:val="0"/>
              <w:numPr>
                <w:ilvl w:val="1"/>
                <w:numId w:val="7"/>
              </w:numPr>
              <w:suppressAutoHyphens/>
              <w:spacing w:after="0" w:line="240" w:lineRule="auto"/>
              <w:ind w:left="311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oprogramowanie do przechwytywania zawartości ekranu;</w:t>
            </w:r>
          </w:p>
          <w:p w:rsidR="00194AD9" w:rsidRPr="00194AD9" w:rsidRDefault="00194AD9" w:rsidP="00194AD9">
            <w:pPr>
              <w:widowControl w:val="0"/>
              <w:numPr>
                <w:ilvl w:val="1"/>
                <w:numId w:val="7"/>
              </w:numPr>
              <w:suppressAutoHyphens/>
              <w:spacing w:after="0" w:line="240" w:lineRule="auto"/>
              <w:ind w:left="311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oprogramowanie do szybkiego edytowania zdjęć w formacie RAW;</w:t>
            </w:r>
          </w:p>
          <w:p w:rsidR="00194AD9" w:rsidRPr="00194AD9" w:rsidRDefault="00194AD9" w:rsidP="00194AD9">
            <w:pPr>
              <w:widowControl w:val="0"/>
              <w:numPr>
                <w:ilvl w:val="1"/>
                <w:numId w:val="7"/>
              </w:numPr>
              <w:suppressAutoHyphens/>
              <w:spacing w:after="0" w:line="240" w:lineRule="auto"/>
              <w:ind w:left="311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94AD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aplikacje pomocnicze oraz materiały szkoleniowe.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/>
              <w:ind w:left="311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</w:p>
          <w:p w:rsidR="00194AD9" w:rsidRPr="00194AD9" w:rsidRDefault="00194AD9" w:rsidP="00194AD9">
            <w:pPr>
              <w:widowControl w:val="0"/>
              <w:suppressAutoHyphens/>
              <w:spacing w:after="0"/>
              <w:ind w:left="311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 xml:space="preserve">Za oprogramowanie równoważne opisanemu w specyfikacji przy pomocy nazwy uznaje się oprogramowanie posiadające następujące cechy: 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/>
              <w:ind w:left="311" w:hanging="357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1.</w:t>
            </w: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ab/>
              <w:t>Warunki licencji w każdym aspekcie licencjonowania są nie gorsze niż licencja na oprogramowanie wskazane przez Zamawiającego.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/>
              <w:ind w:left="311" w:hanging="357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2.</w:t>
            </w: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ab/>
              <w:t>Zakres funkcjonalny oprogramowania jest w pełni zgodny z zakresem funkcjonalnym oprogramowania wskazanego przez Zamawiającego.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/>
              <w:ind w:left="311" w:hanging="357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3.</w:t>
            </w: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ab/>
              <w:t>Formaty danych wejściowych i wyjściowych są identyczne i odpowiadają przynajmniej liczbie i typowi formatów dla oprogramowania wskazanego przez Zamawiającego.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/>
              <w:ind w:left="311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</w:p>
          <w:p w:rsidR="00194AD9" w:rsidRPr="00194AD9" w:rsidRDefault="00194AD9" w:rsidP="00194AD9">
            <w:pPr>
              <w:widowControl w:val="0"/>
              <w:suppressAutoHyphens/>
              <w:spacing w:after="0"/>
              <w:ind w:left="311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 xml:space="preserve">Wraz z produktem równoważnym Wykonawca jest zobowiązany do dostarczenia następujących dokumentów: 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/>
              <w:ind w:left="311" w:hanging="357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•</w:t>
            </w: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ab/>
              <w:t>pełnego postanowienia licencji/sublicencji produktu równoważnego,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/>
              <w:ind w:left="311" w:hanging="357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•</w:t>
            </w: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ab/>
              <w:t>pełnego wykazu funkcjonalności produktu równoważnego,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/>
              <w:ind w:left="311" w:hanging="357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•</w:t>
            </w: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ab/>
              <w:t>pełnych warunków i zasad świadczenia usług gwarancji, serwisu pogwarancyjnego, asysty technicznej i konserwacji dla produktu równoważnego.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/>
              <w:ind w:left="311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W przypadku zaoferowania przez Wykonawcę produktu równoważnego Wykonawca dokona wspólnie z Zamawiającym instalacji i testowania produktu równoważnego w środowisku sprzętowo-programowym Zamawiającego.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/>
              <w:ind w:left="311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</w:p>
          <w:p w:rsidR="00194AD9" w:rsidRPr="00194AD9" w:rsidRDefault="00194AD9" w:rsidP="00194AD9">
            <w:pPr>
              <w:widowControl w:val="0"/>
              <w:suppressAutoHyphens/>
              <w:spacing w:after="0"/>
              <w:ind w:left="311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Dodatkowe wymagania dla produktu równoważnego: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/>
              <w:ind w:left="311" w:hanging="357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1.</w:t>
            </w: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ab/>
              <w:t>Nabycie licencji oprogramowania równoważnego pozwala na legalne używanie posiadanych przez Zamawiającego licencji oprogramowania.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/>
              <w:ind w:left="311" w:hanging="357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2.</w:t>
            </w: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ab/>
              <w:t>Oprogramowanie równoważne nie może zakłócić pracy środowiska systemowo-programowego Zamawiającego.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/>
              <w:ind w:left="311" w:hanging="357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3.</w:t>
            </w: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ab/>
              <w:t>Oprogramowanie równoważne musi być kompatybilne i w sposób niezakłócony współdziałać ze sprzętem i oprogramowaniem funkcjonującym u Zamawiającego.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/>
              <w:ind w:left="311" w:hanging="357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4.</w:t>
            </w: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ab/>
              <w:t>Oprogramowanie równoważne nie może powodować utraty kompatybilności oraz wsparcia producentów innego używanego i współpracującego z nim oprogramowaniem.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/>
              <w:ind w:left="311" w:hanging="357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5.</w:t>
            </w:r>
            <w:r w:rsidRPr="00194AD9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ab/>
              <w:t>W przypadku, gdy zaoferowany przez Wykonawcę produkt równoważny nie będzie właściwie współdziałać ze sprzętem i oprogramowaniem funkcjonującym u Zamawiającego i/lub spowoduje zakłócenia w funkcjonowaniu pracy środowiska sprzętowo-programowego u Zamawiającego, Wykonawca pokryje wszystkie koszty związane z przywróceniem i sprawnym działaniem infrastruktury sprzętowo-programowej Zamawiającego oraz na własny koszt dokona niezbędnych modyfikacji przywracających właściwe działanie środowiska sprzętowo-programowego Zamawiającego również po usunięciu produktu równoważnego.</w:t>
            </w:r>
          </w:p>
          <w:p w:rsidR="0064220E" w:rsidRPr="00CE605C" w:rsidRDefault="0064220E" w:rsidP="002406F7">
            <w:pPr>
              <w:spacing w:after="0" w:line="240" w:lineRule="auto"/>
              <w:ind w:left="311"/>
              <w:jc w:val="both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</w:p>
        </w:tc>
        <w:tc>
          <w:tcPr>
            <w:tcW w:w="2442" w:type="dxa"/>
            <w:vAlign w:val="center"/>
          </w:tcPr>
          <w:p w:rsidR="0064220E" w:rsidRPr="00CE605C" w:rsidRDefault="0064220E" w:rsidP="002406F7">
            <w:pPr>
              <w:spacing w:after="0" w:line="240" w:lineRule="auto"/>
              <w:rPr>
                <w:rFonts w:ascii="Arial" w:eastAsia="Calibri" w:hAnsi="Arial" w:cs="Arial"/>
                <w:sz w:val="26"/>
                <w:szCs w:val="26"/>
              </w:rPr>
            </w:pPr>
          </w:p>
        </w:tc>
        <w:tc>
          <w:tcPr>
            <w:tcW w:w="2311" w:type="dxa"/>
            <w:vAlign w:val="center"/>
          </w:tcPr>
          <w:p w:rsidR="0064220E" w:rsidRPr="00CE605C" w:rsidRDefault="0064220E" w:rsidP="002406F7">
            <w:pPr>
              <w:spacing w:after="0" w:line="240" w:lineRule="auto"/>
              <w:rPr>
                <w:rFonts w:ascii="Arial" w:eastAsia="Calibri" w:hAnsi="Arial" w:cs="Arial"/>
                <w:sz w:val="26"/>
                <w:szCs w:val="26"/>
              </w:rPr>
            </w:pPr>
          </w:p>
        </w:tc>
        <w:tc>
          <w:tcPr>
            <w:tcW w:w="1901" w:type="dxa"/>
            <w:vAlign w:val="center"/>
          </w:tcPr>
          <w:p w:rsidR="0064220E" w:rsidRPr="00CE605C" w:rsidRDefault="0064220E" w:rsidP="002406F7">
            <w:pPr>
              <w:spacing w:after="0" w:line="240" w:lineRule="auto"/>
              <w:rPr>
                <w:rFonts w:ascii="Arial" w:eastAsia="Calibri" w:hAnsi="Arial" w:cs="Arial"/>
                <w:sz w:val="26"/>
                <w:szCs w:val="26"/>
              </w:rPr>
            </w:pPr>
          </w:p>
        </w:tc>
        <w:tc>
          <w:tcPr>
            <w:tcW w:w="1471" w:type="dxa"/>
            <w:vAlign w:val="center"/>
          </w:tcPr>
          <w:p w:rsidR="0064220E" w:rsidRPr="00CE605C" w:rsidRDefault="0064220E" w:rsidP="002406F7">
            <w:pPr>
              <w:spacing w:after="0" w:line="240" w:lineRule="auto"/>
              <w:rPr>
                <w:rFonts w:ascii="Arial" w:eastAsia="Calibri" w:hAnsi="Arial" w:cs="Arial"/>
                <w:sz w:val="26"/>
                <w:szCs w:val="26"/>
              </w:rPr>
            </w:pPr>
          </w:p>
        </w:tc>
      </w:tr>
    </w:tbl>
    <w:p w:rsidR="00594FEF" w:rsidRDefault="00594FEF" w:rsidP="002406F7">
      <w:pPr>
        <w:widowControl w:val="0"/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6"/>
          <w:szCs w:val="26"/>
        </w:rPr>
      </w:pPr>
    </w:p>
    <w:p w:rsidR="00194AD9" w:rsidRDefault="00194AD9" w:rsidP="002406F7">
      <w:pPr>
        <w:widowControl w:val="0"/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6"/>
          <w:szCs w:val="26"/>
        </w:rPr>
      </w:pPr>
    </w:p>
    <w:p w:rsidR="00594FEF" w:rsidRPr="00594FEF" w:rsidRDefault="00594FEF" w:rsidP="002406F7">
      <w:pPr>
        <w:widowControl w:val="0"/>
        <w:suppressAutoHyphens/>
        <w:spacing w:after="0" w:line="240" w:lineRule="auto"/>
        <w:ind w:left="426" w:hanging="426"/>
        <w:jc w:val="both"/>
        <w:rPr>
          <w:rFonts w:ascii="Arial" w:hAnsi="Arial" w:cs="Arial"/>
          <w:b/>
          <w:sz w:val="36"/>
          <w:szCs w:val="36"/>
        </w:rPr>
      </w:pPr>
      <w:r w:rsidRPr="00594FEF">
        <w:rPr>
          <w:rFonts w:ascii="Arial" w:hAnsi="Arial" w:cs="Arial"/>
          <w:b/>
          <w:sz w:val="36"/>
          <w:szCs w:val="36"/>
        </w:rPr>
        <w:t>Tabela nr 3</w:t>
      </w:r>
    </w:p>
    <w:tbl>
      <w:tblPr>
        <w:tblW w:w="15976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1"/>
        <w:gridCol w:w="2442"/>
        <w:gridCol w:w="2311"/>
        <w:gridCol w:w="1901"/>
        <w:gridCol w:w="1471"/>
      </w:tblGrid>
      <w:tr w:rsidR="00594FEF" w:rsidRPr="00CE605C" w:rsidTr="000101BD">
        <w:trPr>
          <w:jc w:val="center"/>
        </w:trPr>
        <w:tc>
          <w:tcPr>
            <w:tcW w:w="7851" w:type="dxa"/>
            <w:shd w:val="clear" w:color="auto" w:fill="DDD9C3" w:themeFill="background2" w:themeFillShade="E6"/>
            <w:vAlign w:val="center"/>
          </w:tcPr>
          <w:p w:rsidR="00594FEF" w:rsidRPr="0064220E" w:rsidRDefault="00594FEF" w:rsidP="000101BD">
            <w:pPr>
              <w:shd w:val="clear" w:color="auto" w:fill="FABF8F" w:themeFill="accent6" w:themeFillTint="99"/>
              <w:spacing w:after="0" w:line="240" w:lineRule="auto"/>
              <w:rPr>
                <w:rFonts w:ascii="Arial" w:eastAsia="Times New Roman" w:hAnsi="Arial" w:cs="Arial"/>
                <w:b/>
                <w:sz w:val="26"/>
                <w:szCs w:val="26"/>
                <w:lang w:eastAsia="pl-PL"/>
              </w:rPr>
            </w:pPr>
          </w:p>
        </w:tc>
        <w:tc>
          <w:tcPr>
            <w:tcW w:w="2442" w:type="dxa"/>
            <w:shd w:val="clear" w:color="auto" w:fill="DDD9C3" w:themeFill="background2" w:themeFillShade="E6"/>
            <w:vAlign w:val="center"/>
          </w:tcPr>
          <w:p w:rsidR="00594FEF" w:rsidRPr="0064220E" w:rsidRDefault="00594FEF" w:rsidP="000101B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6"/>
                <w:szCs w:val="26"/>
              </w:rPr>
            </w:pPr>
            <w:r w:rsidRPr="0064220E">
              <w:rPr>
                <w:rFonts w:ascii="Arial" w:eastAsia="Calibri" w:hAnsi="Arial" w:cs="Arial"/>
                <w:b/>
                <w:bCs/>
                <w:sz w:val="26"/>
                <w:szCs w:val="26"/>
              </w:rPr>
              <w:t>Potwierdzenie spełnienia wymagań / Propozycje Wykonawcy</w:t>
            </w:r>
          </w:p>
        </w:tc>
        <w:tc>
          <w:tcPr>
            <w:tcW w:w="2311" w:type="dxa"/>
            <w:shd w:val="clear" w:color="auto" w:fill="DDD9C3" w:themeFill="background2" w:themeFillShade="E6"/>
            <w:vAlign w:val="center"/>
          </w:tcPr>
          <w:p w:rsidR="00594FEF" w:rsidRPr="00CE605C" w:rsidRDefault="00594FEF" w:rsidP="000101B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6"/>
                <w:szCs w:val="26"/>
              </w:rPr>
            </w:pPr>
            <w:r w:rsidRPr="00CE605C">
              <w:rPr>
                <w:rFonts w:ascii="Arial" w:eastAsia="Calibri" w:hAnsi="Arial" w:cs="Arial"/>
                <w:b/>
                <w:bCs/>
                <w:sz w:val="26"/>
                <w:szCs w:val="26"/>
              </w:rPr>
              <w:t xml:space="preserve">Marka / nazwa / model </w:t>
            </w:r>
            <w:r>
              <w:rPr>
                <w:rFonts w:ascii="Arial" w:eastAsia="Calibri" w:hAnsi="Arial" w:cs="Arial"/>
                <w:b/>
                <w:bCs/>
                <w:sz w:val="26"/>
                <w:szCs w:val="26"/>
              </w:rPr>
              <w:t>oprogramowania</w:t>
            </w:r>
          </w:p>
        </w:tc>
        <w:tc>
          <w:tcPr>
            <w:tcW w:w="1901" w:type="dxa"/>
            <w:shd w:val="clear" w:color="auto" w:fill="DDD9C3" w:themeFill="background2" w:themeFillShade="E6"/>
            <w:vAlign w:val="center"/>
          </w:tcPr>
          <w:p w:rsidR="00594FEF" w:rsidRPr="00CE605C" w:rsidRDefault="00594FEF" w:rsidP="000101B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6"/>
                <w:szCs w:val="26"/>
              </w:rPr>
            </w:pPr>
            <w:r w:rsidRPr="00CE605C">
              <w:rPr>
                <w:rFonts w:ascii="Arial" w:eastAsia="Calibri" w:hAnsi="Arial" w:cs="Arial"/>
                <w:b/>
                <w:bCs/>
                <w:sz w:val="26"/>
                <w:szCs w:val="26"/>
              </w:rPr>
              <w:t>Cena jednostkowa brutto</w:t>
            </w:r>
          </w:p>
        </w:tc>
        <w:tc>
          <w:tcPr>
            <w:tcW w:w="1471" w:type="dxa"/>
            <w:shd w:val="clear" w:color="auto" w:fill="DDD9C3" w:themeFill="background2" w:themeFillShade="E6"/>
            <w:vAlign w:val="center"/>
          </w:tcPr>
          <w:p w:rsidR="00594FEF" w:rsidRPr="00CE605C" w:rsidRDefault="00594FEF" w:rsidP="000101B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6"/>
                <w:szCs w:val="26"/>
              </w:rPr>
            </w:pPr>
            <w:r w:rsidRPr="00CE605C">
              <w:rPr>
                <w:rFonts w:ascii="Arial" w:eastAsia="Calibri" w:hAnsi="Arial" w:cs="Arial"/>
                <w:b/>
                <w:bCs/>
                <w:sz w:val="26"/>
                <w:szCs w:val="26"/>
              </w:rPr>
              <w:t>Łączna cena brutto</w:t>
            </w:r>
          </w:p>
        </w:tc>
      </w:tr>
      <w:tr w:rsidR="00594FEF" w:rsidRPr="00CE605C" w:rsidTr="000101BD">
        <w:trPr>
          <w:jc w:val="center"/>
        </w:trPr>
        <w:tc>
          <w:tcPr>
            <w:tcW w:w="7851" w:type="dxa"/>
            <w:shd w:val="clear" w:color="auto" w:fill="FABF8F" w:themeFill="accent6" w:themeFillTint="99"/>
            <w:vAlign w:val="center"/>
          </w:tcPr>
          <w:p w:rsidR="00594FEF" w:rsidRDefault="00594FEF" w:rsidP="000101BD">
            <w:pPr>
              <w:shd w:val="clear" w:color="auto" w:fill="FABF8F" w:themeFill="accent6" w:themeFillTint="99"/>
              <w:spacing w:after="0" w:line="240" w:lineRule="auto"/>
              <w:ind w:left="311"/>
              <w:rPr>
                <w:rFonts w:ascii="Arial" w:eastAsia="Times New Roman" w:hAnsi="Arial" w:cs="Arial"/>
                <w:b/>
                <w:sz w:val="36"/>
                <w:szCs w:val="36"/>
                <w:lang w:eastAsia="pl-PL"/>
              </w:rPr>
            </w:pPr>
            <w:r w:rsidRPr="0064220E">
              <w:rPr>
                <w:rFonts w:ascii="Arial" w:eastAsia="Times New Roman" w:hAnsi="Arial" w:cs="Arial"/>
                <w:b/>
                <w:sz w:val="36"/>
                <w:szCs w:val="36"/>
                <w:lang w:eastAsia="pl-PL"/>
              </w:rPr>
              <w:t xml:space="preserve">Specyfikacja Pakietu graficznego </w:t>
            </w:r>
            <w:bookmarkStart w:id="1" w:name="_GoBack"/>
            <w:bookmarkEnd w:id="1"/>
            <w:r w:rsidRPr="00194AD9">
              <w:rPr>
                <w:rFonts w:ascii="Arial" w:eastAsia="Times New Roman" w:hAnsi="Arial" w:cs="Arial"/>
                <w:b/>
                <w:sz w:val="36"/>
                <w:szCs w:val="36"/>
                <w:lang w:eastAsia="pl-PL"/>
              </w:rPr>
              <w:t>COREL:</w:t>
            </w:r>
          </w:p>
          <w:p w:rsidR="00594FEF" w:rsidRPr="0064220E" w:rsidRDefault="00594FEF" w:rsidP="00594FEF">
            <w:pPr>
              <w:shd w:val="clear" w:color="auto" w:fill="FABF8F" w:themeFill="accent6" w:themeFillTint="99"/>
              <w:spacing w:after="0" w:line="240" w:lineRule="auto"/>
              <w:ind w:left="311"/>
              <w:rPr>
                <w:rFonts w:ascii="Arial" w:eastAsia="Times New Roman" w:hAnsi="Arial" w:cs="Arial"/>
                <w:b/>
                <w:sz w:val="36"/>
                <w:szCs w:val="3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36"/>
                <w:szCs w:val="36"/>
                <w:lang w:eastAsia="pl-PL"/>
              </w:rPr>
              <w:t xml:space="preserve">(1 stanowisko) </w:t>
            </w:r>
            <w:r w:rsidR="006F0CB3">
              <w:rPr>
                <w:rFonts w:ascii="Arial" w:eastAsia="Times New Roman" w:hAnsi="Arial" w:cs="Arial"/>
                <w:b/>
                <w:sz w:val="36"/>
                <w:szCs w:val="36"/>
                <w:lang w:eastAsia="pl-PL"/>
              </w:rPr>
              <w:t xml:space="preserve">= </w:t>
            </w:r>
            <w:r>
              <w:rPr>
                <w:rFonts w:ascii="Arial" w:eastAsia="Times New Roman" w:hAnsi="Arial" w:cs="Arial"/>
                <w:b/>
                <w:sz w:val="36"/>
                <w:szCs w:val="36"/>
                <w:lang w:eastAsia="pl-PL"/>
              </w:rPr>
              <w:t>6 kpl.</w:t>
            </w:r>
          </w:p>
        </w:tc>
        <w:tc>
          <w:tcPr>
            <w:tcW w:w="2442" w:type="dxa"/>
            <w:shd w:val="clear" w:color="auto" w:fill="FABF8F" w:themeFill="accent6" w:themeFillTint="99"/>
            <w:vAlign w:val="center"/>
          </w:tcPr>
          <w:p w:rsidR="00594FEF" w:rsidRPr="00CE605C" w:rsidRDefault="00594FEF" w:rsidP="000101BD">
            <w:pPr>
              <w:spacing w:after="0" w:line="240" w:lineRule="auto"/>
              <w:rPr>
                <w:rFonts w:ascii="Arial" w:eastAsia="Calibri" w:hAnsi="Arial" w:cs="Arial"/>
                <w:sz w:val="26"/>
                <w:szCs w:val="26"/>
              </w:rPr>
            </w:pPr>
          </w:p>
        </w:tc>
        <w:tc>
          <w:tcPr>
            <w:tcW w:w="2311" w:type="dxa"/>
            <w:shd w:val="clear" w:color="auto" w:fill="FABF8F" w:themeFill="accent6" w:themeFillTint="99"/>
            <w:vAlign w:val="center"/>
          </w:tcPr>
          <w:p w:rsidR="00594FEF" w:rsidRPr="00CE605C" w:rsidRDefault="00594FEF" w:rsidP="000101BD">
            <w:pPr>
              <w:spacing w:after="0" w:line="240" w:lineRule="auto"/>
              <w:rPr>
                <w:rFonts w:ascii="Arial" w:eastAsia="Calibri" w:hAnsi="Arial" w:cs="Arial"/>
                <w:sz w:val="26"/>
                <w:szCs w:val="26"/>
              </w:rPr>
            </w:pPr>
          </w:p>
        </w:tc>
        <w:tc>
          <w:tcPr>
            <w:tcW w:w="1901" w:type="dxa"/>
            <w:shd w:val="clear" w:color="auto" w:fill="FABF8F" w:themeFill="accent6" w:themeFillTint="99"/>
            <w:vAlign w:val="center"/>
          </w:tcPr>
          <w:p w:rsidR="00594FEF" w:rsidRPr="00CE605C" w:rsidRDefault="00594FEF" w:rsidP="000101BD">
            <w:pPr>
              <w:spacing w:after="0" w:line="240" w:lineRule="auto"/>
              <w:rPr>
                <w:rFonts w:ascii="Arial" w:eastAsia="Calibri" w:hAnsi="Arial" w:cs="Arial"/>
                <w:sz w:val="26"/>
                <w:szCs w:val="26"/>
              </w:rPr>
            </w:pPr>
          </w:p>
        </w:tc>
        <w:tc>
          <w:tcPr>
            <w:tcW w:w="1471" w:type="dxa"/>
            <w:shd w:val="clear" w:color="auto" w:fill="FABF8F" w:themeFill="accent6" w:themeFillTint="99"/>
            <w:vAlign w:val="center"/>
          </w:tcPr>
          <w:p w:rsidR="00594FEF" w:rsidRPr="00CE605C" w:rsidRDefault="00594FEF" w:rsidP="000101BD">
            <w:pPr>
              <w:spacing w:after="0" w:line="240" w:lineRule="auto"/>
              <w:rPr>
                <w:rFonts w:ascii="Arial" w:eastAsia="Calibri" w:hAnsi="Arial" w:cs="Arial"/>
                <w:sz w:val="26"/>
                <w:szCs w:val="26"/>
              </w:rPr>
            </w:pPr>
          </w:p>
        </w:tc>
      </w:tr>
      <w:tr w:rsidR="00594FEF" w:rsidRPr="00CE605C" w:rsidTr="000101BD">
        <w:trPr>
          <w:jc w:val="center"/>
        </w:trPr>
        <w:tc>
          <w:tcPr>
            <w:tcW w:w="7851" w:type="dxa"/>
            <w:shd w:val="clear" w:color="auto" w:fill="auto"/>
            <w:vAlign w:val="center"/>
          </w:tcPr>
          <w:p w:rsidR="00194AD9" w:rsidRPr="00194AD9" w:rsidRDefault="00194AD9" w:rsidP="00194AD9">
            <w:pPr>
              <w:widowControl w:val="0"/>
              <w:suppressAutoHyphens/>
              <w:spacing w:after="0"/>
              <w:ind w:left="169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Pakiet graficzny CorelDRAW Graphics Suite 2022 </w:t>
            </w: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dla jednostek edukacyjnych lub równoważny.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/>
              <w:ind w:left="169"/>
              <w:jc w:val="both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 xml:space="preserve">Parametry równoważności pakietu </w:t>
            </w:r>
            <w:r w:rsidRPr="00194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graficznego</w:t>
            </w:r>
            <w:r w:rsidRPr="00194AD9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:</w:t>
            </w:r>
          </w:p>
          <w:p w:rsidR="00194AD9" w:rsidRPr="00194AD9" w:rsidRDefault="00194AD9" w:rsidP="00194AD9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A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pakiet do projektowania graficznego do pracowni komputerowych w szkołach podstawowych i średnich – wersja edukacyjna;</w:t>
            </w:r>
          </w:p>
          <w:p w:rsidR="00194AD9" w:rsidRPr="00194AD9" w:rsidRDefault="00194AD9" w:rsidP="00194AD9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A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pełni kompatybilny z systemem Windows;</w:t>
            </w:r>
          </w:p>
          <w:p w:rsidR="00194AD9" w:rsidRPr="00194AD9" w:rsidRDefault="00194AD9" w:rsidP="00194AD9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A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 – miesięczna aktualizacja oraz licencja wieczysta (bezterminowa);</w:t>
            </w:r>
          </w:p>
          <w:p w:rsidR="00194AD9" w:rsidRPr="00194AD9" w:rsidRDefault="00194AD9" w:rsidP="00194AD9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A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obejmuje minimum zestaw narzędzi do tworzenia złożonych grafik wektorowych, edycji zdjęć, projektowania układów stron, kompozycji typograficznych, a także grafik internetowych oraz przygotowywania projektów do druku;</w:t>
            </w:r>
          </w:p>
          <w:p w:rsidR="00194AD9" w:rsidRPr="00194AD9" w:rsidRDefault="00194AD9" w:rsidP="00194AD9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A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dedykowany do tworzenia projektów szkolnych, a także tworzenia różnorodnych materiałów niezbędnych w każdej placówce edukacyjnej - logotypów, broszur, materiałów reklamowych, marketingowych, szkoleniowych, oznakowania i druku wielkoformatowego, grafik na pojazdy, odzieży i tekstylia, itp.;</w:t>
            </w:r>
          </w:p>
          <w:p w:rsidR="00194AD9" w:rsidRPr="00194AD9" w:rsidRDefault="00194AD9" w:rsidP="00194AD9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A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umożliwia pracę z dowolnego miejsca i łatwe udostępnianie materiałów;</w:t>
            </w:r>
          </w:p>
          <w:p w:rsidR="00194AD9" w:rsidRPr="00194AD9" w:rsidRDefault="00194AD9" w:rsidP="00194AD9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A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zestaw narzędzi zawierać będzie:</w:t>
            </w:r>
          </w:p>
          <w:p w:rsidR="00194AD9" w:rsidRPr="00194AD9" w:rsidRDefault="00194AD9" w:rsidP="00194AD9">
            <w:pPr>
              <w:widowControl w:val="0"/>
              <w:numPr>
                <w:ilvl w:val="1"/>
                <w:numId w:val="7"/>
              </w:numPr>
              <w:suppressAutoHyphens/>
              <w:spacing w:after="0" w:line="240" w:lineRule="auto"/>
              <w:ind w:lef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A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oprogramowanie do tworzenia grafiki wektorowej i przygotowania układów stron;</w:t>
            </w:r>
          </w:p>
          <w:p w:rsidR="00194AD9" w:rsidRPr="00194AD9" w:rsidRDefault="00194AD9" w:rsidP="00194AD9">
            <w:pPr>
              <w:widowControl w:val="0"/>
              <w:numPr>
                <w:ilvl w:val="1"/>
                <w:numId w:val="7"/>
              </w:numPr>
              <w:suppressAutoHyphens/>
              <w:spacing w:after="0" w:line="240" w:lineRule="auto"/>
              <w:ind w:lef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A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oprogramowanie do obróbki zdjęć, ich ulepszania i retuszowania;</w:t>
            </w:r>
          </w:p>
          <w:p w:rsidR="00194AD9" w:rsidRPr="00194AD9" w:rsidRDefault="00194AD9" w:rsidP="00194AD9">
            <w:pPr>
              <w:widowControl w:val="0"/>
              <w:numPr>
                <w:ilvl w:val="1"/>
                <w:numId w:val="7"/>
              </w:numPr>
              <w:suppressAutoHyphens/>
              <w:spacing w:after="0" w:line="240" w:lineRule="auto"/>
              <w:ind w:lef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A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oprogramowanie do przeglądania czcionek i zarządzania nimi;</w:t>
            </w:r>
          </w:p>
          <w:p w:rsidR="00194AD9" w:rsidRPr="00194AD9" w:rsidRDefault="00194AD9" w:rsidP="00194AD9">
            <w:pPr>
              <w:widowControl w:val="0"/>
              <w:numPr>
                <w:ilvl w:val="1"/>
                <w:numId w:val="7"/>
              </w:numPr>
              <w:suppressAutoHyphens/>
              <w:spacing w:after="0" w:line="240" w:lineRule="auto"/>
              <w:ind w:lef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A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oprogramowanie do przekształcania map bitowych w edytowalne grafiki wektorowe;</w:t>
            </w:r>
          </w:p>
          <w:p w:rsidR="00194AD9" w:rsidRPr="00194AD9" w:rsidRDefault="00194AD9" w:rsidP="00194AD9">
            <w:pPr>
              <w:widowControl w:val="0"/>
              <w:numPr>
                <w:ilvl w:val="1"/>
                <w:numId w:val="7"/>
              </w:numPr>
              <w:suppressAutoHyphens/>
              <w:spacing w:after="0" w:line="240" w:lineRule="auto"/>
              <w:ind w:lef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A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aplikację do projektowania graficznego online, pracy z dowolnego miejsca i udostępniania materiałów;</w:t>
            </w:r>
          </w:p>
          <w:p w:rsidR="00194AD9" w:rsidRPr="00194AD9" w:rsidRDefault="00194AD9" w:rsidP="00194AD9">
            <w:pPr>
              <w:widowControl w:val="0"/>
              <w:numPr>
                <w:ilvl w:val="1"/>
                <w:numId w:val="7"/>
              </w:numPr>
              <w:suppressAutoHyphens/>
              <w:spacing w:after="0" w:line="240" w:lineRule="auto"/>
              <w:ind w:lef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A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oprogramowanie do przechwytywania zawartości ekranu;</w:t>
            </w:r>
          </w:p>
          <w:p w:rsidR="00194AD9" w:rsidRPr="00194AD9" w:rsidRDefault="00194AD9" w:rsidP="00194AD9">
            <w:pPr>
              <w:widowControl w:val="0"/>
              <w:numPr>
                <w:ilvl w:val="1"/>
                <w:numId w:val="7"/>
              </w:numPr>
              <w:suppressAutoHyphens/>
              <w:spacing w:after="0" w:line="240" w:lineRule="auto"/>
              <w:ind w:lef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A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oprogramowanie do szybkiego edytowania zdjęć w formacie RAW;</w:t>
            </w:r>
          </w:p>
          <w:p w:rsidR="00194AD9" w:rsidRPr="00194AD9" w:rsidRDefault="00194AD9" w:rsidP="00194AD9">
            <w:pPr>
              <w:widowControl w:val="0"/>
              <w:numPr>
                <w:ilvl w:val="1"/>
                <w:numId w:val="7"/>
              </w:numPr>
              <w:suppressAutoHyphens/>
              <w:spacing w:after="0" w:line="240" w:lineRule="auto"/>
              <w:ind w:lef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A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aplikacje pomocnicze oraz materiały szkoleniowe.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/>
              <w:ind w:left="169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194AD9" w:rsidRPr="00194AD9" w:rsidRDefault="00194AD9" w:rsidP="00194AD9">
            <w:pPr>
              <w:widowControl w:val="0"/>
              <w:suppressAutoHyphens/>
              <w:spacing w:after="0"/>
              <w:ind w:left="169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Za oprogramowanie równoważne opisanemu w specyfikacji przy pomocy nazwy uznaje się oprogramowanie posiadające następujące cechy: 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/>
              <w:ind w:left="169" w:hanging="357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1.</w:t>
            </w: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ab/>
              <w:t>Warunki licencji w każdym aspekcie licencjonowania są nie gorsze niż licencja na oprogramowanie wskazane przez Zamawiającego.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/>
              <w:ind w:left="169" w:hanging="357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2.</w:t>
            </w: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ab/>
              <w:t>Zakres funkcjonalny oprogramowania jest w pełni zgodny z zakresem funkcjonalnym oprogramowania wskazanego przez Zamawiającego.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/>
              <w:ind w:left="169" w:hanging="357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3.</w:t>
            </w: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ab/>
              <w:t>Formaty danych wejściowych i wyjściowych są identyczne i odpowiadają przynajmniej liczbie i typowi formatów dla oprogramowania wskazanego przez Zamawiającego.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/>
              <w:ind w:left="169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194AD9" w:rsidRPr="00194AD9" w:rsidRDefault="00194AD9" w:rsidP="00194AD9">
            <w:pPr>
              <w:widowControl w:val="0"/>
              <w:suppressAutoHyphens/>
              <w:spacing w:after="0"/>
              <w:ind w:left="169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Wraz z produktem równoważnym Wykonawca jest zobowiązany do dostarczenia następujących dokumentów: 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/>
              <w:ind w:left="169" w:hanging="357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•</w:t>
            </w: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ab/>
              <w:t>pełnego postanowienia licencji/sublicencji produktu równoważnego,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/>
              <w:ind w:left="169" w:hanging="357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•</w:t>
            </w: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ab/>
              <w:t>pełnego wykazu funkcjonalności produktu równoważnego,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/>
              <w:ind w:left="169" w:hanging="357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•</w:t>
            </w: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ab/>
              <w:t>pełnych warunków i zasad świadczenia usług gwarancji, serwisu pogwarancyjnego, asysty technicznej i konserwacji dla produktu równoważnego.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/>
              <w:ind w:left="169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W przypadku zaoferowania przez Wykonawcę produktu równoważnego Wykonawca dokona wspólnie z Zamawiającym instalacji i testowania produktu równoważnego w środowisku sprzętowo-programowym Zamawiającego.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/>
              <w:ind w:left="169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194AD9" w:rsidRPr="00194AD9" w:rsidRDefault="00194AD9" w:rsidP="00194AD9">
            <w:pPr>
              <w:widowControl w:val="0"/>
              <w:suppressAutoHyphens/>
              <w:spacing w:after="0"/>
              <w:ind w:left="169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Dodatkowe wymagania dla produktu równoważnego: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/>
              <w:ind w:left="169" w:hanging="357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1.</w:t>
            </w: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ab/>
              <w:t>Nabycie licencji oprogramowania równoważnego pozwala na legalne używanie posiadanych przez Zamawiającego licencji oprogramowania.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/>
              <w:ind w:left="169" w:hanging="357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2.</w:t>
            </w: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ab/>
              <w:t>Oprogramowanie równoważne nie może zakłócić pracy środowiska systemowo-programowego Zamawiającego.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/>
              <w:ind w:left="169" w:hanging="357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3.</w:t>
            </w: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ab/>
              <w:t>Oprogramowanie równoważne musi być kompatybilne i w sposób niezakłócony współdziałać ze sprzętem i oprogramowaniem funkcjonującym u Zamawiającego.</w:t>
            </w:r>
          </w:p>
          <w:p w:rsidR="00194AD9" w:rsidRPr="00194AD9" w:rsidRDefault="00194AD9" w:rsidP="00194AD9">
            <w:pPr>
              <w:widowControl w:val="0"/>
              <w:suppressAutoHyphens/>
              <w:spacing w:after="0"/>
              <w:ind w:left="169" w:hanging="357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4.</w:t>
            </w: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ab/>
              <w:t>Oprogramowanie równoważne nie może powodować utraty kompatybilności oraz wsparcia producentów innego używanego i współpracującego z nim oprogramowaniem.</w:t>
            </w:r>
          </w:p>
          <w:p w:rsidR="00594FEF" w:rsidRPr="00194AD9" w:rsidRDefault="00194AD9" w:rsidP="00194AD9">
            <w:pPr>
              <w:widowControl w:val="0"/>
              <w:suppressAutoHyphens/>
              <w:spacing w:after="0"/>
              <w:ind w:left="169" w:hanging="357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5.</w:t>
            </w:r>
            <w:r w:rsidRPr="00194AD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ab/>
              <w:t>W przypadku, gdy zaoferowany przez Wykonawcę produkt równoważny nie będzie właściwie współdziałać ze sprzętem i oprogramowaniem funkcjonującym u Zamawiającego i/lub spowoduje zakłócenia w funkcjonowaniu pracy środowiska sprzętowo-programowego u Zamawiającego, Wykonawca pokryje wszystkie koszty związane z przywróceniem i sprawnym działaniem infrastruktury sprzętowo-programowej Zamawiającego oraz na własny koszt dokona niezbędnych modyfikacji przywracających właściwe działanie środowiska sprzętowo-programowego Zamawiającego również po usunięciu produktu równoważnego.</w:t>
            </w:r>
          </w:p>
        </w:tc>
        <w:tc>
          <w:tcPr>
            <w:tcW w:w="2442" w:type="dxa"/>
            <w:vAlign w:val="center"/>
          </w:tcPr>
          <w:p w:rsidR="00594FEF" w:rsidRPr="00CE605C" w:rsidRDefault="00594FEF" w:rsidP="000101BD">
            <w:pPr>
              <w:spacing w:after="0" w:line="240" w:lineRule="auto"/>
              <w:rPr>
                <w:rFonts w:ascii="Arial" w:eastAsia="Calibri" w:hAnsi="Arial" w:cs="Arial"/>
                <w:sz w:val="26"/>
                <w:szCs w:val="26"/>
              </w:rPr>
            </w:pPr>
          </w:p>
        </w:tc>
        <w:tc>
          <w:tcPr>
            <w:tcW w:w="2311" w:type="dxa"/>
            <w:vAlign w:val="center"/>
          </w:tcPr>
          <w:p w:rsidR="00594FEF" w:rsidRPr="00CE605C" w:rsidRDefault="00594FEF" w:rsidP="000101BD">
            <w:pPr>
              <w:spacing w:after="0" w:line="240" w:lineRule="auto"/>
              <w:rPr>
                <w:rFonts w:ascii="Arial" w:eastAsia="Calibri" w:hAnsi="Arial" w:cs="Arial"/>
                <w:sz w:val="26"/>
                <w:szCs w:val="26"/>
              </w:rPr>
            </w:pPr>
          </w:p>
        </w:tc>
        <w:tc>
          <w:tcPr>
            <w:tcW w:w="1901" w:type="dxa"/>
            <w:vAlign w:val="center"/>
          </w:tcPr>
          <w:p w:rsidR="00594FEF" w:rsidRPr="00CE605C" w:rsidRDefault="00594FEF" w:rsidP="000101BD">
            <w:pPr>
              <w:spacing w:after="0" w:line="240" w:lineRule="auto"/>
              <w:rPr>
                <w:rFonts w:ascii="Arial" w:eastAsia="Calibri" w:hAnsi="Arial" w:cs="Arial"/>
                <w:sz w:val="26"/>
                <w:szCs w:val="26"/>
              </w:rPr>
            </w:pPr>
          </w:p>
        </w:tc>
        <w:tc>
          <w:tcPr>
            <w:tcW w:w="1471" w:type="dxa"/>
            <w:vAlign w:val="center"/>
          </w:tcPr>
          <w:p w:rsidR="00594FEF" w:rsidRPr="00CE605C" w:rsidRDefault="00594FEF" w:rsidP="000101BD">
            <w:pPr>
              <w:spacing w:after="0" w:line="240" w:lineRule="auto"/>
              <w:rPr>
                <w:rFonts w:ascii="Arial" w:eastAsia="Calibri" w:hAnsi="Arial" w:cs="Arial"/>
                <w:sz w:val="26"/>
                <w:szCs w:val="26"/>
              </w:rPr>
            </w:pPr>
          </w:p>
        </w:tc>
      </w:tr>
    </w:tbl>
    <w:p w:rsidR="00594FEF" w:rsidRPr="00223BA3" w:rsidRDefault="00594FEF" w:rsidP="002406F7">
      <w:pPr>
        <w:widowControl w:val="0"/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6"/>
          <w:szCs w:val="26"/>
        </w:rPr>
      </w:pPr>
    </w:p>
    <w:sectPr w:rsidR="00594FEF" w:rsidRPr="00223BA3" w:rsidSect="00CE605C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F5E" w:rsidRDefault="00052F5E" w:rsidP="00CE605C">
      <w:pPr>
        <w:spacing w:after="0" w:line="240" w:lineRule="auto"/>
      </w:pPr>
      <w:r>
        <w:separator/>
      </w:r>
    </w:p>
  </w:endnote>
  <w:endnote w:type="continuationSeparator" w:id="0">
    <w:p w:rsidR="00052F5E" w:rsidRDefault="00052F5E" w:rsidP="00CE6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534250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223BA3" w:rsidRDefault="00223BA3" w:rsidP="00223BA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52F5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52F5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F5E" w:rsidRDefault="00052F5E" w:rsidP="00CE605C">
      <w:pPr>
        <w:spacing w:after="0" w:line="240" w:lineRule="auto"/>
      </w:pPr>
      <w:r>
        <w:separator/>
      </w:r>
    </w:p>
  </w:footnote>
  <w:footnote w:type="continuationSeparator" w:id="0">
    <w:p w:rsidR="00052F5E" w:rsidRDefault="00052F5E" w:rsidP="00CE6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05C" w:rsidRDefault="00CE605C" w:rsidP="00CE605C">
    <w:pPr>
      <w:pStyle w:val="Nagwek"/>
      <w:rPr>
        <w:rFonts w:ascii="Arial" w:hAnsi="Arial" w:cs="Arial"/>
        <w:b/>
        <w:sz w:val="24"/>
        <w:szCs w:val="24"/>
      </w:rPr>
    </w:pPr>
    <w:r w:rsidRPr="00745044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36C659CC" wp14:editId="726FC165">
          <wp:extent cx="638175" cy="716280"/>
          <wp:effectExtent l="0" t="0" r="0" b="0"/>
          <wp:docPr id="1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716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E605C" w:rsidRPr="00745044" w:rsidRDefault="00CE605C" w:rsidP="00CE605C">
    <w:pPr>
      <w:pStyle w:val="Nagwek"/>
      <w:tabs>
        <w:tab w:val="clear" w:pos="4536"/>
        <w:tab w:val="clear" w:pos="9072"/>
        <w:tab w:val="left" w:pos="10206"/>
      </w:tabs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ab/>
    </w:r>
    <w:r w:rsidR="0064220E">
      <w:rPr>
        <w:rFonts w:ascii="Arial" w:hAnsi="Arial" w:cs="Arial"/>
        <w:b/>
        <w:sz w:val="24"/>
        <w:szCs w:val="24"/>
      </w:rPr>
      <w:t>Załącznik nr 1A</w:t>
    </w:r>
    <w:r w:rsidRPr="00745044">
      <w:rPr>
        <w:rFonts w:ascii="Arial" w:hAnsi="Arial" w:cs="Arial"/>
        <w:b/>
        <w:sz w:val="24"/>
        <w:szCs w:val="24"/>
      </w:rPr>
      <w:t xml:space="preserve"> do SWZ </w:t>
    </w:r>
  </w:p>
  <w:p w:rsidR="00CE605C" w:rsidRPr="00CE605C" w:rsidRDefault="00CE605C" w:rsidP="00CE605C">
    <w:pPr>
      <w:pStyle w:val="Nagwek"/>
      <w:tabs>
        <w:tab w:val="clear" w:pos="4536"/>
        <w:tab w:val="clear" w:pos="9072"/>
        <w:tab w:val="left" w:pos="10206"/>
      </w:tabs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ab/>
    </w:r>
    <w:r w:rsidR="0064220E">
      <w:rPr>
        <w:rFonts w:ascii="Arial" w:hAnsi="Arial" w:cs="Arial"/>
        <w:b/>
        <w:sz w:val="24"/>
        <w:szCs w:val="24"/>
      </w:rPr>
      <w:t>Formularz zgodności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A3F24"/>
    <w:multiLevelType w:val="hybridMultilevel"/>
    <w:tmpl w:val="0A361048"/>
    <w:lvl w:ilvl="0" w:tplc="19A8A9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55747C"/>
    <w:multiLevelType w:val="hybridMultilevel"/>
    <w:tmpl w:val="E806AC08"/>
    <w:lvl w:ilvl="0" w:tplc="0415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1DE92BD5"/>
    <w:multiLevelType w:val="hybridMultilevel"/>
    <w:tmpl w:val="0DB2A1D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7DB49C4"/>
    <w:multiLevelType w:val="hybridMultilevel"/>
    <w:tmpl w:val="2D602420"/>
    <w:lvl w:ilvl="0" w:tplc="0415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>
    <w:nsid w:val="29350F52"/>
    <w:multiLevelType w:val="hybridMultilevel"/>
    <w:tmpl w:val="192CF81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DDA3B34"/>
    <w:multiLevelType w:val="hybridMultilevel"/>
    <w:tmpl w:val="DCF08D9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33AA4B0C"/>
    <w:multiLevelType w:val="multilevel"/>
    <w:tmpl w:val="9E3CE2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33DE76E6"/>
    <w:multiLevelType w:val="multilevel"/>
    <w:tmpl w:val="74D6B5D2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bCs/>
        <w:sz w:val="23"/>
        <w:szCs w:val="23"/>
      </w:rPr>
    </w:lvl>
  </w:abstractNum>
  <w:abstractNum w:abstractNumId="8">
    <w:nsid w:val="4CB51329"/>
    <w:multiLevelType w:val="hybridMultilevel"/>
    <w:tmpl w:val="6AE8D01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05C"/>
    <w:rsid w:val="00052F5E"/>
    <w:rsid w:val="000A29AD"/>
    <w:rsid w:val="001701F7"/>
    <w:rsid w:val="00194AD9"/>
    <w:rsid w:val="00223BA3"/>
    <w:rsid w:val="002406F7"/>
    <w:rsid w:val="002F370E"/>
    <w:rsid w:val="003A3C6E"/>
    <w:rsid w:val="00594FEF"/>
    <w:rsid w:val="005C0CA9"/>
    <w:rsid w:val="006134AF"/>
    <w:rsid w:val="0064220E"/>
    <w:rsid w:val="006F0CB3"/>
    <w:rsid w:val="007877EF"/>
    <w:rsid w:val="009B1A66"/>
    <w:rsid w:val="009D1D23"/>
    <w:rsid w:val="00C6087F"/>
    <w:rsid w:val="00CE605C"/>
    <w:rsid w:val="00F1406C"/>
    <w:rsid w:val="00FF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6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605C"/>
  </w:style>
  <w:style w:type="paragraph" w:styleId="Stopka">
    <w:name w:val="footer"/>
    <w:basedOn w:val="Normalny"/>
    <w:link w:val="StopkaZnak"/>
    <w:uiPriority w:val="99"/>
    <w:unhideWhenUsed/>
    <w:rsid w:val="00CE6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605C"/>
  </w:style>
  <w:style w:type="paragraph" w:styleId="Tekstdymka">
    <w:name w:val="Balloon Text"/>
    <w:basedOn w:val="Normalny"/>
    <w:link w:val="TekstdymkaZnak"/>
    <w:uiPriority w:val="99"/>
    <w:semiHidden/>
    <w:unhideWhenUsed/>
    <w:rsid w:val="00CE60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60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6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605C"/>
  </w:style>
  <w:style w:type="paragraph" w:styleId="Stopka">
    <w:name w:val="footer"/>
    <w:basedOn w:val="Normalny"/>
    <w:link w:val="StopkaZnak"/>
    <w:uiPriority w:val="99"/>
    <w:unhideWhenUsed/>
    <w:rsid w:val="00CE6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605C"/>
  </w:style>
  <w:style w:type="paragraph" w:styleId="Tekstdymka">
    <w:name w:val="Balloon Text"/>
    <w:basedOn w:val="Normalny"/>
    <w:link w:val="TekstdymkaZnak"/>
    <w:uiPriority w:val="99"/>
    <w:semiHidden/>
    <w:unhideWhenUsed/>
    <w:rsid w:val="00CE60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60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31B0C-0DD0-4824-8885-98859BBDC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17</Pages>
  <Words>2946</Words>
  <Characters>17681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4</cp:revision>
  <dcterms:created xsi:type="dcterms:W3CDTF">2022-10-07T08:33:00Z</dcterms:created>
  <dcterms:modified xsi:type="dcterms:W3CDTF">2022-10-07T12:31:00Z</dcterms:modified>
</cp:coreProperties>
</file>