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F079CB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F079CB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) na potrzeby postępowania </w:t>
      </w:r>
      <w:r w:rsidR="00F079C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F2441" w:rsidRPr="009F2441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9F2441" w:rsidRPr="009F2441">
        <w:rPr>
          <w:rFonts w:ascii="Arial" w:hAnsi="Arial" w:cs="Arial"/>
          <w:b/>
          <w:sz w:val="24"/>
          <w:szCs w:val="24"/>
        </w:rPr>
        <w:t>msc</w:t>
      </w:r>
      <w:proofErr w:type="spellEnd"/>
      <w:r w:rsidR="009F2441" w:rsidRPr="009F2441">
        <w:rPr>
          <w:rFonts w:ascii="Arial" w:hAnsi="Arial" w:cs="Arial"/>
          <w:b/>
          <w:sz w:val="24"/>
          <w:szCs w:val="24"/>
        </w:rPr>
        <w:t>. Nowosielec etap I – b</w:t>
      </w:r>
      <w:r w:rsidR="009F2441" w:rsidRPr="009F2441">
        <w:rPr>
          <w:rFonts w:ascii="Arial" w:hAnsi="Arial" w:cs="Arial"/>
          <w:b/>
          <w:sz w:val="24"/>
          <w:szCs w:val="24"/>
        </w:rPr>
        <w:t>u</w:t>
      </w:r>
      <w:r w:rsidR="009F2441" w:rsidRPr="009F2441">
        <w:rPr>
          <w:rFonts w:ascii="Arial" w:hAnsi="Arial" w:cs="Arial"/>
          <w:b/>
          <w:sz w:val="24"/>
          <w:szCs w:val="24"/>
        </w:rPr>
        <w:t>dowa drogi gminnej wraz z oświetleniem drogowym”</w:t>
      </w:r>
      <w:r w:rsidR="009F2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nę Nisko:</w:t>
      </w:r>
    </w:p>
    <w:p w:rsidR="00D868D6" w:rsidRDefault="00D868D6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9F2441" w:rsidRDefault="009F244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</w:t>
      </w:r>
      <w:r w:rsidR="00F079CB">
        <w:rPr>
          <w:rFonts w:ascii="Arial" w:eastAsiaTheme="minorHAnsi" w:hAnsi="Arial" w:cs="Arial"/>
          <w:i/>
          <w:iCs/>
          <w:lang w:eastAsia="en-US"/>
        </w:rPr>
        <w:br/>
      </w:r>
      <w:r>
        <w:rPr>
          <w:rFonts w:ascii="Arial" w:eastAsiaTheme="minorHAnsi" w:hAnsi="Arial" w:cs="Arial"/>
          <w:i/>
          <w:iCs/>
          <w:lang w:eastAsia="en-US"/>
        </w:rPr>
        <w:t xml:space="preserve">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  <w:bookmarkStart w:id="0" w:name="_GoBack"/>
      <w:bookmarkEnd w:id="0"/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 w:rsidSect="009F2441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28" w:rsidRDefault="007F0128">
      <w:r>
        <w:separator/>
      </w:r>
    </w:p>
  </w:endnote>
  <w:endnote w:type="continuationSeparator" w:id="0">
    <w:p w:rsidR="007F0128" w:rsidRDefault="007F0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441" w:rsidRDefault="009F2441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 wp14:anchorId="566A3CC5" wp14:editId="44AA2EC7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28" w:rsidRDefault="007F0128">
      <w:r>
        <w:separator/>
      </w:r>
    </w:p>
  </w:footnote>
  <w:footnote w:type="continuationSeparator" w:id="0">
    <w:p w:rsidR="007F0128" w:rsidRDefault="007F0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7F0128"/>
    <w:rsid w:val="0094080E"/>
    <w:rsid w:val="009F2441"/>
    <w:rsid w:val="00A71088"/>
    <w:rsid w:val="00AA3029"/>
    <w:rsid w:val="00D868D6"/>
    <w:rsid w:val="00F079CB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44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4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56B3F-FD24-4139-8E4C-D938C875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dcterms:created xsi:type="dcterms:W3CDTF">2022-05-09T10:53:00Z</dcterms:created>
  <dcterms:modified xsi:type="dcterms:W3CDTF">2022-05-09T10:54:00Z</dcterms:modified>
  <dc:language>pl-PL</dc:language>
</cp:coreProperties>
</file>