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B" w:rsidRDefault="0083603B" w:rsidP="0012347D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Dział II. SIWZ.</w:t>
      </w:r>
    </w:p>
    <w:p w:rsidR="006F419E" w:rsidRDefault="006F419E" w:rsidP="0012347D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Część nr 4</w:t>
      </w:r>
      <w:r w:rsidR="0083603B">
        <w:rPr>
          <w:rFonts w:ascii="Arial" w:hAnsi="Arial" w:cs="Arial"/>
          <w:b/>
          <w:sz w:val="20"/>
          <w:szCs w:val="20"/>
          <w:lang w:val="pl-PL"/>
        </w:rPr>
        <w:t>.</w:t>
      </w:r>
      <w:r w:rsidR="000B2926">
        <w:rPr>
          <w:rFonts w:ascii="Arial" w:hAnsi="Arial" w:cs="Arial"/>
          <w:b/>
          <w:sz w:val="20"/>
          <w:szCs w:val="20"/>
          <w:lang w:val="pl-PL"/>
        </w:rPr>
        <w:t xml:space="preserve"> Dostawa i konfiguracja przełączników sieciowych</w:t>
      </w:r>
    </w:p>
    <w:p w:rsidR="001B228D" w:rsidRPr="00293279" w:rsidRDefault="001B228D" w:rsidP="001B228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val="pl-PL" w:eastAsia="en-GB"/>
        </w:rPr>
      </w:pPr>
      <w:r w:rsidRPr="00293279">
        <w:rPr>
          <w:rFonts w:ascii="Verdana" w:eastAsia="Calibri" w:hAnsi="Verdana" w:cs="Times New Roman"/>
          <w:sz w:val="20"/>
          <w:szCs w:val="20"/>
          <w:lang w:val="pl-PL"/>
        </w:rPr>
        <w:t xml:space="preserve">1.  Dostarczone w ramach niniejszej umowy przełączniki sieciowe muszą być </w:t>
      </w:r>
      <w:r w:rsidRPr="00293279">
        <w:rPr>
          <w:rFonts w:ascii="Verdana" w:eastAsia="Times New Roman" w:hAnsi="Verdana" w:cs="Times New Roman"/>
          <w:sz w:val="20"/>
          <w:szCs w:val="20"/>
          <w:lang w:val="pl-PL" w:eastAsia="en-GB"/>
        </w:rPr>
        <w:t xml:space="preserve">nowe, gotowe do używania i nie wycofany z rynku, będący w bieżącej produkcji. </w:t>
      </w:r>
    </w:p>
    <w:p w:rsidR="001B228D" w:rsidRPr="00293279" w:rsidRDefault="001B228D" w:rsidP="001B228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  <w:r w:rsidRPr="00293279">
        <w:rPr>
          <w:rFonts w:ascii="Verdana" w:eastAsia="Calibri" w:hAnsi="Verdana" w:cs="Times New Roman"/>
          <w:sz w:val="20"/>
          <w:szCs w:val="20"/>
          <w:lang w:val="pl-PL"/>
        </w:rPr>
        <w:t>2.  Dostawa i konfiguracja zrealizowane zostaną zgodnie:</w:t>
      </w:r>
    </w:p>
    <w:p w:rsidR="001B228D" w:rsidRPr="00293279" w:rsidRDefault="001B228D" w:rsidP="001B22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  <w:r w:rsidRPr="00293279">
        <w:rPr>
          <w:rFonts w:ascii="Verdana" w:eastAsia="Calibri" w:hAnsi="Verdana" w:cs="Times New Roman"/>
          <w:sz w:val="20"/>
          <w:szCs w:val="20"/>
          <w:lang w:val="pl-PL"/>
        </w:rPr>
        <w:t>2.1. z zachowaniem Polskich Norm przenosz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>ą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cych normy europejskie lub normy innych pa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>ń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stw członkowskich Europejskiego Obszaru Gospodarczego zgodnie z art. 30 Ustawy Prawo Zamówie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 xml:space="preserve">ń 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 xml:space="preserve"> Publicznych,</w:t>
      </w:r>
    </w:p>
    <w:p w:rsidR="001B228D" w:rsidRPr="00293279" w:rsidRDefault="001B228D" w:rsidP="001B22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  <w:r w:rsidRPr="00293279">
        <w:rPr>
          <w:rFonts w:ascii="Verdana" w:eastAsia="Calibri" w:hAnsi="Verdana" w:cs="Times New Roman"/>
          <w:sz w:val="20"/>
          <w:szCs w:val="20"/>
          <w:lang w:val="pl-PL"/>
        </w:rPr>
        <w:t>2.2. z opisem przedmiotu zamówienia, stanowiącym załącznik nr 1 do umowy i jej integralną część.</w:t>
      </w:r>
    </w:p>
    <w:p w:rsidR="001B228D" w:rsidRPr="00293279" w:rsidRDefault="001B228D" w:rsidP="001B22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Calibri" w:hAnsi="Verdana" w:cs="Times New Roman"/>
          <w:sz w:val="20"/>
          <w:szCs w:val="20"/>
          <w:lang w:val="pl-PL"/>
        </w:rPr>
      </w:pPr>
      <w:r w:rsidRPr="00293279">
        <w:rPr>
          <w:rFonts w:ascii="Verdana" w:eastAsia="Calibri" w:hAnsi="Verdana" w:cs="Times New Roman"/>
          <w:sz w:val="20"/>
          <w:szCs w:val="20"/>
          <w:lang w:val="pl-PL"/>
        </w:rPr>
        <w:t>2.3. ze zło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>ż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on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 xml:space="preserve">ą 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ofert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 xml:space="preserve">ą 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przetargow</w:t>
      </w:r>
      <w:r w:rsidRPr="00293279">
        <w:rPr>
          <w:rFonts w:ascii="Verdana" w:eastAsia="TimesNewRoman" w:hAnsi="Verdana" w:cs="TimesNewRoman"/>
          <w:sz w:val="20"/>
          <w:szCs w:val="20"/>
          <w:lang w:val="pl-PL"/>
        </w:rPr>
        <w:t>ą</w:t>
      </w:r>
      <w:r w:rsidRPr="00293279">
        <w:rPr>
          <w:rFonts w:ascii="Verdana" w:eastAsia="Calibri" w:hAnsi="Verdana" w:cs="Times New Roman"/>
          <w:sz w:val="20"/>
          <w:szCs w:val="20"/>
          <w:lang w:val="pl-PL"/>
        </w:rPr>
        <w:t>, stanowiącą załącznik nr 2 do umowy i jej integralną część.</w:t>
      </w:r>
    </w:p>
    <w:p w:rsidR="001B228D" w:rsidRDefault="001B228D" w:rsidP="001B228D">
      <w:pPr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293279">
        <w:rPr>
          <w:rFonts w:ascii="Verdana" w:eastAsia="Times New Roman" w:hAnsi="Verdana" w:cs="Times New Roman"/>
          <w:sz w:val="20"/>
          <w:szCs w:val="20"/>
          <w:lang w:val="pl-PL" w:eastAsia="ar-SA"/>
        </w:rPr>
        <w:t>3.</w:t>
      </w:r>
      <w:r w:rsidRPr="00293279">
        <w:rPr>
          <w:rFonts w:ascii="Verdana" w:eastAsia="Times New Roman" w:hAnsi="Verdana" w:cs="Times New Roman"/>
          <w:color w:val="FF0000"/>
          <w:sz w:val="20"/>
          <w:szCs w:val="20"/>
          <w:lang w:val="pl-PL" w:eastAsia="ar-SA"/>
        </w:rPr>
        <w:t xml:space="preserve"> </w:t>
      </w:r>
      <w:r w:rsidRPr="00293279">
        <w:rPr>
          <w:rFonts w:ascii="Verdana" w:eastAsia="Times New Roman" w:hAnsi="Verdana" w:cs="Times New Roman"/>
          <w:sz w:val="20"/>
          <w:szCs w:val="20"/>
          <w:lang w:val="pl-PL" w:eastAsia="ar-SA"/>
        </w:rPr>
        <w:t>W dniu podpisania protokołu zdawczo-odbiorczego, Wykonawca dostarczy Zamawiającemu instrukcje obsługi w języku polskim, wymagane deklaracje zgodności oraz karty gwarancyjne. W przypadku braku wskazanych dokumentów Zamawiający może odstąpić od umowy.</w:t>
      </w:r>
      <w:bookmarkStart w:id="0" w:name="_GoBack"/>
      <w:bookmarkEnd w:id="0"/>
    </w:p>
    <w:p w:rsidR="004B24D0" w:rsidRPr="001B228D" w:rsidRDefault="0012347D" w:rsidP="001B228D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pl-PL"/>
        </w:rPr>
      </w:pPr>
      <w:r w:rsidRPr="001B228D">
        <w:rPr>
          <w:rFonts w:ascii="Arial" w:hAnsi="Arial" w:cs="Arial"/>
          <w:b/>
          <w:sz w:val="20"/>
          <w:szCs w:val="20"/>
          <w:lang w:val="pl-PL"/>
        </w:rPr>
        <w:t xml:space="preserve">Przełącznik sieciowy </w:t>
      </w:r>
      <w:r w:rsidR="00537CCF" w:rsidRPr="001B228D">
        <w:rPr>
          <w:rFonts w:ascii="Arial" w:hAnsi="Arial" w:cs="Arial"/>
          <w:b/>
          <w:sz w:val="20"/>
          <w:szCs w:val="20"/>
          <w:lang w:val="pl-PL"/>
        </w:rPr>
        <w:t>48</w:t>
      </w:r>
      <w:r w:rsidR="003B2DE8" w:rsidRPr="001B228D">
        <w:rPr>
          <w:rFonts w:ascii="Arial" w:hAnsi="Arial" w:cs="Arial"/>
          <w:b/>
          <w:sz w:val="20"/>
          <w:szCs w:val="20"/>
          <w:lang w:val="pl-PL"/>
        </w:rPr>
        <w:t>portów</w:t>
      </w:r>
      <w:r w:rsidRPr="001B228D">
        <w:rPr>
          <w:rFonts w:ascii="Arial" w:hAnsi="Arial" w:cs="Arial"/>
          <w:b/>
          <w:sz w:val="20"/>
          <w:szCs w:val="20"/>
          <w:lang w:val="pl-PL"/>
        </w:rPr>
        <w:t xml:space="preserve"> – 4 sztuki</w:t>
      </w:r>
    </w:p>
    <w:p w:rsidR="004E7BF4" w:rsidRPr="0083603B" w:rsidRDefault="004E7BF4" w:rsidP="004E7BF4">
      <w:pPr>
        <w:pStyle w:val="Akapitzlist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4E7BF4" w:rsidRPr="0083603B" w:rsidRDefault="004E7BF4" w:rsidP="004E7BF4">
      <w:pPr>
        <w:pStyle w:val="Akapitzlist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83603B">
        <w:rPr>
          <w:rFonts w:ascii="Arial" w:eastAsia="Calibri" w:hAnsi="Arial" w:cs="Arial"/>
          <w:b/>
          <w:sz w:val="20"/>
          <w:szCs w:val="20"/>
          <w:lang w:val="pl-PL"/>
        </w:rPr>
        <w:t>Producent…………………………………model………………………………………</w:t>
      </w:r>
    </w:p>
    <w:p w:rsidR="004E7BF4" w:rsidRPr="001B228D" w:rsidRDefault="004E7BF4" w:rsidP="004E7BF4">
      <w:pPr>
        <w:rPr>
          <w:rFonts w:ascii="Arial" w:hAnsi="Arial" w:cs="Arial"/>
          <w:b/>
          <w:sz w:val="20"/>
          <w:szCs w:val="20"/>
          <w:lang w:val="pl-PL"/>
        </w:rPr>
      </w:pPr>
      <w:r w:rsidRPr="0083603B">
        <w:rPr>
          <w:rFonts w:ascii="Arial" w:hAnsi="Arial" w:cs="Arial"/>
          <w:b/>
          <w:sz w:val="20"/>
          <w:szCs w:val="20"/>
          <w:lang w:val="pl-PL"/>
        </w:rPr>
        <w:t xml:space="preserve">           Cena jednostkowa brutto………….…. </w:t>
      </w:r>
      <w:r w:rsidRPr="001B228D">
        <w:rPr>
          <w:rFonts w:ascii="Arial" w:hAnsi="Arial" w:cs="Arial"/>
          <w:b/>
          <w:sz w:val="20"/>
          <w:szCs w:val="20"/>
          <w:lang w:val="pl-PL"/>
        </w:rPr>
        <w:t>X 4 sztuki = …………..…………………….</w:t>
      </w:r>
    </w:p>
    <w:p w:rsidR="004E7BF4" w:rsidRPr="004E7BF4" w:rsidRDefault="004E7BF4" w:rsidP="004E7BF4">
      <w:pPr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  <w:r w:rsidRPr="001B228D">
        <w:rPr>
          <w:rFonts w:ascii="Arial" w:eastAsia="Calibri" w:hAnsi="Arial" w:cs="Arial"/>
          <w:i/>
          <w:color w:val="FF0000"/>
          <w:sz w:val="20"/>
          <w:szCs w:val="20"/>
          <w:lang w:val="pl-PL"/>
        </w:rPr>
        <w:t xml:space="preserve">                                                  </w:t>
      </w:r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(</w:t>
      </w:r>
      <w:proofErr w:type="spellStart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wypełnia</w:t>
      </w:r>
      <w:proofErr w:type="spellEnd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Wykonawca</w:t>
      </w:r>
      <w:proofErr w:type="spellEnd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)</w:t>
      </w: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739"/>
        <w:gridCol w:w="376"/>
        <w:gridCol w:w="9205"/>
      </w:tblGrid>
      <w:tr w:rsidR="00537CCF" w:rsidRPr="0012347D" w:rsidTr="004E7BF4">
        <w:trPr>
          <w:trHeight w:val="315"/>
          <w:jc w:val="center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7CCF" w:rsidRPr="0012347D" w:rsidTr="004E7BF4">
        <w:trPr>
          <w:trHeight w:val="28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Komponent</w:t>
            </w:r>
            <w:proofErr w:type="spellEnd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Minimalne</w:t>
            </w:r>
            <w:proofErr w:type="spellEnd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wymagania</w:t>
            </w:r>
            <w:proofErr w:type="spellEnd"/>
          </w:p>
        </w:tc>
      </w:tr>
      <w:tr w:rsidR="00537CCF" w:rsidRPr="001B228D" w:rsidTr="004E7BF4">
        <w:trPr>
          <w:trHeight w:val="46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Do montażu w szafie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19", o wysokości nie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wiecej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niż 1U, wraz z kompletem odpowiednich szyn, wyposażona w zintegrowany zasilacz </w:t>
            </w:r>
            <w:r w:rsidR="004F387D"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 mocy nie przekraczającej 100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W.</w:t>
            </w:r>
          </w:p>
        </w:tc>
      </w:tr>
      <w:tr w:rsidR="00537CCF" w:rsidRPr="0012347D" w:rsidTr="004E7BF4">
        <w:trPr>
          <w:trHeight w:val="671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Porty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Minimum 48 porty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GigabitEthernet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 standardzie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minimum 4 zintegrowane porty 10Gb Ethernet SFP+, możliwość dedykowania dwóch portów 10Gb Ethernet SFP+ w celu połączenia przełączników w stos , minimum 1 port USB do konfiguracji przełącznika, 1 port RJ45 do portu konsoli wraz z odpowiednim kablem RJ45-RS232.</w:t>
            </w:r>
          </w:p>
          <w:p w:rsidR="00AC20F9" w:rsidRPr="0012347D" w:rsidRDefault="00AC20F9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:rsidR="00AC20F9" w:rsidRPr="0012347D" w:rsidRDefault="00AC20F9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Wymagane jest dostarczenie odpowiednich wkładek 10Gb oraz kabli w celu utworzenia stosu z czterech przełączników w topologii pierścienia (ang. Ring).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537CCF" w:rsidRPr="0012347D" w:rsidTr="004E7BF4">
        <w:trPr>
          <w:trHeight w:val="630"/>
          <w:jc w:val="center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Wydajność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przełacznika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Minimum 16000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adresów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switch fabric capacity min. 176Gbps w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trybie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full-duplex)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forwarding rate min. 164Mbps</w:t>
            </w:r>
          </w:p>
        </w:tc>
      </w:tr>
      <w:tr w:rsidR="00537CCF" w:rsidRPr="001B228D" w:rsidTr="004E7BF4">
        <w:trPr>
          <w:trHeight w:val="1110"/>
          <w:jc w:val="center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pamięć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256MB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bufor pamięci dla pakietów minimum 1.5MB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pamięć procesora minimum 1GB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obsługa minimum 512 wirtualnych sieci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 xml:space="preserve">- </w:t>
            </w:r>
            <w:r w:rsidR="00DA5900"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połączenia w stos min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875081"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urządzeń tego samego typu</w:t>
            </w:r>
          </w:p>
        </w:tc>
      </w:tr>
      <w:tr w:rsidR="00537CCF" w:rsidRPr="0012347D" w:rsidTr="004E7BF4">
        <w:trPr>
          <w:trHeight w:val="4679"/>
          <w:jc w:val="center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Zgodność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protokołami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802.1AB LLDP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802.1D Bridging, Spanning Tree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802.1p Ethernet Priority (User Provisioning and Mapping)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802.1Q VLAN Tagging, Double VLAN Tagging, GVRP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802.1S Multiple Spanning Tree (MSTP)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802.1v Protocol-based VLANs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802.1W Rapid Spanning Tree (RSTP)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BPDU guard, BPDU filtering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802.1X Network Access Control, Auto VLAN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802.2 Logical Link Control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 10BASE-T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802.3ab Gigabit Ethernet (1000BASE-T)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802.3ac Frame Extensions for VLAN Tagging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802.3ad Link Aggregation with LACP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802.3ae 10 Gigabit Ethernet (10GBASE-X)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802.3AX LAG Load Balancing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802.3az Energy Efficient Ethernet (EEE)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802.3u Fast Ethernet (100BASE-TX) on Management Ports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802.3x Flow Control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802.3z Gigabit Ethernet (1000BASE-X)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ANSI LLDP-MED (TIA-1057)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MTU 9,216 byte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7CCF" w:rsidRPr="0012347D" w:rsidTr="004E7BF4">
        <w:trPr>
          <w:trHeight w:val="3225"/>
          <w:jc w:val="center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Field                  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Architecture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47D">
              <w:rPr>
                <w:rFonts w:ascii="Arial" w:hAnsi="Arial" w:cs="Arial"/>
                <w:sz w:val="20"/>
                <w:szCs w:val="20"/>
              </w:rPr>
              <w:t xml:space="preserve">Assured </w:t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PHB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hAnsi="Arial" w:cs="Arial"/>
                <w:sz w:val="20"/>
                <w:szCs w:val="20"/>
              </w:rPr>
              <w:t xml:space="preserve">Port Based </w:t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</w:p>
        </w:tc>
      </w:tr>
      <w:tr w:rsidR="00537CCF" w:rsidRPr="0012347D" w:rsidTr="004E7BF4">
        <w:trPr>
          <w:trHeight w:val="242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Zarządzanie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siecią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1155 SMIv1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1157 SNMPv1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1212 Concise MIB Definitions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1213 MIB-II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1215 SNMP Traps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1286 Bridge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1442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1451 Manager-to-Manager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1492 TACACS+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1493 Managed Objects for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Bridges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1573 Evolution of Interfaces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1612 DNS Resolver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1643 Ethernet-like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1757 RMON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1867 HTML/2.0 Forms with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File Upload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1901 Community-based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SNMPv2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1907 SNMPv2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1908 Coexistence Between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SNMPv1/v2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2011 IP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2012 TCP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2013 UDP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2068  HTTP/1.1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2096 IP Forwarding Table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2233 Interfaces Group using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SMIv2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2246  TLS 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2271 SNMP Framework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2295 Transport Content Negotiation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2296  Remote Variant  Selection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2346  AES </w:t>
            </w:r>
            <w:proofErr w:type="spellStart"/>
            <w:r w:rsidRPr="0012347D">
              <w:rPr>
                <w:rFonts w:ascii="Arial" w:eastAsia="Times New Roman" w:hAnsi="Arial" w:cs="Arial"/>
                <w:sz w:val="20"/>
                <w:szCs w:val="20"/>
              </w:rPr>
              <w:t>Ciphersuites</w:t>
            </w:r>
            <w:proofErr w:type="spellEnd"/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 for TLS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2576 Coexistence Between SNMPv1/v2/v3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2578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2579 Textual Conventions for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2580 Conformance Statements for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2613 RMON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2618 RADIUS Authentication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2620 RADIUS Accounting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2665 Ethernet-like Interfaces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2674 Extended Bridge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819 RMON MIB (groups 1, 2, 3, 9)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2863 Interfaces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2865 RADIUS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2866 RADIUS Accounting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2868 RADIUS Attributes for  Tunnel Prot.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2869 RADIUS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3410 Internet Standard  Mgmt. Framework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3411  SNMP Management Framework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3412 Message Processing and Dispatching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3413 SNMP Applications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3414 User-based security model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3415 View-based control model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3416 SNMPv2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3418 SNMP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3577 RMON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3580 802.1X with RADIUS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3737  Registry of RMOM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4086 Randomness Requirements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4113 UDP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4251 SSHv2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4252 SSHv2 Authentication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4253 SSHv2 Transport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4254 SSHv2 Connection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4419 SSHv2 Transport Layer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4521 LDAP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4716 SECSH Public Key File Format</w:t>
            </w:r>
          </w:p>
        </w:tc>
      </w:tr>
      <w:tr w:rsidR="00537CCF" w:rsidRPr="001B228D" w:rsidTr="004E7BF4">
        <w:trPr>
          <w:trHeight w:val="72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Warunki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-Wydajność pracy zasilaczy na poziomie min. 80%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 xml:space="preserve">- temperatura pracy w zakresie od 0 do 45 stopni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celcjusza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wilgotność dla trybu pracy 85%</w:t>
            </w:r>
          </w:p>
        </w:tc>
      </w:tr>
      <w:tr w:rsidR="00537CCF" w:rsidRPr="001B228D" w:rsidTr="004E7BF4">
        <w:trPr>
          <w:trHeight w:val="87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Certyfikaty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standardy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Zamawiający wymaga aby oferowany przełącznik: 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został wyprodukowany zgodnie z normą  ISO-9001 oraz ISO-14001 (dokumenty załączyć do oferty)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posiadał deklarację CE (dokument załączyć do oferty)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 xml:space="preserve">- jest zgodny z standardem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(oświadczenie producenta lub przedstawiciela producenta załączyć do oferty)</w:t>
            </w:r>
          </w:p>
        </w:tc>
      </w:tr>
      <w:tr w:rsidR="00537CCF" w:rsidRPr="001B228D" w:rsidTr="004E7BF4">
        <w:trPr>
          <w:trHeight w:val="769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Gwarancja czasu życia (Limited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Lifetime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warranty) obejmująca: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przełącznik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zasilacze i wiatraki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moduły SFP, SFP+ i QSFP+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bezterminowy dostęp do nowych wersji oprogramowania</w:t>
            </w:r>
          </w:p>
        </w:tc>
      </w:tr>
      <w:tr w:rsidR="003B2DE8" w:rsidRPr="0012347D" w:rsidTr="004E7BF4">
        <w:trPr>
          <w:trHeight w:val="40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E8" w:rsidRPr="0012347D" w:rsidRDefault="003B2DE8" w:rsidP="00CB2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Oświadczenia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2DE8" w:rsidRPr="0012347D" w:rsidRDefault="003B2DE8" w:rsidP="00CB2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Oświadczenie producenta serwera, że w przypadku nie wywiązywania się z obowiązków gwarancyjnych oferenta lub firmy serwisującej, przejmie na siebie wszelkie zobowiązania związane z serwisem. Należy dołączyć do oferty.</w:t>
            </w:r>
          </w:p>
        </w:tc>
      </w:tr>
    </w:tbl>
    <w:p w:rsidR="003B2DE8" w:rsidRPr="0012347D" w:rsidRDefault="003B2DE8">
      <w:pPr>
        <w:rPr>
          <w:rFonts w:ascii="Arial" w:hAnsi="Arial" w:cs="Arial"/>
          <w:sz w:val="20"/>
          <w:szCs w:val="20"/>
          <w:lang w:val="pl-PL"/>
        </w:rPr>
      </w:pPr>
      <w:r w:rsidRPr="0012347D">
        <w:rPr>
          <w:rFonts w:ascii="Arial" w:eastAsia="Calibri" w:hAnsi="Arial" w:cs="Arial"/>
          <w:color w:val="000000"/>
          <w:sz w:val="20"/>
          <w:szCs w:val="20"/>
          <w:lang w:val="pl-PL"/>
        </w:rPr>
        <w:t>Oświadczenie producenta , że w przypadku nie wywiązywania się z obowiązków gwarancyjnych oferenta lub firmy serwisującej, przejmie na siebie wszelkie zobowiązania związane z serwisem.</w:t>
      </w: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537CCF" w:rsidRDefault="0012347D" w:rsidP="0012347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pl-PL"/>
        </w:rPr>
      </w:pPr>
      <w:r w:rsidRPr="0012347D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Przełącznik sieciowy </w:t>
      </w:r>
      <w:r w:rsidR="00537CCF" w:rsidRPr="0012347D">
        <w:rPr>
          <w:rFonts w:ascii="Arial" w:hAnsi="Arial" w:cs="Arial"/>
          <w:b/>
          <w:sz w:val="20"/>
          <w:szCs w:val="20"/>
          <w:lang w:val="pl-PL"/>
        </w:rPr>
        <w:t>24</w:t>
      </w:r>
      <w:r w:rsidR="003B2DE8" w:rsidRPr="0012347D">
        <w:rPr>
          <w:rFonts w:ascii="Arial" w:hAnsi="Arial" w:cs="Arial"/>
          <w:b/>
          <w:sz w:val="20"/>
          <w:szCs w:val="20"/>
          <w:lang w:val="pl-PL"/>
        </w:rPr>
        <w:t xml:space="preserve"> porty</w:t>
      </w:r>
      <w:r w:rsidRPr="0012347D">
        <w:rPr>
          <w:rFonts w:ascii="Arial" w:hAnsi="Arial" w:cs="Arial"/>
          <w:b/>
          <w:sz w:val="20"/>
          <w:szCs w:val="20"/>
          <w:lang w:val="pl-PL"/>
        </w:rPr>
        <w:t xml:space="preserve"> – 2 sztuki</w:t>
      </w:r>
    </w:p>
    <w:p w:rsidR="004E7BF4" w:rsidRDefault="004E7BF4" w:rsidP="004E7BF4">
      <w:pPr>
        <w:pStyle w:val="Akapitzlist"/>
        <w:rPr>
          <w:rFonts w:ascii="Arial" w:hAnsi="Arial" w:cs="Arial"/>
          <w:b/>
          <w:sz w:val="20"/>
          <w:szCs w:val="20"/>
          <w:lang w:val="pl-PL"/>
        </w:rPr>
      </w:pPr>
    </w:p>
    <w:p w:rsidR="004E7BF4" w:rsidRPr="004E7BF4" w:rsidRDefault="004E7BF4" w:rsidP="004E7BF4">
      <w:pPr>
        <w:pStyle w:val="Akapitzlist"/>
        <w:jc w:val="both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4E7BF4">
        <w:rPr>
          <w:rFonts w:ascii="Arial" w:eastAsia="Calibri" w:hAnsi="Arial" w:cs="Arial"/>
          <w:b/>
          <w:sz w:val="20"/>
          <w:szCs w:val="20"/>
        </w:rPr>
        <w:t>Producent</w:t>
      </w:r>
      <w:proofErr w:type="spellEnd"/>
      <w:r w:rsidRPr="004E7BF4">
        <w:rPr>
          <w:rFonts w:ascii="Arial" w:eastAsia="Calibri" w:hAnsi="Arial" w:cs="Arial"/>
          <w:b/>
          <w:sz w:val="20"/>
          <w:szCs w:val="20"/>
        </w:rPr>
        <w:t>…………………………………model………………………………………</w:t>
      </w:r>
    </w:p>
    <w:p w:rsidR="004E7BF4" w:rsidRPr="0083603B" w:rsidRDefault="004E7BF4" w:rsidP="004E7BF4">
      <w:pPr>
        <w:pStyle w:val="Akapitzlist"/>
        <w:rPr>
          <w:rFonts w:ascii="Arial" w:hAnsi="Arial" w:cs="Arial"/>
          <w:b/>
          <w:sz w:val="20"/>
          <w:szCs w:val="20"/>
          <w:lang w:val="pl-PL"/>
        </w:rPr>
      </w:pPr>
      <w:r w:rsidRPr="0083603B">
        <w:rPr>
          <w:rFonts w:ascii="Arial" w:hAnsi="Arial" w:cs="Arial"/>
          <w:b/>
          <w:sz w:val="20"/>
          <w:szCs w:val="20"/>
          <w:lang w:val="pl-PL"/>
        </w:rPr>
        <w:t>Cena jednostkowa brutto………….…. X 2 sztuki = …………..…………………….</w:t>
      </w:r>
    </w:p>
    <w:p w:rsidR="004E7BF4" w:rsidRPr="004E7BF4" w:rsidRDefault="004E7BF4" w:rsidP="004E7BF4">
      <w:pPr>
        <w:pStyle w:val="Akapitzlist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  <w:r w:rsidRPr="0083603B">
        <w:rPr>
          <w:rFonts w:ascii="Arial" w:eastAsia="Calibri" w:hAnsi="Arial" w:cs="Arial"/>
          <w:i/>
          <w:color w:val="FF0000"/>
          <w:sz w:val="20"/>
          <w:szCs w:val="20"/>
          <w:lang w:val="pl-PL"/>
        </w:rPr>
        <w:t xml:space="preserve">                                                </w:t>
      </w:r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(</w:t>
      </w:r>
      <w:proofErr w:type="spellStart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wypełnia</w:t>
      </w:r>
      <w:proofErr w:type="spellEnd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Wykonawca</w:t>
      </w:r>
      <w:proofErr w:type="spellEnd"/>
      <w:r w:rsidRPr="004E7BF4">
        <w:rPr>
          <w:rFonts w:ascii="Arial" w:eastAsia="Calibri" w:hAnsi="Arial" w:cs="Arial"/>
          <w:i/>
          <w:color w:val="FF0000"/>
          <w:sz w:val="20"/>
          <w:szCs w:val="20"/>
        </w:rPr>
        <w:t>)</w:t>
      </w:r>
    </w:p>
    <w:tbl>
      <w:tblPr>
        <w:tblW w:w="11320" w:type="dxa"/>
        <w:jc w:val="center"/>
        <w:tblLook w:val="04A0" w:firstRow="1" w:lastRow="0" w:firstColumn="1" w:lastColumn="0" w:noHBand="0" w:noVBand="1"/>
      </w:tblPr>
      <w:tblGrid>
        <w:gridCol w:w="1739"/>
        <w:gridCol w:w="376"/>
        <w:gridCol w:w="9205"/>
      </w:tblGrid>
      <w:tr w:rsidR="00537CCF" w:rsidRPr="0012347D" w:rsidTr="004E7BF4">
        <w:trPr>
          <w:trHeight w:val="315"/>
          <w:jc w:val="center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7CCF" w:rsidRPr="0012347D" w:rsidTr="004E7BF4">
        <w:trPr>
          <w:trHeight w:val="28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Komponent</w:t>
            </w:r>
            <w:proofErr w:type="spellEnd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Minimalne</w:t>
            </w:r>
            <w:proofErr w:type="spellEnd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wymagania</w:t>
            </w:r>
            <w:proofErr w:type="spellEnd"/>
          </w:p>
        </w:tc>
      </w:tr>
      <w:tr w:rsidR="00537CCF" w:rsidRPr="001B228D" w:rsidTr="004E7BF4">
        <w:trPr>
          <w:trHeight w:val="46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Do montażu w szafie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19", o wysokości nie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wiecej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niż 1U, wraz z kompletem odpowiednich szyn, wyposażona w zintegrowany zasilacz </w:t>
            </w:r>
            <w:r w:rsidR="004F387D"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 mocy nie przekraczającej 40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W.</w:t>
            </w:r>
          </w:p>
        </w:tc>
      </w:tr>
      <w:tr w:rsidR="00537CCF" w:rsidRPr="001B228D" w:rsidTr="004E7BF4">
        <w:trPr>
          <w:trHeight w:val="671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Porty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Minimum 24 porty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GigabitEthernet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 standardzie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minimum 4 zintegrowane porty 10Gb Ethernet SFP+, możliwość dedykowania dwóch portów 10Gb Ethernet SFP+ w celu połączenia przełączników w stos , minimum 1 port USB do konfiguracji przełącznika, 1 port RJ45 do portu konsoli wraz z odpowiednim kablem RJ45-RS232.</w:t>
            </w:r>
          </w:p>
          <w:p w:rsidR="00537CCF" w:rsidRPr="0012347D" w:rsidRDefault="00537CCF" w:rsidP="00AC20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537CCF" w:rsidRPr="0012347D" w:rsidTr="004E7BF4">
        <w:trPr>
          <w:trHeight w:val="630"/>
          <w:jc w:val="center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Wydajność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przełacznika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Minimum 16000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adresów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</w:t>
            </w:r>
            <w:r w:rsidR="007F02D4"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switch fabric capacity min. 128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Gbps w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trybie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full-du</w:t>
            </w:r>
            <w:r w:rsidR="007F02D4"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plex)</w:t>
            </w:r>
            <w:r w:rsidR="007F02D4"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forwarding rate min. 128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Mbps</w:t>
            </w:r>
          </w:p>
        </w:tc>
      </w:tr>
      <w:tr w:rsidR="00537CCF" w:rsidRPr="001B228D" w:rsidTr="004E7BF4">
        <w:trPr>
          <w:trHeight w:val="1110"/>
          <w:jc w:val="center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DA5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pamięć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256MB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bufor pamięci dla pakietów minimum 1.5MB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pamięć procesora minimum 1GB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obsługa minimum 512 wirtualnych sieci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</w:r>
            <w:r w:rsidR="00DA5900"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możliwość połączenia w stos min 4 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urządzeń tego samego typu</w:t>
            </w:r>
          </w:p>
        </w:tc>
      </w:tr>
      <w:tr w:rsidR="00537CCF" w:rsidRPr="0012347D" w:rsidTr="004E7BF4">
        <w:trPr>
          <w:trHeight w:val="4679"/>
          <w:jc w:val="center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Zgodność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protokołami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802.1AB LLDP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802.1D Bridging, Spanning Tree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802.1p Ethernet Priority (User Provisioning and Mapping)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802.1Q VLAN Tagging, Double VLAN Tagging, GVRP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802.1S Multiple Spanning Tree (MSTP)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802.1v Protocol-based VLANs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802.1W Rapid Spanning Tree (RSTP)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BPDU guard, BPDU filtering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802.1X Network Access Control, Auto VLAN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802.2 Logical Link Control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 10BASE-T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802.3ab Gigabit Ethernet (1000BASE-T)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802.3ac Frame Extensions for VLAN Tagging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802.3ad Link Aggregation with LACP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802.3ae 10 Gigabit Ethernet (10GBASE-X)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802.3AX LAG Load Balancing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802.3az Energy Efficient Ethernet (EEE)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802.3u Fast Ethernet (100BASE-TX) on Management Ports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802.3x Flow Control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802.3z Gigabit Ethernet (1000BASE-X)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ANSI LLDP-MED (TIA-1057)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MTU 9,216 byte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7CCF" w:rsidRPr="0012347D" w:rsidTr="004E7BF4">
        <w:trPr>
          <w:trHeight w:val="3225"/>
          <w:jc w:val="center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Field                  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Architecture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47D">
              <w:rPr>
                <w:rFonts w:ascii="Arial" w:hAnsi="Arial" w:cs="Arial"/>
                <w:sz w:val="20"/>
                <w:szCs w:val="20"/>
              </w:rPr>
              <w:t xml:space="preserve">Assured </w:t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  <w:r w:rsidRPr="0012347D">
              <w:rPr>
                <w:rFonts w:ascii="Arial" w:hAnsi="Arial" w:cs="Arial"/>
                <w:sz w:val="20"/>
                <w:szCs w:val="20"/>
              </w:rPr>
              <w:t xml:space="preserve"> PHB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47D">
              <w:rPr>
                <w:rFonts w:ascii="Arial" w:hAnsi="Arial" w:cs="Arial"/>
                <w:sz w:val="20"/>
                <w:szCs w:val="20"/>
              </w:rPr>
              <w:t xml:space="preserve">Port Based </w:t>
            </w:r>
            <w:proofErr w:type="spellStart"/>
            <w:r w:rsidRPr="0012347D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</w:p>
        </w:tc>
      </w:tr>
      <w:tr w:rsidR="00537CCF" w:rsidRPr="0012347D" w:rsidTr="004E7BF4">
        <w:trPr>
          <w:trHeight w:val="242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Zarządzanie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siecią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1155 SMIv1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1157 SNMPv1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1212 Concise MIB Definitions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1213 MIB-II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1215 SNMP Traps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1286 Bridge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1442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1451 Manager-to-Manager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1492 TACACS+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1493 Managed Objects for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Bridges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1573 Evolution of Interfaces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1612 DNS Resolver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1643 Ethernet-like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1757 RMON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1867 HTML/2.0 Forms with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File Upload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1901 Community-based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SNMPv2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1907 SNMPv2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1908 Coexistence Between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SNMPv1/v2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2011 IP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2012 TCP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2013 UDP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2068  HTTP/1.1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2096 IP Forwarding Table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2233 Interfaces Group using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SMIv2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2246  TLS v1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2271 SNMP Framework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2295 Transport Content Negotiation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2296  Remote Variant  Selection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2346  AES </w:t>
            </w:r>
            <w:proofErr w:type="spellStart"/>
            <w:r w:rsidRPr="0012347D">
              <w:rPr>
                <w:rFonts w:ascii="Arial" w:eastAsia="Times New Roman" w:hAnsi="Arial" w:cs="Arial"/>
                <w:sz w:val="20"/>
                <w:szCs w:val="20"/>
              </w:rPr>
              <w:t>Ciphersuites</w:t>
            </w:r>
            <w:proofErr w:type="spellEnd"/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 for TLS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2576 Coexistence Between SNMPv1/v2/v3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2578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2579 Textual Conventions for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2580 Conformance Statements for SMIv2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2613 RMON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2618 RADIUS Authentication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2620 RADIUS Accounting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2665 Ethernet-like Interfaces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2674 Extended Bridge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819 RMON MIB (groups 1, 2, 3, 9)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 xml:space="preserve">2863 Interfaces MIB 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2865 RADIUS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2866 RADIUS Accounting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2868 RADIUS Attributes for  Tunnel Prot.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2869 RADIUS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3410 Internet Standard  Mgmt. Framework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3411  SNMP Management Framework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3412 Message Processing and Dispatching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3413 SNMP Applications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3414 User-based security model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3415 View-based control model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3416 SNMPv2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3418 SNMP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3577 RMON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3580 802.1X with RADIUS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3737  Registry of RMOM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4086 Randomness Requirements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4113 UDP MIB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4251 SSHv2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4252 SSHv2 Authentication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4253 SSHv2 Transport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4254 SSHv2 Connection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4419 SSHv2 Transport Layer Protocol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4521 LDAP Extensions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347D">
              <w:rPr>
                <w:rFonts w:ascii="Arial" w:eastAsia="Times New Roman" w:hAnsi="Arial" w:cs="Arial"/>
                <w:sz w:val="20"/>
                <w:szCs w:val="20"/>
              </w:rPr>
              <w:t>4716 SECSH Public Key File Format</w:t>
            </w:r>
          </w:p>
        </w:tc>
      </w:tr>
      <w:tr w:rsidR="00537CCF" w:rsidRPr="001B228D" w:rsidTr="004E7BF4">
        <w:trPr>
          <w:trHeight w:val="72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Warunki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-Wydajność pracy zasilaczy na poziomie min. 80%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 xml:space="preserve">- temperatura pracy w zakresie od 0 do 45 stopni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celcjusza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wilgotność dla trybu pracy 85%</w:t>
            </w:r>
          </w:p>
        </w:tc>
      </w:tr>
      <w:tr w:rsidR="00537CCF" w:rsidRPr="001B228D" w:rsidTr="004E7BF4">
        <w:trPr>
          <w:trHeight w:val="870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Certyfikaty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standardy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Zamawiający wymaga aby oferowany przełącznik: 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został wyprodukowany zgodnie z normą  ISO-9001 oraz ISO-14001 (dokumenty załączyć do oferty)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- posiadał deklarację CE (dokument załączyć do oferty)</w:t>
            </w: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 xml:space="preserve">- jest zgodny z standardem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(oświadczenie producenta lub przedstawiciela producenta załączyć do oferty)</w:t>
            </w:r>
          </w:p>
        </w:tc>
      </w:tr>
      <w:tr w:rsidR="00537CCF" w:rsidRPr="001B228D" w:rsidTr="004E7BF4">
        <w:trPr>
          <w:trHeight w:val="769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CCF" w:rsidRPr="0012347D" w:rsidRDefault="00537CCF" w:rsidP="009B0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Gwarancja czasu życia (Limited </w:t>
            </w:r>
            <w:proofErr w:type="spellStart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Lifetime</w:t>
            </w:r>
            <w:proofErr w:type="spellEnd"/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warranty) obejmująca: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przełącznik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zasilacze i wiatraki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moduły SFP, SFP+ i QSFP+</w:t>
            </w:r>
          </w:p>
          <w:p w:rsidR="00537CCF" w:rsidRPr="0012347D" w:rsidRDefault="00537CCF" w:rsidP="009B0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bezterminowy dostęp do nowych wersji oprogramowania</w:t>
            </w:r>
          </w:p>
        </w:tc>
      </w:tr>
      <w:tr w:rsidR="003B2DE8" w:rsidRPr="0012347D" w:rsidTr="004E7BF4">
        <w:trPr>
          <w:trHeight w:val="48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DE8" w:rsidRPr="0012347D" w:rsidRDefault="003B2DE8" w:rsidP="00CB2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Oświadczenia</w:t>
            </w:r>
            <w:proofErr w:type="spellEnd"/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2DE8" w:rsidRPr="0012347D" w:rsidRDefault="003B2DE8" w:rsidP="00CB2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2347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Oświadczenie producenta serwera, że w przypadku nie wywiązywania się z obowiązków gwarancyjnych oferenta lub firmy serwisującej, przejmie na siebie wszelkie zobowiązania związane z serwisem. Należy dołączyć do oferty.</w:t>
            </w:r>
          </w:p>
        </w:tc>
      </w:tr>
    </w:tbl>
    <w:p w:rsidR="00537CCF" w:rsidRPr="0012347D" w:rsidRDefault="00537CCF">
      <w:pPr>
        <w:rPr>
          <w:rFonts w:ascii="Arial" w:hAnsi="Arial" w:cs="Arial"/>
          <w:sz w:val="20"/>
          <w:szCs w:val="20"/>
          <w:lang w:val="pl-PL"/>
        </w:rPr>
      </w:pPr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przełączników dedykowanych dla połączenia maszyn serwerowych, komputerów stacjonarnych, drukarek, itp. w sieć LAN: </w:t>
      </w:r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</w:p>
    <w:p w:rsidR="0012347D" w:rsidRPr="0012347D" w:rsidRDefault="0012347D" w:rsidP="0012347D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Analiza konfiguracji obecnych urządzeń sieciowych</w:t>
      </w:r>
    </w:p>
    <w:p w:rsidR="0012347D" w:rsidRPr="0012347D" w:rsidRDefault="0012347D" w:rsidP="0012347D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Instancja urządzeń w szafie </w:t>
      </w:r>
      <w:proofErr w:type="spellStart"/>
      <w:r w:rsidRPr="0012347D">
        <w:rPr>
          <w:rFonts w:ascii="Arial" w:hAnsi="Arial" w:cs="Arial"/>
          <w:sz w:val="20"/>
          <w:szCs w:val="20"/>
        </w:rPr>
        <w:t>rack</w:t>
      </w:r>
      <w:proofErr w:type="spellEnd"/>
    </w:p>
    <w:p w:rsidR="0012347D" w:rsidRPr="0012347D" w:rsidRDefault="0012347D" w:rsidP="0012347D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Aktualizacja oprogramowania do najnowszej wersji</w:t>
      </w:r>
    </w:p>
    <w:p w:rsidR="0012347D" w:rsidRPr="0012347D" w:rsidRDefault="0012347D" w:rsidP="0012347D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sprzętu:</w:t>
      </w:r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ustawień systemowych przełącznika</w:t>
      </w:r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IP</w:t>
      </w:r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VLAN</w:t>
      </w:r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stosu </w:t>
      </w:r>
      <w:proofErr w:type="spellStart"/>
      <w:r w:rsidRPr="0012347D">
        <w:rPr>
          <w:rFonts w:ascii="Arial" w:hAnsi="Arial" w:cs="Arial"/>
          <w:sz w:val="20"/>
          <w:szCs w:val="20"/>
        </w:rPr>
        <w:t>stack</w:t>
      </w:r>
      <w:proofErr w:type="spellEnd"/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wszystkich połączeń w tym porty dostępowe, LACP/</w:t>
      </w:r>
      <w:proofErr w:type="spellStart"/>
      <w:r w:rsidRPr="0012347D">
        <w:rPr>
          <w:rFonts w:ascii="Arial" w:hAnsi="Arial" w:cs="Arial"/>
          <w:sz w:val="20"/>
          <w:szCs w:val="20"/>
        </w:rPr>
        <w:t>Trunk</w:t>
      </w:r>
      <w:proofErr w:type="spellEnd"/>
    </w:p>
    <w:p w:rsidR="0012347D" w:rsidRPr="0012347D" w:rsidRDefault="0012347D" w:rsidP="0012347D">
      <w:pPr>
        <w:pStyle w:val="Bezodstpw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protokołu </w:t>
      </w:r>
      <w:proofErr w:type="spellStart"/>
      <w:r w:rsidRPr="0012347D">
        <w:rPr>
          <w:rFonts w:ascii="Arial" w:hAnsi="Arial" w:cs="Arial"/>
          <w:sz w:val="20"/>
          <w:szCs w:val="20"/>
        </w:rPr>
        <w:t>Spanning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347D">
        <w:rPr>
          <w:rFonts w:ascii="Arial" w:hAnsi="Arial" w:cs="Arial"/>
          <w:sz w:val="20"/>
          <w:szCs w:val="20"/>
        </w:rPr>
        <w:t>Tree</w:t>
      </w:r>
      <w:proofErr w:type="spellEnd"/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przełączników dedykowanych dla połączeń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: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Analiza konfiguracji obecnych urządzeń sieciowych, maszyn serwerowych oraz macierzy dyskowych, dla dostępu do danych z wykorzystaniem protokołu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.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Instancja urządzeń w szafie </w:t>
      </w:r>
      <w:proofErr w:type="spellStart"/>
      <w:r w:rsidRPr="0012347D">
        <w:rPr>
          <w:rFonts w:ascii="Arial" w:hAnsi="Arial" w:cs="Arial"/>
          <w:sz w:val="20"/>
          <w:szCs w:val="20"/>
        </w:rPr>
        <w:t>rack</w:t>
      </w:r>
      <w:proofErr w:type="spellEnd"/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Aktualizacja oprogramowania do najnowszej wersji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ustawień systemowych przełączników (IP, NTP, SNMP, parametry dostępu).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Podłączenie urządzeń (serwery, macierze dyskowe) do przełączników. Każdy pojedynczy komponent (serwer, kontroler macierzy) musi zostać podłączony do dwóch niezależnych przełączników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. Interfejsy podłączone do przełączników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muszą zostać dedykowany tylko do obsługi protokołu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.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rozmiaru ramki MTU na przełącznikach, serwerach oraz macierzach dyskowych, zgodnie z najlepszymi praktykami implementacji protokołu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.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parametrów połączeniowych (np. IP) dla serwerowych inicjatorów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oraz macierzowych portali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(target)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Rejestracja w macierzach dyskowych inicjatorów maszyn serwerowych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Rejestracja w maszynach serwerowych portali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, prezentowanych przez macierze dyskowe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Prezentacja danych z macierzy dyskowych dla maszyn serwerowych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Konfiguracja dostępu maszyn serwerowych do zasobów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macierzy dyskowych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Konfiguracja mechanizmu wielościeżkowego dostępu do danych dyskowych (</w:t>
      </w:r>
      <w:proofErr w:type="spellStart"/>
      <w:r w:rsidRPr="0012347D">
        <w:rPr>
          <w:rFonts w:ascii="Arial" w:hAnsi="Arial" w:cs="Arial"/>
          <w:sz w:val="20"/>
          <w:szCs w:val="20"/>
        </w:rPr>
        <w:t>multipath</w:t>
      </w:r>
      <w:proofErr w:type="spellEnd"/>
      <w:r w:rsidRPr="0012347D">
        <w:rPr>
          <w:rFonts w:ascii="Arial" w:hAnsi="Arial" w:cs="Arial"/>
          <w:sz w:val="20"/>
          <w:szCs w:val="20"/>
        </w:rPr>
        <w:t>)</w:t>
      </w:r>
    </w:p>
    <w:p w:rsidR="0012347D" w:rsidRPr="0012347D" w:rsidRDefault="0012347D" w:rsidP="0012347D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>Testy wysokiej dostępności do danych:</w:t>
      </w:r>
    </w:p>
    <w:p w:rsidR="0012347D" w:rsidRPr="0012347D" w:rsidRDefault="0012347D" w:rsidP="0012347D">
      <w:pPr>
        <w:pStyle w:val="Bezodstpw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Awaria pojedynczego przełącznika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(test należy przeprowadzić dla obu przełączników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>)</w:t>
      </w:r>
    </w:p>
    <w:p w:rsidR="0012347D" w:rsidRPr="0012347D" w:rsidRDefault="0012347D" w:rsidP="0012347D">
      <w:pPr>
        <w:pStyle w:val="Bezodstpw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2347D">
        <w:rPr>
          <w:rFonts w:ascii="Arial" w:hAnsi="Arial" w:cs="Arial"/>
          <w:sz w:val="20"/>
          <w:szCs w:val="20"/>
        </w:rPr>
        <w:t xml:space="preserve">Awaria pojedynczego połączenia </w:t>
      </w:r>
      <w:proofErr w:type="spellStart"/>
      <w:r w:rsidRPr="0012347D">
        <w:rPr>
          <w:rFonts w:ascii="Arial" w:hAnsi="Arial" w:cs="Arial"/>
          <w:sz w:val="20"/>
          <w:szCs w:val="20"/>
        </w:rPr>
        <w:t>iSCSI</w:t>
      </w:r>
      <w:proofErr w:type="spellEnd"/>
      <w:r w:rsidRPr="0012347D">
        <w:rPr>
          <w:rFonts w:ascii="Arial" w:hAnsi="Arial" w:cs="Arial"/>
          <w:sz w:val="20"/>
          <w:szCs w:val="20"/>
        </w:rPr>
        <w:t xml:space="preserve"> (test należy przeprowadzić dla każdej pojedynczej ścieżki dostępu do danych, dla każdej maszyny serwerowej)</w:t>
      </w:r>
    </w:p>
    <w:p w:rsidR="0012347D" w:rsidRPr="0012347D" w:rsidRDefault="0012347D" w:rsidP="0012347D">
      <w:pPr>
        <w:pStyle w:val="Bezodstpw"/>
        <w:rPr>
          <w:rFonts w:ascii="Arial" w:hAnsi="Arial" w:cs="Arial"/>
          <w:sz w:val="20"/>
          <w:szCs w:val="20"/>
        </w:rPr>
      </w:pPr>
    </w:p>
    <w:p w:rsidR="0012347D" w:rsidRDefault="0012347D">
      <w:pPr>
        <w:rPr>
          <w:rFonts w:ascii="Arial" w:hAnsi="Arial" w:cs="Arial"/>
          <w:sz w:val="20"/>
          <w:szCs w:val="20"/>
          <w:lang w:val="pl-PL"/>
        </w:rPr>
      </w:pPr>
    </w:p>
    <w:p w:rsidR="004E7BF4" w:rsidRDefault="004E7BF4">
      <w:pPr>
        <w:rPr>
          <w:rFonts w:ascii="Arial" w:hAnsi="Arial" w:cs="Arial"/>
          <w:sz w:val="20"/>
          <w:szCs w:val="20"/>
          <w:lang w:val="pl-PL"/>
        </w:rPr>
      </w:pPr>
    </w:p>
    <w:p w:rsidR="004E7BF4" w:rsidRDefault="004E7BF4">
      <w:pPr>
        <w:rPr>
          <w:rFonts w:ascii="Arial" w:hAnsi="Arial" w:cs="Arial"/>
          <w:sz w:val="20"/>
          <w:szCs w:val="20"/>
          <w:lang w:val="pl-PL"/>
        </w:rPr>
      </w:pPr>
    </w:p>
    <w:p w:rsidR="004E7BF4" w:rsidRDefault="004E7BF4">
      <w:pPr>
        <w:rPr>
          <w:rFonts w:ascii="Arial" w:hAnsi="Arial" w:cs="Arial"/>
          <w:sz w:val="20"/>
          <w:szCs w:val="20"/>
          <w:lang w:val="pl-PL"/>
        </w:rPr>
      </w:pPr>
    </w:p>
    <w:p w:rsidR="007E57E0" w:rsidRPr="0083603B" w:rsidRDefault="007E57E0" w:rsidP="007E57E0">
      <w:pPr>
        <w:rPr>
          <w:color w:val="FF0000"/>
          <w:lang w:val="pl-PL"/>
        </w:rPr>
      </w:pPr>
      <w:r w:rsidRPr="0083603B">
        <w:rPr>
          <w:color w:val="FF0000"/>
          <w:lang w:val="pl-PL"/>
        </w:rPr>
        <w:t>Wypełnia Wykonawca:</w:t>
      </w:r>
    </w:p>
    <w:p w:rsidR="007E57E0" w:rsidRPr="0083603B" w:rsidRDefault="007E57E0" w:rsidP="007E57E0">
      <w:pPr>
        <w:rPr>
          <w:color w:val="FF0000"/>
          <w:lang w:val="pl-PL"/>
        </w:rPr>
      </w:pPr>
    </w:p>
    <w:p w:rsidR="007E57E0" w:rsidRPr="0083603B" w:rsidRDefault="007E57E0" w:rsidP="007E57E0">
      <w:pPr>
        <w:rPr>
          <w:sz w:val="24"/>
          <w:szCs w:val="24"/>
          <w:lang w:val="pl-PL"/>
        </w:rPr>
      </w:pPr>
      <w:r w:rsidRPr="0083603B">
        <w:rPr>
          <w:sz w:val="24"/>
          <w:szCs w:val="24"/>
          <w:lang w:val="pl-PL"/>
        </w:rPr>
        <w:t xml:space="preserve">Za wykonanie w/w przedmiotu zamówienia </w:t>
      </w:r>
    </w:p>
    <w:p w:rsidR="007E57E0" w:rsidRPr="0083603B" w:rsidRDefault="007E57E0" w:rsidP="007E57E0">
      <w:pPr>
        <w:rPr>
          <w:sz w:val="24"/>
          <w:szCs w:val="24"/>
          <w:lang w:val="pl-PL"/>
        </w:rPr>
      </w:pPr>
      <w:r w:rsidRPr="0083603B">
        <w:rPr>
          <w:sz w:val="24"/>
          <w:szCs w:val="24"/>
          <w:lang w:val="pl-PL"/>
        </w:rPr>
        <w:t>cena netto ………..………… wartość podatku VAT…………….. wartość brutto………………………..…..</w:t>
      </w:r>
    </w:p>
    <w:p w:rsidR="007E57E0" w:rsidRPr="0083603B" w:rsidRDefault="007E57E0" w:rsidP="007E57E0">
      <w:pPr>
        <w:spacing w:after="0" w:line="240" w:lineRule="auto"/>
        <w:rPr>
          <w:sz w:val="24"/>
          <w:szCs w:val="24"/>
          <w:lang w:val="pl-PL"/>
        </w:rPr>
      </w:pPr>
    </w:p>
    <w:p w:rsidR="007E57E0" w:rsidRPr="0083603B" w:rsidRDefault="007E57E0" w:rsidP="007E57E0">
      <w:pPr>
        <w:spacing w:after="0" w:line="240" w:lineRule="auto"/>
        <w:rPr>
          <w:sz w:val="24"/>
          <w:szCs w:val="24"/>
          <w:lang w:val="pl-PL"/>
        </w:rPr>
      </w:pPr>
    </w:p>
    <w:p w:rsidR="007E57E0" w:rsidRPr="0083603B" w:rsidRDefault="007E57E0" w:rsidP="007E57E0">
      <w:pPr>
        <w:spacing w:after="0" w:line="240" w:lineRule="auto"/>
        <w:rPr>
          <w:sz w:val="24"/>
          <w:szCs w:val="24"/>
          <w:lang w:val="pl-PL"/>
        </w:rPr>
      </w:pPr>
    </w:p>
    <w:p w:rsidR="007E57E0" w:rsidRPr="0083603B" w:rsidRDefault="007E57E0" w:rsidP="007E57E0">
      <w:pPr>
        <w:spacing w:after="0" w:line="240" w:lineRule="auto"/>
        <w:rPr>
          <w:sz w:val="24"/>
          <w:szCs w:val="24"/>
          <w:lang w:val="pl-PL"/>
        </w:rPr>
      </w:pPr>
      <w:r w:rsidRPr="0083603B">
        <w:rPr>
          <w:sz w:val="24"/>
          <w:szCs w:val="24"/>
          <w:lang w:val="pl-PL"/>
        </w:rPr>
        <w:t>Data ……………………………………….</w:t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  <w:t xml:space="preserve">               …..……………………………………………..</w:t>
      </w:r>
    </w:p>
    <w:p w:rsidR="007E57E0" w:rsidRPr="0083603B" w:rsidRDefault="007E57E0" w:rsidP="007E57E0">
      <w:pPr>
        <w:spacing w:after="0" w:line="240" w:lineRule="auto"/>
        <w:rPr>
          <w:lang w:val="pl-PL"/>
        </w:rPr>
      </w:pP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</w:r>
      <w:r w:rsidRPr="0083603B">
        <w:rPr>
          <w:sz w:val="24"/>
          <w:szCs w:val="24"/>
          <w:lang w:val="pl-PL"/>
        </w:rPr>
        <w:tab/>
        <w:t>(podpis i pieczęć osoby uprawnionej)</w:t>
      </w:r>
    </w:p>
    <w:p w:rsidR="004E7BF4" w:rsidRPr="0012347D" w:rsidRDefault="004E7BF4" w:rsidP="007E57E0">
      <w:pPr>
        <w:rPr>
          <w:rFonts w:ascii="Arial" w:hAnsi="Arial" w:cs="Arial"/>
          <w:sz w:val="20"/>
          <w:szCs w:val="20"/>
          <w:lang w:val="pl-PL"/>
        </w:rPr>
      </w:pPr>
    </w:p>
    <w:sectPr w:rsidR="004E7BF4" w:rsidRPr="0012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7F8C"/>
    <w:multiLevelType w:val="hybridMultilevel"/>
    <w:tmpl w:val="83B2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1743"/>
    <w:multiLevelType w:val="hybridMultilevel"/>
    <w:tmpl w:val="29CA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7781"/>
    <w:multiLevelType w:val="hybridMultilevel"/>
    <w:tmpl w:val="29CA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044A"/>
    <w:multiLevelType w:val="hybridMultilevel"/>
    <w:tmpl w:val="DE702E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B8"/>
    <w:rsid w:val="000B2926"/>
    <w:rsid w:val="0012347D"/>
    <w:rsid w:val="001607A8"/>
    <w:rsid w:val="001B228D"/>
    <w:rsid w:val="003B18B8"/>
    <w:rsid w:val="003B2DE8"/>
    <w:rsid w:val="004B24D0"/>
    <w:rsid w:val="004E7BF4"/>
    <w:rsid w:val="004F387D"/>
    <w:rsid w:val="00537CCF"/>
    <w:rsid w:val="006F419E"/>
    <w:rsid w:val="00701F7E"/>
    <w:rsid w:val="007E57E0"/>
    <w:rsid w:val="007F02D4"/>
    <w:rsid w:val="0083603B"/>
    <w:rsid w:val="00875081"/>
    <w:rsid w:val="009356B0"/>
    <w:rsid w:val="00AC20F9"/>
    <w:rsid w:val="00AC70F7"/>
    <w:rsid w:val="00DA5900"/>
    <w:rsid w:val="00D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CB4B-DCDA-4258-95FB-DCF8028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47D"/>
    <w:pPr>
      <w:spacing w:after="0" w:line="240" w:lineRule="auto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123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1803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Hanna Stańczyk</cp:lastModifiedBy>
  <cp:revision>12</cp:revision>
  <cp:lastPrinted>2018-07-20T10:35:00Z</cp:lastPrinted>
  <dcterms:created xsi:type="dcterms:W3CDTF">2018-06-19T10:42:00Z</dcterms:created>
  <dcterms:modified xsi:type="dcterms:W3CDTF">2018-08-13T10:18:00Z</dcterms:modified>
</cp:coreProperties>
</file>