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F8073F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Załącznik nr 3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B539A4" w:rsidRPr="00B539A4" w:rsidRDefault="00B539A4" w:rsidP="00B539A4">
      <w:pPr>
        <w:spacing w:line="276" w:lineRule="auto"/>
        <w:ind w:left="567"/>
        <w:jc w:val="center"/>
        <w:rPr>
          <w:b/>
        </w:rPr>
      </w:pPr>
      <w:r w:rsidRPr="00B539A4">
        <w:rPr>
          <w:b/>
        </w:rPr>
        <w:t>Część 3 – wyposażenie pracowni mechatroniki w sprzęt komputerowy</w:t>
      </w:r>
      <w:r w:rsidR="00707A3A">
        <w:rPr>
          <w:b/>
        </w:rPr>
        <w:t xml:space="preserve"> i oprogramowanie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Opis 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>przedmiotu zamówienia</w:t>
            </w:r>
          </w:p>
        </w:tc>
      </w:tr>
      <w:tr w:rsidR="001239C2" w:rsidRPr="00C44CC8" w:rsidTr="007107E1">
        <w:trPr>
          <w:trHeight w:val="319"/>
        </w:trPr>
        <w:tc>
          <w:tcPr>
            <w:tcW w:w="582" w:type="dxa"/>
          </w:tcPr>
          <w:p w:rsidR="001239C2" w:rsidRPr="00C44CC8" w:rsidRDefault="00F8073F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996654" w:rsidP="00996654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t>aptopy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962B80" w:rsidRPr="00C44CC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10 sztuk komputerów typu laptop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Pr="00C44CC8">
              <w:rPr>
                <w:rFonts w:ascii="Verdana" w:hAnsi="Verdana"/>
                <w:sz w:val="20"/>
                <w:szCs w:val="20"/>
              </w:rPr>
              <w:t>procesor</w:t>
            </w:r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 xml:space="preserve"> uzyskujący przy pracy w nominalnych warunkach w teście Passmark CPU Mark wynik min. 3065 punktów na dzień 04.08.2014r (wynik zaproponowanego procesora musi znajdować się na stronie, </w:t>
            </w:r>
            <w:hyperlink r:id="rId7" w:history="1">
              <w:r w:rsidRPr="00C44CC8">
                <w:rPr>
                  <w:rStyle w:val="Hipercze"/>
                  <w:rFonts w:cs="Tahoma"/>
                  <w:szCs w:val="20"/>
                </w:rPr>
                <w:t>http://www.cpubenchmark.net</w:t>
              </w:r>
            </w:hyperlink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, z której wydruk należy dołączyć do oferty)</w:t>
            </w:r>
            <w:r w:rsidRPr="00C44CC8"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karta graficzna zintegrowana w procesorze;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dysk twardy min. 500 GB;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zewnętrzna nagrywarka DVD USB lub napęd wbudowany;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wbudowane głośniki, mikrofon, kamera internetowa;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obsługa sieci bezprzewodowych w standardach 802.11 b/g/n, sieci przewodowych Ethernet oraz bluetooth;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porty: HDMI, RJ-45 LAN, min. 3 porty USB, wejście mikrofonowe, wejście słuchawkowe/głośnikowe.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System operacyjny – Windows 8 lub równoważny</w:t>
            </w:r>
            <w:r w:rsidR="00996654">
              <w:rPr>
                <w:rFonts w:ascii="Verdana" w:hAnsi="Verdana"/>
                <w:sz w:val="20"/>
                <w:szCs w:val="20"/>
              </w:rPr>
              <w:t xml:space="preserve"> z oprogramowaniem</w:t>
            </w:r>
            <w:r w:rsidRPr="00C44CC8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  <w:r w:rsidR="00C44CC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="00C44CC8">
              <w:rPr>
                <w:rFonts w:ascii="Verdana" w:hAnsi="Verdana"/>
                <w:sz w:val="20"/>
                <w:szCs w:val="20"/>
              </w:rPr>
              <w:t>(czytaj poniżej)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F8073F" w:rsidP="00F8073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Drukarka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Windows 8 / 7 / Vista / XP /</w:t>
            </w:r>
          </w:p>
          <w:p w:rsidR="001239C2" w:rsidRPr="00C44CC8" w:rsidRDefault="00AD7A9A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  <w:tr w:rsidR="00D57015" w:rsidTr="00D57015">
        <w:trPr>
          <w:trHeight w:val="83"/>
        </w:trPr>
        <w:tc>
          <w:tcPr>
            <w:tcW w:w="582" w:type="dxa"/>
            <w:hideMark/>
          </w:tcPr>
          <w:p w:rsidR="00D57015" w:rsidRDefault="00D5701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  <w:hideMark/>
          </w:tcPr>
          <w:p w:rsidR="00D57015" w:rsidRDefault="00D57015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Oprogramowanie do obsługi warsztatu samochodowego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D57015" w:rsidRDefault="00D5701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57015" w:rsidRDefault="00D57015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przedmiotu zamówienia.</w:t>
            </w:r>
            <w:r>
              <w:rPr>
                <w:rFonts w:ascii="Verdana" w:hAnsi="Verdana"/>
                <w:sz w:val="20"/>
                <w:szCs w:val="20"/>
              </w:rPr>
              <w:br/>
              <w:t>Przedmiotem zamówienia jest program do obsługi warsztatu samochodowego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color w:val="141414"/>
                <w:sz w:val="20"/>
                <w:szCs w:val="20"/>
              </w:rPr>
              <w:t>Wymagania ogólne co do programu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D57015" w:rsidRDefault="00D57015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Program o charakterze ćwiczebnym z możliwością instalacji na min. 10 stanowisk, opłata jednorazowa / licencja bezterminowa / z możliwością aktualizacji.</w:t>
            </w:r>
          </w:p>
          <w:p w:rsidR="00D57015" w:rsidRDefault="00D57015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</w:p>
          <w:p w:rsidR="00D57015" w:rsidRDefault="00D57015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Proste i przejrzyste funkcje zarządzania klientami, samochodami oraz danymi kontaktowymi, fakturowanie/rachunkowość, kalendarz/terminarz, historie pracy mechaników, osobne pole na zakupione części z polem na cenę hurtowa i dla klienta, możliwość raportowania, drukowania historii napraw itp., współpraca z internetowym sklepem części zamiennych.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D57015" w:rsidRDefault="00D57015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A w szczególności:</w:t>
            </w:r>
          </w:p>
          <w:p w:rsidR="00D57015" w:rsidRDefault="00D57015">
            <w:pPr>
              <w:pStyle w:val="Bezodstpw"/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·Zlecenia warsztatowe.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·Czynności obsługowe.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·Wykaz pojazdów z kompletem danych.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·Generowanie historii napraw pojazdu.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·Dokumenty serwisowe. Paragony fiskalne.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·KP, faktura VAT, koperta i przelew do zlecenia.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·Planowanie i umawianie napraw na dowolny okres z góry.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·Magazyn. Ewidencja towarów.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·Zamówienia dla dostawców. Zakupy.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·Rejestr sprzedaży.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·Baza klientów.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·Terminarz.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·Dziennik.</w:t>
            </w:r>
          </w:p>
          <w:p w:rsidR="00D57015" w:rsidRDefault="00D5701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239C2" w:rsidRPr="00C44CC8" w:rsidRDefault="001239C2" w:rsidP="00C44CC8">
      <w:pPr>
        <w:pStyle w:val="Bezodstpw"/>
        <w:rPr>
          <w:rFonts w:ascii="Verdana" w:hAnsi="Verdana"/>
          <w:sz w:val="20"/>
          <w:szCs w:val="20"/>
        </w:rPr>
      </w:pP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</w:t>
      </w:r>
      <w:r w:rsidRPr="00C44CC8">
        <w:rPr>
          <w:rFonts w:ascii="Verdana" w:hAnsi="Verdana"/>
          <w:sz w:val="20"/>
          <w:szCs w:val="20"/>
          <w:vertAlign w:val="superscript"/>
        </w:rPr>
        <w:t>*</w:t>
      </w:r>
      <w:r w:rsidRPr="00C44CC8">
        <w:rPr>
          <w:rFonts w:ascii="Verdana" w:hAnsi="Verdana"/>
          <w:sz w:val="20"/>
          <w:szCs w:val="20"/>
        </w:rPr>
        <w:t xml:space="preserve">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7. Dostępność bezpłatnych biuletynów bezpieczeństwa związanych z działaniem systemu operacyjnego,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12. Wsparcie dla większości powszechnie używanych urządzeń peryferyjnych (drukarek, urządzeń sieciowych, standardów USB, Plug&amp;Play, Wi-Fi),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(smartcard),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24. Wsparcie dla uwierzytelniania na bazie Kerberos v. 5,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26. Wsparcie dla algorytmów Suite B (RFC 4869),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Key Exchange v. 2 (IKEv2) dla warstwy transportowej IPsec, 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30. Wsparcie dla JScript i VBScript – możliwość uruchamiania interpretera poleceń,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31. Zdalna pomoc i współdzielenie aplikacji – możliwość zdalnego przejęcia sesji zalogowanego użytkownika celem rozwiązania problemu z komputerem,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34. Transakcyjny system plików pozwalający na stosowanie przydziałów (ang. quota) na dysku dla użytkowników oraz zapewniający większą niezawodność i pozwalający tworzyć kopie zapasowe,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41. Wbudowany mechanizm wirtualizacji typu hypervisor, umożliwiający, zgodnie z uprawnieniami licencyjnymi, uruchomienie do 4 maszyn wirtualnych,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43. Wbudowane w system narzędzie do szyfrowania partycji systemowych komputera, z możliwością przechowywania certyfikatów „w mikrochipie TPM (Trusted Platform Module) w wersji minimum 1.2 lub na kluczach pamięci przenośnej USB.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reinstalacji systemu.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C44CC8" w:rsidRPr="00C44CC8" w:rsidRDefault="00C44CC8" w:rsidP="005D506B">
      <w:pPr>
        <w:pStyle w:val="Bezodstpw"/>
        <w:jc w:val="both"/>
        <w:rPr>
          <w:rFonts w:ascii="Verdana" w:hAnsi="Verdana" w:cs="Tahoma"/>
          <w:sz w:val="20"/>
          <w:szCs w:val="20"/>
        </w:rPr>
      </w:pP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lastRenderedPageBreak/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Podział treści na kolumny.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Płynne przesuwanie elementów po całej stronie publikacji.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wykresów i tabel z arkusza kalkulacyjnego (wliczając tabele przestawne);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z zewnętrznych źródeł danych (inne arkusze kalkulacyjne, bazy danych zgodne z ODBC, pliki tekstowe, pliki XML, webservice);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analiz danych przy użyciu formatowania warunkowego;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modyfikacji.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C44CC8" w:rsidRPr="00C44CC8" w:rsidRDefault="00C44CC8" w:rsidP="005D506B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2275FC" w:rsidRPr="00C44CC8" w:rsidRDefault="00C44CC8" w:rsidP="00D57015">
      <w:pPr>
        <w:pStyle w:val="Bezodstpw"/>
        <w:jc w:val="both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8"/>
      <w:footerReference w:type="default" r:id="rId9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79" w:rsidRDefault="007D5E79" w:rsidP="000B74B0">
      <w:r>
        <w:separator/>
      </w:r>
    </w:p>
  </w:endnote>
  <w:endnote w:type="continuationSeparator" w:id="0">
    <w:p w:rsidR="007D5E79" w:rsidRDefault="007D5E79" w:rsidP="000B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Pr="00386DD4" w:rsidRDefault="003C056D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707A3A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79" w:rsidRDefault="007D5E79" w:rsidP="000B74B0">
      <w:r>
        <w:separator/>
      </w:r>
    </w:p>
  </w:footnote>
  <w:footnote w:type="continuationSeparator" w:id="0">
    <w:p w:rsidR="007D5E79" w:rsidRDefault="007D5E79" w:rsidP="000B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Default="003C05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5FC"/>
    <w:rsid w:val="00040F57"/>
    <w:rsid w:val="000B74B0"/>
    <w:rsid w:val="000C14E9"/>
    <w:rsid w:val="00101004"/>
    <w:rsid w:val="001239C2"/>
    <w:rsid w:val="00135FD6"/>
    <w:rsid w:val="00205FA6"/>
    <w:rsid w:val="00217B8E"/>
    <w:rsid w:val="002275FC"/>
    <w:rsid w:val="003035A5"/>
    <w:rsid w:val="00380A68"/>
    <w:rsid w:val="003C056D"/>
    <w:rsid w:val="00522360"/>
    <w:rsid w:val="005D506B"/>
    <w:rsid w:val="005F1E41"/>
    <w:rsid w:val="006453EC"/>
    <w:rsid w:val="006654C6"/>
    <w:rsid w:val="006E26F4"/>
    <w:rsid w:val="006F02F9"/>
    <w:rsid w:val="00707A3A"/>
    <w:rsid w:val="007728AB"/>
    <w:rsid w:val="007A2082"/>
    <w:rsid w:val="007A3C98"/>
    <w:rsid w:val="007A3D8C"/>
    <w:rsid w:val="007D5E79"/>
    <w:rsid w:val="0089514B"/>
    <w:rsid w:val="00962B80"/>
    <w:rsid w:val="00996654"/>
    <w:rsid w:val="00A06719"/>
    <w:rsid w:val="00A11A29"/>
    <w:rsid w:val="00AD0D73"/>
    <w:rsid w:val="00AD7A9A"/>
    <w:rsid w:val="00AF6D8D"/>
    <w:rsid w:val="00B539A4"/>
    <w:rsid w:val="00BA2F5A"/>
    <w:rsid w:val="00BC550B"/>
    <w:rsid w:val="00BF408E"/>
    <w:rsid w:val="00C15806"/>
    <w:rsid w:val="00C44CC8"/>
    <w:rsid w:val="00CD0D9E"/>
    <w:rsid w:val="00D457DF"/>
    <w:rsid w:val="00D57015"/>
    <w:rsid w:val="00E66975"/>
    <w:rsid w:val="00E70191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24</cp:revision>
  <cp:lastPrinted>2014-08-05T10:13:00Z</cp:lastPrinted>
  <dcterms:created xsi:type="dcterms:W3CDTF">2014-08-01T09:24:00Z</dcterms:created>
  <dcterms:modified xsi:type="dcterms:W3CDTF">2014-09-09T08:53:00Z</dcterms:modified>
</cp:coreProperties>
</file>