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Times New Roman" w:hAnsi="Times New Roman"/>
          <w:sz w:val="24"/>
          <w:szCs w:val="24"/>
        </w:rPr>
      </w:pPr>
      <w:r>
        <w:rPr>
          <w:rFonts w:ascii="Times New Roman" w:hAnsi="Times New Roman"/>
          <w:sz w:val="24"/>
          <w:szCs w:val="24"/>
        </w:rPr>
      </w:r>
    </w:p>
    <w:p>
      <w:pPr>
        <w:pStyle w:val="Normal"/>
        <w:ind w:firstLine="5400"/>
        <w:jc w:val="right"/>
        <w:rPr>
          <w:rFonts w:ascii="Times New Roman" w:hAnsi="Times New Roman"/>
          <w:sz w:val="24"/>
          <w:szCs w:val="24"/>
        </w:rPr>
      </w:pPr>
      <w:r>
        <w:rPr>
          <w:rFonts w:cs="Arial" w:ascii="Times New Roman" w:hAnsi="Times New Roman"/>
          <w:sz w:val="24"/>
          <w:szCs w:val="24"/>
        </w:rPr>
        <w:t xml:space="preserve">Janikowo, dnia </w:t>
      </w:r>
      <w:r>
        <w:rPr>
          <w:rFonts w:cs="Arial" w:ascii="Times New Roman" w:hAnsi="Times New Roman"/>
          <w:sz w:val="24"/>
          <w:szCs w:val="24"/>
        </w:rPr>
        <w:t>27.03</w:t>
      </w:r>
      <w:r>
        <w:rPr>
          <w:rFonts w:cs="Arial" w:ascii="Times New Roman" w:hAnsi="Times New Roman"/>
          <w:sz w:val="24"/>
          <w:szCs w:val="24"/>
        </w:rPr>
        <w:t>.2023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w:t>
      </w:r>
      <w:r>
        <w:rPr>
          <w:rFonts w:cs="Arial" w:ascii="Times New Roman" w:hAnsi="Times New Roman"/>
          <w:sz w:val="24"/>
          <w:szCs w:val="24"/>
        </w:rPr>
        <w:t>01</w:t>
      </w:r>
      <w:r>
        <w:rPr>
          <w:rFonts w:cs="Arial" w:ascii="Times New Roman" w:hAnsi="Times New Roman"/>
          <w:sz w:val="24"/>
          <w:szCs w:val="24"/>
        </w:rPr>
        <w:t>.2023.AS</w:t>
      </w:r>
      <w:bookmarkStart w:id="0" w:name="_Hlk534818667"/>
      <w:bookmarkEnd w:id="0"/>
    </w:p>
    <w:p>
      <w:pPr>
        <w:pStyle w:val="Nagwek2"/>
        <w:rPr>
          <w:rFonts w:ascii="Times New Roman" w:hAnsi="Times New Roman"/>
          <w:sz w:val="24"/>
          <w:szCs w:val="24"/>
        </w:rPr>
      </w:pPr>
      <w:r>
        <w:rPr>
          <w:rFonts w:ascii="Times New Roman" w:hAnsi="Times New Roman"/>
          <w:sz w:val="24"/>
          <w:szCs w:val="24"/>
        </w:rPr>
        <w:t xml:space="preserve">DECYZJA Nr </w:t>
      </w:r>
      <w:r>
        <w:rPr>
          <w:rFonts w:ascii="Times New Roman" w:hAnsi="Times New Roman"/>
          <w:sz w:val="24"/>
          <w:szCs w:val="24"/>
        </w:rPr>
        <w:t>02-CP-</w:t>
      </w:r>
      <w:r>
        <w:rPr>
          <w:rFonts w:ascii="Times New Roman" w:hAnsi="Times New Roman"/>
          <w:sz w:val="24"/>
          <w:szCs w:val="24"/>
        </w:rPr>
        <w:t xml:space="preserve">23 </w:t>
      </w:r>
    </w:p>
    <w:p>
      <w:pPr>
        <w:pStyle w:val="Normal"/>
        <w:jc w:val="center"/>
        <w:rPr>
          <w:rFonts w:ascii="Times New Roman" w:hAnsi="Times New Roman"/>
          <w:sz w:val="24"/>
          <w:szCs w:val="24"/>
        </w:rPr>
      </w:pPr>
      <w:r>
        <w:rPr>
          <w:rFonts w:ascii="Times New Roman" w:hAnsi="Times New Roman"/>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pkt 8, art. 54 ustawy z dnia 27 marca 2003 r. o planowaniu i zagospodarowaniu przestrzennym (tekst jednolity: Dz. U. z 2022 r. poz. 503 ze zm.), art. 104  ustawy z dnia 14 czerwca 1960 r. Kodeks postępowania administracyjnego (</w:t>
      </w:r>
      <w:bookmarkStart w:id="1" w:name="_Hlk881644"/>
      <w:r>
        <w:rPr>
          <w:rFonts w:ascii="Times New Roman" w:hAnsi="Times New Roman"/>
          <w:sz w:val="24"/>
          <w:szCs w:val="24"/>
        </w:rPr>
        <w:t>tekst jednolity: Dz. U. z 2022 r. poz. 2000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14 lutego 2023 r. (data wpływu),</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GMINY JANIKOWO </w:t>
      </w:r>
    </w:p>
    <w:p>
      <w:pPr>
        <w:pStyle w:val="BodyText3"/>
        <w:spacing w:before="0" w:after="0"/>
        <w:jc w:val="center"/>
        <w:rPr>
          <w:rFonts w:ascii="Times New Roman" w:hAnsi="Times New Roman"/>
          <w:sz w:val="24"/>
          <w:szCs w:val="24"/>
        </w:rPr>
      </w:pPr>
      <w:r>
        <w:rPr>
          <w:rFonts w:ascii="Times New Roman" w:hAnsi="Times New Roman"/>
          <w:b/>
          <w:bCs/>
          <w:sz w:val="24"/>
          <w:szCs w:val="24"/>
        </w:rPr>
        <w:t>z siedzibą: ul. Przemysłowa 6, 88-160 Janikowo,</w:t>
      </w:r>
    </w:p>
    <w:p>
      <w:pPr>
        <w:pStyle w:val="BodyText3"/>
        <w:spacing w:before="0" w:after="0"/>
        <w:rPr>
          <w:rFonts w:ascii="Times New Roman" w:hAnsi="Times New Roman"/>
          <w:sz w:val="24"/>
          <w:szCs w:val="24"/>
        </w:rPr>
      </w:pPr>
      <w:r>
        <w:rPr>
          <w:rFonts w:ascii="Times New Roman" w:hAnsi="Times New Roman"/>
          <w:sz w:val="24"/>
          <w:szCs w:val="24"/>
        </w:rPr>
        <w:t xml:space="preserve">o ustalenie lokalizacji inwestycji celu publicznego dla inwestycji polegającej na </w:t>
      </w:r>
      <w:bookmarkStart w:id="2" w:name="_Hlk64555704"/>
      <w:r>
        <w:rPr>
          <w:rFonts w:ascii="Times New Roman" w:hAnsi="Times New Roman"/>
          <w:sz w:val="24"/>
          <w:szCs w:val="24"/>
        </w:rPr>
        <w:t>budowie sieci ciepłowniczej wraz z przyłączami – realizacja inwestycji na działkach nr ewid. 1/17, 1/16, 5 obręb ewidencyjny 8 miasto Janikowo,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rFonts w:ascii="Times New Roman" w:hAnsi="Times New Roman"/>
          <w:sz w:val="24"/>
          <w:szCs w:val="24"/>
        </w:rPr>
      </w:pPr>
      <w:r>
        <w:rPr>
          <w:rFonts w:ascii="Times New Roman" w:hAnsi="Times New Roman"/>
          <w:sz w:val="24"/>
          <w:szCs w:val="24"/>
        </w:rPr>
        <w:t xml:space="preserve">po uzgodnieniu z -  Zarządem Dróg Powiatowych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xml:space="preserve">  w odniesieniu do terenu przyległego do drogi zgodnie z art. 53 ust. 4 pkt 9 ww. ustawy</w:t>
      </w:r>
    </w:p>
    <w:p>
      <w:pPr>
        <w:pStyle w:val="BodyText3"/>
        <w:spacing w:before="0" w:after="0"/>
        <w:rPr>
          <w:rFonts w:ascii="Times New Roman" w:hAnsi="Times New Roman"/>
          <w:sz w:val="24"/>
          <w:szCs w:val="24"/>
        </w:rPr>
      </w:pPr>
      <w:r>
        <w:rPr>
          <w:rFonts w:ascii="Times New Roman" w:hAnsi="Times New Roman"/>
          <w:sz w:val="24"/>
          <w:szCs w:val="24"/>
        </w:rPr>
        <w:t xml:space="preserve">- z Starostą Inowrocławskim </w:t>
      </w:r>
      <w:r>
        <w:rPr>
          <w:rFonts w:cs="Arial" w:ascii="Times New Roman" w:hAnsi="Times New Roman"/>
          <w:sz w:val="24"/>
          <w:szCs w:val="24"/>
        </w:rPr>
        <w:t>(</w:t>
      </w:r>
      <w:r>
        <w:rPr>
          <w:rFonts w:cs="Arial" w:ascii="Times New Roman" w:hAnsi="Times New Roman"/>
          <w:sz w:val="24"/>
          <w:szCs w:val="24"/>
          <w:u w:val="none"/>
        </w:rPr>
        <w:t xml:space="preserve">postanowienie z dnia </w:t>
      </w:r>
      <w:r>
        <w:rPr>
          <w:rFonts w:cs="Arial" w:ascii="Times New Roman" w:hAnsi="Times New Roman"/>
          <w:sz w:val="24"/>
          <w:szCs w:val="24"/>
          <w:u w:val="none"/>
        </w:rPr>
        <w:t>23.02.2023</w:t>
      </w:r>
      <w:r>
        <w:rPr>
          <w:rFonts w:cs="Arial" w:ascii="Times New Roman" w:hAnsi="Times New Roman"/>
          <w:sz w:val="24"/>
          <w:szCs w:val="24"/>
          <w:u w:val="none"/>
        </w:rPr>
        <w:t>r.  Znak AB.673.1</w:t>
      </w:r>
      <w:r>
        <w:rPr>
          <w:rFonts w:cs="Arial" w:ascii="Times New Roman" w:hAnsi="Times New Roman"/>
          <w:sz w:val="24"/>
          <w:szCs w:val="24"/>
          <w:u w:val="none"/>
        </w:rPr>
        <w:t>2</w:t>
      </w:r>
      <w:r>
        <w:rPr>
          <w:rFonts w:cs="Arial" w:ascii="Times New Roman" w:hAnsi="Times New Roman"/>
          <w:sz w:val="24"/>
          <w:szCs w:val="24"/>
          <w:u w:val="none"/>
        </w:rPr>
        <w:t>.202</w:t>
      </w:r>
      <w:r>
        <w:rPr>
          <w:rFonts w:cs="Arial" w:ascii="Times New Roman" w:hAnsi="Times New Roman"/>
          <w:sz w:val="24"/>
          <w:szCs w:val="24"/>
          <w:u w:val="none"/>
        </w:rPr>
        <w:t>3</w:t>
      </w:r>
      <w:r>
        <w:rPr>
          <w:rFonts w:cs="Arial" w:ascii="Times New Roman" w:hAnsi="Times New Roman"/>
          <w:sz w:val="24"/>
          <w:szCs w:val="24"/>
        </w:rPr>
        <w:t xml:space="preserve">)zgodnie z art. 53 ust. 4 pkt 10 i 10a w związku z art. 39 ust. 3 pkt 3  </w:t>
      </w:r>
      <w:r>
        <w:rPr>
          <w:rFonts w:cs="Arial" w:ascii="Times New Roman" w:hAnsi="Times New Roman"/>
          <w:sz w:val="24"/>
          <w:szCs w:val="24"/>
          <w:u w:val="none"/>
        </w:rPr>
        <w:t>ustawy o planowaniu  i zagospodarowaniu przestrzennym</w:t>
      </w:r>
    </w:p>
    <w:p>
      <w:pPr>
        <w:pStyle w:val="Normal"/>
        <w:jc w:val="center"/>
        <w:rPr>
          <w:rFonts w:ascii="Times New Roman" w:hAnsi="Times New Roman" w:cs="Arial"/>
          <w:b/>
          <w:b/>
          <w:spacing w:val="88"/>
          <w:sz w:val="24"/>
          <w:szCs w:val="24"/>
        </w:rPr>
      </w:pPr>
      <w:r>
        <w:rPr>
          <w:rFonts w:cs="Arial" w:ascii="Times New Roman" w:hAnsi="Times New Roman"/>
          <w:b/>
          <w:spacing w:val="88"/>
          <w:sz w:val="24"/>
          <w:szCs w:val="24"/>
        </w:rPr>
      </w:r>
    </w:p>
    <w:p>
      <w:pPr>
        <w:pStyle w:val="Normal"/>
        <w:jc w:val="center"/>
        <w:rPr>
          <w:rFonts w:ascii="Times New Roman" w:hAnsi="Times New Roman"/>
          <w:sz w:val="24"/>
          <w:szCs w:val="24"/>
        </w:rPr>
      </w:pPr>
      <w:r>
        <w:rPr>
          <w:rFonts w:cs="Arial" w:ascii="Times New Roman" w:hAnsi="Times New Roman"/>
          <w:b/>
          <w:spacing w:val="88"/>
          <w:sz w:val="24"/>
          <w:szCs w:val="24"/>
        </w:rPr>
        <w:t>ustalam</w:t>
      </w:r>
    </w:p>
    <w:p>
      <w:pPr>
        <w:pStyle w:val="Normal"/>
        <w:jc w:val="center"/>
        <w:rPr>
          <w:rFonts w:ascii="Times New Roman" w:hAnsi="Times New Roman"/>
          <w:sz w:val="24"/>
          <w:szCs w:val="24"/>
        </w:rPr>
      </w:pPr>
      <w:r>
        <w:rPr>
          <w:rFonts w:cs="Arial" w:ascii="Times New Roman" w:hAnsi="Times New Roman"/>
          <w:b/>
          <w:spacing w:val="88"/>
          <w:sz w:val="24"/>
          <w:szCs w:val="24"/>
        </w:rPr>
        <w:t>lokalizację inwestycji celu publicznego</w:t>
      </w:r>
      <w:r>
        <w:rPr>
          <w:rFonts w:cs="Arial" w:ascii="Times New Roman" w:hAnsi="Times New Roman"/>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gazociągu niskiego ciśnienia w Janikowie – realizacja inwestycji na działkach nr ewid. 83, 22/7, obręb ewidencyjny 4 miasto Janikowo, gmina Janikowo, w granicach określonych na załączniku graficznym w skali 1:1000.</w:t>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sieci ciepłowniczej wraz z przyłączami.</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działkach nr ewid. 1/17, 1/16, 5 obręb ewidencyjny 8 miasto Janikowo,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zasadniczej  w skali 1:1000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Opis inwestycji: </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podłączenie do istniejącej sieci ciepłowniczej napowietrznej,</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 xml:space="preserve">projektowanej przewody z rur preizolowanych ułożonych w ziemi w systemie rur pojedynczych  lub rur podwójnych (w jednym płaszczu PEHD). </w:t>
      </w:r>
    </w:p>
    <w:p>
      <w:pPr>
        <w:pStyle w:val="BodyText3"/>
        <w:tabs>
          <w:tab w:val="clear" w:pos="708"/>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8"/>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2021 r. poz. 2351 ze zm.).</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2.</w:t>
        <w:tab/>
        <w:t>W trakcie przygotowania i realizacji inwestycji należy respektować przepisy wynikające z ustawy z dnia 27 kwietnia 2001 r. Prawo Ochrony Środowiska (tekst jednolity: Dz. U. z 2022 r. poz. 2556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4"/>
          <w:szCs w:val="24"/>
        </w:rPr>
        <w:t xml:space="preserve">tekst jednolity: Dz. U. </w:t>
      </w:r>
      <w:bookmarkStart w:id="4" w:name="_Hlk34215432"/>
      <w:bookmarkStart w:id="5" w:name="_Hlk77222528"/>
      <w:bookmarkEnd w:id="3"/>
      <w:r>
        <w:rPr>
          <w:rFonts w:cs="Arial" w:ascii="Times New Roman" w:hAnsi="Times New Roman"/>
          <w:sz w:val="24"/>
          <w:szCs w:val="24"/>
        </w:rPr>
        <w:t xml:space="preserve">z 2022 r. poz. </w:t>
      </w:r>
      <w:bookmarkEnd w:id="4"/>
      <w:bookmarkEnd w:id="5"/>
      <w:r>
        <w:rPr>
          <w:rFonts w:cs="Arial" w:ascii="Times New Roman" w:hAnsi="Times New Roman"/>
          <w:sz w:val="24"/>
          <w:szCs w:val="24"/>
        </w:rPr>
        <w:t>840).</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8.</w:t>
        <w:tab/>
        <w:t xml:space="preserve">Projektowana inwestycja nie jest ujęta w wykazie przedsięwzięć określonych w </w:t>
      </w:r>
      <w:bookmarkStart w:id="6" w:name="_Hlk33613496"/>
      <w:r>
        <w:rPr>
          <w:rFonts w:cs="Arial" w:ascii="Times New Roman" w:hAnsi="Times New Roman"/>
          <w:sz w:val="24"/>
          <w:szCs w:val="24"/>
        </w:rPr>
        <w:t>Rozporządzeniu Rady Ministrów z dnia 10 września 2019 r. w sprawie przedsięwzięć mogących znacząco oddziaływać na środowisko (tekst jednolity: Dz. U. z 2019 poz. 1839 ze zm.)</w:t>
      </w:r>
      <w:bookmarkEnd w:id="6"/>
      <w:r>
        <w:rPr>
          <w:rFonts w:cs="Arial" w:ascii="Times New Roman" w:hAnsi="Times New Roman"/>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2022 r. poz. 1029 ze zm.).</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4"/>
          <w:szCs w:val="24"/>
        </w:rPr>
      </w:pPr>
      <w:r>
        <w:rPr>
          <w:rFonts w:cs="Arial" w:ascii="Times New Roman" w:hAnsi="Times New Roman"/>
          <w:sz w:val="24"/>
          <w:szCs w:val="24"/>
        </w:rPr>
        <w:t>11.</w:t>
        <w:tab/>
        <w:t xml:space="preserve">Realizacja inwestycji nie wymaga uzyskania zgody na zmianę przeznaczenia gruntów rolnych i leśnych na cele nierolnicze i nieleśne </w:t>
      </w:r>
      <w:r>
        <w:rPr>
          <w:rFonts w:eastAsia="Calibri" w:cs="Arial" w:ascii="Times New Roman" w:hAnsi="Times New Roman"/>
          <w:bCs/>
          <w:i/>
          <w:sz w:val="24"/>
          <w:szCs w:val="24"/>
          <w:u w:val="single"/>
        </w:rPr>
        <w:t xml:space="preserve">/zgodnie z ustawą z dnia 3 lutego 1995 r. o ochronie gruntów rolnych i leśnych (tekst jednolity: </w:t>
      </w:r>
      <w:bookmarkStart w:id="7" w:name="_Hlk78216668"/>
      <w:r>
        <w:rPr>
          <w:rFonts w:eastAsia="Calibri" w:ascii="Times New Roman" w:hAnsi="Times New Roman"/>
          <w:bCs/>
          <w:i/>
          <w:sz w:val="24"/>
          <w:szCs w:val="24"/>
          <w:u w:val="single"/>
        </w:rPr>
        <w:t xml:space="preserve">Dz. U. z 2022 r., poz. </w:t>
      </w:r>
      <w:bookmarkEnd w:id="7"/>
      <w:r>
        <w:rPr>
          <w:rFonts w:eastAsia="Calibri" w:ascii="Times New Roman" w:hAnsi="Times New Roman"/>
          <w:bCs/>
          <w:i/>
          <w:sz w:val="24"/>
          <w:szCs w:val="24"/>
          <w:u w:val="single"/>
        </w:rPr>
        <w:t>2409 ze zm.</w:t>
      </w:r>
      <w:r>
        <w:rPr>
          <w:rFonts w:eastAsia="Calibri" w:cs="Arial" w:ascii="Times New Roman" w:hAnsi="Times New Roman"/>
          <w:bCs/>
          <w:i/>
          <w:sz w:val="24"/>
          <w:szCs w:val="24"/>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2021 r. poz. 1899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2022 r. poz. 1693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4"/>
          <w:szCs w:val="24"/>
        </w:rPr>
      </w:pPr>
      <w:r>
        <w:rPr>
          <w:rFonts w:eastAsia="Calibri" w:cs="Arial" w:ascii="Times New Roman" w:hAnsi="Times New Roman"/>
          <w:bCs/>
          <w:i/>
          <w:sz w:val="24"/>
          <w:szCs w:val="24"/>
        </w:rPr>
        <w:tab/>
      </w:r>
      <w:r>
        <w:rPr>
          <w:rFonts w:eastAsia="Calibri" w:cs="Arial" w:ascii="Times New Roman" w:hAnsi="Times New Roman"/>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ascii="Times New Roman" w:hAnsi="Times New Roman"/>
          <w:b/>
          <w:bCs/>
          <w:sz w:val="24"/>
          <w:szCs w:val="24"/>
          <w:u w:val="single"/>
        </w:rPr>
        <w:t>ochrona gruntów rolnych</w:t>
      </w:r>
      <w:r>
        <w:rPr>
          <w:rFonts w:cs="Arial" w:ascii="Times New Roman" w:hAnsi="Times New Roman"/>
          <w:bCs/>
          <w:sz w:val="24"/>
          <w:szCs w:val="24"/>
        </w:rPr>
        <w:t xml:space="preserve">: </w:t>
      </w:r>
      <w:r>
        <w:rPr>
          <w:rFonts w:cs="Arial" w:ascii="Times New Roman" w:hAnsi="Times New Roman"/>
          <w:sz w:val="24"/>
          <w:szCs w:val="24"/>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ascii="Times New Roman" w:hAnsi="Times New Roman"/>
          <w:b/>
          <w:bCs/>
          <w:sz w:val="24"/>
          <w:szCs w:val="24"/>
          <w:u w:val="single"/>
        </w:rPr>
        <w:t>ochrona gruntów rolnych</w:t>
      </w:r>
      <w:r>
        <w:rPr>
          <w:rFonts w:cs="Arial" w:ascii="Times New Roman" w:hAnsi="Times New Roman"/>
          <w:bCs/>
          <w:sz w:val="24"/>
          <w:szCs w:val="24"/>
        </w:rPr>
        <w:t>:</w:t>
      </w:r>
      <w:r>
        <w:rPr>
          <w:rFonts w:cs="Arial" w:ascii="Times New Roman" w:hAnsi="Times New Roman"/>
          <w:sz w:val="24"/>
          <w:szCs w:val="24"/>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w:t>
      </w:r>
      <w:r>
        <w:rPr>
          <w:rFonts w:ascii="Times New Roman" w:hAnsi="Times New Roman"/>
          <w:b/>
          <w:sz w:val="24"/>
          <w:szCs w:val="24"/>
        </w:rPr>
        <w:t>R</w:t>
      </w:r>
      <w:r>
        <w:rPr>
          <w:rFonts w:ascii="Times New Roman" w:hAnsi="Times New Roman"/>
          <w:b/>
          <w:sz w:val="24"/>
          <w:szCs w:val="24"/>
        </w:rPr>
        <w:t>UKTURY TECHNICZNEJ I KOMUNIKACJI</w:t>
      </w:r>
    </w:p>
    <w:p>
      <w:pPr>
        <w:pStyle w:val="Normal"/>
        <w:numPr>
          <w:ilvl w:val="0"/>
          <w:numId w:val="2"/>
        </w:numPr>
        <w:jc w:val="both"/>
        <w:rPr>
          <w:rFonts w:ascii="Times New Roman" w:hAnsi="Times New Roman"/>
          <w:sz w:val="24"/>
          <w:szCs w:val="24"/>
        </w:rPr>
      </w:pPr>
      <w:r>
        <w:rPr>
          <w:rFonts w:ascii="Times New Roman" w:hAnsi="Times New Roman"/>
          <w:sz w:val="24"/>
          <w:szCs w:val="24"/>
        </w:rPr>
        <w:t>Zaopatrzenie w energię – nie dotyczy.</w:t>
      </w:r>
    </w:p>
    <w:p>
      <w:pPr>
        <w:pStyle w:val="Normal"/>
        <w:numPr>
          <w:ilvl w:val="0"/>
          <w:numId w:val="2"/>
        </w:numPr>
        <w:jc w:val="both"/>
        <w:rPr>
          <w:rFonts w:ascii="Times New Roman" w:hAnsi="Times New Roman"/>
          <w:sz w:val="24"/>
          <w:szCs w:val="24"/>
        </w:rPr>
      </w:pPr>
      <w:r>
        <w:rPr>
          <w:rFonts w:ascii="Times New Roman" w:hAnsi="Times New Roman"/>
          <w:sz w:val="24"/>
          <w:szCs w:val="24"/>
        </w:rPr>
        <w:t>Woda – nie dotyczy.</w:t>
      </w:r>
    </w:p>
    <w:p>
      <w:pPr>
        <w:pStyle w:val="Normal"/>
        <w:numPr>
          <w:ilvl w:val="0"/>
          <w:numId w:val="2"/>
        </w:numPr>
        <w:jc w:val="both"/>
        <w:rPr>
          <w:rFonts w:ascii="Times New Roman" w:hAnsi="Times New Roman"/>
          <w:sz w:val="24"/>
          <w:szCs w:val="24"/>
        </w:rPr>
      </w:pPr>
      <w:r>
        <w:rPr>
          <w:rFonts w:ascii="Times New Roman" w:hAnsi="Times New Roman"/>
          <w:sz w:val="24"/>
          <w:szCs w:val="24"/>
        </w:rPr>
        <w:t>Odprowadzenie ścieków sanitarnych – nie dotyczy.</w:t>
      </w:r>
    </w:p>
    <w:p>
      <w:pPr>
        <w:pStyle w:val="Normal"/>
        <w:numPr>
          <w:ilvl w:val="0"/>
          <w:numId w:val="2"/>
        </w:numPr>
        <w:jc w:val="both"/>
        <w:rPr>
          <w:rFonts w:ascii="Times New Roman" w:hAnsi="Times New Roman"/>
          <w:sz w:val="24"/>
          <w:szCs w:val="24"/>
        </w:rPr>
      </w:pPr>
      <w:r>
        <w:rPr>
          <w:rFonts w:ascii="Times New Roman" w:hAnsi="Times New Roman"/>
          <w:sz w:val="24"/>
          <w:szCs w:val="24"/>
        </w:rPr>
        <w:t>Odprowadzenie wód opadowych – nie dotyczy.</w:t>
      </w:r>
    </w:p>
    <w:p>
      <w:pPr>
        <w:pStyle w:val="Normal"/>
        <w:numPr>
          <w:ilvl w:val="0"/>
          <w:numId w:val="2"/>
        </w:numPr>
        <w:jc w:val="both"/>
        <w:rPr>
          <w:rFonts w:ascii="Times New Roman" w:hAnsi="Times New Roman"/>
          <w:sz w:val="24"/>
          <w:szCs w:val="24"/>
        </w:rPr>
      </w:pPr>
      <w:r>
        <w:rPr>
          <w:rFonts w:ascii="Times New Roman" w:hAnsi="Times New Roman"/>
          <w:sz w:val="24"/>
          <w:szCs w:val="24"/>
        </w:rPr>
        <w:t>Gaz – na warunkach gestora sieci.</w:t>
      </w:r>
    </w:p>
    <w:p>
      <w:pPr>
        <w:pStyle w:val="Normal"/>
        <w:numPr>
          <w:ilvl w:val="0"/>
          <w:numId w:val="2"/>
        </w:numPr>
        <w:jc w:val="both"/>
        <w:rPr>
          <w:rFonts w:ascii="Times New Roman" w:hAnsi="Times New Roman"/>
          <w:sz w:val="24"/>
          <w:szCs w:val="24"/>
        </w:rPr>
      </w:pPr>
      <w:r>
        <w:rPr>
          <w:rFonts w:ascii="Times New Roman" w:hAnsi="Times New Roman"/>
          <w:sz w:val="24"/>
          <w:szCs w:val="24"/>
        </w:rPr>
        <w:t>Źródło ogrzewania – nie dotyczy.</w:t>
      </w:r>
    </w:p>
    <w:p>
      <w:pPr>
        <w:pStyle w:val="Normal"/>
        <w:numPr>
          <w:ilvl w:val="0"/>
          <w:numId w:val="2"/>
        </w:numPr>
        <w:jc w:val="both"/>
        <w:rPr>
          <w:rFonts w:ascii="Times New Roman" w:hAnsi="Times New Roman"/>
          <w:sz w:val="24"/>
          <w:szCs w:val="24"/>
        </w:rPr>
      </w:pPr>
      <w:r>
        <w:rPr>
          <w:rFonts w:ascii="Times New Roman" w:hAnsi="Times New Roman"/>
          <w:sz w:val="24"/>
          <w:szCs w:val="24"/>
        </w:rPr>
        <w:t xml:space="preserve">Obsługa komunikacyjna – nie dotyczy. </w:t>
      </w:r>
    </w:p>
    <w:p>
      <w:pPr>
        <w:pStyle w:val="Normal"/>
        <w:numPr>
          <w:ilvl w:val="0"/>
          <w:numId w:val="2"/>
        </w:numPr>
        <w:jc w:val="both"/>
        <w:rPr>
          <w:rFonts w:ascii="Times New Roman" w:hAnsi="Times New Roman"/>
          <w:sz w:val="24"/>
          <w:szCs w:val="24"/>
        </w:rPr>
      </w:pPr>
      <w:r>
        <w:rPr>
          <w:rFonts w:ascii="Times New Roman" w:hAnsi="Times New Roman"/>
          <w:sz w:val="24"/>
          <w:szCs w:val="24"/>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Times New Roman" w:hAnsi="Times New Roman"/>
          <w:sz w:val="24"/>
          <w:szCs w:val="24"/>
        </w:rPr>
      </w:pPr>
      <w:r>
        <w:rPr>
          <w:rFonts w:ascii="Times New Roman" w:hAnsi="Times New Roman"/>
          <w:sz w:val="24"/>
          <w:szCs w:val="24"/>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Times New Roman" w:hAnsi="Times New Roman"/>
          <w:sz w:val="24"/>
          <w:szCs w:val="24"/>
        </w:rPr>
      </w:pPr>
      <w:r>
        <w:rPr>
          <w:rFonts w:ascii="Times New Roman" w:hAnsi="Times New Roman"/>
          <w:sz w:val="24"/>
          <w:szCs w:val="24"/>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rFonts w:ascii="Times New Roman" w:hAnsi="Times New Roman"/>
          <w:sz w:val="24"/>
          <w:szCs w:val="24"/>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rFonts w:ascii="Times New Roman" w:hAnsi="Times New Roman"/>
          <w:sz w:val="24"/>
          <w:szCs w:val="24"/>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rFonts w:ascii="Times New Roman" w:hAnsi="Times New Roman"/>
          <w:sz w:val="24"/>
          <w:szCs w:val="24"/>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Times New Roman" w:hAnsi="Times New Roman"/>
          <w:sz w:val="24"/>
          <w:szCs w:val="24"/>
        </w:rPr>
      </w:pPr>
      <w:r>
        <w:rPr>
          <w:rFonts w:ascii="Times New Roman" w:hAnsi="Times New Roman"/>
          <w:sz w:val="24"/>
          <w:szCs w:val="24"/>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ascii="Times New Roman" w:hAnsi="Times New Roman"/>
          <w:sz w:val="24"/>
          <w:szCs w:val="24"/>
        </w:rPr>
        <w:t>Dz. U. z 2022 r. poz. 1360 ze zm</w:t>
      </w:r>
      <w:bookmarkEnd w:id="8"/>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3.</w:t>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Times New Roman" w:hAnsi="Times New Roman"/>
          <w:sz w:val="24"/>
          <w:szCs w:val="24"/>
        </w:rPr>
        <w:t>Dz. U. z 2022 r. poz. 1360 ze zm</w:t>
      </w:r>
      <w:r>
        <w:rPr>
          <w:rFonts w:ascii="Times New Roman" w:hAnsi="Times New Roman"/>
          <w:sz w:val="24"/>
          <w:szCs w:val="24"/>
        </w:rPr>
        <w:t>.</w:t>
      </w:r>
      <w:bookmarkEnd w:id="9"/>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4.</w:t>
        <w:tab/>
      </w:r>
      <w:bookmarkStart w:id="10" w:name="_Hlk96254931"/>
      <w:bookmarkStart w:id="11" w:name="_Hlk505102927"/>
      <w:r>
        <w:rPr>
          <w:rFonts w:ascii="Times New Roman" w:hAnsi="Times New Roman"/>
          <w:sz w:val="24"/>
          <w:szCs w:val="24"/>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Times New Roman" w:hAnsi="Times New Roman"/>
          <w:sz w:val="24"/>
          <w:szCs w:val="24"/>
        </w:rPr>
        <w:t xml:space="preserve">Dz. U. z 2022 poz. </w:t>
      </w:r>
      <w:bookmarkEnd w:id="12"/>
      <w:r>
        <w:rPr>
          <w:rFonts w:ascii="Times New Roman" w:hAnsi="Times New Roman"/>
          <w:sz w:val="24"/>
          <w:szCs w:val="24"/>
        </w:rPr>
        <w:t>2625 ze zm.)</w:t>
      </w:r>
      <w:bookmarkEnd w:id="11"/>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5.</w:t>
        <w:tab/>
        <w:t xml:space="preserve">Należy uzyskać prawo do dysponowania nieruchomością na cele budowlane, dokumentując je dołączonym do wniosku o pozwolenie na budowę oświadczeniem - zgodnie z art. 32 ust. 4 pkt 2 i art. 33 ust. 2 pkt 2 </w:t>
      </w:r>
      <w:r>
        <w:rPr>
          <w:rFonts w:cs="Arial" w:ascii="Times New Roman" w:hAnsi="Times New Roman"/>
          <w:sz w:val="24"/>
          <w:szCs w:val="24"/>
        </w:rPr>
        <w:t xml:space="preserve">ustawy z dnia 7 lipca 1994 r. – Prawo Budowlane (tekst jednolity: </w:t>
      </w:r>
      <w:bookmarkStart w:id="13" w:name="_Hlk16185658"/>
      <w:r>
        <w:rPr>
          <w:rFonts w:ascii="Times New Roman" w:hAnsi="Times New Roman"/>
          <w:sz w:val="24"/>
          <w:szCs w:val="24"/>
        </w:rPr>
        <w:t xml:space="preserve">Dz. U. z 2021 r. poz. </w:t>
      </w:r>
      <w:bookmarkEnd w:id="13"/>
      <w:r>
        <w:rPr>
          <w:rFonts w:ascii="Times New Roman" w:hAnsi="Times New Roman"/>
          <w:sz w:val="24"/>
          <w:szCs w:val="24"/>
        </w:rPr>
        <w:t>2351 ze zm</w:t>
      </w:r>
      <w:r>
        <w:rPr>
          <w:rFonts w:cs="Arial" w:ascii="Times New Roman" w:hAnsi="Times New Roman"/>
          <w:sz w:val="24"/>
          <w:szCs w:val="24"/>
        </w:rPr>
        <w:t>.)</w:t>
      </w:r>
      <w:bookmarkEnd w:id="10"/>
      <w:r>
        <w:rPr>
          <w:rFonts w:ascii="Times New Roman" w:hAnsi="Times New Roman"/>
          <w:sz w:val="24"/>
          <w:szCs w:val="24"/>
        </w:rPr>
        <w:t>.</w:t>
      </w:r>
    </w:p>
    <w:p>
      <w:pPr>
        <w:pStyle w:val="BodyText3"/>
        <w:tabs>
          <w:tab w:val="clear" w:pos="708"/>
          <w:tab w:val="left" w:pos="360" w:leader="none"/>
        </w:tabs>
        <w:spacing w:before="0" w:after="0"/>
        <w:ind w:left="360" w:hanging="360"/>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360" w:hanging="360"/>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rPr>
          <w:rFonts w:ascii="Times New Roman" w:hAnsi="Times New Roman"/>
          <w:sz w:val="24"/>
          <w:szCs w:val="24"/>
        </w:rPr>
      </w:pPr>
      <w:r>
        <w:rPr>
          <w:rFonts w:ascii="Times New Roman" w:hAnsi="Times New Roman"/>
          <w:sz w:val="24"/>
          <w:szCs w:val="24"/>
        </w:rPr>
        <w:t xml:space="preserve">W dniu 14 lutego 2023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wystąpiła o ustalenie lokalizacji inwestycji celu publicznego polegającej na budowie sieci ciepłowniczej wraz z przyłączami – realizacja inwestycji na działkach nr ewid. 1/17, 1/16, 5 obręb ewidencyjny 8 miasto Janikowo, gmina Janikowo.</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Rozpatrując wniosek stwierdzono, iż wnioskowane zamierzenie zaliczone jest do inwestycji celu publicznego, bowiem zgodnie z art. 6 pkt 2 ustawy z dnia 21 sierpnia 1997 r. o gospodarce nieruchomościami (tekst jednolity: Dz. U. z 2021 r. poz. 1899 ze zm.) „budowa i utrzymywanie ciągów drenażowych, przewodów i urządzeń służących do przesyłania lub dystrybucji płynów, pary, gazów i energii elektrycznej, a także innych obiektów i urządzeń niezbędnych do korzystania z tych przewodów i urządzeń”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8"/>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14" w:name="_Hlk506796204"/>
      <w:r>
        <w:rPr>
          <w:rFonts w:ascii="Times New Roman" w:hAnsi="Times New Roman"/>
          <w:sz w:val="24"/>
          <w:szCs w:val="24"/>
        </w:rPr>
        <w:t>z dnia 16 kwietnia 2004 r. o ochronie przyrody (Dz. U. z 2022 r. poz. 916 ze zm</w:t>
      </w:r>
      <w:r>
        <w:rPr>
          <w:rFonts w:ascii="Times New Roman" w:hAnsi="Times New Roman"/>
          <w:sz w:val="24"/>
          <w:szCs w:val="24"/>
          <w:lang w:eastAsia="ar-SA"/>
        </w:rPr>
        <w:t>.</w:t>
      </w:r>
      <w:r>
        <w:rPr>
          <w:rFonts w:ascii="Times New Roman" w:hAnsi="Times New Roman"/>
          <w:sz w:val="24"/>
          <w:szCs w:val="24"/>
        </w:rPr>
        <w:t>)</w:t>
      </w:r>
      <w:bookmarkEnd w:id="14"/>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(tekst jednolity: Dz. U. z 2022 r. poz. 840 ze zm.),</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stanowi dróg publicznych.</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rFonts w:ascii="Times New Roman" w:hAnsi="Times New Roman"/>
          <w:sz w:val="24"/>
          <w:szCs w:val="24"/>
        </w:rPr>
      </w:pPr>
      <w:r>
        <w:rPr>
          <w:rFonts w:cs="Arial" w:ascii="Times New Roman" w:hAnsi="Times New Roman"/>
          <w:sz w:val="24"/>
          <w:szCs w:val="24"/>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Times New Roman" w:hAnsi="Times New Roman"/>
          <w:sz w:val="24"/>
          <w:szCs w:val="24"/>
        </w:rPr>
      </w:pPr>
      <w:r>
        <w:rPr>
          <w:rFonts w:cs="Arial" w:ascii="Times New Roman" w:hAnsi="Times New Roman"/>
          <w:sz w:val="24"/>
          <w:szCs w:val="24"/>
        </w:rPr>
        <w:t>W związku z brakiem planu miejscowego na podstawie art. 4 ust. 2 pkt 2 Ustawy z dnia 27 marca 2003 r. o planowaniu i zagospodarowaniu przestrzennym (tekst jednolity: Dz. U. z 2022 r. poz. 503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ascii="Times New Roman" w:hAnsi="Times New Roman"/>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t xml:space="preserve">Projekt decyzji uzgodniono z Zarządem Dróg Powiatowych w odniesieniu do terenu przyległego do drogi zgodnie z art. 53 ust. 4 pkt 9 ww. ustawy </w:t>
      </w:r>
      <w:r>
        <w:rPr>
          <w:rFonts w:ascii="Times New Roman" w:hAnsi="Times New Roman"/>
          <w:sz w:val="24"/>
          <w:szCs w:val="24"/>
        </w:rPr>
        <w:t xml:space="preserve">oraz z  Starostą Inowrocławskim </w:t>
      </w:r>
      <w:r>
        <w:rPr>
          <w:rFonts w:cs="Arial" w:ascii="Times New Roman" w:hAnsi="Times New Roman"/>
          <w:sz w:val="24"/>
          <w:szCs w:val="24"/>
        </w:rPr>
        <w:t xml:space="preserve">zgodnie z art. 53 ust. 4 pkt 10 i 10a w związku z art. 39 ust. 3 pkt 3  </w:t>
      </w:r>
      <w:r>
        <w:rPr>
          <w:rFonts w:cs="Arial" w:ascii="Times New Roman" w:hAnsi="Times New Roman"/>
          <w:sz w:val="24"/>
          <w:szCs w:val="24"/>
          <w:u w:val="none"/>
        </w:rPr>
        <w:t>ustawy o planowaniu  i zagospodarowaniu przestrzennym</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bookmarkStart w:id="15" w:name="_Hlk487432118"/>
      <w:r>
        <w:rPr>
          <w:rFonts w:ascii="Times New Roman" w:hAnsi="Times New Roman"/>
          <w:sz w:val="24"/>
          <w:szCs w:val="24"/>
        </w:rPr>
        <w:t>Zgodnie z art. 127a § 1 i 2 ustawy z dnia 14 czerwca 1960 r. Kodeks postępowania administracyjnego (tekst jednolity: Dz. U. z 2022 r. poz. 2000 ze zm.) w trakcie biegu terminu do wniesienia odwołania strona może zrzec się prawa do wniesienia odwołania wobec organu administracji publicznej, który wydał decyzję</w:t>
      </w:r>
      <w:bookmarkEnd w:id="15"/>
      <w:r>
        <w:rPr>
          <w:rFonts w:ascii="Times New Roman" w:hAnsi="Times New Roman"/>
          <w:sz w:val="24"/>
          <w:szCs w:val="24"/>
        </w:rPr>
        <w:t xml:space="preserve">.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Zgodnie z art. 51 ust. 2 ustawy z dnia 27 marca 2003 r. o planowaniu i zagospodarowaniu przestrzennym (tekst jednolity: Dz. U. z 2022 r. poz. 503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Times New Roman" w:hAnsi="Times New Roman"/>
          <w:sz w:val="24"/>
          <w:szCs w:val="24"/>
        </w:rPr>
      </w:pPr>
      <w:r>
        <w:rPr>
          <w:rFonts w:ascii="Times New Roman" w:hAnsi="Times New Roman"/>
          <w:sz w:val="24"/>
          <w:szCs w:val="24"/>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tabs>
          <w:tab w:val="clear" w:pos="708"/>
          <w:tab w:val="left" w:pos="284" w:leader="none"/>
        </w:tabs>
        <w:ind w:right="4536" w:hanging="0"/>
        <w:rPr>
          <w:rFonts w:ascii="Arial Narrow" w:hAnsi="Arial Narrow"/>
          <w:sz w:val="16"/>
        </w:rPr>
      </w:pPr>
      <w:r>
        <w:rPr>
          <w:rFonts w:ascii="Arial Narrow" w:hAnsi="Arial Narrow"/>
          <w:sz w:val="16"/>
        </w:rPr>
        <w:t>3.</w:t>
        <w:tab/>
        <w:t>a/a</w:t>
      </w:r>
    </w:p>
    <w:sectPr>
      <w:footerReference w:type="even" r:id="rId2"/>
      <w:footerReference w:type="default" r:id="rId3"/>
      <w:footerReference w:type="first" r:id="rId4"/>
      <w:type w:val="nextPage"/>
      <w:pgSz w:w="11906" w:h="16838"/>
      <w:pgMar w:left="1417" w:right="1302"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mka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3"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53.2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5"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53.2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19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LibreOffice/7.2.4.1$Windows_X86_64 LibreOffice_project/27d75539669ac387bb498e35313b970b7fe9c4f9</Application>
  <AppVersion>15.0000</AppVersion>
  <Pages>6</Pages>
  <Words>2719</Words>
  <Characters>16054</Characters>
  <CharactersWithSpaces>18755</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2023-02-15T15:33:00Z</dcterms:created>
  <dc:creator>Agnieszka Kujath-Jaworska</dc:creator>
  <dc:description/>
  <dc:language>pl-PL</dc:language>
  <cp:lastModifiedBy/>
  <cp:lastPrinted>2023-03-24T11:20:36Z</cp:lastPrinted>
  <dcterms:modified xsi:type="dcterms:W3CDTF">2023-03-24T11:20:41Z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