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right"/>
        <w:rPr>
          <w:rFonts w:ascii="Times New Roman" w:hAnsi="Times New Roman"/>
          <w:sz w:val="24"/>
          <w:szCs w:val="24"/>
        </w:rPr>
      </w:pPr>
      <w:r>
        <w:rPr>
          <w:rFonts w:cs="Arial"/>
          <w:sz w:val="24"/>
          <w:szCs w:val="24"/>
        </w:rPr>
        <w:t>Janikowo, dnia 05.01.2023 r.</w:t>
      </w:r>
    </w:p>
    <w:p>
      <w:pPr>
        <w:pStyle w:val="NormalIMP"/>
        <w:suppressAutoHyphens w:val="false"/>
        <w:overflowPunct w:val="true"/>
        <w:spacing w:lineRule="auto" w:line="240"/>
        <w:textAlignment w:val="auto"/>
        <w:rPr>
          <w:rFonts w:ascii="Times New Roman" w:hAnsi="Times New Roman"/>
          <w:sz w:val="24"/>
          <w:szCs w:val="24"/>
        </w:rPr>
      </w:pPr>
      <w:r>
        <w:rPr>
          <w:rFonts w:cs="Arial" w:ascii="Times New Roman" w:hAnsi="Times New Roman"/>
          <w:sz w:val="24"/>
          <w:szCs w:val="24"/>
        </w:rPr>
        <w:t>RIT.GP.6733.09.2022.AS</w:t>
      </w:r>
      <w:bookmarkStart w:id="0" w:name="_Hlk534818667"/>
      <w:bookmarkEnd w:id="0"/>
    </w:p>
    <w:p>
      <w:pPr>
        <w:pStyle w:val="Nagwek2"/>
        <w:rPr>
          <w:rFonts w:ascii="Times New Roman" w:hAnsi="Times New Roman"/>
          <w:sz w:val="24"/>
          <w:szCs w:val="24"/>
        </w:rPr>
      </w:pPr>
      <w:r>
        <w:rPr>
          <w:rFonts w:ascii="Times New Roman" w:hAnsi="Times New Roman"/>
          <w:sz w:val="24"/>
          <w:szCs w:val="24"/>
        </w:rPr>
        <w:t xml:space="preserve">DECYZJA Nr 01-CP-23 </w:t>
      </w:r>
    </w:p>
    <w:p>
      <w:pPr>
        <w:pStyle w:val="Normal"/>
        <w:jc w:val="center"/>
        <w:rPr>
          <w:rFonts w:ascii="Times New Roman" w:hAnsi="Times New Roman"/>
          <w:sz w:val="24"/>
          <w:szCs w:val="24"/>
        </w:rPr>
      </w:pPr>
      <w:r>
        <w:rPr>
          <w:b/>
          <w:sz w:val="24"/>
          <w:szCs w:val="24"/>
        </w:rPr>
        <w:t xml:space="preserve">o ustaleniu lokalizacji inwestycji celu publicznego </w:t>
      </w:r>
    </w:p>
    <w:p>
      <w:pPr>
        <w:pStyle w:val="BodyText3"/>
        <w:ind w:firstLine="540"/>
        <w:rPr>
          <w:rFonts w:ascii="Times New Roman" w:hAnsi="Times New Roman"/>
          <w:sz w:val="24"/>
          <w:szCs w:val="24"/>
        </w:rPr>
      </w:pPr>
      <w:r>
        <w:rPr>
          <w:rFonts w:ascii="Times New Roman" w:hAnsi="Times New Roman"/>
          <w:sz w:val="24"/>
          <w:szCs w:val="24"/>
        </w:rPr>
        <w:t>Na podstawie art. 1 ust. 2, art. 4 ust. 2 pkt 1, art. 50 ust. 1, 4, art. 51 ust. 1 pkt 2, art. 53 ust. 1, 3, 4, pkt 6, art. 54 ustawy z dnia 27 marca 2003 r. o planowaniu i zagospodarowaniu przestrzennym (tekst jednolity: Dz. U. z 2022 r. poz. 503 ze zm.), art. 104  ustawy z dnia 14 czerwca 1960 r. Kodeks postępowania administracyjnego (</w:t>
      </w:r>
      <w:bookmarkStart w:id="1" w:name="_Hlk881644"/>
      <w:r>
        <w:rPr>
          <w:rFonts w:ascii="Times New Roman" w:hAnsi="Times New Roman"/>
          <w:sz w:val="24"/>
          <w:szCs w:val="24"/>
        </w:rPr>
        <w:t>tekst jednolity: Dz. U. z 2022 r. poz. 2000)</w:t>
      </w:r>
      <w:bookmarkEnd w:id="1"/>
      <w:r>
        <w:rPr>
          <w:rFonts w:ascii="Times New Roman" w:hAnsi="Times New Roman"/>
          <w:sz w:val="24"/>
          <w:szCs w:val="24"/>
        </w:rPr>
        <w:t xml:space="preserve">, </w:t>
      </w:r>
      <w:r>
        <w:rPr>
          <w:rFonts w:ascii="Times New Roman" w:hAnsi="Times New Roman"/>
          <w:b/>
          <w:sz w:val="24"/>
          <w:szCs w:val="24"/>
        </w:rPr>
        <w:t>rozpatrując wniosek</w:t>
      </w:r>
      <w:r>
        <w:rPr>
          <w:rFonts w:ascii="Times New Roman" w:hAnsi="Times New Roman"/>
          <w:sz w:val="24"/>
          <w:szCs w:val="24"/>
        </w:rPr>
        <w:t xml:space="preserve"> </w:t>
      </w:r>
    </w:p>
    <w:p>
      <w:pPr>
        <w:pStyle w:val="BodyText3"/>
        <w:spacing w:before="0" w:after="0"/>
        <w:jc w:val="center"/>
        <w:rPr>
          <w:rFonts w:ascii="Times New Roman" w:hAnsi="Times New Roman"/>
          <w:sz w:val="24"/>
          <w:szCs w:val="24"/>
        </w:rPr>
      </w:pPr>
      <w:r>
        <w:rPr>
          <w:rFonts w:ascii="Times New Roman" w:hAnsi="Times New Roman"/>
          <w:sz w:val="24"/>
          <w:szCs w:val="24"/>
        </w:rPr>
        <w:t>z dnia 21 listopada 2022 r. (data wpływu),</w:t>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Polskiej Spółki Gazownictwa Sp. z o.o. </w:t>
      </w:r>
    </w:p>
    <w:p>
      <w:pPr>
        <w:pStyle w:val="BodyText3"/>
        <w:spacing w:before="0" w:after="0"/>
        <w:jc w:val="center"/>
        <w:rPr>
          <w:rFonts w:ascii="Times New Roman" w:hAnsi="Times New Roman"/>
          <w:sz w:val="24"/>
          <w:szCs w:val="24"/>
        </w:rPr>
      </w:pPr>
      <w:r>
        <w:rPr>
          <w:rFonts w:ascii="Times New Roman" w:hAnsi="Times New Roman"/>
          <w:b/>
          <w:bCs/>
          <w:sz w:val="24"/>
          <w:szCs w:val="24"/>
        </w:rPr>
        <w:t>Oddział Zakład Gazowniczy w Bydgoszczy</w:t>
      </w:r>
    </w:p>
    <w:p>
      <w:pPr>
        <w:pStyle w:val="BodyText3"/>
        <w:spacing w:before="0" w:after="0"/>
        <w:jc w:val="center"/>
        <w:rPr>
          <w:rFonts w:ascii="Times New Roman" w:hAnsi="Times New Roman"/>
          <w:sz w:val="24"/>
          <w:szCs w:val="24"/>
        </w:rPr>
      </w:pPr>
      <w:r>
        <w:rPr>
          <w:rFonts w:ascii="Times New Roman" w:hAnsi="Times New Roman"/>
          <w:b/>
          <w:bCs/>
          <w:sz w:val="24"/>
          <w:szCs w:val="24"/>
        </w:rPr>
        <w:t>z siedzibą: ul. Jagiellońska 42, 85-097 Bydgoszcz,</w:t>
      </w:r>
    </w:p>
    <w:p>
      <w:pPr>
        <w:pStyle w:val="BodyText3"/>
        <w:spacing w:before="0" w:after="0"/>
        <w:jc w:val="center"/>
        <w:rPr>
          <w:rFonts w:ascii="Times New Roman" w:hAnsi="Times New Roman"/>
          <w:sz w:val="24"/>
          <w:szCs w:val="24"/>
        </w:rPr>
      </w:pPr>
      <w:r>
        <w:rPr>
          <w:rFonts w:ascii="Times New Roman" w:hAnsi="Times New Roman"/>
          <w:b/>
          <w:bCs/>
          <w:sz w:val="24"/>
          <w:szCs w:val="24"/>
        </w:rPr>
        <w:t xml:space="preserve">reprezentowanej przez pełnomocnika – Panią </w:t>
      </w:r>
      <w:r>
        <w:rPr>
          <w:rFonts w:ascii="Times New Roman" w:hAnsi="Times New Roman"/>
          <w:b/>
          <w:bCs/>
          <w:color w:val="000000"/>
          <w:sz w:val="24"/>
          <w:szCs w:val="24"/>
          <w:shd w:fill="000000" w:val="clear"/>
        </w:rPr>
        <w:t xml:space="preserve">Agatę Świeżewską </w:t>
      </w:r>
    </w:p>
    <w:p>
      <w:pPr>
        <w:pStyle w:val="BodyText3"/>
        <w:spacing w:before="0" w:after="0"/>
        <w:jc w:val="center"/>
        <w:rPr>
          <w:color w:val="000000"/>
          <w:highlight w:val="none"/>
          <w:shd w:fill="000000" w:val="clear"/>
        </w:rPr>
      </w:pPr>
      <w:r>
        <w:rPr>
          <w:rFonts w:ascii="Times New Roman" w:hAnsi="Times New Roman"/>
          <w:b/>
          <w:bCs/>
          <w:color w:val="000000"/>
          <w:sz w:val="24"/>
          <w:szCs w:val="24"/>
          <w:shd w:fill="000000" w:val="clear"/>
        </w:rPr>
        <w:t>ul. Bałtycka 43, 86-031 Osielsko,</w:t>
      </w:r>
    </w:p>
    <w:p>
      <w:pPr>
        <w:pStyle w:val="BodyText3"/>
        <w:spacing w:before="0" w:after="0"/>
        <w:rPr>
          <w:rFonts w:ascii="Times New Roman" w:hAnsi="Times New Roman"/>
          <w:sz w:val="24"/>
          <w:szCs w:val="24"/>
        </w:rPr>
      </w:pPr>
      <w:r>
        <w:rPr>
          <w:rFonts w:ascii="Times New Roman" w:hAnsi="Times New Roman"/>
          <w:sz w:val="24"/>
          <w:szCs w:val="24"/>
        </w:rPr>
        <w:t xml:space="preserve">o ustalenie lokalizacji inwestycji celu publicznego dla inwestycji polegającej na </w:t>
      </w:r>
      <w:bookmarkStart w:id="2" w:name="_Hlk64555704"/>
      <w:r>
        <w:rPr>
          <w:rFonts w:ascii="Times New Roman" w:hAnsi="Times New Roman"/>
          <w:sz w:val="24"/>
          <w:szCs w:val="24"/>
        </w:rPr>
        <w:t>budowie gazociągu niskiego ciśnienia w Janikowie – realizacja inwestycji na działkach nr ewid. 83, 22/7, obręb ewidencyjny 4 miasto Janikowo, gmina Janikowo</w:t>
      </w:r>
      <w:bookmarkEnd w:id="2"/>
      <w:r>
        <w:rPr>
          <w:rFonts w:ascii="Times New Roman" w:hAnsi="Times New Roman"/>
          <w:sz w:val="24"/>
          <w:szCs w:val="24"/>
        </w:rPr>
        <w:t>,</w:t>
      </w:r>
    </w:p>
    <w:p>
      <w:pPr>
        <w:pStyle w:val="BodyText3"/>
        <w:spacing w:before="0" w:after="0"/>
        <w:rPr>
          <w:rFonts w:ascii="Times New Roman" w:hAnsi="Times New Roman"/>
          <w:sz w:val="24"/>
          <w:szCs w:val="24"/>
        </w:rPr>
      </w:pPr>
      <w:r>
        <w:rPr>
          <w:rFonts w:ascii="Times New Roman" w:hAnsi="Times New Roman"/>
          <w:sz w:val="24"/>
          <w:szCs w:val="24"/>
        </w:rPr>
      </w:r>
    </w:p>
    <w:p>
      <w:pPr>
        <w:pStyle w:val="BodyText3"/>
        <w:spacing w:before="0" w:after="0"/>
        <w:rPr>
          <w:rFonts w:ascii="Times New Roman" w:hAnsi="Times New Roman"/>
          <w:sz w:val="24"/>
          <w:szCs w:val="24"/>
        </w:rPr>
      </w:pPr>
      <w:r>
        <w:rPr>
          <w:rFonts w:ascii="Times New Roman" w:hAnsi="Times New Roman"/>
          <w:sz w:val="24"/>
          <w:szCs w:val="24"/>
        </w:rPr>
        <w:t xml:space="preserve">po uzgodnieniu z Państwowym Gospodarstwem Wodnym Wody Polskie Zarząd Zlewni Inowrocław </w:t>
      </w:r>
      <w:r>
        <w:rPr>
          <w:rFonts w:cs="Arial" w:ascii="Times New Roman" w:hAnsi="Times New Roman"/>
          <w:sz w:val="24"/>
          <w:szCs w:val="24"/>
        </w:rPr>
        <w:t>(</w:t>
      </w:r>
      <w:r>
        <w:rPr>
          <w:rFonts w:cs="Arial" w:ascii="Times New Roman" w:hAnsi="Times New Roman"/>
          <w:sz w:val="24"/>
          <w:szCs w:val="24"/>
          <w:u w:val="none"/>
        </w:rPr>
        <w:t>zgodnie z art. 53 ust. 5 ustawy o planowaniu  i zagospodarowaniu przestrzennym</w:t>
      </w:r>
      <w:r>
        <w:rPr>
          <w:rFonts w:cs="Arial" w:ascii="Times New Roman" w:hAnsi="Times New Roman"/>
          <w:sz w:val="24"/>
          <w:szCs w:val="24"/>
        </w:rPr>
        <w:t>)</w:t>
      </w:r>
      <w:r>
        <w:rPr>
          <w:rFonts w:ascii="Times New Roman" w:hAnsi="Times New Roman"/>
          <w:sz w:val="24"/>
          <w:szCs w:val="24"/>
        </w:rPr>
        <w:t xml:space="preserve"> w sprawach ochrony melioracji zgodnie z art. 53 ust. 4 pkt 6 ww. ustawy,</w:t>
      </w:r>
    </w:p>
    <w:p>
      <w:pPr>
        <w:pStyle w:val="Normal"/>
        <w:jc w:val="center"/>
        <w:rPr>
          <w:rFonts w:ascii="Times New Roman" w:hAnsi="Times New Roman" w:cs="Arial"/>
          <w:b/>
          <w:b/>
          <w:spacing w:val="88"/>
          <w:sz w:val="24"/>
          <w:szCs w:val="24"/>
        </w:rPr>
      </w:pPr>
      <w:r>
        <w:rPr>
          <w:rFonts w:cs="Arial"/>
          <w:b/>
          <w:spacing w:val="88"/>
          <w:sz w:val="24"/>
          <w:szCs w:val="24"/>
        </w:rPr>
      </w:r>
    </w:p>
    <w:p>
      <w:pPr>
        <w:pStyle w:val="Normal"/>
        <w:jc w:val="center"/>
        <w:rPr>
          <w:rFonts w:ascii="Times New Roman" w:hAnsi="Times New Roman"/>
          <w:sz w:val="24"/>
          <w:szCs w:val="24"/>
        </w:rPr>
      </w:pPr>
      <w:r>
        <w:rPr>
          <w:rFonts w:cs="Arial"/>
          <w:b/>
          <w:spacing w:val="88"/>
          <w:sz w:val="24"/>
          <w:szCs w:val="24"/>
        </w:rPr>
        <w:t>ustalam</w:t>
      </w:r>
    </w:p>
    <w:p>
      <w:pPr>
        <w:pStyle w:val="Normal"/>
        <w:jc w:val="center"/>
        <w:rPr>
          <w:rFonts w:ascii="Times New Roman" w:hAnsi="Times New Roman"/>
          <w:sz w:val="24"/>
          <w:szCs w:val="24"/>
        </w:rPr>
      </w:pPr>
      <w:r>
        <w:rPr>
          <w:rFonts w:cs="Arial"/>
          <w:b/>
          <w:spacing w:val="88"/>
          <w:sz w:val="24"/>
          <w:szCs w:val="24"/>
        </w:rPr>
        <w:t>lokalizację inwestycji celu publicznego</w:t>
      </w:r>
      <w:r>
        <w:rPr>
          <w:rFonts w:cs="Arial"/>
          <w:b/>
          <w:sz w:val="24"/>
          <w:szCs w:val="24"/>
        </w:rPr>
        <w:t xml:space="preserve"> </w:t>
      </w:r>
    </w:p>
    <w:p>
      <w:pPr>
        <w:pStyle w:val="Tekstpodstawowy21"/>
        <w:rPr>
          <w:rFonts w:ascii="Times New Roman" w:hAnsi="Times New Roman"/>
          <w:sz w:val="24"/>
          <w:szCs w:val="24"/>
        </w:rPr>
      </w:pPr>
      <w:r>
        <w:rPr>
          <w:rFonts w:ascii="Times New Roman" w:hAnsi="Times New Roman"/>
          <w:b/>
          <w:sz w:val="24"/>
          <w:szCs w:val="24"/>
        </w:rPr>
        <w:t>polegającą na budowie gazociągu niskiego ciśnienia w Janikowie – realizacja inwestycji na działkach nr ewid. 83, 22/7, obręb ewidencyjny 4 miasto Janikowo, gmina Janikowo,                  w granicach określonych na załączniku graficznym w skali 1:1000.</w:t>
      </w:r>
    </w:p>
    <w:p>
      <w:pPr>
        <w:pStyle w:val="Tekstpodstawowy21"/>
        <w:numPr>
          <w:ilvl w:val="0"/>
          <w:numId w:val="1"/>
        </w:numPr>
        <w:rPr>
          <w:rFonts w:ascii="Times New Roman" w:hAnsi="Times New Roman"/>
          <w:sz w:val="24"/>
          <w:szCs w:val="24"/>
        </w:rPr>
      </w:pPr>
      <w:r>
        <w:rPr>
          <w:rFonts w:ascii="Times New Roman" w:hAnsi="Times New Roman"/>
          <w:sz w:val="24"/>
          <w:szCs w:val="24"/>
        </w:rPr>
        <w:t>Rodzaj inwestycji: INFRASTRUKTURA TECHNICZNA – budowa gazociągu niskiego ciśnienia w Janikowie.</w:t>
      </w:r>
    </w:p>
    <w:p>
      <w:pPr>
        <w:pStyle w:val="Tekstpodstawowy21"/>
        <w:numPr>
          <w:ilvl w:val="0"/>
          <w:numId w:val="1"/>
        </w:numPr>
        <w:rPr>
          <w:rFonts w:ascii="Times New Roman" w:hAnsi="Times New Roman"/>
          <w:sz w:val="24"/>
          <w:szCs w:val="24"/>
        </w:rPr>
      </w:pPr>
      <w:r>
        <w:rPr>
          <w:rFonts w:ascii="Times New Roman" w:hAnsi="Times New Roman"/>
          <w:sz w:val="24"/>
          <w:szCs w:val="24"/>
        </w:rPr>
        <w:t>Realizacja inwestycji na działkach nr ewid. 83, 22/7, obręb ewidencyjny 4 miasto Janikowo, gmina Janikowo.</w:t>
      </w:r>
    </w:p>
    <w:p>
      <w:pPr>
        <w:pStyle w:val="Tekstpodstawowy21"/>
        <w:numPr>
          <w:ilvl w:val="0"/>
          <w:numId w:val="1"/>
        </w:numPr>
        <w:tabs>
          <w:tab w:val="clear" w:pos="426"/>
        </w:tabs>
        <w:rPr>
          <w:rFonts w:ascii="Times New Roman" w:hAnsi="Times New Roman"/>
          <w:sz w:val="24"/>
          <w:szCs w:val="24"/>
        </w:rPr>
      </w:pPr>
      <w:r>
        <w:rPr>
          <w:rFonts w:ascii="Times New Roman" w:hAnsi="Times New Roman"/>
          <w:sz w:val="24"/>
          <w:szCs w:val="24"/>
        </w:rPr>
        <w:t xml:space="preserve">Linie rozgraniczające teren inwestycji wyznaczono na rysunku wykonanym na kopii mapy zasadniczej  w skali 1:1000 – </w:t>
      </w:r>
      <w:r>
        <w:rPr>
          <w:rFonts w:ascii="Times New Roman" w:hAnsi="Times New Roman"/>
          <w:b/>
          <w:sz w:val="24"/>
          <w:szCs w:val="24"/>
        </w:rPr>
        <w:t>załącznik nr 1,</w:t>
      </w:r>
      <w:r>
        <w:rPr>
          <w:rFonts w:ascii="Times New Roman" w:hAnsi="Times New Roman"/>
          <w:sz w:val="24"/>
          <w:szCs w:val="24"/>
        </w:rPr>
        <w:t xml:space="preserve"> stanowiący załącznik graficzny niniejszej decyzji.</w:t>
      </w:r>
    </w:p>
    <w:p>
      <w:pPr>
        <w:pStyle w:val="Tekstpodstawowy21"/>
        <w:tabs>
          <w:tab w:val="clear" w:pos="426"/>
        </w:tabs>
        <w:ind w:left="720" w:hanging="0"/>
        <w:rPr>
          <w:rFonts w:ascii="Times New Roman" w:hAnsi="Times New Roman"/>
          <w:sz w:val="24"/>
          <w:szCs w:val="24"/>
        </w:rPr>
      </w:pPr>
      <w:r>
        <w:rPr>
          <w:rFonts w:ascii="Times New Roman" w:hAnsi="Times New Roman"/>
          <w:sz w:val="24"/>
          <w:szCs w:val="24"/>
        </w:rPr>
      </w:r>
    </w:p>
    <w:p>
      <w:pPr>
        <w:pStyle w:val="BodyText3"/>
        <w:spacing w:before="0" w:after="0"/>
        <w:ind w:left="705" w:hanging="345"/>
        <w:jc w:val="left"/>
        <w:rPr>
          <w:rFonts w:ascii="Times New Roman" w:hAnsi="Times New Roman"/>
          <w:sz w:val="24"/>
          <w:szCs w:val="24"/>
        </w:rPr>
      </w:pPr>
      <w:r>
        <w:rPr>
          <w:rFonts w:ascii="Times New Roman" w:hAnsi="Times New Roman"/>
          <w:b/>
          <w:sz w:val="24"/>
          <w:szCs w:val="24"/>
        </w:rPr>
        <w:t>I.</w:t>
        <w:tab/>
        <w:t>WARUNKI I WYMAGANIA W ZAKRESIE OCHRONY I KSZTAŁTOWANIA ŁADU PRZESTRZENNEGO</w:t>
      </w:r>
    </w:p>
    <w:p>
      <w:pPr>
        <w:pStyle w:val="Tekstpodstawowy21"/>
        <w:numPr>
          <w:ilvl w:val="0"/>
          <w:numId w:val="3"/>
        </w:numPr>
        <w:tabs>
          <w:tab w:val="clear" w:pos="426"/>
        </w:tabs>
        <w:rPr>
          <w:rFonts w:ascii="Times New Roman" w:hAnsi="Times New Roman"/>
          <w:sz w:val="24"/>
          <w:szCs w:val="24"/>
        </w:rPr>
      </w:pPr>
      <w:r>
        <w:rPr>
          <w:rFonts w:cs="Arial" w:ascii="Times New Roman" w:hAnsi="Times New Roman"/>
          <w:sz w:val="24"/>
          <w:szCs w:val="24"/>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 xml:space="preserve">Przy projektowaniu i budowie </w:t>
      </w:r>
      <w:r>
        <w:rPr>
          <w:rFonts w:ascii="Times New Roman" w:hAnsi="Times New Roman"/>
          <w:bCs/>
          <w:sz w:val="24"/>
          <w:szCs w:val="24"/>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W dokumentacji projektowej uwzględnić wymogi jednostek opiniujących.</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Maksymalna szerokość pasa do czasowego zajęcia na czas realizacji inwestycji - 3,0 m.</w:t>
      </w:r>
    </w:p>
    <w:p>
      <w:pPr>
        <w:pStyle w:val="Tekstpodstawowy21"/>
        <w:numPr>
          <w:ilvl w:val="0"/>
          <w:numId w:val="3"/>
        </w:numPr>
        <w:tabs>
          <w:tab w:val="clear" w:pos="426"/>
        </w:tabs>
        <w:rPr>
          <w:rFonts w:ascii="Times New Roman" w:hAnsi="Times New Roman"/>
          <w:sz w:val="24"/>
          <w:szCs w:val="24"/>
        </w:rPr>
      </w:pPr>
      <w:r>
        <w:rPr>
          <w:rFonts w:ascii="Times New Roman" w:hAnsi="Times New Roman"/>
          <w:sz w:val="24"/>
          <w:szCs w:val="24"/>
        </w:rPr>
        <w:t>Opis inwestycji: sieć gazowa n/c dn160PE i dn125PE o łącznej długości do 230 m.</w:t>
      </w:r>
    </w:p>
    <w:p>
      <w:pPr>
        <w:pStyle w:val="BodyText3"/>
        <w:tabs>
          <w:tab w:val="clear" w:pos="708"/>
          <w:tab w:val="left" w:pos="360" w:leader="none"/>
        </w:tabs>
        <w:spacing w:before="0" w:after="0"/>
        <w:ind w:left="359" w:hanging="359"/>
        <w:jc w:val="left"/>
        <w:rPr>
          <w:rFonts w:ascii="Times New Roman" w:hAnsi="Times New Roman"/>
          <w:b/>
          <w:b/>
          <w:bCs/>
          <w:sz w:val="24"/>
          <w:szCs w:val="24"/>
        </w:rPr>
      </w:pPr>
      <w:r>
        <w:rPr>
          <w:rFonts w:ascii="Times New Roman" w:hAnsi="Times New Roman"/>
          <w:b/>
          <w:bCs/>
          <w:sz w:val="24"/>
          <w:szCs w:val="24"/>
        </w:rPr>
      </w:r>
    </w:p>
    <w:p>
      <w:pPr>
        <w:pStyle w:val="BodyText3"/>
        <w:tabs>
          <w:tab w:val="clear" w:pos="708"/>
          <w:tab w:val="left" w:pos="360" w:leader="none"/>
        </w:tabs>
        <w:spacing w:before="0" w:after="0"/>
        <w:ind w:left="359" w:hanging="359"/>
        <w:jc w:val="left"/>
        <w:rPr>
          <w:rFonts w:ascii="Times New Roman" w:hAnsi="Times New Roman"/>
          <w:sz w:val="24"/>
          <w:szCs w:val="24"/>
        </w:rPr>
      </w:pPr>
      <w:r>
        <w:rPr>
          <w:rFonts w:ascii="Times New Roman" w:hAnsi="Times New Roman"/>
          <w:b/>
          <w:bCs/>
          <w:sz w:val="24"/>
          <w:szCs w:val="24"/>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w:t>
        <w:tab/>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z 2021 r. poz. 2351 ze zm.).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2.</w:t>
        <w:tab/>
        <w:t>W trakcie przygotowania i realizacji inwestycji należy respektować przepisy wynikające z ustawy z dnia 27 kwietnia 2001 r. Prawo Ochrony Środowiska (tekst jednolity: Dz. U. z 2020 r. poz. 1219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2022 r. poz. 916 ze zm.).</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Times New Roman" w:hAnsi="Times New Roman"/>
          <w:sz w:val="24"/>
          <w:szCs w:val="24"/>
        </w:rPr>
      </w:pPr>
      <w:r>
        <w:rPr>
          <w:rFonts w:cs="Arial" w:ascii="Times New Roman" w:hAnsi="Times New Roman"/>
          <w:sz w:val="24"/>
          <w:szCs w:val="24"/>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Times New Roman" w:hAnsi="Times New Roman"/>
          <w:sz w:val="24"/>
          <w:szCs w:val="24"/>
        </w:rPr>
        <w:t xml:space="preserve">tekst jednolity: Dz. U. </w:t>
      </w:r>
      <w:bookmarkStart w:id="4" w:name="_Hlk34215432"/>
      <w:bookmarkStart w:id="5" w:name="_Hlk77222528"/>
      <w:bookmarkEnd w:id="3"/>
      <w:r>
        <w:rPr>
          <w:rFonts w:cs="Arial" w:ascii="Times New Roman" w:hAnsi="Times New Roman"/>
          <w:sz w:val="24"/>
          <w:szCs w:val="24"/>
        </w:rPr>
        <w:t xml:space="preserve">z 2022 r. poz. </w:t>
      </w:r>
      <w:bookmarkEnd w:id="4"/>
      <w:bookmarkEnd w:id="5"/>
      <w:r>
        <w:rPr>
          <w:rFonts w:cs="Arial" w:ascii="Times New Roman" w:hAnsi="Times New Roman"/>
          <w:sz w:val="24"/>
          <w:szCs w:val="24"/>
        </w:rPr>
        <w:t>840).</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8.</w:t>
        <w:tab/>
        <w:t xml:space="preserve">Projektowana inwestycja nie jest ujęta w wykazie przedsięwzięć określonych w </w:t>
      </w:r>
      <w:bookmarkStart w:id="6" w:name="_Hlk33613496"/>
      <w:r>
        <w:rPr>
          <w:rFonts w:cs="Arial"/>
          <w:sz w:val="24"/>
          <w:szCs w:val="24"/>
        </w:rPr>
        <w:t>Rozporządzeniu Rady Ministrów z dnia 10 września 2019 r. w sprawie przedsięwzięć mogących znacząco oddziaływać na środowisko (tekst jednolity: Dz. U. z 2019 poz. 1839 ze zm.)</w:t>
      </w:r>
      <w:bookmarkEnd w:id="6"/>
      <w:r>
        <w:rPr>
          <w:rFonts w:cs="Arial"/>
          <w:sz w:val="24"/>
          <w:szCs w:val="24"/>
        </w:rPr>
        <w:t>.</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9.</w:t>
        <w:tab/>
        <w:t>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z 2022 r. poz. 1029 ze zm.).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Times New Roman" w:hAnsi="Times New Roman"/>
          <w:sz w:val="24"/>
          <w:szCs w:val="24"/>
        </w:rPr>
      </w:pPr>
      <w:r>
        <w:rPr>
          <w:rFonts w:cs="Arial"/>
          <w:sz w:val="24"/>
          <w:szCs w:val="24"/>
        </w:rPr>
        <w:t>11.</w:t>
        <w:tab/>
        <w:t xml:space="preserve">Realizacja inwestycji nie wymaga uzyskania zgody na zmianę przeznaczenia gruntów rolnych i leśnych na cele nierolnicze i nieleśne </w:t>
      </w:r>
      <w:r>
        <w:rPr>
          <w:rFonts w:eastAsia="Calibri" w:cs="Arial"/>
          <w:bCs/>
          <w:i/>
          <w:sz w:val="24"/>
          <w:szCs w:val="24"/>
          <w:u w:val="single"/>
        </w:rPr>
        <w:t xml:space="preserve">/zgodnie z ustawą z dnia 3 lutego 1995 r. o ochronie gruntów rolnych i leśnych (tekst jednolity: </w:t>
      </w:r>
      <w:bookmarkStart w:id="7" w:name="_Hlk78216668"/>
      <w:r>
        <w:rPr>
          <w:rFonts w:eastAsia="Calibri"/>
          <w:bCs/>
          <w:i/>
          <w:sz w:val="24"/>
          <w:szCs w:val="24"/>
          <w:u w:val="single"/>
        </w:rPr>
        <w:t>Dz. U. z 2021 r., poz. 1326</w:t>
      </w:r>
      <w:bookmarkEnd w:id="7"/>
      <w:r>
        <w:rPr>
          <w:rFonts w:eastAsia="Calibri" w:cs="Arial"/>
          <w:bCs/>
          <w:i/>
          <w:sz w:val="24"/>
          <w:szCs w:val="24"/>
          <w:u w:val="single"/>
        </w:rPr>
        <w:t>)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Times New Roman" w:hAnsi="Times New Roman"/>
          <w:sz w:val="24"/>
          <w:szCs w:val="24"/>
        </w:rPr>
      </w:pPr>
      <w:r>
        <w:rPr>
          <w:rFonts w:eastAsia="Calibri" w:cs="Arial" w:ascii="Times New Roman" w:hAnsi="Times New Roman"/>
          <w:bCs/>
          <w:i/>
          <w:sz w:val="24"/>
          <w:szCs w:val="24"/>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Times New Roman" w:hAnsi="Times New Roman"/>
          <w:bCs/>
          <w:i/>
          <w:sz w:val="24"/>
          <w:szCs w:val="24"/>
          <w:u w:val="single"/>
          <w:lang w:eastAsia="en-US"/>
        </w:rPr>
        <w:t>ekst jednolity: Dz. U. z 2021 r. poz. 1899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3)</w:t>
        <w:tab/>
        <w:t>położone są w odległości nie większej niż 50 metrów od drogi publicznej w rozumieniu przepisów ustawy z dnia 21 marca 1985 r. o drogach publicznych (</w:t>
      </w:r>
      <w:r>
        <w:rPr>
          <w:rFonts w:eastAsia="Calibri" w:cs="Arial" w:ascii="Times New Roman" w:hAnsi="Times New Roman"/>
          <w:bCs/>
          <w:i/>
          <w:sz w:val="24"/>
          <w:szCs w:val="24"/>
          <w:u w:val="single"/>
          <w:lang w:eastAsia="en-US"/>
        </w:rPr>
        <w:t>tekst jednolity: Dz. U. z 2021 r. poz. 1376 ze zm.</w:t>
      </w:r>
      <w:r>
        <w:rPr>
          <w:rFonts w:eastAsia="Calibri" w:cs="Arial" w:ascii="Times New Roman" w:hAnsi="Times New Roman"/>
          <w:bCs/>
          <w:i/>
          <w:sz w:val="24"/>
          <w:szCs w:val="24"/>
          <w:lang w:eastAsia="en-US"/>
        </w:rPr>
        <w:t>);</w:t>
      </w:r>
    </w:p>
    <w:p>
      <w:pPr>
        <w:pStyle w:val="ZLITPKT8211"/>
        <w:tabs>
          <w:tab w:val="clear" w:pos="708"/>
          <w:tab w:val="left" w:pos="993" w:leader="none"/>
        </w:tabs>
        <w:spacing w:lineRule="auto" w:line="240"/>
        <w:ind w:left="993" w:hanging="284"/>
        <w:rPr>
          <w:rFonts w:ascii="Times New Roman" w:hAnsi="Times New Roman"/>
          <w:sz w:val="24"/>
          <w:szCs w:val="24"/>
        </w:rPr>
      </w:pPr>
      <w:r>
        <w:rPr>
          <w:rFonts w:eastAsia="Calibri" w:cs="Arial" w:ascii="Times New Roman" w:hAnsi="Times New Roman"/>
          <w:bCs/>
          <w:i/>
          <w:sz w:val="24"/>
          <w:szCs w:val="24"/>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sz w:val="24"/>
          <w:szCs w:val="24"/>
        </w:rPr>
      </w:pPr>
      <w:r>
        <w:rPr>
          <w:rFonts w:eastAsia="Calibri" w:cs="Arial"/>
          <w:bCs/>
          <w:i/>
          <w:sz w:val="24"/>
          <w:szCs w:val="24"/>
        </w:rPr>
        <w:tab/>
      </w:r>
      <w:r>
        <w:rPr>
          <w:rFonts w:eastAsia="Calibri" w:cs="Arial"/>
          <w:bCs/>
          <w:i/>
          <w:sz w:val="24"/>
          <w:szCs w:val="24"/>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Times New Roman" w:hAnsi="Times New Roman"/>
          <w:sz w:val="24"/>
          <w:szCs w:val="24"/>
        </w:rPr>
      </w:pPr>
      <w:r>
        <w:rPr>
          <w:rFonts w:cs="Arial"/>
          <w:b/>
          <w:bCs/>
          <w:sz w:val="24"/>
          <w:szCs w:val="24"/>
          <w:u w:val="single"/>
        </w:rPr>
        <w:t>ochrona gruntów rolnych</w:t>
      </w:r>
      <w:r>
        <w:rPr>
          <w:rFonts w:cs="Arial"/>
          <w:bCs/>
          <w:sz w:val="24"/>
          <w:szCs w:val="24"/>
        </w:rPr>
        <w:t xml:space="preserve">: </w:t>
      </w:r>
      <w:r>
        <w:rPr>
          <w:rFonts w:cs="Arial"/>
          <w:sz w:val="24"/>
          <w:szCs w:val="24"/>
        </w:rPr>
        <w:t>inwestycja zlokalizowana w granicy administracyjnej miasta;</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Times New Roman" w:hAnsi="Times New Roman"/>
          <w:sz w:val="24"/>
          <w:szCs w:val="24"/>
        </w:rPr>
      </w:pPr>
      <w:r>
        <w:rPr>
          <w:rFonts w:cs="Arial"/>
          <w:b/>
          <w:bCs/>
          <w:sz w:val="24"/>
          <w:szCs w:val="24"/>
          <w:u w:val="single"/>
        </w:rPr>
        <w:t>ochrona gruntów rolnych</w:t>
      </w:r>
      <w:r>
        <w:rPr>
          <w:rFonts w:cs="Arial"/>
          <w:bCs/>
          <w:sz w:val="24"/>
          <w:szCs w:val="24"/>
        </w:rPr>
        <w:t>:</w:t>
      </w:r>
      <w:r>
        <w:rPr>
          <w:rFonts w:cs="Arial"/>
          <w:sz w:val="24"/>
          <w:szCs w:val="24"/>
        </w:rPr>
        <w:t xml:space="preserve"> 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Times New Roman" w:hAnsi="Times New Roman"/>
          <w:b/>
          <w:b/>
          <w:sz w:val="24"/>
          <w:szCs w:val="24"/>
        </w:rPr>
      </w:pPr>
      <w:r>
        <w:rPr>
          <w:b/>
          <w:sz w:val="24"/>
          <w:szCs w:val="24"/>
        </w:rPr>
      </w:r>
    </w:p>
    <w:p>
      <w:pPr>
        <w:pStyle w:val="BodyText3"/>
        <w:tabs>
          <w:tab w:val="clear" w:pos="708"/>
          <w:tab w:val="left" w:pos="360" w:leader="none"/>
        </w:tabs>
        <w:spacing w:before="0" w:after="0"/>
        <w:ind w:left="180" w:hanging="180"/>
        <w:jc w:val="left"/>
        <w:rPr>
          <w:rFonts w:ascii="Times New Roman" w:hAnsi="Times New Roman"/>
          <w:sz w:val="24"/>
          <w:szCs w:val="24"/>
        </w:rPr>
      </w:pPr>
      <w:r>
        <w:rPr>
          <w:rFonts w:ascii="Times New Roman" w:hAnsi="Times New Roman"/>
          <w:b/>
          <w:sz w:val="24"/>
          <w:szCs w:val="24"/>
        </w:rPr>
        <w:t>III.</w:t>
        <w:tab/>
        <w:t>WARUNKI OBSŁUGI W ZAKRESIE INFRASTUKTURY TECHNICZNEJ I KOMUNIKACJI</w:t>
      </w:r>
    </w:p>
    <w:p>
      <w:pPr>
        <w:pStyle w:val="Normal"/>
        <w:numPr>
          <w:ilvl w:val="0"/>
          <w:numId w:val="2"/>
        </w:numPr>
        <w:jc w:val="both"/>
        <w:rPr>
          <w:rFonts w:ascii="Times New Roman" w:hAnsi="Times New Roman"/>
          <w:sz w:val="24"/>
          <w:szCs w:val="24"/>
        </w:rPr>
      </w:pPr>
      <w:r>
        <w:rPr>
          <w:sz w:val="24"/>
          <w:szCs w:val="24"/>
        </w:rPr>
        <w:t>Zaopatrzenie w energię – nie dotyczy.</w:t>
      </w:r>
    </w:p>
    <w:p>
      <w:pPr>
        <w:pStyle w:val="Normal"/>
        <w:numPr>
          <w:ilvl w:val="0"/>
          <w:numId w:val="2"/>
        </w:numPr>
        <w:jc w:val="both"/>
        <w:rPr>
          <w:rFonts w:ascii="Times New Roman" w:hAnsi="Times New Roman"/>
          <w:sz w:val="24"/>
          <w:szCs w:val="24"/>
        </w:rPr>
      </w:pPr>
      <w:r>
        <w:rPr>
          <w:sz w:val="24"/>
          <w:szCs w:val="24"/>
        </w:rPr>
        <w:t>Woda – nie dotyczy.</w:t>
      </w:r>
    </w:p>
    <w:p>
      <w:pPr>
        <w:pStyle w:val="Normal"/>
        <w:numPr>
          <w:ilvl w:val="0"/>
          <w:numId w:val="2"/>
        </w:numPr>
        <w:jc w:val="both"/>
        <w:rPr>
          <w:rFonts w:ascii="Times New Roman" w:hAnsi="Times New Roman"/>
          <w:sz w:val="24"/>
          <w:szCs w:val="24"/>
        </w:rPr>
      </w:pPr>
      <w:r>
        <w:rPr>
          <w:sz w:val="24"/>
          <w:szCs w:val="24"/>
        </w:rPr>
        <w:t>Odprowadzenie ścieków sanitarnych – nie dotyczy.</w:t>
      </w:r>
    </w:p>
    <w:p>
      <w:pPr>
        <w:pStyle w:val="Normal"/>
        <w:numPr>
          <w:ilvl w:val="0"/>
          <w:numId w:val="2"/>
        </w:numPr>
        <w:jc w:val="both"/>
        <w:rPr>
          <w:rFonts w:ascii="Times New Roman" w:hAnsi="Times New Roman"/>
          <w:sz w:val="24"/>
          <w:szCs w:val="24"/>
        </w:rPr>
      </w:pPr>
      <w:r>
        <w:rPr>
          <w:sz w:val="24"/>
          <w:szCs w:val="24"/>
        </w:rPr>
        <w:t>Odprowadzenie wód opadowych – nie dotyczy.</w:t>
      </w:r>
    </w:p>
    <w:p>
      <w:pPr>
        <w:pStyle w:val="Normal"/>
        <w:numPr>
          <w:ilvl w:val="0"/>
          <w:numId w:val="2"/>
        </w:numPr>
        <w:jc w:val="both"/>
        <w:rPr>
          <w:rFonts w:ascii="Times New Roman" w:hAnsi="Times New Roman"/>
          <w:sz w:val="24"/>
          <w:szCs w:val="24"/>
        </w:rPr>
      </w:pPr>
      <w:r>
        <w:rPr>
          <w:sz w:val="24"/>
          <w:szCs w:val="24"/>
        </w:rPr>
        <w:t>Gaz – na warunkach gestora sieci.</w:t>
      </w:r>
    </w:p>
    <w:p>
      <w:pPr>
        <w:pStyle w:val="Normal"/>
        <w:numPr>
          <w:ilvl w:val="0"/>
          <w:numId w:val="2"/>
        </w:numPr>
        <w:jc w:val="both"/>
        <w:rPr>
          <w:rFonts w:ascii="Times New Roman" w:hAnsi="Times New Roman"/>
          <w:sz w:val="24"/>
          <w:szCs w:val="24"/>
        </w:rPr>
      </w:pPr>
      <w:r>
        <w:rPr>
          <w:sz w:val="24"/>
          <w:szCs w:val="24"/>
        </w:rPr>
        <w:t>Źródło ogrzewania – nie dotyczy.</w:t>
      </w:r>
    </w:p>
    <w:p>
      <w:pPr>
        <w:pStyle w:val="Normal"/>
        <w:numPr>
          <w:ilvl w:val="0"/>
          <w:numId w:val="2"/>
        </w:numPr>
        <w:jc w:val="both"/>
        <w:rPr>
          <w:rFonts w:ascii="Times New Roman" w:hAnsi="Times New Roman"/>
          <w:sz w:val="24"/>
          <w:szCs w:val="24"/>
        </w:rPr>
      </w:pPr>
      <w:r>
        <w:rPr>
          <w:sz w:val="24"/>
          <w:szCs w:val="24"/>
        </w:rPr>
        <w:t xml:space="preserve">Obsługa komunikacyjna – nie dotyczy. </w:t>
      </w:r>
    </w:p>
    <w:p>
      <w:pPr>
        <w:pStyle w:val="Normal"/>
        <w:numPr>
          <w:ilvl w:val="0"/>
          <w:numId w:val="2"/>
        </w:numPr>
        <w:jc w:val="both"/>
        <w:rPr>
          <w:rFonts w:ascii="Times New Roman" w:hAnsi="Times New Roman"/>
          <w:sz w:val="24"/>
          <w:szCs w:val="24"/>
        </w:rPr>
      </w:pPr>
      <w:r>
        <w:rPr>
          <w:sz w:val="24"/>
          <w:szCs w:val="24"/>
        </w:rPr>
        <w:t>Składowanie odpadów stałych – nie dotyczy.</w:t>
      </w:r>
    </w:p>
    <w:p>
      <w:pPr>
        <w:pStyle w:val="BodyText3"/>
        <w:tabs>
          <w:tab w:val="clear" w:pos="708"/>
          <w:tab w:val="left" w:pos="360" w:leader="none"/>
        </w:tabs>
        <w:spacing w:before="0" w:after="0"/>
        <w:ind w:left="180" w:hanging="180"/>
        <w:jc w:val="left"/>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180" w:hanging="180"/>
        <w:rPr>
          <w:rFonts w:ascii="Times New Roman" w:hAnsi="Times New Roman"/>
          <w:sz w:val="24"/>
          <w:szCs w:val="24"/>
        </w:rPr>
      </w:pPr>
      <w:r>
        <w:rPr>
          <w:rFonts w:ascii="Times New Roman" w:hAnsi="Times New Roman"/>
          <w:b/>
          <w:sz w:val="24"/>
          <w:szCs w:val="24"/>
        </w:rPr>
        <w:t>IV.</w:t>
        <w:tab/>
        <w:t>WYMAGANIA DOTYCZĄCE OCHRONY INTERESÓW OSÓB TRZECICH</w:t>
      </w:r>
    </w:p>
    <w:p>
      <w:pPr>
        <w:pStyle w:val="Normal"/>
        <w:numPr>
          <w:ilvl w:val="3"/>
          <w:numId w:val="10"/>
        </w:numPr>
        <w:tabs>
          <w:tab w:val="clear" w:pos="708"/>
          <w:tab w:val="left" w:pos="709" w:leader="none"/>
          <w:tab w:val="left" w:pos="12662" w:leader="none"/>
        </w:tabs>
        <w:suppressAutoHyphens w:val="true"/>
        <w:ind w:left="709" w:hanging="283"/>
        <w:jc w:val="both"/>
        <w:rPr>
          <w:rFonts w:ascii="Times New Roman" w:hAnsi="Times New Roman"/>
          <w:sz w:val="24"/>
          <w:szCs w:val="24"/>
        </w:rPr>
      </w:pPr>
      <w:r>
        <w:rPr>
          <w:sz w:val="24"/>
          <w:szCs w:val="24"/>
        </w:rPr>
        <w:t>Przedmiotową inwestycję należy projektować i realizować zapewniając spełnienie wymagań dotyczących poszanowania występujących w obszarze obiektu uzasadnionych interesów osób trzecich, a w szczególności ochrony przed:</w:t>
      </w:r>
    </w:p>
    <w:p>
      <w:pPr>
        <w:pStyle w:val="Normal"/>
        <w:numPr>
          <w:ilvl w:val="1"/>
          <w:numId w:val="8"/>
        </w:numPr>
        <w:tabs>
          <w:tab w:val="clear" w:pos="708"/>
          <w:tab w:val="left" w:pos="1134" w:leader="none"/>
        </w:tabs>
        <w:suppressAutoHyphens w:val="true"/>
        <w:ind w:firstLine="709"/>
        <w:jc w:val="both"/>
        <w:rPr>
          <w:rFonts w:ascii="Times New Roman" w:hAnsi="Times New Roman"/>
          <w:sz w:val="24"/>
          <w:szCs w:val="24"/>
        </w:rPr>
      </w:pPr>
      <w:r>
        <w:rPr>
          <w:sz w:val="24"/>
          <w:szCs w:val="24"/>
        </w:rPr>
        <w:t>pozbawieniem dostępu do drogi publicznej,</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sz w:val="24"/>
          <w:szCs w:val="24"/>
        </w:rPr>
        <w:t>pozbawieniem możliwości korzystania z wody, kanalizacji, energii elektrycznej                  i cieplnej oraz ze środków łączności – w trakcie robót budowlanych chronić istniejące uzbrojenie terenu, wszelka kolizja bądź przebudowa winna być uzgodniona z gestorem sieci;</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sz w:val="24"/>
          <w:szCs w:val="24"/>
        </w:rPr>
        <w:t>pozbawieniem dostępu do światła dziennego do pomieszczeń przeznaczonych na pobyt ludzi,</w:t>
      </w:r>
    </w:p>
    <w:p>
      <w:pPr>
        <w:pStyle w:val="Normal"/>
        <w:numPr>
          <w:ilvl w:val="1"/>
          <w:numId w:val="8"/>
        </w:numPr>
        <w:tabs>
          <w:tab w:val="clear" w:pos="708"/>
          <w:tab w:val="left" w:pos="1134" w:leader="none"/>
        </w:tabs>
        <w:suppressAutoHyphens w:val="true"/>
        <w:ind w:left="1134" w:hanging="425"/>
        <w:jc w:val="both"/>
        <w:rPr>
          <w:rFonts w:ascii="Times New Roman" w:hAnsi="Times New Roman"/>
          <w:sz w:val="24"/>
          <w:szCs w:val="24"/>
        </w:rPr>
      </w:pPr>
      <w:r>
        <w:rPr>
          <w:sz w:val="24"/>
          <w:szCs w:val="24"/>
        </w:rPr>
        <w:t>uciążliwościami powodowanymi przez hałas, wibracje, zakłócenia elektryczne                    i promieniowanie, zanieczyszczeniem powietrza, wody i gleby.</w:t>
      </w:r>
    </w:p>
    <w:p>
      <w:pPr>
        <w:pStyle w:val="Normal"/>
        <w:numPr>
          <w:ilvl w:val="3"/>
          <w:numId w:val="10"/>
        </w:numPr>
        <w:tabs>
          <w:tab w:val="clear" w:pos="708"/>
          <w:tab w:val="left" w:pos="709" w:leader="none"/>
        </w:tabs>
        <w:suppressAutoHyphens w:val="true"/>
        <w:ind w:left="709" w:hanging="283"/>
        <w:jc w:val="both"/>
        <w:rPr>
          <w:rFonts w:ascii="Times New Roman" w:hAnsi="Times New Roman"/>
          <w:sz w:val="24"/>
          <w:szCs w:val="24"/>
        </w:rPr>
      </w:pPr>
      <w:r>
        <w:rPr>
          <w:sz w:val="24"/>
          <w:szCs w:val="24"/>
        </w:rPr>
        <w:t xml:space="preserve">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1964r. Kodeks Cywilny (tekst jednolity: </w:t>
      </w:r>
      <w:bookmarkStart w:id="8" w:name="_Hlk34211057"/>
      <w:r>
        <w:rPr>
          <w:rFonts w:cs="Arial"/>
          <w:sz w:val="24"/>
          <w:szCs w:val="24"/>
        </w:rPr>
        <w:t>Dz. U. z 2022 r. poz. 1360 ze zm</w:t>
      </w:r>
      <w:bookmarkEnd w:id="8"/>
      <w:r>
        <w:rPr>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3.</w:t>
        <w:tab/>
        <w:t xml:space="preserve">Robót ziemnych nie wolno dokonywać w taki sposób, by groziły one nieruchomością sąsiednim utratą oparcia – zgodnie z art. 147 ustawy z dnia 23 kwietnia 1964 r. Kodeks Cywilny (tekst jednolity: </w:t>
      </w:r>
      <w:bookmarkStart w:id="9" w:name="_Hlk536774569"/>
      <w:r>
        <w:rPr>
          <w:rFonts w:cs="Arial" w:ascii="Times New Roman" w:hAnsi="Times New Roman"/>
          <w:sz w:val="24"/>
          <w:szCs w:val="24"/>
        </w:rPr>
        <w:t>Dz. U. z 2022 r. poz. 1360 ze zm</w:t>
      </w:r>
      <w:r>
        <w:rPr>
          <w:rFonts w:ascii="Times New Roman" w:hAnsi="Times New Roman"/>
          <w:sz w:val="24"/>
          <w:szCs w:val="24"/>
        </w:rPr>
        <w:t>.</w:t>
      </w:r>
      <w:bookmarkEnd w:id="9"/>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4.</w:t>
        <w:tab/>
      </w:r>
      <w:bookmarkStart w:id="10" w:name="_Hlk96254931"/>
      <w:bookmarkStart w:id="11" w:name="_Hlk505102927"/>
      <w:r>
        <w:rPr>
          <w:rFonts w:ascii="Times New Roman" w:hAnsi="Times New Roman"/>
          <w:sz w:val="24"/>
          <w:szCs w:val="24"/>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12" w:name="_Hlk34046127"/>
      <w:r>
        <w:rPr>
          <w:rFonts w:ascii="Times New Roman" w:hAnsi="Times New Roman"/>
          <w:sz w:val="24"/>
          <w:szCs w:val="24"/>
        </w:rPr>
        <w:t xml:space="preserve">Dz. U. z 2021 poz. </w:t>
      </w:r>
      <w:bookmarkEnd w:id="12"/>
      <w:r>
        <w:rPr>
          <w:rFonts w:ascii="Times New Roman" w:hAnsi="Times New Roman"/>
          <w:sz w:val="24"/>
          <w:szCs w:val="24"/>
        </w:rPr>
        <w:t>2233 ze zm.)</w:t>
      </w:r>
      <w:bookmarkEnd w:id="11"/>
      <w:r>
        <w:rPr>
          <w:rFonts w:ascii="Times New Roman" w:hAnsi="Times New Roman"/>
          <w:sz w:val="24"/>
          <w:szCs w:val="24"/>
        </w:rPr>
        <w:t>.</w:t>
      </w:r>
    </w:p>
    <w:p>
      <w:pPr>
        <w:pStyle w:val="Tekstpodstawowy21"/>
        <w:tabs>
          <w:tab w:val="left" w:pos="426" w:leader="none"/>
          <w:tab w:val="left" w:pos="567" w:leader="none"/>
        </w:tabs>
        <w:ind w:left="709" w:hanging="283"/>
        <w:rPr>
          <w:rFonts w:ascii="Times New Roman" w:hAnsi="Times New Roman"/>
          <w:sz w:val="24"/>
          <w:szCs w:val="24"/>
        </w:rPr>
      </w:pPr>
      <w:r>
        <w:rPr>
          <w:rFonts w:ascii="Times New Roman" w:hAnsi="Times New Roman"/>
          <w:sz w:val="24"/>
          <w:szCs w:val="24"/>
        </w:rPr>
        <w:t>5.</w:t>
        <w:tab/>
        <w:t xml:space="preserve">Należy uzyskać prawo do dysponowania nieruchomością na cele budowlane, dokumentując je dołączonym do wniosku o pozwolenie na budowę oświadczeniem - zgodnie z art. 32 ust. 4 pkt 2 i art. 33 ust. 2 pkt 2 </w:t>
      </w:r>
      <w:r>
        <w:rPr>
          <w:rFonts w:cs="Arial" w:ascii="Times New Roman" w:hAnsi="Times New Roman"/>
          <w:sz w:val="24"/>
          <w:szCs w:val="24"/>
        </w:rPr>
        <w:t xml:space="preserve">ustawy z dnia 7 lipca 1994 r. – Prawo Budowlane (tekst jednolity: </w:t>
      </w:r>
      <w:bookmarkStart w:id="13" w:name="_Hlk16185658"/>
      <w:r>
        <w:rPr>
          <w:rFonts w:ascii="Times New Roman" w:hAnsi="Times New Roman"/>
          <w:sz w:val="24"/>
          <w:szCs w:val="24"/>
        </w:rPr>
        <w:t xml:space="preserve">Dz. U. z 2021 r. poz. </w:t>
      </w:r>
      <w:bookmarkEnd w:id="13"/>
      <w:r>
        <w:rPr>
          <w:rFonts w:ascii="Times New Roman" w:hAnsi="Times New Roman"/>
          <w:sz w:val="24"/>
          <w:szCs w:val="24"/>
        </w:rPr>
        <w:t>2351 ze zm</w:t>
      </w:r>
      <w:r>
        <w:rPr>
          <w:rFonts w:cs="Arial" w:ascii="Times New Roman" w:hAnsi="Times New Roman"/>
          <w:sz w:val="24"/>
          <w:szCs w:val="24"/>
        </w:rPr>
        <w:t>.)</w:t>
      </w:r>
      <w:bookmarkEnd w:id="10"/>
      <w:r>
        <w:rPr>
          <w:rFonts w:ascii="Times New Roman" w:hAnsi="Times New Roman"/>
          <w:sz w:val="24"/>
          <w:szCs w:val="24"/>
        </w:rPr>
        <w:t>.</w:t>
      </w:r>
    </w:p>
    <w:p>
      <w:pPr>
        <w:pStyle w:val="BodyText3"/>
        <w:tabs>
          <w:tab w:val="clear" w:pos="708"/>
          <w:tab w:val="left" w:pos="360" w:leader="none"/>
        </w:tabs>
        <w:spacing w:before="0" w:after="0"/>
        <w:ind w:left="360" w:hanging="360"/>
        <w:rPr>
          <w:rFonts w:ascii="Times New Roman" w:hAnsi="Times New Roman"/>
          <w:b/>
          <w:b/>
          <w:sz w:val="24"/>
          <w:szCs w:val="24"/>
        </w:rPr>
      </w:pPr>
      <w:r>
        <w:rPr>
          <w:rFonts w:ascii="Times New Roman" w:hAnsi="Times New Roman"/>
          <w:b/>
          <w:sz w:val="24"/>
          <w:szCs w:val="24"/>
        </w:rPr>
      </w:r>
    </w:p>
    <w:p>
      <w:pPr>
        <w:pStyle w:val="BodyText3"/>
        <w:tabs>
          <w:tab w:val="clear" w:pos="708"/>
          <w:tab w:val="left" w:pos="360" w:leader="none"/>
        </w:tabs>
        <w:spacing w:before="0" w:after="0"/>
        <w:ind w:left="360" w:hanging="360"/>
        <w:rPr>
          <w:rFonts w:ascii="Times New Roman" w:hAnsi="Times New Roman"/>
          <w:sz w:val="24"/>
          <w:szCs w:val="24"/>
        </w:rPr>
      </w:pPr>
      <w:r>
        <w:rPr>
          <w:rFonts w:ascii="Times New Roman" w:hAnsi="Times New Roman"/>
          <w:b/>
          <w:sz w:val="24"/>
          <w:szCs w:val="24"/>
        </w:rPr>
        <w:t>V.</w:t>
        <w:tab/>
        <w:t xml:space="preserve">WYMAGANIA DOTYCZĄCE OCHRONY OBIEKTÓW BUDOWLANYCH NA TERENACH GÓRNICZYCH, A TAKŻE NARAŻONYCH NA NIEBEZPIECZEŃSTWO POWODZI ORAZ ZAGROŻONYCH OSUWANIEM SIĘ MAS ZIEMNYCH </w:t>
      </w:r>
    </w:p>
    <w:p>
      <w:pPr>
        <w:pStyle w:val="Tekstpodstawowy21"/>
        <w:tabs>
          <w:tab w:val="clear" w:pos="426"/>
        </w:tabs>
        <w:rPr>
          <w:rFonts w:ascii="Times New Roman" w:hAnsi="Times New Roman"/>
          <w:sz w:val="24"/>
          <w:szCs w:val="24"/>
        </w:rPr>
      </w:pPr>
      <w:r>
        <w:rPr>
          <w:rFonts w:ascii="Times New Roman" w:hAnsi="Times New Roman"/>
          <w:sz w:val="24"/>
          <w:szCs w:val="24"/>
        </w:rPr>
        <w:t>Nie dotyczy.</w:t>
      </w:r>
    </w:p>
    <w:p>
      <w:pPr>
        <w:pStyle w:val="BodyText3"/>
        <w:spacing w:before="0" w:after="0"/>
        <w:jc w:val="center"/>
        <w:rPr>
          <w:rFonts w:ascii="Times New Roman" w:hAnsi="Times New Roman"/>
          <w:sz w:val="24"/>
          <w:szCs w:val="24"/>
        </w:rPr>
      </w:pPr>
      <w:r>
        <w:rPr>
          <w:rFonts w:ascii="Times New Roman" w:hAnsi="Times New Roman"/>
          <w:b/>
          <w:sz w:val="24"/>
          <w:szCs w:val="24"/>
        </w:rPr>
        <w:t xml:space="preserve">UZASADNIENIE </w:t>
      </w:r>
    </w:p>
    <w:p>
      <w:pPr>
        <w:pStyle w:val="BodyText3"/>
        <w:spacing w:before="0" w:after="0"/>
        <w:ind w:firstLine="426"/>
        <w:rPr>
          <w:rFonts w:ascii="Times New Roman" w:hAnsi="Times New Roman"/>
          <w:sz w:val="24"/>
          <w:szCs w:val="24"/>
        </w:rPr>
      </w:pPr>
      <w:r>
        <w:rPr>
          <w:rFonts w:ascii="Times New Roman" w:hAnsi="Times New Roman"/>
          <w:sz w:val="24"/>
          <w:szCs w:val="24"/>
        </w:rPr>
        <w:t xml:space="preserve">W dniu 21 listopada 2022 r. (data wpływu) </w:t>
      </w:r>
      <w:r>
        <w:rPr>
          <w:rFonts w:ascii="Times New Roman" w:hAnsi="Times New Roman"/>
          <w:b/>
          <w:bCs/>
          <w:sz w:val="24"/>
          <w:szCs w:val="24"/>
        </w:rPr>
        <w:t xml:space="preserve">Polska Spółka Gazownictwa Sp. z o.o. Oddział Zakład Gazowniczy w Bydgoszczy z siedzibą: ul. Jagiellońska 42, 85-097 Bydgoszcz, reprezentowanej przez pełnomocnika – Panią </w:t>
      </w:r>
      <w:r>
        <w:rPr>
          <w:rFonts w:ascii="Times New Roman" w:hAnsi="Times New Roman"/>
          <w:b/>
          <w:bCs/>
          <w:color w:val="000000"/>
          <w:sz w:val="24"/>
          <w:szCs w:val="24"/>
          <w:shd w:fill="000000" w:val="clear"/>
        </w:rPr>
        <w:t xml:space="preserve">Agatę Świeżewską ul. Bałtycka 43, 86-031 Osielsko, </w:t>
      </w:r>
      <w:r>
        <w:rPr>
          <w:rFonts w:ascii="Times New Roman" w:hAnsi="Times New Roman"/>
          <w:sz w:val="24"/>
          <w:szCs w:val="24"/>
        </w:rPr>
        <w:t>wystąpiła o ustalenie lokalizacji inwestycji celu publicznego polegającej na budowie gazociągu niskiego ciśnienia w Janikowie – realizacja inwestycji na działkach nr ewid. 83, 22/7, obręb ewidencyjny 4 miasto Janikowo, gmina Janikowo.</w:t>
      </w:r>
    </w:p>
    <w:p>
      <w:pPr>
        <w:pStyle w:val="BodyText3"/>
        <w:spacing w:before="0" w:after="0"/>
        <w:jc w:val="center"/>
        <w:rPr>
          <w:rFonts w:ascii="Times New Roman" w:hAnsi="Times New Roman"/>
          <w:b/>
          <w:b/>
          <w:bCs/>
          <w:sz w:val="24"/>
          <w:szCs w:val="24"/>
        </w:rPr>
      </w:pPr>
      <w:r>
        <w:rPr>
          <w:rFonts w:ascii="Times New Roman" w:hAnsi="Times New Roman"/>
          <w:b/>
          <w:bCs/>
          <w:sz w:val="24"/>
          <w:szCs w:val="24"/>
        </w:rPr>
      </w:r>
    </w:p>
    <w:p>
      <w:pPr>
        <w:pStyle w:val="BodyText3"/>
        <w:spacing w:before="0" w:after="0"/>
        <w:ind w:firstLine="426"/>
        <w:rPr>
          <w:rFonts w:ascii="Times New Roman" w:hAnsi="Times New Roman"/>
          <w:sz w:val="24"/>
          <w:szCs w:val="24"/>
        </w:rPr>
      </w:pPr>
      <w:r>
        <w:rPr>
          <w:rFonts w:ascii="Times New Roman" w:hAnsi="Times New Roman"/>
          <w:sz w:val="24"/>
          <w:szCs w:val="24"/>
        </w:rPr>
        <w:t xml:space="preserve">Rozpatrując wniosek stwierdzono, iż wnioskowane zamierzenie zaliczone jest do inwestycji celu publicznego, bowiem zgodnie z art. 6 pkt 2 ustawy z dnia 21 sierpnia 1997 r. o gospodarce nieruchomościami (tekst jednolity: Dz. U. z 2021 r. poz. 1899 ze zm.) „budowa                  i utrzymywanie ciągów drenażowych, przewodów i urządzeń służących do przesyłania lub dystrybucji płynów, pary, gazów i energii elektrycznej, a także innych obiektów i urządzeń niezbędnych do korzystania z tych przewodów i urządzeń” stanowi cel publiczny.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Times New Roman" w:hAnsi="Times New Roman"/>
          <w:sz w:val="24"/>
          <w:szCs w:val="24"/>
        </w:rPr>
      </w:pPr>
      <w:r>
        <w:rPr>
          <w:rFonts w:ascii="Times New Roman" w:hAnsi="Times New Roman"/>
          <w:sz w:val="24"/>
          <w:szCs w:val="24"/>
        </w:rPr>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Times New Roman" w:hAnsi="Times New Roman"/>
          <w:sz w:val="24"/>
          <w:szCs w:val="24"/>
        </w:rPr>
      </w:pPr>
      <w:r>
        <w:rPr>
          <w:rFonts w:ascii="Times New Roman" w:hAnsi="Times New Roman"/>
          <w:sz w:val="24"/>
          <w:szCs w:val="24"/>
        </w:rPr>
        <w:t>Analizując wniosek oraz ustalenia studium uwarunkowań i kierunków zagospodarowania przestrzennego gminy i miasta Janikowo uchwalonego uchwałą nr XIX/159/2016 Rady Miejskiej w Janikowie z dnia 27 września 2016 r.,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Times New Roman" w:hAnsi="Times New Roman"/>
          <w:sz w:val="24"/>
          <w:szCs w:val="24"/>
        </w:rPr>
        <w:t xml:space="preserve">. </w:t>
      </w:r>
    </w:p>
    <w:p>
      <w:pPr>
        <w:pStyle w:val="WWTekstpodstawowy3"/>
        <w:numPr>
          <w:ilvl w:val="0"/>
          <w:numId w:val="6"/>
        </w:numPr>
        <w:spacing w:before="0" w:after="0"/>
        <w:ind w:left="284" w:hanging="284"/>
        <w:rPr>
          <w:rFonts w:ascii="Times New Roman" w:hAnsi="Times New Roman"/>
          <w:sz w:val="24"/>
          <w:szCs w:val="24"/>
        </w:rPr>
      </w:pPr>
      <w:r>
        <w:rPr>
          <w:rFonts w:ascii="Times New Roman" w:hAnsi="Times New Roman"/>
          <w:sz w:val="24"/>
          <w:szCs w:val="24"/>
        </w:rPr>
        <w:t>Teren wnioskowanej inwestycji:</w:t>
      </w:r>
    </w:p>
    <w:p>
      <w:pPr>
        <w:pStyle w:val="WWTekstpodstawowy3"/>
        <w:numPr>
          <w:ilvl w:val="0"/>
          <w:numId w:val="7"/>
        </w:numPr>
        <w:tabs>
          <w:tab w:val="clear" w:pos="708"/>
        </w:tabs>
        <w:spacing w:before="0" w:after="0"/>
        <w:ind w:left="567" w:hanging="283"/>
        <w:rPr>
          <w:rFonts w:ascii="Times New Roman" w:hAnsi="Times New Roman"/>
          <w:sz w:val="24"/>
          <w:szCs w:val="24"/>
        </w:rPr>
      </w:pPr>
      <w:r>
        <w:rPr>
          <w:rFonts w:ascii="Times New Roman" w:hAnsi="Times New Roman"/>
          <w:sz w:val="24"/>
          <w:szCs w:val="24"/>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Times New Roman" w:hAnsi="Times New Roman"/>
          <w:sz w:val="24"/>
          <w:szCs w:val="24"/>
        </w:rPr>
      </w:pPr>
      <w:r>
        <w:rPr>
          <w:rFonts w:ascii="Times New Roman" w:hAnsi="Times New Roman"/>
          <w:sz w:val="24"/>
          <w:szCs w:val="24"/>
        </w:rPr>
        <w:t xml:space="preserve">nie znajduje się na obszarze objętym ochroną z tytułu ustawy </w:t>
      </w:r>
      <w:bookmarkStart w:id="14" w:name="_Hlk506796204"/>
      <w:r>
        <w:rPr>
          <w:rFonts w:ascii="Times New Roman" w:hAnsi="Times New Roman"/>
          <w:sz w:val="24"/>
          <w:szCs w:val="24"/>
        </w:rPr>
        <w:t>z dnia 16 kwietnia 2004 r.          o ochronie przyrody (Dz. U. z 2022 r. poz. 916 ze zm</w:t>
      </w:r>
      <w:r>
        <w:rPr>
          <w:rFonts w:ascii="Times New Roman" w:hAnsi="Times New Roman"/>
          <w:sz w:val="24"/>
          <w:szCs w:val="24"/>
          <w:lang w:eastAsia="ar-SA"/>
        </w:rPr>
        <w:t>.</w:t>
      </w:r>
      <w:r>
        <w:rPr>
          <w:rFonts w:ascii="Times New Roman" w:hAnsi="Times New Roman"/>
          <w:sz w:val="24"/>
          <w:szCs w:val="24"/>
        </w:rPr>
        <w:t>)</w:t>
      </w:r>
      <w:bookmarkEnd w:id="14"/>
      <w:r>
        <w:rPr>
          <w:rFonts w:ascii="Times New Roman" w:hAnsi="Times New Roman"/>
          <w:sz w:val="24"/>
          <w:szCs w:val="24"/>
        </w:rPr>
        <w:t>,</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konserwatorskiej z tytułu ustawy z dnia 23 lipca 2003r. o ochronie zabytków i opiece nad zabytkami (tekst jednolity: Dz. U. z 2022 r. poz. 840 ze zm.),</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Times New Roman" w:hAnsi="Times New Roman"/>
          <w:sz w:val="24"/>
          <w:szCs w:val="24"/>
        </w:rPr>
      </w:pPr>
      <w:r>
        <w:rPr>
          <w:rFonts w:ascii="Times New Roman" w:hAnsi="Times New Roman"/>
          <w:sz w:val="24"/>
          <w:szCs w:val="24"/>
        </w:rPr>
        <w:t>nie stanowi dróg publicznych.</w:t>
      </w:r>
    </w:p>
    <w:p>
      <w:pPr>
        <w:pStyle w:val="WWTekstpodstawowy3"/>
        <w:spacing w:before="0" w:after="0"/>
        <w:ind w:firstLine="540"/>
        <w:rPr>
          <w:rFonts w:ascii="Times New Roman" w:hAnsi="Times New Roman"/>
          <w:sz w:val="24"/>
          <w:szCs w:val="24"/>
        </w:rPr>
      </w:pPr>
      <w:r>
        <w:rPr>
          <w:rFonts w:ascii="Times New Roman" w:hAnsi="Times New Roman"/>
          <w:sz w:val="24"/>
          <w:szCs w:val="24"/>
        </w:rPr>
      </w:r>
    </w:p>
    <w:p>
      <w:pPr>
        <w:pStyle w:val="Tretekstu"/>
        <w:ind w:firstLine="709"/>
        <w:jc w:val="both"/>
        <w:rPr>
          <w:rFonts w:ascii="Times New Roman" w:hAnsi="Times New Roman"/>
          <w:sz w:val="24"/>
          <w:szCs w:val="24"/>
        </w:rPr>
      </w:pPr>
      <w:r>
        <w:rPr>
          <w:rFonts w:cs="Arial"/>
          <w:sz w:val="24"/>
          <w:szCs w:val="24"/>
        </w:rPr>
        <w:t xml:space="preserve">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t>
      </w:r>
    </w:p>
    <w:p>
      <w:pPr>
        <w:pStyle w:val="Tretekstu"/>
        <w:ind w:firstLine="709"/>
        <w:jc w:val="both"/>
        <w:rPr>
          <w:rFonts w:ascii="Times New Roman" w:hAnsi="Times New Roman"/>
          <w:sz w:val="24"/>
          <w:szCs w:val="24"/>
        </w:rPr>
      </w:pPr>
      <w:r>
        <w:rPr>
          <w:rFonts w:cs="Arial"/>
          <w:sz w:val="24"/>
          <w:szCs w:val="24"/>
        </w:rPr>
        <w:t>W związku z brakiem planu miejscowego na podstawie art. 4 ust. 2 pkt 2 Ustawy z dnia 27 marca 2003 r. o planowaniu i zagospodarowaniu przestrzennym (tekst jednolity: Dz. U.                  z 2022 r. poz. 503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2000r.                             o samorządach zawodowych architektów, inżynierów budownictwa oraz urbanistów (Dz. U.                 z 2013 r. poz. 932 i 1650).</w:t>
      </w:r>
    </w:p>
    <w:p>
      <w:pPr>
        <w:pStyle w:val="Tretekstu"/>
        <w:spacing w:before="0" w:after="0"/>
        <w:ind w:firstLine="709"/>
        <w:jc w:val="both"/>
        <w:rPr>
          <w:rFonts w:ascii="Times New Roman" w:hAnsi="Times New Roman"/>
          <w:sz w:val="24"/>
          <w:szCs w:val="24"/>
        </w:rPr>
      </w:pPr>
      <w:r>
        <w:rPr>
          <w:rFonts w:cs="Arial"/>
          <w:sz w:val="24"/>
          <w:szCs w:val="24"/>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Times New Roman" w:hAnsi="Times New Roman"/>
          <w:sz w:val="24"/>
          <w:szCs w:val="24"/>
        </w:rPr>
      </w:pPr>
      <w:r>
        <w:rPr>
          <w:rFonts w:ascii="Times New Roman" w:hAnsi="Times New Roman"/>
          <w:sz w:val="24"/>
          <w:szCs w:val="24"/>
        </w:rPr>
        <w:t>Projekt decyzji uzgodniono: z Państwowym Gospodarstwem Wodnym Wody Polskie Zarząd Zlewni Inowrocław w sprawach ochrony melioracji zgodnie z art. 53 ust. 4 pkt 6 ww. ustawy.</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Times New Roman" w:hAnsi="Times New Roman"/>
          <w:sz w:val="24"/>
          <w:szCs w:val="24"/>
        </w:rPr>
      </w:pPr>
      <w:r>
        <w:rPr>
          <w:rFonts w:ascii="Times New Roman" w:hAnsi="Times New Roman"/>
          <w:sz w:val="24"/>
          <w:szCs w:val="24"/>
        </w:rPr>
      </w:r>
    </w:p>
    <w:p>
      <w:pPr>
        <w:pStyle w:val="NormalIMP"/>
        <w:spacing w:lineRule="auto" w:line="240"/>
        <w:jc w:val="both"/>
        <w:rPr>
          <w:rFonts w:ascii="Times New Roman" w:hAnsi="Times New Roman"/>
          <w:sz w:val="24"/>
          <w:szCs w:val="24"/>
        </w:rPr>
      </w:pPr>
      <w:r>
        <w:rPr>
          <w:rFonts w:ascii="Times New Roman" w:hAnsi="Times New Roman"/>
          <w:sz w:val="24"/>
          <w:szCs w:val="24"/>
        </w:rPr>
        <w:t>Na mocy ustawy z dnia 27 marca 2003 r. o planowaniu i zagospodarowaniu przestrzennym:</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niniejsza decyzja wiąże organ wydający decyzję o pozwoleniu na budowę (art. 55),</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jeżeli decyzja wywołuje skutki, o których mowa w art. 36 ustawy, przepisy art. 36 oraz art. 37 stosuje się odpowiednio (art. 58 ust. 2),</w:t>
      </w:r>
    </w:p>
    <w:p>
      <w:pPr>
        <w:pStyle w:val="NormalIMP"/>
        <w:numPr>
          <w:ilvl w:val="0"/>
          <w:numId w:val="9"/>
        </w:numPr>
        <w:tabs>
          <w:tab w:val="clear" w:pos="708"/>
          <w:tab w:val="left" w:pos="-1134" w:leader="none"/>
        </w:tabs>
        <w:overflowPunct w:val="true"/>
        <w:spacing w:lineRule="auto" w:line="240"/>
        <w:ind w:left="284" w:hanging="284"/>
        <w:jc w:val="both"/>
        <w:textAlignment w:val="auto"/>
        <w:rPr>
          <w:rFonts w:ascii="Times New Roman" w:hAnsi="Times New Roman"/>
          <w:sz w:val="24"/>
          <w:szCs w:val="24"/>
        </w:rPr>
      </w:pPr>
      <w:r>
        <w:rPr>
          <w:rFonts w:ascii="Times New Roman" w:hAnsi="Times New Roman"/>
          <w:sz w:val="24"/>
          <w:szCs w:val="24"/>
        </w:rPr>
        <w:t>organ, który wydał decyzję o ustaleniu lokalizacji inwestycji celu publicznego, stwierdza jej wygaśnięcie (art. 65 ust. 1 i 2), jeżeli:</w:t>
      </w:r>
    </w:p>
    <w:p>
      <w:pPr>
        <w:pStyle w:val="NormalIMP"/>
        <w:spacing w:lineRule="auto" w:line="240"/>
        <w:ind w:left="426" w:hanging="142"/>
        <w:jc w:val="both"/>
        <w:rPr>
          <w:rFonts w:ascii="Times New Roman" w:hAnsi="Times New Roman"/>
          <w:sz w:val="24"/>
          <w:szCs w:val="24"/>
        </w:rPr>
      </w:pPr>
      <w:r>
        <w:rPr>
          <w:rFonts w:ascii="Times New Roman" w:hAnsi="Times New Roman"/>
          <w:sz w:val="24"/>
          <w:szCs w:val="24"/>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Times New Roman" w:hAnsi="Times New Roman"/>
          <w:sz w:val="24"/>
          <w:szCs w:val="24"/>
        </w:rPr>
      </w:pPr>
      <w:r>
        <w:rPr>
          <w:rFonts w:ascii="Times New Roman" w:hAnsi="Times New Roman"/>
          <w:sz w:val="24"/>
          <w:szCs w:val="24"/>
        </w:rPr>
        <w:t>-</w:t>
        <w:tab/>
        <w:t>dla tego terenu uchwalono plan miejscowy, którego ustalenia są inne niż w wydanej decyzji.</w:t>
      </w:r>
    </w:p>
    <w:p>
      <w:pPr>
        <w:pStyle w:val="Tekstpodstawowy21"/>
        <w:tabs>
          <w:tab w:val="clear" w:pos="426"/>
          <w:tab w:val="left" w:pos="708" w:leader="none"/>
        </w:tabs>
        <w:suppressAutoHyphens w:val="false"/>
        <w:jc w:val="center"/>
        <w:rPr>
          <w:b/>
          <w:b/>
        </w:rPr>
      </w:pPr>
      <w:r>
        <w:rPr>
          <w:b/>
        </w:rPr>
      </w:r>
    </w:p>
    <w:p>
      <w:pPr>
        <w:pStyle w:val="Tekstpodstawowy21"/>
        <w:tabs>
          <w:tab w:val="clear" w:pos="426"/>
          <w:tab w:val="left" w:pos="708" w:leader="none"/>
        </w:tabs>
        <w:suppressAutoHyphens w:val="false"/>
        <w:jc w:val="center"/>
        <w:rPr>
          <w:rFonts w:ascii="Times New Roman" w:hAnsi="Times New Roman"/>
          <w:sz w:val="24"/>
          <w:szCs w:val="24"/>
        </w:rPr>
      </w:pPr>
      <w:r>
        <w:rPr>
          <w:rFonts w:ascii="Times New Roman" w:hAnsi="Times New Roman"/>
          <w:b/>
          <w:sz w:val="24"/>
          <w:szCs w:val="24"/>
        </w:rPr>
        <w:t>Pouczenie</w:t>
      </w:r>
    </w:p>
    <w:p>
      <w:pPr>
        <w:pStyle w:val="Tekstpodstawowy21"/>
        <w:tabs>
          <w:tab w:val="clear" w:pos="426"/>
          <w:tab w:val="left" w:pos="708" w:leader="none"/>
        </w:tabs>
        <w:suppressAutoHyphens w:val="false"/>
        <w:jc w:val="center"/>
        <w:rPr>
          <w:b/>
          <w:b/>
        </w:rPr>
      </w:pPr>
      <w:r>
        <w:rPr>
          <w:b/>
        </w:rPr>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 xml:space="preserve">Od niniejszej decyzji służy stronom odwołanie do Samorządowego Kolegium Odwoławczego w Bydgoszczy, które należy wnieść za pośrednictwem Burmistrza Gminy i Miasta Janikowo w terminie 14 dni od daty doręczenia. </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bookmarkStart w:id="15" w:name="_Hlk487432118"/>
      <w:r>
        <w:rPr>
          <w:rFonts w:ascii="Times New Roman" w:hAnsi="Times New Roman"/>
          <w:sz w:val="24"/>
          <w:szCs w:val="24"/>
        </w:rPr>
        <w:t>Zgodnie z art. 127a § 1 i 2 ustawy z dnia 14 czerwca 1960 r. Kodeks postępowania administracyjnego (tekst jednolity: Dz. U. z 2022 r. poz. 2000) w trakcie biegu terminu do wniesienia odwołania strona może zrzec się prawa do wniesienia odwołania wobec organu administracji publicznej, który wydał decyzję</w:t>
      </w:r>
      <w:bookmarkEnd w:id="15"/>
      <w:r>
        <w:rPr>
          <w:rFonts w:ascii="Times New Roman" w:hAnsi="Times New Roman"/>
          <w:sz w:val="24"/>
          <w:szCs w:val="24"/>
        </w:rPr>
        <w:t xml:space="preserve">. </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IMP"/>
        <w:numPr>
          <w:ilvl w:val="0"/>
          <w:numId w:val="11"/>
        </w:numPr>
        <w:overflowPunct w:val="true"/>
        <w:spacing w:lineRule="auto" w:line="240"/>
        <w:ind w:left="426" w:hanging="426"/>
        <w:jc w:val="both"/>
        <w:textAlignment w:val="auto"/>
        <w:rPr>
          <w:rFonts w:ascii="Times New Roman" w:hAnsi="Times New Roman"/>
          <w:sz w:val="24"/>
          <w:szCs w:val="24"/>
        </w:rPr>
      </w:pPr>
      <w:r>
        <w:rPr>
          <w:rFonts w:ascii="Times New Roman" w:hAnsi="Times New Roman"/>
          <w:sz w:val="24"/>
          <w:szCs w:val="24"/>
        </w:rPr>
        <w:t>Zgodnie z art. 51 ust. 2 ustawy z dnia 27 marca 2003 r. o planowaniu i zagospodarowaniu przestrzennym (tekst jednolity: Dz. U. z 2022 r. poz. 503 ze zm.) W przypadku niewydania przez właściwy organ decyzji w sprawie ustalenia lokalizacji inwestycji celu publicznego w terminie 65 dni od dnia złożenia wniosku o wydanie takiej decyzji, organ wyższego stopnia wymierza temu organowi, w drodze postanowienia, na które przysługuje zażalenie, karę pieniężną w wysokości 500 zł za każdy dzień zwłoki. Wpływy z kar pieniężnych stanowią dochód budżetu państwa. Organem wyższego stopnia w sprawach określonych w ust. 2 jest wojewoda (art. 51 ust 2a). Postępowanie w sprawie wymierzenia kary pieniężnej, o której mowa w ust. 2, wszczyna się z urzędu, jeżeli podmiot, który wystąpił z wnioskiem o ustalenie lokalizacji inwestycji celu publicznego, wniesie żądanie wymierzenia tej kary (art. 51 ust. 2e). Do ww. terminu nie wlicza się terminów przewidzianych w przepisach prawa do dokonania określonych czynności, okresów zawieszenia postępowania oraz okresów opóźnień spowodowanych z winy strony albo z przyczyn niezależnych od organu (art. 51 ust 2c).</w:t>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spacing w:lineRule="auto" w:line="360"/>
        <w:ind w:left="0" w:right="0" w:hanging="0"/>
        <w:jc w:val="both"/>
        <w:rPr>
          <w:rFonts w:ascii="Times New Roman" w:hAnsi="Times New Roman"/>
          <w:sz w:val="24"/>
          <w:szCs w:val="24"/>
        </w:rPr>
      </w:pPr>
      <w:r>
        <w:rPr>
          <w:rFonts w:eastAsia="Times New Roman" w:cs="Times New Roman"/>
          <w:b w:val="false"/>
          <w:bCs w:val="false"/>
          <w:color w:val="000000"/>
          <w:sz w:val="24"/>
          <w:szCs w:val="24"/>
          <w:shd w:fill="FFFFFF" w:val="clear"/>
          <w:lang w:bidi="en-US"/>
        </w:rPr>
        <w:t xml:space="preserve"> </w:t>
      </w:r>
      <w:r>
        <w:rPr>
          <w:rFonts w:eastAsia="Times New Roman" w:cs="Times New Roman"/>
          <w:b w:val="false"/>
          <w:bCs w:val="false"/>
          <w:color w:val="000000"/>
          <w:sz w:val="24"/>
          <w:szCs w:val="24"/>
          <w:shd w:fill="FFFFFF" w:val="clear"/>
          <w:lang w:bidi="en-US"/>
        </w:rPr>
        <w:tab/>
        <w:tab/>
        <w:tab/>
        <w:tab/>
        <w:tab/>
        <w:tab/>
        <w:tab/>
        <w:tab/>
        <w:tab/>
        <w:t xml:space="preserve"> BURMISTRZ    </w:t>
      </w:r>
    </w:p>
    <w:p>
      <w:pPr>
        <w:pStyle w:val="Normal"/>
        <w:spacing w:lineRule="auto" w:line="360"/>
        <w:jc w:val="both"/>
        <w:rPr>
          <w:rFonts w:ascii="Times New Roman" w:hAnsi="Times New Roman"/>
          <w:sz w:val="24"/>
          <w:szCs w:val="24"/>
        </w:rPr>
      </w:pPr>
      <w:r>
        <w:rPr>
          <w:rFonts w:cs="Times New Roman"/>
          <w:b w:val="false"/>
          <w:bCs w:val="false"/>
          <w:color w:val="000000"/>
        </w:rPr>
        <w:tab/>
        <w:tab/>
        <w:tab/>
        <w:tab/>
        <w:tab/>
        <w:tab/>
        <w:t xml:space="preserve">                   GMINY I MIASTA JANIKOWO</w:t>
      </w:r>
    </w:p>
    <w:p>
      <w:pPr>
        <w:pStyle w:val="Normal"/>
        <w:ind w:hanging="0"/>
        <w:rPr>
          <w:rFonts w:ascii="Times New Roman" w:hAnsi="Times New Roman"/>
          <w:sz w:val="24"/>
          <w:szCs w:val="24"/>
        </w:rPr>
      </w:pPr>
      <w:r>
        <w:rPr>
          <w:rFonts w:eastAsia="Times New Roman" w:cs="Times New Roman"/>
          <w:b w:val="false"/>
          <w:bCs w:val="false"/>
          <w:color w:val="000000"/>
          <w:sz w:val="24"/>
          <w:szCs w:val="24"/>
          <w:shd w:fill="FFFFFF" w:val="clear"/>
          <w:lang w:eastAsia="en-US" w:bidi="en-US"/>
        </w:rPr>
        <w:tab/>
        <w:tab/>
        <w:tab/>
        <w:t xml:space="preserve">      </w:t>
        <w:tab/>
        <w:t xml:space="preserve">          </w:t>
        <w:tab/>
        <w:tab/>
        <w:tab/>
        <w:tab/>
        <w:t xml:space="preserve">        Andrzej Brzeziński</w:t>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hanging="0"/>
        <w:rPr>
          <w:rFonts w:ascii="Times New Roman" w:hAnsi="Times New Roman"/>
          <w:sz w:val="24"/>
          <w:szCs w:val="24"/>
        </w:rPr>
      </w:pPr>
      <w:r>
        <w:rPr>
          <w:sz w:val="24"/>
          <w:szCs w:val="24"/>
        </w:rPr>
      </w:r>
    </w:p>
    <w:p>
      <w:pPr>
        <w:pStyle w:val="Normal"/>
        <w:ind w:left="5664" w:hanging="0"/>
        <w:rPr>
          <w:rFonts w:ascii="Times New Roman" w:hAnsi="Times New Roman"/>
          <w:sz w:val="24"/>
          <w:szCs w:val="24"/>
        </w:rPr>
      </w:pPr>
      <w:r>
        <w:rPr>
          <w:sz w:val="24"/>
          <w:szCs w:val="24"/>
        </w:rPr>
      </w:r>
    </w:p>
    <w:p>
      <w:pPr>
        <w:pStyle w:val="Normal"/>
        <w:ind w:right="4536" w:hanging="0"/>
        <w:rPr>
          <w:rFonts w:ascii="Times New Roman" w:hAnsi="Times New Roman"/>
          <w:sz w:val="18"/>
          <w:szCs w:val="18"/>
        </w:rPr>
      </w:pPr>
      <w:r>
        <w:rPr>
          <w:b/>
          <w:sz w:val="18"/>
          <w:szCs w:val="18"/>
          <w:u w:val="single"/>
        </w:rPr>
        <w:t xml:space="preserve">Załącznik: </w:t>
      </w:r>
    </w:p>
    <w:p>
      <w:pPr>
        <w:pStyle w:val="ListParagraph"/>
        <w:numPr>
          <w:ilvl w:val="3"/>
          <w:numId w:val="5"/>
        </w:numPr>
        <w:tabs>
          <w:tab w:val="clear" w:pos="708"/>
          <w:tab w:val="left" w:pos="284" w:leader="none"/>
        </w:tabs>
        <w:ind w:left="0" w:right="4536" w:hanging="0"/>
        <w:rPr>
          <w:rFonts w:ascii="Times New Roman" w:hAnsi="Times New Roman"/>
          <w:sz w:val="18"/>
          <w:szCs w:val="18"/>
        </w:rPr>
      </w:pPr>
      <w:r>
        <w:rPr>
          <w:sz w:val="18"/>
          <w:szCs w:val="18"/>
        </w:rPr>
        <w:t>część graficzna –</w:t>
      </w:r>
      <w:r>
        <w:rPr>
          <w:b/>
          <w:sz w:val="18"/>
          <w:szCs w:val="18"/>
        </w:rPr>
        <w:t xml:space="preserve"> </w:t>
      </w:r>
      <w:r>
        <w:rPr>
          <w:sz w:val="18"/>
          <w:szCs w:val="18"/>
        </w:rPr>
        <w:t>załącznik nr 1.</w:t>
      </w:r>
    </w:p>
    <w:p>
      <w:pPr>
        <w:pStyle w:val="ListParagraph"/>
        <w:tabs>
          <w:tab w:val="clear" w:pos="708"/>
          <w:tab w:val="left" w:pos="284" w:leader="none"/>
        </w:tabs>
        <w:ind w:left="0" w:right="4536" w:hanging="0"/>
        <w:rPr>
          <w:rFonts w:ascii="Times New Roman" w:hAnsi="Times New Roman"/>
          <w:sz w:val="18"/>
          <w:szCs w:val="18"/>
        </w:rPr>
      </w:pPr>
      <w:r>
        <w:rPr>
          <w:b/>
          <w:sz w:val="18"/>
          <w:szCs w:val="18"/>
          <w:u w:val="single"/>
        </w:rPr>
        <w:t>Otrzymują:</w:t>
      </w:r>
    </w:p>
    <w:p>
      <w:pPr>
        <w:pStyle w:val="ListParagraph"/>
        <w:numPr>
          <w:ilvl w:val="3"/>
          <w:numId w:val="4"/>
        </w:numPr>
        <w:tabs>
          <w:tab w:val="clear" w:pos="708"/>
          <w:tab w:val="left" w:pos="284" w:leader="none"/>
        </w:tabs>
        <w:ind w:left="284" w:right="4536" w:hanging="284"/>
        <w:rPr>
          <w:rFonts w:ascii="Times New Roman" w:hAnsi="Times New Roman"/>
          <w:sz w:val="18"/>
          <w:szCs w:val="18"/>
        </w:rPr>
      </w:pPr>
      <w:r>
        <w:rPr>
          <w:sz w:val="18"/>
          <w:szCs w:val="18"/>
        </w:rPr>
        <w:t>wnioskodawca</w:t>
      </w:r>
    </w:p>
    <w:p>
      <w:pPr>
        <w:pStyle w:val="ListParagraph"/>
        <w:numPr>
          <w:ilvl w:val="3"/>
          <w:numId w:val="4"/>
        </w:numPr>
        <w:tabs>
          <w:tab w:val="clear" w:pos="708"/>
          <w:tab w:val="left" w:pos="284" w:leader="none"/>
        </w:tabs>
        <w:ind w:left="2880" w:right="4536" w:hanging="2880"/>
        <w:rPr>
          <w:rFonts w:ascii="Times New Roman" w:hAnsi="Times New Roman"/>
          <w:sz w:val="18"/>
          <w:szCs w:val="18"/>
        </w:rPr>
      </w:pPr>
      <w:r>
        <w:rPr>
          <w:sz w:val="18"/>
          <w:szCs w:val="18"/>
        </w:rPr>
        <w:t>inne strony postępowania</w:t>
      </w:r>
    </w:p>
    <w:p>
      <w:pPr>
        <w:pStyle w:val="Normal"/>
        <w:tabs>
          <w:tab w:val="clear" w:pos="708"/>
          <w:tab w:val="left" w:pos="284" w:leader="none"/>
        </w:tabs>
        <w:ind w:right="4536" w:hanging="0"/>
        <w:rPr>
          <w:rFonts w:ascii="Times New Roman" w:hAnsi="Times New Roman"/>
          <w:sz w:val="18"/>
          <w:szCs w:val="18"/>
        </w:rPr>
      </w:pPr>
      <w:r>
        <w:rPr>
          <w:sz w:val="18"/>
          <w:szCs w:val="18"/>
        </w:rPr>
        <w:tab/>
        <w:t>(zgodnie z rozdzielnikiem Urzędu Miejskiego w Janikowie</w:t>
      </w:r>
    </w:p>
    <w:sectPr>
      <w:footerReference w:type="even" r:id="rId2"/>
      <w:footerReference w:type="default" r:id="rId3"/>
      <w:footerReference w:type="first" r:id="rId4"/>
      <w:type w:val="nextPage"/>
      <w:pgSz w:w="11906" w:h="16838"/>
      <w:pgMar w:left="1417" w:right="1244"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roman"/>
    <w:pitch w:val="variable"/>
  </w:font>
  <w:font w:name="Times">
    <w:altName w:val="Times New Roman"/>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6510" cy="16510"/>
              <wp:effectExtent l="0" t="0" r="0" b="0"/>
              <wp:wrapSquare wrapText="bothSides"/>
              <wp:docPr id="1" name="Ramka1"/>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fillRef idx="0"/>
                      <a:effectRef idx="0"/>
                      <a:fontRef idx="minor"/>
                    </wps:style>
                    <wps:txb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Ramka1" path="m0,0l-2147483645,0l-2147483645,-2147483646l0,-2147483646xe" stroked="f" o:allowincell="f" style="position:absolute;margin-left:0pt;margin-top:0.05pt;width:1.2pt;height:1.2pt;mso-wrap-style:square;v-text-anchor:top;mso-position-horizontal:right;mso-position-horizontal-relative:margin">
              <v:fill o:detectmouseclick="t" on="false"/>
              <v:stroke color="#3465a4" joinstyle="round" endcap="flat"/>
              <v:textbo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8740" cy="174625"/>
              <wp:effectExtent l="0" t="0" r="0" b="0"/>
              <wp:wrapSquare wrapText="bothSides"/>
              <wp:docPr id="3" name="Ramka2"/>
              <a:graphic xmlns:a="http://schemas.openxmlformats.org/drawingml/2006/main">
                <a:graphicData uri="http://schemas.microsoft.com/office/word/2010/wordprocessingShape">
                  <wps:wsp>
                    <wps:cNvSpPr/>
                    <wps:spPr>
                      <a:xfrm>
                        <a:off x="0" y="0"/>
                        <a:ext cx="7812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wps:txbx>
                    <wps:bodyPr lIns="0" rIns="0" tIns="0" bIns="0" anchor="t">
                      <a:spAutoFit/>
                    </wps:bodyPr>
                  </wps:wsp>
                </a:graphicData>
              </a:graphic>
            </wp:anchor>
          </w:drawing>
        </mc:Choice>
        <mc:Fallback>
          <w:pict>
            <v:rect id="shape_0" ID="Ramka2" path="m0,0l-2147483645,0l-2147483645,-2147483646l0,-2147483646xe" stroked="f" o:allowincell="f" style="position:absolute;margin-left:456.05pt;margin-top:0.05pt;width:6.1pt;height:13.65pt;mso-wrap-style:square;v-text-anchor:top;mso-position-horizontal:right;mso-position-horizontal-relative:margin">
              <v:fill o:detectmouseclick="t" on="false"/>
              <v:stroke color="#3465a4" joinstyle="round" endcap="flat"/>
              <v:textbo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8740" cy="174625"/>
              <wp:effectExtent l="0" t="0" r="0" b="0"/>
              <wp:wrapSquare wrapText="bothSides"/>
              <wp:docPr id="5" name="Ramka2"/>
              <a:graphic xmlns:a="http://schemas.openxmlformats.org/drawingml/2006/main">
                <a:graphicData uri="http://schemas.microsoft.com/office/word/2010/wordprocessingShape">
                  <wps:wsp>
                    <wps:cNvSpPr/>
                    <wps:spPr>
                      <a:xfrm>
                        <a:off x="0" y="0"/>
                        <a:ext cx="78120" cy="173880"/>
                      </a:xfrm>
                      <a:prstGeom prst="rect">
                        <a:avLst/>
                      </a:prstGeom>
                      <a:noFill/>
                      <a:ln w="0">
                        <a:noFill/>
                      </a:ln>
                    </wps:spPr>
                    <wps:style>
                      <a:lnRef idx="0"/>
                      <a:fillRef idx="0"/>
                      <a:effectRef idx="0"/>
                      <a:fontRef idx="minor"/>
                    </wps:style>
                    <wps:txb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wps:txbx>
                    <wps:bodyPr lIns="0" rIns="0" tIns="0" bIns="0" anchor="t">
                      <a:spAutoFit/>
                    </wps:bodyPr>
                  </wps:wsp>
                </a:graphicData>
              </a:graphic>
            </wp:anchor>
          </w:drawing>
        </mc:Choice>
        <mc:Fallback>
          <w:pict>
            <v:rect id="shape_0" ID="Ramka2" path="m0,0l-2147483645,0l-2147483645,-2147483646l0,-2147483646xe" stroked="f" o:allowincell="f" style="position:absolute;margin-left:456.05pt;margin-top:0.05pt;width:6.1pt;height:13.65pt;mso-wrap-style:square;v-text-anchor:top;mso-position-horizontal:right;mso-position-horizontal-relative:margin">
              <v:fill o:detectmouseclick="t" on="false"/>
              <v:stroke color="#3465a4" joinstyle="round" endcap="flat"/>
              <v:textbox>
                <w:txbxContent>
                  <w:p>
                    <w:pPr>
                      <w:pStyle w:val="Stopka"/>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2422"/>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720"/>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11">
    <w:lvl w:ilvl="0">
      <w:start w:val="1"/>
      <w:numFmt w:val="decimal"/>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val="bestFit" w:percent="1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character" w:styleId="Nagwek1Znak">
    <w:name w:val="Nagłówek 1 Znak"/>
    <w:qFormat/>
    <w:rPr>
      <w:rFonts w:eastAsia="Times New Roman"/>
      <w:szCs w:val="20"/>
      <w:lang w:eastAsia="en-US"/>
    </w:rPr>
  </w:style>
  <w:style w:type="character" w:styleId="TekstpodstawowywcityZnak">
    <w:name w:val="Tekst podstawowy wcięty Znak"/>
    <w:qFormat/>
    <w:rPr>
      <w:rFonts w:eastAsia="Times New Roman"/>
      <w:szCs w:val="28"/>
      <w:lang w:eastAsia="ar-SA"/>
    </w:rPr>
  </w:style>
  <w:style w:type="character" w:styleId="NagwekZnak">
    <w:name w:val="Nagłówek Znak"/>
    <w:qFormat/>
    <w:rPr>
      <w:rFonts w:eastAsia="Times New Roman"/>
      <w:szCs w:val="20"/>
      <w:lang w:eastAsia="ar-SA"/>
    </w:rPr>
  </w:style>
  <w:style w:type="character" w:styleId="Domylnaczcionkaakapitu">
    <w:name w:val="Domyślna czcionka akapitu"/>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fals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Tekstpodstawowy22" w:customStyle="1">
    <w:name w:val="Tekst podstawowy 22"/>
    <w:basedOn w:val="Normal"/>
    <w:qFormat/>
    <w:rsid w:val="00f13719"/>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paragraph" w:styleId="Legenda1">
    <w:name w:val="Legenda1"/>
    <w:basedOn w:val="Normal"/>
    <w:qFormat/>
    <w:pPr/>
    <w:rPr>
      <w:lang w:eastAsia="ar-SA"/>
    </w:rPr>
  </w:style>
  <w:style w:type="paragraph" w:styleId="Standard">
    <w:name w:val="Standard"/>
    <w:qFormat/>
    <w:pPr>
      <w:widowControl w:val="false"/>
      <w:suppressAutoHyphens w:val="true"/>
      <w:bidi w:val="0"/>
      <w:spacing w:lineRule="auto" w:line="240" w:before="0" w:after="0"/>
      <w:jc w:val="left"/>
    </w:pPr>
    <w:rPr>
      <w:rFonts w:ascii="Times New Roman" w:hAnsi="Times New Roman" w:eastAsia="Lucida Sans Unicode" w:cs="Tahoma"/>
      <w:color w:val="00000A"/>
      <w:kern w:val="2"/>
      <w:sz w:val="24"/>
      <w:szCs w:val="24"/>
      <w:lang w:val="pl-PL" w:eastAsia="pl-PL" w:bidi="pl-PL"/>
    </w:rPr>
  </w:style>
  <w:style w:type="paragraph" w:styleId="PlainText">
    <w:name w:val="Plain Text"/>
    <w:basedOn w:val="Normal"/>
    <w:qFormat/>
    <w:pPr>
      <w:spacing w:lineRule="auto" w:line="240" w:before="0" w:after="0"/>
    </w:pPr>
    <w:rPr>
      <w:rFonts w:ascii="Calibri" w:hAnsi="Calibri" w:eastAsia="Calibri" w:cs="Calibri"/>
      <w:sz w:val="22"/>
      <w:szCs w:val="21"/>
      <w:lang w:eastAsia="en-US"/>
    </w:rPr>
  </w:style>
  <w:style w:type="paragraph" w:styleId="Legenda">
    <w:name w:val="Legenda"/>
    <w:basedOn w:val="Normal"/>
    <w:qFormat/>
    <w:pPr>
      <w:spacing w:before="120" w:after="120"/>
    </w:pPr>
    <w:rPr>
      <w:i/>
      <w:iCs/>
    </w:rPr>
  </w:style>
  <w:style w:type="paragraph" w:styleId="Akapitzlist">
    <w:name w:val="Akapit z listą"/>
    <w:qFormat/>
    <w:pPr>
      <w:widowControl/>
      <w:suppressAutoHyphens w:val="true"/>
      <w:bidi w:val="0"/>
      <w:spacing w:before="0" w:after="0"/>
      <w:ind w:left="720" w:hanging="0"/>
      <w:jc w:val="left"/>
    </w:pPr>
    <w:rPr>
      <w:rFonts w:ascii="Liberation Serif" w:hAnsi="Liberation Serif" w:eastAsia="NSimSun" w:cs="Lucida Sans"/>
      <w:color w:val="auto"/>
      <w:kern w:val="2"/>
      <w:sz w:val="24"/>
      <w:szCs w:val="24"/>
      <w:lang w:val="pl-PL" w:eastAsia="zh-CN" w:bidi="hi-IN"/>
    </w:rPr>
  </w:style>
  <w:style w:type="paragraph" w:styleId="Normalny">
    <w:name w:val="Normalny"/>
    <w:qFormat/>
    <w:pPr>
      <w:widowControl w:val="false"/>
      <w:suppressAutoHyphens w:val="true"/>
      <w:bidi w:val="0"/>
      <w:spacing w:before="0" w:after="0"/>
      <w:jc w:val="left"/>
      <w:textAlignment w:val="baseline"/>
    </w:pPr>
    <w:rPr>
      <w:rFonts w:ascii="Liberation Serif" w:hAnsi="Liberation Serif" w:eastAsia="Lucida Sans Unicode" w:cs="Mangal"/>
      <w:color w:val="auto"/>
      <w:kern w:val="2"/>
      <w:sz w:val="24"/>
      <w:szCs w:val="24"/>
      <w:lang w:val="pl-PL" w:eastAsia="zh-CN" w:bidi="hi-IN"/>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LibreOffice/7.2.4.1$Windows_X86_64 LibreOffice_project/27d75539669ac387bb498e35313b970b7fe9c4f9</Application>
  <AppVersion>15.0000</AppVersion>
  <Pages>6</Pages>
  <Words>2678</Words>
  <Characters>15987</Characters>
  <CharactersWithSpaces>18900</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Kujath-Jaworska</dc:creator>
  <dc:description/>
  <dc:language>pl-PL</dc:language>
  <cp:lastModifiedBy/>
  <dcterms:modified xsi:type="dcterms:W3CDTF">2023-01-04T13:46:39Z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