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Kołodziejewo, Pałuczyna, Trląg, Sosnówiec,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XV/125/2020 z dnia 14 lutego 2020 </w:t>
      </w:r>
      <w:bookmarkStart w:id="0" w:name="_GoBack"/>
      <w:bookmarkEnd w:id="0"/>
      <w:r>
        <w:rPr>
          <w:color w:val="auto"/>
          <w:sz w:val="22"/>
          <w:szCs w:val="22"/>
        </w:rPr>
        <w:t xml:space="preserve">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Kołodziejewo, Pałuczyna, Trląg Sosnówiec, gm. Janikowo.</w:t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Kołodziejewo, Pałuczyna, Trląg Sosnówiec,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10.45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>BIP 06.05.2022r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LibreOffice/7.2.4.1$Windows_X86_64 LibreOffice_project/27d75539669ac387bb498e35313b970b7fe9c4f9</Application>
  <AppVersion>15.0000</AppVersion>
  <Pages>1</Pages>
  <Words>677</Words>
  <Characters>4289</Characters>
  <CharactersWithSpaces>4961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2022-05-04T07:08:00Z</dcterms:created>
  <dc:creator>Adam</dc:creator>
  <dc:description/>
  <dc:language>pl-PL</dc:language>
  <cp:lastModifiedBy/>
  <dcterms:modified xsi:type="dcterms:W3CDTF">2022-05-06T08:33:49Z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