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r>
    </w:p>
    <w:p>
      <w:pPr>
        <w:pStyle w:val="Normal"/>
        <w:ind w:firstLine="5400"/>
        <w:jc w:val="right"/>
        <w:rPr>
          <w:rFonts w:ascii="Arial Narrow" w:hAnsi="Arial Narrow" w:cs="Arial"/>
          <w:sz w:val="20"/>
        </w:rPr>
      </w:pPr>
      <w:r>
        <w:rPr>
          <w:rFonts w:cs="Arial" w:ascii="Arial Narrow" w:hAnsi="Arial Narrow"/>
          <w:sz w:val="20"/>
        </w:rPr>
        <w:t xml:space="preserve">Janikowo, dnia </w:t>
      </w:r>
      <w:r>
        <w:rPr>
          <w:rFonts w:eastAsia="Times New Roman" w:cs="Arial" w:ascii="Arial Narrow" w:hAnsi="Arial Narrow"/>
          <w:color w:val="auto"/>
          <w:kern w:val="0"/>
          <w:sz w:val="20"/>
          <w:szCs w:val="24"/>
          <w:lang w:val="pl-PL" w:eastAsia="pl-PL" w:bidi="ar-SA"/>
        </w:rPr>
        <w:t>2</w:t>
      </w:r>
      <w:r>
        <w:rPr>
          <w:rFonts w:eastAsia="Times New Roman" w:cs="Arial" w:ascii="Arial Narrow" w:hAnsi="Arial Narrow"/>
          <w:color w:val="auto"/>
          <w:kern w:val="0"/>
          <w:sz w:val="20"/>
          <w:szCs w:val="24"/>
          <w:lang w:val="pl-PL" w:eastAsia="pl-PL" w:bidi="ar-SA"/>
        </w:rPr>
        <w:t>9</w:t>
      </w:r>
      <w:r>
        <w:rPr>
          <w:rFonts w:eastAsia="Times New Roman" w:cs="Arial" w:ascii="Arial Narrow" w:hAnsi="Arial Narrow"/>
          <w:color w:val="auto"/>
          <w:kern w:val="0"/>
          <w:sz w:val="20"/>
          <w:szCs w:val="24"/>
          <w:lang w:val="pl-PL" w:eastAsia="pl-PL" w:bidi="ar-SA"/>
        </w:rPr>
        <w:t>.12.</w:t>
      </w:r>
      <w:r>
        <w:rPr>
          <w:rFonts w:cs="Arial" w:ascii="Arial Narrow" w:hAnsi="Arial Narrow"/>
          <w:sz w:val="20"/>
        </w:rPr>
        <w:t>2021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w:t>
      </w:r>
      <w:r>
        <w:rPr>
          <w:rFonts w:eastAsia="Times New Roman" w:cs="Arial" w:ascii="Arial Narrow" w:hAnsi="Arial Narrow"/>
          <w:color w:val="auto"/>
          <w:kern w:val="0"/>
          <w:sz w:val="20"/>
          <w:szCs w:val="24"/>
          <w:lang w:val="pl-PL" w:eastAsia="pl-PL" w:bidi="ar-SA"/>
        </w:rPr>
        <w:t>12.</w:t>
      </w:r>
      <w:r>
        <w:rPr>
          <w:rFonts w:cs="Arial" w:ascii="Arial Narrow" w:hAnsi="Arial Narrow"/>
          <w:szCs w:val="24"/>
        </w:rPr>
        <w:t>2021.AS</w:t>
      </w:r>
      <w:bookmarkStart w:id="0" w:name="_Hlk534818667"/>
      <w:bookmarkEnd w:id="0"/>
    </w:p>
    <w:p>
      <w:pPr>
        <w:pStyle w:val="Nagwek2"/>
        <w:rPr>
          <w:rFonts w:ascii="Arial Narrow" w:hAnsi="Arial Narrow"/>
        </w:rPr>
      </w:pPr>
      <w:r>
        <w:rPr>
          <w:rFonts w:ascii="Arial Narrow" w:hAnsi="Arial Narrow"/>
        </w:rPr>
        <w:t xml:space="preserve">DECYZJA Nr </w:t>
      </w:r>
      <w:r>
        <w:rPr>
          <w:rFonts w:eastAsia="Times New Roman" w:cs="Arial" w:ascii="Arial Narrow" w:hAnsi="Arial Narrow"/>
          <w:b/>
          <w:color w:val="auto"/>
          <w:kern w:val="0"/>
          <w:sz w:val="32"/>
          <w:szCs w:val="24"/>
          <w:lang w:val="pl-PL" w:eastAsia="pl-PL" w:bidi="ar-SA"/>
        </w:rPr>
        <w:t>CP-10-</w:t>
      </w:r>
      <w:r>
        <w:rPr>
          <w:rFonts w:ascii="Arial Narrow" w:hAnsi="Arial Narrow"/>
        </w:rPr>
        <w:t xml:space="preserve">21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6, art. 54 ustawy z dnia 27 marca 2003 r. o planowaniu i zagospodarowaniu przestrzennym (tekst jednolity: Dz. U. z 2021 r. poz. 741 ze zm.), art. 104  ustawy z dnia 14 czerwca 1960 r. Kodeks postępowania administracyjnego (</w:t>
      </w:r>
      <w:bookmarkStart w:id="1" w:name="_Hlk881644"/>
      <w:r>
        <w:rPr>
          <w:rFonts w:ascii="Arial Narrow" w:hAnsi="Arial Narrow"/>
          <w:sz w:val="20"/>
        </w:rPr>
        <w:t>tekst jednolity: Dz. U. z 2021 r. poz. 735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25 października 2021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52311131"/>
      <w:r>
        <w:rPr>
          <w:rFonts w:ascii="Arial Narrow" w:hAnsi="Arial Narrow"/>
          <w:sz w:val="20"/>
        </w:rPr>
        <w:t>budowie sieci kanalizacji sanitarnej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 xml:space="preserve">po uzgodnieniu z Państwowym Gospodarstwem Wodnym Wody Polskie Zarząd Zlewni Inowrocław (postanowienie z dnia </w:t>
      </w:r>
      <w:r>
        <w:rPr>
          <w:rFonts w:eastAsia="Times New Roman" w:cs="Arial" w:ascii="Arial Narrow" w:hAnsi="Arial Narrow"/>
          <w:color w:val="auto"/>
          <w:kern w:val="0"/>
          <w:sz w:val="20"/>
          <w:szCs w:val="24"/>
          <w:lang w:val="pl-PL" w:eastAsia="pl-PL" w:bidi="ar-SA"/>
        </w:rPr>
        <w:t xml:space="preserve">10.12.2021r. </w:t>
      </w:r>
      <w:r>
        <w:rPr>
          <w:rFonts w:ascii="Arial Narrow" w:hAnsi="Arial Narrow"/>
          <w:sz w:val="20"/>
        </w:rPr>
        <w:t xml:space="preserve">znak </w:t>
      </w:r>
      <w:r>
        <w:rPr>
          <w:rFonts w:eastAsia="Times New Roman" w:cs="Arial" w:ascii="Arial Narrow" w:hAnsi="Arial Narrow"/>
          <w:color w:val="auto"/>
          <w:kern w:val="0"/>
          <w:sz w:val="20"/>
          <w:szCs w:val="24"/>
          <w:lang w:val="pl-PL" w:eastAsia="pl-PL" w:bidi="ar-SA"/>
        </w:rPr>
        <w:t>BD.ZPU.1.611.1299.2021.IJ</w:t>
      </w:r>
      <w:r>
        <w:rPr>
          <w:rFonts w:ascii="Arial Narrow" w:hAnsi="Arial Narrow"/>
          <w:sz w:val="20"/>
        </w:rPr>
        <w:t>) w sprawach ochrony melioracji zgodnie z art. 53 ust. 4 pkt 6 ww. ustawy,</w:t>
      </w:r>
    </w:p>
    <w:p>
      <w:pPr>
        <w:pStyle w:val="BodyText3"/>
        <w:spacing w:before="0" w:after="0"/>
        <w:rPr>
          <w:rFonts w:ascii="Arial Narrow" w:hAnsi="Arial Narrow"/>
          <w:sz w:val="20"/>
        </w:rPr>
      </w:pPr>
      <w:r>
        <w:rPr>
          <w:rFonts w:ascii="Arial Narrow" w:hAnsi="Arial Narrow"/>
          <w:sz w:val="20"/>
        </w:rPr>
        <w:t xml:space="preserve">z Dyrektorem Regionalnego Zarządu Gospodarki Wodnej Wód Polskich w Bydgoszczy </w:t>
      </w:r>
      <w:r>
        <w:rPr>
          <w:rFonts w:ascii="Arial Narrow" w:hAnsi="Arial Narrow"/>
          <w:sz w:val="20"/>
          <w:highlight w:val="white"/>
        </w:rPr>
        <w:t>(postanowienie z dni</w:t>
      </w:r>
      <w:r>
        <w:rPr>
          <w:rFonts w:ascii="Arial Narrow" w:hAnsi="Arial Narrow"/>
          <w:sz w:val="20"/>
        </w:rPr>
        <w:t xml:space="preserve">a </w:t>
      </w:r>
      <w:r>
        <w:rPr>
          <w:rFonts w:eastAsia="Times New Roman" w:cs="Arial" w:ascii="Arial Narrow" w:hAnsi="Arial Narrow"/>
          <w:color w:val="auto"/>
          <w:kern w:val="0"/>
          <w:sz w:val="20"/>
          <w:szCs w:val="24"/>
          <w:lang w:val="pl-PL" w:eastAsia="pl-PL" w:bidi="ar-SA"/>
        </w:rPr>
        <w:t>14.12.2021r.</w:t>
      </w:r>
      <w:r>
        <w:rPr>
          <w:rFonts w:ascii="Arial Narrow" w:hAnsi="Arial Narrow"/>
          <w:sz w:val="20"/>
        </w:rPr>
        <w:t xml:space="preserve"> Znak:</w:t>
      </w:r>
      <w:r>
        <w:rPr>
          <w:rFonts w:eastAsia="Times New Roman" w:cs="Arial" w:ascii="Arial Narrow" w:hAnsi="Arial Narrow"/>
          <w:color w:val="auto"/>
          <w:kern w:val="0"/>
          <w:sz w:val="20"/>
          <w:szCs w:val="24"/>
          <w:lang w:val="pl-PL" w:eastAsia="pl-PL" w:bidi="ar-SA"/>
        </w:rPr>
        <w:t>BD.RPP.437.2437.2021 KB-N</w:t>
      </w:r>
      <w:r>
        <w:rPr>
          <w:rFonts w:ascii="Arial Narrow" w:hAnsi="Arial Narrow"/>
          <w:sz w:val="20"/>
        </w:rPr>
        <w:t xml:space="preserve">) w odniesieniu do przedsięwzięć wymagających uzyskania pozwolenia wodnoprawnego, zgodnie z art. 53 ust. 4 pkt </w:t>
      </w:r>
      <w:r>
        <w:rPr>
          <w:rFonts w:eastAsia="Times New Roman" w:cs="Arial" w:ascii="Arial Narrow" w:hAnsi="Arial Narrow"/>
          <w:color w:val="auto"/>
          <w:kern w:val="0"/>
          <w:sz w:val="20"/>
          <w:szCs w:val="24"/>
          <w:lang w:val="pl-PL" w:eastAsia="pl-PL" w:bidi="ar-SA"/>
        </w:rPr>
        <w:t>11a</w:t>
      </w:r>
      <w:r>
        <w:rPr>
          <w:rFonts w:ascii="Arial Narrow" w:hAnsi="Arial Narrow"/>
          <w:sz w:val="20"/>
        </w:rPr>
        <w:t xml:space="preserve"> ww. ustawy,</w:t>
      </w:r>
    </w:p>
    <w:p>
      <w:pPr>
        <w:pStyle w:val="Normal"/>
        <w:jc w:val="center"/>
        <w:rPr>
          <w:rFonts w:ascii="Arial Narrow" w:hAnsi="Arial Narrow" w:cs="Arial"/>
          <w:b/>
          <w:b/>
          <w:spacing w:val="88"/>
          <w:sz w:val="28"/>
        </w:rPr>
      </w:pPr>
      <w:r>
        <w:rPr>
          <w:rFonts w:cs="Arial" w:ascii="Arial Narrow" w:hAnsi="Arial Narrow"/>
          <w:b/>
          <w:spacing w:val="88"/>
          <w:sz w:val="28"/>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 xml:space="preserve">polegającą na budowie sieci kanalizacji </w:t>
      </w:r>
      <w:r>
        <w:rPr>
          <w:rFonts w:ascii="Arial Narrow" w:hAnsi="Arial Narrow"/>
          <w:b/>
          <w:sz w:val="20"/>
        </w:rPr>
        <w:t xml:space="preserve">sanitarnej </w:t>
      </w:r>
      <w:r>
        <w:rPr>
          <w:rFonts w:ascii="Arial Narrow" w:hAnsi="Arial Narrow"/>
          <w:b/>
        </w:rPr>
        <w:t xml:space="preserve">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 w granicach określonych na załącznikach graficznych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 xml:space="preserve">Rodzaj inwestycji: INFRASTRUKTURA TECHNICZNA – budowa sieci kanalizacji </w:t>
      </w:r>
      <w:r>
        <w:rPr>
          <w:rFonts w:ascii="Arial Narrow" w:hAnsi="Arial Narrow"/>
          <w:sz w:val="20"/>
        </w:rPr>
        <w:t xml:space="preserve">sanitarnej </w:t>
      </w:r>
      <w:r>
        <w:rPr>
          <w:rFonts w:ascii="Arial Narrow" w:hAnsi="Arial Narrow"/>
        </w:rPr>
        <w:t>grawitacyjnej z przyłączami oraz tłocznej z tłocznią ścieków oraz budowie kanalizacji deszczowej z wylotem  do Jeziora Pakoskiego przy ulicy Topolowej w Janikowie.</w:t>
      </w:r>
    </w:p>
    <w:p>
      <w:pPr>
        <w:pStyle w:val="Tekstpodstawowy21"/>
        <w:numPr>
          <w:ilvl w:val="0"/>
          <w:numId w:val="1"/>
        </w:numPr>
        <w:rPr>
          <w:rFonts w:ascii="Arial Narrow" w:hAnsi="Arial Narrow"/>
        </w:rPr>
      </w:pPr>
      <w:r>
        <w:rPr>
          <w:rFonts w:ascii="Arial Narrow" w:hAnsi="Arial Narrow"/>
        </w:rPr>
        <w:t>Realizacja inwestycji na działkach nr ewid.80/17, 80/20, 80/18, 80/19, 87/3, 87/8, 87/9, 87/2, 80/5, 77, 83, 93, 89 obręb ewidencyjny 4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 i załącznik nr 2,</w:t>
      </w:r>
      <w:r>
        <w:rPr>
          <w:rFonts w:ascii="Arial Narrow" w:hAnsi="Arial Narrow"/>
        </w:rPr>
        <w:t xml:space="preserve"> stanowiące załączniki graficzne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3"/>
        </w:numPr>
        <w:tabs>
          <w:tab w:val="clear" w:pos="426"/>
        </w:tabs>
        <w:rPr>
          <w:rFonts w:ascii="Arial Narrow" w:hAnsi="Arial Narrow"/>
        </w:rPr>
      </w:pPr>
      <w:r>
        <w:rPr>
          <w:rFonts w:ascii="Arial Narrow" w:hAnsi="Arial Narrow"/>
        </w:rPr>
        <w:t>Opis inwestycji:</w:t>
      </w:r>
    </w:p>
    <w:p>
      <w:pPr>
        <w:pStyle w:val="Tekstpodstawowy21"/>
        <w:numPr>
          <w:ilvl w:val="1"/>
          <w:numId w:val="1"/>
        </w:numPr>
        <w:tabs>
          <w:tab w:val="clear" w:pos="426"/>
        </w:tabs>
        <w:rPr>
          <w:rFonts w:ascii="Arial Narrow" w:hAnsi="Arial Narrow"/>
        </w:rPr>
      </w:pPr>
      <w:r>
        <w:rPr>
          <w:rFonts w:ascii="Arial Narrow" w:hAnsi="Arial Narrow"/>
        </w:rPr>
        <w:t>sieć kanalizacji sanitarnej grawitacyjnej z rur PVC Ø200 i Ø160 mm,</w:t>
      </w:r>
    </w:p>
    <w:p>
      <w:pPr>
        <w:pStyle w:val="Tekstpodstawowy21"/>
        <w:numPr>
          <w:ilvl w:val="1"/>
          <w:numId w:val="1"/>
        </w:numPr>
        <w:tabs>
          <w:tab w:val="clear" w:pos="426"/>
        </w:tabs>
        <w:rPr>
          <w:rFonts w:ascii="Arial Narrow" w:hAnsi="Arial Narrow"/>
        </w:rPr>
      </w:pPr>
      <w:r>
        <w:rPr>
          <w:rFonts w:ascii="Arial Narrow" w:hAnsi="Arial Narrow"/>
        </w:rPr>
        <w:t xml:space="preserve">sieć kanalizacji sanitarnej tłocznej z tłocznią ścieków z rur PE Ø75 - Ø110 mm, </w:t>
      </w:r>
    </w:p>
    <w:p>
      <w:pPr>
        <w:pStyle w:val="Tekstpodstawowy21"/>
        <w:numPr>
          <w:ilvl w:val="1"/>
          <w:numId w:val="1"/>
        </w:numPr>
        <w:tabs>
          <w:tab w:val="clear" w:pos="426"/>
        </w:tabs>
        <w:rPr>
          <w:rFonts w:ascii="Arial Narrow" w:hAnsi="Arial Narrow"/>
        </w:rPr>
      </w:pPr>
      <w:r>
        <w:rPr>
          <w:rFonts w:ascii="Arial Narrow" w:hAnsi="Arial Narrow"/>
        </w:rPr>
        <w:t>sieć kanalizacji deszczowej z rur PVC i betonowych Ø400, Ø300 i Ø200 mm z wylotem do Jeziora Pakoskiego.</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Arial Narrow" w:hAnsi="Arial Narrow" w:cs="Arial"/>
          <w:szCs w:val="24"/>
          <w:lang w:eastAsia="ar-SA"/>
        </w:rPr>
      </w:pPr>
      <w:r>
        <w:rPr>
          <w:rFonts w:cs="Arial" w:ascii="Arial Narrow" w:hAnsi="Arial Narrow"/>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Arial Narrow" w:hAnsi="Arial Narrow"/>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3.</w:t>
        <w:tab/>
        <w:t xml:space="preserve">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w:t>
      </w:r>
      <w:bookmarkStart w:id="3" w:name="_Hlk77222510"/>
      <w:r>
        <w:rPr>
          <w:rFonts w:cs="Arial" w:ascii="Arial Narrow" w:hAnsi="Arial Narrow"/>
        </w:rPr>
        <w:t>z 2021 r. poz. 1098 ze zm</w:t>
      </w:r>
      <w:bookmarkEnd w:id="3"/>
      <w:r>
        <w:rPr>
          <w:rFonts w:cs="Arial" w:ascii="Arial Narrow" w:hAnsi="Arial Narrow"/>
        </w:rPr>
        <w:t>.).</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4" w:name="_Hlk505627337"/>
      <w:r>
        <w:rPr>
          <w:rFonts w:cs="Arial" w:ascii="Arial Narrow" w:hAnsi="Arial Narrow"/>
        </w:rPr>
        <w:t xml:space="preserve">tekst jednolity: </w:t>
      </w:r>
      <w:bookmarkStart w:id="5" w:name="_Hlk34215432"/>
      <w:bookmarkEnd w:id="4"/>
      <w:r>
        <w:rPr>
          <w:rFonts w:cs="Arial" w:ascii="Arial Narrow" w:hAnsi="Arial Narrow"/>
        </w:rPr>
        <w:t xml:space="preserve">Dz. U. </w:t>
      </w:r>
      <w:bookmarkStart w:id="6" w:name="_Hlk77222528"/>
      <w:r>
        <w:rPr>
          <w:rFonts w:cs="Arial" w:ascii="Arial Narrow" w:hAnsi="Arial Narrow"/>
        </w:rPr>
        <w:t xml:space="preserve">z 2021 r. poz. </w:t>
      </w:r>
      <w:bookmarkEnd w:id="5"/>
      <w:r>
        <w:rPr>
          <w:rFonts w:cs="Arial" w:ascii="Arial Narrow" w:hAnsi="Arial Narrow"/>
        </w:rPr>
        <w:t>710</w:t>
      </w:r>
      <w:bookmarkEnd w:id="6"/>
      <w:r>
        <w:rPr>
          <w:rFonts w:cs="Arial" w:ascii="Arial Narrow" w:hAnsi="Arial Narrow"/>
        </w:rPr>
        <w:t xml:space="preserve"> ze zm.).</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w:t>
        <w:br/>
        <w:t xml:space="preserve">z 2021 r. poz. 247 ze zm.).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2021 r., poz. 1326)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2020 r. poz. 1990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2020 r. poz. 470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sz w:val="20"/>
        </w:rPr>
      </w:pPr>
      <w:r>
        <w:rPr>
          <w:rFonts w:cs="Arial" w:ascii="Arial Narrow" w:hAnsi="Arial Narrow"/>
          <w:sz w:val="20"/>
        </w:rPr>
        <w:t>a)</w:t>
      </w:r>
      <w:r>
        <w:rPr>
          <w:rFonts w:eastAsia="Calibri" w:cs="Arial" w:ascii="Arial Narrow" w:hAnsi="Arial Narrow"/>
          <w:bCs/>
          <w:i/>
          <w:sz w:val="20"/>
          <w:szCs w:val="20"/>
        </w:rPr>
        <w:tab/>
      </w: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Normal"/>
        <w:shd w:val="clear" w:color="auto" w:fill="FFFFFF"/>
        <w:tabs>
          <w:tab w:val="clear" w:pos="708"/>
          <w:tab w:val="left" w:pos="1134" w:leader="none"/>
        </w:tabs>
        <w:spacing w:lineRule="exact" w:line="226"/>
        <w:ind w:left="1134" w:right="10" w:hanging="425"/>
        <w:jc w:val="both"/>
        <w:rPr>
          <w:rFonts w:ascii="Arial Narrow" w:hAnsi="Arial Narrow" w:cs="Arial"/>
          <w:bCs/>
          <w:sz w:val="20"/>
          <w:szCs w:val="20"/>
        </w:rPr>
      </w:pPr>
      <w:r>
        <w:rPr>
          <w:rFonts w:cs="Arial" w:ascii="Arial Narrow" w:hAnsi="Arial Narrow"/>
          <w:sz w:val="20"/>
        </w:rPr>
        <w:t>b)</w:t>
        <w:tab/>
      </w:r>
      <w:r>
        <w:rPr>
          <w:rFonts w:cs="Arial" w:ascii="Arial Narrow" w:hAnsi="Arial Narrow"/>
          <w:b/>
          <w:bCs/>
          <w:sz w:val="20"/>
          <w:szCs w:val="20"/>
          <w:u w:val="single"/>
        </w:rPr>
        <w:t>ochrona gruntów leśnych</w:t>
      </w:r>
      <w:r>
        <w:rPr>
          <w:rFonts w:cs="Arial" w:ascii="Arial Narrow" w:hAnsi="Arial Narrow"/>
          <w:bCs/>
          <w:sz w:val="20"/>
          <w:szCs w:val="20"/>
        </w:rPr>
        <w:t xml:space="preserve">: </w:t>
      </w:r>
      <w:r>
        <w:rPr>
          <w:rFonts w:cs="Arial" w:ascii="Arial Narrow" w:hAnsi="Arial Narrow"/>
          <w:sz w:val="20"/>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na warunkach gestora sieci.</w:t>
      </w:r>
    </w:p>
    <w:p>
      <w:pPr>
        <w:pStyle w:val="Normal"/>
        <w:numPr>
          <w:ilvl w:val="0"/>
          <w:numId w:val="2"/>
        </w:numPr>
        <w:jc w:val="both"/>
        <w:rPr>
          <w:rFonts w:ascii="Arial Narrow" w:hAnsi="Arial Narrow"/>
          <w:sz w:val="20"/>
        </w:rPr>
      </w:pPr>
      <w:r>
        <w:rPr>
          <w:rFonts w:ascii="Arial Narrow" w:hAnsi="Arial Narrow"/>
          <w:sz w:val="20"/>
        </w:rPr>
        <w:t>Odprowadzenie wód opadowych – na warunkach gestora sieci.</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Sieć ciepłownicza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Normal"/>
        <w:ind w:left="720" w:hanging="0"/>
        <w:jc w:val="both"/>
        <w:rPr>
          <w:rFonts w:ascii="Arial Narrow" w:hAnsi="Arial Narrow"/>
          <w:sz w:val="20"/>
        </w:rPr>
      </w:pPr>
      <w:r>
        <w:rPr>
          <w:rFonts w:ascii="Arial Narrow" w:hAnsi="Arial Narrow"/>
          <w:sz w:val="20"/>
        </w:rPr>
      </w:r>
    </w:p>
    <w:p>
      <w:pPr>
        <w:pStyle w:val="Normal"/>
        <w:ind w:left="720" w:hanging="0"/>
        <w:jc w:val="both"/>
        <w:rPr>
          <w:rFonts w:ascii="Arial Narrow" w:hAnsi="Arial Narrow"/>
          <w:sz w:val="20"/>
        </w:rPr>
      </w:pPr>
      <w:r>
        <w:rPr>
          <w:rFonts w:ascii="Arial Narrow" w:hAnsi="Arial Narrow"/>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Normal"/>
        <w:numPr>
          <w:ilvl w:val="0"/>
          <w:numId w:val="8"/>
        </w:numPr>
        <w:jc w:val="both"/>
        <w:rPr>
          <w:rFonts w:ascii="Arial Narrow" w:hAnsi="Arial Narrow"/>
          <w:sz w:val="20"/>
        </w:rPr>
      </w:pPr>
      <w:r>
        <w:rPr>
          <w:rFonts w:ascii="Arial Narrow" w:hAnsi="Arial Narrow"/>
          <w:sz w:val="20"/>
        </w:rPr>
        <w:t>Należy zapewnić ochronę uzasadnionych interesów osób trzecich:</w:t>
      </w:r>
    </w:p>
    <w:p>
      <w:pPr>
        <w:pStyle w:val="ListParagraph"/>
        <w:numPr>
          <w:ilvl w:val="0"/>
          <w:numId w:val="9"/>
        </w:numPr>
        <w:jc w:val="both"/>
        <w:rPr>
          <w:rFonts w:ascii="Arial Narrow" w:hAnsi="Arial Narrow"/>
          <w:sz w:val="20"/>
        </w:rPr>
      </w:pPr>
      <w:r>
        <w:rPr>
          <w:rFonts w:ascii="Arial Narrow" w:hAnsi="Arial Narrow"/>
          <w:sz w:val="20"/>
        </w:rPr>
        <w:t>dostępu do drogi publicznej,</w:t>
      </w:r>
    </w:p>
    <w:p>
      <w:pPr>
        <w:pStyle w:val="ListParagraph"/>
        <w:numPr>
          <w:ilvl w:val="0"/>
          <w:numId w:val="9"/>
        </w:numPr>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ListParagraph"/>
        <w:numPr>
          <w:ilvl w:val="0"/>
          <w:numId w:val="9"/>
        </w:numPr>
        <w:jc w:val="both"/>
        <w:rPr>
          <w:rFonts w:ascii="Arial Narrow" w:hAnsi="Arial Narrow"/>
          <w:sz w:val="20"/>
        </w:rPr>
      </w:pPr>
      <w:r>
        <w:rPr>
          <w:rFonts w:ascii="Arial Narrow" w:hAnsi="Arial Narrow"/>
          <w:sz w:val="20"/>
        </w:rPr>
        <w:t>dostępu do światła dziennego do pomieszczeń przeznaczonych na pobyt ludzi,</w:t>
      </w:r>
    </w:p>
    <w:p>
      <w:pPr>
        <w:pStyle w:val="ListParagraph"/>
        <w:numPr>
          <w:ilvl w:val="0"/>
          <w:numId w:val="9"/>
        </w:numPr>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w:t>
      </w:r>
      <w:bookmarkStart w:id="7" w:name="_Hlk34211057"/>
      <w:r>
        <w:rPr>
          <w:rFonts w:ascii="Arial Narrow" w:hAnsi="Arial Narrow"/>
          <w:sz w:val="20"/>
        </w:rPr>
        <w:t xml:space="preserve">: </w:t>
      </w:r>
      <w:r>
        <w:rPr>
          <w:rFonts w:cs="Arial" w:ascii="Arial Narrow" w:hAnsi="Arial Narrow"/>
          <w:sz w:val="20"/>
          <w:szCs w:val="20"/>
        </w:rPr>
        <w:t>Dz. U. z 2020 r. poz. 1740 ze zm</w:t>
      </w:r>
      <w:bookmarkEnd w:id="7"/>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 xml:space="preserve">Robót ziemnych nie wolno dokonywać w taki sposób, by groziły one nieruchomością sąsiednim utratą oparcia – zgodnie z art. 147 ustawy z dnia 23 kwietnia 1964 r. Kodeks Cywilny (tekst jednolity: </w:t>
      </w:r>
      <w:r>
        <w:rPr>
          <w:rFonts w:cs="Arial" w:ascii="Arial Narrow" w:hAnsi="Arial Narrow"/>
          <w:sz w:val="20"/>
          <w:szCs w:val="20"/>
        </w:rPr>
        <w:t>Dz. U. z 2020 r. poz. 1740 ze zm</w:t>
      </w:r>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8" w:name="_Hlk34046127"/>
      <w:r>
        <w:rPr>
          <w:rFonts w:cs="Arial" w:ascii="Arial Narrow" w:hAnsi="Arial Narrow"/>
          <w:sz w:val="20"/>
          <w:szCs w:val="20"/>
        </w:rPr>
        <w:t xml:space="preserve">Dz. U. z 2021 r. poz. </w:t>
      </w:r>
      <w:bookmarkEnd w:id="8"/>
      <w:r>
        <w:rPr>
          <w:rFonts w:cs="Arial" w:ascii="Arial Narrow" w:hAnsi="Arial Narrow"/>
          <w:sz w:val="20"/>
          <w:szCs w:val="20"/>
        </w:rPr>
        <w:t>624 ze zm.</w:t>
      </w:r>
      <w:r>
        <w:rPr>
          <w:rFonts w:ascii="Arial Narrow" w:hAnsi="Arial Narrow"/>
          <w:sz w:val="20"/>
        </w:rPr>
        <w:t>)</w:t>
      </w:r>
    </w:p>
    <w:p>
      <w:pPr>
        <w:pStyle w:val="Normal"/>
        <w:numPr>
          <w:ilvl w:val="0"/>
          <w:numId w:val="8"/>
        </w:numPr>
        <w:jc w:val="both"/>
        <w:rPr>
          <w:rFonts w:ascii="Arial Narrow" w:hAnsi="Arial Narrow"/>
          <w:sz w:val="20"/>
        </w:rPr>
      </w:pPr>
      <w:r>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clear" w:pos="708"/>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b/>
          <w:b/>
          <w:bCs/>
          <w:sz w:val="20"/>
          <w:szCs w:val="20"/>
        </w:rPr>
      </w:pPr>
      <w:r>
        <w:rPr>
          <w:rFonts w:ascii="Arial Narrow" w:hAnsi="Arial Narrow"/>
          <w:sz w:val="20"/>
          <w:szCs w:val="20"/>
        </w:rPr>
        <w:t xml:space="preserve">W dniu </w:t>
      </w:r>
      <w:r>
        <w:rPr>
          <w:rFonts w:ascii="Arial Narrow" w:hAnsi="Arial Narrow"/>
          <w:sz w:val="20"/>
        </w:rPr>
        <w:t xml:space="preserve">25 października 2021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budowie sieci kanalizacji sanitarnej  grawitacyjnej z przyłączami oraz tłocznej z tłocznią ścieków oraz budowie kanalizacji deszczowej z wylotem  do Jeziora Pakoskiego przy ulicy Topolowej w Janikowie – realizacja inwestycji na działkach nr ewid.80/17, 80/20, 80/18, 80/19, 87/3, 87/8, 87/9, 87/2, 80/5, 77, 83, 93, 89 obręb ewidencyjny 4 miasto Janikowo, gmina Janikowo</w:t>
      </w:r>
      <w:r>
        <w:rPr>
          <w:rFonts w:ascii="Arial Narrow" w:hAnsi="Arial Narrow"/>
          <w:sz w:val="20"/>
          <w:szCs w:val="20"/>
        </w:rPr>
        <w:t xml:space="preserve">. </w:t>
      </w:r>
    </w:p>
    <w:p>
      <w:pPr>
        <w:pStyle w:val="BodyText3"/>
        <w:spacing w:before="0" w:after="0"/>
        <w:ind w:firstLine="539"/>
        <w:rPr>
          <w:rFonts w:ascii="Arial Narrow" w:hAnsi="Arial Narrow"/>
          <w:sz w:val="20"/>
          <w:szCs w:val="20"/>
        </w:rPr>
      </w:pPr>
      <w:r>
        <w:rPr>
          <w:rFonts w:ascii="Arial Narrow" w:hAnsi="Arial Narrow"/>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2 pkt 3 ustawy z dnia 21 sierpnia 1997 r. o gospodarce nieruchomościami (</w:t>
      </w:r>
      <w:bookmarkStart w:id="9" w:name="_Hlk505749374"/>
      <w:r>
        <w:rPr>
          <w:rFonts w:ascii="Arial Narrow" w:hAnsi="Arial Narrow"/>
        </w:rPr>
        <w:t xml:space="preserve">tekst jednolity: </w:t>
      </w:r>
      <w:bookmarkEnd w:id="9"/>
      <w:r>
        <w:rPr>
          <w:rFonts w:ascii="Arial Narrow" w:hAnsi="Arial Narrow"/>
        </w:rPr>
        <w:t>Dz. U. z 2020 r. poz. 1990 ze zm.</w:t>
      </w:r>
      <w:r>
        <w:rPr>
          <w:rFonts w:ascii="Arial Narrow" w:hAnsi="Arial Narrow"/>
          <w:szCs w:val="20"/>
        </w:rPr>
        <w:t xml:space="preserve">)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0" w:name="_Hlk506796204"/>
      <w:r>
        <w:rPr>
          <w:rFonts w:ascii="Arial Narrow" w:hAnsi="Arial Narrow"/>
          <w:szCs w:val="20"/>
        </w:rPr>
        <w:t>z dnia 16 kwietnia 2004 r. o ochronie przyrody (Dz. U. z 2021 r. poz. 1098 ze zm.)</w:t>
      </w:r>
      <w:bookmarkEnd w:id="10"/>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konserwatorskiej z tytułu ustawy z dnia 23 lipca 2003r. o ochronie zabytków i opiece nad zabytkami (</w:t>
      </w:r>
      <w:bookmarkStart w:id="11" w:name="_Hlk34045880"/>
      <w:r>
        <w:rPr>
          <w:rFonts w:ascii="Arial Narrow" w:hAnsi="Arial Narrow"/>
          <w:szCs w:val="20"/>
        </w:rPr>
        <w:t>tekst jednolity:</w:t>
      </w:r>
      <w:bookmarkStart w:id="12" w:name="_Hlk536694581"/>
      <w:r>
        <w:rPr>
          <w:rFonts w:ascii="Arial Narrow" w:hAnsi="Arial Narrow"/>
          <w:szCs w:val="20"/>
        </w:rPr>
        <w:t xml:space="preserve"> </w:t>
      </w:r>
      <w:bookmarkEnd w:id="12"/>
      <w:r>
        <w:rPr>
          <w:rFonts w:ascii="Arial Narrow" w:hAnsi="Arial Narrow"/>
          <w:szCs w:val="20"/>
        </w:rPr>
        <w:t xml:space="preserve">Dz. U. z 2021 r. poz. </w:t>
      </w:r>
      <w:bookmarkEnd w:id="11"/>
      <w:r>
        <w:rPr>
          <w:rFonts w:ascii="Arial Narrow" w:hAnsi="Arial Narrow"/>
          <w:szCs w:val="20"/>
        </w:rPr>
        <w:t>710 ze zm.),</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stanowi w części drogi publiczne gminne będące w zarządzie organu wydającego niniejszą decyzję.</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rPr>
      </w:pPr>
      <w:r>
        <w:rPr>
          <w:rFonts w:ascii="Arial Narrow" w:hAnsi="Arial Narrow"/>
        </w:rPr>
        <w:t xml:space="preserve">Projekt decyzji uzgodniono: z Państwowym Gospodarstwem Wodnym Wody Polskie Zarząd Zlewni Inowrocław w sprawach ochrony melioracji zgodnie z art. 53 ust. 4 pkt 6 ww. ustawy. </w:t>
      </w:r>
      <w:r>
        <w:rPr>
          <w:rFonts w:ascii="Arial Narrow" w:hAnsi="Arial Narrow"/>
          <w:sz w:val="20"/>
        </w:rPr>
        <w:t xml:space="preserve">z Dyrektorem Regionalnego Zarządu Gospodarki Wodnej Wód Polskich w Bydgoszczy zgodnie z art. 53 ust. 4 pkt </w:t>
      </w:r>
      <w:r>
        <w:rPr>
          <w:rFonts w:eastAsia="Times New Roman" w:cs="Arial" w:ascii="Arial Narrow" w:hAnsi="Arial Narrow"/>
          <w:color w:val="auto"/>
          <w:kern w:val="0"/>
          <w:sz w:val="20"/>
          <w:szCs w:val="24"/>
          <w:lang w:val="pl-PL" w:eastAsia="pl-PL" w:bidi="ar-SA"/>
        </w:rPr>
        <w:t>11a</w:t>
      </w:r>
      <w:r>
        <w:rPr>
          <w:rFonts w:ascii="Arial Narrow" w:hAnsi="Arial Narrow"/>
          <w:sz w:val="20"/>
        </w:rPr>
        <w:t xml:space="preserve"> ww. ustawy,</w:t>
      </w:r>
    </w:p>
    <w:p>
      <w:pPr>
        <w:pStyle w:val="WWTekstpodstawowy3"/>
        <w:spacing w:before="0" w:after="0"/>
        <w:ind w:firstLine="540"/>
        <w:rPr>
          <w:rFonts w:ascii="Arial Narrow" w:hAnsi="Arial Narrow"/>
        </w:rPr>
      </w:pPr>
      <w:r>
        <w:rPr>
          <w:rFonts w:ascii="Arial Narrow" w:hAnsi="Arial Narrow"/>
        </w:rPr>
      </w:r>
    </w:p>
    <w:p>
      <w:pPr>
        <w:pStyle w:val="WWTekstpodstawowy3"/>
        <w:spacing w:before="0" w:after="0"/>
        <w:ind w:firstLine="540"/>
        <w:rPr>
          <w:rFonts w:ascii="Arial Narrow" w:hAnsi="Arial Narrow"/>
          <w:szCs w:val="20"/>
        </w:rPr>
      </w:pPr>
      <w:r>
        <w:rPr>
          <w:rFonts w:ascii="Arial Narrow" w:hAnsi="Arial Narrow"/>
          <w:szCs w:val="20"/>
        </w:rPr>
      </w:r>
    </w:p>
    <w:p>
      <w:pPr>
        <w:pStyle w:val="Tretekstu"/>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szCs w:val="20"/>
        </w:rPr>
      </w:pPr>
      <w:r>
        <w:rPr>
          <w:rFonts w:ascii="Arial Narrow" w:hAnsi="Arial Narrow"/>
          <w:szCs w:val="20"/>
        </w:rPr>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clear" w:pos="426"/>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13" w:name="_Hlk487432118"/>
      <w:r>
        <w:rPr>
          <w:rFonts w:cs="Times New Roman" w:ascii="Arial Narrow" w:hAnsi="Arial Narrow"/>
          <w:sz w:val="20"/>
          <w:szCs w:val="20"/>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13"/>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Arial Narrow" w:hAnsi="Arial Narrow" w:cs="Arial"/>
          <w:bCs/>
          <w:sz w:val="20"/>
          <w:szCs w:val="20"/>
        </w:rPr>
      </w:pPr>
      <w:r>
        <w:rPr>
          <w:rFonts w:cs="Arial" w:ascii="Arial Narrow" w:hAnsi="Arial Narrow"/>
          <w:bCs/>
          <w:sz w:val="20"/>
          <w:szCs w:val="20"/>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79375" cy="174625"/>
              <wp:effectExtent l="0" t="0" r="0" b="0"/>
              <wp:wrapSquare wrapText="largest"/>
              <wp:docPr id="1" name="Ramka1"/>
              <a:graphic xmlns:a="http://schemas.openxmlformats.org/drawingml/2006/main">
                <a:graphicData uri="http://schemas.microsoft.com/office/word/2010/wordprocessingShape">
                  <wps:wsp>
                    <wps:cNvSpPr/>
                    <wps:spPr>
                      <a:xfrm>
                        <a:off x="0" y="0"/>
                        <a:ext cx="78840" cy="173880"/>
                      </a:xfrm>
                      <a:prstGeom prst="rect">
                        <a:avLst/>
                      </a:prstGeom>
                      <a:noFill/>
                      <a:ln>
                        <a:noFill/>
                      </a:ln>
                    </wps:spPr>
                    <wps:style>
                      <a:lnRef idx="0"/>
                      <a:fillRef idx="0"/>
                      <a:effectRef idx="0"/>
                      <a:fontRef idx="minor"/>
                    </wps:style>
                    <wps:txb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spAutoFit/>
                    </wps:bodyPr>
                  </wps:wsp>
                </a:graphicData>
              </a:graphic>
            </wp:anchor>
          </w:drawing>
        </mc:Choice>
        <mc:Fallback>
          <w:pict>
            <v:rect id="shape_0" ID="Ramka1" stroked="f" style="position:absolute;margin-left:447.35pt;margin-top:0.05pt;width:6.15pt;height:13.65pt;mso-position-horizontal:right;mso-position-horizontal-relative:margin">
              <w10:wrap type="square"/>
              <v:fill o:detectmouseclick="t" on="false"/>
              <v:stroke color="#3465a4" joinstyle="round" endcap="flat"/>
              <v:textbo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w:t>
                    </w:r>
                    <w:r>
                      <w:rPr>
                        <w:rStyle w:val="Pagenumber"/>
                        <w:color w:val="000000"/>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22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Application>LibreOffice/6.4.5.2$Windows_X86_64 LibreOffice_project/a726b36747cf2001e06b58ad5db1aa3a9a1872d6</Application>
  <Pages>4</Pages>
  <Words>2592</Words>
  <Characters>15434</Characters>
  <CharactersWithSpaces>17945</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2021-11-22T08:11:00Z</dcterms:created>
  <dc:creator>Agnieszka Kujath-Jaworska</dc:creator>
  <dc:description/>
  <dc:language>pl-PL</dc:language>
  <cp:lastModifiedBy/>
  <cp:lastPrinted>2021-12-29T09:07:00Z</cp:lastPrinted>
  <dcterms:modified xsi:type="dcterms:W3CDTF">2021-12-29T13:01:07Z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