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180"/>
        <w:jc w:val="center"/>
        <w:rPr>
          <w:rFonts w:ascii="Times New Roman" w:hAnsi="Times New Roman"/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5400"/>
        <w:jc w:val="right"/>
        <w:rPr>
          <w:sz w:val="23"/>
          <w:szCs w:val="23"/>
        </w:rPr>
      </w:pPr>
      <w:r>
        <w:rPr>
          <w:rFonts w:cs="Arial"/>
          <w:sz w:val="23"/>
          <w:szCs w:val="23"/>
        </w:rPr>
        <w:t xml:space="preserve">Janikowo, dnia </w:t>
      </w:r>
      <w:r>
        <w:rPr>
          <w:rFonts w:eastAsia="Times New Roman" w:cs="Arial"/>
          <w:color w:val="auto"/>
          <w:kern w:val="0"/>
          <w:sz w:val="23"/>
          <w:szCs w:val="23"/>
          <w:lang w:val="pl-PL" w:eastAsia="pl-PL" w:bidi="ar-SA"/>
        </w:rPr>
        <w:t>25.08</w:t>
      </w:r>
      <w:r>
        <w:rPr>
          <w:rFonts w:cs="Arial"/>
          <w:sz w:val="23"/>
          <w:szCs w:val="23"/>
        </w:rPr>
        <w:t>.2021 r.</w:t>
      </w:r>
    </w:p>
    <w:p>
      <w:pPr>
        <w:pStyle w:val="NormalIMP"/>
        <w:suppressAutoHyphens w:val="false"/>
        <w:overflowPunct w:val="true"/>
        <w:spacing w:lineRule="auto" w:line="240"/>
        <w:textAlignment w:val="auto"/>
        <w:rPr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>RIT.GP.6733.</w:t>
      </w:r>
      <w:r>
        <w:rPr>
          <w:rFonts w:eastAsia="Times New Roman" w:cs="Arial" w:ascii="Times New Roman" w:hAnsi="Times New Roman"/>
          <w:color w:val="auto"/>
          <w:kern w:val="0"/>
          <w:sz w:val="23"/>
          <w:szCs w:val="23"/>
          <w:lang w:val="pl-PL" w:eastAsia="pl-PL" w:bidi="ar-SA"/>
        </w:rPr>
        <w:t>07</w:t>
      </w:r>
      <w:r>
        <w:rPr>
          <w:rFonts w:cs="Arial" w:ascii="Times New Roman" w:hAnsi="Times New Roman"/>
          <w:sz w:val="23"/>
          <w:szCs w:val="23"/>
        </w:rPr>
        <w:t>.2021.AS</w:t>
      </w:r>
      <w:bookmarkStart w:id="0" w:name="_Hlk534818667"/>
      <w:bookmarkEnd w:id="0"/>
    </w:p>
    <w:p>
      <w:pPr>
        <w:pStyle w:val="Nagwek2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DECYZJA Nr </w:t>
      </w:r>
      <w:r>
        <w:rPr>
          <w:rFonts w:eastAsia="Times New Roman" w:cs="Arial" w:ascii="Times New Roman" w:hAnsi="Times New Roman"/>
          <w:b/>
          <w:color w:val="auto"/>
          <w:kern w:val="0"/>
          <w:sz w:val="23"/>
          <w:szCs w:val="23"/>
          <w:lang w:val="pl-PL" w:eastAsia="pl-PL" w:bidi="ar-SA"/>
        </w:rPr>
        <w:t>CP-06-</w:t>
      </w:r>
      <w:r>
        <w:rPr>
          <w:rFonts w:ascii="Times New Roman" w:hAnsi="Times New Roman"/>
          <w:sz w:val="23"/>
          <w:szCs w:val="23"/>
        </w:rPr>
        <w:t xml:space="preserve">21 </w:t>
      </w:r>
    </w:p>
    <w:p>
      <w:pPr>
        <w:pStyle w:val="Normal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o ustaleniu lokalizacji inwestycji celu publicznego </w:t>
      </w:r>
    </w:p>
    <w:p>
      <w:pPr>
        <w:pStyle w:val="BodyText3"/>
        <w:ind w:firstLine="54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 podstawie art. 1 ust. 2, art. 4 ust. 2 pkt 1, art. 50 ust. 1, 4, art. 51 ust. 1 pkt 2, art. 53 ust. 1, 3, 4, pkt. 2 i 6, art. 54 ustawy z dnia 27 marca 2003 r. o planowaniu i zagospodarowaniu przestrzennym (tekst jednolity: Dz. U. z 2021 r. poz. 741 ze zm.), art. 104  ustawy z dnia 14 czerwca 1960 r. Kodeks postępowania administracyjnego (</w:t>
      </w:r>
      <w:bookmarkStart w:id="1" w:name="_Hlk881644"/>
      <w:r>
        <w:rPr>
          <w:rFonts w:ascii="Times New Roman" w:hAnsi="Times New Roman"/>
          <w:sz w:val="23"/>
          <w:szCs w:val="23"/>
        </w:rPr>
        <w:t>tekst jednolity: Dz. U. z 2021 r. poz. 735 ze zm.)</w:t>
      </w:r>
      <w:bookmarkEnd w:id="1"/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b/>
          <w:sz w:val="23"/>
          <w:szCs w:val="23"/>
        </w:rPr>
        <w:t>rozpatrując wniosek</w:t>
      </w:r>
      <w:r>
        <w:rPr>
          <w:rFonts w:ascii="Times New Roman" w:hAnsi="Times New Roman"/>
          <w:sz w:val="23"/>
          <w:szCs w:val="23"/>
        </w:rPr>
        <w:t xml:space="preserve"> </w:t>
      </w:r>
    </w:p>
    <w:p>
      <w:pPr>
        <w:pStyle w:val="BodyText3"/>
        <w:spacing w:before="0"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 dnia 22 czerwca 2021 r. (data wpływu),</w:t>
      </w:r>
    </w:p>
    <w:p>
      <w:pPr>
        <w:pStyle w:val="BodyText3"/>
        <w:spacing w:before="0" w:after="0"/>
        <w:jc w:val="center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Gminy Janikowo </w:t>
      </w:r>
    </w:p>
    <w:p>
      <w:pPr>
        <w:pStyle w:val="BodyText3"/>
        <w:spacing w:before="0" w:after="0"/>
        <w:jc w:val="center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z siedzibą: ul. Przemysłowa  6, 88-160 Janikowo </w:t>
      </w:r>
    </w:p>
    <w:p>
      <w:pPr>
        <w:pStyle w:val="BodyText3"/>
        <w:spacing w:before="0" w:after="0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o ustalenie lokalizacji inwestycji celu publicznego dla inwestycji polegającej na </w:t>
      </w:r>
      <w:bookmarkStart w:id="2" w:name="_Hlk64555704"/>
      <w:r>
        <w:rPr>
          <w:rFonts w:ascii="Times New Roman" w:hAnsi="Times New Roman"/>
          <w:sz w:val="23"/>
          <w:szCs w:val="23"/>
        </w:rPr>
        <w:t>przebudowie zagospodarowania terenu plaży przy Jeziorze Pakoskim w m. Janikowo – realizacja inwestycji na działkach nr ewid. 4/1, 4/3, 148/2, 148/8 obręb ewidencyjny 2  miasto Janikowo oraz na działkach nr ewid. 19/4, 1/2, obręb ewidencyjny 3  miasto Janikowo, gmina Janikowo</w:t>
      </w:r>
      <w:bookmarkEnd w:id="2"/>
      <w:r>
        <w:rPr>
          <w:rFonts w:ascii="Times New Roman" w:hAnsi="Times New Roman"/>
          <w:sz w:val="23"/>
          <w:szCs w:val="23"/>
        </w:rPr>
        <w:t>,</w:t>
      </w:r>
    </w:p>
    <w:p>
      <w:pPr>
        <w:pStyle w:val="NormalIMP"/>
        <w:jc w:val="both"/>
        <w:rPr>
          <w:rFonts w:ascii="Times New Roman" w:hAnsi="Times New Roman" w:cs="Arial"/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</w:r>
    </w:p>
    <w:p>
      <w:pPr>
        <w:pStyle w:val="NormalIMP"/>
        <w:jc w:val="both"/>
        <w:rPr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>po przeprowadzeniu analizy, o której mowa w art. 53 ust. 3 oraz art. 61 ust. 1 ustawy o planowaniu i zagospodarowaniu przestrzennym oraz po uzgodnieniu:</w:t>
      </w:r>
    </w:p>
    <w:p>
      <w:pPr>
        <w:pStyle w:val="NormalIMP"/>
        <w:numPr>
          <w:ilvl w:val="0"/>
          <w:numId w:val="11"/>
        </w:numPr>
        <w:spacing w:lineRule="auto" w:line="228"/>
        <w:jc w:val="both"/>
        <w:rPr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>z Wojewódzkim Konserwatorem Zabytków</w:t>
      </w:r>
      <w:r>
        <w:rPr>
          <w:rFonts w:cs="Arial" w:ascii="Times New Roman" w:hAnsi="Times New Roman"/>
          <w:sz w:val="23"/>
          <w:szCs w:val="23"/>
          <w:highlight w:val="white"/>
        </w:rPr>
        <w:t xml:space="preserve"> (postanowienie z dnia </w:t>
      </w:r>
      <w:r>
        <w:rPr>
          <w:rFonts w:cs="Arial" w:ascii="Times New Roman" w:hAnsi="Times New Roman"/>
          <w:sz w:val="23"/>
          <w:szCs w:val="23"/>
          <w:highlight w:val="white"/>
        </w:rPr>
        <w:t>06.08.2021r.</w:t>
      </w:r>
      <w:r>
        <w:rPr>
          <w:rFonts w:cs="Arial" w:ascii="Times New Roman" w:hAnsi="Times New Roman"/>
          <w:sz w:val="23"/>
          <w:szCs w:val="23"/>
          <w:highlight w:val="white"/>
        </w:rPr>
        <w:t xml:space="preserve"> znak </w:t>
      </w:r>
      <w:r>
        <w:rPr>
          <w:rFonts w:eastAsia="Times New Roman" w:cs="Arial" w:ascii="Times New Roman" w:hAnsi="Times New Roman"/>
          <w:color w:val="000000"/>
          <w:kern w:val="0"/>
          <w:sz w:val="23"/>
          <w:szCs w:val="23"/>
          <w:highlight w:val="white"/>
          <w:lang w:val="pl-PL" w:eastAsia="pl-PL" w:bidi="ar-SA"/>
        </w:rPr>
        <w:t>WUOZ.DB.ZAR.5151.16.1.2021.ED</w:t>
      </w:r>
      <w:r>
        <w:rPr>
          <w:rFonts w:cs="Arial" w:ascii="Times New Roman" w:hAnsi="Times New Roman"/>
          <w:sz w:val="23"/>
          <w:szCs w:val="23"/>
          <w:highlight w:val="white"/>
        </w:rPr>
        <w:t>),</w:t>
      </w:r>
    </w:p>
    <w:p>
      <w:pPr>
        <w:pStyle w:val="NormalIMP"/>
        <w:numPr>
          <w:ilvl w:val="0"/>
          <w:numId w:val="11"/>
        </w:numPr>
        <w:spacing w:lineRule="auto" w:line="228"/>
        <w:jc w:val="both"/>
        <w:rPr>
          <w:sz w:val="23"/>
          <w:szCs w:val="23"/>
        </w:rPr>
      </w:pPr>
      <w:r>
        <w:rPr>
          <w:rFonts w:cs="Arial" w:ascii="Times New Roman" w:hAnsi="Times New Roman"/>
          <w:sz w:val="23"/>
          <w:szCs w:val="23"/>
          <w:highlight w:val="white"/>
        </w:rPr>
        <w:t>z Państwowym Gospodarstwem Wodnym Wody Polskie Zarząd Zlewni Inowrocław</w:t>
      </w:r>
      <w:r>
        <w:rPr>
          <w:rFonts w:ascii="Times New Roman" w:hAnsi="Times New Roman"/>
          <w:sz w:val="23"/>
          <w:szCs w:val="23"/>
          <w:highlight w:val="white"/>
        </w:rPr>
        <w:t xml:space="preserve"> (postanowienie z dnia 30.07.2021r. znak  </w:t>
      </w:r>
      <w:r>
        <w:rPr>
          <w:rFonts w:eastAsia="Times New Roman" w:cs="Times New Roman" w:ascii="Times New Roman" w:hAnsi="Times New Roman"/>
          <w:color w:val="000000"/>
          <w:kern w:val="0"/>
          <w:sz w:val="23"/>
          <w:szCs w:val="23"/>
          <w:highlight w:val="white"/>
          <w:lang w:val="pl-PL" w:eastAsia="pl-PL" w:bidi="ar-SA"/>
        </w:rPr>
        <w:t>BD.ZPU.1.611.809.2021.JC)</w:t>
      </w:r>
      <w:r>
        <w:rPr>
          <w:rFonts w:ascii="Times New Roman" w:hAnsi="Times New Roman"/>
          <w:sz w:val="23"/>
          <w:szCs w:val="23"/>
          <w:highlight w:val="white"/>
        </w:rPr>
        <w:t xml:space="preserve"> </w:t>
      </w:r>
    </w:p>
    <w:p>
      <w:pPr>
        <w:pStyle w:val="BodyText3"/>
        <w:spacing w:before="0" w:after="0"/>
        <w:rPr>
          <w:rFonts w:ascii="Times New Roman" w:hAnsi="Times New Roman"/>
          <w:sz w:val="23"/>
          <w:szCs w:val="23"/>
          <w:highlight w:val="white"/>
        </w:rPr>
      </w:pPr>
      <w:r>
        <w:rPr>
          <w:rFonts w:ascii="Times New Roman" w:hAnsi="Times New Roman"/>
          <w:sz w:val="23"/>
          <w:szCs w:val="23"/>
          <w:highlight w:val="white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rFonts w:cs="Arial"/>
          <w:b/>
          <w:spacing w:val="88"/>
          <w:sz w:val="23"/>
          <w:szCs w:val="23"/>
          <w:highlight w:val="white"/>
        </w:rPr>
        <w:t>u</w:t>
      </w:r>
      <w:r>
        <w:rPr>
          <w:rFonts w:cs="Arial"/>
          <w:b/>
          <w:spacing w:val="88"/>
          <w:sz w:val="23"/>
          <w:szCs w:val="23"/>
        </w:rPr>
        <w:t>stalam</w:t>
      </w:r>
    </w:p>
    <w:p>
      <w:pPr>
        <w:pStyle w:val="Normal"/>
        <w:jc w:val="center"/>
        <w:rPr>
          <w:sz w:val="23"/>
          <w:szCs w:val="23"/>
        </w:rPr>
      </w:pPr>
      <w:r>
        <w:rPr>
          <w:rFonts w:cs="Arial"/>
          <w:b/>
          <w:spacing w:val="88"/>
          <w:sz w:val="23"/>
          <w:szCs w:val="23"/>
        </w:rPr>
        <w:t>lokalizację inwestycji celu publicznego</w:t>
      </w:r>
      <w:r>
        <w:rPr>
          <w:rFonts w:cs="Arial"/>
          <w:b/>
          <w:sz w:val="23"/>
          <w:szCs w:val="23"/>
        </w:rPr>
        <w:t xml:space="preserve"> </w:t>
      </w:r>
    </w:p>
    <w:p>
      <w:pPr>
        <w:pStyle w:val="Tekstpodstawowy21"/>
        <w:rPr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polegającą na przebudowie zagospodarowania terenu plaży przy Jeziorze Pakoskim w m. Janikowo – realizacja inwestycji na działkach nr ewid. 4/1, 4/3, 148/2, 148/8 obręb ewidencyjny 2  miasto Janikowo oraz na działkach nr ewid. 19/4, 1/2, obręb ewidencyjny 3  miasto Janikowo, gmina Janikowo, w granicach określonych na załączniku graficznym w skali 1:500.</w:t>
      </w:r>
    </w:p>
    <w:p>
      <w:pPr>
        <w:pStyle w:val="Tekstpodstawowy21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p>
      <w:pPr>
        <w:pStyle w:val="Tekstpodstawowy21"/>
        <w:numPr>
          <w:ilvl w:val="0"/>
          <w:numId w:val="1"/>
        </w:numPr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Rodzaj inwestycji: przebudowa zagospodarowania terenu plaży przy Jeziorze Pakoskim w m. Janikowo.</w:t>
      </w:r>
    </w:p>
    <w:p>
      <w:pPr>
        <w:pStyle w:val="Tekstpodstawowy21"/>
        <w:numPr>
          <w:ilvl w:val="0"/>
          <w:numId w:val="1"/>
        </w:numPr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Realizacja inwestycji na działkach nr ewid. 4/1, 4/3, 148/2, 148/8 obręb ewidencyjny 2  miasto Janikowo oraz na działkach nr ewid. 19/4, 1/2, obręb ewidencyjny 3  miasto Janikowo, gmina Janikowo.</w:t>
      </w:r>
    </w:p>
    <w:p>
      <w:pPr>
        <w:pStyle w:val="Tekstpodstawowy21"/>
        <w:numPr>
          <w:ilvl w:val="0"/>
          <w:numId w:val="1"/>
        </w:numPr>
        <w:tabs>
          <w:tab w:val="clear" w:pos="426"/>
        </w:tabs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Linie rozgraniczające teren inwestycji wyznaczono na rysunku wykonanym na kopii mapy sytuacyjno-wysokościowej do celów projektowych w skali 1:500 – </w:t>
      </w:r>
      <w:r>
        <w:rPr>
          <w:rFonts w:ascii="Times New Roman" w:hAnsi="Times New Roman"/>
          <w:b/>
          <w:sz w:val="23"/>
          <w:szCs w:val="23"/>
        </w:rPr>
        <w:t>załącznik nr 1,</w:t>
      </w:r>
      <w:r>
        <w:rPr>
          <w:rFonts w:ascii="Times New Roman" w:hAnsi="Times New Roman"/>
          <w:sz w:val="23"/>
          <w:szCs w:val="23"/>
        </w:rPr>
        <w:t xml:space="preserve"> stanowiący załącznik graficzny niniejszej decyzji.</w:t>
      </w:r>
    </w:p>
    <w:p>
      <w:pPr>
        <w:pStyle w:val="Tekstpodstawowy21"/>
        <w:tabs>
          <w:tab w:val="clear" w:pos="426"/>
        </w:tabs>
        <w:ind w:left="720" w:hanging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BodyText3"/>
        <w:spacing w:before="0" w:after="0"/>
        <w:ind w:left="705" w:hanging="345"/>
        <w:jc w:val="left"/>
        <w:rPr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I.</w:t>
        <w:tab/>
        <w:t>WARUNKI I WYMAGANIA W ZAKRESIE OCHRONY I KSZTAŁTOWANIA ŁADU PRZESTRZENNEGO</w:t>
      </w:r>
    </w:p>
    <w:p>
      <w:pPr>
        <w:pStyle w:val="Tekstpodstawowy21"/>
        <w:numPr>
          <w:ilvl w:val="0"/>
          <w:numId w:val="3"/>
        </w:numPr>
        <w:tabs>
          <w:tab w:val="clear" w:pos="426"/>
        </w:tabs>
        <w:rPr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 xml:space="preserve">Obiekty budowlane należy projektować i w sposób określony w przepisach w tym techniczno-budowlanych oraz zgodnie z zasadami wiedzy technicznej, zapewniając spełnienie wymagań dotyczących bezpieczeństwa pożarowego, bezpieczeństwa konstrukcji, bezpieczeństwa użytkowania, odpowiednich warunków higienicznych i zdrowotnych oraz ochrony środowiska, ochrony przed hałasem i drganiami. </w:t>
      </w:r>
    </w:p>
    <w:p>
      <w:pPr>
        <w:pStyle w:val="Tekstpodstawowy21"/>
        <w:numPr>
          <w:ilvl w:val="0"/>
          <w:numId w:val="3"/>
        </w:numPr>
        <w:tabs>
          <w:tab w:val="clear" w:pos="426"/>
        </w:tabs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Przy projektowaniu i budowie </w:t>
      </w:r>
      <w:r>
        <w:rPr>
          <w:rFonts w:ascii="Times New Roman" w:hAnsi="Times New Roman"/>
          <w:bCs/>
          <w:sz w:val="23"/>
          <w:szCs w:val="23"/>
        </w:rPr>
        <w:t>stosować właściwe odległości od innych sieci i urządzeń. W przypadku kolizji z istniejącym uzbrojeniem technicznym – przebudowa za zgodą i na warunkach gestora tej sieci.</w:t>
      </w:r>
    </w:p>
    <w:p>
      <w:pPr>
        <w:pStyle w:val="Tekstpodstawowy21"/>
        <w:numPr>
          <w:ilvl w:val="0"/>
          <w:numId w:val="3"/>
        </w:numPr>
        <w:tabs>
          <w:tab w:val="clear" w:pos="426"/>
        </w:tabs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 dokumentacji projektowej uwzględnić wymogi jednostek opiniujących.</w:t>
      </w:r>
    </w:p>
    <w:p>
      <w:pPr>
        <w:pStyle w:val="Tekstpodstawowy21"/>
        <w:numPr>
          <w:ilvl w:val="0"/>
          <w:numId w:val="3"/>
        </w:numPr>
        <w:tabs>
          <w:tab w:val="clear" w:pos="426"/>
        </w:tabs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Rodzaj inwestycji: przebudowa zagospodarowania terenu plaży przy Jeziorze Pakoskim w m. Janikowo.</w:t>
      </w:r>
    </w:p>
    <w:p>
      <w:pPr>
        <w:pStyle w:val="Tekstpodstawowy21"/>
        <w:numPr>
          <w:ilvl w:val="0"/>
          <w:numId w:val="3"/>
        </w:numPr>
        <w:tabs>
          <w:tab w:val="clear" w:pos="426"/>
        </w:tabs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Funkcja terenu: promenada miejska oraz teren usług sportu i rekreacji.</w:t>
      </w:r>
    </w:p>
    <w:p>
      <w:pPr>
        <w:pStyle w:val="Tekstpodstawowy21"/>
        <w:numPr>
          <w:ilvl w:val="0"/>
          <w:numId w:val="3"/>
        </w:numPr>
        <w:tabs>
          <w:tab w:val="clear" w:pos="426"/>
        </w:tabs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 ramach inwestycji dopuszcza się:</w:t>
      </w:r>
    </w:p>
    <w:p>
      <w:pPr>
        <w:pStyle w:val="Tekstpodstawowy21"/>
        <w:numPr>
          <w:ilvl w:val="1"/>
          <w:numId w:val="1"/>
        </w:numPr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utworzenie promenady i  bulwaru spacerowego w ramach przebudowy istniejącej strefy przybrzeżnej jeziora (ścieżki i aleje spacerowe, zieleń towarzysząca, plaża miejska, mała architektura),</w:t>
      </w:r>
    </w:p>
    <w:p>
      <w:pPr>
        <w:pStyle w:val="Tekstpodstawowy21"/>
        <w:numPr>
          <w:ilvl w:val="1"/>
          <w:numId w:val="1"/>
        </w:numPr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zagospodarowanie terenu na cele rekreacyjno-sportowe, służące poprawie jakości życia mieszkańców miasta i gminy, w tym lokalizację urządzeń sportu i rekreacji (plac zabaw, urządzenia siłowni terenowej, itp.), małej architektury (pergole, przebieralnie, ławki parkowe, meble wypoczynkowe terenowe, stacja rowerowa, wieża ratownicza,  itp.),</w:t>
      </w:r>
    </w:p>
    <w:p>
      <w:pPr>
        <w:pStyle w:val="Tekstpodstawowy21"/>
        <w:numPr>
          <w:ilvl w:val="1"/>
          <w:numId w:val="1"/>
        </w:numPr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przebudowę istniejącego pomostu (w kształcie litery L o długościach ok. 80m  i 25 m),</w:t>
      </w:r>
    </w:p>
    <w:p>
      <w:pPr>
        <w:pStyle w:val="Tekstpodstawowy21"/>
        <w:numPr>
          <w:ilvl w:val="1"/>
          <w:numId w:val="1"/>
        </w:numPr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budowę boiska do piłki plażowej,</w:t>
      </w:r>
    </w:p>
    <w:p>
      <w:pPr>
        <w:pStyle w:val="Tekstpodstawowy21"/>
        <w:numPr>
          <w:ilvl w:val="1"/>
          <w:numId w:val="1"/>
        </w:numPr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oświetlenie i monitoring terenu.</w:t>
      </w:r>
    </w:p>
    <w:p>
      <w:pPr>
        <w:pStyle w:val="BodyText3"/>
        <w:tabs>
          <w:tab w:val="clear" w:pos="708"/>
          <w:tab w:val="left" w:pos="360" w:leader="none"/>
        </w:tabs>
        <w:spacing w:before="0" w:after="0"/>
        <w:ind w:left="359" w:hanging="359"/>
        <w:jc w:val="left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BodyText3"/>
        <w:tabs>
          <w:tab w:val="clear" w:pos="708"/>
          <w:tab w:val="left" w:pos="360" w:leader="none"/>
        </w:tabs>
        <w:spacing w:before="0" w:after="0"/>
        <w:ind w:left="359" w:hanging="359"/>
        <w:jc w:val="left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II.</w:t>
        <w:tab/>
        <w:tab/>
        <w:t>WARUNKI OCHRONY ŚRODOWISKA, ZDROWIA LUDZI ORAZ DZIEDZICTWA KULTUROWEGO I ZABYTKÓW ORAZ DÓBR KULTURY WSPÓŁCZESNEJ</w:t>
      </w:r>
    </w:p>
    <w:p>
      <w:pPr>
        <w:pStyle w:val="Tekstpodstawowy211"/>
        <w:tabs>
          <w:tab w:val="clear" w:pos="426"/>
          <w:tab w:val="left" w:pos="708" w:leader="none"/>
        </w:tabs>
        <w:ind w:left="705" w:hanging="345"/>
        <w:rPr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>1.</w:t>
        <w:tab/>
        <w:t xml:space="preserve">Przedmiotową inwestycję należy przeprowadzić w sposób określony w przepisach w tym techniczno-budowlanych oraz zgodnie z zasadami wiedzy technicznej, zapewniając spełnienie wymagań dotyczących bezpieczeństwa pożarowego, bezpieczeństwa konstrukcji, bezpieczeństwa użytkowania, odpowiednich warunków higienicznych i zdrowotnych oraz </w:t>
      </w:r>
      <w:r>
        <w:rPr>
          <w:rFonts w:cs="Arial" w:ascii="Times New Roman" w:hAnsi="Times New Roman"/>
          <w:sz w:val="23"/>
          <w:szCs w:val="23"/>
          <w:lang w:eastAsia="ar-SA"/>
        </w:rPr>
        <w:t>ochrony środowiska, ochrony przed hałasem i drganiami, oszczędności energii i odpowiedniej izolacyjności cieplnej przegród, zgodnie z art. 5 ustawy z dnia 7 lipca 1994 r. – Prawo Budowlane (tekst jednolity: Dz. U. z 2020 r. poz. 1333 ze zm.).</w:t>
      </w:r>
    </w:p>
    <w:p>
      <w:pPr>
        <w:pStyle w:val="Normal"/>
        <w:tabs>
          <w:tab w:val="left" w:pos="708" w:leader="none"/>
        </w:tabs>
        <w:ind w:left="705" w:hanging="345"/>
        <w:jc w:val="both"/>
        <w:rPr>
          <w:sz w:val="23"/>
          <w:szCs w:val="23"/>
        </w:rPr>
      </w:pPr>
      <w:r>
        <w:rPr>
          <w:rFonts w:cs="Arial"/>
          <w:sz w:val="23"/>
          <w:szCs w:val="23"/>
        </w:rPr>
        <w:t>2.</w:t>
        <w:tab/>
        <w:tab/>
        <w:t>W trakcie przygotowania i realizacji inwestycji należy respektować przepisy wynikające z ustawy z dnia 27 kwietnia 2001 r. Prawo Ochrony Środowiska (tekst jednolity: Dz. U. z 2020 r. poz.1219 ze zm.), w szczególności zapewnić oszczędne korzystanie z terenu (art. 74),  uwzględnić ochronę środowiska na obszarze prowadzenia prac a szczególności ochronę gleby, zieleni, naturalnego ukształtowania terenu i stosunków wodnych (art. 75 ust.1).</w:t>
      </w:r>
    </w:p>
    <w:p>
      <w:pPr>
        <w:pStyle w:val="Tekstpodstawowy211"/>
        <w:tabs>
          <w:tab w:val="clear" w:pos="426"/>
          <w:tab w:val="left" w:pos="708" w:leader="none"/>
        </w:tabs>
        <w:ind w:left="705" w:hanging="345"/>
        <w:rPr>
          <w:sz w:val="23"/>
          <w:szCs w:val="23"/>
        </w:rPr>
      </w:pPr>
      <w:r>
        <w:rPr>
          <w:rFonts w:cs="Arial" w:ascii="Times New Roman" w:hAnsi="Times New Roman"/>
          <w:sz w:val="23"/>
          <w:szCs w:val="23"/>
        </w:rPr>
        <w:t>3.</w:t>
        <w:tab/>
        <w:t>Prace ziemne oraz prace związane z wykorzystaniem sprzętu mechanicznego lub urządzeń technicznych prowadzone w obrębie bryły korzeniowej drzew lub krzewów na terenach zieleni powinny być wykonywane zgodnie z art. 82 ust. 1 ustawy z dnia 16 kwietnia 2004 r. o ochronie przyrody (tekst jednolity: Dz. U. z 2020 r. poz. 55 ze zm.).</w:t>
      </w:r>
    </w:p>
    <w:p>
      <w:pPr>
        <w:pStyle w:val="Normal"/>
        <w:tabs>
          <w:tab w:val="left" w:pos="708" w:leader="none"/>
        </w:tabs>
        <w:ind w:left="705" w:hanging="345"/>
        <w:jc w:val="both"/>
        <w:rPr>
          <w:sz w:val="23"/>
          <w:szCs w:val="23"/>
        </w:rPr>
      </w:pPr>
      <w:r>
        <w:rPr>
          <w:rFonts w:cs="Arial"/>
          <w:sz w:val="23"/>
          <w:szCs w:val="23"/>
        </w:rPr>
        <w:t>4.</w:t>
        <w:tab/>
        <w:t>Planowana inwestycja winna spełniać warunki § 2 Rozporządzenia Ministra Środowiska z dnia 14 czerwca 2007 r. w sprawie dopuszczalnych poziomów hałasu w środowisku (Dz. U. z 2014 r. poz. 112).</w:t>
      </w:r>
    </w:p>
    <w:p>
      <w:pPr>
        <w:pStyle w:val="Normal"/>
        <w:rPr>
          <w:sz w:val="23"/>
          <w:szCs w:val="23"/>
        </w:rPr>
      </w:pPr>
      <w:r>
        <w:rPr>
          <w:rFonts w:cs="Arial"/>
          <w:sz w:val="23"/>
          <w:szCs w:val="23"/>
        </w:rPr>
        <w:t xml:space="preserve">      </w:t>
      </w:r>
      <w:r>
        <w:rPr>
          <w:rFonts w:cs="Arial"/>
          <w:sz w:val="23"/>
          <w:szCs w:val="23"/>
        </w:rPr>
        <w:t>5.</w:t>
        <w:tab/>
        <w:t xml:space="preserve">W przypadku odkrycia w trakcie prowadzenia robót budowlanych lub ziemnych </w:t>
        <w:tab/>
        <w:tab/>
        <w:tab/>
        <w:t xml:space="preserve"> </w:t>
        <w:tab/>
        <w:t xml:space="preserve">przedmiotu, co do którego istnieje przypuszczenie, iż jest on zabytkiem należy </w:t>
        <w:tab/>
        <w:t xml:space="preserve"> </w:t>
        <w:tab/>
        <w:tab/>
        <w:t xml:space="preserve"> </w:t>
        <w:tab/>
        <w:t xml:space="preserve">wstrzymać wszelkie roboty mogące uszkodzić lub zniszczyć odkryty przedmiot,  </w:t>
        <w:tab/>
        <w:tab/>
        <w:tab/>
        <w:t xml:space="preserve"> </w:t>
        <w:tab/>
        <w:t xml:space="preserve">zabezpieczyć, przy użyciu dostępnych środków , ten przedmiot i miejsce jego odkrycia  </w:t>
        <w:tab/>
        <w:t xml:space="preserve"> </w:t>
        <w:tab/>
        <w:t xml:space="preserve">i niezwłocznie zawiadomić o tym wojewódzkiego konserwatora zabytków, a jeśli nie  </w:t>
        <w:tab/>
        <w:tab/>
        <w:t xml:space="preserve"> </w:t>
        <w:tab/>
      </w:r>
      <w:r>
        <w:rPr>
          <w:sz w:val="23"/>
          <w:szCs w:val="23"/>
        </w:rPr>
        <w:t xml:space="preserve">jest to możliwe Burmistrza Gminy i Miasta Janikowo - art. 32 ust. 1 ustawy  z dnia 23  </w:t>
        <w:tab/>
        <w:t xml:space="preserve"> </w:t>
        <w:tab/>
        <w:t>lipca 2003 r. o ochronie zabytków i opiece nad zabytkami (</w:t>
      </w:r>
      <w:bookmarkStart w:id="3" w:name="_Hlk505627337"/>
      <w:r>
        <w:rPr>
          <w:sz w:val="23"/>
          <w:szCs w:val="23"/>
        </w:rPr>
        <w:t xml:space="preserve">tekst jednolity: Dz. U. z  </w:t>
        <w:tab/>
        <w:tab/>
        <w:t xml:space="preserve"> </w:t>
        <w:tab/>
        <w:t xml:space="preserve">2020 r. poz. </w:t>
      </w:r>
      <w:bookmarkEnd w:id="3"/>
      <w:r>
        <w:rPr>
          <w:sz w:val="23"/>
          <w:szCs w:val="23"/>
        </w:rPr>
        <w:t xml:space="preserve">282 ze zm.). Planowana inwestycja znajduje się w strefie „W” ochrony  </w:t>
        <w:tab/>
        <w:tab/>
        <w:tab/>
        <w:tab/>
        <w:t xml:space="preserve"> </w:t>
        <w:tab/>
        <w:t xml:space="preserve">archeologicznej, projekt budowlany należy uzgodnić z Wojewódzkim Urzędem  </w:t>
        <w:tab/>
        <w:tab/>
        <w:t xml:space="preserve"> </w:t>
        <w:tab/>
        <w:t>Ochrony Zabytków Delegatura w Bydgoszczy.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>6.</w:t>
        <w:tab/>
        <w:t xml:space="preserve">Podjęcie przez inwestora działalności mogącej negatywnie oddziaływać na  </w:t>
        <w:tab/>
        <w:tab/>
        <w:t xml:space="preserve"> </w:t>
        <w:tab/>
        <w:t xml:space="preserve">środowisko lub spowodowanie przez niego zanieczyszczenia środowiska zobowiązuje  </w:t>
        <w:tab/>
        <w:t xml:space="preserve"> </w:t>
        <w:tab/>
        <w:t xml:space="preserve">do zapobiegania temu oddziaływaniu oraz ponoszenia kosztów zapobiegania temu  </w:t>
        <w:tab/>
        <w:tab/>
        <w:t xml:space="preserve"> </w:t>
        <w:tab/>
        <w:t>zanieczyszczeniu.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>7.</w:t>
        <w:tab/>
        <w:t xml:space="preserve">Projekt budowlany powinien zawierać pozytywne opinie jednostek opiniujących i  </w:t>
        <w:tab/>
        <w:tab/>
        <w:t xml:space="preserve"> </w:t>
        <w:tab/>
        <w:t>uzgadniających, wymaganych przepisami odrębnymi dla tego rodzaju inwestycji.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>8.</w:t>
        <w:tab/>
        <w:t xml:space="preserve">Projektowana inwestycja nie jest ujęta w wykazie przedsięwzięć określonych w  </w:t>
        <w:tab/>
        <w:tab/>
        <w:t xml:space="preserve"> </w:t>
        <w:tab/>
        <w:t xml:space="preserve">Rozporządzeniu Rady Ministrów z dnia 10 września 2019 r. w sprawie przedsięwzięć  </w:t>
        <w:tab/>
        <w:t xml:space="preserve"> </w:t>
        <w:tab/>
        <w:t xml:space="preserve">mogących znacząco oddziaływać na środowisko (tekst jednolity: Dz. U. z 2019 r. poz.  </w:t>
        <w:tab/>
        <w:tab/>
        <w:t xml:space="preserve"> </w:t>
        <w:tab/>
        <w:t>1839).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>9.</w:t>
        <w:tab/>
        <w:t xml:space="preserve">Przedmiotowa inwestycja nie znajduje się w wykazie przedsięwzięć  </w:t>
        <w:tab/>
        <w:tab/>
        <w:tab/>
        <w:t xml:space="preserve"> </w:t>
        <w:tab/>
        <w:t xml:space="preserve">wyszczególnionych w załączniku nr I i II Dyrektywy Parlamentu Europejskiego i </w:t>
        <w:tab/>
        <w:t xml:space="preserve"> </w:t>
        <w:tab/>
        <w:t xml:space="preserve">Rady 2011/92/UE z dnia 13 grudnia 2011 r. w sprawie oceny skutków wywieranych  </w:t>
        <w:tab/>
        <w:tab/>
        <w:t xml:space="preserve"> </w:t>
        <w:tab/>
        <w:t xml:space="preserve">przez niektóre przedsięwzięcia publiczne i prywatne na środowisko. W związku z tym  </w:t>
        <w:tab/>
        <w:tab/>
        <w:t xml:space="preserve"> </w:t>
        <w:tab/>
        <w:t xml:space="preserve">realizacja planowanego przedsięwzięcia nie wymaga wydania decyzji o  </w:t>
        <w:tab/>
        <w:tab/>
        <w:t xml:space="preserve"> </w:t>
        <w:tab/>
        <w:t xml:space="preserve"> </w:t>
        <w:tab/>
        <w:t xml:space="preserve">środowiskowych uwarunkowaniach w myśl art. 71 ust. 2 i art. 72 ust. 1 ustawy z dnia  </w:t>
        <w:tab/>
        <w:tab/>
        <w:tab/>
        <w:t xml:space="preserve">  </w:t>
        <w:tab/>
        <w:t xml:space="preserve">3 października 2008 r. o udostępnianiu informacji o środowisku i jego ochronie,  </w:t>
        <w:tab/>
        <w:tab/>
        <w:t xml:space="preserve"> </w:t>
        <w:tab/>
        <w:t xml:space="preserve">udziale społeczeństwa w ochronie środowiska oraz o ocenach oddziaływania na   </w:t>
        <w:tab/>
        <w:t xml:space="preserve"> </w:t>
        <w:tab/>
        <w:t xml:space="preserve">środowisko (tekst jednolity: Dz. U. z 2021 r. poz. 247 ze zm.).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>10.</w:t>
        <w:tab/>
        <w:t xml:space="preserve">Zgodnie z art. 59 ust. 2 pkt. 1 i 2 ww. ustawy realizacja planowanego przedsięwzięcia  </w:t>
        <w:tab/>
        <w:tab/>
        <w:t xml:space="preserve"> </w:t>
        <w:tab/>
        <w:t>nie wymaga oceny oddziaływania na obszar Natura 2000 (poza tym obszarem).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>11.</w:t>
        <w:tab/>
        <w:t xml:space="preserve">Realizacja inwestycji nie wymaga uzyskania zgody na zmianę przeznaczenia gruntów  </w:t>
        <w:tab/>
        <w:tab/>
        <w:tab/>
        <w:tab/>
        <w:t xml:space="preserve"> </w:t>
        <w:tab/>
        <w:t xml:space="preserve">rolnych i leśnych na cele nierolnicze i nieleśne /zgodnie z ustawą z dnia 3 lutego 1995  </w:t>
        <w:tab/>
        <w:tab/>
        <w:tab/>
        <w:t xml:space="preserve"> </w:t>
        <w:tab/>
        <w:t xml:space="preserve">r. o ochronie gruntów rolnych i leśnych (tekst jednolity: Dz. U. z 2017 r., poz. 1161)  </w:t>
        <w:tab/>
        <w:tab/>
        <w:tab/>
        <w:t xml:space="preserve"> </w:t>
        <w:tab/>
        <w:t xml:space="preserve">zmiana przeznaczenia gruntów rolnych stanowiących użytki rolne klas I–III – wymaga </w:t>
        <w:tab/>
        <w:t xml:space="preserve"> </w:t>
        <w:tab/>
        <w:t xml:space="preserve">uzyskania zgody właściwego ministra z zastrzeżeniem użytków rolnych klas I-III,  </w:t>
        <w:tab/>
        <w:tab/>
        <w:t xml:space="preserve"> </w:t>
        <w:tab/>
        <w:t>spełniających łącznie następujące warunki: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  <w:lang w:eastAsia="en-US"/>
        </w:rPr>
        <w:t>1)</w:t>
        <w:tab/>
        <w:t>co najmniej połowa powierzchni każdej zwartej</w:t>
      </w:r>
      <w:r>
        <w:rPr>
          <w:rFonts w:eastAsia="Calibri" w:cs="Arial"/>
          <w:bCs/>
          <w:i/>
          <w:sz w:val="23"/>
          <w:szCs w:val="23"/>
          <w:lang w:eastAsia="en-US"/>
        </w:rPr>
        <w:t xml:space="preserve"> części gruntu zawiera się w obszarze zwartej zabudowy;</w:t>
      </w:r>
    </w:p>
    <w:p>
      <w:pPr>
        <w:pStyle w:val="ZLITPKT8211"/>
        <w:tabs>
          <w:tab w:val="clear" w:pos="708"/>
          <w:tab w:val="left" w:pos="993" w:leader="none"/>
        </w:tabs>
        <w:spacing w:lineRule="auto" w:line="240"/>
        <w:ind w:left="993" w:hanging="284"/>
        <w:rPr>
          <w:sz w:val="23"/>
          <w:szCs w:val="23"/>
        </w:rPr>
      </w:pPr>
      <w:r>
        <w:rPr>
          <w:rFonts w:eastAsia="Calibri" w:cs="Arial" w:ascii="Times New Roman" w:hAnsi="Times New Roman"/>
          <w:bCs/>
          <w:i/>
          <w:sz w:val="23"/>
          <w:szCs w:val="23"/>
          <w:lang w:eastAsia="en-US"/>
        </w:rPr>
        <w:t>2)</w:t>
        <w:tab/>
        <w:t>położone są w odległości nie większej niż 50 m od granicy najbliższej działki budowlanej w rozumieniu przepisów ustawy z dnia 21 sierpnia 1997 r. o gospodarce nieruchomościami (t</w:t>
      </w:r>
      <w:r>
        <w:rPr>
          <w:rFonts w:eastAsia="Calibri" w:cs="Arial" w:ascii="Times New Roman" w:hAnsi="Times New Roman"/>
          <w:bCs/>
          <w:i/>
          <w:sz w:val="23"/>
          <w:szCs w:val="23"/>
          <w:u w:val="single"/>
          <w:lang w:eastAsia="en-US"/>
        </w:rPr>
        <w:t>ekst jednolity: Dz. U. z 2020 r. poz. 65 ze zm.)</w:t>
      </w:r>
      <w:r>
        <w:rPr>
          <w:rFonts w:eastAsia="Calibri" w:cs="Arial" w:ascii="Times New Roman" w:hAnsi="Times New Roman"/>
          <w:bCs/>
          <w:i/>
          <w:sz w:val="23"/>
          <w:szCs w:val="23"/>
          <w:lang w:eastAsia="en-US"/>
        </w:rPr>
        <w:t>;</w:t>
      </w:r>
    </w:p>
    <w:p>
      <w:pPr>
        <w:pStyle w:val="ZLITPKT8211"/>
        <w:tabs>
          <w:tab w:val="clear" w:pos="708"/>
          <w:tab w:val="left" w:pos="993" w:leader="none"/>
        </w:tabs>
        <w:spacing w:lineRule="auto" w:line="240"/>
        <w:ind w:left="993" w:hanging="284"/>
        <w:rPr>
          <w:sz w:val="23"/>
          <w:szCs w:val="23"/>
        </w:rPr>
      </w:pPr>
      <w:r>
        <w:rPr>
          <w:rFonts w:eastAsia="Calibri" w:cs="Arial" w:ascii="Times New Roman" w:hAnsi="Times New Roman"/>
          <w:bCs/>
          <w:i/>
          <w:sz w:val="23"/>
          <w:szCs w:val="23"/>
          <w:lang w:eastAsia="en-US"/>
        </w:rPr>
        <w:t>3)</w:t>
        <w:tab/>
        <w:t>położone są w odległości nie większej niż 50 metrów od drogi publicznej w rozumieniu przepisów ustawy z dnia 21 marca 1985 r. o drogach publicznych (</w:t>
      </w:r>
      <w:r>
        <w:rPr>
          <w:rFonts w:eastAsia="Calibri" w:cs="Arial" w:ascii="Times New Roman" w:hAnsi="Times New Roman"/>
          <w:bCs/>
          <w:i/>
          <w:sz w:val="23"/>
          <w:szCs w:val="23"/>
          <w:u w:val="single"/>
          <w:lang w:eastAsia="en-US"/>
        </w:rPr>
        <w:t>tekst jednolity: Dz. U. z 2020 r. poz. 470 ze zm.</w:t>
      </w:r>
      <w:r>
        <w:rPr>
          <w:rFonts w:eastAsia="Calibri" w:cs="Arial" w:ascii="Times New Roman" w:hAnsi="Times New Roman"/>
          <w:bCs/>
          <w:i/>
          <w:sz w:val="23"/>
          <w:szCs w:val="23"/>
          <w:lang w:eastAsia="en-US"/>
        </w:rPr>
        <w:t>);</w:t>
      </w:r>
    </w:p>
    <w:p>
      <w:pPr>
        <w:pStyle w:val="ZLITPKT8211"/>
        <w:tabs>
          <w:tab w:val="clear" w:pos="708"/>
          <w:tab w:val="left" w:pos="993" w:leader="none"/>
        </w:tabs>
        <w:spacing w:lineRule="auto" w:line="240"/>
        <w:ind w:left="993" w:hanging="284"/>
        <w:rPr>
          <w:sz w:val="23"/>
          <w:szCs w:val="23"/>
        </w:rPr>
      </w:pPr>
      <w:r>
        <w:rPr>
          <w:rFonts w:eastAsia="Calibri" w:cs="Arial" w:ascii="Times New Roman" w:hAnsi="Times New Roman"/>
          <w:bCs/>
          <w:i/>
          <w:sz w:val="23"/>
          <w:szCs w:val="23"/>
          <w:lang w:eastAsia="en-US"/>
        </w:rPr>
        <w:t>4)</w:t>
        <w:tab/>
        <w:t>ich powierzchnia nie przekracza 0,5 ha, bez względu na to, czy stanowią jedną całość, czy stanowią kilka odrębnych części.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exact" w:line="226"/>
        <w:ind w:left="720" w:right="10" w:hanging="360"/>
        <w:jc w:val="both"/>
        <w:rPr>
          <w:sz w:val="23"/>
          <w:szCs w:val="23"/>
        </w:rPr>
      </w:pPr>
      <w:r>
        <w:rPr>
          <w:rFonts w:eastAsia="Calibri" w:cs="Arial"/>
          <w:bCs/>
          <w:i/>
          <w:sz w:val="23"/>
          <w:szCs w:val="23"/>
        </w:rPr>
        <w:tab/>
      </w:r>
      <w:r>
        <w:rPr>
          <w:rFonts w:eastAsia="Calibri" w:cs="Arial"/>
          <w:bCs/>
          <w:i/>
          <w:sz w:val="23"/>
          <w:szCs w:val="23"/>
          <w:u w:val="single"/>
        </w:rPr>
        <w:t>Zmiana przeznaczenia gruntów leśnych na cele nieleśne wymaga uzyskania zgody właściwego ministra (w przypadku gruntów leśnych Skarbu Państwa) lub właściwego Marszałka Województwa (pozostałych gruntów leśnych); przepisów nie stosuje się w granicach administracyjnych miast/: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134" w:leader="none"/>
        </w:tabs>
        <w:spacing w:lineRule="exact" w:line="226"/>
        <w:ind w:left="1440" w:right="10" w:hanging="360"/>
        <w:jc w:val="both"/>
        <w:rPr>
          <w:sz w:val="23"/>
          <w:szCs w:val="23"/>
        </w:rPr>
      </w:pPr>
      <w:r>
        <w:rPr>
          <w:rFonts w:cs="Arial"/>
          <w:b/>
          <w:bCs/>
          <w:sz w:val="23"/>
          <w:szCs w:val="23"/>
          <w:u w:val="single"/>
        </w:rPr>
        <w:t>ochrona gruntów rolnych</w:t>
      </w:r>
      <w:r>
        <w:rPr>
          <w:rFonts w:cs="Arial"/>
          <w:bCs/>
          <w:sz w:val="23"/>
          <w:szCs w:val="23"/>
        </w:rPr>
        <w:t xml:space="preserve">: </w:t>
      </w:r>
      <w:r>
        <w:rPr>
          <w:rFonts w:cs="Arial"/>
          <w:sz w:val="23"/>
          <w:szCs w:val="23"/>
        </w:rPr>
        <w:t>inwestycja zlokalizowana w granicy administracyjnej miasta;</w:t>
      </w:r>
    </w:p>
    <w:p>
      <w:pPr>
        <w:pStyle w:val="ListParagraph"/>
        <w:numPr>
          <w:ilvl w:val="1"/>
          <w:numId w:val="1"/>
        </w:numPr>
        <w:shd w:val="clear" w:color="auto" w:fill="FFFFFF"/>
        <w:tabs>
          <w:tab w:val="clear" w:pos="708"/>
          <w:tab w:val="left" w:pos="1134" w:leader="none"/>
        </w:tabs>
        <w:spacing w:lineRule="exact" w:line="226"/>
        <w:ind w:left="1440" w:right="10" w:hanging="360"/>
        <w:jc w:val="both"/>
        <w:rPr>
          <w:sz w:val="23"/>
          <w:szCs w:val="23"/>
        </w:rPr>
      </w:pPr>
      <w:r>
        <w:rPr>
          <w:rFonts w:cs="Arial"/>
          <w:b/>
          <w:bCs/>
          <w:sz w:val="23"/>
          <w:szCs w:val="23"/>
          <w:u w:val="single"/>
        </w:rPr>
        <w:t>ochrona gruntów rolnych</w:t>
      </w:r>
      <w:r>
        <w:rPr>
          <w:rFonts w:cs="Arial"/>
          <w:bCs/>
          <w:sz w:val="23"/>
          <w:szCs w:val="23"/>
        </w:rPr>
        <w:t>:</w:t>
      </w:r>
      <w:r>
        <w:rPr>
          <w:rFonts w:cs="Arial"/>
          <w:sz w:val="23"/>
          <w:szCs w:val="23"/>
        </w:rPr>
        <w:t xml:space="preserve"> nie dotyczy, inwestycja zlokalizowana poza gruntami leśnymi.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 </w:t>
        <w:tab/>
        <w:t xml:space="preserve">Państwowe Gospodarstwo Wodne Wody Polskie Zarząd Zlewni w Inowrocławiu  </w:t>
        <w:tab/>
        <w:tab/>
        <w:tab/>
        <w:tab/>
        <w:tab/>
        <w:tab/>
        <w:t xml:space="preserve"> </w:t>
        <w:tab/>
        <w:t xml:space="preserve">Dyrektor Zarządu Zlewni w Inowrocławiu uzgodnił projekt decyzji informując, że na </w:t>
        <w:tab/>
        <w:tab/>
        <w:t xml:space="preserve"> </w:t>
        <w:tab/>
        <w:t xml:space="preserve">terenie działki 4/3, położonej w obrębie 2 miasto Janikowo, gmina Janikowo oraz </w:t>
        <w:tab/>
        <w:t xml:space="preserve"> </w:t>
        <w:tab/>
        <w:t xml:space="preserve">działki nr 19/4 obręb 3 miasto Janikowo, gmina Janikowo, działka stanowi śródlądową </w:t>
        <w:tab/>
        <w:t xml:space="preserve"> </w:t>
        <w:tab/>
        <w:t xml:space="preserve">wodę płynącą – Jezioro Pakoskie. Działka nr 4/1, 148/2, 148/8 obręb 2 miasto </w:t>
        <w:tab/>
        <w:t xml:space="preserve"> </w:t>
        <w:tab/>
        <w:tab/>
        <w:t xml:space="preserve"> </w:t>
        <w:tab/>
        <w:t xml:space="preserve">Janikowo, gm. Janikowo oraz działka nr 1/2 obręb 3 miasto Janikowo, gmina  </w:t>
        <w:tab/>
        <w:tab/>
        <w:tab/>
        <w:t xml:space="preserve">  </w:t>
        <w:tab/>
        <w:t xml:space="preserve">Janikowo graniczy z śródlądową wodą płynącą – Jeziorem Pakoskim. W związku z   </w:t>
        <w:tab/>
        <w:t xml:space="preserve"> </w:t>
        <w:tab/>
        <w:t xml:space="preserve">powyższym Inwestor zobowiązany jest wykonać inwestycję w sposób zapewniający  </w:t>
        <w:tab/>
        <w:tab/>
        <w:tab/>
        <w:t xml:space="preserve"> </w:t>
        <w:tab/>
        <w:t xml:space="preserve">zachowanie sprawności użytkowej ww. urządzenia. Istniejące urządzenie melioracyjne  </w:t>
        <w:tab/>
        <w:tab/>
        <w:t xml:space="preserve"> </w:t>
        <w:tab/>
        <w:t xml:space="preserve">należy zachować lub przebudować na koszt Inwestora w porozumieniu z gminną  </w:t>
        <w:tab/>
        <w:t xml:space="preserve"> </w:t>
        <w:tab/>
        <w:t xml:space="preserve">spółką wodną w sposób zapewniający prawidłowe jego funkcjonowanie. W przypadku  </w:t>
        <w:tab/>
        <w:t xml:space="preserve"> </w:t>
        <w:tab/>
        <w:t xml:space="preserve">braku spółki wodnej uzgodnienia należy dokonać z właścicielem gruntu, na którym  </w:t>
        <w:tab/>
        <w:t xml:space="preserve">  </w:t>
        <w:tab/>
        <w:t>znajduje się urządzenie melioracyjne.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</w:t>
        <w:tab/>
        <w:t xml:space="preserve">Kujawsko-Pomorski Wojewódzki Konserwator Zabytków uzgodnił projekt pod </w:t>
        <w:tab/>
        <w:t xml:space="preserve"> </w:t>
        <w:tab/>
        <w:tab/>
        <w:t xml:space="preserve"> </w:t>
        <w:tab/>
        <w:t xml:space="preserve">warunkiem zapewnienia nadzoru archeologicznego nad całością prac ziemnych   </w:t>
        <w:tab/>
        <w:tab/>
        <w:t xml:space="preserve"> </w:t>
        <w:tab/>
        <w:t xml:space="preserve">prowadzonych w ramach inwestycji, a w przypadku odsłonięcia   </w:t>
        <w:tab/>
        <w:tab/>
        <w:tab/>
        <w:tab/>
        <w:t xml:space="preserve"> </w:t>
        <w:tab/>
        <w:t xml:space="preserve">obiektów/nawarstwień kulturowych wykonanie archeologicznych badań ratowniczych </w:t>
        <w:tab/>
        <w:t xml:space="preserve"> </w:t>
        <w:tab/>
        <w:t xml:space="preserve">w zakresie przewidzianym projektem budowlanym. </w:t>
      </w:r>
    </w:p>
    <w:p>
      <w:pPr>
        <w:pStyle w:val="Normal"/>
        <w:rPr>
          <w:rFonts w:ascii="Times New Roman" w:hAnsi="Times New Roman"/>
          <w:sz w:val="23"/>
          <w:szCs w:val="23"/>
        </w:rPr>
      </w:pPr>
      <w:r>
        <w:rPr>
          <w:sz w:val="23"/>
          <w:szCs w:val="23"/>
        </w:rPr>
      </w:r>
    </w:p>
    <w:p>
      <w:pPr>
        <w:pStyle w:val="BodyText3"/>
        <w:tabs>
          <w:tab w:val="clear" w:pos="708"/>
          <w:tab w:val="left" w:pos="360" w:leader="none"/>
        </w:tabs>
        <w:spacing w:before="0" w:after="0"/>
        <w:ind w:left="180" w:hanging="180"/>
        <w:jc w:val="left"/>
        <w:rPr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III.</w:t>
        <w:tab/>
        <w:t>WARUNKI OBSŁUGI W ZAKRESIE INFRASTRUKTURY TECHNICZNEJ I KOMUNIKACJI</w:t>
      </w:r>
    </w:p>
    <w:p>
      <w:pPr>
        <w:pStyle w:val="Normal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Zaopatrzenie w energię – na warunkach gestora sieci.</w:t>
      </w:r>
    </w:p>
    <w:p>
      <w:pPr>
        <w:pStyle w:val="Normal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Woda – nie dotyczy.</w:t>
      </w:r>
    </w:p>
    <w:p>
      <w:pPr>
        <w:pStyle w:val="Normal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Odprowadzenie ścieków sanitarnych – nie dotyczy.</w:t>
      </w:r>
    </w:p>
    <w:p>
      <w:pPr>
        <w:pStyle w:val="Normal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Odprowadzenie wód opadowych – nie dotyczy.</w:t>
      </w:r>
    </w:p>
    <w:p>
      <w:pPr>
        <w:pStyle w:val="Normal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Gaz – nie dotyczy.</w:t>
      </w:r>
    </w:p>
    <w:p>
      <w:pPr>
        <w:pStyle w:val="Normal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Źródło ogrzewania – nie dotyczy.</w:t>
      </w:r>
    </w:p>
    <w:p>
      <w:pPr>
        <w:pStyle w:val="Normal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Obsługa komunikacyjna – istniejącym zjazdem z drogi gminnej na dotychczasowych warunkach jej zarządcy. </w:t>
      </w:r>
    </w:p>
    <w:p>
      <w:pPr>
        <w:pStyle w:val="Normal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Składowanie odpadów stałych – z zachowaniem przepisów odrębnych.</w:t>
      </w:r>
    </w:p>
    <w:p>
      <w:pPr>
        <w:pStyle w:val="BodyText3"/>
        <w:tabs>
          <w:tab w:val="clear" w:pos="708"/>
          <w:tab w:val="left" w:pos="360" w:leader="none"/>
        </w:tabs>
        <w:spacing w:before="0" w:after="0"/>
        <w:ind w:left="180" w:hanging="180"/>
        <w:jc w:val="left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p>
      <w:pPr>
        <w:pStyle w:val="BodyText3"/>
        <w:tabs>
          <w:tab w:val="clear" w:pos="708"/>
          <w:tab w:val="left" w:pos="360" w:leader="none"/>
        </w:tabs>
        <w:spacing w:before="0" w:after="0"/>
        <w:ind w:left="180" w:hanging="180"/>
        <w:jc w:val="left"/>
        <w:rPr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IV.</w:t>
        <w:tab/>
        <w:t>WYMAGANIA DOTYCZĄCE OCHRONY INTERESÓW OSÓB TRZECICH</w:t>
      </w:r>
    </w:p>
    <w:p>
      <w:pPr>
        <w:pStyle w:val="Normal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Należy zapewnić ochronę uzasadnionych interesów osób trzecich:</w:t>
      </w:r>
    </w:p>
    <w:p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dostępu do drogi publicznej,</w:t>
      </w:r>
    </w:p>
    <w:p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możliwości korzystania z wody, kanalizacji, energii elektrycznej i cieplnej oraz ze środków łączności,</w:t>
      </w:r>
    </w:p>
    <w:p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dostępu do światła dziennego do pomieszczeń przeznaczonych na pobyt ludzi,</w:t>
      </w:r>
    </w:p>
    <w:p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uciążliwościami powodowanymi przez hałas, wibracje, zakłócenia elektryczne i promieniowanie, zanieczyszczeniem powietrza, wody i gleby.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709" w:leader="none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>Właściciel nieruchomości powinien przy wykorzystaniu swego prawa powstrzymać się od działań, które by zakłócały korzystanie z nieruchomości sąsiednich ponad przeciętną miarę, wynikającą ze społeczno-gospodarczego przeznaczenia nieruchomości i stosunków miejscowych – zgodnie z art. 144 ustawy z dnia 23 kwietnia 1964 r. Kodeks Cywilny (tekst jednolity Dz. U. z 2019 r. poz. 1145 ze zm.).</w:t>
      </w:r>
    </w:p>
    <w:p>
      <w:pPr>
        <w:pStyle w:val="Normal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Robót ziemnych nie wolno dokonywać w taki sposób, by groziły one nieruchomością sąsiednim utratą oparcia – zgodnie z art. 147 ustawy z dnia 23 kwietnia 1964 r. Kodeks Cywilny (tekst jednolity: Dz. U. z 2019 r. poz. 1145 ze zm.).</w:t>
      </w:r>
    </w:p>
    <w:p>
      <w:pPr>
        <w:pStyle w:val="Normal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Zakaz zmiany kierunku i natężenia odpływu znajdujących się na działce wód opadowych lub roztopowych oraz odprowadzania wód i wprowadzania ścieków na grunty sąsiednie – zgodnie z art. 234 ustawy z dnia 20 lipca </w:t>
        <w:br/>
        <w:t>2017 r. Prawo wodne (tekst jednolity Dz. U. z 2020 r. poz. 310 ze zm.)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709" w:leader="none"/>
        </w:tabs>
        <w:jc w:val="both"/>
        <w:rPr>
          <w:sz w:val="23"/>
          <w:szCs w:val="23"/>
        </w:rPr>
      </w:pPr>
      <w:r>
        <w:rPr>
          <w:sz w:val="23"/>
          <w:szCs w:val="23"/>
        </w:rPr>
        <w:t>Należy uzyskać prawo do dysponowania nieruchomością na cele budowlane, dokumentując je dołączonym do wniosku o pozwolenie na budowę oświadczeniem - zgodnie z art. 32 ust. 4 pkt 2 i art. 33 ust. 2 pkt 2 ustawy z dnia 7 lipca 1994 r. Prawo Budowlane (tekst jednolity: Dz. U. z 2020 r. poz. 1333 ze zm.).</w:t>
      </w:r>
    </w:p>
    <w:p>
      <w:pPr>
        <w:pStyle w:val="Tekstpodstawowy21"/>
        <w:tabs>
          <w:tab w:val="left" w:pos="426" w:leader="none"/>
          <w:tab w:val="left" w:pos="567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BodyText3"/>
        <w:tabs>
          <w:tab w:val="clear" w:pos="708"/>
          <w:tab w:val="left" w:pos="360" w:leader="none"/>
        </w:tabs>
        <w:spacing w:before="0" w:after="0"/>
        <w:ind w:left="360" w:hanging="360"/>
        <w:jc w:val="left"/>
        <w:rPr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V.</w:t>
        <w:tab/>
        <w:t xml:space="preserve">WYMAGANIA DOTYCZĄCE OCHRONY OBIEKTÓW BUDOWLANYCH NA TERENACH GÓRNICZYCH, A TAKŻE NARAŻONYCH NA NIEBEZPIECZEŃSTWO POWODZI ORAZ ZAGROŻONYCH OSUWANIEM SIĘ MAS ZIEMNYCH </w:t>
      </w:r>
    </w:p>
    <w:p>
      <w:pPr>
        <w:pStyle w:val="Tekstpodstawowy21"/>
        <w:tabs>
          <w:tab w:val="left" w:pos="426" w:leader="none"/>
          <w:tab w:val="left" w:pos="567" w:leader="none"/>
        </w:tabs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Nie dotyczy.</w:t>
      </w:r>
    </w:p>
    <w:p>
      <w:pPr>
        <w:pStyle w:val="BodyText3"/>
        <w:spacing w:before="0" w:after="0"/>
        <w:jc w:val="center"/>
        <w:rPr>
          <w:rFonts w:ascii="Times New Roman" w:hAnsi="Times New Roman"/>
          <w:b/>
          <w:b/>
        </w:rPr>
      </w:pPr>
      <w:r>
        <w:rPr>
          <w:sz w:val="23"/>
          <w:szCs w:val="23"/>
        </w:rPr>
      </w:r>
    </w:p>
    <w:p>
      <w:pPr>
        <w:pStyle w:val="BodyText3"/>
        <w:spacing w:before="0" w:after="0"/>
        <w:jc w:val="center"/>
        <w:rPr>
          <w:rFonts w:ascii="Times New Roman" w:hAnsi="Times New Roman"/>
          <w:b/>
          <w:b/>
        </w:rPr>
      </w:pPr>
      <w:r>
        <w:rPr>
          <w:sz w:val="23"/>
          <w:szCs w:val="23"/>
        </w:rPr>
      </w:r>
    </w:p>
    <w:p>
      <w:pPr>
        <w:pStyle w:val="BodyText3"/>
        <w:spacing w:before="0" w:after="0"/>
        <w:jc w:val="center"/>
        <w:rPr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UZASADNIENIE </w:t>
      </w:r>
    </w:p>
    <w:p>
      <w:pPr>
        <w:pStyle w:val="BodyText3"/>
        <w:spacing w:before="0" w:after="0"/>
        <w:jc w:val="center"/>
        <w:rPr>
          <w:rFonts w:ascii="Times New Roman" w:hAnsi="Times New Roman"/>
          <w:b/>
          <w:b/>
        </w:rPr>
      </w:pPr>
      <w:r>
        <w:rPr>
          <w:sz w:val="23"/>
          <w:szCs w:val="23"/>
        </w:rPr>
      </w:r>
    </w:p>
    <w:p>
      <w:pPr>
        <w:pStyle w:val="BodyText3"/>
        <w:spacing w:before="0" w:after="0"/>
        <w:ind w:firstLine="54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 dniu 22 czerwca 2021 r. (data wpływu) </w:t>
      </w:r>
      <w:r>
        <w:rPr>
          <w:rFonts w:ascii="Times New Roman" w:hAnsi="Times New Roman"/>
          <w:b/>
          <w:bCs/>
          <w:sz w:val="23"/>
          <w:szCs w:val="23"/>
        </w:rPr>
        <w:t xml:space="preserve">Gmina Janikowo z siedzibą: ul. Przemysłowa  6, 88-160 Janikowo </w:t>
      </w:r>
      <w:r>
        <w:rPr>
          <w:rFonts w:ascii="Times New Roman" w:hAnsi="Times New Roman"/>
          <w:sz w:val="23"/>
          <w:szCs w:val="23"/>
        </w:rPr>
        <w:t>wystąpiła o ustalenie lokalizacji inwestycji celu publicznego polegającej na przebudowie zagospodarowania terenu plaży przy Jeziorze Pakoskim w m. Janikowo – realizacja inwestycji na działkach nr ewid. 4/1, 4/3, 148/2, 148/8 obręb ewidencyjny 2  miasto Janikowo oraz na działkach nr ewid. 19/4, 1/2, obręb ewidencyjny 3  miasto Janikowo, gmina Janikowo.</w:t>
      </w:r>
    </w:p>
    <w:p>
      <w:pPr>
        <w:pStyle w:val="BodyText3"/>
        <w:spacing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WWTekstpodstawowy3"/>
        <w:spacing w:before="0" w:after="0"/>
        <w:ind w:firstLine="54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Rozpatrując wniosek stwierdzono, iż zgodnie z art. 6 pkt 6 i 9c ustawy z dnia 21 sierpnia 1997 r. o gospodarce nieruchomościami (</w:t>
      </w:r>
      <w:bookmarkStart w:id="4" w:name="_Hlk505749374"/>
      <w:r>
        <w:rPr>
          <w:rFonts w:ascii="Times New Roman" w:hAnsi="Times New Roman"/>
          <w:sz w:val="23"/>
          <w:szCs w:val="23"/>
        </w:rPr>
        <w:t xml:space="preserve">tekst jednolity: </w:t>
      </w:r>
      <w:bookmarkEnd w:id="4"/>
      <w:r>
        <w:rPr>
          <w:rFonts w:ascii="Times New Roman" w:hAnsi="Times New Roman"/>
          <w:sz w:val="23"/>
          <w:szCs w:val="23"/>
        </w:rPr>
        <w:t xml:space="preserve">Dz. U. z 2020 r., poz. 1990 ze zm.) wnioskowane zamierzenie zaliczone jest do inwestycji celu publicznego. Projektowana inwestycja ma charakter i zasięg gminny wobec powyższego, dla obszaru objętego wnioskiem, przedmiotową decyzję, zgodnie z art. 51 ust.1 pkt 2 ww. ustawy, wydaje Burmistrz. </w:t>
      </w:r>
    </w:p>
    <w:p>
      <w:pPr>
        <w:pStyle w:val="NormalIMP"/>
        <w:spacing w:lineRule="auto" w:line="240"/>
        <w:ind w:firstLine="540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Zgodnie z art. 53 ust. 1 ww. ustawy o wszczęciu i przebiegu postępowania w sprawie wydania decyzji o ustaleniu lokalizacji inwestycji celu publicznego w sposób zwyczajowo przyjęty ogłoszono przez ogłoszenia na tablicy ogłoszeń, a wnioskodawcę oraz właścicieli i użytkowników nieruchomości, której dotyczy inwestycja zawiadomiono na piśmie. Strony postępowania administracyjnego ustalono na podstawie ewidencji gruntów i budynków prowadzonej przez Starostwo Powiatowe w Inowrocławiu.</w:t>
      </w:r>
    </w:p>
    <w:p>
      <w:pPr>
        <w:pStyle w:val="BodyText3"/>
        <w:spacing w:before="0" w:after="0"/>
        <w:ind w:firstLine="53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IMP"/>
        <w:spacing w:lineRule="auto" w:line="240"/>
        <w:ind w:firstLine="540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 toku przeprowadzonego postępowania administracyjnego dokonano analizy warunków i zasad zagospodarowania terenu oraz jego zabudowy, wynikających z przepisów odrębnych, a także stanu faktycznego i prawnego terenu, na którym przewiduje się realizację inwestycji: </w:t>
      </w:r>
    </w:p>
    <w:p>
      <w:pPr>
        <w:pStyle w:val="BodyText3"/>
        <w:numPr>
          <w:ilvl w:val="0"/>
          <w:numId w:val="6"/>
        </w:numPr>
        <w:spacing w:before="0" w:after="0"/>
        <w:ind w:left="284" w:hanging="284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Analizując wniosek oraz ustalenia studium uwarunkowań i kierunków zagospodarowania przestrzennego gminy i miasta Janikowo uchwalonego uchwałą nr XIX/159/2016 Rady Miejskiej w Janikowie z dnia 27 września 2016 r., Burmistrz stwierdził, że nie zachodzi okoliczność wynikająca z art. 62. ust. 2 ustawy o planowaniu i zagospodarowaniu przestrzennym, a dotycząca obowiązku sporządzenia miejscowego planu zagospodarowania przestrzennego dla obszaru objętego wnioskiem</w:t>
      </w:r>
      <w:r>
        <w:rPr>
          <w:rFonts w:cs="Times New Roman" w:ascii="Times New Roman" w:hAnsi="Times New Roman"/>
          <w:sz w:val="23"/>
          <w:szCs w:val="23"/>
        </w:rPr>
        <w:t xml:space="preserve">. </w:t>
      </w:r>
    </w:p>
    <w:p>
      <w:pPr>
        <w:pStyle w:val="WWTekstpodstawowy3"/>
        <w:numPr>
          <w:ilvl w:val="0"/>
          <w:numId w:val="6"/>
        </w:numPr>
        <w:spacing w:before="0" w:after="0"/>
        <w:ind w:left="284" w:hanging="284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Teren wnioskowanej inwestycji:</w:t>
      </w:r>
    </w:p>
    <w:p>
      <w:pPr>
        <w:pStyle w:val="WWTekstpodstawowy3"/>
        <w:numPr>
          <w:ilvl w:val="0"/>
          <w:numId w:val="7"/>
        </w:numPr>
        <w:tabs>
          <w:tab w:val="clear" w:pos="708"/>
        </w:tabs>
        <w:spacing w:before="0" w:after="0"/>
        <w:ind w:left="567" w:hanging="283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nie jest objęty ustaleniami miejscowego planu zagospodarowania przestrzennego,</w:t>
      </w:r>
    </w:p>
    <w:p>
      <w:pPr>
        <w:pStyle w:val="WWTekstpodstawowy3"/>
        <w:numPr>
          <w:ilvl w:val="0"/>
          <w:numId w:val="7"/>
        </w:numPr>
        <w:tabs>
          <w:tab w:val="clear" w:pos="708"/>
          <w:tab w:val="left" w:pos="567" w:leader="none"/>
        </w:tabs>
        <w:spacing w:before="0" w:after="0"/>
        <w:ind w:left="567" w:hanging="283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nie znajduje się na obszarze objętym ochroną z tytułu ustawy </w:t>
      </w:r>
      <w:bookmarkStart w:id="5" w:name="_Hlk506796204"/>
      <w:r>
        <w:rPr>
          <w:rFonts w:ascii="Times New Roman" w:hAnsi="Times New Roman"/>
          <w:sz w:val="23"/>
          <w:szCs w:val="23"/>
        </w:rPr>
        <w:t>z dnia 16 kwietnia 2004 r. o ochronie przyrody (Dz. U. z 2020 r., poz. 55 ze zm.)</w:t>
      </w:r>
      <w:bookmarkEnd w:id="5"/>
      <w:r>
        <w:rPr>
          <w:rFonts w:ascii="Times New Roman" w:hAnsi="Times New Roman"/>
          <w:sz w:val="23"/>
          <w:szCs w:val="23"/>
        </w:rPr>
        <w:t>,</w:t>
      </w:r>
    </w:p>
    <w:p>
      <w:pPr>
        <w:pStyle w:val="WWTekstpodstawowy3"/>
        <w:numPr>
          <w:ilvl w:val="0"/>
          <w:numId w:val="7"/>
        </w:numPr>
        <w:spacing w:before="0" w:after="0"/>
        <w:ind w:left="567" w:hanging="283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znajduje się w strefie ochrony konserwatorskiej z tytułu ustawy z dnia 23 lipca 2003r. o ochronie zabytków i opiece nad zabytkami (tekst jednolity: Dz. U. z 2020 r. poz. 282 ze zm.),</w:t>
      </w:r>
    </w:p>
    <w:p>
      <w:pPr>
        <w:pStyle w:val="WWTekstpodstawowy3"/>
        <w:numPr>
          <w:ilvl w:val="0"/>
          <w:numId w:val="7"/>
        </w:numPr>
        <w:spacing w:before="0" w:after="0"/>
        <w:ind w:left="567" w:hanging="283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nie znajduje się w strefie ochrony terenów górniczych, narażonych na niebezpieczeństwo powodzi oraz zagrożonych osuwaniem się mas ziemnych,</w:t>
      </w:r>
    </w:p>
    <w:p>
      <w:pPr>
        <w:pStyle w:val="WWTekstpodstawowy3"/>
        <w:numPr>
          <w:ilvl w:val="0"/>
          <w:numId w:val="7"/>
        </w:numPr>
        <w:spacing w:before="0" w:after="0"/>
        <w:ind w:left="567" w:hanging="283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nie stanowi dróg publicznych.</w:t>
      </w:r>
    </w:p>
    <w:p>
      <w:pPr>
        <w:pStyle w:val="WWTekstpodstawowy3"/>
        <w:spacing w:before="0" w:after="0"/>
        <w:ind w:firstLine="54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BodyText3"/>
        <w:ind w:firstLine="539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 xml:space="preserve">Projekt decyzji uzgodniono: z Wojewódzkim Konserwatorem Zabytków zgodnie z art. 53 ust. 4 pkt 2 ww. ustawy w odniesieniu do obszarów i obiektów objętych ochroną konserwatorską oraz z Państwowym Gospodarstwem Wodnym Wody Polskie Zarząd Zlewni Inowrocław w sprawach ochrony melioracji zgodnie z art. 53 ust. 4 pkt 6 ww. ustawy. Stwierdzając zgodność planowanej inwestycji z przepisami odrębnymi należało orzec jak w sentencji niniejszej decyzji. </w:t>
      </w:r>
    </w:p>
    <w:p>
      <w:pPr>
        <w:pStyle w:val="Tretekstu"/>
        <w:spacing w:before="240" w:after="120"/>
        <w:ind w:firstLine="709"/>
        <w:jc w:val="both"/>
        <w:rPr>
          <w:sz w:val="23"/>
          <w:szCs w:val="23"/>
        </w:rPr>
      </w:pPr>
      <w:r>
        <w:rPr>
          <w:rFonts w:cs="Arial"/>
          <w:sz w:val="23"/>
          <w:szCs w:val="23"/>
        </w:rPr>
        <w:t>Zgodnie z przepisem art. 4 ust. 2 pkt 1 ustawy o planowaniu i zagospodarowaniu przestrzennym w przypadku braku miejscowego planu zagospodarowania przestrzennego określenie sposobów zagospodarowania i warunków zabudowy terenu następuje w drodze decyzji o warunkach zabudowy i zagospodarowania terenu, przy czym lokalizację inwestycji celu publicznego ustala się w drodze decyzji o lokalizacji inwestycji celu publicznego. W związku z brakiem planu miejscowego na podstawie art. 4 ust. 2 pkt 2 Ustawy z dnia 27 marca 2003 r. o planowaniu i zagospodarowaniu przestrzennym (tekst jednolity: Dz. U. z 2021 r. poz. 7410ze zm.) określenie sposobów zagospodarowania i warunków zabudowy terenu następuje w drodze ww. decyzji, której sporządzenie powierza się osobom spełniającym wymóg art. 50 ust 4 w nawiązaniu do art. 5 pkt 3 ww. ustawy. Projekt niniejszej decyzji przygotowała osoba posiadająca kwalifikacje do wykonywania zawodu urbanisty na terytorium Rzeczypospolitej Polskiej uzyskane na podstawie ustawy z dnia 15 grudnia 2000 r. o samorządach zawodowych architektów, inżynierów budownictwa oraz urbanistów (Dz. U. z 2013 r. poz. 932 i 1650).</w:t>
      </w:r>
    </w:p>
    <w:p>
      <w:pPr>
        <w:pStyle w:val="Tretekstu"/>
        <w:spacing w:before="0" w:after="0"/>
        <w:ind w:firstLine="709"/>
        <w:jc w:val="both"/>
        <w:rPr>
          <w:sz w:val="23"/>
          <w:szCs w:val="23"/>
        </w:rPr>
      </w:pPr>
      <w:r>
        <w:rPr>
          <w:rFonts w:cs="Arial"/>
          <w:sz w:val="23"/>
          <w:szCs w:val="23"/>
        </w:rPr>
        <w:t xml:space="preserve">Z przeprowadzonej analizy wynika, iż możliwe jest wydanie decyzji o ustaleniu lokalizacji inwestycji celu publicznego, gdyż w rozpatrywanym przypadku spełnione są wymogi prawne oraz nie występuje sprzeczność zamierzenia z przepisami odrębnymi. </w:t>
      </w:r>
    </w:p>
    <w:p>
      <w:pPr>
        <w:pStyle w:val="NormalIMP"/>
        <w:spacing w:lineRule="auto" w:line="240"/>
        <w:ind w:firstLine="540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Burmistrz zapewnił stronom czynny udział w każdym etapie postępowania, a przed wydaniem decyzji umożliwił im wypowiedzenie się co do zebranych dowodów i materiałów oraz zgłoszonych żądań (Art. 10 § 1 K.p.a). Stwierdzając zgodność planowanej inwestycji z przepisami odrębnymi należało orzec jak w sentencji niniejszej decyzji. </w:t>
      </w:r>
    </w:p>
    <w:p>
      <w:pPr>
        <w:pStyle w:val="NormalIMP"/>
        <w:spacing w:lineRule="auto" w:line="240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 mocy ustawy z dnia 27 marca 2003 r. o planowaniu i zagospodarowaniu przestrzennym:</w:t>
      </w:r>
    </w:p>
    <w:p>
      <w:pPr>
        <w:pStyle w:val="NormalIMP"/>
        <w:numPr>
          <w:ilvl w:val="0"/>
          <w:numId w:val="10"/>
        </w:numPr>
        <w:tabs>
          <w:tab w:val="clear" w:pos="708"/>
          <w:tab w:val="left" w:pos="-1134" w:leader="none"/>
        </w:tabs>
        <w:overflowPunct w:val="true"/>
        <w:spacing w:lineRule="auto" w:line="240"/>
        <w:ind w:left="284" w:hanging="284"/>
        <w:jc w:val="both"/>
        <w:textAlignment w:val="auto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niniejsza decyzja wiąże organ wydający decyzję o pozwoleniu na budowę (art. 55),</w:t>
      </w:r>
    </w:p>
    <w:p>
      <w:pPr>
        <w:pStyle w:val="NormalIMP"/>
        <w:numPr>
          <w:ilvl w:val="0"/>
          <w:numId w:val="10"/>
        </w:numPr>
        <w:tabs>
          <w:tab w:val="clear" w:pos="708"/>
          <w:tab w:val="left" w:pos="-1134" w:leader="none"/>
        </w:tabs>
        <w:overflowPunct w:val="true"/>
        <w:spacing w:lineRule="auto" w:line="240"/>
        <w:ind w:left="284" w:hanging="284"/>
        <w:jc w:val="both"/>
        <w:textAlignment w:val="auto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jeżeli decyzja wywołuje skutki, o których mowa w art. 36 ustawy, przepisy art. 36 oraz art. 37 stosuje się odpowiednio (art. 58 ust. 2),</w:t>
      </w:r>
    </w:p>
    <w:p>
      <w:pPr>
        <w:pStyle w:val="NormalIMP"/>
        <w:numPr>
          <w:ilvl w:val="0"/>
          <w:numId w:val="10"/>
        </w:numPr>
        <w:tabs>
          <w:tab w:val="clear" w:pos="708"/>
          <w:tab w:val="left" w:pos="-1134" w:leader="none"/>
        </w:tabs>
        <w:overflowPunct w:val="true"/>
        <w:spacing w:lineRule="auto" w:line="240"/>
        <w:ind w:left="284" w:hanging="284"/>
        <w:jc w:val="both"/>
        <w:textAlignment w:val="auto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organ, który wydał decyzję o ustaleniu lokalizacji inwestycji celu publicznego, stwierdza jej wygaśnięcie (art. 65 ust. 1 i 2), jeżeli:</w:t>
      </w:r>
    </w:p>
    <w:p>
      <w:pPr>
        <w:pStyle w:val="NormalIMP"/>
        <w:spacing w:lineRule="auto" w:line="240"/>
        <w:ind w:left="426" w:hanging="142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  <w:tab/>
        <w:t xml:space="preserve">inny wnioskodawca uzyskał pozwolenie na budowę z wyjątkiem przypadku jeżeli została wydana ostateczna decyzja o pozwoleniu na budowę, </w:t>
      </w:r>
    </w:p>
    <w:p>
      <w:pPr>
        <w:pStyle w:val="NormalIMP"/>
        <w:spacing w:lineRule="auto" w:line="240" w:before="0" w:after="120"/>
        <w:ind w:left="426" w:hanging="142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  <w:tab/>
        <w:t>dla tego terenu uchwalono plan miejscowy, którego ustalenia są inne niż w wydanej decyzji.</w:t>
      </w:r>
    </w:p>
    <w:p>
      <w:pPr>
        <w:pStyle w:val="Tekstpodstawowy21"/>
        <w:tabs>
          <w:tab w:val="clear" w:pos="426"/>
          <w:tab w:val="left" w:pos="708" w:leader="none"/>
        </w:tabs>
        <w:suppressAutoHyphens w:val="false"/>
        <w:jc w:val="center"/>
        <w:rPr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Pouczenie</w:t>
      </w:r>
    </w:p>
    <w:p>
      <w:pPr>
        <w:pStyle w:val="BodyText3"/>
        <w:spacing w:before="0" w:after="0"/>
        <w:ind w:firstLine="539"/>
        <w:rPr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Od niniejszej decyzji służy stronom odwołanie do Samorządowego Kolegium Odwoławczego w Bydgoszczy, które należy wnieść za pośrednictwem </w:t>
      </w:r>
      <w:r>
        <w:rPr>
          <w:rFonts w:ascii="Times New Roman" w:hAnsi="Times New Roman"/>
          <w:sz w:val="23"/>
          <w:szCs w:val="23"/>
        </w:rPr>
        <w:t>Burmistrza Gminy i Miasta Janikowa</w:t>
      </w:r>
      <w:r>
        <w:rPr>
          <w:rFonts w:cs="Times New Roman" w:ascii="Times New Roman" w:hAnsi="Times New Roman"/>
          <w:sz w:val="23"/>
          <w:szCs w:val="23"/>
        </w:rPr>
        <w:t xml:space="preserve">  w terminie 14 dni od daty doręczenia. </w:t>
      </w:r>
    </w:p>
    <w:p>
      <w:pPr>
        <w:pStyle w:val="BodyText3"/>
        <w:spacing w:before="0" w:after="0"/>
        <w:ind w:firstLine="539"/>
        <w:rPr>
          <w:sz w:val="23"/>
          <w:szCs w:val="23"/>
        </w:rPr>
      </w:pPr>
      <w:bookmarkStart w:id="6" w:name="_Hlk487432118"/>
      <w:r>
        <w:rPr>
          <w:rFonts w:cs="Times New Roman" w:ascii="Times New Roman" w:hAnsi="Times New Roman"/>
          <w:sz w:val="23"/>
          <w:szCs w:val="23"/>
        </w:rPr>
        <w:t>Zgodnie z art. 127a § 1 i 2 ustawy z dnia 14 czerwca 1960 r. Kodeks postępowania administracyjnego (tekst jednolity: Dz. U. z 2021 r. poz. 735 ze zm.) w trakcie biegu terminu do wniesienia odwołania strona może zrzec się prawa do wniesienia odwołania wobec organu administracji publicznej, który wydał decyzję</w:t>
      </w:r>
      <w:bookmarkEnd w:id="6"/>
      <w:r>
        <w:rPr>
          <w:rFonts w:cs="Times New Roman" w:ascii="Times New Roman" w:hAnsi="Times New Roman"/>
          <w:sz w:val="23"/>
          <w:szCs w:val="23"/>
        </w:rPr>
        <w:t xml:space="preserve">. </w:t>
      </w:r>
    </w:p>
    <w:p>
      <w:pPr>
        <w:pStyle w:val="BodyText3"/>
        <w:spacing w:before="0" w:after="0"/>
        <w:ind w:firstLine="539"/>
        <w:rPr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Z dniem doręczenia organowi administracji publicznej oświadczenia o zrzeczeniu się prawa do wniesienia odwołania przez ostatnią ze stron postępowania, decyzja staje się ostateczna i prawomocna. Wobec powyższego zrzeczenie się przez stronę postępowania prawa do wniesienia odwołania skutkuje brakiem możliwości zaskarżenia takiej decyzji do Wojewódzkiego Sądu Administracyjnego.</w:t>
      </w:r>
    </w:p>
    <w:p>
      <w:pPr>
        <w:pStyle w:val="Normal"/>
        <w:ind w:left="5664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664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664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664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/>
        <w:ind w:left="0" w:right="0" w:firstLine="708"/>
        <w:jc w:val="both"/>
        <w:rPr>
          <w:rFonts w:ascii="TimesNewRomanPSMT" w:hAnsi="TimesNewRomanPSMT" w:eastAsia="Times New Roman" w:cs="TimesNewRomanPSMT"/>
          <w:b w:val="false"/>
          <w:b w:val="false"/>
          <w:bCs w:val="false"/>
          <w:color w:val="000000"/>
          <w:sz w:val="24"/>
          <w:szCs w:val="22"/>
          <w:highlight w:val="white"/>
          <w:lang w:bidi="en-US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z w:val="24"/>
          <w:szCs w:val="22"/>
          <w:highlight w:val="white"/>
          <w:lang w:bidi="en-US"/>
        </w:rPr>
        <w:t xml:space="preserve">         </w:t>
      </w:r>
      <w:r>
        <w:rPr>
          <w:rFonts w:eastAsia="Times New Roman" w:cs="TimesNewRomanPSMT" w:ascii="TimesNewRomanPSMT" w:hAnsi="TimesNewRomanPSMT"/>
          <w:b w:val="false"/>
          <w:bCs w:val="false"/>
          <w:color w:val="000000"/>
          <w:sz w:val="24"/>
          <w:szCs w:val="22"/>
          <w:highlight w:val="white"/>
          <w:lang w:bidi="en-US"/>
        </w:rPr>
        <w:tab/>
        <w:tab/>
        <w:tab/>
        <w:tab/>
        <w:tab/>
        <w:tab/>
        <w:tab/>
        <w:tab/>
        <w:t>BURMISTRZ</w:t>
      </w:r>
    </w:p>
    <w:p>
      <w:pPr>
        <w:pStyle w:val="Normal"/>
        <w:jc w:val="left"/>
        <w:rPr>
          <w:rFonts w:ascii="TimesNewRomanPSMT" w:hAnsi="TimesNewRomanPSMT" w:cs="TimesNewRomanPSMT"/>
          <w:sz w:val="24"/>
        </w:rPr>
      </w:pPr>
      <w:r>
        <w:rPr>
          <w:rFonts w:cs="TimesNewRomanPSMT" w:ascii="TimesNewRomanPSMT" w:hAnsi="TimesNewRomanPSMT"/>
          <w:sz w:val="24"/>
        </w:rPr>
        <w:tab/>
        <w:tab/>
        <w:t xml:space="preserve">   </w:t>
        <w:tab/>
        <w:tab/>
        <w:tab/>
        <w:tab/>
        <w:tab/>
        <w:tab/>
        <w:tab/>
        <w:t xml:space="preserve">     GMINY I MIASTA JANIKOWO</w:t>
      </w:r>
    </w:p>
    <w:p>
      <w:pPr>
        <w:pStyle w:val="Normal"/>
        <w:spacing w:lineRule="atLeast" w:line="100"/>
        <w:ind w:left="0" w:right="0" w:firstLine="708"/>
        <w:jc w:val="both"/>
        <w:rPr>
          <w:rFonts w:ascii="TimesNewRomanPSMT" w:hAnsi="TimesNewRomanPSMT" w:eastAsia="Times New Roman" w:cs="TimesNewRomanPSMT"/>
          <w:b w:val="false"/>
          <w:b w:val="false"/>
          <w:bCs w:val="false"/>
          <w:color w:val="000000"/>
          <w:sz w:val="24"/>
          <w:szCs w:val="22"/>
          <w:highlight w:val="white"/>
          <w:lang w:bidi="en-US"/>
        </w:rPr>
      </w:pPr>
      <w:r>
        <w:rPr>
          <w:rFonts w:eastAsia="Times New Roman" w:cs="TimesNewRomanPSMT" w:ascii="TimesNewRomanPSMT" w:hAnsi="TimesNewRomanPSMT"/>
          <w:b w:val="false"/>
          <w:bCs w:val="false"/>
          <w:color w:val="000000"/>
          <w:sz w:val="24"/>
          <w:szCs w:val="22"/>
          <w:highlight w:val="white"/>
          <w:lang w:bidi="en-US"/>
        </w:rPr>
        <w:tab/>
        <w:t xml:space="preserve">                                                                              Andrzej Brzeziński</w:t>
      </w:r>
    </w:p>
    <w:p>
      <w:pPr>
        <w:pStyle w:val="Normal"/>
        <w:spacing w:lineRule="atLeast" w:line="10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shd w:fill="FFFFFF" w:val="clear"/>
          <w:lang w:bidi="en-US"/>
        </w:rPr>
      </w:r>
    </w:p>
    <w:p>
      <w:pPr>
        <w:pStyle w:val="Normal"/>
        <w:ind w:left="5664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664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664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4536" w:hanging="0"/>
        <w:rPr>
          <w:rFonts w:ascii="Times New Roman" w:hAnsi="Times New Roman"/>
          <w:sz w:val="16"/>
          <w:szCs w:val="16"/>
        </w:rPr>
      </w:pPr>
      <w:r>
        <w:rPr>
          <w:b/>
          <w:sz w:val="16"/>
          <w:szCs w:val="16"/>
          <w:u w:val="single"/>
        </w:rPr>
        <w:t xml:space="preserve">Załącznik: </w:t>
      </w:r>
    </w:p>
    <w:p>
      <w:pPr>
        <w:pStyle w:val="ListParagraph"/>
        <w:numPr>
          <w:ilvl w:val="3"/>
          <w:numId w:val="5"/>
        </w:numPr>
        <w:tabs>
          <w:tab w:val="clear" w:pos="708"/>
          <w:tab w:val="left" w:pos="284" w:leader="none"/>
        </w:tabs>
        <w:ind w:left="0" w:right="4536" w:hanging="0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część graficzna –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załącznik nr 1.</w:t>
      </w:r>
    </w:p>
    <w:p>
      <w:pPr>
        <w:pStyle w:val="ListParagraph"/>
        <w:tabs>
          <w:tab w:val="clear" w:pos="708"/>
          <w:tab w:val="left" w:pos="284" w:leader="none"/>
        </w:tabs>
        <w:ind w:left="0" w:right="4536" w:hanging="0"/>
        <w:rPr>
          <w:rFonts w:ascii="Times New Roman" w:hAnsi="Times New Roman"/>
          <w:sz w:val="16"/>
          <w:szCs w:val="16"/>
        </w:rPr>
      </w:pPr>
      <w:r>
        <w:rPr>
          <w:b/>
          <w:sz w:val="16"/>
          <w:szCs w:val="16"/>
          <w:u w:val="single"/>
        </w:rPr>
        <w:t>Otrzymują:</w:t>
      </w:r>
    </w:p>
    <w:p>
      <w:pPr>
        <w:pStyle w:val="ListParagraph"/>
        <w:numPr>
          <w:ilvl w:val="3"/>
          <w:numId w:val="4"/>
        </w:numPr>
        <w:tabs>
          <w:tab w:val="clear" w:pos="708"/>
          <w:tab w:val="left" w:pos="284" w:leader="none"/>
        </w:tabs>
        <w:ind w:left="284" w:right="4536" w:hanging="284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wnioskodawca</w:t>
      </w:r>
    </w:p>
    <w:p>
      <w:pPr>
        <w:pStyle w:val="ListParagraph"/>
        <w:numPr>
          <w:ilvl w:val="3"/>
          <w:numId w:val="4"/>
        </w:numPr>
        <w:tabs>
          <w:tab w:val="clear" w:pos="708"/>
          <w:tab w:val="left" w:pos="284" w:leader="none"/>
        </w:tabs>
        <w:ind w:left="2880" w:right="4536" w:hanging="2880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inne strony postępowania</w:t>
      </w:r>
    </w:p>
    <w:p>
      <w:pPr>
        <w:pStyle w:val="Normal"/>
        <w:tabs>
          <w:tab w:val="clear" w:pos="708"/>
          <w:tab w:val="left" w:pos="284" w:leader="none"/>
        </w:tabs>
        <w:ind w:right="4536" w:hanging="0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ab/>
        <w:t>(zgodnie z rozdzielnikiem Urzędu Miejskiego w Janikowie)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NewRomanPSMT">
    <w:charset w:val="ee"/>
    <w:family w:val="roman"/>
    <w:pitch w:val="variable"/>
  </w:font>
  <w:font w:name="Times New Roman">
    <w:charset w:val="8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010" cy="17462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447.3pt;margin-top:0.05pt;width:6.2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8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89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59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4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0d1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da0d16"/>
    <w:pPr>
      <w:keepNext w:val="true"/>
      <w:jc w:val="center"/>
      <w:outlineLvl w:val="1"/>
    </w:pPr>
    <w:rPr>
      <w:rFonts w:ascii="Arial" w:hAnsi="Arial" w:cs="Arial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da0d16"/>
    <w:rPr>
      <w:rFonts w:ascii="Arial" w:hAnsi="Arial" w:eastAsia="Times New Roman" w:cs="Arial"/>
      <w:b/>
      <w:sz w:val="32"/>
      <w:szCs w:val="24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da0d16"/>
    <w:rPr>
      <w:rFonts w:ascii="Arial" w:hAnsi="Arial" w:eastAsia="Times New Roman" w:cs="Arial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qFormat/>
    <w:rsid w:val="00da0d1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qFormat/>
    <w:rsid w:val="00da0d16"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da0d1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966e6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da0d16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podstawowy21" w:customStyle="1">
    <w:name w:val="Tekst podstawowy 21"/>
    <w:basedOn w:val="Normal"/>
    <w:qFormat/>
    <w:rsid w:val="00da0d16"/>
    <w:pPr>
      <w:tabs>
        <w:tab w:val="clear" w:pos="708"/>
        <w:tab w:val="left" w:pos="426" w:leader="none"/>
      </w:tabs>
      <w:suppressAutoHyphens w:val="true"/>
      <w:jc w:val="both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link w:val="Tekstpodstawowy3Znak"/>
    <w:qFormat/>
    <w:rsid w:val="00da0d16"/>
    <w:pPr>
      <w:spacing w:before="0" w:after="120"/>
      <w:jc w:val="both"/>
    </w:pPr>
    <w:rPr>
      <w:rFonts w:ascii="Arial" w:hAnsi="Arial" w:cs="Arial"/>
    </w:rPr>
  </w:style>
  <w:style w:type="paragraph" w:styleId="NormalIMP" w:customStyle="1">
    <w:name w:val="Normal_IMP"/>
    <w:basedOn w:val="Normal"/>
    <w:qFormat/>
    <w:rsid w:val="00da0d16"/>
    <w:pPr>
      <w:suppressAutoHyphens w:val="true"/>
      <w:overflowPunct w:val="false"/>
      <w:spacing w:lineRule="auto" w:line="228"/>
      <w:textAlignment w:val="baseline"/>
    </w:pPr>
    <w:rPr>
      <w:rFonts w:ascii="Arial" w:hAnsi="Arial"/>
      <w:sz w:val="20"/>
      <w:szCs w:val="20"/>
    </w:rPr>
  </w:style>
  <w:style w:type="paragraph" w:styleId="WWTekstpodstawowy3" w:customStyle="1">
    <w:name w:val="WW-Tekst podstawowy 3"/>
    <w:basedOn w:val="Normal"/>
    <w:qFormat/>
    <w:rsid w:val="00da0d16"/>
    <w:pPr>
      <w:spacing w:before="0" w:after="120"/>
      <w:jc w:val="both"/>
    </w:pPr>
    <w:rPr>
      <w:rFonts w:ascii="Arial" w:hAnsi="Arial" w:cs="Arial"/>
      <w:sz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da0d1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a0d16"/>
    <w:pPr>
      <w:spacing w:before="0" w:after="0"/>
      <w:ind w:left="720" w:hanging="0"/>
      <w:contextualSpacing/>
    </w:pPr>
    <w:rPr/>
  </w:style>
  <w:style w:type="paragraph" w:styleId="ZLITPKT8211" w:customStyle="1">
    <w:name w:val="Z_LIT/PKT &amp;#8211"/>
    <w:basedOn w:val="Normal"/>
    <w:qFormat/>
    <w:rsid w:val="00da0d16"/>
    <w:pPr>
      <w:spacing w:lineRule="auto" w:line="360"/>
      <w:ind w:left="1497" w:hanging="510"/>
      <w:jc w:val="both"/>
    </w:pPr>
    <w:rPr>
      <w:rFonts w:ascii="Times" w:hAnsi="Times" w:cs="Time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66e6"/>
    <w:pPr/>
    <w:rPr>
      <w:rFonts w:ascii="Segoe UI" w:hAnsi="Segoe UI" w:cs="Segoe UI"/>
      <w:sz w:val="18"/>
      <w:szCs w:val="18"/>
    </w:rPr>
  </w:style>
  <w:style w:type="paragraph" w:styleId="Tekstpodstawowy211" w:customStyle="1">
    <w:name w:val="Tekst podstawowy 211"/>
    <w:basedOn w:val="Normal"/>
    <w:qFormat/>
    <w:rsid w:val="000a787c"/>
    <w:pPr>
      <w:tabs>
        <w:tab w:val="clear" w:pos="708"/>
        <w:tab w:val="left" w:pos="426" w:leader="none"/>
      </w:tabs>
      <w:suppressAutoHyphens w:val="true"/>
      <w:jc w:val="both"/>
    </w:pPr>
    <w:rPr>
      <w:rFonts w:ascii="Arial" w:hAnsi="Arial"/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qFormat/>
    <w:rsid w:val="00da0d1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LibreOffice/6.4.5.2$Windows_X86_64 LibreOffice_project/a726b36747cf2001e06b58ad5db1aa3a9a1872d6</Application>
  <Pages>6</Pages>
  <Words>2809</Words>
  <Characters>17011</Characters>
  <CharactersWithSpaces>20094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2021-07-02T10:10:00Z</dcterms:created>
  <dc:creator>Agnieszka Kujath-Jaworska</dc:creator>
  <dc:description/>
  <dc:language>pl-PL</dc:language>
  <cp:lastModifiedBy/>
  <cp:lastPrinted>2021-08-11T10:29:49Z</cp:lastPrinted>
  <dcterms:modified xsi:type="dcterms:W3CDTF">2021-08-11T10:46:29Z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