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
    </w:p>
    <w:p>
      <w:pPr>
        <w:pStyle w:val="Normal"/>
        <w:ind w:firstLine="5400"/>
        <w:jc w:val="right"/>
        <w:rPr>
          <w:rFonts w:ascii="Arial Narrow" w:hAnsi="Arial Narrow" w:cs="Arial"/>
          <w:sz w:val="20"/>
        </w:rPr>
      </w:pPr>
      <w:r>
        <w:rPr>
          <w:rFonts w:cs="Arial" w:ascii="Arial Narrow" w:hAnsi="Arial Narrow"/>
          <w:sz w:val="20"/>
        </w:rPr>
        <w:t>Janikowo, dnia               .2021 r.</w:t>
      </w:r>
    </w:p>
    <w:p>
      <w:pPr>
        <w:pStyle w:val="NormalIMP"/>
        <w:suppressAutoHyphens w:val="false"/>
        <w:overflowPunct w:val="false"/>
        <w:spacing w:lineRule="auto" w:line="240"/>
        <w:textAlignment w:val="auto"/>
        <w:rPr>
          <w:rFonts w:ascii="Arial Narrow" w:hAnsi="Arial Narrow" w:cs="Arial"/>
          <w:szCs w:val="24"/>
        </w:rPr>
      </w:pPr>
      <w:r>
        <w:rPr>
          <w:rFonts w:cs="Arial" w:ascii="Arial Narrow" w:hAnsi="Arial Narrow"/>
          <w:szCs w:val="24"/>
        </w:rPr>
        <w:t>RIT.GP.6733.</w:t>
      </w:r>
      <w:r>
        <w:rPr>
          <w:rFonts w:eastAsia="Times New Roman" w:cs="Arial" w:ascii="Arial Narrow" w:hAnsi="Arial Narrow"/>
          <w:sz w:val="20"/>
          <w:szCs w:val="24"/>
          <w:lang w:eastAsia="pl-PL"/>
        </w:rPr>
        <w:t>06</w:t>
      </w:r>
      <w:r>
        <w:rPr>
          <w:rFonts w:cs="Arial" w:ascii="Arial Narrow" w:hAnsi="Arial Narrow"/>
          <w:szCs w:val="24"/>
        </w:rPr>
        <w:t>.2021.AS</w:t>
      </w:r>
      <w:bookmarkStart w:id="0" w:name="_Hlk534818667"/>
      <w:bookmarkEnd w:id="0"/>
    </w:p>
    <w:p>
      <w:pPr>
        <w:pStyle w:val="Nagwek2"/>
        <w:rPr>
          <w:rFonts w:ascii="Arial Narrow" w:hAnsi="Arial Narrow"/>
        </w:rPr>
      </w:pPr>
      <w:r>
        <w:rPr>
          <w:rFonts w:ascii="Arial Narrow" w:hAnsi="Arial Narrow"/>
        </w:rPr>
        <w:t xml:space="preserve">DECYZJA Nr ……./21 </w:t>
      </w:r>
    </w:p>
    <w:p>
      <w:pPr>
        <w:pStyle w:val="Normal"/>
        <w:jc w:val="center"/>
        <w:rPr>
          <w:rFonts w:ascii="Times New Roman" w:hAnsi="Times New Roman"/>
          <w:sz w:val="22"/>
          <w:szCs w:val="22"/>
        </w:rPr>
      </w:pPr>
      <w:r>
        <w:rPr>
          <w:rFonts w:ascii="Times New Roman" w:hAnsi="Times New Roman"/>
          <w:b/>
          <w:sz w:val="22"/>
          <w:szCs w:val="22"/>
        </w:rPr>
        <w:t xml:space="preserve">o ustaleniu lokalizacji inwestycji celu publicznego </w:t>
      </w:r>
    </w:p>
    <w:p>
      <w:pPr>
        <w:pStyle w:val="BodyText3"/>
        <w:ind w:firstLine="540"/>
        <w:rPr>
          <w:rFonts w:ascii="Times New Roman" w:hAnsi="Times New Roman"/>
          <w:sz w:val="22"/>
          <w:szCs w:val="22"/>
        </w:rPr>
      </w:pPr>
      <w:r>
        <w:rPr>
          <w:rFonts w:ascii="Times New Roman" w:hAnsi="Times New Roman"/>
          <w:sz w:val="22"/>
          <w:szCs w:val="22"/>
        </w:rPr>
        <w:t>Na podstawie art. 1 ust. 2, art. 4 ust. 2 pkt 1, art. 50 ust. 1, 4, art. 51 ust. 1 pkt 2, art. 53 ust. 1, 3, 4, pkt 6, art. 54 ustawy z dnia 27 marca 2003 r. o planowaniu i zagospodarowaniu przestrzennym (tekst jednolity: Dz. U. z 2021 r. poz. 741), art. 104  ustawy z dnia 14 czerwca 1960 r. Kodeks postępowania administracyjnego (</w:t>
      </w:r>
      <w:bookmarkStart w:id="1" w:name="_Hlk881644"/>
      <w:r>
        <w:rPr>
          <w:rFonts w:ascii="Times New Roman" w:hAnsi="Times New Roman"/>
          <w:sz w:val="22"/>
          <w:szCs w:val="22"/>
        </w:rPr>
        <w:t>tekst jednolity: Dz. U. z 2021 r. poz. 735)</w:t>
      </w:r>
      <w:bookmarkEnd w:id="1"/>
      <w:r>
        <w:rPr>
          <w:rFonts w:ascii="Times New Roman" w:hAnsi="Times New Roman"/>
          <w:sz w:val="22"/>
          <w:szCs w:val="22"/>
        </w:rPr>
        <w:t xml:space="preserve">, </w:t>
      </w:r>
      <w:r>
        <w:rPr>
          <w:rFonts w:ascii="Times New Roman" w:hAnsi="Times New Roman"/>
          <w:b/>
          <w:sz w:val="22"/>
          <w:szCs w:val="22"/>
        </w:rPr>
        <w:t>rozpatrując wniosek</w:t>
      </w:r>
      <w:r>
        <w:rPr>
          <w:rFonts w:ascii="Times New Roman" w:hAnsi="Times New Roman"/>
          <w:sz w:val="22"/>
          <w:szCs w:val="22"/>
        </w:rPr>
        <w:t xml:space="preserve"> </w:t>
      </w:r>
    </w:p>
    <w:p>
      <w:pPr>
        <w:pStyle w:val="BodyText3"/>
        <w:spacing w:before="0" w:after="0"/>
        <w:jc w:val="center"/>
        <w:rPr>
          <w:rFonts w:ascii="Times New Roman" w:hAnsi="Times New Roman"/>
          <w:sz w:val="22"/>
          <w:szCs w:val="22"/>
        </w:rPr>
      </w:pPr>
      <w:r>
        <w:rPr>
          <w:rFonts w:ascii="Times New Roman" w:hAnsi="Times New Roman"/>
          <w:sz w:val="22"/>
          <w:szCs w:val="22"/>
        </w:rPr>
        <w:t>z dnia 28 kwietnia 2021 r. (data wpływu)</w:t>
      </w:r>
    </w:p>
    <w:p>
      <w:pPr>
        <w:pStyle w:val="BodyText3"/>
        <w:spacing w:before="0" w:after="0"/>
        <w:jc w:val="center"/>
        <w:rPr>
          <w:rFonts w:ascii="Times New Roman" w:hAnsi="Times New Roman"/>
          <w:sz w:val="22"/>
          <w:szCs w:val="22"/>
        </w:rPr>
      </w:pPr>
      <w:r>
        <w:rPr>
          <w:rFonts w:ascii="Times New Roman" w:hAnsi="Times New Roman"/>
          <w:b/>
          <w:bCs/>
          <w:sz w:val="22"/>
          <w:szCs w:val="22"/>
        </w:rPr>
        <w:t xml:space="preserve">GMINY JANIKOWO </w:t>
      </w:r>
    </w:p>
    <w:p>
      <w:pPr>
        <w:pStyle w:val="BodyText3"/>
        <w:spacing w:before="0" w:after="0"/>
        <w:jc w:val="center"/>
        <w:rPr>
          <w:rFonts w:ascii="Times New Roman" w:hAnsi="Times New Roman"/>
          <w:sz w:val="22"/>
          <w:szCs w:val="22"/>
        </w:rPr>
      </w:pPr>
      <w:r>
        <w:rPr>
          <w:rFonts w:ascii="Times New Roman" w:hAnsi="Times New Roman"/>
          <w:b/>
          <w:bCs/>
          <w:sz w:val="22"/>
          <w:szCs w:val="22"/>
        </w:rPr>
        <w:t xml:space="preserve">z siedzibą: ul. Przemysłowa 6, 88-160 Janikowo </w:t>
      </w:r>
    </w:p>
    <w:p>
      <w:pPr>
        <w:pStyle w:val="BodyText3"/>
        <w:spacing w:before="0" w:after="0"/>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 xml:space="preserve">o ustalenie lokalizacji inwestycji celu publicznego dla inwestycji polegającej na </w:t>
      </w:r>
      <w:bookmarkStart w:id="2" w:name="_Hlk52311131"/>
      <w:r>
        <w:rPr>
          <w:rFonts w:ascii="Times New Roman" w:hAnsi="Times New Roman"/>
          <w:sz w:val="22"/>
          <w:szCs w:val="22"/>
        </w:rPr>
        <w:t>budowie sieci wodociągowej z przyłączami, budowie sieci kanalizacji sanitarnej z przyłączami, budowie sieci kanalizacji deszczowej oraz przebudowie istniejącej sieci ciepłowniczej i budowie sieci ciepłowniczej z przyłączami  przy ulicach: Głównej, Klonowej i Wiśniowej w Janikowie – realizacja inwestycji na działce nr ewid. 3/5 obręb ewidencyjny 3 miasto Janikowo oraz na działkach nr ewid. 151/9, 151/13, 149/37, 149/29, 83/24, 149/36, 83/78, 83/4, 149/8 obręb ewidencyjny 2 miasto Janikowo, gmina Janikowo</w:t>
      </w:r>
      <w:bookmarkEnd w:id="2"/>
      <w:r>
        <w:rPr>
          <w:rFonts w:ascii="Times New Roman" w:hAnsi="Times New Roman"/>
          <w:sz w:val="22"/>
          <w:szCs w:val="22"/>
        </w:rPr>
        <w:t>,</w:t>
      </w:r>
    </w:p>
    <w:p>
      <w:pPr>
        <w:pStyle w:val="BodyText3"/>
        <w:spacing w:before="0" w:after="0"/>
        <w:rPr>
          <w:rFonts w:ascii="Times New Roman" w:hAnsi="Times New Roman"/>
          <w:sz w:val="22"/>
          <w:szCs w:val="22"/>
        </w:rPr>
      </w:pPr>
      <w:r>
        <w:rPr>
          <w:rFonts w:ascii="Times New Roman" w:hAnsi="Times New Roman"/>
          <w:sz w:val="22"/>
          <w:szCs w:val="22"/>
        </w:rPr>
      </w:r>
    </w:p>
    <w:p>
      <w:pPr>
        <w:pStyle w:val="BodyText3"/>
        <w:spacing w:before="0" w:after="0"/>
        <w:rPr>
          <w:rFonts w:ascii="Times New Roman" w:hAnsi="Times New Roman"/>
          <w:sz w:val="22"/>
          <w:szCs w:val="22"/>
        </w:rPr>
      </w:pPr>
      <w:r>
        <w:rPr>
          <w:rFonts w:ascii="Times New Roman" w:hAnsi="Times New Roman"/>
          <w:sz w:val="22"/>
          <w:szCs w:val="22"/>
        </w:rPr>
        <w:t xml:space="preserve">po uzgodnieniu z Państwowym Gospodarstwem Wodnym Wody Polskie Zarząd Zlewni Inowrocław </w:t>
      </w:r>
      <w:r>
        <w:rPr>
          <w:rFonts w:cs="Arial" w:ascii="Times New Roman" w:hAnsi="Times New Roman"/>
          <w:sz w:val="22"/>
          <w:szCs w:val="22"/>
        </w:rPr>
        <w:t>(</w:t>
      </w:r>
      <w:r>
        <w:rPr>
          <w:rFonts w:cs="Arial" w:ascii="Times New Roman" w:hAnsi="Times New Roman"/>
          <w:sz w:val="22"/>
          <w:szCs w:val="22"/>
          <w:u w:val="none"/>
        </w:rPr>
        <w:t xml:space="preserve">zgodnie z art. 53 ust. 5 ustawy o planowaniu i zagospodarowaniu przestrzennym </w:t>
      </w:r>
      <w:r>
        <w:rPr>
          <w:rFonts w:ascii="Times New Roman" w:hAnsi="Times New Roman"/>
          <w:sz w:val="22"/>
          <w:szCs w:val="22"/>
        </w:rPr>
        <w:t>w odniesieniu do terenu przyległego do drogi zgodnie z art. 53 ust. 4 pkt 9 ww. ustawy,</w:t>
      </w:r>
    </w:p>
    <w:p>
      <w:pPr>
        <w:pStyle w:val="Normal"/>
        <w:jc w:val="center"/>
        <w:rPr>
          <w:rFonts w:ascii="Times New Roman" w:hAnsi="Times New Roman" w:cs="Arial"/>
          <w:b/>
          <w:b/>
          <w:spacing w:val="88"/>
          <w:sz w:val="22"/>
          <w:szCs w:val="22"/>
        </w:rPr>
      </w:pPr>
      <w:r>
        <w:rPr>
          <w:rFonts w:cs="Arial" w:ascii="Times New Roman" w:hAnsi="Times New Roman"/>
          <w:b/>
          <w:spacing w:val="88"/>
          <w:sz w:val="22"/>
          <w:szCs w:val="22"/>
        </w:rPr>
      </w:r>
    </w:p>
    <w:p>
      <w:pPr>
        <w:pStyle w:val="Normal"/>
        <w:jc w:val="center"/>
        <w:rPr>
          <w:rFonts w:ascii="Times New Roman" w:hAnsi="Times New Roman"/>
          <w:sz w:val="22"/>
          <w:szCs w:val="22"/>
        </w:rPr>
      </w:pPr>
      <w:r>
        <w:rPr>
          <w:rFonts w:cs="Arial" w:ascii="Times New Roman" w:hAnsi="Times New Roman"/>
          <w:b/>
          <w:spacing w:val="88"/>
          <w:sz w:val="22"/>
          <w:szCs w:val="22"/>
        </w:rPr>
        <w:t>ustalam</w:t>
      </w:r>
    </w:p>
    <w:p>
      <w:pPr>
        <w:pStyle w:val="Normal"/>
        <w:jc w:val="center"/>
        <w:rPr>
          <w:rFonts w:ascii="Times New Roman" w:hAnsi="Times New Roman"/>
          <w:sz w:val="22"/>
          <w:szCs w:val="22"/>
        </w:rPr>
      </w:pPr>
      <w:r>
        <w:rPr>
          <w:rFonts w:cs="Arial" w:ascii="Times New Roman" w:hAnsi="Times New Roman"/>
          <w:b/>
          <w:spacing w:val="88"/>
          <w:sz w:val="22"/>
          <w:szCs w:val="22"/>
        </w:rPr>
        <w:t>lokalizację inwestycji celu publicznego</w:t>
      </w:r>
      <w:r>
        <w:rPr>
          <w:rFonts w:cs="Arial" w:ascii="Times New Roman" w:hAnsi="Times New Roman"/>
          <w:b/>
          <w:sz w:val="22"/>
          <w:szCs w:val="22"/>
        </w:rPr>
        <w:t xml:space="preserve"> </w:t>
      </w:r>
    </w:p>
    <w:p>
      <w:pPr>
        <w:pStyle w:val="Tekstpodstawowy21"/>
        <w:rPr>
          <w:rFonts w:ascii="Times New Roman" w:hAnsi="Times New Roman"/>
          <w:sz w:val="22"/>
          <w:szCs w:val="22"/>
        </w:rPr>
      </w:pPr>
      <w:r>
        <w:rPr>
          <w:rFonts w:ascii="Times New Roman" w:hAnsi="Times New Roman"/>
          <w:b/>
          <w:sz w:val="22"/>
          <w:szCs w:val="22"/>
        </w:rPr>
        <w:t>polegającą na budowie sieci wodociągowej z przyłączami, budowie sieci kanalizacji sanitarnej z przyłączami, budowie sieci kanalizacji deszczowej oraz przebudowie istniejącej sieci ciepłowniczej i budowie sieci ciepłowniczej z przyłączami  przy ulicach: Głównej, Klonowej i Wiśniowej w Janikowie – realizacja inwestycji na działce nr ewid. 3/5 obręb ewidencyjny 3 miasto Janikowo oraz na działkach nr ewid. 151/9, 151/13, 149/37, 149/29, 83/24, 149/36, 83/78, 83/4, 149/8 obręb ewidencyjny 2 miasto Janikowo, gmina Janikowo, w granicach określonych na załączniku graficznym w skali 1:500.</w:t>
      </w:r>
    </w:p>
    <w:p>
      <w:pPr>
        <w:pStyle w:val="Tekstpodstawowy21"/>
        <w:rPr>
          <w:rFonts w:ascii="Times New Roman" w:hAnsi="Times New Roman"/>
          <w:b/>
          <w:b/>
          <w:sz w:val="22"/>
          <w:szCs w:val="22"/>
        </w:rPr>
      </w:pPr>
      <w:r>
        <w:rPr>
          <w:rFonts w:ascii="Times New Roman" w:hAnsi="Times New Roman"/>
          <w:b/>
          <w:sz w:val="22"/>
          <w:szCs w:val="22"/>
        </w:rPr>
      </w:r>
    </w:p>
    <w:p>
      <w:pPr>
        <w:pStyle w:val="Tekstpodstawowy21"/>
        <w:numPr>
          <w:ilvl w:val="0"/>
          <w:numId w:val="1"/>
        </w:numPr>
        <w:rPr>
          <w:rFonts w:ascii="Times New Roman" w:hAnsi="Times New Roman"/>
          <w:sz w:val="22"/>
          <w:szCs w:val="22"/>
        </w:rPr>
      </w:pPr>
      <w:r>
        <w:rPr>
          <w:rFonts w:ascii="Times New Roman" w:hAnsi="Times New Roman"/>
          <w:sz w:val="22"/>
          <w:szCs w:val="22"/>
        </w:rPr>
        <w:t>Rodzaj inwestycji: INFRASTRUKTURA TECHNICZNA – budowa sieci wodociągowej z przyłączami, budowa sieci kanalizacji sanitarnej z przyłączami, budowa sieci kanalizacji deszczowej oraz przebudowa istniejącej sieci ciepłowniczej i budowa sieci ciepłowniczej z przyłączami  przy ulicach: Głównej, Klonowej i Wiśniowej w Janikowie.</w:t>
      </w:r>
    </w:p>
    <w:p>
      <w:pPr>
        <w:pStyle w:val="Tekstpodstawowy21"/>
        <w:numPr>
          <w:ilvl w:val="0"/>
          <w:numId w:val="1"/>
        </w:numPr>
        <w:rPr>
          <w:rFonts w:ascii="Times New Roman" w:hAnsi="Times New Roman"/>
          <w:sz w:val="22"/>
          <w:szCs w:val="22"/>
        </w:rPr>
      </w:pPr>
      <w:r>
        <w:rPr>
          <w:rFonts w:ascii="Times New Roman" w:hAnsi="Times New Roman"/>
          <w:sz w:val="22"/>
          <w:szCs w:val="22"/>
        </w:rPr>
        <w:t>Realizacja inwestycji na działce nr ewid. 3/5 obręb ewidencyjny 3 miasto Janikowo oraz na działkach nr ewid. 151/9, 151/13, 149/37, 149/29, 83/24, 149/36, 83/78, 83/4, 149/8 obręb ewidencyjny 2 miasto Janikowo, gmina Janikowo.</w:t>
      </w:r>
    </w:p>
    <w:p>
      <w:pPr>
        <w:pStyle w:val="Tekstpodstawowy21"/>
        <w:numPr>
          <w:ilvl w:val="0"/>
          <w:numId w:val="1"/>
        </w:numPr>
        <w:tabs>
          <w:tab w:val="clear" w:pos="426"/>
        </w:tabs>
        <w:rPr>
          <w:rFonts w:ascii="Times New Roman" w:hAnsi="Times New Roman"/>
          <w:sz w:val="22"/>
          <w:szCs w:val="22"/>
        </w:rPr>
      </w:pPr>
      <w:r>
        <w:rPr>
          <w:rFonts w:ascii="Times New Roman" w:hAnsi="Times New Roman"/>
          <w:sz w:val="22"/>
          <w:szCs w:val="22"/>
        </w:rPr>
        <w:t xml:space="preserve">Linie rozgraniczające teren inwestycji wyznaczono na rysunku wykonanym na kopii mapy sytuacyjno-wysokościowej do celów projektowych w skali 1:500 – </w:t>
      </w:r>
      <w:r>
        <w:rPr>
          <w:rFonts w:ascii="Times New Roman" w:hAnsi="Times New Roman"/>
          <w:b/>
          <w:sz w:val="22"/>
          <w:szCs w:val="22"/>
        </w:rPr>
        <w:t>załącznik nr 1,</w:t>
      </w:r>
      <w:r>
        <w:rPr>
          <w:rFonts w:ascii="Times New Roman" w:hAnsi="Times New Roman"/>
          <w:sz w:val="22"/>
          <w:szCs w:val="22"/>
        </w:rPr>
        <w:t xml:space="preserve"> stanowiący załącznik graficzny niniejszej decyzji.</w:t>
      </w:r>
    </w:p>
    <w:p>
      <w:pPr>
        <w:pStyle w:val="Tekstpodstawowy21"/>
        <w:tabs>
          <w:tab w:val="clear" w:pos="426"/>
        </w:tabs>
        <w:ind w:left="720" w:hanging="0"/>
        <w:rPr>
          <w:rFonts w:ascii="Times New Roman" w:hAnsi="Times New Roman"/>
          <w:sz w:val="22"/>
          <w:szCs w:val="22"/>
        </w:rPr>
      </w:pPr>
      <w:r>
        <w:rPr>
          <w:rFonts w:ascii="Times New Roman" w:hAnsi="Times New Roman"/>
          <w:sz w:val="22"/>
          <w:szCs w:val="22"/>
        </w:rPr>
      </w:r>
    </w:p>
    <w:p>
      <w:pPr>
        <w:pStyle w:val="BodyText3"/>
        <w:spacing w:before="0" w:after="0"/>
        <w:ind w:left="705" w:hanging="345"/>
        <w:jc w:val="left"/>
        <w:rPr>
          <w:rFonts w:ascii="Times New Roman" w:hAnsi="Times New Roman"/>
          <w:sz w:val="22"/>
          <w:szCs w:val="22"/>
        </w:rPr>
      </w:pPr>
      <w:r>
        <w:rPr>
          <w:rFonts w:ascii="Times New Roman" w:hAnsi="Times New Roman"/>
          <w:b/>
          <w:sz w:val="22"/>
          <w:szCs w:val="22"/>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2"/>
          <w:szCs w:val="22"/>
        </w:rPr>
      </w:pPr>
      <w:r>
        <w:rPr>
          <w:rFonts w:cs="Arial" w:ascii="Times New Roman" w:hAnsi="Times New Roman"/>
          <w:sz w:val="22"/>
          <w:szCs w:val="22"/>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 xml:space="preserve">Przy projektowaniu i budowie </w:t>
      </w:r>
      <w:r>
        <w:rPr>
          <w:rFonts w:ascii="Times New Roman" w:hAnsi="Times New Roman"/>
          <w:bCs/>
          <w:sz w:val="22"/>
          <w:szCs w:val="22"/>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W dokumentacji projektowej uwzględnić wymogi jednostek opiniujących.</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Maksymalna szerokość pasa do czasowego zajęcia na czas realizacji inwestycji - 3,0 m.</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Opis inwestycji:</w:t>
      </w:r>
    </w:p>
    <w:p>
      <w:pPr>
        <w:pStyle w:val="Tekstpodstawowy21"/>
        <w:numPr>
          <w:ilvl w:val="1"/>
          <w:numId w:val="1"/>
        </w:numPr>
        <w:tabs>
          <w:tab w:val="clear" w:pos="426"/>
        </w:tabs>
        <w:rPr>
          <w:rFonts w:ascii="Times New Roman" w:hAnsi="Times New Roman"/>
          <w:sz w:val="22"/>
          <w:szCs w:val="22"/>
        </w:rPr>
      </w:pPr>
      <w:r>
        <w:rPr>
          <w:rFonts w:ascii="Times New Roman" w:hAnsi="Times New Roman"/>
          <w:sz w:val="22"/>
          <w:szCs w:val="22"/>
        </w:rPr>
        <w:t>sieć wodociągowa z przyłączami z rur PE Ø110 i Ø 32 PE mm oraz hydranty p.poż.,</w:t>
      </w:r>
    </w:p>
    <w:p>
      <w:pPr>
        <w:pStyle w:val="Tekstpodstawowy21"/>
        <w:numPr>
          <w:ilvl w:val="1"/>
          <w:numId w:val="1"/>
        </w:numPr>
        <w:tabs>
          <w:tab w:val="clear" w:pos="426"/>
        </w:tabs>
        <w:rPr>
          <w:rFonts w:ascii="Times New Roman" w:hAnsi="Times New Roman"/>
          <w:sz w:val="22"/>
          <w:szCs w:val="22"/>
        </w:rPr>
      </w:pPr>
      <w:r>
        <w:rPr>
          <w:rFonts w:ascii="Times New Roman" w:hAnsi="Times New Roman"/>
          <w:sz w:val="22"/>
          <w:szCs w:val="22"/>
        </w:rPr>
        <w:t>sieć kanalizacji sanitarnej z przyłączami z rur PVC Ø160 i Ø 200 mm,</w:t>
      </w:r>
    </w:p>
    <w:p>
      <w:pPr>
        <w:pStyle w:val="Tekstpodstawowy21"/>
        <w:numPr>
          <w:ilvl w:val="1"/>
          <w:numId w:val="1"/>
        </w:numPr>
        <w:tabs>
          <w:tab w:val="clear" w:pos="426"/>
        </w:tabs>
        <w:rPr>
          <w:rFonts w:ascii="Times New Roman" w:hAnsi="Times New Roman"/>
          <w:sz w:val="22"/>
          <w:szCs w:val="22"/>
        </w:rPr>
      </w:pPr>
      <w:r>
        <w:rPr>
          <w:rFonts w:ascii="Times New Roman" w:hAnsi="Times New Roman"/>
          <w:sz w:val="22"/>
          <w:szCs w:val="22"/>
        </w:rPr>
        <w:t>sieć kanalizacji deszczowej z rur PVC Ø300 i Ø200 mm,</w:t>
      </w:r>
    </w:p>
    <w:p>
      <w:pPr>
        <w:pStyle w:val="Tekstpodstawowy21"/>
        <w:numPr>
          <w:ilvl w:val="1"/>
          <w:numId w:val="1"/>
        </w:numPr>
        <w:tabs>
          <w:tab w:val="clear" w:pos="426"/>
        </w:tabs>
        <w:rPr>
          <w:rFonts w:ascii="Times New Roman" w:hAnsi="Times New Roman"/>
          <w:sz w:val="22"/>
          <w:szCs w:val="22"/>
        </w:rPr>
      </w:pPr>
      <w:r>
        <w:rPr>
          <w:rFonts w:ascii="Times New Roman" w:hAnsi="Times New Roman"/>
          <w:sz w:val="22"/>
          <w:szCs w:val="22"/>
        </w:rPr>
        <w:t>sieć ciepłownicza z przyłączami z rur preizolowanych.</w:t>
      </w:r>
    </w:p>
    <w:p>
      <w:pPr>
        <w:pStyle w:val="BodyText3"/>
        <w:tabs>
          <w:tab w:val="clear" w:pos="708"/>
          <w:tab w:val="left" w:pos="360" w:leader="none"/>
        </w:tabs>
        <w:spacing w:before="0" w:after="0"/>
        <w:ind w:left="359" w:hanging="359"/>
        <w:jc w:val="left"/>
        <w:rPr>
          <w:rFonts w:ascii="Times New Roman" w:hAnsi="Times New Roman"/>
          <w:b/>
          <w:b/>
          <w:bCs/>
          <w:sz w:val="22"/>
          <w:szCs w:val="22"/>
        </w:rPr>
      </w:pPr>
      <w:r>
        <w:rPr>
          <w:rFonts w:ascii="Times New Roman" w:hAnsi="Times New Roman"/>
          <w:b/>
          <w:bCs/>
          <w:sz w:val="22"/>
          <w:szCs w:val="22"/>
        </w:rPr>
      </w:r>
    </w:p>
    <w:p>
      <w:pPr>
        <w:pStyle w:val="BodyText3"/>
        <w:tabs>
          <w:tab w:val="clear" w:pos="708"/>
          <w:tab w:val="left" w:pos="360" w:leader="none"/>
        </w:tabs>
        <w:spacing w:before="0" w:after="0"/>
        <w:ind w:left="359" w:hanging="359"/>
        <w:jc w:val="left"/>
        <w:rPr>
          <w:rFonts w:ascii="Times New Roman" w:hAnsi="Times New Roman"/>
          <w:sz w:val="22"/>
          <w:szCs w:val="22"/>
        </w:rPr>
      </w:pPr>
      <w:r>
        <w:rPr>
          <w:rFonts w:ascii="Times New Roman" w:hAnsi="Times New Roman"/>
          <w:b/>
          <w:bCs/>
          <w:sz w:val="22"/>
          <w:szCs w:val="22"/>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Times New Roman" w:hAnsi="Times New Roman"/>
          <w:sz w:val="22"/>
          <w:szCs w:val="22"/>
        </w:rPr>
      </w:pPr>
      <w:r>
        <w:rPr>
          <w:rFonts w:cs="Arial" w:ascii="Times New Roman" w:hAnsi="Times New Roman"/>
          <w:sz w:val="22"/>
          <w:szCs w:val="22"/>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Times New Roman" w:hAnsi="Times New Roman"/>
          <w:sz w:val="22"/>
          <w:szCs w:val="22"/>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Times New Roman" w:hAnsi="Times New Roman"/>
          <w:sz w:val="22"/>
          <w:szCs w:val="22"/>
        </w:rPr>
      </w:pPr>
      <w:r>
        <w:rPr>
          <w:rFonts w:cs="Arial" w:ascii="Times New Roman" w:hAnsi="Times New Roman"/>
          <w:sz w:val="22"/>
          <w:szCs w:val="22"/>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Times New Roman" w:hAnsi="Times New Roman"/>
          <w:sz w:val="22"/>
          <w:szCs w:val="22"/>
        </w:rPr>
      </w:pPr>
      <w:r>
        <w:rPr>
          <w:rFonts w:cs="Arial" w:ascii="Times New Roman" w:hAnsi="Times New Roman"/>
          <w:sz w:val="22"/>
          <w:szCs w:val="22"/>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2020 r. poz. 55 ze zm.).</w:t>
      </w:r>
    </w:p>
    <w:p>
      <w:pPr>
        <w:pStyle w:val="Normal"/>
        <w:tabs>
          <w:tab w:val="left" w:pos="708" w:leader="none"/>
        </w:tabs>
        <w:ind w:left="705" w:hanging="345"/>
        <w:jc w:val="both"/>
        <w:rPr>
          <w:rFonts w:ascii="Times New Roman" w:hAnsi="Times New Roman"/>
          <w:sz w:val="22"/>
          <w:szCs w:val="22"/>
        </w:rPr>
      </w:pPr>
      <w:r>
        <w:rPr>
          <w:rFonts w:cs="Arial" w:ascii="Times New Roman" w:hAnsi="Times New Roman"/>
          <w:sz w:val="22"/>
          <w:szCs w:val="22"/>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Times New Roman" w:hAnsi="Times New Roman"/>
          <w:sz w:val="22"/>
          <w:szCs w:val="22"/>
        </w:rPr>
      </w:pPr>
      <w:r>
        <w:rPr>
          <w:rFonts w:cs="Arial" w:ascii="Times New Roman" w:hAnsi="Times New Roman"/>
          <w:sz w:val="22"/>
          <w:szCs w:val="22"/>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Times New Roman" w:hAnsi="Times New Roman"/>
          <w:sz w:val="22"/>
          <w:szCs w:val="22"/>
        </w:rPr>
        <w:t xml:space="preserve">tekst jednolity: Dz. U. z 2020 r. poz. </w:t>
      </w:r>
      <w:bookmarkEnd w:id="3"/>
      <w:r>
        <w:rPr>
          <w:rFonts w:cs="Arial" w:ascii="Times New Roman" w:hAnsi="Times New Roman"/>
          <w:sz w:val="22"/>
          <w:szCs w:val="22"/>
        </w:rPr>
        <w:t>282 ze zm.).</w:t>
      </w:r>
    </w:p>
    <w:p>
      <w:pPr>
        <w:pStyle w:val="Normal"/>
        <w:shd w:val="clear" w:color="auto" w:fill="FFFFFF"/>
        <w:spacing w:lineRule="exact" w:line="226"/>
        <w:ind w:left="720" w:right="10" w:hanging="360"/>
        <w:jc w:val="both"/>
        <w:rPr>
          <w:rFonts w:ascii="Times New Roman" w:hAnsi="Times New Roman"/>
          <w:sz w:val="22"/>
          <w:szCs w:val="22"/>
        </w:rPr>
      </w:pPr>
      <w:r>
        <w:rPr>
          <w:rFonts w:cs="Arial" w:ascii="Times New Roman" w:hAnsi="Times New Roman"/>
          <w:sz w:val="22"/>
          <w:szCs w:val="22"/>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2"/>
          <w:szCs w:val="22"/>
        </w:rPr>
      </w:pPr>
      <w:r>
        <w:rPr>
          <w:rFonts w:cs="Arial" w:ascii="Times New Roman" w:hAnsi="Times New Roman"/>
          <w:sz w:val="22"/>
          <w:szCs w:val="22"/>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2"/>
          <w:szCs w:val="22"/>
        </w:rPr>
      </w:pPr>
      <w:r>
        <w:rPr>
          <w:rFonts w:cs="Arial" w:ascii="Times New Roman" w:hAnsi="Times New Roman"/>
          <w:sz w:val="22"/>
          <w:szCs w:val="22"/>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Times New Roman" w:hAnsi="Times New Roman"/>
          <w:sz w:val="22"/>
          <w:szCs w:val="22"/>
        </w:rPr>
      </w:pPr>
      <w:r>
        <w:rPr>
          <w:rFonts w:cs="Arial" w:ascii="Times New Roman" w:hAnsi="Times New Roman"/>
          <w:sz w:val="22"/>
          <w:szCs w:val="22"/>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2020 r. poz. 283 ze zm.). </w:t>
      </w:r>
    </w:p>
    <w:p>
      <w:pPr>
        <w:pStyle w:val="Normal"/>
        <w:shd w:val="clear" w:color="auto" w:fill="FFFFFF"/>
        <w:spacing w:lineRule="exact" w:line="226"/>
        <w:ind w:left="720" w:right="10" w:hanging="360"/>
        <w:jc w:val="both"/>
        <w:rPr>
          <w:rFonts w:ascii="Times New Roman" w:hAnsi="Times New Roman"/>
          <w:sz w:val="22"/>
          <w:szCs w:val="22"/>
        </w:rPr>
      </w:pPr>
      <w:r>
        <w:rPr>
          <w:rFonts w:cs="Arial" w:ascii="Times New Roman" w:hAnsi="Times New Roman"/>
          <w:sz w:val="22"/>
          <w:szCs w:val="22"/>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Times New Roman" w:hAnsi="Times New Roman"/>
          <w:sz w:val="22"/>
          <w:szCs w:val="22"/>
        </w:rPr>
      </w:pPr>
      <w:r>
        <w:rPr>
          <w:rFonts w:cs="Arial" w:ascii="Times New Roman" w:hAnsi="Times New Roman"/>
          <w:sz w:val="22"/>
          <w:szCs w:val="22"/>
        </w:rPr>
        <w:t>11.</w:t>
        <w:tab/>
        <w:t xml:space="preserve">Realizacja inwestycji nie wymaga uzyskania zgody na zmianę przeznaczenia gruntów rolnych i leśnych na cele nierolnicze i nieleśne </w:t>
      </w:r>
      <w:r>
        <w:rPr>
          <w:rFonts w:eastAsia="Calibri" w:cs="Arial" w:ascii="Times New Roman" w:hAnsi="Times New Roman"/>
          <w:bCs/>
          <w:i/>
          <w:sz w:val="22"/>
          <w:szCs w:val="22"/>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Times New Roman" w:hAnsi="Times New Roman"/>
          <w:sz w:val="22"/>
          <w:szCs w:val="22"/>
        </w:rPr>
      </w:pPr>
      <w:r>
        <w:rPr>
          <w:rFonts w:eastAsia="Calibri" w:cs="Arial" w:ascii="Times New Roman" w:hAnsi="Times New Roman"/>
          <w:bCs/>
          <w:i/>
          <w:sz w:val="22"/>
          <w:szCs w:val="22"/>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Times New Roman" w:hAnsi="Times New Roman"/>
          <w:sz w:val="22"/>
          <w:szCs w:val="22"/>
        </w:rPr>
      </w:pPr>
      <w:r>
        <w:rPr>
          <w:rFonts w:eastAsia="Calibri" w:cs="Arial" w:ascii="Times New Roman" w:hAnsi="Times New Roman"/>
          <w:bCs/>
          <w:i/>
          <w:sz w:val="22"/>
          <w:szCs w:val="22"/>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2"/>
          <w:szCs w:val="22"/>
          <w:u w:val="single"/>
          <w:lang w:eastAsia="en-US"/>
        </w:rPr>
        <w:t>ekst jednolity: Dz. U. z 2020 r. poz. 65 ze zm.)</w:t>
      </w:r>
      <w:r>
        <w:rPr>
          <w:rFonts w:eastAsia="Calibri" w:cs="Arial" w:ascii="Times New Roman" w:hAnsi="Times New Roman"/>
          <w:bCs/>
          <w:i/>
          <w:sz w:val="22"/>
          <w:szCs w:val="22"/>
          <w:lang w:eastAsia="en-US"/>
        </w:rPr>
        <w:t>;</w:t>
      </w:r>
    </w:p>
    <w:p>
      <w:pPr>
        <w:pStyle w:val="ZLITPKT8211"/>
        <w:tabs>
          <w:tab w:val="clear" w:pos="708"/>
          <w:tab w:val="left" w:pos="993" w:leader="none"/>
        </w:tabs>
        <w:spacing w:lineRule="auto" w:line="240"/>
        <w:ind w:left="993" w:hanging="284"/>
        <w:rPr>
          <w:rFonts w:ascii="Times New Roman" w:hAnsi="Times New Roman"/>
          <w:sz w:val="22"/>
          <w:szCs w:val="22"/>
        </w:rPr>
      </w:pPr>
      <w:r>
        <w:rPr>
          <w:rFonts w:eastAsia="Calibri" w:cs="Arial" w:ascii="Times New Roman" w:hAnsi="Times New Roman"/>
          <w:bCs/>
          <w:i/>
          <w:sz w:val="22"/>
          <w:szCs w:val="22"/>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2"/>
          <w:szCs w:val="22"/>
          <w:u w:val="single"/>
          <w:lang w:eastAsia="en-US"/>
        </w:rPr>
        <w:t>tekst jednolity: Dz. U. z 2020 r. poz. 470 ze zm.</w:t>
      </w:r>
      <w:r>
        <w:rPr>
          <w:rFonts w:eastAsia="Calibri" w:cs="Arial" w:ascii="Times New Roman" w:hAnsi="Times New Roman"/>
          <w:bCs/>
          <w:i/>
          <w:sz w:val="22"/>
          <w:szCs w:val="22"/>
          <w:lang w:eastAsia="en-US"/>
        </w:rPr>
        <w:t>);</w:t>
      </w:r>
    </w:p>
    <w:p>
      <w:pPr>
        <w:pStyle w:val="ZLITPKT8211"/>
        <w:tabs>
          <w:tab w:val="clear" w:pos="708"/>
          <w:tab w:val="left" w:pos="993" w:leader="none"/>
        </w:tabs>
        <w:spacing w:lineRule="auto" w:line="240"/>
        <w:ind w:left="993" w:hanging="284"/>
        <w:rPr>
          <w:rFonts w:ascii="Times New Roman" w:hAnsi="Times New Roman"/>
          <w:sz w:val="22"/>
          <w:szCs w:val="22"/>
        </w:rPr>
      </w:pPr>
      <w:r>
        <w:rPr>
          <w:rFonts w:eastAsia="Calibri" w:cs="Arial" w:ascii="Times New Roman" w:hAnsi="Times New Roman"/>
          <w:bCs/>
          <w:i/>
          <w:sz w:val="22"/>
          <w:szCs w:val="22"/>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sz w:val="22"/>
          <w:szCs w:val="22"/>
        </w:rPr>
      </w:pPr>
      <w:r>
        <w:rPr>
          <w:rFonts w:eastAsia="Calibri" w:cs="Arial" w:ascii="Times New Roman" w:hAnsi="Times New Roman"/>
          <w:bCs/>
          <w:i/>
          <w:sz w:val="22"/>
          <w:szCs w:val="22"/>
        </w:rPr>
        <w:tab/>
      </w:r>
      <w:r>
        <w:rPr>
          <w:rFonts w:eastAsia="Calibri" w:cs="Arial" w:ascii="Times New Roman" w:hAnsi="Times New Roman"/>
          <w:bCs/>
          <w:i/>
          <w:sz w:val="22"/>
          <w:szCs w:val="22"/>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clear" w:pos="708"/>
          <w:tab w:val="left" w:pos="1134" w:leader="none"/>
        </w:tabs>
        <w:spacing w:lineRule="exact" w:line="226"/>
        <w:ind w:left="1134" w:right="10" w:hanging="425"/>
        <w:jc w:val="both"/>
        <w:rPr>
          <w:rFonts w:ascii="Times New Roman" w:hAnsi="Times New Roman"/>
          <w:sz w:val="22"/>
          <w:szCs w:val="22"/>
        </w:rPr>
      </w:pPr>
      <w:r>
        <w:rPr>
          <w:rFonts w:cs="Arial" w:ascii="Times New Roman" w:hAnsi="Times New Roman"/>
          <w:sz w:val="22"/>
          <w:szCs w:val="22"/>
        </w:rPr>
        <w:t>a)</w:t>
      </w:r>
      <w:r>
        <w:rPr>
          <w:rFonts w:eastAsia="Calibri" w:cs="Arial" w:ascii="Times New Roman" w:hAnsi="Times New Roman"/>
          <w:bCs/>
          <w:i/>
          <w:sz w:val="22"/>
          <w:szCs w:val="22"/>
        </w:rPr>
        <w:tab/>
      </w:r>
      <w:r>
        <w:rPr>
          <w:rFonts w:cs="Arial" w:ascii="Times New Roman" w:hAnsi="Times New Roman"/>
          <w:b/>
          <w:bCs/>
          <w:sz w:val="22"/>
          <w:szCs w:val="22"/>
          <w:u w:val="single"/>
        </w:rPr>
        <w:t>ochrona gruntów rolnych</w:t>
      </w:r>
      <w:r>
        <w:rPr>
          <w:rFonts w:cs="Arial" w:ascii="Times New Roman" w:hAnsi="Times New Roman"/>
          <w:bCs/>
          <w:sz w:val="22"/>
          <w:szCs w:val="22"/>
        </w:rPr>
        <w:t xml:space="preserve">: </w:t>
      </w:r>
      <w:r>
        <w:rPr>
          <w:rFonts w:cs="Arial" w:ascii="Times New Roman" w:hAnsi="Times New Roman"/>
          <w:sz w:val="22"/>
          <w:szCs w:val="22"/>
        </w:rPr>
        <w:t>inwestycja zlokalizowana w granicy administracyjnej miasta;</w:t>
      </w:r>
    </w:p>
    <w:p>
      <w:pPr>
        <w:pStyle w:val="Normal"/>
        <w:shd w:val="clear" w:color="auto" w:fill="FFFFFF"/>
        <w:tabs>
          <w:tab w:val="clear" w:pos="708"/>
          <w:tab w:val="left" w:pos="1134" w:leader="none"/>
        </w:tabs>
        <w:spacing w:lineRule="exact" w:line="226"/>
        <w:ind w:left="1134" w:right="10" w:hanging="425"/>
        <w:jc w:val="both"/>
        <w:rPr>
          <w:rFonts w:ascii="Times New Roman" w:hAnsi="Times New Roman"/>
          <w:sz w:val="22"/>
          <w:szCs w:val="22"/>
        </w:rPr>
      </w:pPr>
      <w:r>
        <w:rPr>
          <w:rFonts w:cs="Arial" w:ascii="Times New Roman" w:hAnsi="Times New Roman"/>
          <w:sz w:val="22"/>
          <w:szCs w:val="22"/>
        </w:rPr>
        <w:t>b)</w:t>
        <w:tab/>
      </w:r>
      <w:r>
        <w:rPr>
          <w:rFonts w:cs="Arial" w:ascii="Times New Roman" w:hAnsi="Times New Roman"/>
          <w:b/>
          <w:bCs/>
          <w:sz w:val="22"/>
          <w:szCs w:val="22"/>
          <w:u w:val="single"/>
        </w:rPr>
        <w:t>ochrona gruntów leśnych</w:t>
      </w:r>
      <w:r>
        <w:rPr>
          <w:rFonts w:cs="Arial" w:ascii="Times New Roman" w:hAnsi="Times New Roman"/>
          <w:bCs/>
          <w:sz w:val="22"/>
          <w:szCs w:val="22"/>
        </w:rPr>
        <w:t xml:space="preserve">: </w:t>
      </w:r>
      <w:r>
        <w:rPr>
          <w:rFonts w:cs="Arial" w:ascii="Times New Roman" w:hAnsi="Times New Roman"/>
          <w:sz w:val="22"/>
          <w:szCs w:val="22"/>
        </w:rPr>
        <w:t>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z w:val="22"/>
          <w:szCs w:val="22"/>
        </w:rPr>
      </w:pPr>
      <w:r>
        <w:rPr>
          <w:rFonts w:ascii="Times New Roman" w:hAnsi="Times New Roman"/>
          <w:b/>
          <w:sz w:val="22"/>
          <w:szCs w:val="22"/>
        </w:rPr>
      </w:r>
    </w:p>
    <w:p>
      <w:pPr>
        <w:pStyle w:val="BodyText3"/>
        <w:tabs>
          <w:tab w:val="clear" w:pos="708"/>
          <w:tab w:val="left" w:pos="360" w:leader="none"/>
        </w:tabs>
        <w:spacing w:before="0" w:after="0"/>
        <w:ind w:left="180" w:hanging="180"/>
        <w:jc w:val="left"/>
        <w:rPr>
          <w:rFonts w:ascii="Times New Roman" w:hAnsi="Times New Roman"/>
          <w:sz w:val="22"/>
          <w:szCs w:val="22"/>
        </w:rPr>
      </w:pPr>
      <w:r>
        <w:rPr>
          <w:rFonts w:ascii="Times New Roman" w:hAnsi="Times New Roman"/>
          <w:b/>
          <w:sz w:val="22"/>
          <w:szCs w:val="22"/>
        </w:rPr>
        <w:t>III.</w:t>
        <w:tab/>
        <w:t>WARUNKI OBSŁUGI W ZAKRESIE INFRASTUKTURY TECHNICZNEJ I KOMUNIKACJI</w:t>
      </w:r>
    </w:p>
    <w:p>
      <w:pPr>
        <w:pStyle w:val="Normal"/>
        <w:numPr>
          <w:ilvl w:val="0"/>
          <w:numId w:val="2"/>
        </w:numPr>
        <w:jc w:val="both"/>
        <w:rPr>
          <w:rFonts w:ascii="Times New Roman" w:hAnsi="Times New Roman"/>
          <w:sz w:val="22"/>
          <w:szCs w:val="22"/>
        </w:rPr>
      </w:pPr>
      <w:r>
        <w:rPr>
          <w:rFonts w:ascii="Times New Roman" w:hAnsi="Times New Roman"/>
          <w:sz w:val="22"/>
          <w:szCs w:val="22"/>
        </w:rPr>
        <w:t>Zaopatrzenie w energię – na warunkach gestora sieci.</w:t>
      </w:r>
    </w:p>
    <w:p>
      <w:pPr>
        <w:pStyle w:val="Normal"/>
        <w:numPr>
          <w:ilvl w:val="0"/>
          <w:numId w:val="2"/>
        </w:numPr>
        <w:jc w:val="both"/>
        <w:rPr>
          <w:rFonts w:ascii="Times New Roman" w:hAnsi="Times New Roman"/>
          <w:sz w:val="22"/>
          <w:szCs w:val="22"/>
        </w:rPr>
      </w:pPr>
      <w:r>
        <w:rPr>
          <w:rFonts w:ascii="Times New Roman" w:hAnsi="Times New Roman"/>
          <w:sz w:val="22"/>
          <w:szCs w:val="22"/>
        </w:rPr>
        <w:t>Woda – na warunkach gestora sieci.</w:t>
      </w:r>
    </w:p>
    <w:p>
      <w:pPr>
        <w:pStyle w:val="Normal"/>
        <w:numPr>
          <w:ilvl w:val="0"/>
          <w:numId w:val="2"/>
        </w:numPr>
        <w:jc w:val="both"/>
        <w:rPr>
          <w:rFonts w:ascii="Times New Roman" w:hAnsi="Times New Roman"/>
          <w:sz w:val="22"/>
          <w:szCs w:val="22"/>
        </w:rPr>
      </w:pPr>
      <w:r>
        <w:rPr>
          <w:rFonts w:ascii="Times New Roman" w:hAnsi="Times New Roman"/>
          <w:sz w:val="22"/>
          <w:szCs w:val="22"/>
        </w:rPr>
        <w:t>Odprowadzenie ścieków sanitarnych – na warunkach gestora sieci.</w:t>
      </w:r>
    </w:p>
    <w:p>
      <w:pPr>
        <w:pStyle w:val="Normal"/>
        <w:numPr>
          <w:ilvl w:val="0"/>
          <w:numId w:val="2"/>
        </w:numPr>
        <w:jc w:val="both"/>
        <w:rPr>
          <w:rFonts w:ascii="Times New Roman" w:hAnsi="Times New Roman"/>
          <w:sz w:val="22"/>
          <w:szCs w:val="22"/>
        </w:rPr>
      </w:pPr>
      <w:r>
        <w:rPr>
          <w:rFonts w:ascii="Times New Roman" w:hAnsi="Times New Roman"/>
          <w:sz w:val="22"/>
          <w:szCs w:val="22"/>
        </w:rPr>
        <w:t>Odprowadzenie wód opadowych – na warunkach gestora sieci.</w:t>
      </w:r>
    </w:p>
    <w:p>
      <w:pPr>
        <w:pStyle w:val="Normal"/>
        <w:numPr>
          <w:ilvl w:val="0"/>
          <w:numId w:val="2"/>
        </w:numPr>
        <w:jc w:val="both"/>
        <w:rPr>
          <w:rFonts w:ascii="Times New Roman" w:hAnsi="Times New Roman"/>
          <w:sz w:val="22"/>
          <w:szCs w:val="22"/>
        </w:rPr>
      </w:pPr>
      <w:r>
        <w:rPr>
          <w:rFonts w:ascii="Times New Roman" w:hAnsi="Times New Roman"/>
          <w:sz w:val="22"/>
          <w:szCs w:val="22"/>
        </w:rPr>
        <w:t>Gaz – nie dotyczy.</w:t>
      </w:r>
    </w:p>
    <w:p>
      <w:pPr>
        <w:pStyle w:val="Normal"/>
        <w:numPr>
          <w:ilvl w:val="0"/>
          <w:numId w:val="2"/>
        </w:numPr>
        <w:jc w:val="both"/>
        <w:rPr>
          <w:rFonts w:ascii="Times New Roman" w:hAnsi="Times New Roman"/>
          <w:sz w:val="22"/>
          <w:szCs w:val="22"/>
        </w:rPr>
      </w:pPr>
      <w:r>
        <w:rPr>
          <w:rFonts w:ascii="Times New Roman" w:hAnsi="Times New Roman"/>
          <w:sz w:val="22"/>
          <w:szCs w:val="22"/>
        </w:rPr>
        <w:t>Sieć ciepłownicza – na warunkach gestora sieci.</w:t>
      </w:r>
    </w:p>
    <w:p>
      <w:pPr>
        <w:pStyle w:val="Normal"/>
        <w:numPr>
          <w:ilvl w:val="0"/>
          <w:numId w:val="2"/>
        </w:numPr>
        <w:jc w:val="both"/>
        <w:rPr>
          <w:rFonts w:ascii="Times New Roman" w:hAnsi="Times New Roman"/>
          <w:sz w:val="22"/>
          <w:szCs w:val="22"/>
        </w:rPr>
      </w:pPr>
      <w:r>
        <w:rPr>
          <w:rFonts w:ascii="Times New Roman" w:hAnsi="Times New Roman"/>
          <w:sz w:val="22"/>
          <w:szCs w:val="22"/>
        </w:rPr>
        <w:t xml:space="preserve">Obsługa komunikacyjna – nie dotyczy. </w:t>
      </w:r>
    </w:p>
    <w:p>
      <w:pPr>
        <w:pStyle w:val="Normal"/>
        <w:numPr>
          <w:ilvl w:val="0"/>
          <w:numId w:val="2"/>
        </w:numPr>
        <w:jc w:val="both"/>
        <w:rPr>
          <w:rFonts w:ascii="Times New Roman" w:hAnsi="Times New Roman"/>
          <w:sz w:val="22"/>
          <w:szCs w:val="22"/>
        </w:rPr>
      </w:pPr>
      <w:r>
        <w:rPr>
          <w:rFonts w:ascii="Times New Roman" w:hAnsi="Times New Roman"/>
          <w:sz w:val="22"/>
          <w:szCs w:val="22"/>
        </w:rPr>
        <w:t>Składowanie odpadów stałych – nie dotyczy.</w:t>
      </w:r>
    </w:p>
    <w:p>
      <w:pPr>
        <w:pStyle w:val="BodyText3"/>
        <w:tabs>
          <w:tab w:val="clear" w:pos="708"/>
          <w:tab w:val="left" w:pos="360" w:leader="none"/>
        </w:tabs>
        <w:spacing w:before="0" w:after="0"/>
        <w:ind w:left="180" w:hanging="180"/>
        <w:jc w:val="left"/>
        <w:rPr>
          <w:rFonts w:ascii="Times New Roman" w:hAnsi="Times New Roman"/>
          <w:b/>
          <w:b/>
          <w:sz w:val="22"/>
          <w:szCs w:val="22"/>
        </w:rPr>
      </w:pPr>
      <w:r>
        <w:rPr>
          <w:rFonts w:ascii="Times New Roman" w:hAnsi="Times New Roman"/>
          <w:b/>
          <w:sz w:val="22"/>
          <w:szCs w:val="22"/>
        </w:rPr>
      </w:r>
    </w:p>
    <w:p>
      <w:pPr>
        <w:pStyle w:val="BodyText3"/>
        <w:tabs>
          <w:tab w:val="clear" w:pos="708"/>
          <w:tab w:val="left" w:pos="360" w:leader="none"/>
        </w:tabs>
        <w:spacing w:before="0" w:after="0"/>
        <w:ind w:left="180" w:hanging="180"/>
        <w:jc w:val="left"/>
        <w:rPr>
          <w:rFonts w:ascii="Times New Roman" w:hAnsi="Times New Roman"/>
          <w:sz w:val="22"/>
          <w:szCs w:val="22"/>
        </w:rPr>
      </w:pPr>
      <w:r>
        <w:rPr>
          <w:rFonts w:ascii="Times New Roman" w:hAnsi="Times New Roman"/>
          <w:b/>
          <w:sz w:val="22"/>
          <w:szCs w:val="22"/>
        </w:rPr>
        <w:t>IV.</w:t>
        <w:tab/>
        <w:t>WYMAGANIA DOTYCZĄCE OCHRONY INTERESÓW OSÓB TRZECICH</w:t>
      </w:r>
    </w:p>
    <w:p>
      <w:pPr>
        <w:pStyle w:val="Normal"/>
        <w:numPr>
          <w:ilvl w:val="0"/>
          <w:numId w:val="8"/>
        </w:numPr>
        <w:jc w:val="both"/>
        <w:rPr>
          <w:rFonts w:ascii="Times New Roman" w:hAnsi="Times New Roman"/>
          <w:sz w:val="22"/>
          <w:szCs w:val="22"/>
        </w:rPr>
      </w:pPr>
      <w:r>
        <w:rPr>
          <w:rFonts w:ascii="Times New Roman" w:hAnsi="Times New Roman"/>
          <w:sz w:val="22"/>
          <w:szCs w:val="22"/>
        </w:rPr>
        <w:t>Należy zapewnić ochronę uzasadnionych interesów osób trzecich:</w:t>
      </w:r>
    </w:p>
    <w:p>
      <w:pPr>
        <w:pStyle w:val="ListParagraph"/>
        <w:numPr>
          <w:ilvl w:val="0"/>
          <w:numId w:val="9"/>
        </w:numPr>
        <w:jc w:val="both"/>
        <w:rPr>
          <w:rFonts w:ascii="Times New Roman" w:hAnsi="Times New Roman"/>
          <w:sz w:val="22"/>
          <w:szCs w:val="22"/>
        </w:rPr>
      </w:pPr>
      <w:r>
        <w:rPr>
          <w:rFonts w:ascii="Times New Roman" w:hAnsi="Times New Roman"/>
          <w:sz w:val="22"/>
          <w:szCs w:val="22"/>
        </w:rPr>
        <w:t>dostępu do drogi publicznej,</w:t>
      </w:r>
    </w:p>
    <w:p>
      <w:pPr>
        <w:pStyle w:val="ListParagraph"/>
        <w:numPr>
          <w:ilvl w:val="0"/>
          <w:numId w:val="9"/>
        </w:numPr>
        <w:jc w:val="both"/>
        <w:rPr>
          <w:rFonts w:ascii="Times New Roman" w:hAnsi="Times New Roman"/>
          <w:sz w:val="22"/>
          <w:szCs w:val="22"/>
        </w:rPr>
      </w:pPr>
      <w:r>
        <w:rPr>
          <w:rFonts w:ascii="Times New Roman" w:hAnsi="Times New Roman"/>
          <w:sz w:val="22"/>
          <w:szCs w:val="22"/>
        </w:rPr>
        <w:t>możliwości korzystania z wody, kanalizacji, energii elektrycznej i cieplnej oraz ze środków łączności,</w:t>
      </w:r>
    </w:p>
    <w:p>
      <w:pPr>
        <w:pStyle w:val="ListParagraph"/>
        <w:numPr>
          <w:ilvl w:val="0"/>
          <w:numId w:val="9"/>
        </w:numPr>
        <w:jc w:val="both"/>
        <w:rPr>
          <w:rFonts w:ascii="Times New Roman" w:hAnsi="Times New Roman"/>
          <w:sz w:val="22"/>
          <w:szCs w:val="22"/>
        </w:rPr>
      </w:pPr>
      <w:r>
        <w:rPr>
          <w:rFonts w:ascii="Times New Roman" w:hAnsi="Times New Roman"/>
          <w:sz w:val="22"/>
          <w:szCs w:val="22"/>
        </w:rPr>
        <w:t>dostępu do światła dziennego do pomieszczeń przeznaczonych na pobyt ludzi,</w:t>
      </w:r>
    </w:p>
    <w:p>
      <w:pPr>
        <w:pStyle w:val="ListParagraph"/>
        <w:numPr>
          <w:ilvl w:val="0"/>
          <w:numId w:val="9"/>
        </w:numPr>
        <w:jc w:val="both"/>
        <w:rPr>
          <w:rFonts w:ascii="Times New Roman" w:hAnsi="Times New Roman"/>
          <w:sz w:val="22"/>
          <w:szCs w:val="22"/>
        </w:rPr>
      </w:pPr>
      <w:r>
        <w:rPr>
          <w:rFonts w:ascii="Times New Roman" w:hAnsi="Times New Roman"/>
          <w:sz w:val="22"/>
          <w:szCs w:val="22"/>
        </w:rPr>
        <w:t>uciążliwościami powodowanymi przez hałas, wibracje, zakłócenia elektryczne i promieniowanie, zanieczyszczeniem powietrza, wody i gleby.</w:t>
      </w:r>
    </w:p>
    <w:p>
      <w:pPr>
        <w:pStyle w:val="Normal"/>
        <w:numPr>
          <w:ilvl w:val="0"/>
          <w:numId w:val="8"/>
        </w:numPr>
        <w:tabs>
          <w:tab w:val="clear" w:pos="708"/>
          <w:tab w:val="left" w:pos="709" w:leader="none"/>
        </w:tabs>
        <w:jc w:val="both"/>
        <w:rPr>
          <w:rFonts w:ascii="Times New Roman" w:hAnsi="Times New Roman"/>
          <w:sz w:val="22"/>
          <w:szCs w:val="22"/>
        </w:rPr>
      </w:pPr>
      <w:r>
        <w:rPr>
          <w:rFonts w:ascii="Times New Roman" w:hAnsi="Times New Roman"/>
          <w:sz w:val="22"/>
          <w:szCs w:val="22"/>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2019 r. poz. 1145 ze zm.).</w:t>
      </w:r>
    </w:p>
    <w:p>
      <w:pPr>
        <w:pStyle w:val="Normal"/>
        <w:numPr>
          <w:ilvl w:val="0"/>
          <w:numId w:val="8"/>
        </w:numPr>
        <w:jc w:val="both"/>
        <w:rPr>
          <w:rFonts w:ascii="Times New Roman" w:hAnsi="Times New Roman"/>
          <w:sz w:val="22"/>
          <w:szCs w:val="22"/>
        </w:rPr>
      </w:pPr>
      <w:r>
        <w:rPr>
          <w:rFonts w:ascii="Times New Roman" w:hAnsi="Times New Roman"/>
          <w:sz w:val="22"/>
          <w:szCs w:val="22"/>
        </w:rPr>
        <w:t>Robót ziemnych nie wolno dokonywać w taki sposób, by groziły one nieruchomością sąsiednim utratą oparcia – zgodnie z art. 147 ustawy z dnia 23 kwietnia 1964 r. Kodeks Cywilny (tekst jednolity: Dz. U. z 2019 r. poz. 1145 ze zm.).</w:t>
      </w:r>
    </w:p>
    <w:p>
      <w:pPr>
        <w:pStyle w:val="Normal"/>
        <w:numPr>
          <w:ilvl w:val="0"/>
          <w:numId w:val="8"/>
        </w:numPr>
        <w:jc w:val="both"/>
        <w:rPr>
          <w:rFonts w:ascii="Times New Roman" w:hAnsi="Times New Roman"/>
          <w:sz w:val="22"/>
          <w:szCs w:val="22"/>
        </w:rPr>
      </w:pPr>
      <w:r>
        <w:rPr>
          <w:rFonts w:ascii="Times New Roman" w:hAnsi="Times New Roman"/>
          <w:sz w:val="22"/>
          <w:szCs w:val="22"/>
        </w:rPr>
        <w:t>Zakaz zmiany kierunku i natężenia odpływu znajdujących się na działce wód opadowych lub roztopowych oraz odprowadzania wód i wprowadzania ścieków na grunty sąsiednie – zgodnie z art. 234 ustawy z dnia 20 lipca 2017 r. Prawo wodne (tekst jednolity Dz. U. z 2020 r. poz. 310 ze zm.)</w:t>
      </w:r>
    </w:p>
    <w:p>
      <w:pPr>
        <w:pStyle w:val="Normal"/>
        <w:numPr>
          <w:ilvl w:val="0"/>
          <w:numId w:val="8"/>
        </w:numPr>
        <w:jc w:val="both"/>
        <w:rPr>
          <w:rFonts w:ascii="Times New Roman" w:hAnsi="Times New Roman"/>
          <w:sz w:val="22"/>
          <w:szCs w:val="22"/>
        </w:rPr>
      </w:pPr>
      <w:r>
        <w:rPr>
          <w:rFonts w:ascii="Times New Roman" w:hAnsi="Times New Roman"/>
          <w:sz w:val="22"/>
          <w:szCs w:val="22"/>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Times New Roman" w:hAnsi="Times New Roman"/>
          <w:sz w:val="22"/>
          <w:szCs w:val="22"/>
        </w:rPr>
      </w:pPr>
      <w:r>
        <w:rPr>
          <w:rFonts w:ascii="Times New Roman" w:hAnsi="Times New Roman"/>
          <w:sz w:val="22"/>
          <w:szCs w:val="22"/>
        </w:rPr>
      </w:r>
    </w:p>
    <w:p>
      <w:pPr>
        <w:pStyle w:val="BodyText3"/>
        <w:tabs>
          <w:tab w:val="clear" w:pos="708"/>
          <w:tab w:val="left" w:pos="360" w:leader="none"/>
        </w:tabs>
        <w:spacing w:before="0" w:after="0"/>
        <w:ind w:left="360" w:hanging="360"/>
        <w:jc w:val="left"/>
        <w:rPr>
          <w:rFonts w:ascii="Times New Roman" w:hAnsi="Times New Roman"/>
          <w:sz w:val="22"/>
          <w:szCs w:val="22"/>
        </w:rPr>
      </w:pPr>
      <w:r>
        <w:rPr>
          <w:rFonts w:ascii="Times New Roman" w:hAnsi="Times New Roman"/>
          <w:b/>
          <w:sz w:val="22"/>
          <w:szCs w:val="22"/>
        </w:rPr>
        <w:t>V.</w:t>
        <w:tab/>
        <w:t xml:space="preserve">WYMAGANIA DOTYCZĄCE OCHRONY OBIEKTÓW BUDOWLANYCH NA TERENACH GÓRNICZYCH </w:t>
      </w:r>
    </w:p>
    <w:p>
      <w:pPr>
        <w:pStyle w:val="Tekstpodstawowy21"/>
        <w:tabs>
          <w:tab w:val="left" w:pos="426" w:leader="none"/>
          <w:tab w:val="left" w:pos="567" w:leader="none"/>
        </w:tabs>
        <w:rPr>
          <w:rFonts w:ascii="Times New Roman" w:hAnsi="Times New Roman"/>
          <w:sz w:val="22"/>
          <w:szCs w:val="22"/>
        </w:rPr>
      </w:pPr>
      <w:r>
        <w:rPr>
          <w:rFonts w:ascii="Times New Roman" w:hAnsi="Times New Roman"/>
          <w:sz w:val="22"/>
          <w:szCs w:val="22"/>
        </w:rPr>
        <w:t>Nie dotyczy.</w:t>
      </w:r>
    </w:p>
    <w:p>
      <w:pPr>
        <w:pStyle w:val="BodyText3"/>
        <w:spacing w:before="0" w:after="0"/>
        <w:jc w:val="center"/>
        <w:rPr>
          <w:rFonts w:ascii="Times New Roman" w:hAnsi="Times New Roman"/>
          <w:sz w:val="22"/>
          <w:szCs w:val="22"/>
        </w:rPr>
      </w:pPr>
      <w:r>
        <w:rPr>
          <w:rFonts w:ascii="Times New Roman" w:hAnsi="Times New Roman"/>
          <w:b/>
          <w:sz w:val="22"/>
          <w:szCs w:val="22"/>
        </w:rPr>
        <w:t xml:space="preserve">UZASADNIENIE </w:t>
      </w:r>
    </w:p>
    <w:p>
      <w:pPr>
        <w:pStyle w:val="BodyText3"/>
        <w:spacing w:before="0" w:after="0"/>
        <w:ind w:firstLine="540"/>
        <w:rPr>
          <w:rFonts w:ascii="Times New Roman" w:hAnsi="Times New Roman"/>
          <w:sz w:val="22"/>
          <w:szCs w:val="22"/>
        </w:rPr>
      </w:pPr>
      <w:r>
        <w:rPr>
          <w:rFonts w:ascii="Times New Roman" w:hAnsi="Times New Roman"/>
          <w:sz w:val="22"/>
          <w:szCs w:val="22"/>
        </w:rPr>
        <w:t xml:space="preserve">W dniu 28 kwietnia 2021 r. (data wpływu) </w:t>
      </w:r>
      <w:r>
        <w:rPr>
          <w:rFonts w:ascii="Times New Roman" w:hAnsi="Times New Roman"/>
          <w:b/>
          <w:bCs/>
          <w:sz w:val="22"/>
          <w:szCs w:val="22"/>
        </w:rPr>
        <w:t xml:space="preserve">GMINA JANIKOWO z siedzibą: ul. Przemysłowa 6, 88-160 Janikowo </w:t>
      </w:r>
      <w:r>
        <w:rPr>
          <w:rFonts w:ascii="Times New Roman" w:hAnsi="Times New Roman"/>
          <w:sz w:val="22"/>
          <w:szCs w:val="22"/>
        </w:rPr>
        <w:t xml:space="preserve">wystąpiła o ustalenie lokalizacji inwestycji celu publicznego polegającej na budowie sieci wodociągowej z przyłączami, budowie sieci kanalizacji sanitarnej z przyłączami, budowie sieci kanalizacji deszczowej oraz przebudowie istniejącej sieci ciepłowniczej i budowie sieci ciepłowniczej z przyłączami  przy ulicach: Głównej, Klonowej i Wiśniowej w Janikowie – realizacja inwestycji na działce nr ewid. 3/5 obręb ewidencyjny 3 miasto Janikowo oraz na działkach nr ewid. 151/9, 151/13, 149/37, 149/29, 83/24, 149/36, 83/78, 83/4, 149/8 obręb ewidencyjny 2 miasto Janikowo, gmina Janikowo. </w:t>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WWTekstpodstawowy3"/>
        <w:spacing w:before="0" w:after="0"/>
        <w:ind w:firstLine="540"/>
        <w:rPr>
          <w:rFonts w:ascii="Times New Roman" w:hAnsi="Times New Roman"/>
          <w:sz w:val="22"/>
          <w:szCs w:val="22"/>
        </w:rPr>
      </w:pPr>
      <w:r>
        <w:rPr>
          <w:rFonts w:ascii="Times New Roman" w:hAnsi="Times New Roman"/>
          <w:sz w:val="22"/>
          <w:szCs w:val="22"/>
        </w:rPr>
        <w:t>Rozpatrując wniosek stwierdzono, iż zgodnie z art. 2 pkt 2 ustawy z dnia 21 sierpnia 1997 r. o gospodarce nieruchomościami (</w:t>
      </w:r>
      <w:bookmarkStart w:id="4" w:name="_Hlk505749374"/>
      <w:r>
        <w:rPr>
          <w:rFonts w:ascii="Times New Roman" w:hAnsi="Times New Roman"/>
          <w:sz w:val="22"/>
          <w:szCs w:val="22"/>
        </w:rPr>
        <w:t xml:space="preserve">tekst jednolity: </w:t>
      </w:r>
      <w:bookmarkEnd w:id="4"/>
      <w:r>
        <w:rPr>
          <w:rFonts w:ascii="Times New Roman" w:hAnsi="Times New Roman"/>
          <w:sz w:val="22"/>
          <w:szCs w:val="22"/>
        </w:rPr>
        <w:t xml:space="preserve">Dz. U. z 2020 r. poz. 1990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2"/>
          <w:szCs w:val="22"/>
        </w:rPr>
      </w:pPr>
      <w:r>
        <w:rPr>
          <w:rFonts w:ascii="Times New Roman" w:hAnsi="Times New Roman"/>
          <w:sz w:val="22"/>
          <w:szCs w:val="22"/>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2"/>
          <w:szCs w:val="22"/>
        </w:rPr>
        <w:t xml:space="preserve">. </w:t>
      </w:r>
    </w:p>
    <w:p>
      <w:pPr>
        <w:pStyle w:val="WWTekstpodstawowy3"/>
        <w:numPr>
          <w:ilvl w:val="0"/>
          <w:numId w:val="6"/>
        </w:numPr>
        <w:spacing w:before="0" w:after="0"/>
        <w:ind w:left="284" w:hanging="284"/>
        <w:rPr>
          <w:rFonts w:ascii="Times New Roman" w:hAnsi="Times New Roman"/>
          <w:sz w:val="22"/>
          <w:szCs w:val="22"/>
        </w:rPr>
      </w:pPr>
      <w:r>
        <w:rPr>
          <w:rFonts w:ascii="Times New Roman" w:hAnsi="Times New Roman"/>
          <w:sz w:val="22"/>
          <w:szCs w:val="22"/>
        </w:rPr>
        <w:t>Teren wnioskowanej inwestycji:</w:t>
      </w:r>
    </w:p>
    <w:p>
      <w:pPr>
        <w:pStyle w:val="WWTekstpodstawowy3"/>
        <w:numPr>
          <w:ilvl w:val="0"/>
          <w:numId w:val="7"/>
        </w:numPr>
        <w:tabs>
          <w:tab w:val="clear" w:pos="708"/>
        </w:tabs>
        <w:spacing w:before="0" w:after="0"/>
        <w:ind w:left="567" w:hanging="283"/>
        <w:rPr>
          <w:rFonts w:ascii="Times New Roman" w:hAnsi="Times New Roman"/>
          <w:sz w:val="22"/>
          <w:szCs w:val="22"/>
        </w:rPr>
      </w:pPr>
      <w:r>
        <w:rPr>
          <w:rFonts w:ascii="Times New Roman" w:hAnsi="Times New Roman"/>
          <w:sz w:val="22"/>
          <w:szCs w:val="22"/>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Times New Roman" w:hAnsi="Times New Roman"/>
          <w:sz w:val="22"/>
          <w:szCs w:val="22"/>
        </w:rPr>
      </w:pPr>
      <w:r>
        <w:rPr>
          <w:rFonts w:ascii="Times New Roman" w:hAnsi="Times New Roman"/>
          <w:sz w:val="22"/>
          <w:szCs w:val="22"/>
        </w:rPr>
        <w:t xml:space="preserve">nie znajduje się na obszarze objętym ochroną z tytułu ustawy </w:t>
      </w:r>
      <w:bookmarkStart w:id="5" w:name="_Hlk506796204"/>
      <w:r>
        <w:rPr>
          <w:rFonts w:ascii="Times New Roman" w:hAnsi="Times New Roman"/>
          <w:sz w:val="22"/>
          <w:szCs w:val="22"/>
        </w:rPr>
        <w:t>z dnia 16 kwietnia 2004 r. o ochronie przyrody (Dz. U. z 2020 r. poz. 55 ze zm.)</w:t>
      </w:r>
      <w:bookmarkEnd w:id="5"/>
      <w:r>
        <w:rPr>
          <w:rFonts w:ascii="Times New Roman" w:hAnsi="Times New Roman"/>
          <w:sz w:val="22"/>
          <w:szCs w:val="22"/>
        </w:rPr>
        <w:t>,</w:t>
      </w:r>
    </w:p>
    <w:p>
      <w:pPr>
        <w:pStyle w:val="WWTekstpodstawowy3"/>
        <w:numPr>
          <w:ilvl w:val="0"/>
          <w:numId w:val="7"/>
        </w:numPr>
        <w:spacing w:before="0" w:after="0"/>
        <w:ind w:left="567" w:hanging="283"/>
        <w:rPr>
          <w:rFonts w:ascii="Times New Roman" w:hAnsi="Times New Roman"/>
          <w:sz w:val="22"/>
          <w:szCs w:val="22"/>
        </w:rPr>
      </w:pPr>
      <w:r>
        <w:rPr>
          <w:rFonts w:ascii="Times New Roman" w:hAnsi="Times New Roman"/>
          <w:sz w:val="22"/>
          <w:szCs w:val="22"/>
        </w:rPr>
        <w:t>nie znajduje się w strefie ochrony konserwatorskiej z tytułu ustawy z dnia 23 lipca 2003r. o ochronie zabytków i opiece nad zabytkami (tekst jednolity: Dz. U. z 2020 r. poz. 282 ze zm.),</w:t>
      </w:r>
    </w:p>
    <w:p>
      <w:pPr>
        <w:pStyle w:val="WWTekstpodstawowy3"/>
        <w:numPr>
          <w:ilvl w:val="0"/>
          <w:numId w:val="7"/>
        </w:numPr>
        <w:spacing w:before="0" w:after="0"/>
        <w:ind w:left="567" w:hanging="283"/>
        <w:rPr>
          <w:rFonts w:ascii="Times New Roman" w:hAnsi="Times New Roman"/>
          <w:sz w:val="22"/>
          <w:szCs w:val="22"/>
        </w:rPr>
      </w:pPr>
      <w:r>
        <w:rPr>
          <w:rFonts w:ascii="Times New Roman" w:hAnsi="Times New Roman"/>
          <w:sz w:val="22"/>
          <w:szCs w:val="22"/>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Times New Roman" w:hAnsi="Times New Roman"/>
          <w:sz w:val="22"/>
          <w:szCs w:val="22"/>
        </w:rPr>
      </w:pPr>
      <w:r>
        <w:rPr>
          <w:rFonts w:ascii="Times New Roman" w:hAnsi="Times New Roman"/>
          <w:sz w:val="22"/>
          <w:szCs w:val="22"/>
        </w:rPr>
        <w:t>stanowi drogi publiczne gminne będące w zarządzie organu wydającego niniejszą decyzję.</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WWTekstpodstawowy3"/>
        <w:spacing w:before="0" w:after="0"/>
        <w:ind w:hanging="0"/>
        <w:rPr>
          <w:rFonts w:ascii="Times New Roman" w:hAnsi="Times New Roman"/>
          <w:sz w:val="22"/>
          <w:szCs w:val="22"/>
        </w:rPr>
      </w:pPr>
      <w:r>
        <w:rPr>
          <w:rFonts w:ascii="Times New Roman" w:hAnsi="Times New Roman"/>
          <w:sz w:val="22"/>
          <w:szCs w:val="22"/>
        </w:rPr>
        <w:t>Projekt decyzji uzgodniono: z Państwowym Gospodarstwem Wodnym Wody Polskie Zarząd Zlewni Inowrocław w sprawach ochrony melioracji zgodnie z art. 53 ust. 4 pkt 6 ww. ustawy.</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Tretekstu"/>
        <w:ind w:hanging="0"/>
        <w:jc w:val="both"/>
        <w:rPr>
          <w:rFonts w:ascii="Times New Roman" w:hAnsi="Times New Roman"/>
          <w:sz w:val="22"/>
          <w:szCs w:val="22"/>
        </w:rPr>
      </w:pPr>
      <w:r>
        <w:rPr>
          <w:rFonts w:cs="Arial" w:ascii="Times New Roman" w:hAnsi="Times New Roman"/>
          <w:sz w:val="22"/>
          <w:szCs w:val="22"/>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hanging="0"/>
        <w:jc w:val="both"/>
        <w:rPr>
          <w:rFonts w:ascii="Times New Roman" w:hAnsi="Times New Roman"/>
          <w:sz w:val="22"/>
          <w:szCs w:val="22"/>
        </w:rPr>
      </w:pPr>
      <w:r>
        <w:rPr>
          <w:rFonts w:cs="Arial" w:ascii="Times New Roman" w:hAnsi="Times New Roman"/>
          <w:sz w:val="22"/>
          <w:szCs w:val="22"/>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NormalIMP"/>
        <w:spacing w:lineRule="auto" w:line="240"/>
        <w:ind w:hanging="0"/>
        <w:jc w:val="both"/>
        <w:rPr>
          <w:rFonts w:ascii="Times New Roman" w:hAnsi="Times New Roman"/>
          <w:sz w:val="22"/>
          <w:szCs w:val="22"/>
        </w:rPr>
      </w:pPr>
      <w:r>
        <w:rPr>
          <w:rFonts w:ascii="Times New Roman" w:hAnsi="Times New Roman"/>
          <w:sz w:val="22"/>
          <w:szCs w:val="22"/>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jc w:val="both"/>
        <w:rPr>
          <w:rFonts w:ascii="Times New Roman" w:hAnsi="Times New Roman"/>
          <w:sz w:val="22"/>
          <w:szCs w:val="22"/>
        </w:rPr>
      </w:pPr>
      <w:r>
        <w:rPr>
          <w:rFonts w:ascii="Times New Roman" w:hAnsi="Times New Roman"/>
          <w:sz w:val="22"/>
          <w:szCs w:val="22"/>
        </w:rPr>
        <w:t>Na mocy ustawy z dnia 27 marca 2003 r. o planowaniu i zagospodarowaniu przestrzennym:</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Times New Roman" w:hAnsi="Times New Roman"/>
          <w:sz w:val="22"/>
          <w:szCs w:val="22"/>
        </w:rPr>
      </w:pPr>
      <w:r>
        <w:rPr>
          <w:rFonts w:ascii="Times New Roman" w:hAnsi="Times New Roman"/>
          <w:sz w:val="22"/>
          <w:szCs w:val="22"/>
        </w:rPr>
        <w:t>niniejsza decyzja wiąże organ wydający decyzję o pozwoleniu na budowę (art. 55),</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Times New Roman" w:hAnsi="Times New Roman"/>
          <w:sz w:val="22"/>
          <w:szCs w:val="22"/>
        </w:rPr>
      </w:pPr>
      <w:r>
        <w:rPr>
          <w:rFonts w:ascii="Times New Roman" w:hAnsi="Times New Roman"/>
          <w:sz w:val="22"/>
          <w:szCs w:val="22"/>
        </w:rPr>
        <w:t>jeżeli decyzja wywołuje skutki, o których mowa w art. 36 ustawy, przepisy art. 36 oraz art. 37 stosuje się odpowiednio (art. 58 ust. 2),</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Times New Roman" w:hAnsi="Times New Roman"/>
          <w:sz w:val="22"/>
          <w:szCs w:val="22"/>
        </w:rPr>
      </w:pPr>
      <w:r>
        <w:rPr>
          <w:rFonts w:ascii="Times New Roman" w:hAnsi="Times New Roman"/>
          <w:sz w:val="22"/>
          <w:szCs w:val="22"/>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2"/>
          <w:szCs w:val="22"/>
        </w:rPr>
      </w:pPr>
      <w:r>
        <w:rPr>
          <w:rFonts w:ascii="Times New Roman" w:hAnsi="Times New Roman"/>
          <w:sz w:val="22"/>
          <w:szCs w:val="22"/>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2"/>
          <w:szCs w:val="22"/>
        </w:rPr>
      </w:pPr>
      <w:r>
        <w:rPr>
          <w:rFonts w:ascii="Times New Roman" w:hAnsi="Times New Roman"/>
          <w:sz w:val="22"/>
          <w:szCs w:val="22"/>
        </w:rPr>
        <w:t>-</w:t>
        <w:tab/>
        <w:t>dla tego terenu uchwalono plan miejscowy, którego ustalenia są inne niż w wydanej decyzji.</w:t>
      </w:r>
    </w:p>
    <w:p>
      <w:pPr>
        <w:pStyle w:val="Normal"/>
        <w:ind w:firstLine="708"/>
        <w:jc w:val="both"/>
        <w:rPr>
          <w:rFonts w:ascii="Times New Roman" w:hAnsi="Times New Roman" w:cs="Arial"/>
          <w:bCs/>
          <w:sz w:val="22"/>
          <w:szCs w:val="22"/>
        </w:rPr>
      </w:pPr>
      <w:r>
        <w:rPr>
          <w:rFonts w:cs="Arial" w:ascii="Times New Roman" w:hAnsi="Times New Roman"/>
          <w:bCs/>
          <w:sz w:val="22"/>
          <w:szCs w:val="22"/>
        </w:rPr>
      </w:r>
    </w:p>
    <w:p>
      <w:pPr>
        <w:pStyle w:val="Tekstpodstawowy21"/>
        <w:tabs>
          <w:tab w:val="clear" w:pos="426"/>
          <w:tab w:val="left" w:pos="708" w:leader="none"/>
        </w:tabs>
        <w:suppressAutoHyphens w:val="false"/>
        <w:jc w:val="center"/>
        <w:rPr>
          <w:rFonts w:ascii="Times New Roman" w:hAnsi="Times New Roman"/>
          <w:sz w:val="22"/>
          <w:szCs w:val="22"/>
        </w:rPr>
      </w:pPr>
      <w:r>
        <w:rPr>
          <w:rFonts w:ascii="Times New Roman" w:hAnsi="Times New Roman"/>
          <w:b/>
          <w:sz w:val="22"/>
          <w:szCs w:val="22"/>
        </w:rPr>
        <w:t>Pouczenie</w:t>
      </w:r>
    </w:p>
    <w:p>
      <w:pPr>
        <w:pStyle w:val="BodyText3"/>
        <w:spacing w:before="0" w:after="0"/>
        <w:ind w:firstLine="539"/>
        <w:rPr>
          <w:rFonts w:ascii="Times New Roman" w:hAnsi="Times New Roman"/>
          <w:sz w:val="22"/>
          <w:szCs w:val="22"/>
        </w:rPr>
      </w:pPr>
      <w:r>
        <w:rPr>
          <w:rFonts w:cs="Times New Roman" w:ascii="Times New Roman" w:hAnsi="Times New Roman"/>
          <w:sz w:val="22"/>
          <w:szCs w:val="22"/>
        </w:rPr>
        <w:t xml:space="preserve">Od niniejszej decyzji służy stronom odwołanie do Samorządowego Kolegium Odwoławczego w Bydgoszczy, które należy wnieść za pośrednictwem </w:t>
      </w:r>
      <w:r>
        <w:rPr>
          <w:rFonts w:ascii="Times New Roman" w:hAnsi="Times New Roman"/>
          <w:sz w:val="22"/>
          <w:szCs w:val="22"/>
        </w:rPr>
        <w:t>Burmistrza Gminy i Miasta Janikowa</w:t>
      </w:r>
      <w:r>
        <w:rPr>
          <w:rFonts w:cs="Times New Roman" w:ascii="Times New Roman" w:hAnsi="Times New Roman"/>
          <w:sz w:val="22"/>
          <w:szCs w:val="22"/>
        </w:rPr>
        <w:t xml:space="preserve">  w terminie 14 dni od daty doręczenia. </w:t>
      </w:r>
    </w:p>
    <w:p>
      <w:pPr>
        <w:pStyle w:val="BodyText3"/>
        <w:spacing w:before="0" w:after="0"/>
        <w:ind w:firstLine="539"/>
        <w:rPr>
          <w:rFonts w:ascii="Times New Roman" w:hAnsi="Times New Roman"/>
          <w:sz w:val="22"/>
          <w:szCs w:val="22"/>
        </w:rPr>
      </w:pPr>
      <w:bookmarkStart w:id="6" w:name="_Hlk487432118"/>
      <w:r>
        <w:rPr>
          <w:rFonts w:cs="Times New Roman" w:ascii="Times New Roman" w:hAnsi="Times New Roman"/>
          <w:sz w:val="22"/>
          <w:szCs w:val="22"/>
        </w:rPr>
        <w:t>Zgodnie z art. 127a § 1 i 2 ustawy z dnia 14 czerwca 1960 r. Kodeks postępowania administracyjnego (tekst jednolity: Dz. U. z 2021 r. poz. 735) w trakcie biegu terminu do wniesienia odwołania strona może zrzec się prawa do wniesienia odwołania wobec organu administracji publicznej, który wydał decyzję</w:t>
      </w:r>
      <w:bookmarkEnd w:id="6"/>
      <w:r>
        <w:rPr>
          <w:rFonts w:cs="Times New Roman" w:ascii="Times New Roman" w:hAnsi="Times New Roman"/>
          <w:sz w:val="22"/>
          <w:szCs w:val="22"/>
        </w:rPr>
        <w:t xml:space="preserve">. </w:t>
      </w:r>
    </w:p>
    <w:p>
      <w:pPr>
        <w:pStyle w:val="BodyText3"/>
        <w:spacing w:before="0" w:after="0"/>
        <w:ind w:firstLine="539"/>
        <w:rPr>
          <w:rFonts w:ascii="Times New Roman" w:hAnsi="Times New Roman"/>
          <w:sz w:val="22"/>
          <w:szCs w:val="22"/>
        </w:rPr>
      </w:pPr>
      <w:r>
        <w:rPr>
          <w:rFonts w:cs="Times New Roman" w:ascii="Times New Roman" w:hAnsi="Times New Roman"/>
          <w:sz w:val="22"/>
          <w:szCs w:val="22"/>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Times New Roman" w:hAnsi="Times New Roman" w:cs="Arial"/>
          <w:bCs/>
          <w:sz w:val="22"/>
          <w:szCs w:val="22"/>
        </w:rPr>
      </w:pPr>
      <w:r>
        <w:rPr>
          <w:rFonts w:cs="Arial" w:ascii="Times New Roman" w:hAnsi="Times New Roman"/>
          <w:bCs/>
          <w:sz w:val="22"/>
          <w:szCs w:val="22"/>
        </w:rPr>
      </w:r>
    </w:p>
    <w:p>
      <w:pPr>
        <w:pStyle w:val="Normal"/>
        <w:ind w:left="5664" w:hanging="0"/>
        <w:rPr>
          <w:rFonts w:ascii="Times New Roman" w:hAnsi="Times New Roman"/>
          <w:sz w:val="22"/>
          <w:szCs w:val="22"/>
        </w:rPr>
      </w:pPr>
      <w:r>
        <w:rPr>
          <w:rFonts w:ascii="Times New Roman" w:hAnsi="Times New Roman"/>
          <w:sz w:val="22"/>
          <w:szCs w:val="22"/>
        </w:rPr>
      </w:r>
    </w:p>
    <w:p>
      <w:pPr>
        <w:pStyle w:val="Normal"/>
        <w:ind w:left="5664" w:hanging="0"/>
        <w:rPr>
          <w:rFonts w:ascii="Times New Roman" w:hAnsi="Times New Roman"/>
          <w:sz w:val="22"/>
          <w:szCs w:val="22"/>
        </w:rPr>
      </w:pPr>
      <w:r>
        <w:rPr>
          <w:rFonts w:ascii="Times New Roman" w:hAnsi="Times New Roman"/>
          <w:sz w:val="22"/>
          <w:szCs w:val="22"/>
        </w:rPr>
      </w:r>
    </w:p>
    <w:p>
      <w:pPr>
        <w:pStyle w:val="Normal"/>
        <w:ind w:left="5664" w:hanging="0"/>
        <w:rPr>
          <w:rFonts w:ascii="Times New Roman" w:hAnsi="Times New Roman"/>
          <w:sz w:val="22"/>
          <w:szCs w:val="22"/>
        </w:rPr>
      </w:pPr>
      <w:r>
        <w:rPr>
          <w:rFonts w:ascii="Times New Roman" w:hAnsi="Times New Roman"/>
          <w:sz w:val="22"/>
          <w:szCs w:val="22"/>
        </w:rPr>
      </w:r>
    </w:p>
    <w:p>
      <w:pPr>
        <w:pStyle w:val="Normal"/>
        <w:ind w:hanging="0"/>
        <w:rPr>
          <w:rFonts w:ascii="Times New Roman" w:hAnsi="Times New Roman"/>
          <w:sz w:val="22"/>
          <w:szCs w:val="22"/>
        </w:rPr>
      </w:pPr>
      <w:r>
        <w:rPr>
          <w:rFonts w:ascii="Times New Roman" w:hAnsi="Times New Roman"/>
          <w:sz w:val="22"/>
          <w:szCs w:val="22"/>
        </w:rPr>
      </w:r>
    </w:p>
    <w:p>
      <w:pPr>
        <w:pStyle w:val="Normal"/>
        <w:ind w:right="4536" w:hanging="0"/>
        <w:rPr>
          <w:rFonts w:ascii="Times New Roman" w:hAnsi="Times New Roman"/>
          <w:sz w:val="16"/>
          <w:szCs w:val="16"/>
        </w:rPr>
      </w:pPr>
      <w:r>
        <w:rPr>
          <w:rFonts w:ascii="Times New Roman" w:hAnsi="Times New Roman"/>
          <w:b/>
          <w:sz w:val="16"/>
          <w:szCs w:val="16"/>
          <w:u w:val="single"/>
        </w:rPr>
        <w:t xml:space="preserve">Załącznik: </w:t>
      </w:r>
    </w:p>
    <w:p>
      <w:pPr>
        <w:pStyle w:val="ListParagraph"/>
        <w:numPr>
          <w:ilvl w:val="3"/>
          <w:numId w:val="5"/>
        </w:numPr>
        <w:tabs>
          <w:tab w:val="clear" w:pos="708"/>
          <w:tab w:val="left" w:pos="284" w:leader="none"/>
        </w:tabs>
        <w:ind w:left="0" w:right="4536" w:hanging="0"/>
        <w:rPr>
          <w:rFonts w:ascii="Times New Roman" w:hAnsi="Times New Roman"/>
          <w:sz w:val="16"/>
          <w:szCs w:val="16"/>
        </w:rPr>
      </w:pPr>
      <w:r>
        <w:rPr>
          <w:rFonts w:ascii="Times New Roman" w:hAnsi="Times New Roman"/>
          <w:sz w:val="16"/>
          <w:szCs w:val="16"/>
        </w:rPr>
        <w:t>część graficzna –</w:t>
      </w:r>
      <w:r>
        <w:rPr>
          <w:rFonts w:ascii="Times New Roman" w:hAnsi="Times New Roman"/>
          <w:b/>
          <w:sz w:val="16"/>
          <w:szCs w:val="16"/>
        </w:rPr>
        <w:t xml:space="preserve"> </w:t>
      </w:r>
      <w:r>
        <w:rPr>
          <w:rFonts w:ascii="Times New Roman" w:hAnsi="Times New Roman"/>
          <w:sz w:val="16"/>
          <w:szCs w:val="16"/>
        </w:rPr>
        <w:t>załącznik nr 1.</w:t>
      </w:r>
    </w:p>
    <w:p>
      <w:pPr>
        <w:pStyle w:val="ListParagraph"/>
        <w:tabs>
          <w:tab w:val="clear" w:pos="708"/>
          <w:tab w:val="left" w:pos="284" w:leader="none"/>
        </w:tabs>
        <w:ind w:left="0" w:right="4536" w:hanging="0"/>
        <w:rPr>
          <w:rFonts w:ascii="Times New Roman" w:hAnsi="Times New Roman"/>
          <w:sz w:val="16"/>
          <w:szCs w:val="16"/>
        </w:rPr>
      </w:pPr>
      <w:r>
        <w:rPr>
          <w:rFonts w:ascii="Times New Roman" w:hAnsi="Times New Roman"/>
          <w:b/>
          <w:sz w:val="16"/>
          <w:szCs w:val="16"/>
          <w:u w:val="single"/>
        </w:rPr>
        <w:t>Otrzymują:</w:t>
      </w:r>
    </w:p>
    <w:p>
      <w:pPr>
        <w:pStyle w:val="ListParagraph"/>
        <w:numPr>
          <w:ilvl w:val="3"/>
          <w:numId w:val="4"/>
        </w:numPr>
        <w:tabs>
          <w:tab w:val="clear" w:pos="708"/>
          <w:tab w:val="left" w:pos="284" w:leader="none"/>
        </w:tabs>
        <w:ind w:left="284" w:right="4536" w:hanging="284"/>
        <w:rPr>
          <w:rFonts w:ascii="Times New Roman" w:hAnsi="Times New Roman"/>
          <w:sz w:val="16"/>
          <w:szCs w:val="16"/>
        </w:rPr>
      </w:pPr>
      <w:r>
        <w:rPr>
          <w:rFonts w:ascii="Times New Roman" w:hAnsi="Times New Roman"/>
          <w:sz w:val="16"/>
          <w:szCs w:val="16"/>
        </w:rPr>
        <w:t>wnioskodawca</w:t>
      </w:r>
    </w:p>
    <w:p>
      <w:pPr>
        <w:pStyle w:val="ListParagraph"/>
        <w:numPr>
          <w:ilvl w:val="3"/>
          <w:numId w:val="4"/>
        </w:numPr>
        <w:tabs>
          <w:tab w:val="clear" w:pos="708"/>
          <w:tab w:val="left" w:pos="284" w:leader="none"/>
        </w:tabs>
        <w:ind w:left="2880" w:right="4536" w:hanging="2880"/>
        <w:rPr>
          <w:rFonts w:ascii="Times New Roman" w:hAnsi="Times New Roman"/>
          <w:sz w:val="16"/>
          <w:szCs w:val="16"/>
        </w:rPr>
      </w:pPr>
      <w:r>
        <w:rPr>
          <w:rFonts w:ascii="Times New Roman" w:hAnsi="Times New Roman"/>
          <w:sz w:val="16"/>
          <w:szCs w:val="16"/>
        </w:rPr>
        <w:t>inne strony postępowania</w:t>
      </w:r>
    </w:p>
    <w:p>
      <w:pPr>
        <w:pStyle w:val="Normal"/>
        <w:tabs>
          <w:tab w:val="clear" w:pos="708"/>
          <w:tab w:val="left" w:pos="284" w:leader="none"/>
        </w:tabs>
        <w:ind w:right="4536" w:hanging="0"/>
        <w:rPr>
          <w:rFonts w:ascii="Times New Roman" w:hAnsi="Times New Roman"/>
          <w:sz w:val="22"/>
          <w:szCs w:val="22"/>
        </w:rPr>
      </w:pPr>
      <w:r>
        <w:rPr>
          <w:rFonts w:ascii="Times New Roman" w:hAnsi="Times New Roman"/>
          <w:sz w:val="22"/>
          <w:szCs w:val="22"/>
        </w:rPr>
        <w:tab/>
      </w:r>
      <w:r>
        <w:rPr>
          <w:rFonts w:ascii="Times New Roman" w:hAnsi="Times New Roman"/>
          <w:sz w:val="16"/>
          <w:szCs w:val="16"/>
        </w:rPr>
        <w:t>(zgodnie z rozdzielnikiem Urzędu Miejskiego w Janikowie)</w:t>
      </w:r>
    </w:p>
    <w:p>
      <w:pPr>
        <w:pStyle w:val="Normal"/>
        <w:rPr>
          <w:rFonts w:ascii="Times New Roman" w:hAnsi="Times New Roman"/>
          <w:sz w:val="22"/>
          <w:szCs w:val="22"/>
        </w:rPr>
      </w:pPr>
      <w:r>
        <w:rPr>
          <w:rFonts w:ascii="Times New Roman" w:hAnsi="Times New Roman"/>
          <w:sz w:val="22"/>
          <w:szCs w:val="22"/>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76835" cy="175260"/>
              <wp:effectExtent l="0" t="0" r="0" b="0"/>
              <wp:wrapSquare wrapText="largest"/>
              <wp:docPr id="1" name="Ramka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val="bestFit" w:percent="22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LibreOffice/6.4.5.2$Windows_X86_64 LibreOffice_project/a726b36747cf2001e06b58ad5db1aa3a9a1872d6</Application>
  <Pages>5</Pages>
  <Words>2607</Words>
  <Characters>15577</Characters>
  <CharactersWithSpaces>18111</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2021-05-16T11:53:00Z</dcterms:created>
  <dc:creator>Agnieszka Kujath-Jaworska</dc:creator>
  <dc:description/>
  <dc:language>pl-PL</dc:language>
  <cp:lastModifiedBy/>
  <cp:lastPrinted>2020-01-23T18:17:00Z</cp:lastPrinted>
  <dcterms:modified xsi:type="dcterms:W3CDTF">2021-07-05T07:22:48Z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