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right"/>
        <w:rPr>
          <w:b/>
          <w:b/>
        </w:rPr>
      </w:pPr>
      <w:r>
        <w:rPr>
          <w:rFonts w:ascii="Times New Roman" w:hAnsi="Times New Roman"/>
          <w:sz w:val="24"/>
          <w:szCs w:val="24"/>
        </w:rPr>
      </w:r>
    </w:p>
    <w:p>
      <w:pPr>
        <w:pStyle w:val="Normal"/>
        <w:ind w:firstLine="5400"/>
        <w:jc w:val="right"/>
        <w:rPr>
          <w:rFonts w:ascii="Times New Roman" w:hAnsi="Times New Roman"/>
          <w:sz w:val="24"/>
          <w:szCs w:val="24"/>
        </w:rPr>
      </w:pPr>
      <w:r>
        <w:rPr>
          <w:rFonts w:ascii="Times New Roman" w:hAnsi="Times New Roman"/>
          <w:sz w:val="24"/>
          <w:szCs w:val="24"/>
        </w:rPr>
        <w:t xml:space="preserve">Janikowo, dnia  </w:t>
      </w:r>
      <w:r>
        <w:rPr>
          <w:rFonts w:ascii="Times New Roman" w:hAnsi="Times New Roman"/>
          <w:sz w:val="24"/>
          <w:szCs w:val="24"/>
        </w:rPr>
        <w:t>31.05</w:t>
      </w:r>
      <w:r>
        <w:rPr>
          <w:rFonts w:ascii="Times New Roman" w:hAnsi="Times New Roman"/>
          <w:sz w:val="24"/>
          <w:szCs w:val="24"/>
        </w:rPr>
        <w:t>.2019 r.</w:t>
      </w:r>
    </w:p>
    <w:p>
      <w:pPr>
        <w:pStyle w:val="NormalIMP"/>
        <w:suppressAutoHyphens w:val="false"/>
        <w:overflowPunct w:val="true"/>
        <w:spacing w:lineRule="auto" w:line="240"/>
        <w:textAlignment w:val="auto"/>
        <w:rPr>
          <w:rFonts w:ascii="Times New Roman" w:hAnsi="Times New Roman"/>
          <w:sz w:val="24"/>
          <w:szCs w:val="24"/>
        </w:rPr>
      </w:pPr>
      <w:r>
        <w:rPr>
          <w:rFonts w:ascii="Times New Roman" w:hAnsi="Times New Roman"/>
          <w:sz w:val="24"/>
          <w:szCs w:val="24"/>
        </w:rPr>
        <w:t>RIT.GP.6733.</w:t>
      </w:r>
      <w:r>
        <w:rPr>
          <w:rFonts w:ascii="Times New Roman" w:hAnsi="Times New Roman"/>
          <w:sz w:val="24"/>
          <w:szCs w:val="24"/>
        </w:rPr>
        <w:t>06</w:t>
      </w:r>
      <w:r>
        <w:rPr>
          <w:rFonts w:ascii="Times New Roman" w:hAnsi="Times New Roman"/>
          <w:sz w:val="24"/>
          <w:szCs w:val="24"/>
        </w:rPr>
        <w:t>.2019.AS</w:t>
      </w:r>
    </w:p>
    <w:p>
      <w:pPr>
        <w:pStyle w:val="NormalIMP"/>
        <w:suppressAutoHyphens w:val="false"/>
        <w:spacing w:lineRule="auto" w:line="240"/>
        <w:rPr>
          <w:rFonts w:ascii="Times New Roman" w:hAnsi="Times New Roman"/>
          <w:b/>
          <w:b/>
          <w:sz w:val="24"/>
          <w:szCs w:val="24"/>
          <w:u w:val="single"/>
        </w:rPr>
      </w:pPr>
      <w:r>
        <w:rPr>
          <w:rFonts w:ascii="Times New Roman" w:hAnsi="Times New Roman"/>
          <w:b/>
          <w:sz w:val="24"/>
          <w:szCs w:val="24"/>
          <w:u w:val="single"/>
        </w:rPr>
      </w:r>
    </w:p>
    <w:p>
      <w:pPr>
        <w:pStyle w:val="Nagwek2"/>
        <w:rPr>
          <w:rFonts w:ascii="Times New Roman" w:hAnsi="Times New Roman"/>
          <w:sz w:val="24"/>
          <w:szCs w:val="24"/>
        </w:rPr>
      </w:pPr>
      <w:r>
        <w:rPr>
          <w:rFonts w:ascii="Times New Roman" w:hAnsi="Times New Roman"/>
          <w:sz w:val="24"/>
          <w:szCs w:val="24"/>
        </w:rPr>
        <w:t xml:space="preserve">DECYZJA Nr </w:t>
      </w:r>
      <w:r>
        <w:rPr>
          <w:rFonts w:ascii="Times New Roman" w:hAnsi="Times New Roman"/>
          <w:sz w:val="24"/>
          <w:szCs w:val="24"/>
        </w:rPr>
        <w:t>06-CP-19</w:t>
      </w:r>
    </w:p>
    <w:p>
      <w:pPr>
        <w:pStyle w:val="Normal"/>
        <w:jc w:val="center"/>
        <w:rPr>
          <w:rFonts w:ascii="Arial Narrow" w:hAnsi="Arial Narrow"/>
          <w:b/>
          <w:b/>
        </w:rPr>
      </w:pPr>
      <w:r>
        <w:rPr>
          <w:rFonts w:ascii="Times New Roman" w:hAnsi="Times New Roman"/>
          <w:b/>
          <w:sz w:val="24"/>
          <w:szCs w:val="24"/>
        </w:rPr>
        <w:t xml:space="preserve">o ustaleniu lokalizacji inwestycji celu publicznego </w:t>
      </w:r>
    </w:p>
    <w:p>
      <w:pPr>
        <w:pStyle w:val="BodyText3"/>
        <w:ind w:firstLine="540"/>
        <w:rPr>
          <w:rFonts w:ascii="Arial Narrow" w:hAnsi="Arial Narrow"/>
          <w:sz w:val="20"/>
        </w:rPr>
      </w:pPr>
      <w:r>
        <w:rPr>
          <w:rFonts w:ascii="Times New Roman" w:hAnsi="Times New Roman"/>
          <w:sz w:val="24"/>
          <w:szCs w:val="24"/>
        </w:rPr>
        <w:t>Na podstawie art. 1 ust. 2, art. 4 ust. 2 pkt 1, art. 50 ust. 1, 4, art. 51 ust. 1 pkt 2, art. 53 ust. 1, 3, 4 art. 54 ust. 9, 10 i 10a ustawy z dnia 27 marca 2003 r. o planowaniu i zagospodarowaniu przestrzennym (tekst jednolity: Dz. U. z 2018 r. poz. 1945 ze zm.), art. 104  ustawy z dnia 14 czerwca 1960 r. Kodeks postępowania administracyjnego (</w:t>
      </w:r>
      <w:bookmarkStart w:id="0" w:name="_Hlk881644"/>
      <w:r>
        <w:rPr>
          <w:rFonts w:ascii="Times New Roman" w:hAnsi="Times New Roman"/>
          <w:sz w:val="24"/>
          <w:szCs w:val="24"/>
        </w:rPr>
        <w:t>tekst jednolity: Dz. U. z 2018 r. poz. 2096)</w:t>
      </w:r>
      <w:bookmarkEnd w:id="0"/>
      <w:r>
        <w:rPr>
          <w:rFonts w:ascii="Times New Roman" w:hAnsi="Times New Roman"/>
          <w:sz w:val="24"/>
          <w:szCs w:val="24"/>
        </w:rPr>
        <w:t xml:space="preserve"> oraz </w:t>
      </w:r>
      <w:r>
        <w:rPr>
          <w:rFonts w:ascii="Times New Roman" w:hAnsi="Times New Roman"/>
          <w:b/>
          <w:sz w:val="24"/>
          <w:szCs w:val="24"/>
        </w:rPr>
        <w:t>rozpatrując wniosek</w:t>
      </w:r>
    </w:p>
    <w:p>
      <w:pPr>
        <w:pStyle w:val="BodyText3"/>
        <w:spacing w:before="0" w:after="0"/>
        <w:jc w:val="center"/>
        <w:rPr>
          <w:rFonts w:ascii="Arial Narrow" w:hAnsi="Arial Narrow"/>
          <w:sz w:val="20"/>
        </w:rPr>
      </w:pPr>
      <w:r>
        <w:rPr>
          <w:rFonts w:ascii="Times New Roman" w:hAnsi="Times New Roman"/>
          <w:sz w:val="24"/>
          <w:szCs w:val="24"/>
        </w:rPr>
        <w:t>z dnia 27 marca 2019 r. (data wpływu)</w:t>
      </w:r>
    </w:p>
    <w:p>
      <w:pPr>
        <w:pStyle w:val="BodyText3"/>
        <w:spacing w:before="0" w:after="0"/>
        <w:jc w:val="center"/>
        <w:rPr>
          <w:rFonts w:ascii="Arial Narrow" w:hAnsi="Arial Narrow"/>
          <w:sz w:val="20"/>
        </w:rPr>
      </w:pPr>
      <w:r>
        <w:rPr>
          <w:rFonts w:ascii="Times New Roman" w:hAnsi="Times New Roman"/>
          <w:sz w:val="24"/>
          <w:szCs w:val="24"/>
        </w:rPr>
        <w:t>uzupełniony w dniu 10 kwietnia 2019 r. (data wpływu)</w:t>
      </w:r>
    </w:p>
    <w:p>
      <w:pPr>
        <w:pStyle w:val="BodyText3"/>
        <w:spacing w:before="0" w:after="0"/>
        <w:jc w:val="center"/>
        <w:rPr>
          <w:rFonts w:ascii="Arial Narrow" w:hAnsi="Arial Narrow"/>
          <w:b/>
          <w:b/>
          <w:bCs/>
          <w:sz w:val="20"/>
          <w:szCs w:val="20"/>
        </w:rPr>
      </w:pPr>
      <w:r>
        <w:rPr>
          <w:rFonts w:ascii="Times New Roman" w:hAnsi="Times New Roman"/>
          <w:b/>
          <w:bCs/>
          <w:sz w:val="24"/>
          <w:szCs w:val="24"/>
        </w:rPr>
        <w:t xml:space="preserve">Pana Marka Rabsztyn </w:t>
      </w:r>
    </w:p>
    <w:p>
      <w:pPr>
        <w:pStyle w:val="BodyText3"/>
        <w:spacing w:before="0" w:after="0"/>
        <w:jc w:val="center"/>
        <w:rPr>
          <w:rFonts w:ascii="Arial Narrow" w:hAnsi="Arial Narrow"/>
          <w:b/>
          <w:b/>
          <w:bCs/>
          <w:sz w:val="18"/>
          <w:szCs w:val="18"/>
          <w:u w:val="single"/>
        </w:rPr>
      </w:pPr>
      <w:r>
        <w:rPr>
          <w:rFonts w:ascii="Times New Roman" w:hAnsi="Times New Roman"/>
          <w:b/>
          <w:bCs/>
          <w:sz w:val="24"/>
          <w:szCs w:val="24"/>
          <w:u w:val="single"/>
        </w:rPr>
        <w:t xml:space="preserve">reprezentującego </w:t>
      </w:r>
    </w:p>
    <w:p>
      <w:pPr>
        <w:pStyle w:val="BodyText3"/>
        <w:spacing w:before="0" w:after="0"/>
        <w:jc w:val="center"/>
        <w:rPr>
          <w:rFonts w:ascii="Arial Narrow" w:hAnsi="Arial Narrow"/>
          <w:b/>
          <w:b/>
          <w:bCs/>
          <w:sz w:val="20"/>
          <w:szCs w:val="20"/>
        </w:rPr>
      </w:pPr>
      <w:r>
        <w:rPr>
          <w:rFonts w:ascii="Times New Roman" w:hAnsi="Times New Roman"/>
          <w:b/>
          <w:bCs/>
          <w:sz w:val="24"/>
          <w:szCs w:val="24"/>
        </w:rPr>
        <w:t xml:space="preserve">BSPiR ENERGOPROJEKT-KATOWICE S.A. </w:t>
      </w:r>
    </w:p>
    <w:p>
      <w:pPr>
        <w:pStyle w:val="BodyText3"/>
        <w:spacing w:before="0" w:after="0"/>
        <w:jc w:val="center"/>
        <w:rPr>
          <w:rFonts w:ascii="Arial Narrow" w:hAnsi="Arial Narrow"/>
          <w:b/>
          <w:b/>
          <w:bCs/>
          <w:sz w:val="20"/>
          <w:szCs w:val="20"/>
        </w:rPr>
      </w:pPr>
      <w:r>
        <w:rPr>
          <w:rFonts w:ascii="Times New Roman" w:hAnsi="Times New Roman"/>
          <w:b/>
          <w:bCs/>
          <w:sz w:val="24"/>
          <w:szCs w:val="24"/>
        </w:rPr>
        <w:t xml:space="preserve">z siedzibą: ul. Jesionowa 15, skr pocz. 315, 40-159 Katowice </w:t>
      </w:r>
    </w:p>
    <w:p>
      <w:pPr>
        <w:pStyle w:val="BodyText3"/>
        <w:spacing w:before="0" w:after="0"/>
        <w:jc w:val="center"/>
        <w:rPr>
          <w:rFonts w:ascii="Arial Narrow" w:hAnsi="Arial Narrow"/>
          <w:b/>
          <w:b/>
          <w:bCs/>
          <w:sz w:val="18"/>
          <w:szCs w:val="18"/>
          <w:u w:val="single"/>
        </w:rPr>
      </w:pPr>
      <w:r>
        <w:rPr>
          <w:rFonts w:ascii="Times New Roman" w:hAnsi="Times New Roman"/>
          <w:b/>
          <w:bCs/>
          <w:sz w:val="24"/>
          <w:szCs w:val="24"/>
          <w:u w:val="single"/>
        </w:rPr>
        <w:t>działającego w imieniu inwestora tj.</w:t>
      </w:r>
    </w:p>
    <w:p>
      <w:pPr>
        <w:pStyle w:val="BodyText3"/>
        <w:spacing w:before="0" w:after="0"/>
        <w:jc w:val="center"/>
        <w:rPr>
          <w:rFonts w:ascii="Arial Narrow" w:hAnsi="Arial Narrow"/>
          <w:b/>
          <w:b/>
          <w:bCs/>
          <w:sz w:val="20"/>
          <w:szCs w:val="20"/>
        </w:rPr>
      </w:pPr>
      <w:bookmarkStart w:id="1" w:name="_Hlk503261353"/>
      <w:r>
        <w:rPr>
          <w:rFonts w:ascii="Times New Roman" w:hAnsi="Times New Roman"/>
          <w:b/>
          <w:bCs/>
          <w:sz w:val="24"/>
          <w:szCs w:val="24"/>
        </w:rPr>
        <w:t xml:space="preserve">Polskich </w:t>
      </w:r>
      <w:bookmarkEnd w:id="1"/>
      <w:r>
        <w:rPr>
          <w:rFonts w:ascii="Times New Roman" w:hAnsi="Times New Roman"/>
          <w:b/>
          <w:bCs/>
          <w:sz w:val="24"/>
          <w:szCs w:val="24"/>
        </w:rPr>
        <w:t>Kolei Państwowych S.A.</w:t>
      </w:r>
    </w:p>
    <w:p>
      <w:pPr>
        <w:pStyle w:val="BodyText3"/>
        <w:spacing w:before="0" w:after="0"/>
        <w:jc w:val="center"/>
        <w:rPr>
          <w:rFonts w:ascii="Arial Narrow" w:hAnsi="Arial Narrow"/>
          <w:b/>
          <w:b/>
          <w:bCs/>
          <w:sz w:val="20"/>
          <w:szCs w:val="20"/>
        </w:rPr>
      </w:pPr>
      <w:r>
        <w:rPr>
          <w:rFonts w:ascii="Times New Roman" w:hAnsi="Times New Roman"/>
          <w:b/>
          <w:bCs/>
          <w:sz w:val="24"/>
          <w:szCs w:val="24"/>
        </w:rPr>
        <w:t>z siedzibą: Al. Jerozolimskie 142 A, 02-305 Warszawa</w:t>
      </w:r>
    </w:p>
    <w:p>
      <w:pPr>
        <w:pStyle w:val="BodyText3"/>
        <w:spacing w:before="0" w:after="0"/>
        <w:jc w:val="center"/>
        <w:rPr>
          <w:rFonts w:ascii="Arial Narrow" w:hAnsi="Arial Narrow"/>
          <w:b/>
          <w:b/>
          <w:bCs/>
          <w:sz w:val="18"/>
          <w:szCs w:val="18"/>
          <w:u w:val="single"/>
        </w:rPr>
      </w:pPr>
      <w:r>
        <w:rPr>
          <w:rFonts w:ascii="Times New Roman" w:hAnsi="Times New Roman"/>
          <w:b/>
          <w:bCs/>
          <w:sz w:val="24"/>
          <w:szCs w:val="24"/>
          <w:u w:val="single"/>
        </w:rPr>
        <w:t xml:space="preserve">/na mocy pełnomocnictwa z dnia 7 lutego 2019 r./ </w:t>
      </w:r>
    </w:p>
    <w:p>
      <w:pPr>
        <w:pStyle w:val="BodyText3"/>
        <w:spacing w:before="0" w:after="0"/>
        <w:jc w:val="center"/>
        <w:rPr>
          <w:rFonts w:ascii="Times New Roman" w:hAnsi="Times New Roman"/>
          <w:b/>
          <w:b/>
          <w:bCs/>
          <w:sz w:val="24"/>
          <w:szCs w:val="24"/>
        </w:rPr>
      </w:pPr>
      <w:r>
        <w:rPr>
          <w:rFonts w:ascii="Times New Roman" w:hAnsi="Times New Roman"/>
          <w:b/>
          <w:bCs/>
          <w:sz w:val="24"/>
          <w:szCs w:val="24"/>
        </w:rPr>
      </w:r>
    </w:p>
    <w:p>
      <w:pPr>
        <w:pStyle w:val="BodyText3"/>
        <w:spacing w:before="0" w:after="0"/>
        <w:rPr>
          <w:rFonts w:ascii="Arial Narrow" w:hAnsi="Arial Narrow"/>
          <w:sz w:val="20"/>
        </w:rPr>
      </w:pPr>
      <w:r>
        <w:rPr>
          <w:rFonts w:ascii="Times New Roman" w:hAnsi="Times New Roman"/>
          <w:sz w:val="24"/>
          <w:szCs w:val="24"/>
        </w:rPr>
        <w:t xml:space="preserve">o ustalenie lokalizacji inwestycji celu publicznego dla inwestycji polegającej na </w:t>
      </w:r>
      <w:bookmarkStart w:id="2" w:name="_Hlk6471467"/>
      <w:bookmarkStart w:id="3" w:name="_Hlk497657784"/>
      <w:r>
        <w:rPr>
          <w:rFonts w:ascii="Times New Roman" w:hAnsi="Times New Roman"/>
          <w:sz w:val="24"/>
          <w:szCs w:val="24"/>
        </w:rPr>
        <w:t xml:space="preserve">budowie budynku dworca kolejowego Janikowo wraz z zagospodarowaniem terenu i infrastrukturą towarzyszącą oraz rozbiórką budynków dworca istniejącego – realizacja inwestycji na nieruchomościach oznaczonych nr ewid. 42/14 i 42/15 położonych w Janikowie, </w:t>
      </w:r>
      <w:bookmarkEnd w:id="3"/>
      <w:r>
        <w:rPr>
          <w:rFonts w:ascii="Times New Roman" w:hAnsi="Times New Roman"/>
          <w:sz w:val="24"/>
          <w:szCs w:val="24"/>
        </w:rPr>
        <w:t>obręb ewidencyjny 6 miasto Janikowo, gmina Janikowo</w:t>
      </w:r>
      <w:bookmarkEnd w:id="2"/>
      <w:r>
        <w:rPr>
          <w:rFonts w:ascii="Times New Roman" w:hAnsi="Times New Roman"/>
          <w:sz w:val="24"/>
          <w:szCs w:val="24"/>
        </w:rPr>
        <w:t>,</w:t>
      </w:r>
    </w:p>
    <w:p>
      <w:pPr>
        <w:pStyle w:val="BodyText3"/>
        <w:spacing w:before="0" w:after="0"/>
        <w:rPr>
          <w:rFonts w:ascii="Arial Narrow" w:hAnsi="Arial Narrow"/>
          <w:sz w:val="20"/>
          <w:u w:val="single"/>
        </w:rPr>
      </w:pPr>
      <w:r>
        <w:rPr>
          <w:rFonts w:ascii="Times New Roman" w:hAnsi="Times New Roman"/>
          <w:sz w:val="24"/>
          <w:szCs w:val="24"/>
          <w:u w:val="single"/>
        </w:rPr>
        <w:t>po uzgodnieniu:</w:t>
      </w:r>
    </w:p>
    <w:p>
      <w:pPr>
        <w:pStyle w:val="NormalIMP"/>
        <w:numPr>
          <w:ilvl w:val="0"/>
          <w:numId w:val="9"/>
        </w:numPr>
        <w:jc w:val="both"/>
        <w:rPr>
          <w:rFonts w:ascii="Times New Roman" w:hAnsi="Times New Roman"/>
          <w:sz w:val="24"/>
          <w:szCs w:val="24"/>
        </w:rPr>
      </w:pPr>
      <w:r>
        <w:rPr>
          <w:rFonts w:ascii="Times New Roman" w:hAnsi="Times New Roman"/>
          <w:sz w:val="24"/>
          <w:szCs w:val="24"/>
        </w:rPr>
        <w:t xml:space="preserve">w odniesieniu do terenu przyległego do drogi zgodnie z art. 53 ust. 4 pkt 9 ww. ustawy z Zarządem Dróg Powiatowych </w:t>
      </w:r>
      <w:r>
        <w:rPr>
          <w:rFonts w:cs="Arial" w:ascii="Times New Roman" w:hAnsi="Times New Roman"/>
          <w:sz w:val="22"/>
          <w:szCs w:val="22"/>
          <w:u w:val="none"/>
        </w:rPr>
        <w:t>(zgodnie z art. 53 ust. 5 ustawy o planowaniu i zagospodarowaniu przestrzennym</w:t>
      </w:r>
      <w:r>
        <w:rPr>
          <w:rFonts w:cs="Arial" w:ascii="Times New Roman" w:hAnsi="Times New Roman"/>
          <w:sz w:val="22"/>
          <w:szCs w:val="22"/>
        </w:rPr>
        <w:t>)</w:t>
      </w:r>
    </w:p>
    <w:p>
      <w:pPr>
        <w:pStyle w:val="NormalIMP"/>
        <w:numPr>
          <w:ilvl w:val="0"/>
          <w:numId w:val="9"/>
        </w:numPr>
        <w:jc w:val="both"/>
        <w:rPr>
          <w:rFonts w:ascii="Arial Narrow" w:hAnsi="Arial Narrow"/>
          <w:sz w:val="16"/>
          <w:szCs w:val="16"/>
        </w:rPr>
      </w:pPr>
      <w:r>
        <w:rPr>
          <w:rFonts w:ascii="Times New Roman" w:hAnsi="Times New Roman"/>
          <w:sz w:val="24"/>
          <w:szCs w:val="24"/>
        </w:rPr>
        <w:t>w zakresie zadań rządowych albo samorządowych, służących realizacji inwestycji celu publicznego, o których mowa w art. 39 ust. 3 pkt 3 i art. 48 – w odniesieniu do terenów, przeznaczonych na ten cel w planach miejscowych, które utraciły moc na podstawie art. 67 ustawy, o której mowa w art. 88 ust. 1 - zgodnie z art. 53 ust. 4 pkt 10 i 10a ww. ustawy z:</w:t>
      </w:r>
    </w:p>
    <w:p>
      <w:pPr>
        <w:pStyle w:val="NormalIMP"/>
        <w:numPr>
          <w:ilvl w:val="1"/>
          <w:numId w:val="8"/>
        </w:numPr>
        <w:tabs>
          <w:tab w:val="left" w:pos="993" w:leader="none"/>
        </w:tabs>
        <w:ind w:hanging="731"/>
        <w:jc w:val="both"/>
        <w:rPr>
          <w:rFonts w:ascii="Times New Roman" w:hAnsi="Times New Roman"/>
          <w:sz w:val="24"/>
          <w:szCs w:val="24"/>
        </w:rPr>
      </w:pPr>
      <w:r>
        <w:rPr>
          <w:rFonts w:ascii="Times New Roman" w:hAnsi="Times New Roman"/>
          <w:sz w:val="24"/>
          <w:szCs w:val="24"/>
        </w:rPr>
        <w:t xml:space="preserve">Wojewodą Kujawsko-Pomorskim (postanowienie z dnia  </w:t>
      </w:r>
      <w:r>
        <w:rPr>
          <w:rFonts w:ascii="Times New Roman" w:hAnsi="Times New Roman"/>
          <w:sz w:val="24"/>
          <w:szCs w:val="24"/>
        </w:rPr>
        <w:t xml:space="preserve">06.05.2019r. </w:t>
      </w:r>
      <w:r>
        <w:rPr>
          <w:rFonts w:ascii="Times New Roman" w:hAnsi="Times New Roman"/>
          <w:sz w:val="24"/>
          <w:szCs w:val="24"/>
        </w:rPr>
        <w:t xml:space="preserve">znak </w:t>
      </w:r>
      <w:r>
        <w:rPr>
          <w:rFonts w:ascii="Times New Roman" w:hAnsi="Times New Roman"/>
          <w:sz w:val="24"/>
          <w:szCs w:val="24"/>
        </w:rPr>
        <w:t>WIR.II.745.2.74.2019.JB</w:t>
      </w:r>
      <w:r>
        <w:rPr>
          <w:rFonts w:ascii="Times New Roman" w:hAnsi="Times New Roman"/>
          <w:sz w:val="24"/>
          <w:szCs w:val="24"/>
        </w:rPr>
        <w:t>),</w:t>
      </w:r>
    </w:p>
    <w:p>
      <w:pPr>
        <w:pStyle w:val="NormalIMP"/>
        <w:numPr>
          <w:ilvl w:val="1"/>
          <w:numId w:val="8"/>
        </w:numPr>
        <w:tabs>
          <w:tab w:val="left" w:pos="993" w:leader="none"/>
        </w:tabs>
        <w:ind w:hanging="731"/>
        <w:jc w:val="both"/>
        <w:rPr>
          <w:rFonts w:ascii="Times New Roman" w:hAnsi="Times New Roman"/>
          <w:sz w:val="24"/>
          <w:szCs w:val="24"/>
        </w:rPr>
      </w:pPr>
      <w:r>
        <w:rPr>
          <w:rFonts w:ascii="Times New Roman" w:hAnsi="Times New Roman"/>
          <w:sz w:val="24"/>
          <w:szCs w:val="24"/>
        </w:rPr>
        <w:t xml:space="preserve">Marszałkiem Województwa (postanowienie z dnia </w:t>
      </w:r>
      <w:r>
        <w:rPr>
          <w:rFonts w:ascii="Times New Roman" w:hAnsi="Times New Roman"/>
          <w:sz w:val="24"/>
          <w:szCs w:val="24"/>
        </w:rPr>
        <w:t xml:space="preserve">07.05.2019r. </w:t>
      </w:r>
      <w:r>
        <w:rPr>
          <w:rFonts w:ascii="Times New Roman" w:hAnsi="Times New Roman"/>
          <w:sz w:val="24"/>
          <w:szCs w:val="24"/>
        </w:rPr>
        <w:t xml:space="preserve">znak </w:t>
      </w:r>
      <w:r>
        <w:rPr>
          <w:rFonts w:ascii="Times New Roman" w:hAnsi="Times New Roman"/>
          <w:sz w:val="24"/>
          <w:szCs w:val="24"/>
        </w:rPr>
        <w:t>ZKPPT.7637.159.2019</w:t>
      </w:r>
      <w:r>
        <w:rPr>
          <w:rFonts w:ascii="Times New Roman" w:hAnsi="Times New Roman"/>
          <w:sz w:val="24"/>
          <w:szCs w:val="24"/>
        </w:rPr>
        <w:t>),</w:t>
      </w:r>
    </w:p>
    <w:p>
      <w:pPr>
        <w:pStyle w:val="NormalIMP"/>
        <w:widowControl/>
        <w:numPr>
          <w:ilvl w:val="1"/>
          <w:numId w:val="8"/>
        </w:numPr>
        <w:tabs>
          <w:tab w:val="left" w:pos="345" w:leader="none"/>
          <w:tab w:val="left" w:pos="993" w:leader="none"/>
        </w:tabs>
        <w:suppressAutoHyphens w:val="true"/>
        <w:overflowPunct w:val="false"/>
        <w:bidi w:val="0"/>
        <w:spacing w:lineRule="auto" w:line="228" w:before="0" w:after="0"/>
        <w:ind w:left="57" w:right="0" w:hanging="794"/>
        <w:jc w:val="both"/>
        <w:textAlignment w:val="baseline"/>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tarostą Inowrocławskim (</w:t>
      </w:r>
      <w:r>
        <w:rPr>
          <w:rFonts w:cs="Arial" w:ascii="Times New Roman" w:hAnsi="Times New Roman"/>
          <w:sz w:val="22"/>
          <w:szCs w:val="22"/>
          <w:u w:val="none"/>
        </w:rPr>
        <w:t>zgodnie z art. 53 ust. 5 ustawy o planowaniu i zagospodarowaniu przestrzennym</w:t>
      </w:r>
      <w:r>
        <w:rPr>
          <w:rFonts w:ascii="Times New Roman" w:hAnsi="Times New Roman"/>
          <w:sz w:val="24"/>
          <w:szCs w:val="24"/>
        </w:rPr>
        <w:t>),</w:t>
      </w:r>
    </w:p>
    <w:p>
      <w:pPr>
        <w:pStyle w:val="BodyText3"/>
        <w:spacing w:before="0" w:after="0"/>
        <w:rPr>
          <w:rFonts w:ascii="Times New Roman" w:hAnsi="Times New Roman"/>
          <w:sz w:val="24"/>
          <w:szCs w:val="24"/>
        </w:rPr>
      </w:pPr>
      <w:r>
        <w:rPr>
          <w:rFonts w:ascii="Times New Roman" w:hAnsi="Times New Roman"/>
          <w:sz w:val="24"/>
          <w:szCs w:val="24"/>
        </w:rPr>
      </w:r>
    </w:p>
    <w:p>
      <w:pPr>
        <w:pStyle w:val="Normal"/>
        <w:jc w:val="center"/>
        <w:rPr>
          <w:rFonts w:ascii="Arial Narrow" w:hAnsi="Arial Narrow" w:cs="Arial"/>
          <w:b/>
          <w:b/>
          <w:spacing w:val="88"/>
          <w:sz w:val="28"/>
        </w:rPr>
      </w:pPr>
      <w:r>
        <w:rPr>
          <w:rFonts w:cs="Arial" w:ascii="Times New Roman" w:hAnsi="Times New Roman"/>
          <w:b/>
          <w:spacing w:val="88"/>
          <w:sz w:val="24"/>
          <w:szCs w:val="24"/>
        </w:rPr>
        <w:t>ustalam</w:t>
      </w:r>
    </w:p>
    <w:p>
      <w:pPr>
        <w:pStyle w:val="Normal"/>
        <w:jc w:val="center"/>
        <w:rPr>
          <w:rFonts w:ascii="Arial Narrow" w:hAnsi="Arial Narrow" w:cs="Arial"/>
          <w:b/>
          <w:b/>
        </w:rPr>
      </w:pPr>
      <w:r>
        <w:rPr>
          <w:rFonts w:cs="Arial" w:ascii="Times New Roman" w:hAnsi="Times New Roman"/>
          <w:b/>
          <w:spacing w:val="88"/>
          <w:sz w:val="24"/>
          <w:szCs w:val="24"/>
        </w:rPr>
        <w:t>lokalizację inwestycji celu publicznego</w:t>
      </w:r>
      <w:r>
        <w:rPr>
          <w:rFonts w:cs="Arial" w:ascii="Times New Roman" w:hAnsi="Times New Roman"/>
          <w:b/>
          <w:sz w:val="24"/>
          <w:szCs w:val="24"/>
        </w:rPr>
        <w:t xml:space="preserve"> </w:t>
      </w:r>
    </w:p>
    <w:p>
      <w:pPr>
        <w:pStyle w:val="Tekstpodstawowy21"/>
        <w:rPr>
          <w:rFonts w:ascii="Arial Narrow" w:hAnsi="Arial Narrow"/>
          <w:b/>
          <w:b/>
        </w:rPr>
      </w:pPr>
      <w:r>
        <w:rPr>
          <w:rFonts w:ascii="Times New Roman" w:hAnsi="Times New Roman"/>
          <w:b/>
          <w:sz w:val="24"/>
          <w:szCs w:val="24"/>
        </w:rPr>
        <w:t>polegającą na budowie budynku dworca kolejowego Janikowo wraz z zagospodarowaniem terenu i infrastrukturą towarzyszącą oraz rozbiórką budynków dworca istniejącego – realizacja inwestycji na nieruchomościach oznaczonych nr ewid. 42/14 i 42/15 położonych w Janikowie, obręb ewidencyjny 6 miasto Janikowo, gmina Janikowo, w granicach określonych na załączniku graficznym w skali 1:1000.</w:t>
      </w:r>
    </w:p>
    <w:p>
      <w:pPr>
        <w:pStyle w:val="Tekstpodstawowy21"/>
        <w:rPr>
          <w:rFonts w:ascii="Times New Roman" w:hAnsi="Times New Roman"/>
          <w:b/>
          <w:b/>
          <w:sz w:val="24"/>
          <w:szCs w:val="24"/>
        </w:rPr>
      </w:pPr>
      <w:r>
        <w:rPr>
          <w:rFonts w:ascii="Times New Roman" w:hAnsi="Times New Roman"/>
          <w:b/>
          <w:sz w:val="24"/>
          <w:szCs w:val="24"/>
        </w:rPr>
      </w:r>
    </w:p>
    <w:p>
      <w:pPr>
        <w:pStyle w:val="Tekstpodstawowy21"/>
        <w:numPr>
          <w:ilvl w:val="0"/>
          <w:numId w:val="1"/>
        </w:numPr>
        <w:rPr>
          <w:rFonts w:ascii="Arial Narrow" w:hAnsi="Arial Narrow"/>
        </w:rPr>
      </w:pPr>
      <w:r>
        <w:rPr>
          <w:rFonts w:ascii="Times New Roman" w:hAnsi="Times New Roman"/>
          <w:sz w:val="24"/>
          <w:szCs w:val="24"/>
        </w:rPr>
        <w:t>Rodzaj inwestycji: budowa budynku dworca kolejowego Janikowo wraz z zagospodarowaniem terenu i infrastrukturą towarzyszącą oraz rozbiórką budynków dworca istniejącego.</w:t>
      </w:r>
    </w:p>
    <w:p>
      <w:pPr>
        <w:pStyle w:val="Tekstpodstawowy21"/>
        <w:numPr>
          <w:ilvl w:val="0"/>
          <w:numId w:val="1"/>
        </w:numPr>
        <w:rPr>
          <w:rFonts w:ascii="Arial Narrow" w:hAnsi="Arial Narrow"/>
        </w:rPr>
      </w:pPr>
      <w:r>
        <w:rPr>
          <w:rFonts w:ascii="Times New Roman" w:hAnsi="Times New Roman"/>
          <w:sz w:val="24"/>
          <w:szCs w:val="24"/>
        </w:rPr>
        <w:t>Realizacja inwestycji na nieruchomościach oznaczonych nr ewid. 42/14 i 42/15 położonych w Janikowie, obręb ewidencyjny 6 miasto Janikowo, gmina Janikowo.</w:t>
      </w:r>
    </w:p>
    <w:p>
      <w:pPr>
        <w:pStyle w:val="Tekstpodstawowy21"/>
        <w:numPr>
          <w:ilvl w:val="0"/>
          <w:numId w:val="1"/>
        </w:numPr>
        <w:rPr>
          <w:rFonts w:ascii="Arial Narrow" w:hAnsi="Arial Narrow"/>
        </w:rPr>
      </w:pPr>
      <w:r>
        <w:rPr>
          <w:rFonts w:ascii="Times New Roman" w:hAnsi="Times New Roman"/>
          <w:sz w:val="24"/>
          <w:szCs w:val="24"/>
        </w:rPr>
        <w:t xml:space="preserve">Linie rozgraniczające teren inwestycji wyznaczono na rysunku wykonanym na kopii mapy sytuacyjno-wysokościowej w skali 1:1000 – </w:t>
      </w:r>
      <w:r>
        <w:rPr>
          <w:rFonts w:ascii="Times New Roman" w:hAnsi="Times New Roman"/>
          <w:b/>
          <w:sz w:val="24"/>
          <w:szCs w:val="24"/>
        </w:rPr>
        <w:t>załącznik nr 1,</w:t>
      </w:r>
      <w:r>
        <w:rPr>
          <w:rFonts w:ascii="Times New Roman" w:hAnsi="Times New Roman"/>
          <w:sz w:val="24"/>
          <w:szCs w:val="24"/>
        </w:rPr>
        <w:t xml:space="preserve"> stanowiący załącznik graficzny niniejszej decyzji.</w:t>
      </w:r>
    </w:p>
    <w:p>
      <w:pPr>
        <w:pStyle w:val="BodyText3"/>
        <w:spacing w:before="0" w:after="0"/>
        <w:ind w:left="705" w:hanging="345"/>
        <w:jc w:val="left"/>
        <w:rPr>
          <w:rFonts w:ascii="Times New Roman" w:hAnsi="Times New Roman"/>
          <w:b/>
          <w:b/>
          <w:sz w:val="24"/>
          <w:szCs w:val="24"/>
        </w:rPr>
      </w:pPr>
      <w:r>
        <w:rPr>
          <w:rFonts w:ascii="Times New Roman" w:hAnsi="Times New Roman"/>
          <w:b/>
          <w:sz w:val="24"/>
          <w:szCs w:val="24"/>
        </w:rPr>
      </w:r>
    </w:p>
    <w:p>
      <w:pPr>
        <w:pStyle w:val="BodyText3"/>
        <w:spacing w:before="0" w:after="0"/>
        <w:ind w:left="705" w:hanging="345"/>
        <w:jc w:val="left"/>
        <w:rPr>
          <w:rFonts w:ascii="Arial Narrow" w:hAnsi="Arial Narrow"/>
          <w:b/>
          <w:b/>
          <w:sz w:val="20"/>
        </w:rPr>
      </w:pPr>
      <w:r>
        <w:rPr>
          <w:rFonts w:ascii="Times New Roman" w:hAnsi="Times New Roman"/>
          <w:b/>
          <w:sz w:val="24"/>
          <w:szCs w:val="24"/>
        </w:rPr>
        <w:t>I.</w:t>
        <w:tab/>
        <w:t>WARUNKI I WYMAGANIA W ZAKRESIE OCHRONY I KSZTAŁTOWANIA ŁADU PRZESTRZENNEGO</w:t>
      </w:r>
    </w:p>
    <w:p>
      <w:pPr>
        <w:pStyle w:val="Tekstpodstawowy21"/>
        <w:numPr>
          <w:ilvl w:val="0"/>
          <w:numId w:val="5"/>
        </w:numPr>
        <w:rPr>
          <w:rFonts w:ascii="Arial Narrow" w:hAnsi="Arial Narrow"/>
        </w:rPr>
      </w:pPr>
      <w:r>
        <w:rPr>
          <w:rFonts w:cs="Arial" w:ascii="Times New Roman" w:hAnsi="Times New Roman"/>
          <w:sz w:val="24"/>
          <w:szCs w:val="24"/>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5"/>
        </w:numPr>
        <w:rPr>
          <w:rFonts w:ascii="Arial Narrow" w:hAnsi="Arial Narrow"/>
          <w:bCs/>
        </w:rPr>
      </w:pPr>
      <w:r>
        <w:rPr>
          <w:rFonts w:ascii="Times New Roman" w:hAnsi="Times New Roman"/>
          <w:sz w:val="24"/>
          <w:szCs w:val="24"/>
        </w:rPr>
        <w:t xml:space="preserve">Przy projektowaniu i budowie </w:t>
      </w:r>
      <w:r>
        <w:rPr>
          <w:rFonts w:ascii="Times New Roman" w:hAnsi="Times New Roman"/>
          <w:bCs/>
          <w:sz w:val="24"/>
          <w:szCs w:val="24"/>
        </w:rPr>
        <w:t>stosować właściwe odległości od innych sieci i urządzeń. W przypadku kolizji z istniejącym uzbrojeniem technicznym – przebudowa za zgodą i na warunkach gestora tej sieci.</w:t>
      </w:r>
    </w:p>
    <w:p>
      <w:pPr>
        <w:pStyle w:val="Tekstpodstawowy21"/>
        <w:numPr>
          <w:ilvl w:val="0"/>
          <w:numId w:val="5"/>
        </w:numPr>
        <w:rPr>
          <w:rFonts w:ascii="Arial Narrow" w:hAnsi="Arial Narrow"/>
        </w:rPr>
      </w:pPr>
      <w:r>
        <w:rPr>
          <w:rFonts w:ascii="Times New Roman" w:hAnsi="Times New Roman"/>
          <w:sz w:val="24"/>
          <w:szCs w:val="24"/>
        </w:rPr>
        <w:t>W dokumentacji projektowej uwzględnić wymogi jednostek opiniujących.</w:t>
      </w:r>
    </w:p>
    <w:p>
      <w:pPr>
        <w:pStyle w:val="Tekstpodstawowy21"/>
        <w:numPr>
          <w:ilvl w:val="0"/>
          <w:numId w:val="5"/>
        </w:numPr>
        <w:rPr>
          <w:rFonts w:ascii="Arial Narrow" w:hAnsi="Arial Narrow"/>
        </w:rPr>
      </w:pPr>
      <w:r>
        <w:rPr>
          <w:rFonts w:ascii="Times New Roman" w:hAnsi="Times New Roman"/>
          <w:sz w:val="24"/>
          <w:szCs w:val="24"/>
        </w:rPr>
        <w:t>W ramach inwestycji dopuszcza się:</w:t>
      </w:r>
    </w:p>
    <w:p>
      <w:pPr>
        <w:pStyle w:val="Tekstpodstawowy21"/>
        <w:numPr>
          <w:ilvl w:val="1"/>
          <w:numId w:val="1"/>
        </w:numPr>
        <w:rPr>
          <w:rFonts w:ascii="Arial Narrow" w:hAnsi="Arial Narrow"/>
        </w:rPr>
      </w:pPr>
      <w:r>
        <w:rPr>
          <w:rFonts w:ascii="Times New Roman" w:hAnsi="Times New Roman"/>
          <w:sz w:val="24"/>
          <w:szCs w:val="24"/>
        </w:rPr>
        <w:t>budowę budynku dworca:</w:t>
      </w:r>
    </w:p>
    <w:p>
      <w:pPr>
        <w:pStyle w:val="Tekstpodstawowy21"/>
        <w:numPr>
          <w:ilvl w:val="1"/>
          <w:numId w:val="10"/>
        </w:numPr>
        <w:tabs>
          <w:tab w:val="left" w:pos="426" w:leader="none"/>
          <w:tab w:val="left" w:pos="1701" w:leader="none"/>
          <w:tab w:val="left" w:pos="1843" w:leader="none"/>
        </w:tabs>
        <w:ind w:hanging="22"/>
        <w:rPr>
          <w:rFonts w:ascii="Arial Narrow" w:hAnsi="Arial Narrow"/>
        </w:rPr>
      </w:pPr>
      <w:r>
        <w:rPr>
          <w:rFonts w:ascii="Times New Roman" w:hAnsi="Times New Roman"/>
          <w:sz w:val="24"/>
          <w:szCs w:val="24"/>
        </w:rPr>
        <w:t>budynek jednokondygnacyjny,</w:t>
      </w:r>
    </w:p>
    <w:p>
      <w:pPr>
        <w:pStyle w:val="Tekstpodstawowy21"/>
        <w:numPr>
          <w:ilvl w:val="1"/>
          <w:numId w:val="10"/>
        </w:numPr>
        <w:tabs>
          <w:tab w:val="left" w:pos="426" w:leader="none"/>
          <w:tab w:val="left" w:pos="1701" w:leader="none"/>
          <w:tab w:val="left" w:pos="1843" w:leader="none"/>
        </w:tabs>
        <w:ind w:hanging="22"/>
        <w:rPr>
          <w:rFonts w:ascii="Arial Narrow" w:hAnsi="Arial Narrow"/>
        </w:rPr>
      </w:pPr>
      <w:r>
        <w:rPr>
          <w:rFonts w:ascii="Times New Roman" w:hAnsi="Times New Roman"/>
          <w:sz w:val="24"/>
          <w:szCs w:val="24"/>
        </w:rPr>
        <w:t>maksymalna powierzchnia zabudowy – 120 m</w:t>
      </w:r>
      <w:r>
        <w:rPr>
          <w:rFonts w:ascii="Times New Roman" w:hAnsi="Times New Roman"/>
          <w:sz w:val="24"/>
          <w:szCs w:val="24"/>
          <w:vertAlign w:val="superscript"/>
        </w:rPr>
        <w:t>2</w:t>
      </w:r>
      <w:r>
        <w:rPr>
          <w:rFonts w:ascii="Times New Roman" w:hAnsi="Times New Roman"/>
          <w:sz w:val="24"/>
          <w:szCs w:val="24"/>
        </w:rPr>
        <w:t>,</w:t>
      </w:r>
    </w:p>
    <w:p>
      <w:pPr>
        <w:pStyle w:val="Tekstpodstawowy21"/>
        <w:numPr>
          <w:ilvl w:val="1"/>
          <w:numId w:val="10"/>
        </w:numPr>
        <w:tabs>
          <w:tab w:val="left" w:pos="426" w:leader="none"/>
          <w:tab w:val="left" w:pos="1701" w:leader="none"/>
          <w:tab w:val="left" w:pos="1843" w:leader="none"/>
        </w:tabs>
        <w:ind w:hanging="22"/>
        <w:rPr>
          <w:rFonts w:ascii="Arial Narrow" w:hAnsi="Arial Narrow"/>
        </w:rPr>
      </w:pPr>
      <w:r>
        <w:rPr>
          <w:rFonts w:ascii="Times New Roman" w:hAnsi="Times New Roman"/>
          <w:sz w:val="24"/>
          <w:szCs w:val="24"/>
        </w:rPr>
        <w:t>maksymalna wysokość – 8,0 m,</w:t>
      </w:r>
    </w:p>
    <w:p>
      <w:pPr>
        <w:pStyle w:val="Tekstpodstawowy21"/>
        <w:numPr>
          <w:ilvl w:val="1"/>
          <w:numId w:val="10"/>
        </w:numPr>
        <w:tabs>
          <w:tab w:val="left" w:pos="426" w:leader="none"/>
          <w:tab w:val="left" w:pos="1701" w:leader="none"/>
          <w:tab w:val="left" w:pos="1843" w:leader="none"/>
        </w:tabs>
        <w:ind w:hanging="22"/>
        <w:rPr>
          <w:rFonts w:ascii="Arial Narrow" w:hAnsi="Arial Narrow"/>
        </w:rPr>
      </w:pPr>
      <w:r>
        <w:rPr>
          <w:rFonts w:ascii="Times New Roman" w:hAnsi="Times New Roman"/>
          <w:sz w:val="24"/>
          <w:szCs w:val="24"/>
        </w:rPr>
        <w:t>maksymalna szerokość elewacji frontowej – 35,0 m,</w:t>
      </w:r>
    </w:p>
    <w:p>
      <w:pPr>
        <w:pStyle w:val="Tekstpodstawowy21"/>
        <w:numPr>
          <w:ilvl w:val="1"/>
          <w:numId w:val="10"/>
        </w:numPr>
        <w:tabs>
          <w:tab w:val="left" w:pos="426" w:leader="none"/>
          <w:tab w:val="left" w:pos="1701" w:leader="none"/>
          <w:tab w:val="left" w:pos="1843" w:leader="none"/>
        </w:tabs>
        <w:ind w:hanging="22"/>
        <w:rPr>
          <w:rFonts w:ascii="Arial Narrow" w:hAnsi="Arial Narrow"/>
        </w:rPr>
      </w:pPr>
      <w:r>
        <w:rPr>
          <w:rFonts w:ascii="Times New Roman" w:hAnsi="Times New Roman"/>
          <w:sz w:val="24"/>
          <w:szCs w:val="24"/>
        </w:rPr>
        <w:t>geometria dachu – płaski,</w:t>
      </w:r>
    </w:p>
    <w:p>
      <w:pPr>
        <w:pStyle w:val="Tekstpodstawowy21"/>
        <w:numPr>
          <w:ilvl w:val="1"/>
          <w:numId w:val="1"/>
        </w:numPr>
        <w:rPr>
          <w:rFonts w:ascii="Arial Narrow" w:hAnsi="Arial Narrow"/>
        </w:rPr>
      </w:pPr>
      <w:r>
        <w:rPr>
          <w:rFonts w:ascii="Times New Roman" w:hAnsi="Times New Roman"/>
          <w:sz w:val="24"/>
          <w:szCs w:val="24"/>
        </w:rPr>
        <w:t>wyposażenie terenu we wszelkie instalacje techniczne, i.in.: grzewczą, wentylacyjną, wodno-kanalizacyjną, gazową, elektroenergetyczną, telefoniczną, monitoringu, alarmową, oświetlenie terenu itp.,</w:t>
      </w:r>
    </w:p>
    <w:p>
      <w:pPr>
        <w:pStyle w:val="Tekstpodstawowy21"/>
        <w:numPr>
          <w:ilvl w:val="1"/>
          <w:numId w:val="1"/>
        </w:numPr>
        <w:rPr>
          <w:rFonts w:ascii="Arial Narrow" w:hAnsi="Arial Narrow"/>
        </w:rPr>
      </w:pPr>
      <w:r>
        <w:rPr>
          <w:rFonts w:ascii="Times New Roman" w:hAnsi="Times New Roman"/>
          <w:sz w:val="24"/>
          <w:szCs w:val="24"/>
        </w:rPr>
        <w:t>wykonanie miejsc parkingowych – minimum 10, w tym miejsca dla osób niepełnosprawnych,</w:t>
      </w:r>
    </w:p>
    <w:p>
      <w:pPr>
        <w:pStyle w:val="Tekstpodstawowy21"/>
        <w:numPr>
          <w:ilvl w:val="1"/>
          <w:numId w:val="1"/>
        </w:numPr>
        <w:rPr>
          <w:rFonts w:ascii="Arial Narrow" w:hAnsi="Arial Narrow"/>
        </w:rPr>
      </w:pPr>
      <w:r>
        <w:rPr>
          <w:rFonts w:ascii="Times New Roman" w:hAnsi="Times New Roman"/>
          <w:sz w:val="24"/>
          <w:szCs w:val="24"/>
        </w:rPr>
        <w:t>wykonanie stanowisk na rowery,</w:t>
      </w:r>
    </w:p>
    <w:p>
      <w:pPr>
        <w:pStyle w:val="Tekstpodstawowy21"/>
        <w:numPr>
          <w:ilvl w:val="1"/>
          <w:numId w:val="1"/>
        </w:numPr>
        <w:rPr>
          <w:rFonts w:ascii="Arial Narrow" w:hAnsi="Arial Narrow"/>
        </w:rPr>
      </w:pPr>
      <w:r>
        <w:rPr>
          <w:rFonts w:ascii="Times New Roman" w:hAnsi="Times New Roman"/>
          <w:sz w:val="24"/>
          <w:szCs w:val="24"/>
        </w:rPr>
        <w:t>rozbiórkę budynków dworca istniejącego – z zachowaniem przepisów odrębnych,</w:t>
      </w:r>
    </w:p>
    <w:p>
      <w:pPr>
        <w:pStyle w:val="Tekstpodstawowy21"/>
        <w:numPr>
          <w:ilvl w:val="1"/>
          <w:numId w:val="1"/>
        </w:numPr>
        <w:rPr>
          <w:rFonts w:ascii="Arial Narrow" w:hAnsi="Arial Narrow"/>
        </w:rPr>
      </w:pPr>
      <w:r>
        <w:rPr>
          <w:rFonts w:ascii="Times New Roman" w:hAnsi="Times New Roman"/>
          <w:sz w:val="24"/>
          <w:szCs w:val="24"/>
        </w:rPr>
        <w:t>uzupełniające zagospodarowanie terenu zgodne z funkcją.</w:t>
      </w:r>
    </w:p>
    <w:p>
      <w:pPr>
        <w:pStyle w:val="Tekstpodstawowy21"/>
        <w:ind w:left="1440" w:hanging="0"/>
        <w:rPr>
          <w:rFonts w:ascii="Times New Roman" w:hAnsi="Times New Roman"/>
          <w:sz w:val="24"/>
          <w:szCs w:val="24"/>
        </w:rPr>
      </w:pPr>
      <w:r>
        <w:rPr>
          <w:rFonts w:ascii="Times New Roman" w:hAnsi="Times New Roman"/>
          <w:sz w:val="24"/>
          <w:szCs w:val="24"/>
        </w:rPr>
      </w:r>
    </w:p>
    <w:p>
      <w:pPr>
        <w:pStyle w:val="BodyText3"/>
        <w:tabs>
          <w:tab w:val="left" w:pos="360" w:leader="none"/>
        </w:tabs>
        <w:spacing w:before="0" w:after="0"/>
        <w:ind w:left="359" w:hanging="359"/>
        <w:jc w:val="left"/>
        <w:rPr>
          <w:rFonts w:ascii="Arial Narrow" w:hAnsi="Arial Narrow"/>
          <w:b/>
          <w:b/>
          <w:bCs/>
          <w:sz w:val="20"/>
        </w:rPr>
      </w:pPr>
      <w:r>
        <w:rPr>
          <w:rFonts w:ascii="Times New Roman" w:hAnsi="Times New Roman"/>
          <w:b/>
          <w:bCs/>
          <w:sz w:val="24"/>
          <w:szCs w:val="24"/>
        </w:rPr>
        <w:t>II.</w:t>
        <w:tab/>
        <w:tab/>
        <w:t>WARUNKI OCHRONY ŚRODOWISKA, ZDROWIA LUDZI ORAZ DZIEDZICTWA KULTUROWEGO I ZABYTKÓW ORAZ DÓBR KULTURY WSPÓŁCZESNEJ</w:t>
      </w:r>
    </w:p>
    <w:p>
      <w:pPr>
        <w:pStyle w:val="Tekstpodstawowy211"/>
        <w:tabs>
          <w:tab w:val="left" w:pos="426" w:leader="none"/>
          <w:tab w:val="left" w:pos="708" w:leader="none"/>
        </w:tabs>
        <w:ind w:left="705" w:hanging="345"/>
        <w:rPr>
          <w:rFonts w:ascii="Arial Narrow" w:hAnsi="Arial Narrow" w:cs="Arial"/>
          <w:szCs w:val="24"/>
          <w:lang w:eastAsia="ar-SA"/>
        </w:rPr>
      </w:pPr>
      <w:r>
        <w:rPr>
          <w:rFonts w:cs="Arial" w:ascii="Times New Roman" w:hAnsi="Times New Roman"/>
          <w:sz w:val="24"/>
          <w:szCs w:val="24"/>
        </w:rPr>
        <w:t>1.</w:t>
        <w:tab/>
      </w:r>
      <w:bookmarkStart w:id="4" w:name="_Hlk487714599"/>
      <w:r>
        <w:rPr>
          <w:rFonts w:cs="Arial" w:ascii="Times New Roman" w:hAnsi="Times New Roman"/>
          <w:sz w:val="24"/>
          <w:szCs w:val="24"/>
        </w:rPr>
        <w:t xml:space="preserve">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w:t>
      </w:r>
      <w:r>
        <w:rPr>
          <w:rFonts w:cs="Arial" w:ascii="Times New Roman" w:hAnsi="Times New Roman"/>
          <w:sz w:val="24"/>
          <w:szCs w:val="24"/>
          <w:lang w:eastAsia="ar-SA"/>
        </w:rPr>
        <w:t>ochrony środowiska, ochrony przed hałasem i drganiami, oszczędności energii i odpowiedniej izolacyjności cieplnej przegród, zgodnie z art. 5 ustawy z dnia 7 lipca 1994 r. – Prawo Budowlane (</w:t>
      </w:r>
      <w:r>
        <w:rPr>
          <w:rFonts w:ascii="Times New Roman" w:hAnsi="Times New Roman"/>
          <w:sz w:val="24"/>
          <w:szCs w:val="24"/>
        </w:rPr>
        <w:t>tekst jednolity: Dz. U. 2018 poz. 1202 ze zm.</w:t>
      </w:r>
      <w:r>
        <w:rPr>
          <w:rFonts w:cs="Arial" w:ascii="Times New Roman" w:hAnsi="Times New Roman"/>
          <w:sz w:val="24"/>
          <w:szCs w:val="24"/>
          <w:lang w:eastAsia="ar-SA"/>
        </w:rPr>
        <w:t>).</w:t>
      </w:r>
    </w:p>
    <w:p>
      <w:pPr>
        <w:pStyle w:val="Normal"/>
        <w:tabs>
          <w:tab w:val="left" w:pos="708" w:leader="none"/>
        </w:tabs>
        <w:ind w:left="705" w:hanging="345"/>
        <w:jc w:val="both"/>
        <w:rPr>
          <w:rFonts w:ascii="Arial Narrow" w:hAnsi="Arial Narrow" w:cs="Arial"/>
          <w:sz w:val="20"/>
        </w:rPr>
      </w:pPr>
      <w:r>
        <w:rPr>
          <w:rFonts w:cs="Arial" w:ascii="Times New Roman" w:hAnsi="Times New Roman"/>
          <w:sz w:val="24"/>
          <w:szCs w:val="24"/>
        </w:rPr>
        <w:t>2.</w:t>
        <w:tab/>
        <w:tab/>
        <w:t>W trakcie przygotowania i realizacji inwestycji należy respektować przepisy wynikające z ustawy z dnia 27 kwietnia 2001 r. Prawo Ochrony Środowiska (tekst jednolity: Dz. U. z 2018 poz. 799 ze zm.), w szczególności zapewnić oszczędne korzystanie z terenu (art. 74),  uwzględnić ochronę środowiska na obszarze prowadzenia prac a szczególności ochronę gleby, zieleni, naturalnego ukształtowania terenu i stosunków wodnych (art. 75 ust.1).</w:t>
      </w:r>
    </w:p>
    <w:p>
      <w:pPr>
        <w:pStyle w:val="Normal"/>
        <w:tabs>
          <w:tab w:val="left" w:pos="708" w:leader="none"/>
        </w:tabs>
        <w:ind w:left="705" w:hanging="345"/>
        <w:jc w:val="both"/>
        <w:rPr>
          <w:rFonts w:ascii="Arial Narrow" w:hAnsi="Arial Narrow" w:cs="Arial"/>
          <w:sz w:val="20"/>
        </w:rPr>
      </w:pPr>
      <w:r>
        <w:rPr>
          <w:rFonts w:cs="Arial" w:ascii="Times New Roman" w:hAnsi="Times New Roman"/>
          <w:sz w:val="24"/>
          <w:szCs w:val="24"/>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2018 r., poz. 142 ze zm.).</w:t>
      </w:r>
    </w:p>
    <w:p>
      <w:pPr>
        <w:pStyle w:val="Normal"/>
        <w:tabs>
          <w:tab w:val="left" w:pos="708" w:leader="none"/>
        </w:tabs>
        <w:ind w:left="705" w:hanging="345"/>
        <w:jc w:val="both"/>
        <w:rPr>
          <w:rFonts w:ascii="Arial Narrow" w:hAnsi="Arial Narrow" w:cs="Arial"/>
          <w:sz w:val="20"/>
        </w:rPr>
      </w:pPr>
      <w:r>
        <w:rPr>
          <w:rFonts w:cs="Arial" w:ascii="Times New Roman" w:hAnsi="Times New Roman"/>
          <w:sz w:val="24"/>
          <w:szCs w:val="24"/>
        </w:rPr>
        <w:t>4.</w:t>
        <w:tab/>
        <w:t>Planowana inwestycja winna spełniać warunki § 2 Rozporządzenia Ministra Środowiska z dnia 14 czerwca 2007 r. w sprawie dopuszczalnych poziomów hałasu w środowisku (Dz. U. z 2014 r. poz. 112).</w:t>
      </w:r>
    </w:p>
    <w:p>
      <w:pPr>
        <w:pStyle w:val="Tekstpodstawowy211"/>
        <w:tabs>
          <w:tab w:val="left" w:pos="426" w:leader="none"/>
          <w:tab w:val="left" w:pos="708" w:leader="none"/>
        </w:tabs>
        <w:ind w:left="705" w:hanging="345"/>
        <w:rPr>
          <w:rFonts w:ascii="Arial Narrow" w:hAnsi="Arial Narrow" w:cs="Arial"/>
        </w:rPr>
      </w:pPr>
      <w:r>
        <w:rPr>
          <w:rFonts w:cs="Arial" w:ascii="Times New Roman" w:hAnsi="Times New Roman"/>
          <w:sz w:val="24"/>
          <w:szCs w:val="24"/>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5" w:name="_Hlk505627337"/>
      <w:r>
        <w:rPr>
          <w:rFonts w:cs="Arial" w:ascii="Times New Roman" w:hAnsi="Times New Roman"/>
          <w:sz w:val="24"/>
          <w:szCs w:val="24"/>
        </w:rPr>
        <w:t>tekst jednolity: Dz. U. z 2018 r. poz. 2067</w:t>
      </w:r>
      <w:bookmarkEnd w:id="5"/>
      <w:r>
        <w:rPr>
          <w:rFonts w:cs="Arial" w:ascii="Times New Roman" w:hAnsi="Times New Roman"/>
          <w:sz w:val="24"/>
          <w:szCs w:val="24"/>
        </w:rPr>
        <w:t>).</w:t>
      </w:r>
    </w:p>
    <w:p>
      <w:pPr>
        <w:pStyle w:val="Normal"/>
        <w:shd w:val="clear" w:color="auto" w:fill="FFFFFF"/>
        <w:spacing w:lineRule="exact" w:line="226"/>
        <w:ind w:left="720" w:right="10" w:hanging="360"/>
        <w:jc w:val="both"/>
        <w:rPr>
          <w:rFonts w:ascii="Arial Narrow" w:hAnsi="Arial Narrow" w:cs="Arial"/>
          <w:sz w:val="20"/>
        </w:rPr>
      </w:pPr>
      <w:r>
        <w:rPr>
          <w:rFonts w:cs="Arial" w:ascii="Times New Roman" w:hAnsi="Times New Roman"/>
          <w:sz w:val="24"/>
          <w:szCs w:val="24"/>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Arial Narrow" w:hAnsi="Arial Narrow" w:cs="Arial"/>
          <w:sz w:val="20"/>
        </w:rPr>
      </w:pPr>
      <w:r>
        <w:rPr>
          <w:rFonts w:cs="Arial" w:ascii="Times New Roman" w:hAnsi="Times New Roman"/>
          <w:sz w:val="24"/>
          <w:szCs w:val="24"/>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Arial Narrow" w:hAnsi="Arial Narrow" w:cs="Arial"/>
          <w:sz w:val="20"/>
        </w:rPr>
      </w:pPr>
      <w:r>
        <w:rPr>
          <w:rFonts w:cs="Arial" w:ascii="Times New Roman" w:hAnsi="Times New Roman"/>
          <w:sz w:val="24"/>
          <w:szCs w:val="24"/>
        </w:rPr>
        <w:t>8.</w:t>
        <w:tab/>
        <w:t>Projektowana inwestycja nie jest ujęta w wykazie przedsięwzięć określonych w Rozporządzeniu Rady Ministrów z dnia 9 listopada 2010 r. w sprawie przedsięwzięć mogących znacząco oddziaływać na środowisko (Dz. U. z 2016 r. poz. 71).</w:t>
      </w:r>
    </w:p>
    <w:p>
      <w:pPr>
        <w:pStyle w:val="Normal"/>
        <w:shd w:val="clear" w:color="auto" w:fill="FFFFFF"/>
        <w:spacing w:lineRule="exact" w:line="226"/>
        <w:ind w:left="720" w:right="10" w:hanging="360"/>
        <w:jc w:val="both"/>
        <w:rPr>
          <w:rFonts w:ascii="Arial Narrow" w:hAnsi="Arial Narrow" w:cs="Arial"/>
          <w:sz w:val="20"/>
        </w:rPr>
      </w:pPr>
      <w:r>
        <w:rPr>
          <w:rFonts w:cs="Arial" w:ascii="Times New Roman" w:hAnsi="Times New Roman"/>
          <w:sz w:val="24"/>
          <w:szCs w:val="24"/>
        </w:rPr>
        <w:t>9.</w:t>
        <w:tab/>
        <w:t xml:space="preserve">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z 2018 r. poz. 2081). </w:t>
      </w:r>
    </w:p>
    <w:p>
      <w:pPr>
        <w:pStyle w:val="Tekstpodstawowy21"/>
        <w:tabs>
          <w:tab w:val="left" w:pos="426" w:leader="none"/>
          <w:tab w:val="left" w:pos="708" w:leader="none"/>
        </w:tabs>
        <w:ind w:left="705" w:hanging="345"/>
        <w:rPr>
          <w:rFonts w:ascii="Arial Narrow" w:hAnsi="Arial Narrow" w:cs="Arial"/>
        </w:rPr>
      </w:pPr>
      <w:r>
        <w:rPr>
          <w:rFonts w:cs="Arial" w:ascii="Times New Roman" w:hAnsi="Times New Roman"/>
          <w:sz w:val="24"/>
          <w:szCs w:val="24"/>
          <w:lang w:eastAsia="ar-SA"/>
        </w:rPr>
        <w:t>10.</w:t>
        <w:tab/>
        <w:t>Zgodnie z art. 59 ust. 2 pkt. 1 i 2 ww. ustawy realizacja planowanego przedsięwzięcia nie wymaga oceny oddziaływania na obszar Natura 2000 (poza tym obszarem)</w:t>
      </w:r>
      <w:bookmarkEnd w:id="4"/>
      <w:r>
        <w:rPr>
          <w:rFonts w:cs="Arial" w:ascii="Times New Roman" w:hAnsi="Times New Roman"/>
          <w:sz w:val="24"/>
          <w:szCs w:val="24"/>
        </w:rPr>
        <w:t>.</w:t>
      </w:r>
    </w:p>
    <w:p>
      <w:pPr>
        <w:pStyle w:val="Normal"/>
        <w:shd w:val="clear" w:color="auto" w:fill="FFFFFF"/>
        <w:spacing w:lineRule="exact" w:line="226"/>
        <w:ind w:left="720" w:right="10" w:hanging="360"/>
        <w:jc w:val="both"/>
        <w:rPr>
          <w:rFonts w:ascii="Arial Narrow" w:hAnsi="Arial Narrow" w:cs="Arial"/>
          <w:i/>
          <w:i/>
          <w:iCs/>
          <w:sz w:val="20"/>
          <w:szCs w:val="20"/>
        </w:rPr>
      </w:pPr>
      <w:r>
        <w:rPr>
          <w:rFonts w:cs="Arial" w:ascii="Times New Roman" w:hAnsi="Times New Roman"/>
          <w:sz w:val="24"/>
          <w:szCs w:val="24"/>
        </w:rPr>
        <w:t>11.</w:t>
        <w:tab/>
        <w:t xml:space="preserve">Realizacja inwestycji nie wymaga uzyskania zgody na zmianę przeznaczenia gruntów rolnych i leśnych na cele nierolnicze i nieleśne </w:t>
      </w:r>
      <w:r>
        <w:rPr>
          <w:rFonts w:eastAsia="Calibri" w:cs="Arial" w:ascii="Times New Roman" w:hAnsi="Times New Roman"/>
          <w:bCs/>
          <w:i/>
          <w:sz w:val="24"/>
          <w:szCs w:val="24"/>
          <w:u w:val="single"/>
        </w:rPr>
        <w:t>/zgodnie z ustawą z dnia 3 lutego 1995 r. o ochronie gruntów rolnych i leśnych (tekst jednolity: Dz. U. z 2017 r., poz. 1161) zmiana przeznaczenia gruntów rolnych stanowiących użytki rolne klas I–III – wymaga uzyskania zgody właściwego ministra z zastrzeżeniem użytków rolnych klas I-III, spełniających łącznie następujące warunki:</w:t>
      </w:r>
    </w:p>
    <w:p>
      <w:pPr>
        <w:pStyle w:val="ZLITPKT8211"/>
        <w:tabs>
          <w:tab w:val="left" w:pos="1701" w:leader="none"/>
        </w:tabs>
        <w:spacing w:lineRule="auto" w:line="240"/>
        <w:ind w:left="1701" w:hanging="283"/>
        <w:rPr>
          <w:rFonts w:ascii="Arial Narrow" w:hAnsi="Arial Narrow" w:eastAsia="Calibri" w:cs="Arial"/>
          <w:bCs/>
          <w:i/>
          <w:i/>
          <w:sz w:val="16"/>
          <w:szCs w:val="16"/>
          <w:lang w:eastAsia="en-US"/>
        </w:rPr>
      </w:pPr>
      <w:r>
        <w:rPr>
          <w:rFonts w:eastAsia="Calibri" w:cs="Arial" w:ascii="Times New Roman" w:hAnsi="Times New Roman"/>
          <w:bCs/>
          <w:i/>
          <w:sz w:val="24"/>
          <w:szCs w:val="24"/>
          <w:lang w:eastAsia="en-US"/>
        </w:rPr>
        <w:t>1)</w:t>
        <w:tab/>
        <w:t>co najmniej połowa powierzchni każdej zwartej części gruntu zawiera się w obszarze zwartej zabudowy;</w:t>
      </w:r>
    </w:p>
    <w:p>
      <w:pPr>
        <w:pStyle w:val="ZLITPKT8211"/>
        <w:spacing w:lineRule="auto" w:line="240"/>
        <w:ind w:left="1701" w:hanging="283"/>
        <w:rPr>
          <w:rFonts w:ascii="Arial Narrow" w:hAnsi="Arial Narrow" w:eastAsia="Calibri" w:cs="Arial"/>
          <w:bCs/>
          <w:i/>
          <w:i/>
          <w:sz w:val="16"/>
          <w:szCs w:val="16"/>
          <w:lang w:eastAsia="en-US"/>
        </w:rPr>
      </w:pPr>
      <w:r>
        <w:rPr>
          <w:rFonts w:eastAsia="Calibri" w:cs="Arial" w:ascii="Times New Roman" w:hAnsi="Times New Roman"/>
          <w:bCs/>
          <w:i/>
          <w:sz w:val="24"/>
          <w:szCs w:val="24"/>
          <w:lang w:eastAsia="en-US"/>
        </w:rPr>
        <w:t>2)</w:t>
        <w:tab/>
        <w:t>położone są w odległości nie większej niż 50 m od granicy najbliższej działki budowlanej w rozumieniu przepisów ustawy z dnia 21 sierpnia 1997 r. o gospodarce nieruchomościami (</w:t>
      </w:r>
      <w:bookmarkStart w:id="6" w:name="_Hlk536867218"/>
      <w:r>
        <w:rPr>
          <w:rFonts w:eastAsia="Calibri" w:cs="Arial" w:ascii="Times New Roman" w:hAnsi="Times New Roman"/>
          <w:bCs/>
          <w:i/>
          <w:sz w:val="24"/>
          <w:szCs w:val="24"/>
          <w:lang w:eastAsia="en-US"/>
        </w:rPr>
        <w:t>tekst jednolity: Dz. U. z 2018 r., poz. 121 ze zm.</w:t>
      </w:r>
      <w:bookmarkEnd w:id="6"/>
      <w:r>
        <w:rPr>
          <w:rFonts w:eastAsia="Calibri" w:cs="Arial" w:ascii="Times New Roman" w:hAnsi="Times New Roman"/>
          <w:bCs/>
          <w:i/>
          <w:sz w:val="24"/>
          <w:szCs w:val="24"/>
          <w:lang w:eastAsia="en-US"/>
        </w:rPr>
        <w:t>);</w:t>
      </w:r>
    </w:p>
    <w:p>
      <w:pPr>
        <w:pStyle w:val="ZLITPKT8211"/>
        <w:tabs>
          <w:tab w:val="left" w:pos="1701" w:leader="none"/>
        </w:tabs>
        <w:spacing w:lineRule="auto" w:line="240"/>
        <w:ind w:left="1701" w:hanging="283"/>
        <w:rPr>
          <w:rFonts w:ascii="Arial Narrow" w:hAnsi="Arial Narrow" w:eastAsia="Calibri" w:cs="Arial"/>
          <w:bCs/>
          <w:i/>
          <w:i/>
          <w:sz w:val="16"/>
          <w:szCs w:val="16"/>
          <w:lang w:eastAsia="en-US"/>
        </w:rPr>
      </w:pPr>
      <w:r>
        <w:rPr>
          <w:rFonts w:eastAsia="Calibri" w:cs="Arial" w:ascii="Times New Roman" w:hAnsi="Times New Roman"/>
          <w:bCs/>
          <w:i/>
          <w:sz w:val="24"/>
          <w:szCs w:val="24"/>
          <w:lang w:eastAsia="en-US"/>
        </w:rPr>
        <w:t>3)</w:t>
        <w:tab/>
        <w:t>położone są w odległości nie większej niż 50 metrów od drogi publicznej w rozumieniu przepisów ustawy z dnia 21 marca 1985 r. o drogach publicznych (</w:t>
      </w:r>
      <w:bookmarkStart w:id="7" w:name="_Hlk536867240"/>
      <w:r>
        <w:rPr>
          <w:rFonts w:eastAsia="Calibri" w:cs="Arial" w:ascii="Times New Roman" w:hAnsi="Times New Roman"/>
          <w:bCs/>
          <w:i/>
          <w:sz w:val="24"/>
          <w:szCs w:val="24"/>
          <w:lang w:eastAsia="en-US"/>
        </w:rPr>
        <w:t>tekst jednolity: Dz.U. 2018 poz. 2068</w:t>
      </w:r>
      <w:bookmarkEnd w:id="7"/>
      <w:r>
        <w:rPr>
          <w:rFonts w:eastAsia="Calibri" w:cs="Arial" w:ascii="Times New Roman" w:hAnsi="Times New Roman"/>
          <w:bCs/>
          <w:i/>
          <w:sz w:val="24"/>
          <w:szCs w:val="24"/>
          <w:lang w:eastAsia="en-US"/>
        </w:rPr>
        <w:t>);</w:t>
      </w:r>
    </w:p>
    <w:p>
      <w:pPr>
        <w:pStyle w:val="ZLITPKT8211"/>
        <w:tabs>
          <w:tab w:val="left" w:pos="1701" w:leader="none"/>
        </w:tabs>
        <w:spacing w:lineRule="auto" w:line="240"/>
        <w:ind w:left="1701" w:hanging="283"/>
        <w:rPr>
          <w:rFonts w:ascii="Arial Narrow" w:hAnsi="Arial Narrow" w:eastAsia="Calibri" w:cs="Arial"/>
          <w:bCs/>
          <w:i/>
          <w:i/>
          <w:sz w:val="16"/>
          <w:szCs w:val="16"/>
          <w:lang w:eastAsia="en-US"/>
        </w:rPr>
      </w:pPr>
      <w:r>
        <w:rPr>
          <w:rFonts w:eastAsia="Calibri" w:cs="Arial" w:ascii="Times New Roman" w:hAnsi="Times New Roman"/>
          <w:bCs/>
          <w:i/>
          <w:sz w:val="24"/>
          <w:szCs w:val="24"/>
          <w:lang w:eastAsia="en-US"/>
        </w:rPr>
        <w:t>4)</w:t>
        <w:tab/>
        <w:t>ich powierzchnia nie przekracza 0,5 ha, bez względu na to, czy stanowią jedną całość, czy stanowią kilka odrębnych części.</w:t>
      </w:r>
    </w:p>
    <w:p>
      <w:pPr>
        <w:pStyle w:val="ZLITPKT8211"/>
        <w:tabs>
          <w:tab w:val="left" w:pos="1701" w:leader="none"/>
        </w:tabs>
        <w:spacing w:lineRule="auto" w:line="240"/>
        <w:ind w:left="1701" w:hanging="283"/>
        <w:rPr>
          <w:rFonts w:ascii="Arial Narrow" w:hAnsi="Arial Narrow" w:eastAsia="Calibri" w:cs="Arial"/>
          <w:bCs/>
          <w:i/>
          <w:i/>
          <w:sz w:val="16"/>
          <w:szCs w:val="16"/>
          <w:lang w:eastAsia="en-US"/>
        </w:rPr>
      </w:pPr>
      <w:r>
        <w:rPr>
          <w:rFonts w:eastAsia="Calibri" w:cs="Arial" w:ascii="Times New Roman" w:hAnsi="Times New Roman"/>
          <w:bCs/>
          <w:i/>
          <w:sz w:val="24"/>
          <w:szCs w:val="24"/>
          <w:u w:val="single"/>
        </w:rPr>
        <w:t>przepisów nie stosuje się w granicach administracyjnych miast</w:t>
      </w:r>
    </w:p>
    <w:p>
      <w:pPr>
        <w:pStyle w:val="Normal"/>
        <w:shd w:val="clear" w:color="auto" w:fill="FFFFFF"/>
        <w:spacing w:lineRule="exact" w:line="226"/>
        <w:ind w:left="709" w:right="10" w:hanging="1"/>
        <w:jc w:val="both"/>
        <w:rPr>
          <w:rFonts w:ascii="Arial Narrow" w:hAnsi="Arial Narrow" w:eastAsia="Calibri" w:cs="Arial"/>
          <w:bCs/>
          <w:i/>
          <w:i/>
          <w:sz w:val="20"/>
          <w:szCs w:val="20"/>
          <w:u w:val="single"/>
        </w:rPr>
      </w:pPr>
      <w:r>
        <w:rPr>
          <w:rFonts w:eastAsia="Calibri" w:cs="Arial" w:ascii="Times New Roman" w:hAnsi="Times New Roman"/>
          <w:bCs/>
          <w:i/>
          <w:sz w:val="24"/>
          <w:szCs w:val="24"/>
          <w:u w:val="single"/>
        </w:rPr>
        <w:t>Zmiana przeznaczenia gruntów leśnych na cele nieleśne wymaga uzyskania zgody właściwego ministra (w przypadku gruntów leśnych Skarbu Państwa) lub właściwego Marszałka Województwa (pozostałych gruntów leśnych)/:</w:t>
      </w:r>
    </w:p>
    <w:p>
      <w:pPr>
        <w:pStyle w:val="Normal"/>
        <w:shd w:val="clear" w:color="auto" w:fill="FFFFFF"/>
        <w:spacing w:lineRule="exact" w:line="226"/>
        <w:ind w:left="1410" w:right="10" w:hanging="416"/>
        <w:jc w:val="both"/>
        <w:rPr>
          <w:rFonts w:ascii="Arial Narrow" w:hAnsi="Arial Narrow" w:cs="Arial"/>
          <w:bCs/>
          <w:sz w:val="20"/>
          <w:szCs w:val="20"/>
        </w:rPr>
      </w:pPr>
      <w:r>
        <w:rPr>
          <w:rFonts w:cs="Arial" w:ascii="Times New Roman" w:hAnsi="Times New Roman"/>
          <w:bCs/>
          <w:sz w:val="24"/>
          <w:szCs w:val="24"/>
        </w:rPr>
        <w:t>a)</w:t>
        <w:tab/>
      </w:r>
      <w:r>
        <w:rPr>
          <w:rFonts w:cs="Arial" w:ascii="Times New Roman" w:hAnsi="Times New Roman"/>
          <w:b/>
          <w:bCs/>
          <w:sz w:val="24"/>
          <w:szCs w:val="24"/>
          <w:u w:val="single"/>
        </w:rPr>
        <w:t>ochrona gruntów rolnych</w:t>
      </w:r>
      <w:r>
        <w:rPr>
          <w:rFonts w:cs="Arial" w:ascii="Times New Roman" w:hAnsi="Times New Roman"/>
          <w:bCs/>
          <w:sz w:val="24"/>
          <w:szCs w:val="24"/>
        </w:rPr>
        <w:t xml:space="preserve">: </w:t>
      </w:r>
      <w:r>
        <w:rPr>
          <w:rFonts w:cs="Arial" w:ascii="Times New Roman" w:hAnsi="Times New Roman"/>
          <w:b/>
          <w:bCs/>
          <w:sz w:val="24"/>
          <w:szCs w:val="24"/>
        </w:rPr>
        <w:t xml:space="preserve">- </w:t>
      </w:r>
      <w:r>
        <w:rPr>
          <w:rFonts w:cs="Arial" w:ascii="Times New Roman" w:hAnsi="Times New Roman"/>
          <w:bCs/>
          <w:sz w:val="24"/>
          <w:szCs w:val="24"/>
        </w:rPr>
        <w:t>warunek spełniony, wnioskowane działki położone są w granicach administracyjnych miasta;</w:t>
      </w:r>
    </w:p>
    <w:p>
      <w:pPr>
        <w:pStyle w:val="Normal"/>
        <w:shd w:val="clear" w:color="auto" w:fill="FFFFFF"/>
        <w:spacing w:lineRule="exact" w:line="226"/>
        <w:ind w:left="1410" w:right="10" w:hanging="416"/>
        <w:jc w:val="both"/>
        <w:rPr>
          <w:rFonts w:ascii="Arial Narrow" w:hAnsi="Arial Narrow" w:cs="Arial"/>
          <w:sz w:val="20"/>
        </w:rPr>
      </w:pPr>
      <w:r>
        <w:rPr>
          <w:rFonts w:cs="Arial" w:ascii="Times New Roman" w:hAnsi="Times New Roman"/>
          <w:bCs/>
          <w:sz w:val="24"/>
          <w:szCs w:val="24"/>
        </w:rPr>
        <w:t>b)</w:t>
        <w:tab/>
      </w:r>
      <w:r>
        <w:rPr>
          <w:rFonts w:cs="Arial" w:ascii="Times New Roman" w:hAnsi="Times New Roman"/>
          <w:b/>
          <w:bCs/>
          <w:sz w:val="24"/>
          <w:szCs w:val="24"/>
          <w:u w:val="single"/>
        </w:rPr>
        <w:t>ochrona gruntów leśnych</w:t>
      </w:r>
      <w:r>
        <w:rPr>
          <w:rFonts w:cs="Arial" w:ascii="Times New Roman" w:hAnsi="Times New Roman"/>
          <w:bCs/>
          <w:sz w:val="24"/>
          <w:szCs w:val="24"/>
        </w:rPr>
        <w:t>:  realizacja inwestycji poza gruntami leśnymi.</w:t>
      </w:r>
    </w:p>
    <w:p>
      <w:pPr>
        <w:pStyle w:val="Normal"/>
        <w:shd w:val="clear" w:color="auto" w:fill="FFFFFF"/>
        <w:spacing w:lineRule="exact" w:line="226"/>
        <w:ind w:left="720" w:right="10" w:hanging="360"/>
        <w:jc w:val="both"/>
        <w:rPr>
          <w:rFonts w:ascii="Arial Narrow" w:hAnsi="Arial Narrow" w:cs="Arial"/>
          <w:bCs/>
          <w:sz w:val="20"/>
          <w:szCs w:val="20"/>
        </w:rPr>
      </w:pPr>
      <w:r>
        <w:rPr>
          <w:rFonts w:cs="Arial" w:ascii="Times New Roman" w:hAnsi="Times New Roman"/>
          <w:sz w:val="24"/>
          <w:szCs w:val="24"/>
        </w:rPr>
        <w:t>12.</w:t>
        <w:tab/>
        <w:t>Wnioskowana działka nie stanowi terenu zamkniętego - z</w:t>
      </w:r>
      <w:r>
        <w:rPr>
          <w:rFonts w:cs="Arial" w:ascii="Times New Roman" w:hAnsi="Times New Roman"/>
          <w:bCs/>
          <w:sz w:val="24"/>
          <w:szCs w:val="24"/>
        </w:rPr>
        <w:t>godnie z decyzją Nr 3 Ministra Infrastruktury i Rozwoju z dnia 24 marca 2014 r. w sprawie ustalenia terenów, przez które przebiegają linie kolejowe, jako terenów zamkniętych (Dz. Urz. Ministra Infrastruktury i Rozwoju, poz. 25 ze zm. – załącznik do ww. decyzji Tom II województwo kujawsko-pomorskie).</w:t>
      </w:r>
    </w:p>
    <w:p>
      <w:pPr>
        <w:pStyle w:val="Normal"/>
        <w:shd w:val="clear" w:color="auto" w:fill="FFFFFF"/>
        <w:spacing w:lineRule="exact" w:line="226"/>
        <w:ind w:left="720" w:right="10" w:hanging="360"/>
        <w:jc w:val="both"/>
        <w:rPr>
          <w:rFonts w:ascii="Arial Narrow" w:hAnsi="Arial Narrow" w:cs="Arial"/>
          <w:sz w:val="20"/>
        </w:rPr>
      </w:pPr>
      <w:r>
        <w:rPr>
          <w:rFonts w:cs="Arial" w:ascii="Times New Roman" w:hAnsi="Times New Roman"/>
          <w:sz w:val="24"/>
          <w:szCs w:val="24"/>
        </w:rPr>
        <w:t>13.</w:t>
        <w:tab/>
        <w:t xml:space="preserve">Realizacja inwestycji celu publicznego w terenach, przeznaczonych na ten cel w planach miejscowych, które utraciły moc na podstawie art. 67 ustawy, o której mowa w art. 88 ust. 1 ww. ustawy – dworzec kolejowy. </w:t>
      </w:r>
    </w:p>
    <w:p>
      <w:pPr>
        <w:pStyle w:val="Normal"/>
        <w:shd w:val="clear" w:color="auto" w:fill="FFFFFF"/>
        <w:spacing w:lineRule="exact" w:line="226"/>
        <w:ind w:left="720" w:right="10" w:hanging="360"/>
        <w:jc w:val="both"/>
        <w:rPr>
          <w:rFonts w:ascii="Times New Roman" w:hAnsi="Times New Roman" w:cs="Arial"/>
          <w:sz w:val="24"/>
          <w:szCs w:val="24"/>
        </w:rPr>
      </w:pPr>
      <w:r>
        <w:rPr>
          <w:rFonts w:cs="Arial" w:ascii="Times New Roman" w:hAnsi="Times New Roman"/>
          <w:sz w:val="24"/>
          <w:szCs w:val="24"/>
        </w:rPr>
      </w:r>
    </w:p>
    <w:p>
      <w:pPr>
        <w:pStyle w:val="BodyText3"/>
        <w:tabs>
          <w:tab w:val="left" w:pos="360" w:leader="none"/>
        </w:tabs>
        <w:spacing w:before="0" w:after="0"/>
        <w:ind w:left="180" w:hanging="180"/>
        <w:jc w:val="left"/>
        <w:rPr>
          <w:rFonts w:ascii="Arial Narrow" w:hAnsi="Arial Narrow"/>
          <w:b/>
          <w:b/>
          <w:sz w:val="20"/>
        </w:rPr>
      </w:pPr>
      <w:r>
        <w:rPr>
          <w:rFonts w:ascii="Times New Roman" w:hAnsi="Times New Roman"/>
          <w:b/>
          <w:sz w:val="24"/>
          <w:szCs w:val="24"/>
        </w:rPr>
        <w:t>III.</w:t>
        <w:tab/>
        <w:t>WARUNKI OBSŁUGI W ZAKRESIE INFRASTUKTURY TECHNICZNEJ I KOMUNIKACJI</w:t>
      </w:r>
    </w:p>
    <w:p>
      <w:pPr>
        <w:pStyle w:val="Normal"/>
        <w:numPr>
          <w:ilvl w:val="0"/>
          <w:numId w:val="3"/>
        </w:numPr>
        <w:jc w:val="both"/>
        <w:rPr>
          <w:rFonts w:ascii="Arial Narrow" w:hAnsi="Arial Narrow"/>
          <w:sz w:val="20"/>
        </w:rPr>
      </w:pPr>
      <w:r>
        <w:rPr>
          <w:rFonts w:ascii="Times New Roman" w:hAnsi="Times New Roman"/>
          <w:sz w:val="24"/>
          <w:szCs w:val="24"/>
        </w:rPr>
        <w:t>Zaopatrzenie w energię – na dotychczasowych warunkach gestora sieci;</w:t>
      </w:r>
    </w:p>
    <w:p>
      <w:pPr>
        <w:pStyle w:val="Normal"/>
        <w:numPr>
          <w:ilvl w:val="0"/>
          <w:numId w:val="3"/>
        </w:numPr>
        <w:jc w:val="both"/>
        <w:rPr>
          <w:rFonts w:ascii="Arial Narrow" w:hAnsi="Arial Narrow"/>
          <w:sz w:val="20"/>
        </w:rPr>
      </w:pPr>
      <w:r>
        <w:rPr>
          <w:rFonts w:ascii="Times New Roman" w:hAnsi="Times New Roman"/>
          <w:sz w:val="24"/>
          <w:szCs w:val="24"/>
        </w:rPr>
        <w:t>Woda – na warunkach gestora sieci;</w:t>
      </w:r>
    </w:p>
    <w:p>
      <w:pPr>
        <w:pStyle w:val="Normal"/>
        <w:numPr>
          <w:ilvl w:val="0"/>
          <w:numId w:val="3"/>
        </w:numPr>
        <w:jc w:val="both"/>
        <w:rPr>
          <w:rFonts w:ascii="Arial Narrow" w:hAnsi="Arial Narrow"/>
          <w:sz w:val="20"/>
        </w:rPr>
      </w:pPr>
      <w:r>
        <w:rPr>
          <w:rFonts w:ascii="Times New Roman" w:hAnsi="Times New Roman"/>
          <w:sz w:val="24"/>
          <w:szCs w:val="24"/>
        </w:rPr>
        <w:t>Odprowadzenie ścieków sanitarnych – na warunkach gestora sieci;</w:t>
      </w:r>
    </w:p>
    <w:p>
      <w:pPr>
        <w:pStyle w:val="Normal"/>
        <w:numPr>
          <w:ilvl w:val="0"/>
          <w:numId w:val="3"/>
        </w:numPr>
        <w:jc w:val="both"/>
        <w:rPr>
          <w:rFonts w:ascii="Arial Narrow" w:hAnsi="Arial Narrow"/>
          <w:sz w:val="20"/>
        </w:rPr>
      </w:pPr>
      <w:r>
        <w:rPr>
          <w:rFonts w:ascii="Times New Roman" w:hAnsi="Times New Roman"/>
          <w:sz w:val="24"/>
          <w:szCs w:val="24"/>
        </w:rPr>
        <w:t>Źródło ogrzewania – z zachowaniem przepisów odrębnych;</w:t>
      </w:r>
    </w:p>
    <w:p>
      <w:pPr>
        <w:pStyle w:val="Normal"/>
        <w:numPr>
          <w:ilvl w:val="0"/>
          <w:numId w:val="3"/>
        </w:numPr>
        <w:jc w:val="both"/>
        <w:rPr>
          <w:rFonts w:ascii="Arial Narrow" w:hAnsi="Arial Narrow"/>
          <w:sz w:val="20"/>
        </w:rPr>
      </w:pPr>
      <w:r>
        <w:rPr>
          <w:rFonts w:ascii="Times New Roman" w:hAnsi="Times New Roman"/>
          <w:sz w:val="24"/>
          <w:szCs w:val="24"/>
        </w:rPr>
        <w:t xml:space="preserve">Wody opadowe – z zachowaniem przepisów odrębnych </w:t>
      </w:r>
    </w:p>
    <w:p>
      <w:pPr>
        <w:pStyle w:val="Normal"/>
        <w:numPr>
          <w:ilvl w:val="0"/>
          <w:numId w:val="3"/>
        </w:numPr>
        <w:jc w:val="both"/>
        <w:rPr>
          <w:rFonts w:ascii="Arial Narrow" w:hAnsi="Arial Narrow"/>
          <w:sz w:val="20"/>
        </w:rPr>
      </w:pPr>
      <w:r>
        <w:rPr>
          <w:rFonts w:ascii="Times New Roman" w:hAnsi="Times New Roman"/>
          <w:sz w:val="24"/>
          <w:szCs w:val="24"/>
        </w:rPr>
        <w:t xml:space="preserve">Obsługa komunikacyjna – z przyległej drogi powiatowej nr 2553C (ul. 1-go Maja) - na warunkach zarządcy drogi, wewnętrzna obsługa komunikacyjna terenu powinna być bezkolizyjna, należy wydzielić miejsca parkingowe (minimum 10 miejsc, w tym miejsca dla osób niepełnosprawnych) w sposób zapewniający bezpieczeństwo oraz sprawny wjazd i wyjazd na drogę publiczną; </w:t>
      </w:r>
    </w:p>
    <w:p>
      <w:pPr>
        <w:pStyle w:val="Normal"/>
        <w:numPr>
          <w:ilvl w:val="0"/>
          <w:numId w:val="3"/>
        </w:numPr>
        <w:jc w:val="both"/>
        <w:rPr>
          <w:rFonts w:ascii="Arial Narrow" w:hAnsi="Arial Narrow"/>
          <w:sz w:val="20"/>
        </w:rPr>
      </w:pPr>
      <w:r>
        <w:rPr>
          <w:rFonts w:ascii="Times New Roman" w:hAnsi="Times New Roman"/>
          <w:sz w:val="24"/>
          <w:szCs w:val="24"/>
        </w:rPr>
        <w:t>Składowanie odpadów stałych – z zachowaniem przepisów odrębnych.</w:t>
      </w:r>
    </w:p>
    <w:p>
      <w:pPr>
        <w:pStyle w:val="BodyText3"/>
        <w:tabs>
          <w:tab w:val="left" w:pos="360" w:leader="none"/>
        </w:tabs>
        <w:ind w:left="180" w:hanging="180"/>
        <w:jc w:val="left"/>
        <w:rPr>
          <w:rFonts w:ascii="Times New Roman" w:hAnsi="Times New Roman"/>
          <w:b/>
          <w:b/>
          <w:sz w:val="24"/>
          <w:szCs w:val="24"/>
        </w:rPr>
      </w:pPr>
      <w:r>
        <w:rPr>
          <w:rFonts w:ascii="Times New Roman" w:hAnsi="Times New Roman"/>
          <w:b/>
          <w:sz w:val="24"/>
          <w:szCs w:val="24"/>
        </w:rPr>
      </w:r>
    </w:p>
    <w:p>
      <w:pPr>
        <w:pStyle w:val="BodyText3"/>
        <w:tabs>
          <w:tab w:val="left" w:pos="360" w:leader="none"/>
        </w:tabs>
        <w:spacing w:before="0" w:after="0"/>
        <w:ind w:left="180" w:hanging="180"/>
        <w:jc w:val="left"/>
        <w:rPr>
          <w:rFonts w:ascii="Arial Narrow" w:hAnsi="Arial Narrow"/>
          <w:b/>
          <w:b/>
          <w:sz w:val="20"/>
        </w:rPr>
      </w:pPr>
      <w:r>
        <w:rPr>
          <w:rFonts w:ascii="Times New Roman" w:hAnsi="Times New Roman"/>
          <w:b/>
          <w:sz w:val="24"/>
          <w:szCs w:val="24"/>
        </w:rPr>
        <w:t>IV.</w:t>
        <w:tab/>
        <w:t>WYMAGANIA DOTYCZĄCE OCHRONY INTERESÓW OSÓB TRZECICH</w:t>
      </w:r>
    </w:p>
    <w:p>
      <w:pPr>
        <w:pStyle w:val="ListParagraph"/>
        <w:numPr>
          <w:ilvl w:val="0"/>
          <w:numId w:val="4"/>
        </w:numPr>
        <w:tabs>
          <w:tab w:val="left" w:pos="720" w:leader="none"/>
        </w:tabs>
        <w:ind w:left="720" w:hanging="781"/>
        <w:jc w:val="both"/>
        <w:rPr>
          <w:rFonts w:ascii="Arial Narrow" w:hAnsi="Arial Narrow"/>
          <w:sz w:val="20"/>
        </w:rPr>
      </w:pPr>
      <w:r>
        <w:rPr>
          <w:rFonts w:ascii="Times New Roman" w:hAnsi="Times New Roman"/>
          <w:sz w:val="24"/>
          <w:szCs w:val="24"/>
        </w:rPr>
        <w:t>Należy zapewnić ochronę uzasadnionych interesów osób trzecich:</w:t>
      </w:r>
    </w:p>
    <w:p>
      <w:pPr>
        <w:pStyle w:val="Normal"/>
        <w:numPr>
          <w:ilvl w:val="0"/>
          <w:numId w:val="6"/>
        </w:numPr>
        <w:tabs>
          <w:tab w:val="left" w:pos="1418" w:leader="none"/>
          <w:tab w:val="left" w:pos="1985" w:leader="none"/>
          <w:tab w:val="left" w:pos="3544" w:leader="none"/>
        </w:tabs>
        <w:ind w:hanging="356"/>
        <w:jc w:val="both"/>
        <w:rPr>
          <w:rFonts w:ascii="Arial Narrow" w:hAnsi="Arial Narrow"/>
          <w:sz w:val="20"/>
        </w:rPr>
      </w:pPr>
      <w:r>
        <w:rPr>
          <w:rFonts w:ascii="Times New Roman" w:hAnsi="Times New Roman"/>
          <w:sz w:val="24"/>
          <w:szCs w:val="24"/>
        </w:rPr>
        <w:t>dostępu do drogi publicznej,</w:t>
      </w:r>
    </w:p>
    <w:p>
      <w:pPr>
        <w:pStyle w:val="Normal"/>
        <w:numPr>
          <w:ilvl w:val="0"/>
          <w:numId w:val="6"/>
        </w:numPr>
        <w:tabs>
          <w:tab w:val="left" w:pos="1276" w:leader="none"/>
          <w:tab w:val="left" w:pos="1418" w:leader="none"/>
          <w:tab w:val="left" w:pos="1985" w:leader="none"/>
          <w:tab w:val="left" w:pos="2835" w:leader="none"/>
          <w:tab w:val="left" w:pos="3544" w:leader="none"/>
        </w:tabs>
        <w:ind w:hanging="356"/>
        <w:jc w:val="both"/>
        <w:rPr>
          <w:rFonts w:ascii="Arial Narrow" w:hAnsi="Arial Narrow"/>
          <w:sz w:val="20"/>
        </w:rPr>
      </w:pPr>
      <w:r>
        <w:rPr>
          <w:rFonts w:ascii="Times New Roman" w:hAnsi="Times New Roman"/>
          <w:sz w:val="24"/>
          <w:szCs w:val="24"/>
        </w:rPr>
        <w:t xml:space="preserve">możliwości korzystania z wody, kanalizacji, energii elektrycznej i cieplnej oraz ze      </w:t>
        <w:tab/>
        <w:t>środków łączności,</w:t>
      </w:r>
    </w:p>
    <w:p>
      <w:pPr>
        <w:pStyle w:val="Normal"/>
        <w:numPr>
          <w:ilvl w:val="0"/>
          <w:numId w:val="6"/>
        </w:numPr>
        <w:tabs>
          <w:tab w:val="left" w:pos="1418" w:leader="none"/>
          <w:tab w:val="left" w:pos="1985" w:leader="none"/>
          <w:tab w:val="left" w:pos="3544" w:leader="none"/>
        </w:tabs>
        <w:ind w:hanging="356"/>
        <w:jc w:val="both"/>
        <w:rPr>
          <w:rFonts w:ascii="Arial Narrow" w:hAnsi="Arial Narrow"/>
          <w:sz w:val="20"/>
        </w:rPr>
      </w:pPr>
      <w:r>
        <w:rPr>
          <w:rFonts w:ascii="Times New Roman" w:hAnsi="Times New Roman"/>
          <w:sz w:val="24"/>
          <w:szCs w:val="24"/>
        </w:rPr>
        <w:t xml:space="preserve">uciążliwościami powodowanymi przez hałas, wibracje, zakłócenia elektryczne i </w:t>
        <w:tab/>
        <w:t>promieniowanie, zanieczyszczeniem powietrza, wody i gleby.</w:t>
      </w:r>
    </w:p>
    <w:p>
      <w:pPr>
        <w:pStyle w:val="Tekstpodstawowy211"/>
        <w:tabs>
          <w:tab w:val="left" w:pos="426" w:leader="none"/>
          <w:tab w:val="left" w:pos="567" w:leader="none"/>
        </w:tabs>
        <w:ind w:left="709" w:hanging="283"/>
        <w:rPr>
          <w:rFonts w:ascii="Arial Narrow" w:hAnsi="Arial Narrow"/>
          <w:szCs w:val="24"/>
          <w:lang w:eastAsia="ar-SA"/>
        </w:rPr>
      </w:pPr>
      <w:r>
        <w:rPr>
          <w:rFonts w:ascii="Times New Roman" w:hAnsi="Times New Roman"/>
          <w:sz w:val="24"/>
          <w:szCs w:val="24"/>
        </w:rPr>
        <w:t>2.</w:t>
        <w:tab/>
        <w:tab/>
      </w:r>
      <w:r>
        <w:rPr>
          <w:rFonts w:ascii="Times New Roman" w:hAnsi="Times New Roman"/>
          <w:sz w:val="24"/>
          <w:szCs w:val="24"/>
          <w:lang w:eastAsia="ar-SA"/>
        </w:rPr>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w:t>
      </w:r>
      <w:r>
        <w:rPr>
          <w:rFonts w:cs="Arial" w:ascii="Times New Roman" w:hAnsi="Times New Roman"/>
          <w:sz w:val="24"/>
          <w:szCs w:val="24"/>
        </w:rPr>
        <w:t xml:space="preserve">tekst jednolity: </w:t>
      </w:r>
      <w:bookmarkStart w:id="8" w:name="_Hlk536867709"/>
      <w:r>
        <w:rPr>
          <w:rFonts w:cs="Arial" w:ascii="Times New Roman" w:hAnsi="Times New Roman"/>
          <w:sz w:val="24"/>
          <w:szCs w:val="24"/>
        </w:rPr>
        <w:t>Dz. U. z 2018 r. poz. 1025 ze zm.</w:t>
      </w:r>
      <w:bookmarkEnd w:id="8"/>
      <w:r>
        <w:rPr>
          <w:rFonts w:ascii="Times New Roman" w:hAnsi="Times New Roman"/>
          <w:sz w:val="24"/>
          <w:szCs w:val="24"/>
          <w:lang w:eastAsia="ar-SA"/>
        </w:rPr>
        <w:t>).</w:t>
      </w:r>
    </w:p>
    <w:p>
      <w:pPr>
        <w:pStyle w:val="Tekstpodstawowy211"/>
        <w:tabs>
          <w:tab w:val="left" w:pos="426" w:leader="none"/>
          <w:tab w:val="left" w:pos="567" w:leader="none"/>
        </w:tabs>
        <w:ind w:left="709" w:hanging="283"/>
        <w:rPr>
          <w:rFonts w:ascii="Arial Narrow" w:hAnsi="Arial Narrow"/>
          <w:szCs w:val="24"/>
        </w:rPr>
      </w:pPr>
      <w:r>
        <w:rPr>
          <w:rFonts w:ascii="Times New Roman" w:hAnsi="Times New Roman"/>
          <w:sz w:val="24"/>
          <w:szCs w:val="24"/>
          <w:lang w:eastAsia="ar-SA"/>
        </w:rPr>
        <w:t>3.</w:t>
        <w:tab/>
        <w:tab/>
        <w:t>Robót ziemnych nie wolno dokonywać w taki sposób, by groziły one nieruchomością sąsiednim utratą oparcia – zgodnie z art. 147 ustawy z dnia 23 kwietnia 1964 r. Kodeks Cywilny (</w:t>
      </w:r>
      <w:r>
        <w:rPr>
          <w:rFonts w:cs="Arial" w:ascii="Times New Roman" w:hAnsi="Times New Roman"/>
          <w:sz w:val="24"/>
          <w:szCs w:val="24"/>
        </w:rPr>
        <w:t>tekst jednolity: Dz. U. z 2018 r. poz. 1025 ze zm.</w:t>
      </w:r>
      <w:r>
        <w:rPr>
          <w:rFonts w:ascii="Times New Roman" w:hAnsi="Times New Roman"/>
          <w:sz w:val="24"/>
          <w:szCs w:val="24"/>
          <w:lang w:eastAsia="ar-SA"/>
        </w:rPr>
        <w:t>)</w:t>
      </w:r>
      <w:r>
        <w:rPr>
          <w:rFonts w:ascii="Times New Roman" w:hAnsi="Times New Roman"/>
          <w:sz w:val="24"/>
          <w:szCs w:val="24"/>
        </w:rPr>
        <w:t>.</w:t>
      </w:r>
    </w:p>
    <w:p>
      <w:pPr>
        <w:pStyle w:val="Tekstpodstawowy211"/>
        <w:tabs>
          <w:tab w:val="left" w:pos="426" w:leader="none"/>
          <w:tab w:val="left" w:pos="567" w:leader="none"/>
        </w:tabs>
        <w:ind w:left="709" w:hanging="283"/>
        <w:rPr>
          <w:rFonts w:ascii="Arial Narrow" w:hAnsi="Arial Narrow"/>
          <w:szCs w:val="24"/>
        </w:rPr>
      </w:pPr>
      <w:r>
        <w:rPr>
          <w:rFonts w:ascii="Times New Roman" w:hAnsi="Times New Roman"/>
          <w:sz w:val="24"/>
          <w:szCs w:val="24"/>
        </w:rPr>
        <w:t xml:space="preserve">4. </w:t>
        <w:tab/>
        <w:t>Budynek powinien być zaprojektowany i wykonany z takich materiałów i wyrobów oraz w taki sposób aby nie stanowił zagrożenia dla higieny i zdrowia użytkowników lub sąsiadów, w szczególności w wyniku ograniczenia nasłonecznienia i oświetlenia naturalnego - § 309 Rozporządzenia Ministra Infrastruktury z dnia 12 kwietnia 2002 r. w sprawie warunków technicznych, jakim powinny odpowiadać budynki i ich usytuowanie (tekst jednolity: Dz. U. z 2015 r., poz. 1422 ze zm.).</w:t>
      </w:r>
    </w:p>
    <w:p>
      <w:pPr>
        <w:pStyle w:val="Tekstpodstawowy211"/>
        <w:tabs>
          <w:tab w:val="left" w:pos="426" w:leader="none"/>
          <w:tab w:val="left" w:pos="567" w:leader="none"/>
        </w:tabs>
        <w:ind w:left="709" w:hanging="283"/>
        <w:rPr>
          <w:rFonts w:ascii="Arial Narrow" w:hAnsi="Arial Narrow"/>
        </w:rPr>
      </w:pPr>
      <w:r>
        <w:rPr>
          <w:rFonts w:ascii="Times New Roman" w:hAnsi="Times New Roman"/>
          <w:sz w:val="24"/>
          <w:szCs w:val="24"/>
        </w:rPr>
        <w:t>5.</w:t>
        <w:tab/>
        <w:tab/>
        <w:t>Zakaz zmiany kierunku i natężenia odpływu znajdujących się na działce wód opadowych lub roztopowych oraz odprowadzania wód i wprowadzania ścieków na grunty sąsiednie – zgodnie z art. 234 ustawy z dnia 20 lipca 2017 r. Prawo wodne (</w:t>
      </w:r>
      <w:r>
        <w:rPr>
          <w:rFonts w:cs="Arial" w:ascii="Times New Roman" w:hAnsi="Times New Roman"/>
          <w:sz w:val="24"/>
          <w:szCs w:val="24"/>
        </w:rPr>
        <w:t>tekst jednolity: Dz. U. z 2018 r. poz. 2268</w:t>
      </w:r>
      <w:r>
        <w:rPr>
          <w:rFonts w:ascii="Times New Roman" w:hAnsi="Times New Roman"/>
          <w:sz w:val="24"/>
          <w:szCs w:val="24"/>
        </w:rPr>
        <w:t>).</w:t>
      </w:r>
    </w:p>
    <w:p>
      <w:pPr>
        <w:pStyle w:val="Tekstpodstawowy21"/>
        <w:tabs>
          <w:tab w:val="left" w:pos="426" w:leader="none"/>
          <w:tab w:val="left" w:pos="567" w:leader="none"/>
        </w:tabs>
        <w:ind w:left="709" w:hanging="283"/>
        <w:rPr>
          <w:rFonts w:ascii="Arial Narrow" w:hAnsi="Arial Narrow"/>
          <w:szCs w:val="24"/>
        </w:rPr>
      </w:pPr>
      <w:r>
        <w:rPr>
          <w:rFonts w:ascii="Times New Roman" w:hAnsi="Times New Roman"/>
          <w:sz w:val="24"/>
          <w:szCs w:val="24"/>
        </w:rPr>
        <w:t>6.</w:t>
        <w:tab/>
        <w:tab/>
        <w:t>Należy uzyskać prawo do dysponowania nieruchomością na cele budowlane, dokumentując je dołączonym do wniosku o pozwolenie na budowę oświadczeniem - zgodnie z art. 32 ust. 4 pkt 2 i art. 33 ust. 2 pkt 2 ustawy z dnia 7 lipca 1994 r. Prawo Budowlane (tekst jednolity: Dz. U. 2018 poz. 1202 ze zm</w:t>
      </w:r>
      <w:r>
        <w:rPr>
          <w:rFonts w:ascii="Times New Roman" w:hAnsi="Times New Roman"/>
          <w:sz w:val="24"/>
          <w:szCs w:val="24"/>
          <w:lang w:eastAsia="ar-SA"/>
        </w:rPr>
        <w:t>.</w:t>
      </w:r>
      <w:r>
        <w:rPr>
          <w:rFonts w:ascii="Times New Roman" w:hAnsi="Times New Roman"/>
          <w:sz w:val="24"/>
          <w:szCs w:val="24"/>
        </w:rPr>
        <w:t>).</w:t>
      </w:r>
    </w:p>
    <w:p>
      <w:pPr>
        <w:pStyle w:val="Tekstpodstawowy21"/>
        <w:tabs>
          <w:tab w:val="left" w:pos="426" w:leader="none"/>
          <w:tab w:val="left" w:pos="567" w:leader="none"/>
        </w:tabs>
        <w:ind w:left="567" w:hanging="283"/>
        <w:rPr>
          <w:rFonts w:ascii="Times New Roman" w:hAnsi="Times New Roman"/>
          <w:sz w:val="24"/>
          <w:szCs w:val="24"/>
        </w:rPr>
      </w:pPr>
      <w:r>
        <w:rPr>
          <w:rFonts w:ascii="Times New Roman" w:hAnsi="Times New Roman"/>
          <w:sz w:val="24"/>
          <w:szCs w:val="24"/>
        </w:rPr>
      </w:r>
    </w:p>
    <w:p>
      <w:pPr>
        <w:pStyle w:val="BodyText3"/>
        <w:tabs>
          <w:tab w:val="left" w:pos="360" w:leader="none"/>
        </w:tabs>
        <w:spacing w:before="0" w:after="0"/>
        <w:ind w:left="360" w:hanging="360"/>
        <w:jc w:val="left"/>
        <w:rPr>
          <w:rFonts w:ascii="Arial Narrow" w:hAnsi="Arial Narrow"/>
          <w:b/>
          <w:b/>
          <w:sz w:val="20"/>
        </w:rPr>
      </w:pPr>
      <w:r>
        <w:rPr>
          <w:rFonts w:ascii="Times New Roman" w:hAnsi="Times New Roman"/>
          <w:b/>
          <w:sz w:val="24"/>
          <w:szCs w:val="24"/>
        </w:rPr>
        <w:t>V.</w:t>
        <w:tab/>
        <w:t xml:space="preserve">WYMAGANIA DOTYCZĄCE OCHRONY OBIEKTÓW BUDOWLANYCH NA TERENACH GÓRNICZYCH </w:t>
      </w:r>
    </w:p>
    <w:p>
      <w:pPr>
        <w:pStyle w:val="Tekstpodstawowy21"/>
        <w:tabs>
          <w:tab w:val="left" w:pos="426" w:leader="none"/>
          <w:tab w:val="left" w:pos="567" w:leader="none"/>
        </w:tabs>
        <w:rPr>
          <w:rFonts w:ascii="Arial Narrow" w:hAnsi="Arial Narrow"/>
        </w:rPr>
      </w:pPr>
      <w:r>
        <w:rPr>
          <w:rFonts w:ascii="Times New Roman" w:hAnsi="Times New Roman"/>
          <w:sz w:val="24"/>
          <w:szCs w:val="24"/>
        </w:rPr>
        <w:t>Nie dotyczy</w:t>
      </w:r>
    </w:p>
    <w:p>
      <w:pPr>
        <w:pStyle w:val="BodyText3"/>
        <w:spacing w:before="0" w:after="0"/>
        <w:jc w:val="center"/>
        <w:rPr>
          <w:rFonts w:ascii="Arial Narrow" w:hAnsi="Arial Narrow"/>
          <w:b/>
          <w:b/>
          <w:sz w:val="20"/>
        </w:rPr>
      </w:pPr>
      <w:r>
        <w:rPr>
          <w:rFonts w:ascii="Times New Roman" w:hAnsi="Times New Roman"/>
          <w:b/>
          <w:sz w:val="24"/>
          <w:szCs w:val="24"/>
        </w:rPr>
        <w:t xml:space="preserve">UZASADNIENIE </w:t>
      </w:r>
    </w:p>
    <w:p>
      <w:pPr>
        <w:pStyle w:val="BodyText3"/>
        <w:spacing w:before="0" w:after="0"/>
        <w:ind w:firstLine="540"/>
        <w:rPr>
          <w:rFonts w:ascii="Arial Narrow" w:hAnsi="Arial Narrow"/>
          <w:sz w:val="20"/>
          <w:szCs w:val="20"/>
        </w:rPr>
      </w:pPr>
      <w:r>
        <w:rPr>
          <w:rFonts w:ascii="Times New Roman" w:hAnsi="Times New Roman"/>
          <w:sz w:val="24"/>
          <w:szCs w:val="24"/>
        </w:rPr>
        <w:t xml:space="preserve">W dniu 27 marca 2019 r. (data wpływu) </w:t>
      </w:r>
      <w:r>
        <w:rPr>
          <w:rFonts w:ascii="Times New Roman" w:hAnsi="Times New Roman"/>
          <w:b/>
          <w:bCs/>
          <w:sz w:val="24"/>
          <w:szCs w:val="24"/>
        </w:rPr>
        <w:t xml:space="preserve">Pan Marek Rabsztyn, </w:t>
      </w:r>
      <w:r>
        <w:rPr>
          <w:rFonts w:ascii="Times New Roman" w:hAnsi="Times New Roman"/>
          <w:b/>
          <w:bCs/>
          <w:sz w:val="24"/>
          <w:szCs w:val="24"/>
          <w:u w:val="single"/>
        </w:rPr>
        <w:t xml:space="preserve">reprezentujący </w:t>
      </w:r>
      <w:r>
        <w:rPr>
          <w:rFonts w:ascii="Times New Roman" w:hAnsi="Times New Roman"/>
          <w:b/>
          <w:bCs/>
          <w:sz w:val="24"/>
          <w:szCs w:val="24"/>
        </w:rPr>
        <w:t xml:space="preserve">BSPiR ENERGOPROJEKT-KATOWICE S.A. z siedzibą: ul. Jesionowa 15, skr pocz. 315, 40-159 Katowice, </w:t>
      </w:r>
      <w:r>
        <w:rPr>
          <w:rFonts w:ascii="Times New Roman" w:hAnsi="Times New Roman"/>
          <w:b/>
          <w:bCs/>
          <w:sz w:val="24"/>
          <w:szCs w:val="24"/>
          <w:u w:val="single"/>
        </w:rPr>
        <w:t xml:space="preserve">działającą w imieniu inwestora tj. </w:t>
      </w:r>
      <w:r>
        <w:rPr>
          <w:rFonts w:ascii="Times New Roman" w:hAnsi="Times New Roman"/>
          <w:b/>
          <w:bCs/>
          <w:sz w:val="24"/>
          <w:szCs w:val="24"/>
        </w:rPr>
        <w:t xml:space="preserve">Polskich Kolei Państwowych S.A. z siedzibą: Al. Jerozolimskie 142 A, 02-305 Warszawa </w:t>
      </w:r>
      <w:r>
        <w:rPr>
          <w:rFonts w:ascii="Times New Roman" w:hAnsi="Times New Roman"/>
          <w:b/>
          <w:bCs/>
          <w:sz w:val="24"/>
          <w:szCs w:val="24"/>
          <w:u w:val="single"/>
        </w:rPr>
        <w:t>/na mocy pełnomocnictwa z dnia 7 lutego 2019 r./ ,</w:t>
      </w:r>
      <w:r>
        <w:rPr>
          <w:rFonts w:ascii="Times New Roman" w:hAnsi="Times New Roman"/>
          <w:sz w:val="24"/>
          <w:szCs w:val="24"/>
        </w:rPr>
        <w:t xml:space="preserve"> wystąpił o ustalenie lokalizacji inwestycji celu publicznego polegającej na budowie budynku dworca kolejowego Janikowo wraz z zagospodarowaniem terenu i infrastrukturą towarzyszącą oraz rozbiórką budynków dworca istniejącego   – realizacja inwestycji na nieruchomościach oznaczonych nr ewid. 42/14 i 42/15 położonych w Janikowie, obręb ewidencyjny 6 miasto Janikowo, gmina Janikowo. Wniosek uzupełniono w dniu 10 kwietnia 2019 r. (data wpływu)</w:t>
      </w:r>
    </w:p>
    <w:p>
      <w:pPr>
        <w:pStyle w:val="BodyText3"/>
        <w:spacing w:before="0" w:after="0"/>
        <w:ind w:firstLine="540"/>
        <w:rPr>
          <w:rFonts w:ascii="Arial Narrow" w:hAnsi="Arial Narrow"/>
          <w:sz w:val="20"/>
        </w:rPr>
      </w:pPr>
      <w:r>
        <w:rPr>
          <w:rFonts w:ascii="Times New Roman" w:hAnsi="Times New Roman"/>
          <w:sz w:val="24"/>
          <w:szCs w:val="24"/>
        </w:rPr>
        <w:t>Zgodnie z art. 6 pkt 1 ustawy z dnia 21 sierpnia 1997 r. o gospodarce nieruchomościami (tekst jednolity: Dz. U. z 2015 r. poz. 1774) wnioskowane zamierzenie zaliczone jest do inwestycji celu publicznego.</w:t>
      </w:r>
    </w:p>
    <w:p>
      <w:pPr>
        <w:pStyle w:val="BodyText3"/>
        <w:spacing w:before="0" w:after="0"/>
        <w:ind w:firstLine="539"/>
        <w:rPr>
          <w:rFonts w:ascii="Arial Narrow" w:hAnsi="Arial Narrow"/>
          <w:sz w:val="20"/>
        </w:rPr>
      </w:pPr>
      <w:r>
        <w:rPr>
          <w:rFonts w:ascii="Times New Roman" w:hAnsi="Times New Roman"/>
          <w:sz w:val="24"/>
          <w:szCs w:val="24"/>
        </w:rPr>
        <w:t>Po ustaleniu stron postępowania administracyjnego na podstawie ewidencji gruntów i budynków prowadzonej przez Starostwo Powiatowe w Inowrocławiu, zgodnie z art. 61 § 4 Kodeksu Postępowania Administracyjnego wszczęto postępowanie w przedmiotowej sprawie.</w:t>
      </w:r>
    </w:p>
    <w:p>
      <w:pPr>
        <w:pStyle w:val="BodyText3"/>
        <w:spacing w:before="0" w:after="0"/>
        <w:ind w:firstLine="539"/>
        <w:rPr>
          <w:rFonts w:ascii="Arial Narrow" w:hAnsi="Arial Narrow"/>
          <w:sz w:val="20"/>
        </w:rPr>
      </w:pPr>
      <w:r>
        <w:rPr>
          <w:rFonts w:ascii="Times New Roman" w:hAnsi="Times New Roman"/>
          <w:sz w:val="24"/>
          <w:szCs w:val="24"/>
        </w:rPr>
        <w:t>Analizując wniosek oraz ustalenia studium uwarunkowań i kierunków zagospodarowania przestrzennego gminy i miasta Janikowo uchwalonego uchwałą nr XIX/159/2016 Rady Miejskiej w Janikowie z dnia 27 września 2016 r., Burmistrz stwierdził, że nie zachodzi okoliczność wynikająca z art. 62. ust. 2 ustawy o planowaniu i zagospodarowaniu przestrzennym, a dotycząca obowiązku sporządzenia miejscowego planu zagospodarowania przestrzennego dla obszaru objętego wnioskiem.</w:t>
      </w:r>
    </w:p>
    <w:p>
      <w:pPr>
        <w:pStyle w:val="WWTekstpodstawowy3"/>
        <w:spacing w:before="0" w:after="0"/>
        <w:ind w:firstLine="539"/>
        <w:rPr>
          <w:rFonts w:ascii="Arial Narrow" w:hAnsi="Arial Narrow"/>
        </w:rPr>
      </w:pPr>
      <w:r>
        <w:rPr>
          <w:rFonts w:ascii="Times New Roman" w:hAnsi="Times New Roman"/>
          <w:sz w:val="24"/>
          <w:szCs w:val="24"/>
        </w:rPr>
        <w:t>Dla terenu, na którym położona jest w/w działka Gmina nie posiada miejscowego planu zagospodarowania przestrzennego. W związku z brakiem planu miejscowego na podstawie art. 4 ust. 2 pkt 2 Ustawy z dnia 27 marca 2003 r. o planowaniu i zagospodarowaniu przestrzennym (</w:t>
      </w:r>
      <w:bookmarkStart w:id="9" w:name="_Hlk487128863"/>
      <w:r>
        <w:rPr>
          <w:rFonts w:ascii="Times New Roman" w:hAnsi="Times New Roman"/>
          <w:sz w:val="24"/>
          <w:szCs w:val="24"/>
        </w:rPr>
        <w:t xml:space="preserve">tekst jednolity: Dz. U. 2018 r. poz. </w:t>
      </w:r>
      <w:bookmarkEnd w:id="9"/>
      <w:r>
        <w:rPr>
          <w:rFonts w:ascii="Times New Roman" w:hAnsi="Times New Roman"/>
          <w:sz w:val="24"/>
          <w:szCs w:val="24"/>
        </w:rPr>
        <w:t>1945 ze zm.) określenie sposobów zagospodarowania i warunków zabudowy terenu następuje w drodze decyzji o warunkach zabudowy, której sporządzenie powierza się osobom spełniającym wymóg art. 50 ust 4 w nawiązaniu do art. 5 pkt 3 ww. ustawy. Projekt niniejszej decyzji przygotowała mgr inż. architekt Agnieszka Kujath–Jaworska,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WWTekstpodstawowy3"/>
        <w:spacing w:before="0" w:after="0"/>
        <w:ind w:firstLine="540"/>
        <w:rPr>
          <w:rFonts w:ascii="Arial Narrow" w:hAnsi="Arial Narrow"/>
        </w:rPr>
      </w:pPr>
      <w:r>
        <w:rPr>
          <w:rFonts w:ascii="Times New Roman" w:hAnsi="Times New Roman"/>
          <w:sz w:val="24"/>
          <w:szCs w:val="24"/>
        </w:rPr>
        <w:t xml:space="preserve">Projektowana inwestycja ma charakter i zasięg gminny wobec powyższego, dla obszaru objętego wnioskiem, przedmiotową decyzję, zgodnie z art. 51 ust.1 pkt 2 ww. ustawy, wydaje Burmistrz. Projekt decyzji uzgodniono: </w:t>
      </w:r>
    </w:p>
    <w:p>
      <w:pPr>
        <w:pStyle w:val="NormalIMP"/>
        <w:ind w:left="284" w:hanging="284"/>
        <w:jc w:val="both"/>
        <w:rPr>
          <w:rFonts w:ascii="Arial Narrow" w:hAnsi="Arial Narrow" w:cs="Arial"/>
        </w:rPr>
      </w:pPr>
      <w:r>
        <w:rPr>
          <w:rFonts w:cs="Arial" w:ascii="Times New Roman" w:hAnsi="Times New Roman"/>
          <w:sz w:val="24"/>
          <w:szCs w:val="24"/>
        </w:rPr>
        <w:t>-</w:t>
        <w:tab/>
        <w:t xml:space="preserve">z właściwym zarządcą drogi w odniesieniu do terenu przyległego do drogi zgodnie z art. 53 ust. 4 pkt 9 ww. ustawy, </w:t>
      </w:r>
    </w:p>
    <w:p>
      <w:pPr>
        <w:pStyle w:val="NormalIMP"/>
        <w:ind w:left="284" w:hanging="284"/>
        <w:jc w:val="both"/>
        <w:rPr>
          <w:rFonts w:ascii="Arial Narrow" w:hAnsi="Arial Narrow" w:cs="Arial"/>
        </w:rPr>
      </w:pPr>
      <w:r>
        <w:rPr>
          <w:rFonts w:cs="Arial" w:ascii="Times New Roman" w:hAnsi="Times New Roman"/>
          <w:sz w:val="24"/>
          <w:szCs w:val="24"/>
        </w:rPr>
        <w:t>-</w:t>
        <w:tab/>
        <w:t>z Wojewodą Kujawsko-Pomorskim, Marszałkiem Województwa, Starostą Inowrocławskim (art. 53 ust. 4 pkt 10 i 10a ww. ustawy).</w:t>
      </w:r>
    </w:p>
    <w:p>
      <w:pPr>
        <w:pStyle w:val="NormalIMP"/>
        <w:ind w:firstLine="539"/>
        <w:jc w:val="both"/>
        <w:rPr>
          <w:rFonts w:ascii="Times New Roman" w:hAnsi="Times New Roman"/>
          <w:sz w:val="24"/>
          <w:szCs w:val="24"/>
        </w:rPr>
      </w:pPr>
      <w:r>
        <w:rPr>
          <w:rFonts w:ascii="Times New Roman" w:hAnsi="Times New Roman"/>
          <w:sz w:val="24"/>
          <w:szCs w:val="24"/>
        </w:rPr>
        <w:t xml:space="preserve">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Burmistrz zapewnił stronom czynny udział w każdym stadium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ind w:firstLine="539"/>
        <w:jc w:val="both"/>
        <w:rPr>
          <w:rFonts w:ascii="Arial Narrow" w:hAnsi="Arial Narrow"/>
        </w:rPr>
      </w:pPr>
      <w:r>
        <w:rPr>
          <w:rFonts w:ascii="Times New Roman" w:hAnsi="Times New Roman"/>
          <w:sz w:val="24"/>
          <w:szCs w:val="24"/>
        </w:rPr>
      </w:r>
    </w:p>
    <w:p>
      <w:pPr>
        <w:pStyle w:val="NormalIMP"/>
        <w:spacing w:lineRule="auto" w:line="240"/>
        <w:ind w:firstLine="539"/>
        <w:jc w:val="both"/>
        <w:rPr>
          <w:rFonts w:ascii="Arial Narrow" w:hAnsi="Arial Narrow"/>
        </w:rPr>
      </w:pPr>
      <w:r>
        <w:rPr>
          <w:rFonts w:ascii="Times New Roman" w:hAnsi="Times New Roman"/>
          <w:sz w:val="24"/>
          <w:szCs w:val="24"/>
        </w:rPr>
        <w:t>Na mocy ustawy z dnia 27 marca 2003 r. o planowaniu i zagospodarowaniu przestrzennym:</w:t>
      </w:r>
    </w:p>
    <w:p>
      <w:pPr>
        <w:pStyle w:val="NormalIMP"/>
        <w:numPr>
          <w:ilvl w:val="0"/>
          <w:numId w:val="11"/>
        </w:numPr>
        <w:tabs>
          <w:tab w:val="left" w:pos="0" w:leader="none"/>
        </w:tabs>
        <w:overflowPunct w:val="true"/>
        <w:spacing w:lineRule="auto" w:line="240"/>
        <w:ind w:left="284" w:hanging="284"/>
        <w:jc w:val="both"/>
        <w:textAlignment w:val="auto"/>
        <w:rPr>
          <w:rFonts w:ascii="Arial Narrow" w:hAnsi="Arial Narrow"/>
        </w:rPr>
      </w:pPr>
      <w:r>
        <w:rPr>
          <w:rFonts w:ascii="Times New Roman" w:hAnsi="Times New Roman"/>
          <w:sz w:val="24"/>
          <w:szCs w:val="24"/>
        </w:rPr>
        <w:t>niniejsza decyzja wiąże organ wydający decyzję o pozwoleniu na budowę (art. 55),</w:t>
      </w:r>
    </w:p>
    <w:p>
      <w:pPr>
        <w:pStyle w:val="NormalIMP"/>
        <w:numPr>
          <w:ilvl w:val="0"/>
          <w:numId w:val="11"/>
        </w:numPr>
        <w:tabs>
          <w:tab w:val="left" w:pos="0"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 xml:space="preserve">jeżeli decyzja wywołuje skutki, o których mowa w art. 36 ustawy, przepisy art. 36 oraz   </w:t>
        <w:tab/>
        <w:t>art. 37stosuje się odpowiednio (art. 58 ust. 2),</w:t>
      </w:r>
      <w:r>
        <w:rPr>
          <w:rFonts w:ascii="Arial Narrow" w:hAnsi="Arial Narrow"/>
          <w:sz w:val="24"/>
          <w:szCs w:val="24"/>
        </w:rPr>
        <w:t xml:space="preserve">   </w:t>
      </w:r>
    </w:p>
    <w:p>
      <w:pPr>
        <w:pStyle w:val="NormalIMP"/>
        <w:numPr>
          <w:ilvl w:val="0"/>
          <w:numId w:val="11"/>
        </w:numPr>
        <w:tabs>
          <w:tab w:val="left" w:pos="0" w:leader="none"/>
        </w:tabs>
        <w:overflowPunct w:val="true"/>
        <w:spacing w:lineRule="auto" w:line="240"/>
        <w:ind w:left="284" w:hanging="284"/>
        <w:jc w:val="both"/>
        <w:textAlignment w:val="auto"/>
        <w:rPr>
          <w:rFonts w:ascii="Arial Narrow" w:hAnsi="Arial Narrow"/>
        </w:rPr>
      </w:pPr>
      <w:r>
        <w:rPr>
          <w:rFonts w:ascii="Times New Roman" w:hAnsi="Times New Roman"/>
          <w:sz w:val="24"/>
          <w:szCs w:val="24"/>
        </w:rPr>
        <w:t>organ, który wydał decyzję o ustaleniu lokalizacji inwestycji celu publicznego, stwierdza jej wygaśnięcie (art. 65 ust. 1 i 2), jeżeli:</w:t>
      </w:r>
    </w:p>
    <w:p>
      <w:pPr>
        <w:pStyle w:val="NormalIMP"/>
        <w:spacing w:lineRule="auto" w:line="240"/>
        <w:ind w:left="426" w:hanging="142"/>
        <w:jc w:val="both"/>
        <w:rPr>
          <w:rFonts w:ascii="Arial Narrow" w:hAnsi="Arial Narrow"/>
        </w:rPr>
      </w:pPr>
      <w:r>
        <w:rPr>
          <w:rFonts w:ascii="Times New Roman" w:hAnsi="Times New Roman"/>
          <w:sz w:val="24"/>
          <w:szCs w:val="24"/>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rFonts w:ascii="Arial Narrow" w:hAnsi="Arial Narrow"/>
        </w:rPr>
      </w:pPr>
      <w:r>
        <w:rPr>
          <w:rFonts w:ascii="Times New Roman" w:hAnsi="Times New Roman"/>
          <w:sz w:val="24"/>
          <w:szCs w:val="24"/>
        </w:rPr>
        <w:t>-</w:t>
        <w:tab/>
        <w:t>dla tego terenu uchwalono plan miejscowy, którego ustalenia są inne niż w wydanej decyzji.</w:t>
      </w:r>
    </w:p>
    <w:p>
      <w:pPr>
        <w:pStyle w:val="Tekstpodstawowy21"/>
        <w:tabs>
          <w:tab w:val="left" w:pos="426" w:leader="none"/>
          <w:tab w:val="left" w:pos="708" w:leader="none"/>
        </w:tabs>
        <w:suppressAutoHyphens w:val="false"/>
        <w:jc w:val="center"/>
        <w:rPr>
          <w:rFonts w:ascii="Arial Narrow" w:hAnsi="Arial Narrow"/>
          <w:b/>
          <w:b/>
        </w:rPr>
      </w:pPr>
      <w:bookmarkStart w:id="10" w:name="_GoBack"/>
      <w:bookmarkEnd w:id="10"/>
      <w:r>
        <w:rPr>
          <w:rFonts w:ascii="Times New Roman" w:hAnsi="Times New Roman"/>
          <w:b/>
          <w:sz w:val="24"/>
          <w:szCs w:val="24"/>
        </w:rPr>
        <w:t>Pouczenie</w:t>
      </w:r>
    </w:p>
    <w:p>
      <w:pPr>
        <w:pStyle w:val="NormalIMP"/>
        <w:spacing w:lineRule="auto" w:line="240"/>
        <w:ind w:firstLine="540"/>
        <w:jc w:val="both"/>
        <w:rPr>
          <w:rFonts w:ascii="Arial Narrow" w:hAnsi="Arial Narrow"/>
        </w:rPr>
      </w:pPr>
      <w:r>
        <w:rPr>
          <w:rFonts w:ascii="Times New Roman" w:hAnsi="Times New Roman"/>
          <w:sz w:val="24"/>
          <w:szCs w:val="24"/>
        </w:rPr>
        <w:t xml:space="preserve">Od niniejszej decyzji służy stronom odwołanie do Samorządowego Kolegium Odwoławczego </w:t>
        <w:br/>
        <w:t xml:space="preserve">w Bydgoszczy, które należy wnieść za pośrednictwem Burmistrza </w:t>
      </w:r>
      <w:r>
        <w:rPr>
          <w:rFonts w:cs="Arial" w:ascii="Times New Roman" w:hAnsi="Times New Roman"/>
          <w:sz w:val="24"/>
          <w:szCs w:val="24"/>
        </w:rPr>
        <w:t>Gminy i Miasta Janikowo</w:t>
      </w:r>
      <w:r>
        <w:rPr>
          <w:rFonts w:ascii="Times New Roman" w:hAnsi="Times New Roman"/>
          <w:sz w:val="24"/>
          <w:szCs w:val="24"/>
        </w:rPr>
        <w:t xml:space="preserve"> w terminie 14 dni od daty doręczenia. </w:t>
      </w:r>
    </w:p>
    <w:p>
      <w:pPr>
        <w:pStyle w:val="NormalIMP"/>
        <w:spacing w:lineRule="auto" w:line="240"/>
        <w:ind w:firstLine="540"/>
        <w:jc w:val="both"/>
        <w:rPr>
          <w:rFonts w:ascii="Arial Narrow" w:hAnsi="Arial Narrow"/>
        </w:rPr>
      </w:pPr>
      <w:r>
        <w:rPr>
          <w:rFonts w:ascii="Times New Roman" w:hAnsi="Times New Roman"/>
          <w:sz w:val="24"/>
          <w:szCs w:val="24"/>
        </w:rPr>
        <w:t xml:space="preserve">Zgodnie z art. 127a § 1 i 2 ustawy z dnia 14 czerwca 1960 r. Kodeks postępowania administracyjnego (tekst jednolity: Dz. U. z 2017 r. poz. 1257) w trakcie biegu terminu do wniesienia odwołania strona może zrzec się prawa do wniesienia odwołania wobec organu administracji publicznej, który wydał decyzję. </w:t>
      </w:r>
    </w:p>
    <w:p>
      <w:pPr>
        <w:pStyle w:val="NormalIMP"/>
        <w:spacing w:lineRule="auto" w:line="240"/>
        <w:ind w:firstLine="540"/>
        <w:jc w:val="both"/>
        <w:rPr>
          <w:rFonts w:ascii="Times New Roman" w:hAnsi="Times New Roman"/>
          <w:sz w:val="22"/>
          <w:szCs w:val="22"/>
        </w:rPr>
      </w:pPr>
      <w:r>
        <w:rPr>
          <w:rFonts w:ascii="Times New Roman" w:hAnsi="Times New Roman"/>
          <w:sz w:val="24"/>
          <w:szCs w:val="24"/>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tab/>
        <w:tab/>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24"/>
          <w:szCs w:val="24"/>
        </w:rPr>
      </w:pPr>
      <w:r>
        <w:rPr>
          <w:rFonts w:ascii="Times New Roman" w:hAnsi="Times New Roman"/>
          <w:sz w:val="24"/>
          <w:szCs w:val="24"/>
        </w:rPr>
      </w:r>
    </w:p>
    <w:p>
      <w:pPr>
        <w:pStyle w:val="Normal"/>
        <w:ind w:hanging="0"/>
        <w:rPr>
          <w:rFonts w:ascii="Times New Roman" w:hAnsi="Times New Roman"/>
          <w:sz w:val="16"/>
          <w:szCs w:val="16"/>
        </w:rPr>
      </w:pPr>
      <w:r>
        <w:rPr>
          <w:rFonts w:ascii="Times New Roman" w:hAnsi="Times New Roman"/>
          <w:sz w:val="24"/>
          <w:szCs w:val="24"/>
        </w:rPr>
        <w:tab/>
        <w:tab/>
        <w:tab/>
        <w:tab/>
        <w:tab/>
        <w:tab/>
        <w:tab/>
      </w:r>
    </w:p>
    <w:p>
      <w:pPr>
        <w:pStyle w:val="Normal"/>
        <w:ind w:hanging="0"/>
        <w:rPr>
          <w:rFonts w:ascii="Times New Roman" w:hAnsi="Times New Roman"/>
          <w:sz w:val="24"/>
          <w:szCs w:val="24"/>
        </w:rPr>
      </w:pPr>
      <w:r>
        <w:rPr>
          <w:rFonts w:ascii="Times New Roman" w:hAnsi="Times New Roman"/>
          <w:sz w:val="24"/>
          <w:szCs w:val="24"/>
        </w:rPr>
        <w:tab/>
        <w:tab/>
        <w:tab/>
        <w:tab/>
        <w:tab/>
        <w:tab/>
        <w:tab/>
        <w:tab/>
      </w:r>
    </w:p>
    <w:p>
      <w:pPr>
        <w:pStyle w:val="Normal"/>
        <w:ind w:right="4536" w:hanging="0"/>
        <w:rPr>
          <w:rFonts w:ascii="Arial Narrow" w:hAnsi="Arial Narrow"/>
          <w:b/>
          <w:b/>
          <w:sz w:val="16"/>
          <w:u w:val="single"/>
        </w:rPr>
      </w:pPr>
      <w:r>
        <w:rPr>
          <w:rFonts w:ascii="Times New Roman" w:hAnsi="Times New Roman"/>
          <w:b/>
          <w:sz w:val="18"/>
          <w:szCs w:val="18"/>
          <w:u w:val="single"/>
        </w:rPr>
        <w:t xml:space="preserve">Załącznik: </w:t>
      </w:r>
    </w:p>
    <w:p>
      <w:pPr>
        <w:pStyle w:val="Normal"/>
        <w:numPr>
          <w:ilvl w:val="0"/>
          <w:numId w:val="2"/>
        </w:numPr>
        <w:tabs>
          <w:tab w:val="left" w:pos="284" w:leader="none"/>
        </w:tabs>
        <w:ind w:left="720" w:right="4536" w:hanging="360"/>
        <w:rPr>
          <w:rFonts w:ascii="Arial Narrow" w:hAnsi="Arial Narrow"/>
          <w:sz w:val="16"/>
        </w:rPr>
      </w:pPr>
      <w:r>
        <w:rPr>
          <w:rFonts w:ascii="Times New Roman" w:hAnsi="Times New Roman"/>
          <w:sz w:val="18"/>
          <w:szCs w:val="18"/>
        </w:rPr>
        <w:t>część graficzna – zał. nr 1,</w:t>
      </w:r>
    </w:p>
    <w:p>
      <w:pPr>
        <w:pStyle w:val="Normal"/>
        <w:tabs>
          <w:tab w:val="left" w:pos="284" w:leader="none"/>
        </w:tabs>
        <w:ind w:right="4536" w:hanging="0"/>
        <w:rPr>
          <w:rFonts w:ascii="Arial Narrow" w:hAnsi="Arial Narrow"/>
          <w:b/>
          <w:b/>
          <w:sz w:val="16"/>
          <w:u w:val="single"/>
        </w:rPr>
      </w:pPr>
      <w:r>
        <w:rPr>
          <w:rFonts w:ascii="Times New Roman" w:hAnsi="Times New Roman"/>
          <w:b/>
          <w:sz w:val="18"/>
          <w:szCs w:val="18"/>
          <w:u w:val="single"/>
        </w:rPr>
        <w:t>Otrzymują:</w:t>
      </w:r>
    </w:p>
    <w:p>
      <w:pPr>
        <w:pStyle w:val="Normal"/>
        <w:numPr>
          <w:ilvl w:val="0"/>
          <w:numId w:val="7"/>
        </w:numPr>
        <w:tabs>
          <w:tab w:val="left" w:pos="284" w:leader="none"/>
        </w:tabs>
        <w:ind w:left="720" w:right="4536" w:hanging="360"/>
        <w:rPr>
          <w:rFonts w:ascii="Arial Narrow" w:hAnsi="Arial Narrow"/>
          <w:sz w:val="16"/>
        </w:rPr>
      </w:pPr>
      <w:r>
        <w:rPr>
          <w:rFonts w:ascii="Times New Roman" w:hAnsi="Times New Roman"/>
          <w:sz w:val="18"/>
          <w:szCs w:val="18"/>
        </w:rPr>
        <w:t>wnioskodawca</w:t>
      </w:r>
    </w:p>
    <w:p>
      <w:pPr>
        <w:pStyle w:val="Normal"/>
        <w:numPr>
          <w:ilvl w:val="0"/>
          <w:numId w:val="7"/>
        </w:numPr>
        <w:tabs>
          <w:tab w:val="left" w:pos="284" w:leader="none"/>
        </w:tabs>
        <w:ind w:left="720" w:right="4536" w:hanging="360"/>
        <w:rPr>
          <w:rFonts w:ascii="Times New Roman" w:hAnsi="Times New Roman"/>
          <w:sz w:val="18"/>
          <w:szCs w:val="18"/>
        </w:rPr>
      </w:pPr>
      <w:r>
        <w:rPr>
          <w:rFonts w:ascii="Times New Roman" w:hAnsi="Times New Roman"/>
          <w:sz w:val="18"/>
          <w:szCs w:val="18"/>
        </w:rPr>
        <w:t>inne strony postępowania</w:t>
      </w:r>
    </w:p>
    <w:sectPr>
      <w:footerReference w:type="default" r:id="rId2"/>
      <w:type w:val="nextPage"/>
      <w:pgSz w:w="11906" w:h="16838"/>
      <w:pgMar w:left="1035" w:right="1226" w:header="0" w:top="1425" w:footer="503" w:bottom="1212"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Arial Narrow">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1" allowOverlap="1" relativeHeight="7">
              <wp:simplePos x="0" y="0"/>
              <wp:positionH relativeFrom="margin">
                <wp:align>right</wp:align>
              </wp:positionH>
              <wp:positionV relativeFrom="paragraph">
                <wp:posOffset>635</wp:posOffset>
              </wp:positionV>
              <wp:extent cx="77470" cy="174625"/>
              <wp:effectExtent l="0" t="0" r="0" b="0"/>
              <wp:wrapSquare wrapText="largest"/>
              <wp:docPr id="1" name="Ramka1"/>
              <a:graphic xmlns:a="http://schemas.openxmlformats.org/drawingml/2006/main">
                <a:graphicData uri="http://schemas.microsoft.com/office/word/2010/wordprocessingShape">
                  <wps:wsp>
                    <wps:cNvSpPr/>
                    <wps:spPr>
                      <a:xfrm>
                        <a:off x="0" y="0"/>
                        <a:ext cx="76680" cy="173880"/>
                      </a:xfrm>
                      <a:prstGeom prst="rect">
                        <a:avLst/>
                      </a:prstGeom>
                      <a:noFill/>
                      <a:ln>
                        <a:noFill/>
                      </a:ln>
                    </wps:spPr>
                    <wps:style>
                      <a:lnRef idx="0"/>
                      <a:fillRef idx="0"/>
                      <a:effectRef idx="0"/>
                      <a:fontRef idx="minor"/>
                    </wps:style>
                    <wps:txbx>
                      <w:txbxContent>
                        <w:p>
                          <w:pPr>
                            <w:pStyle w:val="Stopka"/>
                            <w:rPr>
                              <w:color w:val="auto"/>
                            </w:rPr>
                          </w:pPr>
                          <w:r>
                            <w:rPr>
                              <w:color w:val="auto"/>
                            </w:rPr>
                            <w:fldChar w:fldCharType="begin"/>
                          </w:r>
                          <w:r>
                            <w:instrText> PAGE </w:instrText>
                          </w:r>
                          <w:r>
                            <w:fldChar w:fldCharType="separate"/>
                          </w:r>
                          <w:r>
                            <w:t>6</w:t>
                          </w:r>
                          <w:r>
                            <w:fldChar w:fldCharType="end"/>
                          </w:r>
                        </w:p>
                      </w:txbxContent>
                    </wps:txbx>
                    <wps:bodyPr lIns="0" rIns="0" tIns="0" bIns="0">
                      <a:spAutoFit/>
                    </wps:bodyPr>
                  </wps:wsp>
                </a:graphicData>
              </a:graphic>
            </wp:anchor>
          </w:drawing>
        </mc:Choice>
        <mc:Fallback>
          <w:pict>
            <v:rect id="shape_0" ID="Ramka1" fillcolor="white" stroked="f" style="position:absolute;margin-left:476.15pt;margin-top:0.05pt;width:6pt;height:13.65pt;mso-position-horizontal:right;mso-position-horizontal-relative:margin">
              <w10:wrap type="square"/>
              <v:fill o:detectmouseclick="t" type="solid" color2="black" opacity="0"/>
              <v:stroke color="#3465a4" joinstyle="round" endcap="flat"/>
              <v:textbox>
                <w:txbxContent>
                  <w:p>
                    <w:pPr>
                      <w:pStyle w:val="Stopka"/>
                      <w:rPr>
                        <w:color w:val="auto"/>
                      </w:rPr>
                    </w:pPr>
                    <w:r>
                      <w:rPr>
                        <w:color w:val="auto"/>
                      </w:rPr>
                      <w:fldChar w:fldCharType="begin"/>
                    </w:r>
                    <w:r>
                      <w:instrText> PAGE </w:instrText>
                    </w:r>
                    <w:r>
                      <w:fldChar w:fldCharType="separate"/>
                    </w:r>
                    <w:r>
                      <w:t>6</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lowerLetter"/>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720"/>
        </w:tabs>
        <w:ind w:left="720" w:hanging="360"/>
      </w:pPr>
      <w:rPr>
        <w:rFonts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Fonts w:cs="Symbol"/>
      </w:rPr>
    </w:lvl>
    <w:lvl w:ilvl="2">
      <w:start w:val="87"/>
      <w:numFmt w:val="bullet"/>
      <w:lvlText w:val="-"/>
      <w:lvlJc w:val="left"/>
      <w:pPr>
        <w:tabs>
          <w:tab w:val="num" w:pos="2340"/>
        </w:tabs>
        <w:ind w:left="2340" w:hanging="360"/>
      </w:pPr>
      <w:rPr>
        <w:rFonts w:ascii="Times New Roman" w:hAnsi="Times New Roman" w:cs="Times New Roman" w:hint="default"/>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16ee"/>
    <w:pPr>
      <w:widowControl/>
      <w:bidi w:val="0"/>
      <w:spacing w:lineRule="auto" w:line="240" w:before="0" w:after="0"/>
      <w:jc w:val="left"/>
    </w:pPr>
    <w:rPr>
      <w:rFonts w:ascii="Times New Roman" w:hAnsi="Times New Roman" w:eastAsia="Times New Roman" w:cs="Times New Roman"/>
      <w:color w:val="00000A"/>
      <w:sz w:val="24"/>
      <w:szCs w:val="24"/>
      <w:lang w:val="pl-PL" w:eastAsia="pl-PL" w:bidi="ar-SA"/>
    </w:rPr>
  </w:style>
  <w:style w:type="paragraph" w:styleId="Nagwek1">
    <w:name w:val="Nagłówek 1"/>
    <w:basedOn w:val="Nagwek"/>
    <w:pPr/>
    <w:rPr/>
  </w:style>
  <w:style w:type="paragraph" w:styleId="Nagwek2">
    <w:name w:val="Nagłówek 2"/>
    <w:basedOn w:val="Normal"/>
    <w:link w:val="Nagwek2Znak"/>
    <w:qFormat/>
    <w:rsid w:val="00c516ee"/>
    <w:pPr>
      <w:keepNext/>
      <w:jc w:val="center"/>
      <w:outlineLvl w:val="1"/>
    </w:pPr>
    <w:rPr>
      <w:rFonts w:ascii="Arial" w:hAnsi="Arial" w:cs="Arial"/>
      <w:b/>
      <w:sz w:val="32"/>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c516ee"/>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c516ee"/>
    <w:rPr>
      <w:rFonts w:ascii="Arial" w:hAnsi="Arial" w:eastAsia="Times New Roman" w:cs="Arial"/>
      <w:sz w:val="24"/>
      <w:szCs w:val="24"/>
      <w:lang w:eastAsia="pl-PL"/>
    </w:rPr>
  </w:style>
  <w:style w:type="character" w:styleId="StopkaZnak" w:customStyle="1">
    <w:name w:val="Stopka Znak"/>
    <w:basedOn w:val="DefaultParagraphFont"/>
    <w:link w:val="Stopka"/>
    <w:qFormat/>
    <w:rsid w:val="00c516ee"/>
    <w:rPr>
      <w:rFonts w:ascii="Times New Roman" w:hAnsi="Times New Roman" w:eastAsia="Times New Roman" w:cs="Times New Roman"/>
      <w:sz w:val="24"/>
      <w:szCs w:val="24"/>
      <w:lang w:eastAsia="pl-PL"/>
    </w:rPr>
  </w:style>
  <w:style w:type="character" w:styleId="Pagenumber">
    <w:name w:val="page number"/>
    <w:basedOn w:val="DefaultParagraphFont"/>
    <w:qFormat/>
    <w:rsid w:val="00c516ee"/>
    <w:rPr/>
  </w:style>
  <w:style w:type="character" w:styleId="TekstdymkaZnak" w:customStyle="1">
    <w:name w:val="Tekst dymka Znak"/>
    <w:basedOn w:val="DefaultParagraphFont"/>
    <w:link w:val="Tekstdymka"/>
    <w:uiPriority w:val="99"/>
    <w:semiHidden/>
    <w:qFormat/>
    <w:rsid w:val="00a01481"/>
    <w:rPr>
      <w:rFonts w:ascii="Segoe UI" w:hAnsi="Segoe UI" w:eastAsia="Times New Roman" w:cs="Segoe UI"/>
      <w:sz w:val="18"/>
      <w:szCs w:val="18"/>
      <w:lang w:eastAsia="pl-PL"/>
    </w:rPr>
  </w:style>
  <w:style w:type="character" w:styleId="TekstpodstawowywcityZnak" w:customStyle="1">
    <w:name w:val="Tekst podstawowy wcięty Znak"/>
    <w:basedOn w:val="DefaultParagraphFont"/>
    <w:link w:val="Tekstpodstawowywcity"/>
    <w:qFormat/>
    <w:rsid w:val="00463613"/>
    <w:rPr>
      <w:rFonts w:ascii="Times New Roman" w:hAnsi="Times New Roman" w:eastAsia="Times New Roman" w:cs="Times New Roman"/>
      <w:sz w:val="24"/>
      <w:szCs w:val="24"/>
      <w:lang w:eastAsia="pl-PL"/>
    </w:rPr>
  </w:style>
  <w:style w:type="character" w:styleId="ListLabel1">
    <w:name w:val="ListLabel 1"/>
    <w:qFormat/>
    <w:rPr>
      <w:rFonts w:eastAsia="Times New Roman" w:cs="Times New Roman"/>
    </w:rPr>
  </w:style>
  <w:style w:type="character" w:styleId="ListLabel2">
    <w:name w:val="ListLabel 2"/>
    <w:qFormat/>
    <w:rPr>
      <w:sz w:val="20"/>
      <w:szCs w:val="20"/>
    </w:rPr>
  </w:style>
  <w:style w:type="character" w:styleId="ListLabel3">
    <w:name w:val="ListLabel 3"/>
    <w:qFormat/>
    <w:rPr>
      <w:rFonts w:cs="Arial"/>
    </w:rPr>
  </w:style>
  <w:style w:type="character" w:styleId="ListLabel4">
    <w:name w:val="ListLabel 4"/>
    <w:qFormat/>
    <w:rPr>
      <w:rFonts w:cs="Courier New"/>
    </w:rPr>
  </w:style>
  <w:style w:type="character" w:styleId="ListLabel5">
    <w:name w:val="ListLabel 5"/>
    <w:qFormat/>
    <w:rPr>
      <w:rFonts w:eastAsia="Times New Roman" w:cs="Times New Roman"/>
      <w:b/>
      <w:sz w:val="20"/>
    </w:rPr>
  </w:style>
  <w:style w:type="character" w:styleId="ListLabel6">
    <w:name w:val="ListLabel 6"/>
    <w:qFormat/>
    <w:rPr>
      <w:rFonts w:cs="Times New Roman"/>
    </w:rPr>
  </w:style>
  <w:style w:type="character" w:styleId="ListLabel7">
    <w:name w:val="ListLabel 7"/>
    <w:qFormat/>
    <w:rPr>
      <w:rFonts w:cs="Arial"/>
    </w:rPr>
  </w:style>
  <w:style w:type="character" w:styleId="ListLabel8">
    <w:name w:val="ListLabel 8"/>
    <w:qFormat/>
    <w:rPr>
      <w:rFonts w:ascii="Arial Narrow" w:hAnsi="Arial Narrow" w:cs="Symbol"/>
    </w:rPr>
  </w:style>
  <w:style w:type="paragraph" w:styleId="Nagwek">
    <w:name w:val="Nagłówek"/>
    <w:basedOn w:val="Normal"/>
    <w:next w:val="Tretekstu"/>
    <w:qFormat/>
    <w:pPr>
      <w:keepNext/>
      <w:spacing w:before="240" w:after="120"/>
    </w:pPr>
    <w:rPr>
      <w:rFonts w:ascii="Liberation Sans" w:hAnsi="Liberation Sans" w:eastAsia="Lucida Sans Unicode"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ekstpodstawowy21" w:customStyle="1">
    <w:name w:val="Tekst podstawowy 21"/>
    <w:basedOn w:val="Normal"/>
    <w:qFormat/>
    <w:rsid w:val="00c516ee"/>
    <w:pPr>
      <w:tabs>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c516ee"/>
    <w:pPr>
      <w:spacing w:before="0" w:after="120"/>
      <w:jc w:val="both"/>
    </w:pPr>
    <w:rPr>
      <w:rFonts w:ascii="Arial" w:hAnsi="Arial" w:cs="Arial"/>
    </w:rPr>
  </w:style>
  <w:style w:type="paragraph" w:styleId="NormalIMP" w:customStyle="1">
    <w:name w:val="Normal_IMP"/>
    <w:basedOn w:val="Normal"/>
    <w:qFormat/>
    <w:rsid w:val="00c516ee"/>
    <w:pPr>
      <w:suppressAutoHyphens w:val="true"/>
      <w:overflowPunct w:val="false"/>
      <w:spacing w:lineRule="auto" w:line="228"/>
      <w:textAlignment w:val="baseline"/>
    </w:pPr>
    <w:rPr>
      <w:rFonts w:ascii="Arial" w:hAnsi="Arial"/>
      <w:sz w:val="20"/>
      <w:szCs w:val="20"/>
    </w:rPr>
  </w:style>
  <w:style w:type="paragraph" w:styleId="WWTekstpodstawowy3" w:customStyle="1">
    <w:name w:val="WW-Tekst podstawowy 3"/>
    <w:basedOn w:val="Normal"/>
    <w:qFormat/>
    <w:rsid w:val="00c516ee"/>
    <w:pPr>
      <w:spacing w:before="0" w:after="120"/>
      <w:jc w:val="both"/>
    </w:pPr>
    <w:rPr>
      <w:rFonts w:ascii="Arial" w:hAnsi="Arial" w:cs="Arial"/>
      <w:sz w:val="20"/>
    </w:rPr>
  </w:style>
  <w:style w:type="paragraph" w:styleId="Stopka">
    <w:name w:val="Stopka"/>
    <w:basedOn w:val="Normal"/>
    <w:link w:val="StopkaZnak"/>
    <w:rsid w:val="00c516ee"/>
    <w:pPr>
      <w:tabs>
        <w:tab w:val="center" w:pos="4536" w:leader="none"/>
        <w:tab w:val="right" w:pos="9072" w:leader="none"/>
      </w:tabs>
    </w:pPr>
    <w:rPr/>
  </w:style>
  <w:style w:type="paragraph" w:styleId="ListParagraph">
    <w:name w:val="List Paragraph"/>
    <w:basedOn w:val="Normal"/>
    <w:uiPriority w:val="34"/>
    <w:qFormat/>
    <w:rsid w:val="00c516ee"/>
    <w:pPr>
      <w:spacing w:before="0" w:after="0"/>
      <w:ind w:left="720" w:hanging="0"/>
      <w:contextualSpacing/>
    </w:pPr>
    <w:rPr/>
  </w:style>
  <w:style w:type="paragraph" w:styleId="ZLITPKT8211" w:customStyle="1">
    <w:name w:val="Z_LIT/PKT &amp;#8211"/>
    <w:basedOn w:val="Normal"/>
    <w:qFormat/>
    <w:rsid w:val="005e7784"/>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a01481"/>
    <w:pPr/>
    <w:rPr>
      <w:rFonts w:ascii="Segoe UI" w:hAnsi="Segoe UI" w:cs="Segoe UI"/>
      <w:sz w:val="18"/>
      <w:szCs w:val="18"/>
    </w:rPr>
  </w:style>
  <w:style w:type="paragraph" w:styleId="Wcicietrecitekstu">
    <w:name w:val="Wcięcie treści tekstu"/>
    <w:basedOn w:val="Normal"/>
    <w:link w:val="TekstpodstawowywcityZnak"/>
    <w:uiPriority w:val="99"/>
    <w:semiHidden/>
    <w:unhideWhenUsed/>
    <w:rsid w:val="00463613"/>
    <w:pPr>
      <w:spacing w:before="0" w:after="120"/>
      <w:ind w:left="283" w:hanging="0"/>
    </w:pPr>
    <w:rPr/>
  </w:style>
  <w:style w:type="paragraph" w:styleId="Tekstpodstawowy211" w:customStyle="1">
    <w:name w:val="Tekst podstawowy 211"/>
    <w:basedOn w:val="Normal"/>
    <w:qFormat/>
    <w:rsid w:val="00463613"/>
    <w:pPr>
      <w:tabs>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numbering" w:styleId="NoList" w:default="1">
    <w:name w:val="No List"/>
    <w:uiPriority w:val="99"/>
    <w:semiHidden/>
    <w:unhideWhenUsed/>
  </w:style>
  <w:style w:type="numbering" w:styleId="Styl1" w:customStyle="1">
    <w:name w:val="Styl1"/>
    <w:rsid w:val="00cc73a1"/>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LibreOffice/5.0.1.2$Windows_x86 LibreOffice_project/81898c9f5c0d43f3473ba111d7b351050be20261</Application>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2019-04-18T07:09:00Z</dcterms:created>
  <dc:creator>Agnieszka</dc:creator>
  <dc:language>pl-PL</dc:language>
  <cp:lastPrinted>2019-05-29T14:33:56Z</cp:lastPrinted>
  <dcterms:modified xsi:type="dcterms:W3CDTF">2019-05-29T14:44:16Z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