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right"/>
        <w:rPr>
          <w:b/>
          <w:b/>
        </w:rPr>
      </w:pPr>
      <w:r>
        <w:rPr>
          <w:rFonts w:ascii="Times New Roman" w:hAnsi="Times New Roman"/>
          <w:sz w:val="22"/>
          <w:szCs w:val="22"/>
        </w:rPr>
      </w:r>
    </w:p>
    <w:p>
      <w:pPr>
        <w:pStyle w:val="Normal"/>
        <w:ind w:firstLine="5400"/>
        <w:jc w:val="right"/>
        <w:rPr>
          <w:rFonts w:ascii="Times New Roman" w:hAnsi="Times New Roman"/>
          <w:sz w:val="22"/>
          <w:szCs w:val="22"/>
        </w:rPr>
      </w:pPr>
      <w:r>
        <w:rPr>
          <w:rFonts w:ascii="Times New Roman" w:hAnsi="Times New Roman"/>
          <w:sz w:val="22"/>
          <w:szCs w:val="22"/>
        </w:rPr>
        <w:t xml:space="preserve">Janikowo, dnia </w:t>
      </w:r>
      <w:r>
        <w:rPr>
          <w:rFonts w:ascii="Times New Roman" w:hAnsi="Times New Roman"/>
          <w:sz w:val="22"/>
          <w:szCs w:val="22"/>
        </w:rPr>
        <w:t>02.03</w:t>
      </w:r>
      <w:r>
        <w:rPr>
          <w:rFonts w:ascii="Times New Roman" w:hAnsi="Times New Roman"/>
          <w:sz w:val="22"/>
          <w:szCs w:val="22"/>
        </w:rPr>
        <w:t>.2018 r.</w:t>
      </w:r>
    </w:p>
    <w:p>
      <w:pPr>
        <w:pStyle w:val="NormalIMP"/>
        <w:suppressAutoHyphens w:val="false"/>
        <w:overflowPunct w:val="true"/>
        <w:spacing w:lineRule="auto" w:line="240"/>
        <w:textAlignment w:val="auto"/>
        <w:rPr>
          <w:rFonts w:ascii="Arial Narrow" w:hAnsi="Arial Narrow"/>
        </w:rPr>
      </w:pPr>
      <w:r>
        <w:rPr>
          <w:rFonts w:ascii="Times New Roman" w:hAnsi="Times New Roman"/>
          <w:sz w:val="22"/>
          <w:szCs w:val="22"/>
        </w:rPr>
        <w:t>RIT.GP.6733.04.2017.AS</w:t>
      </w:r>
    </w:p>
    <w:p>
      <w:pPr>
        <w:pStyle w:val="NormalIMP"/>
        <w:suppressAutoHyphens w:val="false"/>
        <w:spacing w:lineRule="auto" w:line="240"/>
        <w:rPr>
          <w:rFonts w:ascii="Times New Roman" w:hAnsi="Times New Roman"/>
          <w:b/>
          <w:b/>
          <w:sz w:val="22"/>
          <w:szCs w:val="22"/>
          <w:u w:val="single"/>
        </w:rPr>
      </w:pPr>
      <w:r>
        <w:rPr>
          <w:rFonts w:ascii="Times New Roman" w:hAnsi="Times New Roman"/>
          <w:b/>
          <w:sz w:val="22"/>
          <w:szCs w:val="22"/>
          <w:u w:val="single"/>
        </w:rPr>
      </w:r>
    </w:p>
    <w:p>
      <w:pPr>
        <w:pStyle w:val="Nagwek2"/>
        <w:rPr>
          <w:rFonts w:ascii="Times New Roman" w:hAnsi="Times New Roman"/>
          <w:sz w:val="22"/>
          <w:szCs w:val="22"/>
        </w:rPr>
      </w:pPr>
      <w:r>
        <w:rPr>
          <w:rFonts w:ascii="Times New Roman" w:hAnsi="Times New Roman"/>
          <w:sz w:val="22"/>
          <w:szCs w:val="22"/>
        </w:rPr>
        <w:t xml:space="preserve">DECYZJA Nr </w:t>
      </w:r>
      <w:r>
        <w:rPr>
          <w:rFonts w:ascii="Times New Roman" w:hAnsi="Times New Roman"/>
          <w:sz w:val="22"/>
          <w:szCs w:val="22"/>
        </w:rPr>
        <w:t>02-CP-18</w:t>
      </w:r>
    </w:p>
    <w:p>
      <w:pPr>
        <w:pStyle w:val="Normal"/>
        <w:jc w:val="center"/>
        <w:rPr>
          <w:rFonts w:ascii="Arial Narrow" w:hAnsi="Arial Narrow"/>
          <w:b/>
          <w:b/>
        </w:rPr>
      </w:pPr>
      <w:r>
        <w:rPr>
          <w:rFonts w:ascii="Times New Roman" w:hAnsi="Times New Roman"/>
          <w:b/>
          <w:sz w:val="22"/>
          <w:szCs w:val="22"/>
        </w:rPr>
        <w:t xml:space="preserve">o ustaleniu lokalizacji inwestycji celu publicznego </w:t>
      </w:r>
    </w:p>
    <w:p>
      <w:pPr>
        <w:pStyle w:val="BodyText3"/>
        <w:ind w:firstLine="540"/>
        <w:rPr>
          <w:rFonts w:ascii="Arial Narrow" w:hAnsi="Arial Narrow"/>
          <w:sz w:val="20"/>
        </w:rPr>
      </w:pPr>
      <w:r>
        <w:rPr>
          <w:rFonts w:ascii="Times New Roman" w:hAnsi="Times New Roman"/>
          <w:sz w:val="22"/>
          <w:szCs w:val="22"/>
        </w:rPr>
        <w:t>Na podstawie art. 1 ust. 2, art. 4 ust. 2 pkt 1, art. 50 ust. 1, 4, art. 51 ust. 1 pkt 2, art. 53 ust. 1, 3, 4 art. 54 ust. 6, 9, 10 i 10a ustawy z dnia 27 marca 2003 r. o planowaniu i zagospodarowaniu przestrzennym (</w:t>
      </w:r>
      <w:bookmarkStart w:id="0" w:name="_Hlk503261287"/>
      <w:bookmarkStart w:id="1" w:name="_Hlk487127376"/>
      <w:r>
        <w:rPr>
          <w:rFonts w:ascii="Times New Roman" w:hAnsi="Times New Roman"/>
          <w:sz w:val="22"/>
          <w:szCs w:val="22"/>
        </w:rPr>
        <w:t>tekst jednolity: Dz. U. z 2017 r. poz. 1073</w:t>
      </w:r>
      <w:bookmarkEnd w:id="1"/>
      <w:r>
        <w:rPr>
          <w:rFonts w:ascii="Times New Roman" w:hAnsi="Times New Roman"/>
          <w:sz w:val="22"/>
          <w:szCs w:val="22"/>
        </w:rPr>
        <w:t xml:space="preserve"> ze zm.)</w:t>
      </w:r>
      <w:bookmarkEnd w:id="0"/>
      <w:r>
        <w:rPr>
          <w:rFonts w:ascii="Times New Roman" w:hAnsi="Times New Roman"/>
          <w:sz w:val="22"/>
          <w:szCs w:val="22"/>
        </w:rPr>
        <w:t>, art. 104  ustawy z dnia 14 czerwca 1960 r. Kodeks postępowania administracyjnego (</w:t>
      </w:r>
      <w:bookmarkStart w:id="2" w:name="_Hlk487127351"/>
      <w:r>
        <w:rPr>
          <w:rFonts w:ascii="Times New Roman" w:hAnsi="Times New Roman"/>
          <w:sz w:val="22"/>
          <w:szCs w:val="22"/>
        </w:rPr>
        <w:t>tekst jednolity: Dz. U. z 2017 r. poz. 1257</w:t>
      </w:r>
      <w:bookmarkEnd w:id="2"/>
      <w:r>
        <w:rPr>
          <w:rFonts w:ascii="Times New Roman" w:hAnsi="Times New Roman"/>
          <w:sz w:val="22"/>
          <w:szCs w:val="22"/>
        </w:rPr>
        <w:t xml:space="preserve">) oraz </w:t>
      </w:r>
      <w:r>
        <w:rPr>
          <w:rFonts w:ascii="Times New Roman" w:hAnsi="Times New Roman"/>
          <w:b/>
          <w:sz w:val="22"/>
          <w:szCs w:val="22"/>
        </w:rPr>
        <w:t>rozpatrując wniosek</w:t>
      </w:r>
    </w:p>
    <w:p>
      <w:pPr>
        <w:pStyle w:val="BodyText3"/>
        <w:spacing w:before="0" w:after="0"/>
        <w:jc w:val="center"/>
        <w:rPr>
          <w:rFonts w:ascii="Arial Narrow" w:hAnsi="Arial Narrow"/>
          <w:sz w:val="20"/>
        </w:rPr>
      </w:pPr>
      <w:r>
        <w:rPr>
          <w:rFonts w:ascii="Times New Roman" w:hAnsi="Times New Roman"/>
          <w:sz w:val="22"/>
          <w:szCs w:val="22"/>
        </w:rPr>
        <w:t xml:space="preserve">z dnia 20 grudnia 2017 r. </w:t>
      </w:r>
    </w:p>
    <w:p>
      <w:pPr>
        <w:pStyle w:val="BodyText3"/>
        <w:spacing w:before="0" w:after="0"/>
        <w:jc w:val="center"/>
        <w:rPr>
          <w:rFonts w:ascii="Times New Roman" w:hAnsi="Times New Roman"/>
          <w:sz w:val="22"/>
          <w:szCs w:val="22"/>
        </w:rPr>
      </w:pPr>
      <w:r>
        <w:rPr>
          <w:rFonts w:ascii="Times New Roman" w:hAnsi="Times New Roman"/>
          <w:sz w:val="22"/>
          <w:szCs w:val="22"/>
        </w:rPr>
        <w:t>27.12.2017r.</w:t>
      </w:r>
      <w:r>
        <w:rPr>
          <w:rFonts w:ascii="Times New Roman" w:hAnsi="Times New Roman"/>
          <w:sz w:val="22"/>
          <w:szCs w:val="22"/>
        </w:rPr>
        <w:t>(data wpływu)</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Pana Przemysława Wandachowicza </w:t>
      </w:r>
    </w:p>
    <w:p>
      <w:pPr>
        <w:pStyle w:val="BodyText3"/>
        <w:spacing w:before="0" w:after="0"/>
        <w:jc w:val="center"/>
        <w:rPr>
          <w:rFonts w:ascii="Arial Narrow" w:hAnsi="Arial Narrow"/>
          <w:b/>
          <w:b/>
          <w:bCs/>
          <w:sz w:val="18"/>
          <w:szCs w:val="18"/>
          <w:u w:val="single"/>
        </w:rPr>
      </w:pPr>
      <w:r>
        <w:rPr>
          <w:rFonts w:ascii="Times New Roman" w:hAnsi="Times New Roman"/>
          <w:b/>
          <w:bCs/>
          <w:sz w:val="22"/>
          <w:szCs w:val="22"/>
          <w:u w:val="single"/>
        </w:rPr>
        <w:t xml:space="preserve">reprezentującego </w:t>
      </w:r>
    </w:p>
    <w:p>
      <w:pPr>
        <w:pStyle w:val="BodyText3"/>
        <w:spacing w:before="0" w:after="0"/>
        <w:jc w:val="center"/>
        <w:rPr>
          <w:rFonts w:ascii="Arial Narrow" w:hAnsi="Arial Narrow"/>
          <w:b/>
          <w:b/>
          <w:bCs/>
          <w:sz w:val="20"/>
          <w:szCs w:val="20"/>
        </w:rPr>
      </w:pPr>
      <w:r>
        <w:rPr>
          <w:rFonts w:ascii="Times New Roman" w:hAnsi="Times New Roman"/>
          <w:b/>
          <w:bCs/>
          <w:sz w:val="22"/>
          <w:szCs w:val="22"/>
        </w:rPr>
        <w:t xml:space="preserve">WK-ARCHITEKCI Sp. z o.o. Sp.k.  </w:t>
      </w:r>
    </w:p>
    <w:p>
      <w:pPr>
        <w:pStyle w:val="BodyText3"/>
        <w:spacing w:before="0" w:after="0"/>
        <w:jc w:val="center"/>
        <w:rPr>
          <w:rFonts w:ascii="Arial Narrow" w:hAnsi="Arial Narrow"/>
          <w:b/>
          <w:b/>
          <w:bCs/>
          <w:sz w:val="20"/>
          <w:szCs w:val="20"/>
        </w:rPr>
      </w:pPr>
      <w:r>
        <w:rPr>
          <w:rFonts w:ascii="Times New Roman" w:hAnsi="Times New Roman"/>
          <w:b/>
          <w:bCs/>
          <w:sz w:val="22"/>
          <w:szCs w:val="22"/>
        </w:rPr>
        <w:t>z siedzibą: ul. Zdobywców Monte Casino 23, 61-695 Poznań</w:t>
      </w:r>
    </w:p>
    <w:p>
      <w:pPr>
        <w:pStyle w:val="BodyText3"/>
        <w:spacing w:before="0" w:after="0"/>
        <w:jc w:val="center"/>
        <w:rPr>
          <w:rFonts w:ascii="Arial Narrow" w:hAnsi="Arial Narrow"/>
          <w:b/>
          <w:b/>
          <w:bCs/>
          <w:sz w:val="18"/>
          <w:szCs w:val="18"/>
          <w:u w:val="single"/>
        </w:rPr>
      </w:pPr>
      <w:r>
        <w:rPr>
          <w:rFonts w:ascii="Times New Roman" w:hAnsi="Times New Roman"/>
          <w:b/>
          <w:bCs/>
          <w:sz w:val="22"/>
          <w:szCs w:val="22"/>
          <w:u w:val="single"/>
        </w:rPr>
        <w:t>działającego w imieniu inwestora tj.</w:t>
      </w:r>
    </w:p>
    <w:p>
      <w:pPr>
        <w:pStyle w:val="BodyText3"/>
        <w:spacing w:before="0" w:after="0"/>
        <w:jc w:val="center"/>
        <w:rPr>
          <w:rFonts w:ascii="Arial Narrow" w:hAnsi="Arial Narrow"/>
          <w:b/>
          <w:b/>
          <w:bCs/>
          <w:sz w:val="20"/>
          <w:szCs w:val="20"/>
        </w:rPr>
      </w:pPr>
      <w:bookmarkStart w:id="3" w:name="_Hlk503261353"/>
      <w:r>
        <w:rPr>
          <w:rFonts w:ascii="Times New Roman" w:hAnsi="Times New Roman"/>
          <w:b/>
          <w:bCs/>
          <w:sz w:val="22"/>
          <w:szCs w:val="22"/>
        </w:rPr>
        <w:t xml:space="preserve">Polskich </w:t>
      </w:r>
      <w:bookmarkEnd w:id="3"/>
      <w:r>
        <w:rPr>
          <w:rFonts w:ascii="Times New Roman" w:hAnsi="Times New Roman"/>
          <w:b/>
          <w:bCs/>
          <w:sz w:val="22"/>
          <w:szCs w:val="22"/>
        </w:rPr>
        <w:t>Kolei Państwowych S.A.</w:t>
      </w:r>
    </w:p>
    <w:p>
      <w:pPr>
        <w:pStyle w:val="BodyText3"/>
        <w:spacing w:before="0" w:after="0"/>
        <w:jc w:val="center"/>
        <w:rPr>
          <w:rFonts w:ascii="Arial Narrow" w:hAnsi="Arial Narrow"/>
          <w:b/>
          <w:b/>
          <w:bCs/>
          <w:sz w:val="20"/>
          <w:szCs w:val="20"/>
        </w:rPr>
      </w:pPr>
      <w:r>
        <w:rPr>
          <w:rFonts w:ascii="Times New Roman" w:hAnsi="Times New Roman"/>
          <w:b/>
          <w:bCs/>
          <w:sz w:val="22"/>
          <w:szCs w:val="22"/>
        </w:rPr>
        <w:t>z siedzibą: Al. Jerozolimskie 142 A, 02-305 Warszawa</w:t>
      </w:r>
    </w:p>
    <w:p>
      <w:pPr>
        <w:pStyle w:val="BodyText3"/>
        <w:spacing w:before="0" w:after="0"/>
        <w:jc w:val="center"/>
        <w:rPr>
          <w:rFonts w:ascii="Arial Narrow" w:hAnsi="Arial Narrow"/>
          <w:b/>
          <w:b/>
          <w:bCs/>
          <w:sz w:val="18"/>
          <w:szCs w:val="18"/>
          <w:u w:val="single"/>
        </w:rPr>
      </w:pPr>
      <w:r>
        <w:rPr>
          <w:rFonts w:ascii="Times New Roman" w:hAnsi="Times New Roman"/>
          <w:b/>
          <w:bCs/>
          <w:sz w:val="22"/>
          <w:szCs w:val="22"/>
          <w:u w:val="single"/>
        </w:rPr>
        <w:t xml:space="preserve">/na mocy pełnomocnictwa z dnia 31 października 2017 r./ </w:t>
      </w:r>
    </w:p>
    <w:p>
      <w:pPr>
        <w:pStyle w:val="BodyText3"/>
        <w:spacing w:before="0" w:after="0"/>
        <w:jc w:val="center"/>
        <w:rPr>
          <w:rFonts w:ascii="Times New Roman" w:hAnsi="Times New Roman"/>
          <w:b/>
          <w:b/>
          <w:bCs/>
          <w:sz w:val="22"/>
          <w:szCs w:val="22"/>
        </w:rPr>
      </w:pPr>
      <w:r>
        <w:rPr>
          <w:rFonts w:ascii="Times New Roman" w:hAnsi="Times New Roman"/>
          <w:b/>
          <w:bCs/>
          <w:sz w:val="22"/>
          <w:szCs w:val="22"/>
        </w:rPr>
      </w:r>
    </w:p>
    <w:p>
      <w:pPr>
        <w:pStyle w:val="BodyText3"/>
        <w:spacing w:before="0" w:after="0"/>
        <w:rPr>
          <w:rFonts w:ascii="Arial Narrow" w:hAnsi="Arial Narrow"/>
          <w:sz w:val="20"/>
        </w:rPr>
      </w:pPr>
      <w:r>
        <w:rPr>
          <w:rFonts w:ascii="Times New Roman" w:hAnsi="Times New Roman"/>
          <w:sz w:val="22"/>
          <w:szCs w:val="22"/>
        </w:rPr>
        <w:t xml:space="preserve">o ustalenie lokalizacji inwestycji celu publicznego dla inwestycji polegającej na </w:t>
      </w:r>
      <w:bookmarkStart w:id="4" w:name="_Hlk497657784"/>
      <w:r>
        <w:rPr>
          <w:rFonts w:ascii="Times New Roman" w:hAnsi="Times New Roman"/>
          <w:sz w:val="22"/>
          <w:szCs w:val="22"/>
        </w:rPr>
        <w:t>przebudowie dworca kolejowego w Kołodziejewie – realizacja inwestycji na nieruchomości oznaczonej nr ewid. 210/2 położonej w obrębie Kołodziejewo, gm. Janikowo</w:t>
      </w:r>
      <w:bookmarkEnd w:id="4"/>
      <w:r>
        <w:rPr>
          <w:rFonts w:ascii="Times New Roman" w:hAnsi="Times New Roman"/>
          <w:sz w:val="22"/>
          <w:szCs w:val="22"/>
        </w:rPr>
        <w:t>,</w:t>
      </w:r>
    </w:p>
    <w:p>
      <w:pPr>
        <w:pStyle w:val="BodyText3"/>
        <w:spacing w:before="0" w:after="0"/>
        <w:rPr>
          <w:rFonts w:ascii="Arial Narrow" w:hAnsi="Arial Narrow"/>
          <w:sz w:val="20"/>
          <w:u w:val="single"/>
        </w:rPr>
      </w:pPr>
      <w:r>
        <w:rPr>
          <w:rFonts w:ascii="Times New Roman" w:hAnsi="Times New Roman"/>
          <w:sz w:val="22"/>
          <w:szCs w:val="22"/>
          <w:u w:val="single"/>
        </w:rPr>
        <w:t>po uzgodnieniu:</w:t>
      </w:r>
    </w:p>
    <w:p>
      <w:pPr>
        <w:pStyle w:val="NormalIMP"/>
        <w:numPr>
          <w:ilvl w:val="0"/>
          <w:numId w:val="10"/>
        </w:numPr>
        <w:jc w:val="both"/>
        <w:rPr>
          <w:rFonts w:ascii="Times New Roman" w:hAnsi="Times New Roman"/>
          <w:sz w:val="22"/>
          <w:szCs w:val="22"/>
        </w:rPr>
      </w:pPr>
      <w:r>
        <w:rPr>
          <w:rFonts w:cs="Arial" w:ascii="Times New Roman" w:hAnsi="Times New Roman"/>
          <w:sz w:val="22"/>
          <w:szCs w:val="22"/>
        </w:rPr>
        <w:t xml:space="preserve">z Wojewódzkim Konserwatorem Zabytków (postanowienie z dnia </w:t>
      </w:r>
      <w:r>
        <w:rPr>
          <w:rFonts w:cs="Arial" w:ascii="Times New Roman" w:hAnsi="Times New Roman"/>
          <w:sz w:val="22"/>
          <w:szCs w:val="22"/>
        </w:rPr>
        <w:t xml:space="preserve">15.02.2018r. </w:t>
      </w:r>
      <w:r>
        <w:rPr>
          <w:rFonts w:cs="Arial" w:ascii="Times New Roman" w:hAnsi="Times New Roman"/>
          <w:sz w:val="22"/>
          <w:szCs w:val="22"/>
        </w:rPr>
        <w:t xml:space="preserve">znak </w:t>
      </w:r>
      <w:r>
        <w:rPr>
          <w:rFonts w:cs="Arial" w:ascii="Times New Roman" w:hAnsi="Times New Roman"/>
          <w:sz w:val="22"/>
          <w:szCs w:val="22"/>
        </w:rPr>
        <w:t>WUOZ.DB.WZN.5131.1.12.2018.KT</w:t>
      </w:r>
      <w:r>
        <w:rPr>
          <w:rFonts w:cs="Arial" w:ascii="Times New Roman" w:hAnsi="Times New Roman"/>
          <w:sz w:val="22"/>
          <w:szCs w:val="22"/>
        </w:rPr>
        <w:t xml:space="preserve">) w odniesieniu do obszarów i obiektów objętych ochroną konserwatorską z zgodnie z art. 53 ust. 4 pkt 2 ww. ustawy </w:t>
      </w:r>
    </w:p>
    <w:p>
      <w:pPr>
        <w:pStyle w:val="NormalIMP"/>
        <w:numPr>
          <w:ilvl w:val="0"/>
          <w:numId w:val="10"/>
        </w:numPr>
        <w:jc w:val="both"/>
        <w:rPr>
          <w:rFonts w:ascii="Times New Roman" w:hAnsi="Times New Roman"/>
          <w:sz w:val="22"/>
          <w:szCs w:val="22"/>
        </w:rPr>
      </w:pPr>
      <w:r>
        <w:rPr>
          <w:rFonts w:cs="Arial" w:ascii="Times New Roman" w:hAnsi="Times New Roman"/>
          <w:sz w:val="22"/>
          <w:szCs w:val="22"/>
        </w:rPr>
        <w:t>ze Starostą Powiatu (zgodnie z art. 53 ust. 5 ustawy o planowaniu i zagospodarowaniu przestrzennym) w sprawach ochrony gruntów rolnych zgodnie z art. 53 ust. 4 pkt 6 ww. ustawy,</w:t>
      </w:r>
    </w:p>
    <w:p>
      <w:pPr>
        <w:pStyle w:val="NormalIMP"/>
        <w:numPr>
          <w:ilvl w:val="0"/>
          <w:numId w:val="10"/>
        </w:numPr>
        <w:jc w:val="both"/>
        <w:rPr>
          <w:rFonts w:ascii="Times New Roman" w:hAnsi="Times New Roman"/>
          <w:sz w:val="22"/>
          <w:szCs w:val="22"/>
        </w:rPr>
      </w:pPr>
      <w:r>
        <w:rPr>
          <w:rFonts w:cs="Arial" w:ascii="Times New Roman" w:hAnsi="Times New Roman"/>
          <w:sz w:val="22"/>
          <w:szCs w:val="22"/>
        </w:rPr>
        <w:t>z Państwowym Gospodarstwem Wodnym Wody Polskie Zarząd Zlewni Inowrocław (zgodnie z art. 53 ust. 5 ustawy o planowaniu i zagospodarowaniu przestrzennym) w sprawach ochrony melioracji zgodnie z art. 53 ust. 4 pkt 6 ww. ustawy,</w:t>
      </w:r>
    </w:p>
    <w:p>
      <w:pPr>
        <w:pStyle w:val="NormalIMP"/>
        <w:numPr>
          <w:ilvl w:val="0"/>
          <w:numId w:val="9"/>
        </w:numPr>
        <w:jc w:val="both"/>
        <w:rPr>
          <w:rFonts w:ascii="Arial Narrow" w:hAnsi="Arial Narrow"/>
          <w:sz w:val="16"/>
          <w:szCs w:val="16"/>
        </w:rPr>
      </w:pPr>
      <w:r>
        <w:rPr>
          <w:rFonts w:ascii="Times New Roman" w:hAnsi="Times New Roman"/>
          <w:sz w:val="22"/>
          <w:szCs w:val="22"/>
        </w:rPr>
        <w:t>w zakresie zadań rządowych albo samorządowych, służących realizacji inwestycji celu publicznego, o których mowa w art. 39 ust. 3 pkt 3 i art. 48 – w odniesieniu do terenów, przeznaczonych na ten cel w planach miejscowych, które utraciły moc na podstawie art. 67 ustawy, o której mowa w art. 88 ust. 1 - zgodnie z art. 53 ust. 4 pkt 10 i 10a ww. ustawy z:</w:t>
      </w:r>
    </w:p>
    <w:p>
      <w:pPr>
        <w:pStyle w:val="NormalIMP"/>
        <w:numPr>
          <w:ilvl w:val="1"/>
          <w:numId w:val="8"/>
        </w:numPr>
        <w:tabs>
          <w:tab w:val="left" w:pos="993" w:leader="none"/>
        </w:tabs>
        <w:ind w:hanging="731"/>
        <w:jc w:val="both"/>
        <w:rPr>
          <w:rFonts w:ascii="Times New Roman" w:hAnsi="Times New Roman"/>
          <w:sz w:val="22"/>
          <w:szCs w:val="22"/>
        </w:rPr>
      </w:pPr>
      <w:r>
        <w:rPr>
          <w:rFonts w:ascii="Times New Roman" w:hAnsi="Times New Roman"/>
          <w:sz w:val="22"/>
          <w:szCs w:val="22"/>
        </w:rPr>
        <w:t xml:space="preserve">Wojewodą Kujawsko-Pomorskim (postanowienie z dnia </w:t>
      </w:r>
      <w:r>
        <w:rPr>
          <w:rFonts w:ascii="Times New Roman" w:hAnsi="Times New Roman"/>
          <w:sz w:val="22"/>
          <w:szCs w:val="22"/>
        </w:rPr>
        <w:t xml:space="preserve">14.02.2018r. </w:t>
      </w:r>
      <w:r>
        <w:rPr>
          <w:rFonts w:ascii="Times New Roman" w:hAnsi="Times New Roman"/>
          <w:sz w:val="22"/>
          <w:szCs w:val="22"/>
        </w:rPr>
        <w:t xml:space="preserve">znak  </w:t>
      </w:r>
      <w:r>
        <w:rPr>
          <w:rFonts w:ascii="Times New Roman" w:hAnsi="Times New Roman"/>
          <w:sz w:val="22"/>
          <w:szCs w:val="22"/>
        </w:rPr>
        <w:t>WIR.II.745.2.18.2018.JB</w:t>
      </w:r>
      <w:r>
        <w:rPr>
          <w:rFonts w:ascii="Times New Roman" w:hAnsi="Times New Roman"/>
          <w:sz w:val="22"/>
          <w:szCs w:val="22"/>
        </w:rPr>
        <w:t>)</w:t>
      </w:r>
    </w:p>
    <w:p>
      <w:pPr>
        <w:pStyle w:val="NormalIMP"/>
        <w:numPr>
          <w:ilvl w:val="1"/>
          <w:numId w:val="8"/>
        </w:numPr>
        <w:tabs>
          <w:tab w:val="left" w:pos="993" w:leader="none"/>
        </w:tabs>
        <w:ind w:hanging="731"/>
        <w:jc w:val="both"/>
        <w:rPr>
          <w:rFonts w:ascii="Times New Roman" w:hAnsi="Times New Roman"/>
          <w:sz w:val="22"/>
          <w:szCs w:val="22"/>
        </w:rPr>
      </w:pPr>
      <w:r>
        <w:rPr>
          <w:rFonts w:ascii="Times New Roman" w:hAnsi="Times New Roman"/>
          <w:sz w:val="22"/>
          <w:szCs w:val="22"/>
        </w:rPr>
        <w:t xml:space="preserve">Marszałkiem Województwa ( z dnia </w:t>
      </w:r>
      <w:r>
        <w:rPr>
          <w:rFonts w:ascii="Times New Roman" w:hAnsi="Times New Roman"/>
          <w:sz w:val="22"/>
          <w:szCs w:val="22"/>
        </w:rPr>
        <w:t xml:space="preserve">16.02.2018r. </w:t>
      </w:r>
      <w:r>
        <w:rPr>
          <w:rFonts w:ascii="Times New Roman" w:hAnsi="Times New Roman"/>
          <w:sz w:val="22"/>
          <w:szCs w:val="22"/>
        </w:rPr>
        <w:t xml:space="preserve">znak </w:t>
      </w:r>
      <w:r>
        <w:rPr>
          <w:rFonts w:ascii="Times New Roman" w:hAnsi="Times New Roman"/>
          <w:sz w:val="22"/>
          <w:szCs w:val="22"/>
        </w:rPr>
        <w:t>ZKPPT.7637.40.2018</w:t>
      </w:r>
      <w:r>
        <w:rPr>
          <w:rFonts w:ascii="Times New Roman" w:hAnsi="Times New Roman"/>
          <w:sz w:val="22"/>
          <w:szCs w:val="22"/>
        </w:rPr>
        <w:t>)</w:t>
      </w:r>
    </w:p>
    <w:p>
      <w:pPr>
        <w:pStyle w:val="NormalIMP"/>
        <w:numPr>
          <w:ilvl w:val="1"/>
          <w:numId w:val="8"/>
        </w:numPr>
        <w:tabs>
          <w:tab w:val="left" w:pos="993" w:leader="none"/>
        </w:tabs>
        <w:ind w:hanging="731"/>
        <w:jc w:val="both"/>
        <w:rPr>
          <w:rFonts w:ascii="Times New Roman" w:hAnsi="Times New Roman"/>
          <w:sz w:val="22"/>
          <w:szCs w:val="22"/>
        </w:rPr>
      </w:pPr>
      <w:r>
        <w:rPr>
          <w:rFonts w:ascii="Times New Roman" w:hAnsi="Times New Roman"/>
          <w:sz w:val="22"/>
          <w:szCs w:val="22"/>
        </w:rPr>
        <w:t xml:space="preserve">Starostą Inowrocławskim (postanowienie z dnia </w:t>
      </w:r>
      <w:r>
        <w:rPr>
          <w:rFonts w:ascii="Times New Roman" w:hAnsi="Times New Roman"/>
          <w:sz w:val="22"/>
          <w:szCs w:val="22"/>
        </w:rPr>
        <w:t xml:space="preserve">08.02.2018r. </w:t>
      </w:r>
      <w:r>
        <w:rPr>
          <w:rFonts w:ascii="Times New Roman" w:hAnsi="Times New Roman"/>
          <w:sz w:val="22"/>
          <w:szCs w:val="22"/>
        </w:rPr>
        <w:t xml:space="preserve">znak </w:t>
      </w:r>
      <w:r>
        <w:rPr>
          <w:rFonts w:ascii="Times New Roman" w:hAnsi="Times New Roman"/>
          <w:sz w:val="22"/>
          <w:szCs w:val="22"/>
        </w:rPr>
        <w:t>AB.673.12.2018</w:t>
      </w:r>
      <w:r>
        <w:rPr>
          <w:rFonts w:ascii="Times New Roman" w:hAnsi="Times New Roman"/>
          <w:sz w:val="22"/>
          <w:szCs w:val="22"/>
        </w:rPr>
        <w:t>)</w:t>
      </w:r>
    </w:p>
    <w:p>
      <w:pPr>
        <w:pStyle w:val="BodyText3"/>
        <w:spacing w:before="0" w:after="0"/>
        <w:rPr>
          <w:rFonts w:ascii="Times New Roman" w:hAnsi="Times New Roman"/>
          <w:sz w:val="22"/>
          <w:szCs w:val="22"/>
        </w:rPr>
      </w:pPr>
      <w:r>
        <w:rPr>
          <w:rFonts w:ascii="Times New Roman" w:hAnsi="Times New Roman"/>
          <w:sz w:val="22"/>
          <w:szCs w:val="22"/>
        </w:rPr>
      </w:r>
    </w:p>
    <w:p>
      <w:pPr>
        <w:pStyle w:val="Normal"/>
        <w:jc w:val="center"/>
        <w:rPr>
          <w:rFonts w:ascii="Arial Narrow" w:hAnsi="Arial Narrow" w:cs="Arial"/>
          <w:b/>
          <w:b/>
          <w:spacing w:val="88"/>
          <w:sz w:val="28"/>
        </w:rPr>
      </w:pPr>
      <w:r>
        <w:rPr>
          <w:rFonts w:cs="Arial" w:ascii="Times New Roman" w:hAnsi="Times New Roman"/>
          <w:b/>
          <w:spacing w:val="88"/>
          <w:sz w:val="22"/>
          <w:szCs w:val="22"/>
        </w:rPr>
        <w:t>ustalam</w:t>
      </w:r>
    </w:p>
    <w:p>
      <w:pPr>
        <w:pStyle w:val="Normal"/>
        <w:jc w:val="center"/>
        <w:rPr>
          <w:rFonts w:ascii="Arial Narrow" w:hAnsi="Arial Narrow" w:cs="Arial"/>
          <w:b/>
          <w:b/>
        </w:rPr>
      </w:pPr>
      <w:r>
        <w:rPr>
          <w:rFonts w:cs="Arial" w:ascii="Times New Roman" w:hAnsi="Times New Roman"/>
          <w:b/>
          <w:spacing w:val="88"/>
          <w:sz w:val="22"/>
          <w:szCs w:val="22"/>
        </w:rPr>
        <w:t>lokalizację inwestycji celu publicznego</w:t>
      </w:r>
      <w:r>
        <w:rPr>
          <w:rFonts w:cs="Arial" w:ascii="Times New Roman" w:hAnsi="Times New Roman"/>
          <w:b/>
          <w:sz w:val="22"/>
          <w:szCs w:val="22"/>
        </w:rPr>
        <w:t xml:space="preserve"> </w:t>
      </w:r>
    </w:p>
    <w:p>
      <w:pPr>
        <w:pStyle w:val="Tekstpodstawowy21"/>
        <w:rPr>
          <w:rFonts w:ascii="Arial Narrow" w:hAnsi="Arial Narrow"/>
          <w:b/>
          <w:b/>
        </w:rPr>
      </w:pPr>
      <w:r>
        <w:rPr>
          <w:rFonts w:ascii="Times New Roman" w:hAnsi="Times New Roman"/>
          <w:b/>
          <w:sz w:val="22"/>
          <w:szCs w:val="22"/>
        </w:rPr>
        <w:t>polegającą na przebudowie dworca kolejowego w Kołodziejewie – realizacja inwestycji na nieruchomości oznaczonej nr ewid. 210/2 położonej w obrębie Kołodziejewo, gm. Janikowo, w granicach określonych na załączniku graficznym w skali 1:500.</w:t>
      </w:r>
    </w:p>
    <w:p>
      <w:pPr>
        <w:pStyle w:val="Tekstpodstawowy21"/>
        <w:rPr>
          <w:rFonts w:ascii="Times New Roman" w:hAnsi="Times New Roman"/>
          <w:b/>
          <w:b/>
          <w:sz w:val="22"/>
          <w:szCs w:val="22"/>
        </w:rPr>
      </w:pPr>
      <w:r>
        <w:rPr>
          <w:rFonts w:ascii="Times New Roman" w:hAnsi="Times New Roman"/>
          <w:b/>
          <w:sz w:val="22"/>
          <w:szCs w:val="22"/>
        </w:rPr>
      </w:r>
    </w:p>
    <w:p>
      <w:pPr>
        <w:pStyle w:val="Tekstpodstawowy21"/>
        <w:numPr>
          <w:ilvl w:val="0"/>
          <w:numId w:val="1"/>
        </w:numPr>
        <w:rPr>
          <w:rFonts w:ascii="Arial Narrow" w:hAnsi="Arial Narrow"/>
        </w:rPr>
      </w:pPr>
      <w:r>
        <w:rPr>
          <w:rFonts w:ascii="Times New Roman" w:hAnsi="Times New Roman"/>
          <w:sz w:val="22"/>
          <w:szCs w:val="22"/>
        </w:rPr>
        <w:t>Rodzaj inwestycji: INFRASTRUKTURA TECHNICZNA – przebudowa dworca kolejowego w Kołodziejewie.</w:t>
      </w:r>
    </w:p>
    <w:p>
      <w:pPr>
        <w:pStyle w:val="Tekstpodstawowy21"/>
        <w:numPr>
          <w:ilvl w:val="0"/>
          <w:numId w:val="1"/>
        </w:numPr>
        <w:rPr>
          <w:rFonts w:ascii="Arial Narrow" w:hAnsi="Arial Narrow"/>
        </w:rPr>
      </w:pPr>
      <w:r>
        <w:rPr>
          <w:rFonts w:ascii="Times New Roman" w:hAnsi="Times New Roman"/>
          <w:sz w:val="22"/>
          <w:szCs w:val="22"/>
        </w:rPr>
        <w:t>Realizacja inwestycji na nieruchomości oznaczonej nr ewid. 210/2 położonej w obrębie Kołodziejewo, gm. Janikowo.</w:t>
      </w:r>
    </w:p>
    <w:p>
      <w:pPr>
        <w:pStyle w:val="Tekstpodstawowy21"/>
        <w:numPr>
          <w:ilvl w:val="0"/>
          <w:numId w:val="1"/>
        </w:numPr>
        <w:rPr>
          <w:rFonts w:ascii="Arial Narrow" w:hAnsi="Arial Narrow"/>
        </w:rPr>
      </w:pPr>
      <w:r>
        <w:rPr>
          <w:rFonts w:ascii="Times New Roman" w:hAnsi="Times New Roman"/>
          <w:sz w:val="22"/>
          <w:szCs w:val="22"/>
        </w:rPr>
        <w:t xml:space="preserve">Linie rozgraniczające teren inwestycji wyznaczono na rysunku wykonanym na kopii mapy ewidencyjnej w skali 1:500 – </w:t>
      </w:r>
      <w:r>
        <w:rPr>
          <w:rFonts w:ascii="Times New Roman" w:hAnsi="Times New Roman"/>
          <w:b/>
          <w:sz w:val="22"/>
          <w:szCs w:val="22"/>
        </w:rPr>
        <w:t>załącznik nr 1,</w:t>
      </w:r>
      <w:r>
        <w:rPr>
          <w:rFonts w:ascii="Times New Roman" w:hAnsi="Times New Roman"/>
          <w:sz w:val="22"/>
          <w:szCs w:val="22"/>
        </w:rPr>
        <w:t xml:space="preserve"> stanowiący załącznik graficzny niniejszej decyzji.</w:t>
      </w:r>
    </w:p>
    <w:p>
      <w:pPr>
        <w:pStyle w:val="BodyText3"/>
        <w:spacing w:before="0" w:after="0"/>
        <w:ind w:left="705" w:hanging="345"/>
        <w:jc w:val="left"/>
        <w:rPr>
          <w:rFonts w:ascii="Times New Roman" w:hAnsi="Times New Roman"/>
          <w:b/>
          <w:b/>
          <w:sz w:val="22"/>
          <w:szCs w:val="22"/>
        </w:rPr>
      </w:pPr>
      <w:r>
        <w:rPr>
          <w:rFonts w:ascii="Times New Roman" w:hAnsi="Times New Roman"/>
          <w:b/>
          <w:sz w:val="22"/>
          <w:szCs w:val="22"/>
        </w:rPr>
      </w:r>
    </w:p>
    <w:p>
      <w:pPr>
        <w:pStyle w:val="BodyText3"/>
        <w:spacing w:before="0" w:after="0"/>
        <w:ind w:left="705" w:hanging="345"/>
        <w:jc w:val="left"/>
        <w:rPr>
          <w:rFonts w:ascii="Arial Narrow" w:hAnsi="Arial Narrow"/>
          <w:b/>
          <w:b/>
          <w:sz w:val="20"/>
        </w:rPr>
      </w:pPr>
      <w:r>
        <w:rPr>
          <w:rFonts w:ascii="Times New Roman" w:hAnsi="Times New Roman"/>
          <w:b/>
          <w:sz w:val="22"/>
          <w:szCs w:val="22"/>
        </w:rPr>
        <w:t>I.</w:t>
        <w:tab/>
        <w:t>WARUNKI I WYMAGANIA W ZAKRESIE OCHRONY I KSZTAŁTOWANIA ŁADU PRZESTRZENNEGO</w:t>
      </w:r>
    </w:p>
    <w:p>
      <w:pPr>
        <w:pStyle w:val="Tekstpodstawowy21"/>
        <w:numPr>
          <w:ilvl w:val="0"/>
          <w:numId w:val="5"/>
        </w:numPr>
        <w:rPr>
          <w:rFonts w:ascii="Arial Narrow" w:hAnsi="Arial Narrow"/>
        </w:rPr>
      </w:pPr>
      <w:r>
        <w:rPr>
          <w:rFonts w:cs="Arial" w:ascii="Times New Roman" w:hAnsi="Times New Roman"/>
          <w:sz w:val="22"/>
          <w:szCs w:val="22"/>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5"/>
        </w:numPr>
        <w:rPr>
          <w:rFonts w:ascii="Arial Narrow" w:hAnsi="Arial Narrow"/>
          <w:bCs/>
        </w:rPr>
      </w:pPr>
      <w:r>
        <w:rPr>
          <w:rFonts w:ascii="Times New Roman" w:hAnsi="Times New Roman"/>
          <w:sz w:val="22"/>
          <w:szCs w:val="22"/>
        </w:rPr>
        <w:t xml:space="preserve">Przy projektowaniu i budowie </w:t>
      </w:r>
      <w:r>
        <w:rPr>
          <w:rFonts w:ascii="Times New Roman" w:hAnsi="Times New Roman"/>
          <w:bCs/>
          <w:sz w:val="22"/>
          <w:szCs w:val="22"/>
        </w:rPr>
        <w:t>stosować właściwe odległości od innych sieci i urządzeń. W przypadku kolizji z istniejącym uzbrojeniem technicznym – przebudowa za zgodą i na warunkach gestora tej sieci.</w:t>
      </w:r>
    </w:p>
    <w:p>
      <w:pPr>
        <w:pStyle w:val="Tekstpodstawowy21"/>
        <w:numPr>
          <w:ilvl w:val="0"/>
          <w:numId w:val="5"/>
        </w:numPr>
        <w:rPr>
          <w:rFonts w:ascii="Arial Narrow" w:hAnsi="Arial Narrow"/>
        </w:rPr>
      </w:pPr>
      <w:r>
        <w:rPr>
          <w:rFonts w:ascii="Times New Roman" w:hAnsi="Times New Roman"/>
          <w:sz w:val="22"/>
          <w:szCs w:val="22"/>
        </w:rPr>
        <w:t>W dokumentacji projektowej uwzględnić wymogi jednostek opiniujących.</w:t>
      </w:r>
    </w:p>
    <w:p>
      <w:pPr>
        <w:pStyle w:val="Tekstpodstawowy21"/>
        <w:numPr>
          <w:ilvl w:val="0"/>
          <w:numId w:val="5"/>
        </w:numPr>
        <w:rPr>
          <w:rFonts w:ascii="Arial Narrow" w:hAnsi="Arial Narrow"/>
        </w:rPr>
      </w:pPr>
      <w:r>
        <w:rPr>
          <w:rFonts w:ascii="Times New Roman" w:hAnsi="Times New Roman"/>
          <w:sz w:val="22"/>
          <w:szCs w:val="22"/>
        </w:rPr>
        <w:t>Opis inwestycji:</w:t>
      </w:r>
    </w:p>
    <w:p>
      <w:pPr>
        <w:pStyle w:val="Tekstpodstawowy21"/>
        <w:numPr>
          <w:ilvl w:val="1"/>
          <w:numId w:val="1"/>
        </w:numPr>
        <w:rPr>
          <w:rFonts w:ascii="Arial Narrow" w:hAnsi="Arial Narrow"/>
        </w:rPr>
      </w:pPr>
      <w:r>
        <w:rPr>
          <w:rFonts w:ascii="Times New Roman" w:hAnsi="Times New Roman"/>
          <w:sz w:val="22"/>
          <w:szCs w:val="22"/>
        </w:rPr>
        <w:t>dopuszcza się przebudowę budynku dworca kolejowego – z zachowaniem bezpieczeństwa jego konstrukcji,</w:t>
      </w:r>
    </w:p>
    <w:p>
      <w:pPr>
        <w:pStyle w:val="Tekstpodstawowy21"/>
        <w:numPr>
          <w:ilvl w:val="1"/>
          <w:numId w:val="1"/>
        </w:numPr>
        <w:rPr>
          <w:rFonts w:ascii="Arial Narrow" w:hAnsi="Arial Narrow"/>
        </w:rPr>
      </w:pPr>
      <w:r>
        <w:rPr>
          <w:rFonts w:ascii="Times New Roman" w:hAnsi="Times New Roman"/>
          <w:sz w:val="22"/>
          <w:szCs w:val="22"/>
        </w:rPr>
        <w:t>parametry budynku -  bez zmian,</w:t>
      </w:r>
    </w:p>
    <w:p>
      <w:pPr>
        <w:pStyle w:val="Tekstpodstawowy21"/>
        <w:numPr>
          <w:ilvl w:val="1"/>
          <w:numId w:val="1"/>
        </w:numPr>
        <w:rPr>
          <w:rFonts w:ascii="Arial Narrow" w:hAnsi="Arial Narrow"/>
        </w:rPr>
      </w:pPr>
      <w:r>
        <w:rPr>
          <w:rFonts w:ascii="Times New Roman" w:hAnsi="Times New Roman"/>
          <w:sz w:val="22"/>
          <w:szCs w:val="22"/>
        </w:rPr>
        <w:t>dopuszcza się likwidację (zasypanie) piwnicy,</w:t>
      </w:r>
    </w:p>
    <w:p>
      <w:pPr>
        <w:pStyle w:val="Tekstpodstawowy21"/>
        <w:numPr>
          <w:ilvl w:val="1"/>
          <w:numId w:val="1"/>
        </w:numPr>
        <w:rPr>
          <w:rFonts w:ascii="Arial Narrow" w:hAnsi="Arial Narrow"/>
        </w:rPr>
      </w:pPr>
      <w:r>
        <w:rPr>
          <w:rFonts w:ascii="Times New Roman" w:hAnsi="Times New Roman"/>
          <w:sz w:val="22"/>
          <w:szCs w:val="22"/>
        </w:rPr>
        <w:t>dopuszcza się wyposażenie budynku we wszelkie instalacje techniczne, i.in.: grzewczą, wentylacyjną, wodno-kanalizacyjną, gazową, elektroenergetyczną, telefoniczną, monitoringu, alarmową, itp.,</w:t>
      </w:r>
    </w:p>
    <w:p>
      <w:pPr>
        <w:pStyle w:val="Tekstpodstawowy21"/>
        <w:numPr>
          <w:ilvl w:val="1"/>
          <w:numId w:val="1"/>
        </w:numPr>
        <w:rPr>
          <w:rFonts w:ascii="Arial Narrow" w:hAnsi="Arial Narrow"/>
        </w:rPr>
      </w:pPr>
      <w:r>
        <w:rPr>
          <w:rFonts w:ascii="Times New Roman" w:hAnsi="Times New Roman"/>
          <w:sz w:val="22"/>
          <w:szCs w:val="22"/>
        </w:rPr>
        <w:t>wykonanie trzech miejsc postojowych.</w:t>
      </w:r>
    </w:p>
    <w:p>
      <w:pPr>
        <w:pStyle w:val="Tekstpodstawowy21"/>
        <w:ind w:left="1440" w:hanging="0"/>
        <w:rPr>
          <w:rFonts w:ascii="Times New Roman" w:hAnsi="Times New Roman"/>
          <w:sz w:val="22"/>
          <w:szCs w:val="22"/>
        </w:rPr>
      </w:pPr>
      <w:r>
        <w:rPr>
          <w:rFonts w:ascii="Times New Roman" w:hAnsi="Times New Roman"/>
          <w:sz w:val="22"/>
          <w:szCs w:val="22"/>
        </w:rPr>
      </w:r>
    </w:p>
    <w:p>
      <w:pPr>
        <w:pStyle w:val="BodyText3"/>
        <w:tabs>
          <w:tab w:val="left" w:pos="360" w:leader="none"/>
        </w:tabs>
        <w:spacing w:before="0" w:after="0"/>
        <w:ind w:left="359" w:hanging="359"/>
        <w:jc w:val="left"/>
        <w:rPr>
          <w:rFonts w:ascii="Arial Narrow" w:hAnsi="Arial Narrow"/>
          <w:b/>
          <w:b/>
          <w:bCs/>
          <w:sz w:val="20"/>
        </w:rPr>
      </w:pPr>
      <w:r>
        <w:rPr>
          <w:rFonts w:ascii="Times New Roman" w:hAnsi="Times New Roman"/>
          <w:b/>
          <w:bCs/>
          <w:sz w:val="22"/>
          <w:szCs w:val="22"/>
        </w:rPr>
        <w:t>II.</w:t>
        <w:tab/>
        <w:tab/>
        <w:t>WARUNKI OCHRONY ŚRODOWISKA, ZDROWIA LUDZI ORAZ DZIEDZICTWA KULTUROWEGO I ZABYTKÓW ORAZ DÓBR KULTURY WSPÓŁCZESNEJ</w:t>
      </w:r>
    </w:p>
    <w:p>
      <w:pPr>
        <w:pStyle w:val="Tekstpodstawowy21"/>
        <w:tabs>
          <w:tab w:val="left" w:pos="426" w:leader="none"/>
          <w:tab w:val="left" w:pos="708" w:leader="none"/>
        </w:tabs>
        <w:ind w:left="705" w:hanging="345"/>
        <w:rPr>
          <w:rFonts w:ascii="Arial Narrow" w:hAnsi="Arial Narrow" w:cs="Arial"/>
        </w:rPr>
      </w:pPr>
      <w:r>
        <w:rPr>
          <w:rFonts w:cs="Arial" w:ascii="Times New Roman" w:hAnsi="Times New Roman"/>
          <w:sz w:val="22"/>
          <w:szCs w:val="22"/>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2017 poz. 1332).</w:t>
      </w:r>
    </w:p>
    <w:p>
      <w:pPr>
        <w:pStyle w:val="Tekstpodstawowy21"/>
        <w:tabs>
          <w:tab w:val="left" w:pos="426" w:leader="none"/>
          <w:tab w:val="left" w:pos="708" w:leader="none"/>
        </w:tabs>
        <w:ind w:left="705" w:hanging="345"/>
        <w:rPr>
          <w:rFonts w:ascii="Arial Narrow" w:hAnsi="Arial Narrow" w:cs="Arial"/>
        </w:rPr>
      </w:pPr>
      <w:r>
        <w:rPr>
          <w:rFonts w:cs="Arial" w:ascii="Times New Roman" w:hAnsi="Times New Roman"/>
          <w:sz w:val="22"/>
          <w:szCs w:val="22"/>
        </w:rPr>
        <w:t>2.</w:t>
        <w:tab/>
        <w:tab/>
        <w:t>W trakcie przygotowania i realizacji inwestycji należy respektować przepisy wynikające z ustawy z dnia 27 kwietnia 2001 r. Prawo Ochrony Środowiska (tekst jednolity: Dz. U. z 2017 poz. 519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
        <w:tabs>
          <w:tab w:val="left" w:pos="426" w:leader="none"/>
          <w:tab w:val="left" w:pos="708" w:leader="none"/>
        </w:tabs>
        <w:ind w:left="705" w:hanging="345"/>
        <w:rPr>
          <w:rFonts w:ascii="Arial Narrow" w:hAnsi="Arial Narrow" w:cs="Arial"/>
        </w:rPr>
      </w:pPr>
      <w:r>
        <w:rPr>
          <w:rFonts w:cs="Arial" w:ascii="Times New Roman" w:hAnsi="Times New Roman"/>
          <w:sz w:val="22"/>
          <w:szCs w:val="22"/>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2016 poz. 2134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Times New Roman" w:hAnsi="Times New Roman"/>
          <w:sz w:val="22"/>
          <w:szCs w:val="22"/>
        </w:rPr>
        <w:t>4.</w:t>
        <w:tab/>
        <w:t>Planowana inwestycja winna spełniać warunki § 2 Rozporządzenia Ministra Środowiska z dnia 14 czerwca 2007 r. w sprawie dopuszczalnych poziomów hałasu w środowisku (Dz. U. z 2014 r. poz. 112).</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Times New Roman" w:hAnsi="Times New Roman"/>
          <w:sz w:val="22"/>
          <w:szCs w:val="22"/>
        </w:rPr>
        <w:t>5.</w:t>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Janikowo - art. 32 ust. 1 ustawy  z dnia 23 lipca 2003 r. o ochronie zabytków i opiece nad zabytkami (tekst jednolity: Dz. U. 2014 poz. 1446 ze zm.). </w:t>
      </w:r>
      <w:r>
        <w:rPr>
          <w:rFonts w:cs="Arial" w:ascii="Times New Roman" w:hAnsi="Times New Roman"/>
          <w:b/>
          <w:sz w:val="22"/>
          <w:szCs w:val="22"/>
          <w:u w:val="single"/>
        </w:rPr>
        <w:t>Planowana inwestycja znajduje się w strefie ochrony konserwatorskiej „B” – obiekt wpisany do wojewódzkiej ewidencji zabytków. Projekt budowlany należy uzgodnić z Wojewódzkim Urzędem Ochrony Zabytków Delegatura w Bydgoszczy.</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Times New Roman" w:hAnsi="Times New Roman"/>
          <w:sz w:val="22"/>
          <w:szCs w:val="22"/>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Times New Roman" w:hAnsi="Times New Roman"/>
          <w:sz w:val="22"/>
          <w:szCs w:val="22"/>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2"/>
          <w:szCs w:val="22"/>
        </w:rPr>
        <w:t>8.</w:t>
        <w:tab/>
      </w:r>
      <w:bookmarkStart w:id="5" w:name="_Hlk487714599"/>
      <w:r>
        <w:rPr>
          <w:rFonts w:cs="Arial" w:ascii="Times New Roman" w:hAnsi="Times New Roman"/>
          <w:sz w:val="22"/>
          <w:szCs w:val="22"/>
        </w:rPr>
        <w:t>Projektowana inwestycja nie jest ujęta w wykazie przedsięwzięć określonych w Rozporządzeniu Rady Ministrów z dnia 9 listopada 2010 r. w sprawie przedsięwzięć mogących znacząco oddziaływać na środowisko (Dz. U. z 2016 r. poz. 71).</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2"/>
          <w:szCs w:val="22"/>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2017 r. poz. 1405 ze zm.). </w:t>
      </w:r>
    </w:p>
    <w:p>
      <w:pPr>
        <w:pStyle w:val="Normal"/>
        <w:shd w:val="clear" w:color="auto" w:fill="FFFFFF"/>
        <w:spacing w:lineRule="exact" w:line="226"/>
        <w:ind w:left="720" w:right="10" w:hanging="360"/>
        <w:jc w:val="both"/>
        <w:rPr>
          <w:rFonts w:ascii="Arial Narrow" w:hAnsi="Arial Narrow" w:cs="Arial"/>
          <w:sz w:val="20"/>
        </w:rPr>
      </w:pPr>
      <w:bookmarkEnd w:id="5"/>
      <w:r>
        <w:rPr>
          <w:rFonts w:cs="Arial" w:ascii="Times New Roman" w:hAnsi="Times New Roman"/>
          <w:sz w:val="22"/>
          <w:szCs w:val="22"/>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cs="Arial"/>
          <w:i/>
          <w:i/>
          <w:iCs/>
          <w:sz w:val="20"/>
          <w:szCs w:val="20"/>
        </w:rPr>
      </w:pPr>
      <w:r>
        <w:rPr>
          <w:rFonts w:cs="Arial" w:ascii="Times New Roman" w:hAnsi="Times New Roman"/>
          <w:sz w:val="22"/>
          <w:szCs w:val="22"/>
        </w:rPr>
        <w:t>11.</w:t>
        <w:tab/>
        <w:t xml:space="preserve">Realizacja inwestycji nie wymaga uzyskania zgody na zmianę przeznaczenia gruntów rolnych i leśnych na cele nierolnicze i nieleśne </w:t>
      </w:r>
      <w:r>
        <w:rPr>
          <w:rFonts w:eastAsia="Calibri" w:cs="Arial" w:ascii="Times New Roman" w:hAnsi="Times New Roman"/>
          <w:bCs/>
          <w:i/>
          <w:sz w:val="22"/>
          <w:szCs w:val="22"/>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1)</w:t>
        <w:tab/>
        <w:t>co najmniej połowa powierzchni każdej zwartej części gruntu zawiera się w obszarze zwartej zabudowy;</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2)</w:t>
        <w:tab/>
        <w:t>położone są w odległości nie większej niż 50 m od granicy najbliższej działki budowlanej w rozumieniu przepisów ustawy z dnia 21 sierpnia 1997 r. o gospodarce nieruchomościami (Dz. U. z 2015 r. poz. 782 ze zm.);</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3)</w:t>
        <w:tab/>
        <w:t>położone są w odległości nie większej niż 50 metrów od drogi publicznej w rozumieniu przepisów ustawy z dnia 21 marca 1985 r. o drogach publicznych (Dz. U. z 2015 r. poz. 460, ze zm.);</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2"/>
          <w:szCs w:val="22"/>
          <w:lang w:eastAsia="en-US"/>
        </w:rPr>
        <w:t>4)</w:t>
        <w:tab/>
        <w:t>ich powierzchnia nie przekracza 0,5 ha, bez względu na to, czy stanowią jedną całość, czy stanowią kilka odrębnych części.</w:t>
      </w:r>
    </w:p>
    <w:p>
      <w:pPr>
        <w:pStyle w:val="ZLITPKT8211"/>
        <w:tabs>
          <w:tab w:val="left" w:pos="1701" w:leader="none"/>
        </w:tabs>
        <w:spacing w:lineRule="auto" w:line="240"/>
        <w:ind w:left="1701" w:hanging="283"/>
        <w:rPr>
          <w:rFonts w:ascii="Arial Narrow" w:hAnsi="Arial Narrow" w:eastAsia="Calibri" w:cs="Arial"/>
          <w:bCs/>
          <w:i/>
          <w:i/>
          <w:sz w:val="16"/>
          <w:szCs w:val="16"/>
          <w:lang w:eastAsia="en-US"/>
        </w:rPr>
      </w:pPr>
      <w:r>
        <w:rPr>
          <w:rFonts w:eastAsia="Calibri" w:cs="Arial" w:ascii="Times New Roman" w:hAnsi="Times New Roman"/>
          <w:bCs/>
          <w:i/>
          <w:sz w:val="22"/>
          <w:szCs w:val="22"/>
          <w:u w:val="single"/>
        </w:rPr>
        <w:t>przepisów nie stosuje się w granicach administracyjnych miast</w:t>
      </w:r>
    </w:p>
    <w:p>
      <w:pPr>
        <w:pStyle w:val="Normal"/>
        <w:shd w:val="clear" w:color="auto" w:fill="FFFFFF"/>
        <w:spacing w:lineRule="exact" w:line="226"/>
        <w:ind w:left="709" w:right="10" w:hanging="1"/>
        <w:jc w:val="both"/>
        <w:rPr>
          <w:rFonts w:ascii="Arial Narrow" w:hAnsi="Arial Narrow" w:eastAsia="Calibri" w:cs="Arial"/>
          <w:bCs/>
          <w:i/>
          <w:i/>
          <w:sz w:val="20"/>
          <w:szCs w:val="20"/>
          <w:u w:val="single"/>
        </w:rPr>
      </w:pPr>
      <w:r>
        <w:rPr>
          <w:rFonts w:eastAsia="Calibri" w:cs="Arial" w:ascii="Times New Roman" w:hAnsi="Times New Roman"/>
          <w:bCs/>
          <w:i/>
          <w:sz w:val="22"/>
          <w:szCs w:val="22"/>
          <w:u w:val="single"/>
        </w:rPr>
        <w:t>Zmiana przeznaczenia gruntów leśnych na cele nieleśne wymaga uzyskania zgody właściwego ministra (w przypadku gruntów leśnych Skarbu Państwa) lub właściwego Marszałka Województwa (pozostałych gruntów leśnych)/:</w:t>
      </w:r>
    </w:p>
    <w:p>
      <w:pPr>
        <w:pStyle w:val="Normal"/>
        <w:shd w:val="clear" w:color="auto" w:fill="FFFFFF"/>
        <w:spacing w:lineRule="exact" w:line="226"/>
        <w:ind w:left="1410" w:right="10" w:hanging="416"/>
        <w:jc w:val="both"/>
        <w:rPr>
          <w:rFonts w:ascii="Arial Narrow" w:hAnsi="Arial Narrow" w:cs="Arial"/>
          <w:bCs/>
          <w:sz w:val="20"/>
          <w:szCs w:val="20"/>
        </w:rPr>
      </w:pPr>
      <w:r>
        <w:rPr>
          <w:rFonts w:cs="Arial" w:ascii="Times New Roman" w:hAnsi="Times New Roman"/>
          <w:bCs/>
          <w:sz w:val="22"/>
          <w:szCs w:val="22"/>
        </w:rPr>
        <w:t>a)</w:t>
        <w:tab/>
      </w:r>
      <w:r>
        <w:rPr>
          <w:rFonts w:cs="Arial" w:ascii="Times New Roman" w:hAnsi="Times New Roman"/>
          <w:b/>
          <w:bCs/>
          <w:sz w:val="22"/>
          <w:szCs w:val="22"/>
          <w:u w:val="single"/>
        </w:rPr>
        <w:t>ochrona gruntów rolnych</w:t>
      </w:r>
      <w:r>
        <w:rPr>
          <w:rFonts w:cs="Arial" w:ascii="Times New Roman" w:hAnsi="Times New Roman"/>
          <w:bCs/>
          <w:sz w:val="22"/>
          <w:szCs w:val="22"/>
        </w:rPr>
        <w:t>: zgodnie z wypisem z rejestru gruntów prowadzonym przez Starostę Inowrocławskiego wnioskowaną działkę stanowią inne tereny zabudowane Bi oraz grunty orne RIIIb o łącznej powierzchni 0,3352 ha – warunek spełniony, realizacja inwestycji nie powoduje zwiększenia powierzchni zabudowy;</w:t>
      </w:r>
    </w:p>
    <w:p>
      <w:pPr>
        <w:pStyle w:val="Normal"/>
        <w:shd w:val="clear" w:color="auto" w:fill="FFFFFF"/>
        <w:spacing w:lineRule="exact" w:line="226"/>
        <w:ind w:left="1410" w:right="10" w:hanging="416"/>
        <w:jc w:val="both"/>
        <w:rPr>
          <w:rFonts w:ascii="Arial Narrow" w:hAnsi="Arial Narrow" w:cs="Arial"/>
          <w:sz w:val="20"/>
        </w:rPr>
      </w:pPr>
      <w:r>
        <w:rPr>
          <w:rFonts w:cs="Arial" w:ascii="Times New Roman" w:hAnsi="Times New Roman"/>
          <w:bCs/>
          <w:sz w:val="22"/>
          <w:szCs w:val="22"/>
        </w:rPr>
        <w:t>b)</w:t>
        <w:tab/>
      </w:r>
      <w:r>
        <w:rPr>
          <w:rFonts w:cs="Arial" w:ascii="Times New Roman" w:hAnsi="Times New Roman"/>
          <w:b/>
          <w:bCs/>
          <w:sz w:val="22"/>
          <w:szCs w:val="22"/>
          <w:u w:val="single"/>
        </w:rPr>
        <w:t>ochrona gruntów leśnych</w:t>
      </w:r>
      <w:r>
        <w:rPr>
          <w:rFonts w:cs="Arial" w:ascii="Times New Roman" w:hAnsi="Times New Roman"/>
          <w:bCs/>
          <w:sz w:val="22"/>
          <w:szCs w:val="22"/>
        </w:rPr>
        <w:t>:  realizacja inwestycji poza gruntami leśnymi.</w:t>
      </w:r>
    </w:p>
    <w:p>
      <w:pPr>
        <w:pStyle w:val="Normal"/>
        <w:shd w:val="clear" w:color="auto" w:fill="FFFFFF"/>
        <w:spacing w:lineRule="exact" w:line="226"/>
        <w:ind w:left="720" w:right="10" w:hanging="360"/>
        <w:jc w:val="both"/>
        <w:rPr>
          <w:rFonts w:ascii="Arial Narrow" w:hAnsi="Arial Narrow" w:cs="Arial"/>
          <w:bCs/>
          <w:sz w:val="20"/>
          <w:szCs w:val="20"/>
        </w:rPr>
      </w:pPr>
      <w:r>
        <w:rPr>
          <w:rFonts w:cs="Arial" w:ascii="Times New Roman" w:hAnsi="Times New Roman"/>
          <w:sz w:val="22"/>
          <w:szCs w:val="22"/>
        </w:rPr>
        <w:t>12.</w:t>
        <w:tab/>
        <w:t>Wnioskowana działka nie stanowi terenu zamkniętego - z</w:t>
      </w:r>
      <w:r>
        <w:rPr>
          <w:rFonts w:cs="Arial" w:ascii="Times New Roman" w:hAnsi="Times New Roman"/>
          <w:bCs/>
          <w:sz w:val="22"/>
          <w:szCs w:val="22"/>
        </w:rPr>
        <w:t>godnie z decyzją Nr 3 Ministra Infrastruktury i Rozwoju z dnia 24 marca 2014 r. w sprawie ustalenia terenów, przez które przebiegają linie kolejowe, jako terenów zamkniętych (Dz. Urz. Ministra Infrastruktury i Rozwoju, poz. 25 ze zm. – załącznik do ww. decyzji Tom II województwo kujawsko-pomorskie).</w:t>
      </w:r>
    </w:p>
    <w:p>
      <w:pPr>
        <w:pStyle w:val="Normal"/>
        <w:shd w:val="clear" w:color="auto" w:fill="FFFFFF"/>
        <w:spacing w:lineRule="exact" w:line="226"/>
        <w:ind w:left="720" w:right="10" w:hanging="360"/>
        <w:jc w:val="both"/>
        <w:rPr>
          <w:rFonts w:ascii="Arial Narrow" w:hAnsi="Arial Narrow" w:cs="Arial"/>
          <w:sz w:val="20"/>
        </w:rPr>
      </w:pPr>
      <w:r>
        <w:rPr>
          <w:rFonts w:cs="Arial" w:ascii="Times New Roman" w:hAnsi="Times New Roman"/>
          <w:sz w:val="22"/>
          <w:szCs w:val="22"/>
        </w:rPr>
        <w:t>13.</w:t>
        <w:tab/>
        <w:t>Realizacja inwestycji celu publicznego w terenach, przeznaczonych na ten cel w planach miejscowych, które utraciły moc na podstawie art. 67 ustawy, o której mowa w art. 88 ust. 1 ww. ustawy – w nieobowiązującym</w:t>
      </w:r>
      <w:r>
        <w:rPr>
          <w:rFonts w:ascii="Times New Roman" w:hAnsi="Times New Roman"/>
          <w:bCs/>
          <w:sz w:val="22"/>
          <w:szCs w:val="22"/>
          <w:u w:val="single"/>
        </w:rPr>
        <w:t xml:space="preserve"> Planie ogólnym zagospodarowania przestrzennego gminy Janikowo uchwalonym uchwałą nr XXII-177/93 Rady Miejskiej w Janikowie z dnia 29 czerwca 1993 r. (Dz. U. Woj. Bydg. z dnia 18 sierpnia 1993 r. Nr 12, poz. 159)</w:t>
      </w:r>
      <w:r>
        <w:rPr>
          <w:rFonts w:cs="Arial" w:ascii="Times New Roman" w:hAnsi="Times New Roman"/>
          <w:sz w:val="22"/>
          <w:szCs w:val="22"/>
        </w:rPr>
        <w:t xml:space="preserve">: „037 KK– linie kolejowe I-rzędu Poznań - Inowrocław – Olsztyn; linia znaczenia krajowego, dwutorowa, zelektryfikowana”. </w:t>
      </w:r>
    </w:p>
    <w:p>
      <w:pPr>
        <w:pStyle w:val="Normal"/>
        <w:shd w:val="clear" w:color="auto" w:fill="FFFFFF"/>
        <w:spacing w:lineRule="exact" w:line="226"/>
        <w:ind w:left="720" w:right="10" w:hanging="360"/>
        <w:jc w:val="both"/>
        <w:rPr>
          <w:rFonts w:ascii="Times New Roman" w:hAnsi="Times New Roman" w:cs="Arial"/>
          <w:sz w:val="22"/>
          <w:szCs w:val="22"/>
        </w:rPr>
      </w:pPr>
      <w:r>
        <w:rPr>
          <w:rFonts w:cs="Arial" w:ascii="Times New Roman" w:hAnsi="Times New Roman"/>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III.</w:t>
        <w:tab/>
        <w:t>WARUNKI OBSŁUGI W ZAKRESIE INFRASTUKTURY TECHNICZNEJ I KOMUNIKACJI</w:t>
      </w:r>
    </w:p>
    <w:p>
      <w:pPr>
        <w:pStyle w:val="Normal"/>
        <w:numPr>
          <w:ilvl w:val="0"/>
          <w:numId w:val="3"/>
        </w:numPr>
        <w:jc w:val="both"/>
        <w:rPr>
          <w:rFonts w:ascii="Arial Narrow" w:hAnsi="Arial Narrow"/>
          <w:sz w:val="20"/>
        </w:rPr>
      </w:pPr>
      <w:r>
        <w:rPr>
          <w:rFonts w:ascii="Times New Roman" w:hAnsi="Times New Roman"/>
          <w:sz w:val="22"/>
          <w:szCs w:val="22"/>
        </w:rPr>
        <w:t>Zaopatrzenie w energię – na dotychczasowych warunkach gestora sieci;</w:t>
      </w:r>
    </w:p>
    <w:p>
      <w:pPr>
        <w:pStyle w:val="Normal"/>
        <w:numPr>
          <w:ilvl w:val="0"/>
          <w:numId w:val="3"/>
        </w:numPr>
        <w:jc w:val="both"/>
        <w:rPr>
          <w:rFonts w:ascii="Arial Narrow" w:hAnsi="Arial Narrow"/>
          <w:sz w:val="20"/>
        </w:rPr>
      </w:pPr>
      <w:r>
        <w:rPr>
          <w:rFonts w:ascii="Times New Roman" w:hAnsi="Times New Roman"/>
          <w:sz w:val="22"/>
          <w:szCs w:val="22"/>
        </w:rPr>
        <w:t>Woda – na dotychczasowych warunkach gestora sieci;</w:t>
      </w:r>
    </w:p>
    <w:p>
      <w:pPr>
        <w:pStyle w:val="Normal"/>
        <w:numPr>
          <w:ilvl w:val="0"/>
          <w:numId w:val="3"/>
        </w:numPr>
        <w:jc w:val="both"/>
        <w:rPr>
          <w:rFonts w:ascii="Arial Narrow" w:hAnsi="Arial Narrow"/>
          <w:sz w:val="20"/>
        </w:rPr>
      </w:pPr>
      <w:r>
        <w:rPr>
          <w:rFonts w:ascii="Times New Roman" w:hAnsi="Times New Roman"/>
          <w:sz w:val="22"/>
          <w:szCs w:val="22"/>
        </w:rPr>
        <w:t>Odprowadzenie ścieków sanitarnych – na dotychczasowych warunkach gestora sieci;;</w:t>
      </w:r>
    </w:p>
    <w:p>
      <w:pPr>
        <w:pStyle w:val="Normal"/>
        <w:numPr>
          <w:ilvl w:val="0"/>
          <w:numId w:val="3"/>
        </w:numPr>
        <w:jc w:val="both"/>
        <w:rPr>
          <w:rFonts w:ascii="Arial Narrow" w:hAnsi="Arial Narrow"/>
          <w:sz w:val="20"/>
        </w:rPr>
      </w:pPr>
      <w:r>
        <w:rPr>
          <w:rFonts w:ascii="Times New Roman" w:hAnsi="Times New Roman"/>
          <w:sz w:val="22"/>
          <w:szCs w:val="22"/>
        </w:rPr>
        <w:t>Gaz - z zachowaniem przepisów odrębnych;</w:t>
      </w:r>
    </w:p>
    <w:p>
      <w:pPr>
        <w:pStyle w:val="Normal"/>
        <w:numPr>
          <w:ilvl w:val="0"/>
          <w:numId w:val="3"/>
        </w:numPr>
        <w:jc w:val="both"/>
        <w:rPr>
          <w:rFonts w:ascii="Arial Narrow" w:hAnsi="Arial Narrow"/>
          <w:sz w:val="20"/>
        </w:rPr>
      </w:pPr>
      <w:r>
        <w:rPr>
          <w:rFonts w:ascii="Times New Roman" w:hAnsi="Times New Roman"/>
          <w:sz w:val="22"/>
          <w:szCs w:val="22"/>
        </w:rPr>
        <w:t>Źródło ogrzewania – z zachowaniem przepisów odrębnych;</w:t>
      </w:r>
    </w:p>
    <w:p>
      <w:pPr>
        <w:pStyle w:val="Normal"/>
        <w:numPr>
          <w:ilvl w:val="0"/>
          <w:numId w:val="3"/>
        </w:numPr>
        <w:jc w:val="both"/>
        <w:rPr>
          <w:rFonts w:ascii="Arial Narrow" w:hAnsi="Arial Narrow"/>
          <w:sz w:val="20"/>
        </w:rPr>
      </w:pPr>
      <w:r>
        <w:rPr>
          <w:rFonts w:ascii="Times New Roman" w:hAnsi="Times New Roman"/>
          <w:sz w:val="22"/>
          <w:szCs w:val="22"/>
        </w:rPr>
        <w:t xml:space="preserve">Obsługa komunikacyjna – na warunkach zarządcy drogi; </w:t>
      </w:r>
    </w:p>
    <w:p>
      <w:pPr>
        <w:pStyle w:val="Normal"/>
        <w:numPr>
          <w:ilvl w:val="0"/>
          <w:numId w:val="3"/>
        </w:numPr>
        <w:jc w:val="both"/>
        <w:rPr>
          <w:rFonts w:ascii="Arial Narrow" w:hAnsi="Arial Narrow"/>
          <w:sz w:val="20"/>
        </w:rPr>
      </w:pPr>
      <w:r>
        <w:rPr>
          <w:rFonts w:ascii="Times New Roman" w:hAnsi="Times New Roman"/>
          <w:sz w:val="22"/>
          <w:szCs w:val="22"/>
        </w:rPr>
        <w:t>Składowanie odpadów stałych – z zachowaniem przepisów odrębnych.</w:t>
      </w:r>
    </w:p>
    <w:p>
      <w:pPr>
        <w:pStyle w:val="BodyText3"/>
        <w:tabs>
          <w:tab w:val="left" w:pos="360" w:leader="none"/>
        </w:tabs>
        <w:ind w:left="180" w:hanging="180"/>
        <w:jc w:val="left"/>
        <w:rPr>
          <w:rFonts w:ascii="Times New Roman" w:hAnsi="Times New Roman"/>
          <w:b/>
          <w:b/>
          <w:sz w:val="22"/>
          <w:szCs w:val="22"/>
        </w:rPr>
      </w:pPr>
      <w:r>
        <w:rPr>
          <w:rFonts w:ascii="Times New Roman" w:hAnsi="Times New Roman"/>
          <w:b/>
          <w:sz w:val="22"/>
          <w:szCs w:val="22"/>
        </w:rPr>
      </w:r>
    </w:p>
    <w:p>
      <w:pPr>
        <w:pStyle w:val="BodyText3"/>
        <w:tabs>
          <w:tab w:val="left" w:pos="360" w:leader="none"/>
        </w:tabs>
        <w:spacing w:before="0" w:after="0"/>
        <w:ind w:left="180" w:hanging="180"/>
        <w:jc w:val="left"/>
        <w:rPr>
          <w:rFonts w:ascii="Arial Narrow" w:hAnsi="Arial Narrow"/>
          <w:b/>
          <w:b/>
          <w:sz w:val="20"/>
        </w:rPr>
      </w:pPr>
      <w:r>
        <w:rPr>
          <w:rFonts w:ascii="Times New Roman" w:hAnsi="Times New Roman"/>
          <w:b/>
          <w:sz w:val="22"/>
          <w:szCs w:val="22"/>
        </w:rPr>
        <w:t>IV.</w:t>
        <w:tab/>
        <w:t>WYMAGANIA DOTYCZĄCE OCHRONY INTERESÓW OSÓB TRZECICH</w:t>
      </w:r>
    </w:p>
    <w:p>
      <w:pPr>
        <w:pStyle w:val="ListParagraph"/>
        <w:numPr>
          <w:ilvl w:val="0"/>
          <w:numId w:val="4"/>
        </w:numPr>
        <w:tabs>
          <w:tab w:val="left" w:pos="720" w:leader="none"/>
        </w:tabs>
        <w:ind w:left="720" w:hanging="781"/>
        <w:jc w:val="both"/>
        <w:rPr>
          <w:rFonts w:ascii="Arial Narrow" w:hAnsi="Arial Narrow"/>
          <w:sz w:val="20"/>
        </w:rPr>
      </w:pPr>
      <w:r>
        <w:rPr>
          <w:rFonts w:ascii="Times New Roman" w:hAnsi="Times New Roman"/>
          <w:sz w:val="22"/>
          <w:szCs w:val="22"/>
        </w:rPr>
        <w:t>Należy zapewnić ochronę uzasadnionych interesów osób trzecich:</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Times New Roman" w:hAnsi="Times New Roman"/>
          <w:sz w:val="22"/>
          <w:szCs w:val="22"/>
        </w:rPr>
        <w:t>dostępu do drogi publicznej,</w:t>
      </w:r>
    </w:p>
    <w:p>
      <w:pPr>
        <w:pStyle w:val="Normal"/>
        <w:numPr>
          <w:ilvl w:val="0"/>
          <w:numId w:val="6"/>
        </w:numPr>
        <w:tabs>
          <w:tab w:val="left" w:pos="1276" w:leader="none"/>
          <w:tab w:val="left" w:pos="1418" w:leader="none"/>
          <w:tab w:val="left" w:pos="1985" w:leader="none"/>
          <w:tab w:val="left" w:pos="2835" w:leader="none"/>
          <w:tab w:val="left" w:pos="3544" w:leader="none"/>
        </w:tabs>
        <w:ind w:hanging="356"/>
        <w:jc w:val="both"/>
        <w:rPr>
          <w:rFonts w:ascii="Arial Narrow" w:hAnsi="Arial Narrow"/>
          <w:sz w:val="20"/>
        </w:rPr>
      </w:pPr>
      <w:r>
        <w:rPr>
          <w:rFonts w:ascii="Times New Roman" w:hAnsi="Times New Roman"/>
          <w:sz w:val="22"/>
          <w:szCs w:val="22"/>
        </w:rPr>
        <w:t>możliwości korzystania z wody, kanalizacji, energii elektrycznej i cieplnej oraz ze środków łączności,</w:t>
      </w:r>
    </w:p>
    <w:p>
      <w:pPr>
        <w:pStyle w:val="Normal"/>
        <w:numPr>
          <w:ilvl w:val="0"/>
          <w:numId w:val="6"/>
        </w:numPr>
        <w:tabs>
          <w:tab w:val="left" w:pos="1418" w:leader="none"/>
          <w:tab w:val="left" w:pos="1985" w:leader="none"/>
          <w:tab w:val="left" w:pos="3544" w:leader="none"/>
        </w:tabs>
        <w:ind w:hanging="356"/>
        <w:jc w:val="both"/>
        <w:rPr>
          <w:rFonts w:ascii="Arial Narrow" w:hAnsi="Arial Narrow"/>
          <w:sz w:val="20"/>
        </w:rPr>
      </w:pPr>
      <w:r>
        <w:rPr>
          <w:rFonts w:ascii="Times New Roman" w:hAnsi="Times New Roman"/>
          <w:sz w:val="22"/>
          <w:szCs w:val="22"/>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rFonts w:ascii="Arial Narrow" w:hAnsi="Arial Narrow"/>
          <w:szCs w:val="24"/>
        </w:rPr>
      </w:pPr>
      <w:r>
        <w:rPr>
          <w:rFonts w:ascii="Times New Roman" w:hAnsi="Times New Roman"/>
          <w:sz w:val="22"/>
          <w:szCs w:val="22"/>
        </w:rPr>
        <w:t>2.</w:t>
        <w:tab/>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2017 poz. 459).</w:t>
      </w:r>
    </w:p>
    <w:p>
      <w:pPr>
        <w:pStyle w:val="Tekstpodstawowy21"/>
        <w:tabs>
          <w:tab w:val="left" w:pos="426" w:leader="none"/>
          <w:tab w:val="left" w:pos="567" w:leader="none"/>
        </w:tabs>
        <w:ind w:left="709" w:hanging="283"/>
        <w:rPr>
          <w:rFonts w:ascii="Arial Narrow" w:hAnsi="Arial Narrow"/>
          <w:szCs w:val="24"/>
        </w:rPr>
      </w:pPr>
      <w:r>
        <w:rPr>
          <w:rFonts w:ascii="Times New Roman" w:hAnsi="Times New Roman"/>
          <w:sz w:val="22"/>
          <w:szCs w:val="22"/>
        </w:rPr>
        <w:t>3.</w:t>
        <w:tab/>
        <w:tab/>
        <w:t>Robót ziemnych nie wolno dokonywać w taki sposób, by groziły one nieruchomością sąsiednim utratą oparcia – zgodnie z art. 147 ustawy z dnia 23 kwietnia 1964 r. Kodeks Cywilny (tekst jednolity: Dz. U. z 2017 poz. 459).</w:t>
      </w:r>
    </w:p>
    <w:p>
      <w:pPr>
        <w:pStyle w:val="Tekstpodstawowy21"/>
        <w:tabs>
          <w:tab w:val="left" w:pos="426" w:leader="none"/>
          <w:tab w:val="left" w:pos="567" w:leader="none"/>
        </w:tabs>
        <w:ind w:left="709" w:hanging="283"/>
        <w:rPr>
          <w:rFonts w:ascii="Arial Narrow" w:hAnsi="Arial Narrow"/>
          <w:szCs w:val="24"/>
        </w:rPr>
      </w:pPr>
      <w:r>
        <w:rPr>
          <w:rFonts w:ascii="Times New Roman" w:hAnsi="Times New Roman"/>
          <w:sz w:val="22"/>
          <w:szCs w:val="22"/>
        </w:rPr>
        <w:t xml:space="preserve">4. </w:t>
        <w:tab/>
      </w:r>
      <w:bookmarkStart w:id="6" w:name="_Hlk505102927"/>
      <w:r>
        <w:rPr>
          <w:rFonts w:ascii="Times New Roman" w:hAnsi="Times New Roman"/>
          <w:sz w:val="22"/>
          <w:szCs w:val="22"/>
          <w:lang w:eastAsia="ar-SA"/>
        </w:rPr>
        <w:t xml:space="preserve">Zakaz zmiany kierunku i natężenia odpływu znajdujących się na działce wód opadowych lub roztopowych oraz odprowadzania wód i wprowadzania ścieków na grunty sąsiednie – zgodnie z art. 234 ustawy </w:t>
      </w:r>
      <w:r>
        <w:rPr>
          <w:rFonts w:ascii="Times New Roman" w:hAnsi="Times New Roman"/>
          <w:sz w:val="22"/>
          <w:szCs w:val="22"/>
        </w:rPr>
        <w:t>z dnia 20 lipca 2017 r. Prawo wodne (tekst jednolity: Dz. U. z 2017 r. poz. 1566)</w:t>
      </w:r>
      <w:bookmarkEnd w:id="6"/>
      <w:r>
        <w:rPr>
          <w:rFonts w:ascii="Times New Roman" w:hAnsi="Times New Roman"/>
          <w:sz w:val="22"/>
          <w:szCs w:val="22"/>
        </w:rPr>
        <w:t>.</w:t>
      </w:r>
    </w:p>
    <w:p>
      <w:pPr>
        <w:pStyle w:val="Tekstpodstawowy21"/>
        <w:tabs>
          <w:tab w:val="left" w:pos="426" w:leader="none"/>
          <w:tab w:val="left" w:pos="567" w:leader="none"/>
        </w:tabs>
        <w:ind w:left="709" w:hanging="283"/>
        <w:rPr>
          <w:rFonts w:ascii="Arial Narrow" w:hAnsi="Arial Narrow"/>
          <w:szCs w:val="24"/>
        </w:rPr>
      </w:pPr>
      <w:r>
        <w:rPr>
          <w:rFonts w:ascii="Times New Roman" w:hAnsi="Times New Roman"/>
          <w:sz w:val="22"/>
          <w:szCs w:val="22"/>
        </w:rPr>
        <w:t>5.</w:t>
        <w:tab/>
        <w:tab/>
        <w:t>Należy uzyskać prawo do dysponowania nieruchomością na cele budowlane, dokumentując je dołączonym do wniosku o pozwolenie na budowę oświadczeniem - zgodnie z art. 32 ust. 4 pkt 2 i art. 33 ust. 2 pkt 2 ustawy z dnia 7 lipca Prawo Budowlane (tekst jednolity: Dz. U. 2017 poz. 1332).</w:t>
      </w:r>
    </w:p>
    <w:p>
      <w:pPr>
        <w:pStyle w:val="Tekstpodstawowy21"/>
        <w:tabs>
          <w:tab w:val="left" w:pos="426" w:leader="none"/>
          <w:tab w:val="left" w:pos="567" w:leader="none"/>
        </w:tabs>
        <w:ind w:left="567" w:hanging="283"/>
        <w:rPr>
          <w:rFonts w:ascii="Times New Roman" w:hAnsi="Times New Roman"/>
          <w:sz w:val="22"/>
          <w:szCs w:val="22"/>
        </w:rPr>
      </w:pPr>
      <w:r>
        <w:rPr>
          <w:rFonts w:ascii="Times New Roman" w:hAnsi="Times New Roman"/>
          <w:sz w:val="22"/>
          <w:szCs w:val="22"/>
        </w:rPr>
      </w:r>
    </w:p>
    <w:p>
      <w:pPr>
        <w:pStyle w:val="BodyText3"/>
        <w:tabs>
          <w:tab w:val="left" w:pos="360" w:leader="none"/>
        </w:tabs>
        <w:spacing w:before="0" w:after="0"/>
        <w:ind w:left="360" w:hanging="360"/>
        <w:jc w:val="left"/>
        <w:rPr>
          <w:rFonts w:ascii="Arial Narrow" w:hAnsi="Arial Narrow"/>
          <w:b/>
          <w:b/>
          <w:sz w:val="20"/>
        </w:rPr>
      </w:pPr>
      <w:r>
        <w:rPr>
          <w:rFonts w:ascii="Times New Roman" w:hAnsi="Times New Roman"/>
          <w:b/>
          <w:sz w:val="22"/>
          <w:szCs w:val="22"/>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Times New Roman" w:hAnsi="Times New Roman"/>
          <w:sz w:val="22"/>
          <w:szCs w:val="22"/>
        </w:rPr>
        <w:t>Nie dotyczy</w:t>
      </w:r>
    </w:p>
    <w:p>
      <w:pPr>
        <w:pStyle w:val="BodyText3"/>
        <w:spacing w:before="0" w:after="0"/>
        <w:jc w:val="center"/>
        <w:rPr>
          <w:rFonts w:ascii="Arial Narrow" w:hAnsi="Arial Narrow"/>
          <w:b/>
          <w:b/>
          <w:sz w:val="20"/>
        </w:rPr>
      </w:pPr>
      <w:r>
        <w:rPr>
          <w:rFonts w:ascii="Times New Roman" w:hAnsi="Times New Roman"/>
          <w:b/>
          <w:sz w:val="22"/>
          <w:szCs w:val="22"/>
        </w:rPr>
        <w:t xml:space="preserve">UZASADNIENIE </w:t>
      </w:r>
    </w:p>
    <w:p>
      <w:pPr>
        <w:pStyle w:val="BodyText3"/>
        <w:spacing w:before="0" w:after="0"/>
        <w:ind w:firstLine="540"/>
        <w:rPr>
          <w:rFonts w:ascii="Times New Roman" w:hAnsi="Times New Roman"/>
          <w:sz w:val="22"/>
          <w:szCs w:val="22"/>
        </w:rPr>
      </w:pPr>
      <w:r>
        <w:rPr>
          <w:rFonts w:ascii="Times New Roman" w:hAnsi="Times New Roman"/>
          <w:sz w:val="22"/>
          <w:szCs w:val="22"/>
        </w:rPr>
        <w:t>W dniu 20 grudnia 2017 r. (</w:t>
      </w:r>
      <w:r>
        <w:rPr>
          <w:rFonts w:ascii="Times New Roman" w:hAnsi="Times New Roman"/>
          <w:sz w:val="22"/>
          <w:szCs w:val="22"/>
        </w:rPr>
        <w:t xml:space="preserve">27.12.2017r. </w:t>
      </w:r>
      <w:r>
        <w:rPr>
          <w:rFonts w:ascii="Times New Roman" w:hAnsi="Times New Roman"/>
          <w:sz w:val="22"/>
          <w:szCs w:val="22"/>
        </w:rPr>
        <w:t>data wpływu) Pan Przemysław Wandachowicz, reprezentujący WK-ARCHITEKCI Sp. z o.o. Sp.k.  z siedzibą: ul. Zdobywców Monte Casino 23, 61-695 Poznań, działający w imieniu inwestora tj. Polskich Kolei Państwowych S.A. z siedzibą: Al. Jerozolimskie 142 A, 02-305 Warszawa /na mocy pełnomocnictwa z dnia 31 października 2017 r./, wystąpił o ustalenie lokalizacji inwestycji celu publicznego polegającej na przebudowie dworca kolejowego w Kołodziejewie – realizacja inwestycji na nieruchomości oznaczonej nr ewid. 210/2 położonej w obrębie Kołodziejewo, gm. Janikowo.</w:t>
      </w:r>
    </w:p>
    <w:p>
      <w:pPr>
        <w:pStyle w:val="BodyText3"/>
        <w:spacing w:before="0" w:after="0"/>
        <w:ind w:firstLine="540"/>
        <w:rPr>
          <w:rFonts w:ascii="Arial Narrow" w:hAnsi="Arial Narrow"/>
          <w:sz w:val="20"/>
        </w:rPr>
      </w:pPr>
      <w:r>
        <w:rPr>
          <w:rFonts w:ascii="Times New Roman" w:hAnsi="Times New Roman"/>
          <w:sz w:val="22"/>
          <w:szCs w:val="22"/>
        </w:rPr>
        <w:t>Zgodnie z art. 6 pkt 1 ustawy z dnia 21 sierpnia 1997 r. o gospodarce nieruchomościami (tekst jednolity: Dz. U. z 2015 r. poz. 1774) wnioskowane zamierzenie zaliczone jest do inwestycji celu publicznego.</w:t>
      </w:r>
    </w:p>
    <w:p>
      <w:pPr>
        <w:pStyle w:val="BodyText3"/>
        <w:spacing w:before="0" w:after="0"/>
        <w:ind w:firstLine="539"/>
        <w:rPr>
          <w:rFonts w:ascii="Arial Narrow" w:hAnsi="Arial Narrow"/>
          <w:sz w:val="20"/>
        </w:rPr>
      </w:pPr>
      <w:r>
        <w:rPr>
          <w:rFonts w:ascii="Times New Roman" w:hAnsi="Times New Roman"/>
          <w:sz w:val="22"/>
          <w:szCs w:val="22"/>
        </w:rPr>
        <w:t>Po ustaleniu stron postępowania administracyjnego na podstawie ewidencji gruntów i budynków prowadzonej przez Starostwo Powiatowe w Inowrocławiu, zgodnie z art. 61 § 4 Kodeksu Postępowania Administracyjnego wszczęto postępowanie w przedmiotowej sprawie.</w:t>
      </w:r>
    </w:p>
    <w:p>
      <w:pPr>
        <w:pStyle w:val="BodyText3"/>
        <w:spacing w:before="0" w:after="0"/>
        <w:ind w:firstLine="539"/>
        <w:rPr>
          <w:rFonts w:ascii="Arial Narrow" w:hAnsi="Arial Narrow"/>
          <w:sz w:val="20"/>
        </w:rPr>
      </w:pPr>
      <w:r>
        <w:rPr>
          <w:rFonts w:ascii="Times New Roman" w:hAnsi="Times New Roman"/>
          <w:sz w:val="22"/>
          <w:szCs w:val="22"/>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p>
    <w:p>
      <w:pPr>
        <w:pStyle w:val="WWTekstpodstawowy3"/>
        <w:spacing w:before="0" w:after="0"/>
        <w:ind w:firstLine="539"/>
        <w:rPr>
          <w:rFonts w:ascii="Arial Narrow" w:hAnsi="Arial Narrow"/>
        </w:rPr>
      </w:pPr>
      <w:r>
        <w:rPr>
          <w:rFonts w:ascii="Times New Roman" w:hAnsi="Times New Roman"/>
          <w:sz w:val="22"/>
          <w:szCs w:val="22"/>
        </w:rPr>
        <w:t>Dla terenu, na którym położona jest w/w działka Gmina nie posiada miejscowego planu zagospodarowania przestrzennego. W związku z brakiem planu miejscowego na podstawie art. 4 ust. 2 pkt 2 Ustawy z dnia 27 marca 2003 r. o planowaniu i zagospodarowaniu przestrzennym (</w:t>
      </w:r>
      <w:bookmarkStart w:id="7" w:name="_Hlk487128863"/>
      <w:r>
        <w:rPr>
          <w:rFonts w:ascii="Times New Roman" w:hAnsi="Times New Roman"/>
          <w:sz w:val="22"/>
          <w:szCs w:val="22"/>
        </w:rPr>
        <w:t>tekst jednolity: Dz. U. 2017 r. poz. 1073</w:t>
      </w:r>
      <w:bookmarkEnd w:id="7"/>
      <w:r>
        <w:rPr>
          <w:rFonts w:ascii="Times New Roman" w:hAnsi="Times New Roman"/>
          <w:sz w:val="22"/>
          <w:szCs w:val="22"/>
        </w:rPr>
        <w:t xml:space="preserve"> ze zm.) określenie sposobów zagospodarowania i warunków zabudowy terenu następuje w drodze decyzji o warunkach zabudowy,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WWTekstpodstawowy3"/>
        <w:spacing w:before="0" w:after="0"/>
        <w:ind w:firstLine="540"/>
        <w:rPr>
          <w:rFonts w:ascii="Arial Narrow" w:hAnsi="Arial Narrow"/>
        </w:rPr>
      </w:pPr>
      <w:r>
        <w:rPr>
          <w:rFonts w:ascii="Times New Roman" w:hAnsi="Times New Roman"/>
          <w:sz w:val="22"/>
          <w:szCs w:val="22"/>
        </w:rPr>
        <w:t xml:space="preserve">Projektowana inwestycja ma charakter i zasięg gminny wobec powyższego, dla obszaru objętego wnioskiem, przedmiotową decyzję, zgodnie z art. 51 ust.1 pkt 2 ww. ustawy, wydaje Burmistrz. Projekt decyzji uzgodniono: </w:t>
      </w:r>
    </w:p>
    <w:p>
      <w:pPr>
        <w:pStyle w:val="NormalIMP"/>
        <w:ind w:firstLine="426"/>
        <w:jc w:val="both"/>
        <w:rPr>
          <w:rFonts w:ascii="Arial Narrow" w:hAnsi="Arial Narrow" w:cs="Arial"/>
        </w:rPr>
      </w:pPr>
      <w:r>
        <w:rPr>
          <w:rFonts w:cs="Arial" w:ascii="Times New Roman" w:hAnsi="Times New Roman"/>
          <w:sz w:val="22"/>
          <w:szCs w:val="22"/>
        </w:rPr>
        <w:t>-</w:t>
        <w:tab/>
        <w:t xml:space="preserve">z Wojewódzkim Konserwatorem Zabytków (art. 53 ust. 4 pkt 2 ww. ustawy), </w:t>
      </w:r>
    </w:p>
    <w:p>
      <w:pPr>
        <w:pStyle w:val="NormalIMP"/>
        <w:ind w:left="705" w:hanging="279"/>
        <w:jc w:val="both"/>
        <w:rPr>
          <w:rFonts w:ascii="Arial Narrow" w:hAnsi="Arial Narrow" w:cs="Arial"/>
        </w:rPr>
      </w:pPr>
      <w:r>
        <w:rPr>
          <w:rFonts w:cs="Arial" w:ascii="Times New Roman" w:hAnsi="Times New Roman"/>
          <w:sz w:val="22"/>
          <w:szCs w:val="22"/>
        </w:rPr>
        <w:t>-</w:t>
        <w:tab/>
        <w:t>ze Starostą Powiatu i z Państwowym Gospodarstwem Wodnym Wody Polskie Zarząd Zlewni Inowrocław (art. 53 ust. 4 pkt 6 ww. ustawy),</w:t>
      </w:r>
    </w:p>
    <w:p>
      <w:pPr>
        <w:pStyle w:val="NormalIMP"/>
        <w:ind w:left="705" w:hanging="279"/>
        <w:jc w:val="both"/>
        <w:rPr>
          <w:rFonts w:ascii="Arial Narrow" w:hAnsi="Arial Narrow" w:cs="Arial"/>
        </w:rPr>
      </w:pPr>
      <w:r>
        <w:rPr>
          <w:rFonts w:cs="Arial" w:ascii="Times New Roman" w:hAnsi="Times New Roman"/>
          <w:sz w:val="22"/>
          <w:szCs w:val="22"/>
        </w:rPr>
        <w:t>-</w:t>
        <w:tab/>
        <w:t>z Wojewodą Kujawsko-Pomorskim, Marszałkiem Województwa, Starostą Inowrocławskim (art. 53 ust. 4 pkt 10 i 10a ww. ustawy).</w:t>
      </w:r>
    </w:p>
    <w:p>
      <w:pPr>
        <w:pStyle w:val="NormalIMP"/>
        <w:ind w:firstLine="539"/>
        <w:jc w:val="both"/>
        <w:rPr>
          <w:rFonts w:ascii="Arial Narrow" w:hAnsi="Arial Narrow"/>
        </w:rPr>
      </w:pPr>
      <w:r>
        <w:rPr>
          <w:rFonts w:ascii="Times New Roman" w:hAnsi="Times New Roman"/>
          <w:sz w:val="22"/>
          <w:szCs w:val="22"/>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Burmistrz zapewnił stronom czynny udział w każdym stadium postępowania, a przed wydaniem decyzji umożliwił im wypowiedzenie się co do zebranych dowodów i materiałów oraz zgłoszonych żądań (Art. 10 § 1 K.p.a).</w:t>
      </w:r>
    </w:p>
    <w:p>
      <w:pPr>
        <w:pStyle w:val="NormalIMP"/>
        <w:ind w:firstLine="539"/>
        <w:jc w:val="both"/>
        <w:rPr>
          <w:rFonts w:ascii="Arial Narrow" w:hAnsi="Arial Narrow"/>
        </w:rPr>
      </w:pPr>
      <w:r>
        <w:rPr>
          <w:rFonts w:ascii="Times New Roman" w:hAnsi="Times New Roman"/>
          <w:sz w:val="22"/>
          <w:szCs w:val="22"/>
        </w:rPr>
        <w:t>Stwierdzając zgodność planowanej inwestycji z przepisami odrębnymi należało orzec jak w sentencji niniejszej decyzji. 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ind w:firstLine="540"/>
        <w:jc w:val="both"/>
        <w:rPr>
          <w:rFonts w:ascii="Arial Narrow" w:hAnsi="Arial Narrow"/>
        </w:rPr>
      </w:pPr>
      <w:r>
        <w:rPr>
          <w:rFonts w:ascii="Times New Roman" w:hAnsi="Times New Roman"/>
          <w:sz w:val="22"/>
          <w:szCs w:val="22"/>
        </w:rPr>
        <w:t>Decyzja niniejsza nie rodzi praw do terenu oraz nie narusza prawa własności i uprawnień osób trzecich. Wnioskodawcy, który nie uzyskał prawa do terenu, nie przysługuje roszczenie o zwrot nakładów poniesionych w związku z otrzymaną decyzją ustalającą warunki zabudowy. 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jc w:val="both"/>
        <w:rPr>
          <w:rFonts w:ascii="Times New Roman" w:hAnsi="Times New Roman"/>
          <w:sz w:val="22"/>
          <w:szCs w:val="22"/>
        </w:rPr>
      </w:pPr>
      <w:r>
        <w:rPr>
          <w:rFonts w:ascii="Times New Roman" w:hAnsi="Times New Roman"/>
          <w:sz w:val="22"/>
          <w:szCs w:val="22"/>
        </w:rPr>
      </w:r>
    </w:p>
    <w:p>
      <w:pPr>
        <w:pStyle w:val="Tekstpodstawowy21"/>
        <w:tabs>
          <w:tab w:val="left" w:pos="426" w:leader="none"/>
          <w:tab w:val="left" w:pos="708" w:leader="none"/>
        </w:tabs>
        <w:suppressAutoHyphens w:val="false"/>
        <w:jc w:val="center"/>
        <w:rPr>
          <w:rFonts w:ascii="Arial Narrow" w:hAnsi="Arial Narrow"/>
          <w:b/>
          <w:b/>
          <w:sz w:val="18"/>
          <w:szCs w:val="18"/>
        </w:rPr>
      </w:pPr>
      <w:r>
        <w:rPr>
          <w:rFonts w:ascii="Times New Roman" w:hAnsi="Times New Roman"/>
          <w:b/>
          <w:sz w:val="22"/>
          <w:szCs w:val="22"/>
        </w:rPr>
        <w:t>Pouczenie</w:t>
      </w:r>
    </w:p>
    <w:p>
      <w:pPr>
        <w:pStyle w:val="NormalIMP"/>
        <w:spacing w:lineRule="auto" w:line="240"/>
        <w:ind w:firstLine="540"/>
        <w:jc w:val="both"/>
        <w:rPr>
          <w:rFonts w:ascii="Arial Narrow" w:hAnsi="Arial Narrow"/>
          <w:sz w:val="18"/>
          <w:szCs w:val="18"/>
        </w:rPr>
      </w:pPr>
      <w:r>
        <w:rPr>
          <w:rFonts w:ascii="Times New Roman" w:hAnsi="Times New Roman"/>
          <w:sz w:val="22"/>
          <w:szCs w:val="22"/>
        </w:rPr>
        <w:t xml:space="preserve">Od niniejszej decyzji służy stronom odwołanie do Samorządowego Kolegium Odwoławczego </w:t>
        <w:br/>
        <w:t xml:space="preserve">w Bydgoszczy, które należy wnieść za pośrednictwem Burmistrza </w:t>
      </w:r>
      <w:r>
        <w:rPr>
          <w:rFonts w:cs="Arial" w:ascii="Times New Roman" w:hAnsi="Times New Roman"/>
          <w:sz w:val="22"/>
          <w:szCs w:val="22"/>
        </w:rPr>
        <w:t>Gminy i Miasta Janikowo</w:t>
      </w:r>
      <w:r>
        <w:rPr>
          <w:rFonts w:ascii="Times New Roman" w:hAnsi="Times New Roman"/>
          <w:sz w:val="22"/>
          <w:szCs w:val="22"/>
        </w:rPr>
        <w:t xml:space="preserve"> w terminie 14 dni od daty doręczenia. </w:t>
      </w:r>
    </w:p>
    <w:p>
      <w:pPr>
        <w:pStyle w:val="NormalIMP"/>
        <w:spacing w:lineRule="auto" w:line="240"/>
        <w:ind w:firstLine="540"/>
        <w:jc w:val="both"/>
        <w:rPr>
          <w:rFonts w:ascii="Arial Narrow" w:hAnsi="Arial Narrow"/>
          <w:sz w:val="18"/>
          <w:szCs w:val="18"/>
        </w:rPr>
      </w:pPr>
      <w:r>
        <w:rPr>
          <w:rFonts w:ascii="Times New Roman" w:hAnsi="Times New Roman"/>
          <w:sz w:val="22"/>
          <w:szCs w:val="22"/>
        </w:rPr>
        <w:t xml:space="preserve">Zgodnie z art. 127a § 1 i 2 ustawy z dnia 14 czerwca 1960 r. Kodeks postępowania administracyjnego (tekst jednolity: Dz. U. z 2017 r. poz. 1257) w trakcie biegu terminu do wniesienia odwołania strona może zrzec się prawa do wniesienia odwołania wobec organu administracji publicznej, który wydał decyzję. </w:t>
      </w:r>
    </w:p>
    <w:p>
      <w:pPr>
        <w:pStyle w:val="NormalIMP"/>
        <w:spacing w:lineRule="auto" w:line="240"/>
        <w:ind w:firstLine="540"/>
        <w:jc w:val="both"/>
        <w:rPr>
          <w:rFonts w:ascii="Arial Narrow" w:hAnsi="Arial Narrow"/>
          <w:sz w:val="18"/>
          <w:szCs w:val="18"/>
        </w:rPr>
      </w:pPr>
      <w:r>
        <w:rPr>
          <w:rFonts w:ascii="Times New Roman" w:hAnsi="Times New Roman"/>
          <w:sz w:val="22"/>
          <w:szCs w:val="22"/>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spacing w:lineRule="auto" w:line="240"/>
        <w:ind w:firstLine="540"/>
        <w:jc w:val="both"/>
        <w:rPr>
          <w:rFonts w:ascii="Arial Narrow" w:hAnsi="Arial Narrow"/>
          <w:sz w:val="18"/>
          <w:szCs w:val="18"/>
        </w:rPr>
      </w:pPr>
      <w:r>
        <w:rPr>
          <w:rFonts w:ascii="Times New Roman" w:hAnsi="Times New Roman"/>
          <w:sz w:val="22"/>
          <w:szCs w:val="22"/>
        </w:rPr>
        <w:t>W celu uzyskania pozwolenia na budowę należy złożyć stosowny wniosek. Do wniosku o pozwolenie na budowę należy dołączyć:</w:t>
      </w:r>
    </w:p>
    <w:p>
      <w:pPr>
        <w:pStyle w:val="NormalIMP"/>
        <w:spacing w:lineRule="auto" w:line="240"/>
        <w:ind w:left="705" w:hanging="165"/>
        <w:jc w:val="both"/>
        <w:rPr>
          <w:rFonts w:ascii="Arial Narrow" w:hAnsi="Arial Narrow"/>
          <w:sz w:val="18"/>
          <w:szCs w:val="18"/>
        </w:rPr>
      </w:pPr>
      <w:r>
        <w:rPr>
          <w:rFonts w:ascii="Times New Roman" w:hAnsi="Times New Roman"/>
          <w:sz w:val="22"/>
          <w:szCs w:val="22"/>
        </w:rPr>
        <w:t>-</w:t>
        <w:tab/>
        <w:t xml:space="preserve">4 egzemplarze projektu budowlanego wraz z opiniami, uzgodnieniami, pozwoleniami i innymi dokumentami wymaganymi przepisami szczególnymi, </w:t>
      </w:r>
    </w:p>
    <w:p>
      <w:pPr>
        <w:pStyle w:val="NormalIMP"/>
        <w:spacing w:lineRule="auto" w:line="240"/>
        <w:ind w:left="705" w:hanging="165"/>
        <w:jc w:val="both"/>
        <w:rPr>
          <w:rFonts w:ascii="Arial Narrow" w:hAnsi="Arial Narrow"/>
          <w:sz w:val="18"/>
          <w:szCs w:val="18"/>
        </w:rPr>
      </w:pPr>
      <w:r>
        <w:rPr>
          <w:rFonts w:ascii="Times New Roman" w:hAnsi="Times New Roman"/>
          <w:sz w:val="22"/>
          <w:szCs w:val="22"/>
        </w:rPr>
        <w:t>-</w:t>
        <w:tab/>
        <w:t>oświadczenie o posiadanym prawie do dysponowania nieruchomością na wnioskowane cele budowlane,</w:t>
      </w:r>
    </w:p>
    <w:p>
      <w:pPr>
        <w:pStyle w:val="NormalIMP"/>
        <w:spacing w:lineRule="auto" w:line="240"/>
        <w:ind w:firstLine="540"/>
        <w:jc w:val="both"/>
        <w:rPr>
          <w:rFonts w:ascii="Arial Narrow" w:hAnsi="Arial Narrow"/>
        </w:rPr>
      </w:pPr>
      <w:bookmarkStart w:id="8" w:name="_GoBack"/>
      <w:bookmarkEnd w:id="8"/>
      <w:r>
        <w:rPr>
          <w:rFonts w:ascii="Times New Roman" w:hAnsi="Times New Roman"/>
          <w:sz w:val="22"/>
          <w:szCs w:val="22"/>
        </w:rPr>
        <w:t>-</w:t>
        <w:tab/>
        <w:t>niniejszą decyzję o ustaleniu lokalizacji inwestycji celu publicznego.</w:t>
      </w:r>
    </w:p>
    <w:p>
      <w:pPr>
        <w:pStyle w:val="NormalIMP"/>
        <w:spacing w:lineRule="auto" w:line="240"/>
        <w:jc w:val="both"/>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left="5664" w:hanging="0"/>
        <w:rPr>
          <w:rFonts w:ascii="Times New Roman" w:hAnsi="Times New Roman"/>
          <w:sz w:val="22"/>
          <w:szCs w:val="22"/>
        </w:rPr>
      </w:pPr>
      <w:r>
        <w:rPr>
          <w:rFonts w:ascii="Times New Roman" w:hAnsi="Times New Roman"/>
          <w:sz w:val="22"/>
          <w:szCs w:val="22"/>
        </w:rPr>
      </w:r>
    </w:p>
    <w:p>
      <w:pPr>
        <w:pStyle w:val="Normal"/>
        <w:ind w:right="4536" w:hanging="0"/>
        <w:rPr>
          <w:rFonts w:ascii="Arial Narrow" w:hAnsi="Arial Narrow"/>
          <w:b/>
          <w:b/>
          <w:sz w:val="16"/>
          <w:u w:val="single"/>
        </w:rPr>
      </w:pPr>
      <w:r>
        <w:rPr>
          <w:rFonts w:ascii="Times New Roman" w:hAnsi="Times New Roman"/>
          <w:b/>
          <w:sz w:val="16"/>
          <w:szCs w:val="16"/>
          <w:u w:val="single"/>
        </w:rPr>
        <w:t xml:space="preserve">Załącznik: </w:t>
      </w:r>
    </w:p>
    <w:p>
      <w:pPr>
        <w:pStyle w:val="Normal"/>
        <w:numPr>
          <w:ilvl w:val="0"/>
          <w:numId w:val="2"/>
        </w:numPr>
        <w:tabs>
          <w:tab w:val="left" w:pos="284" w:leader="none"/>
        </w:tabs>
        <w:ind w:left="720" w:right="4536" w:hanging="360"/>
        <w:rPr>
          <w:rFonts w:ascii="Arial Narrow" w:hAnsi="Arial Narrow"/>
          <w:sz w:val="16"/>
        </w:rPr>
      </w:pPr>
      <w:r>
        <w:rPr>
          <w:rFonts w:ascii="Times New Roman" w:hAnsi="Times New Roman"/>
          <w:sz w:val="16"/>
          <w:szCs w:val="16"/>
        </w:rPr>
        <w:t>część graficzna – zał. nr 1,</w:t>
      </w:r>
    </w:p>
    <w:p>
      <w:pPr>
        <w:pStyle w:val="Normal"/>
        <w:tabs>
          <w:tab w:val="left" w:pos="284" w:leader="none"/>
        </w:tabs>
        <w:ind w:right="4536" w:hanging="0"/>
        <w:rPr>
          <w:rFonts w:ascii="Arial Narrow" w:hAnsi="Arial Narrow"/>
          <w:b/>
          <w:b/>
          <w:sz w:val="16"/>
          <w:u w:val="single"/>
        </w:rPr>
      </w:pPr>
      <w:r>
        <w:rPr>
          <w:rFonts w:ascii="Times New Roman" w:hAnsi="Times New Roman"/>
          <w:b/>
          <w:sz w:val="16"/>
          <w:szCs w:val="16"/>
          <w:u w:val="single"/>
        </w:rPr>
        <w:t>Otrzymują:</w:t>
      </w:r>
    </w:p>
    <w:p>
      <w:pPr>
        <w:pStyle w:val="Normal"/>
        <w:numPr>
          <w:ilvl w:val="0"/>
          <w:numId w:val="7"/>
        </w:numPr>
        <w:tabs>
          <w:tab w:val="left" w:pos="284" w:leader="none"/>
        </w:tabs>
        <w:ind w:left="720" w:right="4536" w:hanging="360"/>
        <w:rPr>
          <w:rFonts w:ascii="Arial Narrow" w:hAnsi="Arial Narrow"/>
          <w:sz w:val="16"/>
        </w:rPr>
      </w:pPr>
      <w:r>
        <w:rPr>
          <w:rFonts w:ascii="Times New Roman" w:hAnsi="Times New Roman"/>
          <w:sz w:val="16"/>
          <w:szCs w:val="16"/>
        </w:rPr>
        <w:t>wnioskodawca</w:t>
      </w:r>
    </w:p>
    <w:p>
      <w:pPr>
        <w:pStyle w:val="Normal"/>
        <w:numPr>
          <w:ilvl w:val="0"/>
          <w:numId w:val="7"/>
        </w:numPr>
        <w:tabs>
          <w:tab w:val="left" w:pos="284" w:leader="none"/>
        </w:tabs>
        <w:ind w:left="720" w:right="4536" w:hanging="360"/>
        <w:rPr>
          <w:rFonts w:ascii="Arial Narrow" w:hAnsi="Arial Narrow"/>
          <w:sz w:val="16"/>
        </w:rPr>
      </w:pPr>
      <w:r>
        <w:rPr>
          <w:rFonts w:ascii="Times New Roman" w:hAnsi="Times New Roman"/>
          <w:sz w:val="16"/>
          <w:szCs w:val="16"/>
        </w:rPr>
        <w:t>inne strony postępowania</w:t>
      </w:r>
    </w:p>
    <w:p>
      <w:pPr>
        <w:pStyle w:val="Normal"/>
        <w:tabs>
          <w:tab w:val="left" w:pos="284" w:leader="none"/>
        </w:tabs>
        <w:ind w:left="720" w:right="4536" w:hanging="0"/>
        <w:rPr>
          <w:rFonts w:ascii="Times New Roman" w:hAnsi="Times New Roman"/>
          <w:sz w:val="16"/>
          <w:szCs w:val="16"/>
        </w:rPr>
      </w:pPr>
      <w:r>
        <w:rPr>
          <w:rFonts w:ascii="Times New Roman" w:hAnsi="Times New Roman"/>
          <w:sz w:val="16"/>
          <w:szCs w:val="16"/>
        </w:rPr>
        <w:t>(zgodnie z rozdzielnikiem)</w:t>
      </w:r>
    </w:p>
    <w:sectPr>
      <w:footerReference w:type="default" r:id="rId2"/>
      <w:type w:val="nextPage"/>
      <w:pgSz w:w="11906" w:h="16838"/>
      <w:pgMar w:left="1290" w:right="1271" w:header="0" w:top="1170" w:footer="878" w:bottom="158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Arial Narrow">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77470" cy="174625"/>
              <wp:effectExtent l="0" t="0" r="0" b="0"/>
              <wp:wrapSquare wrapText="largest"/>
              <wp:docPr id="1" name="Ramka1"/>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fillRef idx="0"/>
                      <a:effectRef idx="0"/>
                      <a:fontRef idx="minor"/>
                    </wps:style>
                    <wps:txbx>
                      <w:txbxContent>
                        <w:p>
                          <w:pPr>
                            <w:pStyle w:val="Stopka"/>
                            <w:rPr>
                              <w:color w:val="auto"/>
                            </w:rPr>
                          </w:pPr>
                          <w:r>
                            <w:rPr>
                              <w:color w:val="auto"/>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fillcolor="white" stroked="f" style="position:absolute;margin-left:461.15pt;margin-top:0.05pt;width:6pt;height:13.65pt;mso-position-horizontal:right;mso-position-horizontal-relative:margin">
              <w10:wrap type="square"/>
              <v:fill o:detectmouseclick="t" type="solid" color2="black" opacity="0"/>
              <v:stroke color="#3465a4" joinstyle="round" endcap="flat"/>
              <v:textbox>
                <w:txbxContent>
                  <w:p>
                    <w:pPr>
                      <w:pStyle w:val="Stopka"/>
                      <w:rPr>
                        <w:color w:val="auto"/>
                      </w:rPr>
                    </w:pPr>
                    <w:r>
                      <w:rPr>
                        <w:color w:val="auto"/>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0"/>
        <w:b/>
        <w:rFonts w:ascii="Arial Narrow" w:hAnsi="Arial Narrow"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16ee"/>
    <w:pPr>
      <w:widowControl/>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c516ee"/>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c516ee"/>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c516ee"/>
    <w:rPr>
      <w:rFonts w:ascii="Arial" w:hAnsi="Arial" w:eastAsia="Times New Roman" w:cs="Arial"/>
      <w:sz w:val="24"/>
      <w:szCs w:val="24"/>
      <w:lang w:eastAsia="pl-PL"/>
    </w:rPr>
  </w:style>
  <w:style w:type="character" w:styleId="StopkaZnak" w:customStyle="1">
    <w:name w:val="Stopka Znak"/>
    <w:basedOn w:val="DefaultParagraphFont"/>
    <w:link w:val="Stopka"/>
    <w:qFormat/>
    <w:rsid w:val="00c516ee"/>
    <w:rPr>
      <w:rFonts w:ascii="Times New Roman" w:hAnsi="Times New Roman" w:eastAsia="Times New Roman" w:cs="Times New Roman"/>
      <w:sz w:val="24"/>
      <w:szCs w:val="24"/>
      <w:lang w:eastAsia="pl-PL"/>
    </w:rPr>
  </w:style>
  <w:style w:type="character" w:styleId="Pagenumber">
    <w:name w:val="page number"/>
    <w:basedOn w:val="DefaultParagraphFont"/>
    <w:qFormat/>
    <w:rsid w:val="00c516ee"/>
    <w:rPr/>
  </w:style>
  <w:style w:type="character" w:styleId="TekstdymkaZnak" w:customStyle="1">
    <w:name w:val="Tekst dymka Znak"/>
    <w:basedOn w:val="DefaultParagraphFont"/>
    <w:link w:val="Tekstdymka"/>
    <w:uiPriority w:val="99"/>
    <w:semiHidden/>
    <w:qFormat/>
    <w:rsid w:val="00a01481"/>
    <w:rPr>
      <w:rFonts w:ascii="Segoe UI" w:hAnsi="Segoe UI" w:eastAsia="Times New Roman" w:cs="Segoe UI"/>
      <w:sz w:val="18"/>
      <w:szCs w:val="18"/>
      <w:lang w:eastAsia="pl-PL"/>
    </w:rPr>
  </w:style>
  <w:style w:type="character" w:styleId="ListLabel1">
    <w:name w:val="ListLabel 1"/>
    <w:qFormat/>
    <w:rPr>
      <w:rFonts w:eastAsia="Times New Roman" w:cs="Times New Roman"/>
    </w:rPr>
  </w:style>
  <w:style w:type="character" w:styleId="ListLabel2">
    <w:name w:val="ListLabel 2"/>
    <w:qFormat/>
    <w:rPr>
      <w:sz w:val="20"/>
      <w:szCs w:val="20"/>
    </w:rPr>
  </w:style>
  <w:style w:type="character" w:styleId="ListLabel3">
    <w:name w:val="ListLabel 3"/>
    <w:qFormat/>
    <w:rPr>
      <w:rFonts w:cs="Arial"/>
    </w:rPr>
  </w:style>
  <w:style w:type="character" w:styleId="ListLabel4">
    <w:name w:val="ListLabel 4"/>
    <w:qFormat/>
    <w:rPr>
      <w:rFonts w:cs="Courier New"/>
    </w:rPr>
  </w:style>
  <w:style w:type="character" w:styleId="ListLabel5">
    <w:name w:val="ListLabel 5"/>
    <w:qFormat/>
    <w:rPr>
      <w:rFonts w:ascii="Arial Narrow" w:hAnsi="Arial Narrow" w:eastAsia="Times New Roman" w:cs="Times New Roman"/>
      <w:b/>
      <w:sz w:val="20"/>
    </w:rPr>
  </w:style>
  <w:style w:type="character" w:styleId="ListLabel6">
    <w:name w:val="ListLabel 6"/>
    <w:qFormat/>
    <w:rPr>
      <w:rFonts w:cs="Times New Roman"/>
    </w:rPr>
  </w:style>
  <w:style w:type="character" w:styleId="ListLabel7">
    <w:name w:val="ListLabel 7"/>
    <w:qFormat/>
    <w:rPr>
      <w:rFonts w:cs="Arial"/>
    </w:rPr>
  </w:style>
  <w:style w:type="character" w:styleId="ListLabel8">
    <w:name w:val="ListLabel 8"/>
    <w:qFormat/>
    <w:rPr>
      <w:rFonts w:ascii="Arial Narrow" w:hAnsi="Arial Narrow" w:eastAsia="Times New Roman" w:cs="Times New Roman"/>
      <w:b/>
      <w:sz w:val="20"/>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c516ee"/>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c516ee"/>
    <w:pPr>
      <w:spacing w:before="0" w:after="120"/>
      <w:jc w:val="both"/>
    </w:pPr>
    <w:rPr>
      <w:rFonts w:ascii="Arial" w:hAnsi="Arial" w:cs="Arial"/>
    </w:rPr>
  </w:style>
  <w:style w:type="paragraph" w:styleId="NormalIMP" w:customStyle="1">
    <w:name w:val="Normal_IMP"/>
    <w:basedOn w:val="Normal"/>
    <w:qFormat/>
    <w:rsid w:val="00c516ee"/>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c516ee"/>
    <w:pPr>
      <w:spacing w:before="0" w:after="120"/>
      <w:jc w:val="both"/>
    </w:pPr>
    <w:rPr>
      <w:rFonts w:ascii="Arial" w:hAnsi="Arial" w:cs="Arial"/>
      <w:sz w:val="20"/>
    </w:rPr>
  </w:style>
  <w:style w:type="paragraph" w:styleId="Stopka">
    <w:name w:val="Stopka"/>
    <w:basedOn w:val="Normal"/>
    <w:link w:val="StopkaZnak"/>
    <w:rsid w:val="00c516ee"/>
    <w:pPr>
      <w:tabs>
        <w:tab w:val="center" w:pos="4536" w:leader="none"/>
        <w:tab w:val="right" w:pos="9072" w:leader="none"/>
      </w:tabs>
    </w:pPr>
    <w:rPr/>
  </w:style>
  <w:style w:type="paragraph" w:styleId="ListParagraph">
    <w:name w:val="List Paragraph"/>
    <w:basedOn w:val="Normal"/>
    <w:uiPriority w:val="34"/>
    <w:qFormat/>
    <w:rsid w:val="00c516ee"/>
    <w:pPr>
      <w:spacing w:before="0" w:after="0"/>
      <w:ind w:left="720" w:hanging="0"/>
      <w:contextualSpacing/>
    </w:pPr>
    <w:rPr/>
  </w:style>
  <w:style w:type="paragraph" w:styleId="ZLITPKT8211" w:customStyle="1">
    <w:name w:val="Z_LIT/PKT &amp;#8211"/>
    <w:basedOn w:val="Normal"/>
    <w:qFormat/>
    <w:rsid w:val="005e7784"/>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a01481"/>
    <w:pPr/>
    <w:rPr>
      <w:rFonts w:ascii="Segoe UI" w:hAnsi="Segoe UI" w:cs="Segoe UI"/>
      <w:sz w:val="18"/>
      <w:szCs w:val="18"/>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numbering" w:styleId="Styl1" w:customStyle="1">
    <w:name w:val="Styl1"/>
    <w:rsid w:val="00cc73a1"/>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LibreOffice/5.0.1.2$Windows_x86 LibreOffice_project/81898c9f5c0d43f3473ba111d7b351050be20261</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2018-02-05T08:13:00Z</dcterms:created>
  <dc:creator>Agnieszka</dc:creator>
  <dc:language>pl-PL</dc:language>
  <cp:lastPrinted>2018-02-26T10:17:44Z</cp:lastPrinted>
  <dcterms:modified xsi:type="dcterms:W3CDTF">2018-02-26T10:20:01Z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