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180"/>
        <w:jc w:val="right"/>
        <w:rPr>
          <w:b/>
          <w:b/>
        </w:rPr>
      </w:pPr>
      <w:r>
        <w:rPr>
          <w:b/>
        </w:rPr>
      </w:r>
    </w:p>
    <w:p>
      <w:pPr>
        <w:pStyle w:val="Normal"/>
        <w:ind w:firstLine="5400"/>
        <w:rPr/>
      </w:pPr>
      <w:r>
        <w:rPr>
          <w:sz w:val="20"/>
          <w:szCs w:val="20"/>
        </w:rPr>
        <w:tab/>
        <w:t xml:space="preserve">                      Janikowo, dnia 27.11.2015 r.</w:t>
      </w:r>
    </w:p>
    <w:p>
      <w:pPr>
        <w:pStyle w:val="NormalIMP"/>
        <w:suppressAutoHyphens w:val="false"/>
        <w:overflowPunct w:val="false"/>
        <w:spacing w:lineRule="auto" w:line="240"/>
        <w:textAlignment w:val="auto"/>
        <w:rPr>
          <w:rFonts w:ascii="Times New Roman" w:hAnsi="Times New Roman"/>
          <w:sz w:val="20"/>
          <w:szCs w:val="20"/>
        </w:rPr>
      </w:pPr>
      <w:r>
        <w:rPr>
          <w:rFonts w:ascii="Times New Roman" w:hAnsi="Times New Roman"/>
          <w:sz w:val="20"/>
          <w:szCs w:val="20"/>
        </w:rPr>
        <w:t>RIT.GP.6733.02.2015.AS</w:t>
      </w:r>
    </w:p>
    <w:p>
      <w:pPr>
        <w:pStyle w:val="NormalIMP"/>
        <w:suppressAutoHyphens w:val="false"/>
        <w:spacing w:lineRule="auto" w:line="240"/>
        <w:rPr>
          <w:rFonts w:ascii="Times New Roman" w:hAnsi="Times New Roman"/>
          <w:b/>
          <w:b/>
          <w:sz w:val="20"/>
          <w:szCs w:val="20"/>
          <w:u w:val="single"/>
        </w:rPr>
      </w:pPr>
      <w:r>
        <w:rPr>
          <w:rFonts w:ascii="Times New Roman" w:hAnsi="Times New Roman"/>
          <w:b/>
          <w:sz w:val="20"/>
          <w:szCs w:val="20"/>
          <w:u w:val="single"/>
        </w:rPr>
      </w:r>
    </w:p>
    <w:p>
      <w:pPr>
        <w:pStyle w:val="Nagwek2"/>
        <w:rPr>
          <w:rFonts w:ascii="Times New Roman" w:hAnsi="Times New Roman"/>
          <w:sz w:val="20"/>
          <w:szCs w:val="20"/>
        </w:rPr>
      </w:pPr>
      <w:r>
        <w:rPr>
          <w:rFonts w:ascii="Times New Roman" w:hAnsi="Times New Roman"/>
          <w:sz w:val="20"/>
          <w:szCs w:val="20"/>
        </w:rPr>
        <w:t>DECYZJA Nr CP-02-15</w:t>
      </w:r>
    </w:p>
    <w:p>
      <w:pPr>
        <w:pStyle w:val="Normal"/>
        <w:jc w:val="center"/>
        <w:rPr>
          <w:rFonts w:ascii="Arial" w:hAnsi="Arial"/>
          <w:b/>
          <w:b/>
        </w:rPr>
      </w:pPr>
      <w:r>
        <w:rPr>
          <w:b/>
          <w:sz w:val="20"/>
          <w:szCs w:val="20"/>
        </w:rPr>
        <w:t xml:space="preserve">o ustaleniu lokalizacji inwestycji celu publicznego </w:t>
      </w:r>
    </w:p>
    <w:p>
      <w:pPr>
        <w:pStyle w:val="BodyText3"/>
        <w:ind w:firstLine="540"/>
        <w:rPr>
          <w:sz w:val="20"/>
        </w:rPr>
      </w:pPr>
      <w:r>
        <w:rPr>
          <w:rFonts w:ascii="Times New Roman" w:hAnsi="Times New Roman"/>
          <w:sz w:val="20"/>
          <w:szCs w:val="20"/>
        </w:rPr>
        <w:t>Na podstawie art. 1 ust. 2, art. 4 ust. 2 pkt 1, art. 50 ust. 1, 4, art. 51 ust. 1 pkt 2, art. 53 ust. 1, 3, 4 pkt 2, 6, 10 i 10a art. 54 ustawy z dnia 27 marca 2003 r. o planowaniu i zagospodarowaniu przestrzennym (tekst jednolity: Dz. U. z dnia 10 lutego 2015 r. poz. 199 ze zm.)</w:t>
      </w:r>
      <w:r>
        <w:rPr>
          <w:rFonts w:ascii="Times New Roman" w:hAnsi="Times New Roman"/>
          <w:color w:val="000000"/>
          <w:sz w:val="20"/>
          <w:szCs w:val="20"/>
        </w:rPr>
        <w:t>,</w:t>
      </w:r>
      <w:r>
        <w:rPr>
          <w:rFonts w:ascii="Times New Roman" w:hAnsi="Times New Roman"/>
          <w:sz w:val="20"/>
          <w:szCs w:val="20"/>
        </w:rPr>
        <w:t xml:space="preserve"> art. 104 Kodeksu Postępowania Administracyjnego (Dz. U. z 2013 r. poz. 267 ze zm.)</w:t>
      </w:r>
      <w:r>
        <w:rPr>
          <w:rFonts w:ascii="Times New Roman" w:hAnsi="Times New Roman"/>
          <w:bCs/>
          <w:sz w:val="20"/>
          <w:szCs w:val="20"/>
        </w:rPr>
        <w:t xml:space="preserve"> </w:t>
      </w:r>
      <w:r>
        <w:rPr>
          <w:rFonts w:ascii="Times New Roman" w:hAnsi="Times New Roman"/>
          <w:sz w:val="20"/>
          <w:szCs w:val="20"/>
        </w:rPr>
        <w:t xml:space="preserve">oraz </w:t>
      </w:r>
      <w:r>
        <w:rPr>
          <w:rFonts w:ascii="Times New Roman" w:hAnsi="Times New Roman"/>
          <w:b/>
          <w:sz w:val="20"/>
          <w:szCs w:val="20"/>
        </w:rPr>
        <w:t>rozpatrując wniosek</w:t>
      </w:r>
    </w:p>
    <w:p>
      <w:pPr>
        <w:pStyle w:val="BodyText3"/>
        <w:spacing w:before="0" w:after="0"/>
        <w:jc w:val="center"/>
        <w:rPr>
          <w:sz w:val="20"/>
        </w:rPr>
      </w:pPr>
      <w:r>
        <w:rPr>
          <w:rFonts w:ascii="Times New Roman" w:hAnsi="Times New Roman"/>
          <w:sz w:val="20"/>
          <w:szCs w:val="20"/>
        </w:rPr>
        <w:t>z dnia 19 października 2015 r. (data wpływu)</w:t>
      </w:r>
    </w:p>
    <w:p>
      <w:pPr>
        <w:pStyle w:val="BodyText3"/>
        <w:spacing w:before="0" w:after="0"/>
        <w:jc w:val="center"/>
        <w:rPr>
          <w:b/>
          <w:b/>
          <w:bCs/>
          <w:sz w:val="20"/>
          <w:szCs w:val="20"/>
        </w:rPr>
      </w:pPr>
      <w:r>
        <w:rPr>
          <w:rFonts w:ascii="Times New Roman" w:hAnsi="Times New Roman"/>
          <w:b/>
          <w:sz w:val="20"/>
          <w:szCs w:val="20"/>
        </w:rPr>
        <w:t>Gminy Janikowo</w:t>
      </w:r>
      <w:r>
        <w:rPr>
          <w:rFonts w:ascii="Times New Roman" w:hAnsi="Times New Roman"/>
          <w:b/>
          <w:bCs/>
          <w:sz w:val="20"/>
          <w:szCs w:val="20"/>
        </w:rPr>
        <w:t xml:space="preserve"> </w:t>
      </w:r>
    </w:p>
    <w:p>
      <w:pPr>
        <w:pStyle w:val="BodyText3"/>
        <w:spacing w:before="0" w:after="0"/>
        <w:jc w:val="center"/>
        <w:rPr>
          <w:b/>
          <w:b/>
          <w:bCs/>
          <w:sz w:val="20"/>
          <w:szCs w:val="20"/>
        </w:rPr>
      </w:pPr>
      <w:r>
        <w:rPr>
          <w:rFonts w:ascii="Times New Roman" w:hAnsi="Times New Roman"/>
          <w:b/>
          <w:bCs/>
          <w:sz w:val="20"/>
          <w:szCs w:val="20"/>
        </w:rPr>
        <w:t>z siedzibą: ul. Przemysłowa 6, 88-160 Janikowo</w:t>
      </w:r>
    </w:p>
    <w:p>
      <w:pPr>
        <w:pStyle w:val="BodyText3"/>
        <w:spacing w:before="0" w:after="0"/>
        <w:rPr>
          <w:sz w:val="20"/>
        </w:rPr>
      </w:pPr>
      <w:r>
        <w:rPr>
          <w:rFonts w:ascii="Times New Roman" w:hAnsi="Times New Roman"/>
          <w:sz w:val="20"/>
          <w:szCs w:val="20"/>
        </w:rPr>
        <w:t>o ustalenie lokalizacji inwestycji celu publicznego dla inwestycji polegającej na utwardzeniu dróg gminnych wraz z budową kanalizacji deszczowej, sanitarnej i oświetlenia dróg na nieruchomościach oznaczonych nr 102/4, 15/6, 15/9, 97, 27, 29, 125, obręb Ludzisko, gm. Janikowo,</w:t>
      </w:r>
    </w:p>
    <w:p>
      <w:pPr>
        <w:pStyle w:val="BodyText3"/>
        <w:spacing w:before="0" w:after="0"/>
        <w:rPr>
          <w:sz w:val="20"/>
        </w:rPr>
      </w:pPr>
      <w:r>
        <w:rPr>
          <w:rFonts w:ascii="Times New Roman" w:hAnsi="Times New Roman"/>
          <w:sz w:val="20"/>
          <w:szCs w:val="20"/>
        </w:rPr>
        <w:t>po uzgodnieniu:</w:t>
      </w:r>
    </w:p>
    <w:p>
      <w:pPr>
        <w:pStyle w:val="BodyText3"/>
        <w:spacing w:before="0" w:after="0"/>
        <w:rPr>
          <w:rFonts w:ascii="Times New Roman" w:hAnsi="Times New Roman"/>
          <w:sz w:val="20"/>
          <w:szCs w:val="20"/>
          <w:highlight w:val="white"/>
        </w:rPr>
      </w:pPr>
      <w:r>
        <w:rPr>
          <w:rFonts w:ascii="Times New Roman" w:hAnsi="Times New Roman"/>
          <w:sz w:val="20"/>
          <w:szCs w:val="20"/>
          <w:highlight w:val="white"/>
        </w:rPr>
      </w:r>
    </w:p>
    <w:p>
      <w:pPr>
        <w:pStyle w:val="NormalIMP"/>
        <w:numPr>
          <w:ilvl w:val="0"/>
          <w:numId w:val="3"/>
        </w:numPr>
        <w:spacing w:lineRule="auto" w:line="228"/>
        <w:jc w:val="both"/>
        <w:rPr>
          <w:rFonts w:ascii="Times New Roman" w:hAnsi="Times New Roman"/>
          <w:sz w:val="20"/>
          <w:szCs w:val="20"/>
        </w:rPr>
      </w:pPr>
      <w:r>
        <w:rPr>
          <w:rFonts w:ascii="Times New Roman" w:hAnsi="Times New Roman"/>
          <w:sz w:val="20"/>
          <w:szCs w:val="20"/>
          <w:highlight w:val="white"/>
        </w:rPr>
        <w:t>z Wojewódzkim Konserwatorem Zabytków (postanowienie z dnia 27.10.2015r. znak WU OZ. DB. ZAR. 5151. 42. 1. 2015. TZ) - w odniesieniu do obszarów i obiektów objętych ochroną konserwatorską</w:t>
      </w:r>
    </w:p>
    <w:p>
      <w:pPr>
        <w:pStyle w:val="NormalIMP"/>
        <w:numPr>
          <w:ilvl w:val="0"/>
          <w:numId w:val="3"/>
        </w:numPr>
        <w:spacing w:lineRule="auto" w:line="228"/>
        <w:jc w:val="both"/>
        <w:rPr>
          <w:rFonts w:ascii="Times New Roman" w:hAnsi="Times New Roman"/>
          <w:sz w:val="20"/>
          <w:szCs w:val="20"/>
        </w:rPr>
      </w:pPr>
      <w:r>
        <w:rPr>
          <w:rFonts w:ascii="Times New Roman" w:hAnsi="Times New Roman"/>
          <w:sz w:val="20"/>
          <w:szCs w:val="20"/>
          <w:highlight w:val="white"/>
        </w:rPr>
        <w:t>ze Starostą Powiatu ( zgodnie z art. 53 ust. 5 ustawy o planowaniu i zagospodarowaniu przestrzennym ) - w sprawach ochrony gruntów rolnych zgodnie z art. 53 ust. 4 pkt 6 ww. ustawy,,</w:t>
      </w:r>
    </w:p>
    <w:p>
      <w:pPr>
        <w:pStyle w:val="NormalIMP"/>
        <w:numPr>
          <w:ilvl w:val="0"/>
          <w:numId w:val="3"/>
        </w:numPr>
        <w:spacing w:lineRule="auto" w:line="228"/>
        <w:jc w:val="both"/>
        <w:rPr>
          <w:rFonts w:ascii="Times New Roman" w:hAnsi="Times New Roman"/>
          <w:sz w:val="20"/>
          <w:szCs w:val="20"/>
        </w:rPr>
      </w:pPr>
      <w:r>
        <w:rPr>
          <w:rFonts w:ascii="Times New Roman" w:hAnsi="Times New Roman"/>
          <w:sz w:val="20"/>
          <w:szCs w:val="20"/>
          <w:highlight w:val="white"/>
        </w:rPr>
        <w:t>z Kujawsko – Pomorskim Zarządem Melioracji i Urządzeń Wodnych we Włocławku (postanowienie z dnia 29.10.2015r.  znak TEK 7323/BTI/0693/2015) - w sprawach ochrony melioracji zgodnie z art. 53 ust. 4 pkt 6 ww. ustawy,</w:t>
      </w:r>
    </w:p>
    <w:p>
      <w:pPr>
        <w:pStyle w:val="NormalIMP"/>
        <w:numPr>
          <w:ilvl w:val="0"/>
          <w:numId w:val="3"/>
        </w:numPr>
        <w:spacing w:lineRule="auto" w:line="228"/>
        <w:jc w:val="both"/>
        <w:rPr>
          <w:rFonts w:ascii="Times New Roman" w:hAnsi="Times New Roman"/>
          <w:sz w:val="20"/>
          <w:szCs w:val="20"/>
        </w:rPr>
      </w:pPr>
      <w:r>
        <w:rPr>
          <w:rFonts w:ascii="Times New Roman" w:hAnsi="Times New Roman"/>
          <w:sz w:val="20"/>
          <w:szCs w:val="20"/>
          <w:highlight w:val="white"/>
        </w:rPr>
        <w:t>po uzgodnieniu:</w:t>
      </w:r>
    </w:p>
    <w:p>
      <w:pPr>
        <w:pStyle w:val="NormalIMP"/>
        <w:numPr>
          <w:ilvl w:val="1"/>
          <w:numId w:val="3"/>
        </w:numPr>
        <w:jc w:val="both"/>
        <w:rPr>
          <w:rFonts w:ascii="Times New Roman" w:hAnsi="Times New Roman"/>
          <w:sz w:val="20"/>
          <w:szCs w:val="20"/>
        </w:rPr>
      </w:pPr>
      <w:r>
        <w:rPr>
          <w:rFonts w:ascii="Times New Roman" w:hAnsi="Times New Roman"/>
          <w:sz w:val="20"/>
          <w:szCs w:val="20"/>
          <w:highlight w:val="white"/>
        </w:rPr>
        <w:t>Wojewodą Kujawsko-Pomorskim (postanowienie z dnia 30.10.2015r. znak WIR.II.745.2.158.2015. BG)</w:t>
      </w:r>
    </w:p>
    <w:p>
      <w:pPr>
        <w:pStyle w:val="NormalIMP"/>
        <w:numPr>
          <w:ilvl w:val="1"/>
          <w:numId w:val="3"/>
        </w:numPr>
        <w:jc w:val="both"/>
        <w:rPr>
          <w:rFonts w:ascii="Times New Roman" w:hAnsi="Times New Roman"/>
          <w:sz w:val="20"/>
          <w:szCs w:val="20"/>
        </w:rPr>
      </w:pPr>
      <w:r>
        <w:rPr>
          <w:rFonts w:ascii="Times New Roman" w:hAnsi="Times New Roman"/>
          <w:sz w:val="20"/>
          <w:szCs w:val="20"/>
          <w:highlight w:val="white"/>
        </w:rPr>
        <w:t>Starostą Inowrocławskim (postanowienie z dnia 28.10.2015r.  znak AB.673.140.2015)</w:t>
      </w:r>
    </w:p>
    <w:p>
      <w:pPr>
        <w:pStyle w:val="NormalIMP"/>
        <w:ind w:left="720" w:hanging="0"/>
        <w:jc w:val="both"/>
        <w:rPr>
          <w:rFonts w:ascii="Times New Roman" w:hAnsi="Times New Roman"/>
          <w:sz w:val="20"/>
          <w:szCs w:val="20"/>
        </w:rPr>
      </w:pPr>
      <w:r>
        <w:rPr>
          <w:rFonts w:ascii="Times New Roman" w:hAnsi="Times New Roman"/>
          <w:sz w:val="20"/>
          <w:szCs w:val="20"/>
          <w:highlight w:val="white"/>
        </w:rPr>
        <w:t>w zakresie zadań rządowych albo samorządowych, służących realizacji inwestycji celu publicznego, o których mowa w art. 39 ust. 3 pkt 3 i art. 48 – w odniesieniu do terenów, przeznaczonych na ten cel w planach miejscowych, które utraciły moc na podstawie art. 67 ustawy, o której mowa w art. 88 ust. 1 - zgodnie z art. 53 ust. 4 pkt 10 i 10a ww. ustawy;</w:t>
      </w:r>
    </w:p>
    <w:p>
      <w:pPr>
        <w:pStyle w:val="BodyText3"/>
        <w:spacing w:before="0" w:after="0"/>
        <w:rPr>
          <w:rFonts w:ascii="Times New Roman" w:hAnsi="Times New Roman"/>
          <w:sz w:val="20"/>
          <w:szCs w:val="20"/>
        </w:rPr>
      </w:pPr>
      <w:r>
        <w:rPr>
          <w:rFonts w:ascii="Times New Roman" w:hAnsi="Times New Roman"/>
          <w:sz w:val="20"/>
          <w:szCs w:val="20"/>
        </w:rPr>
      </w:r>
    </w:p>
    <w:p>
      <w:pPr>
        <w:pStyle w:val="Normal"/>
        <w:jc w:val="center"/>
        <w:rPr>
          <w:rFonts w:ascii="Arial" w:hAnsi="Arial" w:cs="Arial"/>
          <w:b/>
          <w:b/>
          <w:spacing w:val="88"/>
          <w:sz w:val="28"/>
        </w:rPr>
      </w:pPr>
      <w:r>
        <w:rPr>
          <w:rFonts w:cs="Arial"/>
          <w:b/>
          <w:spacing w:val="88"/>
          <w:sz w:val="20"/>
          <w:szCs w:val="20"/>
        </w:rPr>
        <w:t>ustalam</w:t>
      </w:r>
    </w:p>
    <w:p>
      <w:pPr>
        <w:pStyle w:val="Normal"/>
        <w:jc w:val="center"/>
        <w:rPr>
          <w:rFonts w:ascii="Arial" w:hAnsi="Arial" w:cs="Arial"/>
          <w:b/>
          <w:b/>
        </w:rPr>
      </w:pPr>
      <w:r>
        <w:rPr>
          <w:rFonts w:cs="Arial"/>
          <w:b/>
          <w:spacing w:val="88"/>
          <w:sz w:val="20"/>
          <w:szCs w:val="20"/>
        </w:rPr>
        <w:t>lokalizację inwestycji celu publicznego</w:t>
      </w:r>
      <w:r>
        <w:rPr>
          <w:rFonts w:cs="Arial"/>
          <w:b/>
          <w:sz w:val="20"/>
          <w:szCs w:val="20"/>
        </w:rPr>
        <w:t xml:space="preserve"> </w:t>
      </w:r>
    </w:p>
    <w:p>
      <w:pPr>
        <w:pStyle w:val="Tekstpodstawowy21"/>
        <w:rPr>
          <w:b/>
          <w:b/>
        </w:rPr>
      </w:pPr>
      <w:r>
        <w:rPr>
          <w:rFonts w:ascii="Times New Roman" w:hAnsi="Times New Roman"/>
          <w:b/>
          <w:sz w:val="20"/>
          <w:szCs w:val="20"/>
        </w:rPr>
        <w:t xml:space="preserve">polegającą na </w:t>
      </w:r>
      <w:r>
        <w:rPr>
          <w:rFonts w:cs="Arial" w:ascii="Times New Roman" w:hAnsi="Times New Roman"/>
          <w:b/>
          <w:sz w:val="20"/>
          <w:szCs w:val="20"/>
        </w:rPr>
        <w:t>utwardzeniu dróg gminnych wraz z budową kanalizacji deszczowej, sanitarnej i oświetlenia dróg na nieruchomościach oznaczonych nr 102/4, 15/6, 15/9, 97, 27, 29, 125, obręb Ludzisko, gm. Janikowo</w:t>
      </w:r>
      <w:r>
        <w:rPr>
          <w:rFonts w:ascii="Times New Roman" w:hAnsi="Times New Roman"/>
          <w:b/>
          <w:sz w:val="20"/>
          <w:szCs w:val="20"/>
        </w:rPr>
        <w:t>, w granicach określonych na załącznikach graficznych w skali 1:500.</w:t>
      </w:r>
    </w:p>
    <w:p>
      <w:pPr>
        <w:pStyle w:val="Tekstpodstawowy21"/>
        <w:rPr>
          <w:rFonts w:ascii="Times New Roman" w:hAnsi="Times New Roman"/>
          <w:b/>
          <w:b/>
          <w:sz w:val="20"/>
          <w:szCs w:val="20"/>
        </w:rPr>
      </w:pPr>
      <w:r>
        <w:rPr>
          <w:rFonts w:ascii="Times New Roman" w:hAnsi="Times New Roman"/>
          <w:b/>
          <w:sz w:val="20"/>
          <w:szCs w:val="20"/>
        </w:rPr>
      </w:r>
    </w:p>
    <w:p>
      <w:pPr>
        <w:pStyle w:val="Tekstpodstawowy21"/>
        <w:numPr>
          <w:ilvl w:val="0"/>
          <w:numId w:val="1"/>
        </w:numPr>
        <w:rPr>
          <w:rFonts w:ascii="Times New Roman" w:hAnsi="Times New Roman"/>
          <w:sz w:val="20"/>
          <w:szCs w:val="20"/>
        </w:rPr>
      </w:pPr>
      <w:r>
        <w:rPr>
          <w:rFonts w:ascii="Times New Roman" w:hAnsi="Times New Roman"/>
          <w:sz w:val="20"/>
          <w:szCs w:val="20"/>
        </w:rPr>
        <w:t xml:space="preserve">Rodzaj inwestycji: INFRASTRUKTURA TECHNICZNA – </w:t>
      </w:r>
      <w:r>
        <w:rPr>
          <w:rFonts w:cs="Arial" w:ascii="Times New Roman" w:hAnsi="Times New Roman"/>
          <w:sz w:val="20"/>
          <w:szCs w:val="20"/>
        </w:rPr>
        <w:t>utwardzenie dróg gminnych wraz z budową kanalizacji deszczowej, sanitarnej i oświetlenia dróg</w:t>
      </w:r>
      <w:r>
        <w:rPr>
          <w:rFonts w:ascii="Times New Roman" w:hAnsi="Times New Roman"/>
          <w:sz w:val="20"/>
          <w:szCs w:val="20"/>
        </w:rPr>
        <w:t>.</w:t>
      </w:r>
    </w:p>
    <w:p>
      <w:pPr>
        <w:pStyle w:val="Tekstpodstawowy21"/>
        <w:numPr>
          <w:ilvl w:val="0"/>
          <w:numId w:val="1"/>
        </w:numPr>
        <w:rPr/>
      </w:pPr>
      <w:r>
        <w:rPr>
          <w:rFonts w:ascii="Times New Roman" w:hAnsi="Times New Roman"/>
          <w:sz w:val="20"/>
          <w:szCs w:val="20"/>
        </w:rPr>
        <w:t xml:space="preserve">Realizacja inwestycji </w:t>
      </w:r>
      <w:r>
        <w:rPr>
          <w:rFonts w:cs="Arial" w:ascii="Times New Roman" w:hAnsi="Times New Roman"/>
          <w:sz w:val="20"/>
          <w:szCs w:val="20"/>
        </w:rPr>
        <w:t>na nieruchomościach oznaczonych nr 102/4, 15/6, 15/9, 97, 27, 29, 125, obręb Ludzisko, gm. Janikowo</w:t>
      </w:r>
      <w:r>
        <w:rPr>
          <w:rFonts w:ascii="Times New Roman" w:hAnsi="Times New Roman"/>
          <w:sz w:val="20"/>
          <w:szCs w:val="20"/>
        </w:rPr>
        <w:t>.</w:t>
      </w:r>
    </w:p>
    <w:p>
      <w:pPr>
        <w:pStyle w:val="Tekstpodstawowy21"/>
        <w:numPr>
          <w:ilvl w:val="0"/>
          <w:numId w:val="1"/>
        </w:numPr>
        <w:rPr>
          <w:rFonts w:ascii="Times New Roman" w:hAnsi="Times New Roman"/>
          <w:sz w:val="20"/>
          <w:szCs w:val="20"/>
        </w:rPr>
      </w:pPr>
      <w:r>
        <w:rPr>
          <w:rFonts w:ascii="Times New Roman" w:hAnsi="Times New Roman"/>
          <w:sz w:val="20"/>
          <w:szCs w:val="20"/>
        </w:rPr>
        <w:t xml:space="preserve">Linie rozgraniczające teren inwestycji wyznaczono na rysunku wykonanym na kopii mapy sytuacyjno-wysokościowej w skali 1:500 – </w:t>
      </w:r>
      <w:r>
        <w:rPr>
          <w:rFonts w:ascii="Times New Roman" w:hAnsi="Times New Roman"/>
          <w:b/>
          <w:sz w:val="20"/>
          <w:szCs w:val="20"/>
        </w:rPr>
        <w:t>załączniki nr 1-6,</w:t>
      </w:r>
      <w:r>
        <w:rPr>
          <w:rFonts w:ascii="Times New Roman" w:hAnsi="Times New Roman"/>
          <w:sz w:val="20"/>
          <w:szCs w:val="20"/>
        </w:rPr>
        <w:t xml:space="preserve"> stanowiące załączniki graficzne niniejszej decyzji.</w:t>
      </w:r>
    </w:p>
    <w:p>
      <w:pPr>
        <w:pStyle w:val="Tekstpodstawowy21"/>
        <w:numPr>
          <w:ilvl w:val="0"/>
          <w:numId w:val="1"/>
        </w:numPr>
        <w:rPr>
          <w:rFonts w:ascii="Times New Roman" w:hAnsi="Times New Roman"/>
          <w:sz w:val="20"/>
          <w:szCs w:val="20"/>
        </w:rPr>
      </w:pPr>
      <w:r>
        <w:rPr>
          <w:rFonts w:ascii="Times New Roman" w:hAnsi="Times New Roman"/>
          <w:sz w:val="20"/>
          <w:szCs w:val="20"/>
        </w:rPr>
        <w:t xml:space="preserve">Orientacyjny zakres i lokalizację inwestycji wskazano na kopii mapy sytuacyjno-wysokościowej w skali 1:2000 – </w:t>
      </w:r>
      <w:r>
        <w:rPr>
          <w:rFonts w:ascii="Times New Roman" w:hAnsi="Times New Roman"/>
          <w:b/>
          <w:sz w:val="20"/>
          <w:szCs w:val="20"/>
        </w:rPr>
        <w:t>załącznik nr 7,</w:t>
      </w:r>
      <w:r>
        <w:rPr>
          <w:rFonts w:ascii="Times New Roman" w:hAnsi="Times New Roman"/>
          <w:sz w:val="20"/>
          <w:szCs w:val="20"/>
        </w:rPr>
        <w:t xml:space="preserve"> stanowiący załącznik graficzny niniejszej decyzji</w:t>
      </w:r>
    </w:p>
    <w:p>
      <w:pPr>
        <w:pStyle w:val="BodyText3"/>
        <w:spacing w:before="0" w:after="0"/>
        <w:ind w:left="705" w:hanging="345"/>
        <w:jc w:val="left"/>
        <w:rPr>
          <w:rFonts w:ascii="Times New Roman" w:hAnsi="Times New Roman"/>
          <w:b/>
          <w:b/>
          <w:sz w:val="20"/>
          <w:szCs w:val="20"/>
        </w:rPr>
      </w:pPr>
      <w:r>
        <w:rPr>
          <w:rFonts w:ascii="Times New Roman" w:hAnsi="Times New Roman"/>
          <w:b/>
          <w:sz w:val="20"/>
          <w:szCs w:val="20"/>
        </w:rPr>
      </w:r>
    </w:p>
    <w:p>
      <w:pPr>
        <w:pStyle w:val="BodyText3"/>
        <w:spacing w:before="0" w:after="0"/>
        <w:ind w:left="705" w:hanging="345"/>
        <w:jc w:val="left"/>
        <w:rPr>
          <w:b/>
          <w:b/>
          <w:sz w:val="20"/>
        </w:rPr>
      </w:pPr>
      <w:r>
        <w:rPr>
          <w:rFonts w:ascii="Times New Roman" w:hAnsi="Times New Roman"/>
          <w:b/>
          <w:sz w:val="20"/>
          <w:szCs w:val="20"/>
        </w:rPr>
        <w:t>I.</w:t>
        <w:tab/>
        <w:t>WARUNKI I WYMAGANIA W ZAKRESIE OCHRONY I KSZTAŁTOWANIA ŁADU PRZESTRZENNEGO</w:t>
      </w:r>
    </w:p>
    <w:p>
      <w:pPr>
        <w:pStyle w:val="Tekstpodstawowy21"/>
        <w:numPr>
          <w:ilvl w:val="0"/>
          <w:numId w:val="5"/>
        </w:numPr>
        <w:rPr>
          <w:rFonts w:ascii="Times New Roman" w:hAnsi="Times New Roman"/>
          <w:sz w:val="20"/>
          <w:szCs w:val="20"/>
        </w:rPr>
      </w:pPr>
      <w:r>
        <w:rPr>
          <w:rFonts w:ascii="Times New Roman" w:hAnsi="Times New Roman"/>
          <w:sz w:val="20"/>
          <w:szCs w:val="20"/>
        </w:rPr>
        <w:t>Przedmiotową inwestycję należy przeprowadzić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w:t>
      </w:r>
      <w:r>
        <w:rPr>
          <w:rFonts w:cs="Arial" w:ascii="Times New Roman" w:hAnsi="Times New Roman"/>
          <w:sz w:val="20"/>
          <w:szCs w:val="20"/>
        </w:rPr>
        <w:t xml:space="preserve">. </w:t>
      </w:r>
    </w:p>
    <w:p>
      <w:pPr>
        <w:pStyle w:val="Tekstpodstawowy21"/>
        <w:numPr>
          <w:ilvl w:val="0"/>
          <w:numId w:val="5"/>
        </w:numPr>
        <w:rPr>
          <w:rFonts w:ascii="Times New Roman" w:hAnsi="Times New Roman"/>
          <w:sz w:val="20"/>
          <w:szCs w:val="20"/>
        </w:rPr>
      </w:pPr>
      <w:r>
        <w:rPr>
          <w:rFonts w:ascii="Times New Roman" w:hAnsi="Times New Roman"/>
          <w:sz w:val="20"/>
          <w:szCs w:val="20"/>
        </w:rPr>
        <w:t>Przy projektowaniu i budowie stosować właściwe odległości od innych sieci i urządzeń. W przypadku kolizji z istniejącym uzbrojeniem technicznym – przebudowa za zgodą i na warunkach gestora tej sieci.</w:t>
      </w:r>
    </w:p>
    <w:p>
      <w:pPr>
        <w:pStyle w:val="Tekstpodstawowy21"/>
        <w:numPr>
          <w:ilvl w:val="0"/>
          <w:numId w:val="5"/>
        </w:numPr>
        <w:rPr>
          <w:rFonts w:ascii="Times New Roman" w:hAnsi="Times New Roman"/>
          <w:sz w:val="20"/>
          <w:szCs w:val="20"/>
        </w:rPr>
      </w:pPr>
      <w:r>
        <w:rPr>
          <w:rFonts w:ascii="Times New Roman" w:hAnsi="Times New Roman"/>
          <w:sz w:val="20"/>
          <w:szCs w:val="20"/>
        </w:rPr>
        <w:t>W dokumentacji projektowej uwzględnić wymogi jednostek opiniujących.</w:t>
      </w:r>
    </w:p>
    <w:p>
      <w:pPr>
        <w:pStyle w:val="Tekstpodstawowy21"/>
        <w:numPr>
          <w:ilvl w:val="0"/>
          <w:numId w:val="5"/>
        </w:numPr>
        <w:rPr>
          <w:rFonts w:ascii="Times New Roman" w:hAnsi="Times New Roman"/>
          <w:sz w:val="20"/>
          <w:szCs w:val="20"/>
        </w:rPr>
      </w:pPr>
      <w:r>
        <w:rPr>
          <w:rFonts w:ascii="Times New Roman" w:hAnsi="Times New Roman"/>
          <w:sz w:val="20"/>
          <w:szCs w:val="20"/>
        </w:rPr>
        <w:t>Funkcja – infrastruktura techniczna.</w:t>
      </w:r>
    </w:p>
    <w:p>
      <w:pPr>
        <w:pStyle w:val="Tekstpodstawowy21"/>
        <w:numPr>
          <w:ilvl w:val="0"/>
          <w:numId w:val="5"/>
        </w:numPr>
        <w:rPr>
          <w:rFonts w:ascii="Times New Roman" w:hAnsi="Times New Roman"/>
          <w:sz w:val="20"/>
          <w:szCs w:val="20"/>
        </w:rPr>
      </w:pPr>
      <w:r>
        <w:rPr>
          <w:rFonts w:ascii="Times New Roman" w:hAnsi="Times New Roman"/>
          <w:sz w:val="20"/>
          <w:szCs w:val="20"/>
        </w:rPr>
        <w:t>Maksymalna szerokość pasa do czasowego zajęcia na czas realizacji inwestycji liniowych - 3,0 m.</w:t>
      </w:r>
    </w:p>
    <w:p>
      <w:pPr>
        <w:pStyle w:val="Tekstpodstawowy21"/>
        <w:numPr>
          <w:ilvl w:val="0"/>
          <w:numId w:val="5"/>
        </w:numPr>
        <w:rPr>
          <w:rFonts w:ascii="Times New Roman" w:hAnsi="Times New Roman"/>
          <w:sz w:val="20"/>
          <w:szCs w:val="20"/>
        </w:rPr>
      </w:pPr>
      <w:r>
        <w:rPr>
          <w:rFonts w:ascii="Times New Roman" w:hAnsi="Times New Roman"/>
          <w:sz w:val="20"/>
          <w:szCs w:val="20"/>
        </w:rPr>
        <w:t>Przedmiotową inwestycję należy projektować i budować w sposób określony w przepisach, zapewniając spełnienie wymagań dotyczących:</w:t>
      </w:r>
    </w:p>
    <w:p>
      <w:pPr>
        <w:pStyle w:val="Tekstpodstawowy21"/>
        <w:numPr>
          <w:ilvl w:val="0"/>
          <w:numId w:val="9"/>
        </w:numPr>
        <w:ind w:left="1134" w:hanging="425"/>
        <w:rPr>
          <w:rFonts w:ascii="Times New Roman" w:hAnsi="Times New Roman"/>
          <w:sz w:val="20"/>
          <w:szCs w:val="20"/>
        </w:rPr>
      </w:pPr>
      <w:r>
        <w:rPr>
          <w:rFonts w:ascii="Times New Roman" w:hAnsi="Times New Roman"/>
          <w:sz w:val="20"/>
          <w:szCs w:val="20"/>
        </w:rPr>
        <w:t xml:space="preserve">bezpieczeństwa konstrukcji, </w:t>
      </w:r>
    </w:p>
    <w:p>
      <w:pPr>
        <w:pStyle w:val="Tekstpodstawowy21"/>
        <w:numPr>
          <w:ilvl w:val="0"/>
          <w:numId w:val="9"/>
        </w:numPr>
        <w:ind w:left="1134" w:hanging="425"/>
        <w:rPr>
          <w:rFonts w:ascii="Times New Roman" w:hAnsi="Times New Roman"/>
          <w:sz w:val="20"/>
          <w:szCs w:val="20"/>
        </w:rPr>
      </w:pPr>
      <w:r>
        <w:rPr>
          <w:rFonts w:ascii="Times New Roman" w:hAnsi="Times New Roman"/>
          <w:sz w:val="20"/>
          <w:szCs w:val="20"/>
        </w:rPr>
        <w:t>bezpieczeństwa użytkowania,</w:t>
      </w:r>
    </w:p>
    <w:p>
      <w:pPr>
        <w:pStyle w:val="Tekstpodstawowy21"/>
        <w:numPr>
          <w:ilvl w:val="0"/>
          <w:numId w:val="9"/>
        </w:numPr>
        <w:ind w:left="1134" w:hanging="425"/>
        <w:rPr>
          <w:rFonts w:ascii="Times New Roman" w:hAnsi="Times New Roman"/>
          <w:sz w:val="20"/>
          <w:szCs w:val="20"/>
        </w:rPr>
      </w:pPr>
      <w:r>
        <w:rPr>
          <w:rFonts w:ascii="Times New Roman" w:hAnsi="Times New Roman"/>
          <w:sz w:val="20"/>
          <w:szCs w:val="20"/>
        </w:rPr>
        <w:t>ochrony środowiska, poprzez ochronę powierzchni ziemi, gleby i rzeźby terenu oraz przywrócenie do właściwego stanu (w razie jej uszkodzenia) poprzez zastosowanie metod rekultywacji.</w:t>
      </w:r>
    </w:p>
    <w:p>
      <w:pPr>
        <w:pStyle w:val="Tekstpodstawowy21"/>
        <w:numPr>
          <w:ilvl w:val="0"/>
          <w:numId w:val="5"/>
        </w:numPr>
        <w:rPr>
          <w:rFonts w:ascii="Times New Roman" w:hAnsi="Times New Roman"/>
          <w:sz w:val="20"/>
          <w:szCs w:val="20"/>
        </w:rPr>
      </w:pPr>
      <w:r>
        <w:rPr>
          <w:rFonts w:ascii="Times New Roman" w:hAnsi="Times New Roman"/>
          <w:sz w:val="20"/>
          <w:szCs w:val="20"/>
        </w:rPr>
        <w:t>Opis inwestycji:</w:t>
      </w:r>
    </w:p>
    <w:p>
      <w:pPr>
        <w:pStyle w:val="Tekstpodstawowy21"/>
        <w:numPr>
          <w:ilvl w:val="1"/>
          <w:numId w:val="5"/>
        </w:numPr>
        <w:rPr>
          <w:rFonts w:ascii="Times New Roman" w:hAnsi="Times New Roman"/>
          <w:sz w:val="20"/>
          <w:szCs w:val="20"/>
        </w:rPr>
      </w:pPr>
      <w:r>
        <w:rPr>
          <w:rFonts w:ascii="Times New Roman" w:hAnsi="Times New Roman"/>
          <w:sz w:val="20"/>
          <w:szCs w:val="20"/>
        </w:rPr>
        <w:t>nawierzchnia dróg – bitumiczna z poboczami z kruszywa,</w:t>
      </w:r>
    </w:p>
    <w:p>
      <w:pPr>
        <w:pStyle w:val="Tekstpodstawowy21"/>
        <w:numPr>
          <w:ilvl w:val="1"/>
          <w:numId w:val="5"/>
        </w:numPr>
        <w:rPr>
          <w:rFonts w:ascii="Times New Roman" w:hAnsi="Times New Roman"/>
          <w:sz w:val="20"/>
          <w:szCs w:val="20"/>
        </w:rPr>
      </w:pPr>
      <w:r>
        <w:rPr>
          <w:rFonts w:ascii="Times New Roman" w:hAnsi="Times New Roman"/>
          <w:sz w:val="20"/>
          <w:szCs w:val="20"/>
        </w:rPr>
        <w:t>szerokość dróg od 4 m do 5 m oraz pobocza o szerokości 0,75 m,</w:t>
      </w:r>
    </w:p>
    <w:p>
      <w:pPr>
        <w:pStyle w:val="Tekstpodstawowy21"/>
        <w:numPr>
          <w:ilvl w:val="1"/>
          <w:numId w:val="5"/>
        </w:numPr>
        <w:rPr>
          <w:rFonts w:ascii="Times New Roman" w:hAnsi="Times New Roman"/>
          <w:sz w:val="20"/>
          <w:szCs w:val="20"/>
        </w:rPr>
      </w:pPr>
      <w:r>
        <w:rPr>
          <w:rFonts w:ascii="Times New Roman" w:hAnsi="Times New Roman"/>
          <w:sz w:val="20"/>
          <w:szCs w:val="20"/>
        </w:rPr>
        <w:t>łączna długość dróg 999,5 m.</w:t>
      </w:r>
    </w:p>
    <w:p>
      <w:pPr>
        <w:pStyle w:val="Tekstpodstawowy21"/>
        <w:ind w:left="720" w:hanging="0"/>
        <w:rPr>
          <w:rFonts w:ascii="Times New Roman" w:hAnsi="Times New Roman"/>
          <w:sz w:val="20"/>
          <w:szCs w:val="20"/>
        </w:rPr>
      </w:pPr>
      <w:r>
        <w:rPr>
          <w:rFonts w:ascii="Times New Roman" w:hAnsi="Times New Roman"/>
          <w:sz w:val="20"/>
          <w:szCs w:val="20"/>
        </w:rPr>
      </w:r>
    </w:p>
    <w:p>
      <w:pPr>
        <w:pStyle w:val="Tekstpodstawowy21"/>
        <w:ind w:left="1134" w:hanging="0"/>
        <w:rPr>
          <w:rFonts w:ascii="Times New Roman" w:hAnsi="Times New Roman"/>
          <w:sz w:val="20"/>
          <w:szCs w:val="20"/>
        </w:rPr>
      </w:pPr>
      <w:r>
        <w:rPr>
          <w:rFonts w:ascii="Times New Roman" w:hAnsi="Times New Roman"/>
          <w:sz w:val="20"/>
          <w:szCs w:val="20"/>
        </w:rPr>
      </w:r>
    </w:p>
    <w:p>
      <w:pPr>
        <w:pStyle w:val="WWTekstpodstawowy3"/>
        <w:tabs>
          <w:tab w:val="left" w:pos="360" w:leader="none"/>
        </w:tabs>
        <w:spacing w:before="0" w:after="0"/>
        <w:ind w:left="359" w:hanging="359"/>
        <w:jc w:val="left"/>
        <w:rPr>
          <w:b/>
          <w:b/>
        </w:rPr>
      </w:pPr>
      <w:r>
        <w:rPr>
          <w:rFonts w:ascii="Times New Roman" w:hAnsi="Times New Roman"/>
          <w:b/>
          <w:sz w:val="20"/>
          <w:szCs w:val="20"/>
        </w:rPr>
        <w:t>II.</w:t>
        <w:tab/>
        <w:tab/>
        <w:t>WARUNKI OCHRONY ŚRODOWISKA, ZDROWIA LUDZI ORAZ DZIEDZICTWA KULTUROWEGO I ZABYTKÓW ORAZ DÓBR KULTURY WSPÓŁCZESNEJ</w:t>
      </w:r>
    </w:p>
    <w:p>
      <w:pPr>
        <w:pStyle w:val="Normal"/>
        <w:shd w:val="clear" w:color="auto" w:fill="FFFFFF"/>
        <w:spacing w:lineRule="exact" w:line="226"/>
        <w:ind w:left="720" w:right="10" w:hanging="360"/>
        <w:jc w:val="both"/>
        <w:rPr>
          <w:rFonts w:ascii="Arial" w:hAnsi="Arial" w:cs="Arial"/>
          <w:sz w:val="20"/>
          <w:szCs w:val="20"/>
        </w:rPr>
      </w:pPr>
      <w:r>
        <w:rPr>
          <w:rFonts w:cs="Arial"/>
          <w:sz w:val="20"/>
          <w:szCs w:val="20"/>
        </w:rPr>
        <w:t>1.</w:t>
        <w:tab/>
        <w:t>Przedmiotową inwestycję należy przeprowadzić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oszczędności energii i odpowiedniej izolacyjności cieplnej przegród (art. 5 ustawy z dnia 7 lipca 1994 r. – Prawo Budowlane (</w:t>
      </w:r>
      <w:r>
        <w:rPr>
          <w:sz w:val="20"/>
          <w:szCs w:val="20"/>
        </w:rPr>
        <w:t>tekst jednolity: Dz. U. 2013 poz. 1409</w:t>
      </w:r>
      <w:r>
        <w:rPr>
          <w:rFonts w:cs="Arial"/>
          <w:sz w:val="20"/>
          <w:szCs w:val="20"/>
        </w:rPr>
        <w:t>).</w:t>
      </w:r>
    </w:p>
    <w:p>
      <w:pPr>
        <w:pStyle w:val="Tekstpodstawowy21"/>
        <w:tabs>
          <w:tab w:val="left" w:pos="426" w:leader="none"/>
          <w:tab w:val="left" w:pos="708" w:leader="none"/>
        </w:tabs>
        <w:ind w:left="705" w:hanging="345"/>
        <w:rPr>
          <w:rFonts w:cs="Arial"/>
        </w:rPr>
      </w:pPr>
      <w:r>
        <w:rPr>
          <w:rFonts w:cs="Arial" w:ascii="Times New Roman" w:hAnsi="Times New Roman"/>
          <w:sz w:val="20"/>
          <w:szCs w:val="20"/>
        </w:rPr>
        <w:t>2.</w:t>
        <w:tab/>
        <w:tab/>
        <w:t xml:space="preserve">W trakcie przygotowania i realizacji inwestycji należy respektować przepisy wynikające z ustawy z dnia 27 kwietnia 2001 r. Prawo Ochrony Środowiska – </w:t>
      </w:r>
      <w:r>
        <w:rPr>
          <w:rFonts w:ascii="Times New Roman" w:hAnsi="Times New Roman"/>
          <w:sz w:val="20"/>
          <w:szCs w:val="20"/>
        </w:rPr>
        <w:t>tekst jednolity: Dz. U. z 2013 r., poz. 1232 ze zm.</w:t>
      </w:r>
      <w:r>
        <w:rPr>
          <w:rFonts w:cs="Arial" w:ascii="Times New Roman" w:hAnsi="Times New Roman"/>
          <w:sz w:val="20"/>
          <w:szCs w:val="20"/>
        </w:rPr>
        <w:t>), w szczególności zapewnić oszczędne korzystanie z terenu (art. 74),  uwzględnić ochronę środowiska na obszarze prowadzenia prac a szczególności ochronę gleby, zieleni, naturalnego ukształtowania terenu i stosunków wodnych (art. 75 ust.1).</w:t>
      </w:r>
    </w:p>
    <w:p>
      <w:pPr>
        <w:pStyle w:val="Normal"/>
        <w:shd w:val="clear" w:color="auto" w:fill="FFFFFF"/>
        <w:spacing w:lineRule="exact" w:line="226"/>
        <w:ind w:left="720" w:right="10" w:hanging="360"/>
        <w:jc w:val="both"/>
        <w:rPr>
          <w:rFonts w:ascii="Arial" w:hAnsi="Arial" w:cs="Arial"/>
          <w:sz w:val="20"/>
          <w:szCs w:val="20"/>
        </w:rPr>
      </w:pPr>
      <w:r>
        <w:rPr>
          <w:rFonts w:cs="Arial"/>
          <w:sz w:val="20"/>
          <w:szCs w:val="20"/>
        </w:rPr>
        <w:t>3.</w:t>
        <w:tab/>
        <w:t>Prace ziemne oraz prace związane z wykorzystaniem sprzętu mechanicznego lub urządzeń technicznych prowadzone w obrębie bryły korzeniowej drzew lub krzewów na terenach zieleni powinny być wykonywane zgodnie z art. 82 ust. 1 ustawy z dnia 16 kwietnia 2004 r. o ochronie przyrody (</w:t>
      </w:r>
      <w:r>
        <w:rPr>
          <w:sz w:val="20"/>
          <w:szCs w:val="20"/>
        </w:rPr>
        <w:t>tekst jednolity: Dz. U. z 2013 r., poz. 627 ze zm.</w:t>
      </w:r>
      <w:r>
        <w:rPr>
          <w:rFonts w:cs="Arial"/>
          <w:sz w:val="20"/>
          <w:szCs w:val="20"/>
        </w:rPr>
        <w:t>).</w:t>
      </w:r>
    </w:p>
    <w:p>
      <w:pPr>
        <w:pStyle w:val="Tekstpodstawowy21"/>
        <w:tabs>
          <w:tab w:val="left" w:pos="426" w:leader="none"/>
          <w:tab w:val="left" w:pos="708" w:leader="none"/>
        </w:tabs>
        <w:ind w:left="705" w:hanging="345"/>
        <w:rPr>
          <w:rFonts w:cs="Arial"/>
        </w:rPr>
      </w:pPr>
      <w:r>
        <w:rPr>
          <w:rFonts w:cs="Arial" w:ascii="Times New Roman" w:hAnsi="Times New Roman"/>
          <w:sz w:val="20"/>
          <w:szCs w:val="20"/>
        </w:rPr>
        <w:t>4.</w:t>
        <w:tab/>
        <w:t>Planowana inwestycja winna spełniać warunki § 2 Rozporządzenia Ministra Środowiska z dnia 14 czerwca 2007 r. w sprawie dopuszczalnych poziomów hałasu w środowisku (Dz. U. nr 120, poz. 826).</w:t>
      </w:r>
    </w:p>
    <w:p>
      <w:pPr>
        <w:pStyle w:val="Normal"/>
        <w:shd w:val="clear" w:color="auto" w:fill="FFFFFF"/>
        <w:spacing w:lineRule="exact" w:line="226"/>
        <w:ind w:left="720" w:right="10" w:hanging="360"/>
        <w:jc w:val="both"/>
        <w:rPr>
          <w:rFonts w:ascii="Arial" w:hAnsi="Arial" w:cs="Arial"/>
          <w:sz w:val="20"/>
        </w:rPr>
      </w:pPr>
      <w:r>
        <w:rPr>
          <w:rFonts w:cs="Arial"/>
          <w:sz w:val="20"/>
          <w:szCs w:val="20"/>
        </w:rPr>
        <w:t>5.</w:t>
        <w:tab/>
        <w:t xml:space="preserve">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ten przedmiot i miejsce jego odkrycia i niezwłocznie zawiadomić o tym wojewódzkiego konserwatora zabytków, a jeśli nie jest to możliwe Burmistrza Gminy i Miasta Janikowa (art. 32 ust. 1 ustawy  z dnia 23 lipca 2003 r. o ochronie zabytków i opiece nad zabytkami (tekst jednolity: Dz. U. 2014 poz. 1446). </w:t>
      </w:r>
      <w:r>
        <w:rPr>
          <w:rFonts w:cs="Arial"/>
          <w:b/>
          <w:sz w:val="20"/>
          <w:szCs w:val="20"/>
        </w:rPr>
        <w:t>Planowana inwestycja znajduje się w strefie „A” i „B” ochrony konserwatorskiej, przy jej realizacji należy uzgodnić projekt budowlany z Wojewódzkim Urzędem Ochrony Zabytków Delegatura w Bydgoszczy</w:t>
      </w:r>
    </w:p>
    <w:p>
      <w:pPr>
        <w:pStyle w:val="Normal"/>
        <w:shd w:val="clear" w:color="auto" w:fill="FFFFFF"/>
        <w:spacing w:lineRule="exact" w:line="226"/>
        <w:ind w:left="720" w:right="10" w:hanging="360"/>
        <w:jc w:val="both"/>
        <w:rPr>
          <w:rFonts w:ascii="Arial" w:hAnsi="Arial" w:cs="Arial"/>
          <w:sz w:val="20"/>
          <w:szCs w:val="20"/>
        </w:rPr>
      </w:pPr>
      <w:r>
        <w:rPr>
          <w:rFonts w:cs="Arial"/>
          <w:sz w:val="20"/>
          <w:szCs w:val="20"/>
        </w:rPr>
        <w:t>6.</w:t>
        <w:tab/>
        <w:t>Podjęcie przez inwestora działalności mogącej negatywnie oddziaływać na środowisko lub spowodowanie przez niego zanieczyszczenia środowiska zobowiązuje do zapobiegania temu oddziaływaniu oraz ponoszenia kosztów zapobiegania temu zanieczyszczeniu.</w:t>
      </w:r>
    </w:p>
    <w:p>
      <w:pPr>
        <w:pStyle w:val="Normal"/>
        <w:shd w:val="clear" w:color="auto" w:fill="FFFFFF"/>
        <w:spacing w:lineRule="exact" w:line="226"/>
        <w:ind w:left="720" w:right="10" w:hanging="360"/>
        <w:jc w:val="both"/>
        <w:rPr>
          <w:rFonts w:ascii="Arial" w:hAnsi="Arial" w:cs="Arial"/>
          <w:sz w:val="20"/>
          <w:szCs w:val="20"/>
        </w:rPr>
      </w:pPr>
      <w:r>
        <w:rPr>
          <w:rFonts w:cs="Arial"/>
          <w:sz w:val="20"/>
          <w:szCs w:val="20"/>
        </w:rPr>
        <w:t>7.</w:t>
        <w:tab/>
        <w:t>Projekt budowlany powinien zawierać pozytywne opinie jednostek opiniujących i uzgadniających, wymaganych przepisami odrębnymi dla tego rodzaju inwestycji.</w:t>
      </w:r>
    </w:p>
    <w:p>
      <w:pPr>
        <w:pStyle w:val="Normal"/>
        <w:shd w:val="clear" w:color="auto" w:fill="FFFFFF"/>
        <w:spacing w:lineRule="exact" w:line="226"/>
        <w:ind w:left="720" w:right="10" w:hanging="360"/>
        <w:jc w:val="both"/>
        <w:rPr>
          <w:rFonts w:ascii="Arial" w:hAnsi="Arial" w:cs="Arial"/>
          <w:sz w:val="20"/>
        </w:rPr>
      </w:pPr>
      <w:r>
        <w:rPr>
          <w:rFonts w:cs="Arial"/>
          <w:sz w:val="20"/>
          <w:szCs w:val="20"/>
        </w:rPr>
        <w:t>8.</w:t>
        <w:tab/>
        <w:t>Projektowana inwestycja nie jest ujęta w wykazie przedsięwzięć określonych w Rozporządzeniu Rady Ministrów z dnia 9 listopada 2010 r. w sprawie przedsięwzięć mogących znacząco oddziaływać na środowisko (Dz. U. Nr 213, poz. 1397 ze zm.).</w:t>
      </w:r>
    </w:p>
    <w:p>
      <w:pPr>
        <w:pStyle w:val="Normal"/>
        <w:shd w:val="clear" w:color="auto" w:fill="FFFFFF"/>
        <w:spacing w:lineRule="exact" w:line="226"/>
        <w:ind w:left="720" w:right="10" w:hanging="360"/>
        <w:jc w:val="both"/>
        <w:rPr>
          <w:rFonts w:ascii="Arial" w:hAnsi="Arial" w:cs="Arial"/>
          <w:sz w:val="20"/>
        </w:rPr>
      </w:pPr>
      <w:r>
        <w:rPr>
          <w:rFonts w:cs="Arial"/>
          <w:sz w:val="20"/>
          <w:szCs w:val="20"/>
        </w:rPr>
        <w:t>9.</w:t>
        <w:tab/>
        <w:t>Przedmiotowa inwestycja nie znajduje się w wykazie przedsięwzięć wyszczególnionych w załączniku nr I i II Dyrektywy Parlamentu Europejskiego i Rady 2011/92/UE z dnia 13 grudnia 2011 r. w sprawie oceny skutków wywieranych przez niektóre przedsięwzięcia publiczne i prywatne na środowisko. W związku z tym realizacja planowanego przedsięwzięcia nie wymaga wydania decyzji o środowiskowych uwarunkowaniach w myśl art. 71 ust. 2 i art. 72 ust. 1 ustawy z dnia 3 października 2008 r. o udostępnianiu informacji o środowisku i jego ochronie, udziale społeczeństwa w ochronie środowiska oraz o ocenach oddziaływania na środowisko (</w:t>
      </w:r>
      <w:r>
        <w:rPr>
          <w:sz w:val="20"/>
          <w:szCs w:val="20"/>
        </w:rPr>
        <w:t>tekst jednolity: Dz. U. z 2013 r. poz. 1235</w:t>
      </w:r>
      <w:r>
        <w:rPr>
          <w:rFonts w:cs="Arial"/>
          <w:sz w:val="20"/>
          <w:szCs w:val="20"/>
        </w:rPr>
        <w:t xml:space="preserve">). </w:t>
      </w:r>
    </w:p>
    <w:p>
      <w:pPr>
        <w:pStyle w:val="Normal"/>
        <w:shd w:val="clear" w:color="auto" w:fill="FFFFFF"/>
        <w:spacing w:lineRule="exact" w:line="226"/>
        <w:ind w:left="720" w:right="10" w:hanging="360"/>
        <w:jc w:val="both"/>
        <w:rPr>
          <w:rFonts w:ascii="Arial" w:hAnsi="Arial" w:cs="Arial"/>
          <w:sz w:val="20"/>
        </w:rPr>
      </w:pPr>
      <w:r>
        <w:rPr>
          <w:rFonts w:cs="Arial"/>
          <w:sz w:val="20"/>
          <w:szCs w:val="20"/>
        </w:rPr>
        <w:t>10.</w:t>
        <w:tab/>
        <w:t>Zgodnie z art. 59 ust. 2 pkt. 1 i 2 ww. ustawy realizacja planowanego przedsięwzięcia nie wymaga oceny oddziaływania na obszar Natura 2000 (poza tym obszarem).</w:t>
      </w:r>
    </w:p>
    <w:p>
      <w:pPr>
        <w:pStyle w:val="Normal"/>
        <w:shd w:val="clear" w:color="auto" w:fill="FFFFFF"/>
        <w:spacing w:lineRule="exact" w:line="226"/>
        <w:ind w:left="720" w:right="10" w:hanging="360"/>
        <w:jc w:val="both"/>
        <w:rPr>
          <w:rFonts w:ascii="Arial" w:hAnsi="Arial" w:cs="Arial"/>
          <w:i/>
          <w:i/>
          <w:iCs/>
          <w:sz w:val="16"/>
          <w:szCs w:val="16"/>
        </w:rPr>
      </w:pPr>
      <w:r>
        <w:rPr>
          <w:rFonts w:cs="Arial"/>
          <w:sz w:val="20"/>
          <w:szCs w:val="20"/>
        </w:rPr>
        <w:t>11.</w:t>
        <w:tab/>
        <w:t xml:space="preserve">Realizacja inwestycji nie wymaga uzyskania zgody na zmianę przeznaczenia gruntów rolnych i leśnych na cele nierolnicze i nieleśne </w:t>
      </w:r>
      <w:r>
        <w:rPr>
          <w:rFonts w:eastAsia="Calibri" w:cs="Arial"/>
          <w:bCs/>
          <w:i/>
          <w:sz w:val="20"/>
          <w:szCs w:val="20"/>
          <w:u w:val="single"/>
        </w:rPr>
        <w:t>/zgodnie z ustawą z dnia 3 lutego 1995 r. o ochronie gruntów rolnych i leśnych (tekst jednolity: Dz. U. z 2015 r., poz. 909 ze zm.) zmiana przeznaczenia gruntów rolnych stanowiących użytki rolne klas I–III – wymaga uzyskania zgody właściwego ministra z zastrzeżeniem użytków rolnych klas I-III, spełniających łącznie następujące warunki:</w:t>
      </w:r>
    </w:p>
    <w:p>
      <w:pPr>
        <w:pStyle w:val="ZLITPKT8211"/>
        <w:tabs>
          <w:tab w:val="left" w:pos="993" w:leader="none"/>
        </w:tabs>
        <w:spacing w:lineRule="auto" w:line="240"/>
        <w:ind w:left="284" w:firstLine="425"/>
        <w:rPr>
          <w:rFonts w:ascii="Arial" w:hAnsi="Arial" w:eastAsia="Calibri" w:cs="Arial"/>
          <w:bCs/>
          <w:i/>
          <w:i/>
          <w:sz w:val="16"/>
          <w:szCs w:val="16"/>
          <w:lang w:eastAsia="en-US"/>
        </w:rPr>
      </w:pPr>
      <w:r>
        <w:rPr>
          <w:rFonts w:eastAsia="Calibri" w:cs="Arial" w:ascii="Times New Roman" w:hAnsi="Times New Roman"/>
          <w:bCs/>
          <w:i/>
          <w:sz w:val="20"/>
          <w:szCs w:val="20"/>
          <w:lang w:eastAsia="en-US"/>
        </w:rPr>
        <w:t>1)</w:t>
        <w:tab/>
        <w:t>co najmniej połowa powierzchni każdej zwartej części gruntu zawiera się w obszarze zwartej zabudowy;</w:t>
      </w:r>
    </w:p>
    <w:p>
      <w:pPr>
        <w:pStyle w:val="ZLITPKT8211"/>
        <w:tabs>
          <w:tab w:val="left" w:pos="993" w:leader="none"/>
        </w:tabs>
        <w:spacing w:lineRule="auto" w:line="240"/>
        <w:ind w:left="993" w:hanging="284"/>
        <w:rPr>
          <w:rFonts w:ascii="Arial" w:hAnsi="Arial" w:eastAsia="Calibri" w:cs="Arial"/>
          <w:bCs/>
          <w:i/>
          <w:i/>
          <w:sz w:val="16"/>
          <w:szCs w:val="16"/>
          <w:lang w:eastAsia="en-US"/>
        </w:rPr>
      </w:pPr>
      <w:r>
        <w:rPr>
          <w:rFonts w:eastAsia="Calibri" w:cs="Arial" w:ascii="Times New Roman" w:hAnsi="Times New Roman"/>
          <w:bCs/>
          <w:i/>
          <w:sz w:val="20"/>
          <w:szCs w:val="20"/>
          <w:lang w:eastAsia="en-US"/>
        </w:rPr>
        <w:t>2)</w:t>
        <w:tab/>
        <w:t>położone są w odległości nie większej niż 50 m od granicy najbliższej działki budowlanej w rozumieniu przepisów ustawy z dnia 21 sierpnia 1997 r. o gospodarce nieruchomościami (Dz. U. z 2015 r. poz. 782 ze zm.);</w:t>
      </w:r>
    </w:p>
    <w:p>
      <w:pPr>
        <w:pStyle w:val="ZLITPKT8211"/>
        <w:tabs>
          <w:tab w:val="left" w:pos="993" w:leader="none"/>
        </w:tabs>
        <w:spacing w:lineRule="auto" w:line="240"/>
        <w:ind w:left="993" w:hanging="284"/>
        <w:rPr>
          <w:rFonts w:ascii="Arial" w:hAnsi="Arial" w:eastAsia="Calibri" w:cs="Arial"/>
          <w:bCs/>
          <w:i/>
          <w:i/>
          <w:sz w:val="16"/>
          <w:szCs w:val="16"/>
          <w:lang w:eastAsia="en-US"/>
        </w:rPr>
      </w:pPr>
      <w:r>
        <w:rPr>
          <w:rFonts w:eastAsia="Calibri" w:cs="Arial" w:ascii="Times New Roman" w:hAnsi="Times New Roman"/>
          <w:bCs/>
          <w:i/>
          <w:sz w:val="20"/>
          <w:szCs w:val="20"/>
          <w:lang w:eastAsia="en-US"/>
        </w:rPr>
        <w:t>3)</w:t>
        <w:tab/>
        <w:t>położone są w odległości nie większej niż 50 metrów od drogi publicznej w rozumieniu przepisów ustawy z dnia 21 marca 1985 r. o drogach publicznych (Dz. U. z 2015 r. poz. 460, ze zm.);</w:t>
      </w:r>
    </w:p>
    <w:p>
      <w:pPr>
        <w:pStyle w:val="ZLITPKT8211"/>
        <w:tabs>
          <w:tab w:val="left" w:pos="993" w:leader="none"/>
        </w:tabs>
        <w:spacing w:lineRule="auto" w:line="240"/>
        <w:ind w:left="993" w:hanging="284"/>
        <w:rPr>
          <w:rFonts w:ascii="Arial" w:hAnsi="Arial" w:eastAsia="Calibri" w:cs="Arial"/>
          <w:bCs/>
          <w:i/>
          <w:i/>
          <w:sz w:val="16"/>
          <w:szCs w:val="16"/>
          <w:lang w:eastAsia="en-US"/>
        </w:rPr>
      </w:pPr>
      <w:r>
        <w:rPr>
          <w:rFonts w:eastAsia="Calibri" w:cs="Arial" w:ascii="Times New Roman" w:hAnsi="Times New Roman"/>
          <w:bCs/>
          <w:i/>
          <w:sz w:val="20"/>
          <w:szCs w:val="20"/>
          <w:lang w:eastAsia="en-US"/>
        </w:rPr>
        <w:t>4)</w:t>
        <w:tab/>
        <w:t>ich powierzchnia nie przekracza 0,5 ha, bez względu na to, czy stanowią jedną całość, czy stanowią kilka odrębnych części.</w:t>
      </w:r>
    </w:p>
    <w:p>
      <w:pPr>
        <w:pStyle w:val="Normal"/>
        <w:shd w:val="clear" w:color="auto" w:fill="FFFFFF"/>
        <w:tabs>
          <w:tab w:val="left" w:pos="720" w:leader="none"/>
        </w:tabs>
        <w:spacing w:lineRule="exact" w:line="226"/>
        <w:ind w:left="720" w:right="10" w:hanging="360"/>
        <w:jc w:val="both"/>
        <w:rPr>
          <w:rFonts w:ascii="Arial" w:hAnsi="Arial" w:cs="Arial"/>
          <w:b/>
          <w:b/>
          <w:sz w:val="20"/>
          <w:u w:val="single"/>
        </w:rPr>
      </w:pPr>
      <w:r>
        <w:rPr>
          <w:rFonts w:eastAsia="Calibri" w:cs="Arial"/>
          <w:bCs/>
          <w:i/>
          <w:sz w:val="20"/>
          <w:szCs w:val="20"/>
        </w:rPr>
        <w:tab/>
      </w:r>
      <w:r>
        <w:rPr>
          <w:rFonts w:eastAsia="Calibri" w:cs="Arial"/>
          <w:bCs/>
          <w:i/>
          <w:sz w:val="20"/>
          <w:szCs w:val="20"/>
          <w:u w:val="single"/>
        </w:rPr>
        <w:t>Zmiana przeznaczenia gruntów leśnych na cele nieleśne wymaga uzyskania zgody właściwego ministra (w przypadku gruntów leśnych Skarbu Państwa) lub właściwego Marszałka Województwa (pozostałych gruntów leśnych); przepisów nie stosuje się w granicach administracyjnych miast/:</w:t>
      </w:r>
    </w:p>
    <w:p>
      <w:pPr>
        <w:pStyle w:val="Normal"/>
        <w:shd w:val="clear" w:color="auto" w:fill="FFFFFF"/>
        <w:spacing w:lineRule="exact" w:line="226"/>
        <w:ind w:left="994" w:right="10" w:hanging="285"/>
        <w:jc w:val="both"/>
        <w:rPr>
          <w:rFonts w:ascii="Arial" w:hAnsi="Arial" w:cs="Arial"/>
          <w:bCs/>
          <w:sz w:val="20"/>
          <w:szCs w:val="20"/>
        </w:rPr>
      </w:pPr>
      <w:r>
        <w:rPr>
          <w:rFonts w:cs="Arial"/>
          <w:sz w:val="20"/>
          <w:szCs w:val="20"/>
        </w:rPr>
        <w:t>a)</w:t>
        <w:tab/>
      </w:r>
      <w:r>
        <w:rPr>
          <w:rFonts w:cs="Arial"/>
          <w:b/>
          <w:sz w:val="20"/>
          <w:szCs w:val="20"/>
          <w:u w:val="single"/>
        </w:rPr>
        <w:t>ochrona gruntów rolnych</w:t>
      </w:r>
      <w:r>
        <w:rPr>
          <w:rFonts w:cs="Arial"/>
          <w:sz w:val="20"/>
          <w:szCs w:val="20"/>
        </w:rPr>
        <w:t>: realizacja inwestycji w nie powoduje zmiany przeznaczenia gruntów rolnych na cele nierolnicze – nietrwałe wyłączenie gruntów z produkcji (prace związane z budową będą trwały poniżej 6 miesięcy), po realizacji inwestycji grunt zostanie przywrócony do stanu pierwotnego i użytkowania rolniczego</w:t>
      </w:r>
      <w:r>
        <w:rPr>
          <w:rFonts w:cs="Arial"/>
          <w:bCs/>
          <w:sz w:val="20"/>
          <w:szCs w:val="20"/>
        </w:rPr>
        <w:t>;</w:t>
      </w:r>
    </w:p>
    <w:p>
      <w:pPr>
        <w:pStyle w:val="Normal"/>
        <w:shd w:val="clear" w:color="auto" w:fill="FFFFFF"/>
        <w:tabs>
          <w:tab w:val="left" w:pos="720" w:leader="none"/>
          <w:tab w:val="left" w:pos="993" w:leader="none"/>
        </w:tabs>
        <w:spacing w:lineRule="exact" w:line="226"/>
        <w:ind w:left="720" w:right="10" w:hanging="360"/>
        <w:jc w:val="both"/>
        <w:rPr>
          <w:rFonts w:ascii="Arial" w:hAnsi="Arial" w:cs="Arial"/>
          <w:sz w:val="20"/>
        </w:rPr>
      </w:pPr>
      <w:r>
        <w:rPr>
          <w:rFonts w:cs="Arial"/>
          <w:bCs/>
          <w:sz w:val="20"/>
          <w:szCs w:val="20"/>
        </w:rPr>
        <w:tab/>
        <w:t>b)</w:t>
        <w:tab/>
      </w:r>
      <w:r>
        <w:rPr>
          <w:rFonts w:cs="Arial"/>
          <w:b/>
          <w:bCs/>
          <w:sz w:val="20"/>
          <w:szCs w:val="20"/>
          <w:u w:val="single"/>
        </w:rPr>
        <w:t>ochrona gruntów leśnych</w:t>
      </w:r>
      <w:r>
        <w:rPr>
          <w:rFonts w:cs="Arial"/>
          <w:bCs/>
          <w:sz w:val="20"/>
          <w:szCs w:val="20"/>
        </w:rPr>
        <w:t>:  realizacja inwestycji poza gruntami leśnymi</w:t>
      </w:r>
    </w:p>
    <w:p>
      <w:pPr>
        <w:pStyle w:val="Normal"/>
        <w:shd w:val="clear" w:color="auto" w:fill="FFFFFF"/>
        <w:tabs>
          <w:tab w:val="left" w:pos="720" w:leader="none"/>
        </w:tabs>
        <w:spacing w:lineRule="exact" w:line="226"/>
        <w:ind w:left="720" w:right="10" w:hanging="360"/>
        <w:jc w:val="both"/>
        <w:rPr>
          <w:rFonts w:ascii="Arial" w:hAnsi="Arial" w:cs="Arial"/>
          <w:sz w:val="20"/>
        </w:rPr>
      </w:pPr>
      <w:r>
        <w:rPr>
          <w:rFonts w:cs="Arial"/>
          <w:sz w:val="20"/>
          <w:szCs w:val="20"/>
        </w:rPr>
        <w:t>6.</w:t>
        <w:tab/>
        <w:t xml:space="preserve">Realizacja inwestycji celu publicznego w terenach, przeznaczonych na ten cel w planach miejscowych, które utraciły moc na podstawie art. 67 ustawy, o której mowa w art. 88 ust. 1 ww. ustawy – w nieobowiązującym </w:t>
      </w:r>
      <w:r>
        <w:rPr>
          <w:rFonts w:cs="Arial"/>
          <w:b/>
          <w:sz w:val="20"/>
          <w:szCs w:val="20"/>
        </w:rPr>
        <w:t>miejscowym planie ogólnym zagospodarowania przestrzennego gminy Janikowo – Uchwała Nr XXII-177/93 Rady Miejskiej w Janikowie z dnia 29 czerwca 1993 r.</w:t>
      </w:r>
      <w:r>
        <w:rPr>
          <w:rFonts w:cs="Arial"/>
          <w:sz w:val="20"/>
          <w:szCs w:val="20"/>
        </w:rPr>
        <w:t>: 025KG – droga gminna.</w:t>
      </w:r>
    </w:p>
    <w:p>
      <w:pPr>
        <w:pStyle w:val="BodyText3"/>
        <w:tabs>
          <w:tab w:val="left" w:pos="360" w:leader="none"/>
        </w:tabs>
        <w:spacing w:before="0" w:after="0"/>
        <w:ind w:left="180" w:hanging="180"/>
        <w:jc w:val="left"/>
        <w:rPr>
          <w:rFonts w:ascii="Times New Roman" w:hAnsi="Times New Roman"/>
          <w:b/>
          <w:b/>
          <w:sz w:val="20"/>
          <w:szCs w:val="20"/>
        </w:rPr>
      </w:pPr>
      <w:r>
        <w:rPr>
          <w:rFonts w:ascii="Times New Roman" w:hAnsi="Times New Roman"/>
          <w:b/>
          <w:sz w:val="20"/>
          <w:szCs w:val="20"/>
        </w:rPr>
      </w:r>
    </w:p>
    <w:p>
      <w:pPr>
        <w:pStyle w:val="BodyText3"/>
        <w:tabs>
          <w:tab w:val="left" w:pos="360" w:leader="none"/>
        </w:tabs>
        <w:spacing w:before="0" w:after="0"/>
        <w:ind w:left="180" w:hanging="180"/>
        <w:jc w:val="left"/>
        <w:rPr>
          <w:b/>
          <w:b/>
          <w:sz w:val="20"/>
        </w:rPr>
      </w:pPr>
      <w:r>
        <w:rPr>
          <w:rFonts w:ascii="Times New Roman" w:hAnsi="Times New Roman"/>
          <w:b/>
          <w:sz w:val="20"/>
          <w:szCs w:val="20"/>
        </w:rPr>
        <w:t>III.</w:t>
        <w:tab/>
        <w:t>WARUNKI OBSŁUGI W ZAKRESIE INFRASTUKTURY TECHNICZNEJ I KOMUNIKACJI</w:t>
      </w:r>
    </w:p>
    <w:p>
      <w:pPr>
        <w:pStyle w:val="Normal"/>
        <w:numPr>
          <w:ilvl w:val="0"/>
          <w:numId w:val="6"/>
        </w:numPr>
        <w:suppressAutoHyphens w:val="true"/>
        <w:ind w:left="720" w:hanging="360"/>
        <w:jc w:val="both"/>
        <w:rPr>
          <w:rFonts w:ascii="Arial" w:hAnsi="Arial"/>
          <w:sz w:val="20"/>
        </w:rPr>
      </w:pPr>
      <w:r>
        <w:rPr>
          <w:sz w:val="20"/>
          <w:szCs w:val="20"/>
        </w:rPr>
        <w:t>Zaopatrzenie w energię – nie dotyczy</w:t>
      </w:r>
      <w:r>
        <w:rPr>
          <w:rFonts w:cs="Arial"/>
          <w:sz w:val="20"/>
          <w:szCs w:val="20"/>
        </w:rPr>
        <w:t>;</w:t>
      </w:r>
    </w:p>
    <w:p>
      <w:pPr>
        <w:pStyle w:val="Normal"/>
        <w:numPr>
          <w:ilvl w:val="0"/>
          <w:numId w:val="6"/>
        </w:numPr>
        <w:suppressAutoHyphens w:val="true"/>
        <w:ind w:left="720" w:hanging="360"/>
        <w:jc w:val="both"/>
        <w:rPr>
          <w:rFonts w:ascii="Arial" w:hAnsi="Arial"/>
          <w:sz w:val="20"/>
        </w:rPr>
      </w:pPr>
      <w:r>
        <w:rPr>
          <w:sz w:val="20"/>
          <w:szCs w:val="20"/>
        </w:rPr>
        <w:t>Woda – na warunkach gestora sieci - PGKiM Janikowo;</w:t>
      </w:r>
    </w:p>
    <w:p>
      <w:pPr>
        <w:pStyle w:val="Normal"/>
        <w:numPr>
          <w:ilvl w:val="0"/>
          <w:numId w:val="6"/>
        </w:numPr>
        <w:suppressAutoHyphens w:val="true"/>
        <w:ind w:left="720" w:hanging="360"/>
        <w:jc w:val="both"/>
        <w:rPr>
          <w:rFonts w:ascii="Arial" w:hAnsi="Arial"/>
          <w:sz w:val="20"/>
        </w:rPr>
      </w:pPr>
      <w:r>
        <w:rPr>
          <w:sz w:val="20"/>
          <w:szCs w:val="20"/>
        </w:rPr>
        <w:t>Odprowadzenie ścieków – na warunkach gestora sieci - PGKiM Janikowo;</w:t>
      </w:r>
    </w:p>
    <w:p>
      <w:pPr>
        <w:pStyle w:val="Normal"/>
        <w:numPr>
          <w:ilvl w:val="0"/>
          <w:numId w:val="6"/>
        </w:numPr>
        <w:suppressAutoHyphens w:val="true"/>
        <w:ind w:left="720" w:hanging="360"/>
        <w:jc w:val="both"/>
        <w:rPr>
          <w:rFonts w:ascii="Arial" w:hAnsi="Arial"/>
          <w:sz w:val="20"/>
        </w:rPr>
      </w:pPr>
      <w:r>
        <w:rPr>
          <w:sz w:val="20"/>
          <w:szCs w:val="20"/>
        </w:rPr>
        <w:t>Źródło ogrzewania – nie dotyczy;</w:t>
      </w:r>
    </w:p>
    <w:p>
      <w:pPr>
        <w:pStyle w:val="Normal"/>
        <w:numPr>
          <w:ilvl w:val="0"/>
          <w:numId w:val="6"/>
        </w:numPr>
        <w:suppressAutoHyphens w:val="true"/>
        <w:ind w:left="720" w:hanging="360"/>
        <w:jc w:val="both"/>
        <w:rPr>
          <w:rFonts w:ascii="Arial" w:hAnsi="Arial"/>
          <w:sz w:val="20"/>
        </w:rPr>
      </w:pPr>
      <w:r>
        <w:rPr>
          <w:sz w:val="20"/>
          <w:szCs w:val="20"/>
        </w:rPr>
        <w:t xml:space="preserve">Obsługa komunikacyjna – nie dotyczy; </w:t>
      </w:r>
    </w:p>
    <w:p>
      <w:pPr>
        <w:pStyle w:val="Normal"/>
        <w:numPr>
          <w:ilvl w:val="0"/>
          <w:numId w:val="6"/>
        </w:numPr>
        <w:suppressAutoHyphens w:val="true"/>
        <w:ind w:left="720" w:hanging="360"/>
        <w:jc w:val="both"/>
        <w:rPr>
          <w:rFonts w:ascii="Arial" w:hAnsi="Arial"/>
          <w:sz w:val="20"/>
        </w:rPr>
      </w:pPr>
      <w:r>
        <w:rPr>
          <w:sz w:val="20"/>
          <w:szCs w:val="20"/>
        </w:rPr>
        <w:t>Składowanie odpadów stałych – nie dotyczy.</w:t>
      </w:r>
    </w:p>
    <w:p>
      <w:pPr>
        <w:pStyle w:val="BodyText3"/>
        <w:tabs>
          <w:tab w:val="left" w:pos="360" w:leader="none"/>
        </w:tabs>
        <w:ind w:left="180" w:hanging="180"/>
        <w:jc w:val="left"/>
        <w:rPr>
          <w:rFonts w:ascii="Times New Roman" w:hAnsi="Times New Roman"/>
          <w:b/>
          <w:b/>
          <w:sz w:val="20"/>
          <w:szCs w:val="20"/>
        </w:rPr>
      </w:pPr>
      <w:r>
        <w:rPr>
          <w:rFonts w:ascii="Times New Roman" w:hAnsi="Times New Roman"/>
          <w:b/>
          <w:sz w:val="20"/>
          <w:szCs w:val="20"/>
        </w:rPr>
      </w:r>
    </w:p>
    <w:p>
      <w:pPr>
        <w:pStyle w:val="BodyText3"/>
        <w:tabs>
          <w:tab w:val="left" w:pos="360" w:leader="none"/>
        </w:tabs>
        <w:spacing w:before="0" w:after="0"/>
        <w:ind w:left="180" w:hanging="180"/>
        <w:jc w:val="left"/>
        <w:rPr>
          <w:b/>
          <w:b/>
          <w:sz w:val="20"/>
        </w:rPr>
      </w:pPr>
      <w:r>
        <w:rPr>
          <w:rFonts w:ascii="Times New Roman" w:hAnsi="Times New Roman"/>
          <w:b/>
          <w:sz w:val="20"/>
          <w:szCs w:val="20"/>
        </w:rPr>
        <w:t>IV.</w:t>
        <w:tab/>
        <w:t>WYMAGANIA DOTYCZĄCE OCHRONY INTERESÓW OSÓB TRZECICH</w:t>
      </w:r>
    </w:p>
    <w:p>
      <w:pPr>
        <w:pStyle w:val="Normal"/>
        <w:numPr>
          <w:ilvl w:val="3"/>
          <w:numId w:val="7"/>
        </w:numPr>
        <w:tabs>
          <w:tab w:val="left" w:pos="709" w:leader="none"/>
        </w:tabs>
        <w:suppressAutoHyphens w:val="true"/>
        <w:ind w:left="709" w:hanging="283"/>
        <w:jc w:val="both"/>
        <w:rPr>
          <w:rFonts w:ascii="Arial" w:hAnsi="Arial"/>
          <w:sz w:val="20"/>
        </w:rPr>
      </w:pPr>
      <w:r>
        <w:rPr>
          <w:sz w:val="20"/>
          <w:szCs w:val="20"/>
        </w:rPr>
        <w:t>Przedmiotową inwestycję należy projektować i realizować zapewniając spełnienie wymagań dotyczących poszanowania występujących w obszarze obiektu uzasadnionych interesów osób trzecich, a w szczególności ochrony przed:</w:t>
      </w:r>
    </w:p>
    <w:p>
      <w:pPr>
        <w:pStyle w:val="Normal"/>
        <w:numPr>
          <w:ilvl w:val="1"/>
          <w:numId w:val="8"/>
        </w:numPr>
        <w:tabs>
          <w:tab w:val="left" w:pos="1134" w:leader="none"/>
        </w:tabs>
        <w:suppressAutoHyphens w:val="true"/>
        <w:ind w:firstLine="709"/>
        <w:jc w:val="both"/>
        <w:rPr>
          <w:rFonts w:ascii="Arial" w:hAnsi="Arial"/>
          <w:sz w:val="20"/>
        </w:rPr>
      </w:pPr>
      <w:r>
        <w:rPr>
          <w:sz w:val="20"/>
          <w:szCs w:val="20"/>
        </w:rPr>
        <w:t>pozbawieniem dostępu do drogi publicznej,</w:t>
      </w:r>
    </w:p>
    <w:p>
      <w:pPr>
        <w:pStyle w:val="Normal"/>
        <w:numPr>
          <w:ilvl w:val="1"/>
          <w:numId w:val="8"/>
        </w:numPr>
        <w:tabs>
          <w:tab w:val="left" w:pos="1134" w:leader="none"/>
        </w:tabs>
        <w:suppressAutoHyphens w:val="true"/>
        <w:ind w:left="1134" w:hanging="425"/>
        <w:jc w:val="both"/>
        <w:rPr>
          <w:rFonts w:ascii="Arial" w:hAnsi="Arial"/>
          <w:sz w:val="20"/>
        </w:rPr>
      </w:pPr>
      <w:r>
        <w:rPr>
          <w:sz w:val="20"/>
          <w:szCs w:val="20"/>
        </w:rPr>
        <w:t>pozbawieniem możliwości korzystania z wody, kanalizacji, energii elektrycznej i cieplnej oraz ze środków łączności – w trakcie robót budowlanych chronić istniejące uzbrojenie terenu, wszelka kolizja bądź przebudowa winna być uzgodniona z gestorem sieci;</w:t>
      </w:r>
    </w:p>
    <w:p>
      <w:pPr>
        <w:pStyle w:val="Normal"/>
        <w:numPr>
          <w:ilvl w:val="1"/>
          <w:numId w:val="8"/>
        </w:numPr>
        <w:tabs>
          <w:tab w:val="left" w:pos="1134" w:leader="none"/>
        </w:tabs>
        <w:suppressAutoHyphens w:val="true"/>
        <w:ind w:left="1134" w:hanging="425"/>
        <w:jc w:val="both"/>
        <w:rPr>
          <w:rFonts w:ascii="Arial" w:hAnsi="Arial"/>
          <w:sz w:val="20"/>
        </w:rPr>
      </w:pPr>
      <w:r>
        <w:rPr>
          <w:sz w:val="20"/>
          <w:szCs w:val="20"/>
        </w:rPr>
        <w:t>pozbawieniem dostępu do światła dziennego do pomieszczeń przeznaczonych na pobyt ludzi,</w:t>
      </w:r>
    </w:p>
    <w:p>
      <w:pPr>
        <w:pStyle w:val="Normal"/>
        <w:numPr>
          <w:ilvl w:val="1"/>
          <w:numId w:val="8"/>
        </w:numPr>
        <w:tabs>
          <w:tab w:val="left" w:pos="1134" w:leader="none"/>
        </w:tabs>
        <w:suppressAutoHyphens w:val="true"/>
        <w:ind w:left="1134" w:hanging="425"/>
        <w:jc w:val="both"/>
        <w:rPr>
          <w:rFonts w:ascii="Arial" w:hAnsi="Arial"/>
          <w:sz w:val="20"/>
        </w:rPr>
      </w:pPr>
      <w:r>
        <w:rPr>
          <w:sz w:val="20"/>
          <w:szCs w:val="20"/>
        </w:rPr>
        <w:t>uciążliwościami powodowanymi przez hałas, wibracje, zakłócenia elektryczne i promieniowanie, zanieczyszczeniem powietrza, wody i gleby.</w:t>
      </w:r>
    </w:p>
    <w:p>
      <w:pPr>
        <w:pStyle w:val="Tekstpodstawowy21"/>
        <w:tabs>
          <w:tab w:val="left" w:pos="426" w:leader="none"/>
          <w:tab w:val="left" w:pos="567" w:leader="none"/>
        </w:tabs>
        <w:ind w:left="709" w:hanging="283"/>
        <w:rPr>
          <w:szCs w:val="24"/>
        </w:rPr>
      </w:pPr>
      <w:r>
        <w:rPr>
          <w:rFonts w:ascii="Times New Roman" w:hAnsi="Times New Roman"/>
          <w:sz w:val="20"/>
          <w:szCs w:val="20"/>
        </w:rPr>
        <w:t>2.</w:t>
        <w:tab/>
        <w:t xml:space="preserve">Właściciel nieruchomości powinien przy wykorzystaniu swego prawa powstrzymać się od działań, które by zakłócały korzystanie z nieruchomości sąsiednich ponad przeciętną miarę, wynikającą ze społeczno-gospodarczego przeznaczenia nieruchomości i stosunków miejscowych - art. 144 ustawy z dnia 23 kwietnia 1964 r. Kodeks Cywilny </w:t>
      </w:r>
      <w:r>
        <w:rPr>
          <w:rFonts w:cs="Arial" w:ascii="Times New Roman" w:hAnsi="Times New Roman"/>
          <w:sz w:val="20"/>
          <w:szCs w:val="20"/>
        </w:rPr>
        <w:t>(tekst jednolity: Dz. U. z 2014 poz. 121 ze zm.)</w:t>
      </w:r>
      <w:r>
        <w:rPr>
          <w:rFonts w:ascii="Times New Roman" w:hAnsi="Times New Roman"/>
          <w:sz w:val="20"/>
          <w:szCs w:val="20"/>
        </w:rPr>
        <w:t>.</w:t>
      </w:r>
    </w:p>
    <w:p>
      <w:pPr>
        <w:pStyle w:val="Tekstpodstawowy21"/>
        <w:tabs>
          <w:tab w:val="left" w:pos="426" w:leader="none"/>
          <w:tab w:val="left" w:pos="567" w:leader="none"/>
        </w:tabs>
        <w:ind w:left="709" w:hanging="283"/>
        <w:rPr>
          <w:szCs w:val="24"/>
        </w:rPr>
      </w:pPr>
      <w:r>
        <w:rPr>
          <w:rFonts w:ascii="Times New Roman" w:hAnsi="Times New Roman"/>
          <w:sz w:val="20"/>
          <w:szCs w:val="20"/>
        </w:rPr>
        <w:t>3.</w:t>
        <w:tab/>
        <w:t>Robót ziemnych nie wolno dokonywać w taki sposób, by groziły one nieruchomością sąsiednim utratą oparcia - art. 147 ustawy z dnia 23 kwietnia 1964 r. Kodeks Cywilny (</w:t>
      </w:r>
      <w:r>
        <w:rPr>
          <w:rFonts w:cs="Arial" w:ascii="Times New Roman" w:hAnsi="Times New Roman"/>
          <w:sz w:val="20"/>
          <w:szCs w:val="20"/>
        </w:rPr>
        <w:t>tekst jednolity: Dz. U. z 2014 poz. 121 ze zm.)</w:t>
      </w:r>
      <w:r>
        <w:rPr>
          <w:rFonts w:ascii="Times New Roman" w:hAnsi="Times New Roman"/>
          <w:sz w:val="20"/>
          <w:szCs w:val="20"/>
        </w:rPr>
        <w:t>.</w:t>
      </w:r>
    </w:p>
    <w:p>
      <w:pPr>
        <w:pStyle w:val="Tekstpodstawowy21"/>
        <w:tabs>
          <w:tab w:val="left" w:pos="426" w:leader="none"/>
          <w:tab w:val="left" w:pos="567" w:leader="none"/>
        </w:tabs>
        <w:ind w:left="709" w:hanging="283"/>
        <w:rPr>
          <w:szCs w:val="24"/>
        </w:rPr>
      </w:pPr>
      <w:r>
        <w:rPr>
          <w:rFonts w:ascii="Times New Roman" w:hAnsi="Times New Roman"/>
          <w:sz w:val="20"/>
          <w:szCs w:val="20"/>
        </w:rPr>
        <w:t xml:space="preserve">4. Zakaz zmiany stosunków wody w gruncie, a zwłaszcza kierunku odpływu znajdującej się na nim wody opadowej – ze szkodą dla gruntów sąsiednich, a także odprowadzenie wód oraz ścieków na grunty sąsiednie - art. 29 ust. 1 ustawy z dnia 18 lipca 2001 </w:t>
      </w:r>
      <w:r>
        <w:rPr>
          <w:rFonts w:eastAsia="Calibri" w:cs="Arial" w:ascii="Times New Roman" w:hAnsi="Times New Roman"/>
          <w:sz w:val="20"/>
          <w:szCs w:val="20"/>
        </w:rPr>
        <w:t>Prawo wodne (</w:t>
      </w:r>
      <w:r>
        <w:rPr>
          <w:rFonts w:cs="Arial" w:ascii="Times New Roman" w:hAnsi="Times New Roman"/>
          <w:sz w:val="20"/>
          <w:szCs w:val="20"/>
        </w:rPr>
        <w:t>tekst jednolity: Dz. U. z 2015 r. poz. 469</w:t>
      </w:r>
      <w:r>
        <w:rPr>
          <w:rFonts w:eastAsia="Calibri" w:cs="Arial" w:ascii="Times New Roman" w:hAnsi="Times New Roman"/>
          <w:sz w:val="20"/>
          <w:szCs w:val="20"/>
        </w:rPr>
        <w:t>)</w:t>
      </w:r>
      <w:r>
        <w:rPr>
          <w:rFonts w:ascii="Times New Roman" w:hAnsi="Times New Roman"/>
          <w:sz w:val="20"/>
          <w:szCs w:val="20"/>
        </w:rPr>
        <w:t>.</w:t>
      </w:r>
    </w:p>
    <w:p>
      <w:pPr>
        <w:pStyle w:val="Tekstpodstawowy21"/>
        <w:tabs>
          <w:tab w:val="left" w:pos="426" w:leader="none"/>
          <w:tab w:val="left" w:pos="567" w:leader="none"/>
        </w:tabs>
        <w:ind w:left="709" w:hanging="283"/>
        <w:rPr>
          <w:rFonts w:ascii="Times New Roman" w:hAnsi="Times New Roman"/>
          <w:sz w:val="20"/>
          <w:szCs w:val="20"/>
        </w:rPr>
      </w:pPr>
      <w:r>
        <w:rPr>
          <w:rFonts w:ascii="Times New Roman" w:hAnsi="Times New Roman"/>
          <w:sz w:val="20"/>
          <w:szCs w:val="20"/>
        </w:rPr>
        <w:t>5.</w:t>
        <w:tab/>
        <w:t>Należy uzyskać prawo do dysponowania nieruchomością na cele budowlane, dokumentując je dołączonym do wniosku o pozwolenie na budowę oświadczeniem - art. 32 ust. 4 pkt 2 i art. 33 ust. 2 pkt 2 ustawy z dnia 7 lipca Prawo Budowlane (tekst jednolity Dz. U. 2013 poz. 1409 ze zm.).</w:t>
      </w:r>
    </w:p>
    <w:p>
      <w:pPr>
        <w:pStyle w:val="BodyText3"/>
        <w:tabs>
          <w:tab w:val="left" w:pos="360" w:leader="none"/>
        </w:tabs>
        <w:spacing w:before="0" w:after="0"/>
        <w:ind w:left="360" w:hanging="360"/>
        <w:jc w:val="left"/>
        <w:rPr>
          <w:rFonts w:ascii="Times New Roman" w:hAnsi="Times New Roman"/>
          <w:b/>
          <w:b/>
          <w:sz w:val="20"/>
          <w:szCs w:val="20"/>
        </w:rPr>
      </w:pPr>
      <w:r>
        <w:rPr>
          <w:rFonts w:ascii="Times New Roman" w:hAnsi="Times New Roman"/>
          <w:b/>
          <w:sz w:val="20"/>
          <w:szCs w:val="20"/>
        </w:rPr>
      </w:r>
    </w:p>
    <w:p>
      <w:pPr>
        <w:pStyle w:val="BodyText3"/>
        <w:tabs>
          <w:tab w:val="left" w:pos="360" w:leader="none"/>
        </w:tabs>
        <w:spacing w:before="0" w:after="0"/>
        <w:ind w:left="360" w:hanging="360"/>
        <w:jc w:val="left"/>
        <w:rPr>
          <w:b/>
          <w:b/>
          <w:sz w:val="20"/>
        </w:rPr>
      </w:pPr>
      <w:r>
        <w:rPr>
          <w:rFonts w:ascii="Times New Roman" w:hAnsi="Times New Roman"/>
          <w:b/>
          <w:sz w:val="20"/>
          <w:szCs w:val="20"/>
        </w:rPr>
        <w:t>V.</w:t>
        <w:tab/>
        <w:t xml:space="preserve">WYMAGANIA DOTYCZĄCE OCHRONY OBIEKTÓW BUDOWLANYCH NA TERENACH GÓRNICZYCH </w:t>
      </w:r>
    </w:p>
    <w:p>
      <w:pPr>
        <w:pStyle w:val="Tekstpodstawowy21"/>
        <w:tabs>
          <w:tab w:val="left" w:pos="426" w:leader="none"/>
          <w:tab w:val="left" w:pos="567" w:leader="none"/>
        </w:tabs>
        <w:rPr>
          <w:rFonts w:ascii="Times New Roman" w:hAnsi="Times New Roman"/>
          <w:sz w:val="20"/>
          <w:szCs w:val="20"/>
        </w:rPr>
      </w:pPr>
      <w:r>
        <w:rPr>
          <w:rFonts w:ascii="Times New Roman" w:hAnsi="Times New Roman"/>
          <w:sz w:val="20"/>
          <w:szCs w:val="20"/>
        </w:rPr>
        <w:t>Nie dotyczy</w:t>
      </w:r>
    </w:p>
    <w:p>
      <w:pPr>
        <w:pStyle w:val="BodyText3"/>
        <w:spacing w:before="0" w:after="0"/>
        <w:jc w:val="center"/>
        <w:rPr>
          <w:b/>
          <w:b/>
          <w:sz w:val="20"/>
        </w:rPr>
      </w:pPr>
      <w:r>
        <w:rPr>
          <w:rFonts w:ascii="Times New Roman" w:hAnsi="Times New Roman"/>
          <w:b/>
          <w:sz w:val="20"/>
          <w:szCs w:val="20"/>
        </w:rPr>
        <w:t xml:space="preserve">UZASADNIENIE </w:t>
      </w:r>
    </w:p>
    <w:p>
      <w:pPr>
        <w:pStyle w:val="BodyText3"/>
        <w:spacing w:before="0" w:after="0"/>
        <w:ind w:firstLine="539"/>
        <w:rPr/>
      </w:pPr>
      <w:r>
        <w:rPr>
          <w:rFonts w:ascii="Times New Roman" w:hAnsi="Times New Roman"/>
          <w:sz w:val="20"/>
          <w:szCs w:val="20"/>
        </w:rPr>
        <w:t xml:space="preserve">W dniu 19 października 2015 r. (data wpływu) </w:t>
      </w:r>
      <w:r>
        <w:rPr>
          <w:rFonts w:ascii="Times New Roman" w:hAnsi="Times New Roman"/>
          <w:b/>
          <w:sz w:val="20"/>
          <w:szCs w:val="20"/>
        </w:rPr>
        <w:t xml:space="preserve">Gmina Janikowo </w:t>
      </w:r>
      <w:r>
        <w:rPr>
          <w:rFonts w:ascii="Times New Roman" w:hAnsi="Times New Roman"/>
          <w:b/>
          <w:bCs/>
          <w:sz w:val="20"/>
          <w:szCs w:val="20"/>
        </w:rPr>
        <w:t>z siedzibą: ul. Przemysłowa 6, 88-160 Janikowo</w:t>
      </w:r>
      <w:r>
        <w:rPr>
          <w:rFonts w:ascii="Times New Roman" w:hAnsi="Times New Roman"/>
          <w:sz w:val="20"/>
          <w:szCs w:val="20"/>
        </w:rPr>
        <w:t xml:space="preserve"> wystąpiła o ustalenie lokalizacji inwestycji celu publicznego polegającej na utwardzeniu dróg gminnych wraz z budową kanalizacji deszczowej, sanitarnej i oświetlenia dróg na nieruchomościach oznaczonych nr 102/4, 15/6, 15/9, 97, 27, 29, 125, obręb Ludzisko, gm. Janikowo.</w:t>
      </w:r>
    </w:p>
    <w:p>
      <w:pPr>
        <w:pStyle w:val="Default"/>
        <w:ind w:firstLine="539"/>
        <w:jc w:val="both"/>
        <w:rPr>
          <w:rFonts w:ascii="Times New Roman" w:hAnsi="Times New Roman"/>
          <w:sz w:val="20"/>
          <w:szCs w:val="20"/>
        </w:rPr>
      </w:pPr>
      <w:r>
        <w:rPr>
          <w:rFonts w:eastAsia="Times New Roman" w:cs="Arial"/>
          <w:color w:val="00000A"/>
          <w:sz w:val="20"/>
          <w:szCs w:val="20"/>
          <w:lang w:eastAsia="pl-PL"/>
        </w:rPr>
        <w:t>Zgodnie z art. 6 pkt 1 i 3 ustawy z dnia 21 sierpnia 1997 r. o gospodarce nieruchomościami (tekst jednolity: Dz. U. z 2014 r. poz. 518 ze zm.)  wnioskowane zamierzenie zaliczone jest do inwestycji celu publicznego.</w:t>
      </w:r>
    </w:p>
    <w:p>
      <w:pPr>
        <w:pStyle w:val="BodyText3"/>
        <w:spacing w:before="0" w:after="0"/>
        <w:ind w:firstLine="539"/>
        <w:rPr>
          <w:rFonts w:ascii="Times New Roman" w:hAnsi="Times New Roman"/>
          <w:sz w:val="20"/>
          <w:szCs w:val="20"/>
        </w:rPr>
      </w:pPr>
      <w:r>
        <w:rPr>
          <w:rFonts w:ascii="Times New Roman" w:hAnsi="Times New Roman"/>
          <w:sz w:val="20"/>
          <w:szCs w:val="20"/>
        </w:rPr>
        <w:t>Po ustaleniu stron postępowania administracyjnego na podstawie ewidencji gruntów i budynków prowadzonej przez Starostwo Powiatowe w Inowrocławiu, zgodnie z art. 61 § 4 Kodeksu Postępowania Administracyjnego wszczęto postępowanie w przedmiotowej sprawie.</w:t>
      </w:r>
    </w:p>
    <w:p>
      <w:pPr>
        <w:pStyle w:val="BodyText3"/>
        <w:spacing w:before="0" w:after="0"/>
        <w:ind w:firstLine="539"/>
        <w:rPr>
          <w:rFonts w:ascii="Times New Roman" w:hAnsi="Times New Roman"/>
          <w:sz w:val="20"/>
          <w:szCs w:val="20"/>
        </w:rPr>
      </w:pPr>
      <w:r>
        <w:rPr>
          <w:rFonts w:ascii="Times New Roman" w:hAnsi="Times New Roman"/>
          <w:sz w:val="20"/>
          <w:szCs w:val="20"/>
        </w:rPr>
        <w:t>Analizując wniosek oraz ustalenia studium uwarunkowań i kierunków zagospodarowania przestrzennego gminy i miasta Janikowo uchwalonego uchwałą nr VII/50/2003 Rady Miejskiej w Janikowie z dnia 27 czerwca 2003 r. Burmistrz stwierdził, że nie zachodzi okoliczność wynikająca z art. 62. ust. 2 ustawy o planowaniu i zagospodarowaniu przestrzennym, a dotycząca obowiązku sporządzenia miejscowego planu zagospodarowania przestrzennego dla obszaru objętego wnioskiem.</w:t>
      </w:r>
    </w:p>
    <w:p>
      <w:pPr>
        <w:pStyle w:val="WWTekstpodstawowy3"/>
        <w:spacing w:before="0" w:after="0"/>
        <w:ind w:firstLine="539"/>
        <w:rPr/>
      </w:pPr>
      <w:r>
        <w:rPr>
          <w:rFonts w:ascii="Times New Roman" w:hAnsi="Times New Roman"/>
          <w:sz w:val="20"/>
          <w:szCs w:val="20"/>
        </w:rPr>
        <w:t>Dla terenu, na którym położona jest ww. działka Gmina nie posiada miejscowego planu zagospodarowania przestrzennego. W związku z brakiem planu miejscowego na podstawie art. 4 ust. 2 pkt 2 Ustawy z dnia 27 marca 2003 r. o planowaniu i zagospodarowaniu przestrzennym (tekst jednolity: Dz. U. z dnia 10 lutego 2015 r. poz. 199 ze zm.) określenie sposobów zagospodarowania i warunków zabudowy terenu następuje w drodze decyzji o warunkach zabudowy, której sporządzenie powierza się osobom spełniającym wymóg art. 50 ust 4 w nawiązaniu do art. 5 pkt 3 ww. ustawy. Projekt niniejszej decyzji przygotowała mgr inż. architekt Agnieszka Kujath–Jaworska, posiadająca kwalifikacje do wykonywania zawodu urbanisty na terytorium Rzeczypospolitej Polskiej uzyskane na podstawie ustawy z dnia 15 grudnia 2000 r. o samorządach zawodowych architektów, inżynierów budownictwa oraz urbanistów (Dz. U. z 2013 r. poz. 932 i 1650).</w:t>
      </w:r>
    </w:p>
    <w:p>
      <w:pPr>
        <w:pStyle w:val="NormalIMP"/>
        <w:tabs>
          <w:tab w:val="left" w:pos="567" w:leader="none"/>
        </w:tabs>
        <w:jc w:val="both"/>
        <w:rPr>
          <w:rFonts w:ascii="Times New Roman" w:hAnsi="Times New Roman"/>
          <w:sz w:val="20"/>
          <w:szCs w:val="20"/>
        </w:rPr>
      </w:pPr>
      <w:r>
        <w:rPr>
          <w:rFonts w:ascii="Times New Roman" w:hAnsi="Times New Roman"/>
          <w:sz w:val="20"/>
          <w:szCs w:val="20"/>
        </w:rPr>
        <w:tab/>
        <w:t>Projekt decyzji uzgodniono ze:</w:t>
      </w:r>
    </w:p>
    <w:p>
      <w:pPr>
        <w:pStyle w:val="NormalIMP"/>
        <w:ind w:left="705" w:hanging="705"/>
        <w:jc w:val="both"/>
        <w:rPr>
          <w:rFonts w:ascii="Times New Roman" w:hAnsi="Times New Roman"/>
          <w:sz w:val="20"/>
          <w:szCs w:val="20"/>
        </w:rPr>
      </w:pPr>
      <w:r>
        <w:rPr>
          <w:rFonts w:ascii="Times New Roman" w:hAnsi="Times New Roman"/>
          <w:sz w:val="20"/>
          <w:szCs w:val="20"/>
        </w:rPr>
        <w:t>-</w:t>
        <w:tab/>
      </w:r>
      <w:r>
        <w:rPr>
          <w:rFonts w:cs="Arial" w:ascii="Times New Roman" w:hAnsi="Times New Roman"/>
          <w:sz w:val="20"/>
          <w:szCs w:val="20"/>
        </w:rPr>
        <w:t>z Wojewódzkim Konserwatorem Zabytków (art. 53 ust. 4 pkt 2 ww. ustawy),</w:t>
      </w:r>
    </w:p>
    <w:p>
      <w:pPr>
        <w:pStyle w:val="NormalIMP"/>
        <w:ind w:left="705" w:hanging="705"/>
        <w:jc w:val="both"/>
        <w:rPr>
          <w:rFonts w:ascii="Times New Roman" w:hAnsi="Times New Roman"/>
          <w:sz w:val="20"/>
          <w:szCs w:val="20"/>
        </w:rPr>
      </w:pPr>
      <w:r>
        <w:rPr>
          <w:rFonts w:ascii="Times New Roman" w:hAnsi="Times New Roman"/>
          <w:sz w:val="20"/>
          <w:szCs w:val="20"/>
        </w:rPr>
        <w:t>-</w:t>
        <w:tab/>
        <w:t>Starostą Powiatu i Kujawsko-Pomorskim Zarządem Melioracji i Urządzeń Wodnych we Włocławku (art. 53 ust. 4 pkt 6 ww. ustawy),</w:t>
      </w:r>
    </w:p>
    <w:p>
      <w:pPr>
        <w:pStyle w:val="NormalIMP"/>
        <w:ind w:left="705" w:hanging="705"/>
        <w:jc w:val="both"/>
        <w:rPr/>
      </w:pPr>
      <w:r>
        <w:rPr>
          <w:rFonts w:ascii="Times New Roman" w:hAnsi="Times New Roman"/>
          <w:sz w:val="20"/>
          <w:szCs w:val="20"/>
        </w:rPr>
        <w:t>-</w:t>
        <w:tab/>
        <w:t>z Wojewodą Kujawsko-Pomorskim, Marszałkiem Województwa i Starostą Inowrocławskim (art. 53 ust. 4 pkt 10 i 10a ww. ustawy).</w:t>
      </w:r>
      <w:r>
        <w:rPr>
          <w:rFonts w:cs="Arial" w:ascii="Times New Roman" w:hAnsi="Times New Roman"/>
          <w:sz w:val="20"/>
          <w:szCs w:val="20"/>
        </w:rPr>
        <w:t>.</w:t>
      </w:r>
    </w:p>
    <w:p>
      <w:pPr>
        <w:pStyle w:val="NormalIMP"/>
        <w:spacing w:lineRule="auto" w:line="240"/>
        <w:ind w:firstLine="540"/>
        <w:jc w:val="both"/>
        <w:rPr>
          <w:rFonts w:ascii="Times New Roman" w:hAnsi="Times New Roman"/>
          <w:sz w:val="20"/>
          <w:szCs w:val="20"/>
        </w:rPr>
      </w:pPr>
      <w:r>
        <w:rPr>
          <w:rFonts w:ascii="Times New Roman" w:hAnsi="Times New Roman"/>
          <w:sz w:val="20"/>
          <w:szCs w:val="20"/>
        </w:rPr>
        <w:t>Zgodnie z art. 53 ust. 1 ww. ustawy o wszczęciu i przebiegu postępowania w sprawie wydania decyzji o ustaleniu lokalizacji inwestycji celu publicznego w sposób zwyczajowo przyjęty ogłoszono przez ogłoszenia na tablicy ogłoszeń, a wnioskodawcę oraz właścicieli i użytkowników nieruchomości, której dotyczy inwestycja zawiadomiono na piśmie.</w:t>
      </w:r>
    </w:p>
    <w:p>
      <w:pPr>
        <w:pStyle w:val="NormalIMP"/>
        <w:spacing w:lineRule="auto" w:line="240"/>
        <w:ind w:firstLine="540"/>
        <w:jc w:val="both"/>
        <w:rPr>
          <w:rFonts w:ascii="Times New Roman" w:hAnsi="Times New Roman"/>
          <w:sz w:val="20"/>
          <w:szCs w:val="20"/>
        </w:rPr>
      </w:pPr>
      <w:r>
        <w:rPr>
          <w:rFonts w:ascii="Times New Roman" w:hAnsi="Times New Roman"/>
          <w:sz w:val="20"/>
          <w:szCs w:val="20"/>
        </w:rPr>
      </w:r>
    </w:p>
    <w:p>
      <w:pPr>
        <w:pStyle w:val="NormalIMP"/>
        <w:spacing w:lineRule="auto" w:line="240"/>
        <w:ind w:firstLine="540"/>
        <w:jc w:val="both"/>
        <w:rPr>
          <w:rFonts w:ascii="Times New Roman" w:hAnsi="Times New Roman"/>
          <w:sz w:val="20"/>
          <w:szCs w:val="20"/>
        </w:rPr>
      </w:pPr>
      <w:r>
        <w:rPr>
          <w:rFonts w:ascii="Times New Roman" w:hAnsi="Times New Roman"/>
          <w:sz w:val="20"/>
          <w:szCs w:val="20"/>
        </w:rPr>
        <w:t>Burmistrz zapewnił stronom czynny udział w każdym stadium postępowania, a przed wydaniem decyzji umożliwił im wypowiedzenie się co do zebranych dowodów i materiałów oraz zgłoszonych żądań (Art. 10 § 1 K.p.a).</w:t>
      </w:r>
    </w:p>
    <w:p>
      <w:pPr>
        <w:pStyle w:val="NormalIMP"/>
        <w:ind w:firstLine="705"/>
        <w:jc w:val="both"/>
        <w:rPr>
          <w:rFonts w:ascii="Times New Roman" w:hAnsi="Times New Roman"/>
          <w:sz w:val="20"/>
          <w:szCs w:val="20"/>
        </w:rPr>
      </w:pPr>
      <w:r>
        <w:rPr>
          <w:rFonts w:ascii="Times New Roman" w:hAnsi="Times New Roman"/>
          <w:sz w:val="20"/>
          <w:szCs w:val="20"/>
        </w:rPr>
        <w:t>Stwierdzając zgodność planowanej inwestycji z przepisami odrębnymi należało orzec jak w sentencji niniejszej decyzji. Decyzja niniejsza nie rodzi praw do terenu oraz nie narusza prawa własności i uprawnień osób trzecich.</w:t>
      </w:r>
    </w:p>
    <w:p>
      <w:pPr>
        <w:pStyle w:val="NormalIMP"/>
        <w:spacing w:lineRule="auto" w:line="240"/>
        <w:ind w:firstLine="708"/>
        <w:jc w:val="both"/>
        <w:rPr>
          <w:rFonts w:ascii="Times New Roman" w:hAnsi="Times New Roman"/>
          <w:sz w:val="20"/>
          <w:szCs w:val="20"/>
        </w:rPr>
      </w:pPr>
      <w:r>
        <w:rPr>
          <w:rFonts w:ascii="Times New Roman" w:hAnsi="Times New Roman"/>
          <w:sz w:val="20"/>
          <w:szCs w:val="20"/>
        </w:rPr>
        <w:t>Wnioskodawcy, który nie uzyskał prawa do terenu, nie przysługuje roszczenie o zwrot nakładów poniesionych w związku z otrzymaną decyzją ustalającą warunki zabudowy.</w:t>
      </w:r>
    </w:p>
    <w:p>
      <w:pPr>
        <w:pStyle w:val="NormalIMP"/>
        <w:spacing w:lineRule="auto" w:line="240"/>
        <w:jc w:val="both"/>
        <w:rPr>
          <w:rFonts w:ascii="Times New Roman" w:hAnsi="Times New Roman"/>
          <w:sz w:val="20"/>
          <w:szCs w:val="20"/>
        </w:rPr>
      </w:pPr>
      <w:r>
        <w:rPr>
          <w:rFonts w:ascii="Times New Roman" w:hAnsi="Times New Roman"/>
          <w:sz w:val="20"/>
          <w:szCs w:val="20"/>
        </w:rPr>
        <w:t>Decyzja może być przeniesiona na rzecz innej osoby, jeżeli przyjmie ona wszystkie warunki zawarte w tej decyzji. Decyzja traci ważność, jeżeli inwestor nie uzyska prawa do dysponowania nieruchomością na cele budowlane lub prawa dysponowania nieruchomością na czas prowadzenia robót, bądź też utraci te prawa.</w:t>
      </w:r>
    </w:p>
    <w:p>
      <w:pPr>
        <w:pStyle w:val="NormalIMP"/>
        <w:spacing w:lineRule="auto" w:line="240"/>
        <w:ind w:firstLine="705"/>
        <w:jc w:val="both"/>
        <w:rPr>
          <w:rFonts w:ascii="Times New Roman" w:hAnsi="Times New Roman"/>
          <w:sz w:val="20"/>
          <w:szCs w:val="20"/>
        </w:rPr>
      </w:pPr>
      <w:r>
        <w:rPr>
          <w:rFonts w:ascii="Times New Roman" w:hAnsi="Times New Roman"/>
          <w:sz w:val="20"/>
          <w:szCs w:val="20"/>
        </w:rPr>
        <w:t>W celu uzyskania pozwolenia na budowę należy złożyć stosowny wniosek. Do wniosku o pozwolenie na budowę należy dołączyć:</w:t>
      </w:r>
    </w:p>
    <w:p>
      <w:pPr>
        <w:pStyle w:val="NormalIMP"/>
        <w:spacing w:lineRule="auto" w:line="240"/>
        <w:ind w:left="705" w:hanging="705"/>
        <w:jc w:val="both"/>
        <w:rPr>
          <w:rFonts w:ascii="Times New Roman" w:hAnsi="Times New Roman"/>
          <w:sz w:val="20"/>
          <w:szCs w:val="20"/>
        </w:rPr>
      </w:pPr>
      <w:r>
        <w:rPr>
          <w:rFonts w:ascii="Times New Roman" w:hAnsi="Times New Roman"/>
          <w:sz w:val="20"/>
          <w:szCs w:val="20"/>
        </w:rPr>
        <w:t>-</w:t>
        <w:tab/>
        <w:t xml:space="preserve">4 egzemplarze projektu budowlanego wraz z opiniami, uzgodnieniami, pozwoleniami i innymi dokumentami wymaganymi przepisami szczególnymi, </w:t>
      </w:r>
    </w:p>
    <w:p>
      <w:pPr>
        <w:pStyle w:val="NormalIMP"/>
        <w:spacing w:lineRule="auto" w:line="240"/>
        <w:ind w:left="705" w:hanging="705"/>
        <w:jc w:val="both"/>
        <w:rPr>
          <w:rFonts w:ascii="Times New Roman" w:hAnsi="Times New Roman"/>
          <w:sz w:val="20"/>
          <w:szCs w:val="20"/>
        </w:rPr>
      </w:pPr>
      <w:r>
        <w:rPr>
          <w:rFonts w:ascii="Times New Roman" w:hAnsi="Times New Roman"/>
          <w:sz w:val="20"/>
          <w:szCs w:val="20"/>
        </w:rPr>
        <w:t>-</w:t>
        <w:tab/>
        <w:t>oświadczenie o posiadanym prawie do dysponowania nieruchomością na wnioskowane cele budowlane,</w:t>
      </w:r>
    </w:p>
    <w:p>
      <w:pPr>
        <w:pStyle w:val="NormalIMP"/>
        <w:spacing w:lineRule="auto" w:line="240"/>
        <w:jc w:val="both"/>
        <w:rPr/>
      </w:pPr>
      <w:r>
        <w:rPr>
          <w:rFonts w:ascii="Times New Roman" w:hAnsi="Times New Roman"/>
          <w:sz w:val="20"/>
          <w:szCs w:val="20"/>
        </w:rPr>
        <w:t>-</w:t>
        <w:tab/>
        <w:t>niniejszą decyzję o ustaleniu lokalizacji inwestycji celu publicznego.</w:t>
      </w:r>
    </w:p>
    <w:p>
      <w:pPr>
        <w:pStyle w:val="NormalIMP"/>
        <w:spacing w:lineRule="auto" w:line="240"/>
        <w:jc w:val="both"/>
        <w:rPr>
          <w:rFonts w:ascii="Times New Roman" w:hAnsi="Times New Roman"/>
          <w:sz w:val="20"/>
          <w:szCs w:val="20"/>
        </w:rPr>
      </w:pPr>
      <w:r>
        <w:rPr>
          <w:rFonts w:ascii="Times New Roman" w:hAnsi="Times New Roman"/>
          <w:sz w:val="20"/>
          <w:szCs w:val="20"/>
        </w:rPr>
        <w:t>Od niniejszej decyzji służy stronom odwołanie do Samorządowego Kolegium Odwoławczego w Bydgoszczy, które należy wnieść za pośrednictwem Burmistrza Gminy i Miasta Janikowa w terminie 14 dni od daty doręczenia.</w:t>
      </w:r>
    </w:p>
    <w:p>
      <w:pPr>
        <w:pStyle w:val="Normal"/>
        <w:ind w:left="5664" w:hanging="0"/>
        <w:rPr>
          <w:rFonts w:ascii="Times New Roman" w:hAnsi="Times New Roman" w:cs="Arial"/>
          <w:bCs/>
          <w:sz w:val="20"/>
          <w:szCs w:val="20"/>
        </w:rPr>
      </w:pPr>
      <w:r>
        <w:rPr>
          <w:rFonts w:cs="Arial"/>
          <w:bCs/>
          <w:sz w:val="20"/>
          <w:szCs w:val="20"/>
        </w:rPr>
      </w:r>
    </w:p>
    <w:p>
      <w:pPr>
        <w:pStyle w:val="Normal"/>
        <w:ind w:left="5664" w:hanging="0"/>
        <w:rPr>
          <w:rFonts w:ascii="Times New Roman" w:hAnsi="Times New Roman"/>
          <w:sz w:val="16"/>
          <w:szCs w:val="16"/>
        </w:rPr>
      </w:pPr>
      <w:r>
        <w:rPr>
          <w:sz w:val="16"/>
          <w:szCs w:val="16"/>
        </w:rPr>
      </w:r>
    </w:p>
    <w:p>
      <w:pPr>
        <w:pStyle w:val="Normal"/>
        <w:spacing w:lineRule="auto" w:line="360"/>
        <w:jc w:val="both"/>
        <w:rPr>
          <w:sz w:val="16"/>
          <w:szCs w:val="16"/>
        </w:rPr>
      </w:pPr>
      <w:r>
        <w:rPr>
          <w:sz w:val="16"/>
          <w:szCs w:val="16"/>
        </w:rPr>
        <w:tab/>
        <w:tab/>
        <w:tab/>
        <w:tab/>
        <w:tab/>
        <w:tab/>
        <w:tab/>
        <w:tab/>
        <w:tab/>
        <w:tab/>
      </w:r>
      <w:r>
        <w:rPr>
          <w:sz w:val="16"/>
          <w:szCs w:val="16"/>
        </w:rPr>
        <w:t xml:space="preserve">BURMISTRZ </w:t>
      </w:r>
    </w:p>
    <w:p>
      <w:pPr>
        <w:pStyle w:val="Normal"/>
        <w:spacing w:lineRule="auto" w:line="360"/>
        <w:jc w:val="both"/>
        <w:rPr>
          <w:sz w:val="16"/>
          <w:szCs w:val="16"/>
        </w:rPr>
      </w:pPr>
      <w:r>
        <w:rPr>
          <w:sz w:val="16"/>
          <w:szCs w:val="16"/>
        </w:rPr>
        <w:tab/>
        <w:tab/>
        <w:tab/>
        <w:tab/>
        <w:tab/>
        <w:tab/>
        <w:tab/>
        <w:tab/>
        <w:t xml:space="preserve">        </w:t>
      </w:r>
      <w:r>
        <w:rPr>
          <w:sz w:val="16"/>
          <w:szCs w:val="16"/>
        </w:rPr>
        <w:t>GMINY I MIASTA JANIKOWO</w:t>
      </w:r>
    </w:p>
    <w:p>
      <w:pPr>
        <w:pStyle w:val="Normal"/>
        <w:spacing w:lineRule="auto" w:line="360"/>
        <w:jc w:val="both"/>
        <w:rPr>
          <w:sz w:val="16"/>
          <w:szCs w:val="16"/>
        </w:rPr>
      </w:pPr>
      <w:r>
        <w:rPr>
          <w:sz w:val="16"/>
          <w:szCs w:val="16"/>
        </w:rPr>
        <w:tab/>
        <w:tab/>
        <w:tab/>
        <w:tab/>
        <w:tab/>
        <w:tab/>
        <w:tab/>
        <w:tab/>
        <w:tab/>
        <w:t xml:space="preserve">       </w:t>
      </w:r>
      <w:r>
        <w:rPr>
          <w:sz w:val="16"/>
          <w:szCs w:val="16"/>
        </w:rPr>
        <w:t>Andrzej Brzeziński</w:t>
      </w:r>
    </w:p>
    <w:p>
      <w:pPr>
        <w:pStyle w:val="Normal"/>
        <w:rPr>
          <w:rFonts w:ascii="Arial" w:hAnsi="Arial"/>
          <w:sz w:val="16"/>
        </w:rPr>
      </w:pPr>
      <w:r>
        <w:rPr>
          <w:rFonts w:ascii="Arial" w:hAnsi="Arial"/>
          <w:sz w:val="16"/>
        </w:rPr>
      </w:r>
    </w:p>
    <w:p>
      <w:pPr>
        <w:pStyle w:val="Normal"/>
        <w:ind w:right="4536" w:hanging="0"/>
        <w:rPr>
          <w:rFonts w:ascii="Arial" w:hAnsi="Arial"/>
          <w:b/>
          <w:b/>
          <w:sz w:val="16"/>
          <w:u w:val="single"/>
        </w:rPr>
      </w:pPr>
      <w:r>
        <w:rPr>
          <w:b/>
          <w:sz w:val="14"/>
          <w:szCs w:val="14"/>
          <w:u w:val="single"/>
        </w:rPr>
        <w:t xml:space="preserve">Załącznik: </w:t>
      </w:r>
    </w:p>
    <w:p>
      <w:pPr>
        <w:pStyle w:val="Normal"/>
        <w:numPr>
          <w:ilvl w:val="0"/>
          <w:numId w:val="2"/>
        </w:numPr>
        <w:tabs>
          <w:tab w:val="left" w:pos="284" w:leader="none"/>
        </w:tabs>
        <w:ind w:left="720" w:right="4536" w:hanging="360"/>
        <w:rPr>
          <w:rFonts w:ascii="Arial" w:hAnsi="Arial"/>
          <w:sz w:val="16"/>
        </w:rPr>
      </w:pPr>
      <w:r>
        <w:rPr>
          <w:sz w:val="14"/>
          <w:szCs w:val="14"/>
        </w:rPr>
        <w:t>część graficzna – zał. nr 1-7,</w:t>
      </w:r>
    </w:p>
    <w:p>
      <w:pPr>
        <w:pStyle w:val="Normal"/>
        <w:tabs>
          <w:tab w:val="left" w:pos="284" w:leader="none"/>
        </w:tabs>
        <w:ind w:right="4536" w:hanging="0"/>
        <w:rPr>
          <w:rFonts w:ascii="Arial" w:hAnsi="Arial"/>
          <w:b/>
          <w:b/>
          <w:sz w:val="16"/>
          <w:u w:val="single"/>
        </w:rPr>
      </w:pPr>
      <w:r>
        <w:rPr>
          <w:b/>
          <w:sz w:val="14"/>
          <w:szCs w:val="14"/>
          <w:u w:val="single"/>
        </w:rPr>
        <w:t>Otrzymują:</w:t>
      </w:r>
    </w:p>
    <w:p>
      <w:pPr>
        <w:pStyle w:val="Normal"/>
        <w:numPr>
          <w:ilvl w:val="0"/>
          <w:numId w:val="4"/>
        </w:numPr>
        <w:tabs>
          <w:tab w:val="left" w:pos="284" w:leader="none"/>
        </w:tabs>
        <w:ind w:left="720" w:right="4536" w:hanging="360"/>
        <w:rPr>
          <w:rFonts w:ascii="Arial" w:hAnsi="Arial"/>
          <w:sz w:val="16"/>
        </w:rPr>
      </w:pPr>
      <w:r>
        <w:rPr>
          <w:sz w:val="14"/>
          <w:szCs w:val="14"/>
        </w:rPr>
        <w:t>wnioskodawca</w:t>
      </w:r>
    </w:p>
    <w:p>
      <w:pPr>
        <w:pStyle w:val="Normal"/>
        <w:numPr>
          <w:ilvl w:val="0"/>
          <w:numId w:val="4"/>
        </w:numPr>
        <w:tabs>
          <w:tab w:val="left" w:pos="284" w:leader="none"/>
        </w:tabs>
        <w:ind w:left="720" w:right="4536" w:hanging="360"/>
        <w:rPr>
          <w:rFonts w:ascii="Arial" w:hAnsi="Arial"/>
          <w:sz w:val="16"/>
        </w:rPr>
      </w:pPr>
      <w:r>
        <w:rPr>
          <w:sz w:val="14"/>
          <w:szCs w:val="14"/>
        </w:rPr>
        <w:t>inne strony postępowania</w:t>
      </w:r>
    </w:p>
    <w:p>
      <w:pPr>
        <w:pStyle w:val="Normal"/>
        <w:tabs>
          <w:tab w:val="left" w:pos="284" w:leader="none"/>
        </w:tabs>
        <w:ind w:left="720" w:right="4536" w:hanging="0"/>
        <w:rPr/>
      </w:pPr>
      <w:r>
        <w:rPr>
          <w:sz w:val="14"/>
          <w:szCs w:val="14"/>
        </w:rPr>
        <w:t>(zgodnie z rozdzielnikiem)</w:t>
      </w:r>
    </w:p>
    <w:sectPr>
      <w:footerReference w:type="default" r:id="rId2"/>
      <w:type w:val="nextPage"/>
      <w:pgSz w:w="11906" w:h="16838"/>
      <w:pgMar w:left="1303" w:right="1415" w:header="0" w:top="1007" w:footer="565" w:bottom="127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 w:name="Times">
    <w:altName w:val="Times New Roman"/>
    <w:charset w:val="ee"/>
    <w:family w:val="roman"/>
    <w:pitch w:val="variable"/>
  </w:font>
  <w:font w:name="Arial">
    <w:charset w:val="ee"/>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1" allowOverlap="1" relativeHeight="5">
              <wp:simplePos x="0" y="0"/>
              <wp:positionH relativeFrom="margin">
                <wp:align>right</wp:align>
              </wp:positionH>
              <wp:positionV relativeFrom="paragraph">
                <wp:posOffset>635</wp:posOffset>
              </wp:positionV>
              <wp:extent cx="79375" cy="174625"/>
              <wp:effectExtent l="0" t="0" r="0" b="0"/>
              <wp:wrapSquare wrapText="largest"/>
              <wp:docPr id="1" name="Ramka1"/>
              <a:graphic xmlns:a="http://schemas.openxmlformats.org/drawingml/2006/main">
                <a:graphicData uri="http://schemas.microsoft.com/office/word/2010/wordprocessingShape">
                  <wps:wsp>
                    <wps:cNvSpPr/>
                    <wps:spPr>
                      <a:xfrm>
                        <a:off x="0" y="0"/>
                        <a:ext cx="78840" cy="173880"/>
                      </a:xfrm>
                      <a:prstGeom prst="rect">
                        <a:avLst/>
                      </a:prstGeom>
                      <a:noFill/>
                      <a:ln>
                        <a:noFill/>
                      </a:ln>
                    </wps:spPr>
                    <wps:style>
                      <a:lnRef idx="0"/>
                      <a:fillRef idx="0"/>
                      <a:effectRef idx="0"/>
                      <a:fontRef idx="minor"/>
                    </wps:style>
                    <wps:txbx>
                      <w:txbxContent>
                        <w:p>
                          <w:pPr>
                            <w:pStyle w:val="Stopka"/>
                            <w:rPr>
                              <w:color w:val="000000"/>
                            </w:rPr>
                          </w:pPr>
                          <w:r>
                            <w:rPr>
                              <w:color w:val="000000"/>
                            </w:rPr>
                            <w:fldChar w:fldCharType="begin"/>
                          </w:r>
                          <w:r>
                            <w:instrText> PAGE </w:instrText>
                          </w:r>
                          <w:r>
                            <w:fldChar w:fldCharType="separate"/>
                          </w:r>
                          <w:r>
                            <w:t>4</w:t>
                          </w:r>
                          <w:r>
                            <w:fldChar w:fldCharType="end"/>
                          </w:r>
                        </w:p>
                      </w:txbxContent>
                    </wps:txbx>
                    <wps:bodyPr lIns="0" rIns="0" tIns="0" bIns="0">
                      <a:spAutoFit/>
                    </wps:bodyPr>
                  </wps:wsp>
                </a:graphicData>
              </a:graphic>
            </wp:anchor>
          </w:drawing>
        </mc:Choice>
        <mc:Fallback>
          <w:pict>
            <v:rect id="shape_0" ID="Ramka1" stroked="f" style="position:absolute;margin-left:453.15pt;margin-top:0.05pt;width:6.15pt;height:13.65pt;mso-position-horizontal:right;mso-position-horizontal-relative:margin">
              <w10:wrap type="square"/>
              <v:fill o:detectmouseclick="t" on="false"/>
              <v:stroke color="black" joinstyle="round" endcap="flat"/>
              <v:textbox>
                <w:txbxContent>
                  <w:p>
                    <w:pPr>
                      <w:pStyle w:val="Stopka"/>
                      <w:rPr>
                        <w:color w:val="000000"/>
                      </w:rPr>
                    </w:pPr>
                    <w:r>
                      <w:rPr>
                        <w:color w:val="000000"/>
                      </w:rPr>
                      <w:fldChar w:fldCharType="begin"/>
                    </w:r>
                    <w:r>
                      <w:instrText> PAGE </w:instrText>
                    </w:r>
                    <w:r>
                      <w:fldChar w:fldCharType="separate"/>
                    </w:r>
                    <w:r>
                      <w:t>4</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87"/>
      <w:numFmt w:val="bullet"/>
      <w:lvlText w:val="-"/>
      <w:lvlJc w:val="left"/>
      <w:pPr>
        <w:tabs>
          <w:tab w:val="num" w:pos="2340"/>
        </w:tabs>
        <w:ind w:left="2340" w:hanging="360"/>
      </w:pPr>
      <w:rPr>
        <w:rFonts w:ascii="Times New Roman" w:hAnsi="Times New Roman" w:cs="Times New Roman" w:hint="default"/>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decimal"/>
      <w:lvlText w:val="%2."/>
      <w:lvlJc w:val="righ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rPr>
        <w:sz w:val="20"/>
        <w:szCs w:val="20"/>
        <w:rFonts w:ascii="Times New Roman" w:hAnsi="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720"/>
        </w:tabs>
        <w:ind w:left="720" w:hanging="360"/>
      </w:pPr>
    </w:lvl>
    <w:lvl w:ilvl="1">
      <w:start w:val="1"/>
      <w:numFmt w:val="decimal"/>
      <w:lvlText w:val="%2."/>
      <w:lvlJc w:val="righ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rFonts w:cs="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080" w:hanging="360"/>
      </w:pPr>
    </w:lvl>
    <w:lvl w:ilvl="2">
      <w:start w:val="87"/>
      <w:numFmt w:val="bullet"/>
      <w:lvlText w:val="-"/>
      <w:lvlJc w:val="left"/>
      <w:pPr>
        <w:tabs>
          <w:tab w:val="num" w:pos="2340"/>
        </w:tabs>
        <w:ind w:left="1440" w:hanging="360"/>
      </w:pPr>
      <w:rPr>
        <w:rFonts w:ascii="Times New Roman" w:hAnsi="Times New Roman" w:cs="Times New Roman" w:hint="default"/>
        <w:rFonts w:cs="Times New Roman"/>
      </w:rPr>
    </w:lvl>
    <w:lvl w:ilvl="3">
      <w:start w:val="1"/>
      <w:numFmt w:val="decimal"/>
      <w:lvlText w:val="%4."/>
      <w:lvlJc w:val="left"/>
      <w:pPr>
        <w:tabs>
          <w:tab w:val="num" w:pos="2880"/>
        </w:tabs>
        <w:ind w:left="1800" w:hanging="360"/>
      </w:pPr>
    </w:lvl>
    <w:lvl w:ilvl="4">
      <w:start w:val="1"/>
      <w:numFmt w:val="lowerLetter"/>
      <w:lvlText w:val="%5."/>
      <w:lvlJc w:val="left"/>
      <w:pPr>
        <w:tabs>
          <w:tab w:val="num" w:pos="3600"/>
        </w:tabs>
        <w:ind w:left="2160" w:hanging="360"/>
      </w:pPr>
    </w:lvl>
    <w:lvl w:ilvl="5">
      <w:start w:val="1"/>
      <w:numFmt w:val="lowerRoman"/>
      <w:lvlText w:val="%6."/>
      <w:lvlJc w:val="right"/>
      <w:pPr>
        <w:tabs>
          <w:tab w:val="num" w:pos="4320"/>
        </w:tabs>
        <w:ind w:left="2520" w:hanging="360"/>
      </w:pPr>
    </w:lvl>
    <w:lvl w:ilvl="6">
      <w:start w:val="1"/>
      <w:numFmt w:val="decimal"/>
      <w:lvlText w:val="%7."/>
      <w:lvlJc w:val="left"/>
      <w:pPr>
        <w:tabs>
          <w:tab w:val="num" w:pos="5040"/>
        </w:tabs>
        <w:ind w:left="2880" w:hanging="360"/>
      </w:pPr>
    </w:lvl>
    <w:lvl w:ilvl="7">
      <w:start w:val="1"/>
      <w:numFmt w:val="lowerLetter"/>
      <w:lvlText w:val="%8."/>
      <w:lvlJc w:val="left"/>
      <w:pPr>
        <w:tabs>
          <w:tab w:val="num" w:pos="5760"/>
        </w:tabs>
        <w:ind w:left="3240" w:hanging="360"/>
      </w:pPr>
    </w:lvl>
    <w:lvl w:ilvl="8">
      <w:start w:val="1"/>
      <w:numFmt w:val="lowerRoman"/>
      <w:lvlText w:val="%9."/>
      <w:lvlJc w:val="right"/>
      <w:pPr>
        <w:tabs>
          <w:tab w:val="num" w:pos="6480"/>
        </w:tabs>
        <w:ind w:left="3600" w:hanging="360"/>
      </w:pPr>
    </w:lvl>
  </w:abstractNum>
  <w:abstractNum w:abstractNumId="8">
    <w:lvl w:ilvl="0">
      <w:start w:val="1"/>
      <w:numFmt w:val="decimal"/>
      <w:lvlText w:val="%1."/>
      <w:lvlJc w:val="left"/>
      <w:pPr>
        <w:tabs>
          <w:tab w:val="num" w:pos="2422"/>
        </w:tabs>
        <w:ind w:left="720" w:hanging="360"/>
      </w:pPr>
    </w:lvl>
    <w:lvl w:ilvl="1">
      <w:start w:val="1"/>
      <w:numFmt w:val="lowerLetter"/>
      <w:lvlText w:val="%2)"/>
      <w:lvlJc w:val="left"/>
      <w:pPr>
        <w:tabs>
          <w:tab w:val="num" w:pos="1440"/>
        </w:tabs>
        <w:ind w:left="1080" w:hanging="360"/>
      </w:pPr>
    </w:lvl>
    <w:lvl w:ilvl="2">
      <w:start w:val="87"/>
      <w:numFmt w:val="bullet"/>
      <w:lvlText w:val="-"/>
      <w:lvlJc w:val="left"/>
      <w:pPr>
        <w:tabs>
          <w:tab w:val="num" w:pos="2340"/>
        </w:tabs>
        <w:ind w:left="1440" w:hanging="360"/>
      </w:pPr>
      <w:rPr>
        <w:rFonts w:ascii="Times New Roman" w:hAnsi="Times New Roman" w:cs="Times New Roman" w:hint="default"/>
        <w:rFonts w:cs="Times New Roman"/>
      </w:rPr>
    </w:lvl>
    <w:lvl w:ilvl="3">
      <w:start w:val="1"/>
      <w:numFmt w:val="decimal"/>
      <w:lvlText w:val="%4."/>
      <w:lvlJc w:val="left"/>
      <w:pPr>
        <w:tabs>
          <w:tab w:val="num" w:pos="2880"/>
        </w:tabs>
        <w:ind w:left="1800" w:hanging="360"/>
      </w:pPr>
    </w:lvl>
    <w:lvl w:ilvl="4">
      <w:start w:val="1"/>
      <w:numFmt w:val="lowerLetter"/>
      <w:lvlText w:val="%5."/>
      <w:lvlJc w:val="left"/>
      <w:pPr>
        <w:tabs>
          <w:tab w:val="num" w:pos="3600"/>
        </w:tabs>
        <w:ind w:left="2160" w:hanging="360"/>
      </w:pPr>
    </w:lvl>
    <w:lvl w:ilvl="5">
      <w:start w:val="1"/>
      <w:numFmt w:val="lowerRoman"/>
      <w:lvlText w:val="%6."/>
      <w:lvlJc w:val="right"/>
      <w:pPr>
        <w:tabs>
          <w:tab w:val="num" w:pos="4320"/>
        </w:tabs>
        <w:ind w:left="2520" w:hanging="360"/>
      </w:pPr>
    </w:lvl>
    <w:lvl w:ilvl="6">
      <w:start w:val="1"/>
      <w:numFmt w:val="decimal"/>
      <w:lvlText w:val="%7."/>
      <w:lvlJc w:val="left"/>
      <w:pPr>
        <w:tabs>
          <w:tab w:val="num" w:pos="5040"/>
        </w:tabs>
        <w:ind w:left="2880" w:hanging="360"/>
      </w:pPr>
    </w:lvl>
    <w:lvl w:ilvl="7">
      <w:start w:val="1"/>
      <w:numFmt w:val="lowerLetter"/>
      <w:lvlText w:val="%8."/>
      <w:lvlJc w:val="left"/>
      <w:pPr>
        <w:tabs>
          <w:tab w:val="num" w:pos="5760"/>
        </w:tabs>
        <w:ind w:left="3240" w:hanging="360"/>
      </w:pPr>
    </w:lvl>
    <w:lvl w:ilvl="8">
      <w:start w:val="1"/>
      <w:numFmt w:val="lowerRoman"/>
      <w:lvlText w:val="%9."/>
      <w:lvlJc w:val="right"/>
      <w:pPr>
        <w:tabs>
          <w:tab w:val="num" w:pos="6480"/>
        </w:tabs>
        <w:ind w:left="3600" w:hanging="360"/>
      </w:pPr>
    </w:lvl>
  </w:abstractNum>
  <w:abstractNum w:abstractNumId="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52"/>
  <w:defaultTabStop w:val="709"/>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Cs w:val="24"/>
        <w:lang w:val="pl-PL" w:eastAsia="zh-CN" w:bidi="hi-IN"/>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Body Tex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05c4a"/>
    <w:pPr>
      <w:widowControl/>
      <w:kinsoku w:val="true"/>
      <w:overflowPunct w:val="true"/>
      <w:autoSpaceDE w:val="true"/>
      <w:bidi w:val="0"/>
      <w:spacing w:lineRule="auto" w:line="240" w:before="0" w:after="0"/>
      <w:jc w:val="left"/>
    </w:pPr>
    <w:rPr>
      <w:rFonts w:ascii="Times New Roman" w:hAnsi="Times New Roman" w:eastAsia="Times New Roman" w:cs="Times New Roman"/>
      <w:color w:val="00000A"/>
      <w:sz w:val="24"/>
      <w:szCs w:val="24"/>
      <w:lang w:val="pl-PL" w:eastAsia="pl-PL" w:bidi="ar-SA"/>
    </w:rPr>
  </w:style>
  <w:style w:type="paragraph" w:styleId="Nagwek1">
    <w:name w:val="Nagłówek 1"/>
    <w:basedOn w:val="Nagwek"/>
    <w:pPr/>
    <w:rPr/>
  </w:style>
  <w:style w:type="paragraph" w:styleId="Nagwek2">
    <w:name w:val="Nagłówek 2"/>
    <w:basedOn w:val="Normal"/>
    <w:link w:val="Nagwek2Znak"/>
    <w:qFormat/>
    <w:rsid w:val="00e05c4a"/>
    <w:pPr>
      <w:keepNext/>
      <w:jc w:val="center"/>
      <w:outlineLvl w:val="1"/>
    </w:pPr>
    <w:rPr>
      <w:rFonts w:ascii="Arial" w:hAnsi="Arial" w:cs="Arial"/>
      <w:b/>
      <w:sz w:val="32"/>
    </w:rPr>
  </w:style>
  <w:style w:type="paragraph" w:styleId="Nagwek3">
    <w:name w:val="Nagłówek 3"/>
    <w:basedOn w:val="Nagwek"/>
    <w:pPr/>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qFormat/>
    <w:rsid w:val="00e05c4a"/>
    <w:rPr>
      <w:rFonts w:ascii="Arial" w:hAnsi="Arial" w:eastAsia="Times New Roman" w:cs="Arial"/>
      <w:b/>
      <w:sz w:val="32"/>
      <w:szCs w:val="24"/>
      <w:lang w:eastAsia="pl-PL"/>
    </w:rPr>
  </w:style>
  <w:style w:type="character" w:styleId="Tekstpodstawowy3Znak" w:customStyle="1">
    <w:name w:val="Tekst podstawowy 3 Znak"/>
    <w:basedOn w:val="DefaultParagraphFont"/>
    <w:link w:val="Tekstpodstawowy3"/>
    <w:qFormat/>
    <w:rsid w:val="00e05c4a"/>
    <w:rPr>
      <w:rFonts w:ascii="Arial" w:hAnsi="Arial" w:eastAsia="Times New Roman" w:cs="Arial"/>
      <w:sz w:val="24"/>
      <w:szCs w:val="24"/>
      <w:lang w:eastAsia="pl-PL"/>
    </w:rPr>
  </w:style>
  <w:style w:type="character" w:styleId="StopkaZnak" w:customStyle="1">
    <w:name w:val="Stopka Znak"/>
    <w:basedOn w:val="DefaultParagraphFont"/>
    <w:link w:val="Stopka"/>
    <w:qFormat/>
    <w:rsid w:val="00e05c4a"/>
    <w:rPr>
      <w:rFonts w:ascii="Times New Roman" w:hAnsi="Times New Roman" w:eastAsia="Times New Roman" w:cs="Times New Roman"/>
      <w:sz w:val="24"/>
      <w:szCs w:val="24"/>
      <w:lang w:eastAsia="pl-PL"/>
    </w:rPr>
  </w:style>
  <w:style w:type="character" w:styleId="Pagenumber">
    <w:name w:val="page number"/>
    <w:basedOn w:val="DefaultParagraphFont"/>
    <w:qFormat/>
    <w:rsid w:val="00e05c4a"/>
    <w:rPr/>
  </w:style>
  <w:style w:type="character" w:styleId="TekstpodstawowywcityZnak" w:customStyle="1">
    <w:name w:val="Tekst podstawowy wcięty Znak"/>
    <w:basedOn w:val="DefaultParagraphFont"/>
    <w:link w:val="Tekstpodstawowywcity"/>
    <w:uiPriority w:val="99"/>
    <w:semiHidden/>
    <w:qFormat/>
    <w:rsid w:val="007a3cd5"/>
    <w:rPr>
      <w:rFonts w:ascii="Times New Roman" w:hAnsi="Times New Roman" w:eastAsia="Times New Roman" w:cs="Times New Roman"/>
      <w:sz w:val="24"/>
      <w:szCs w:val="24"/>
      <w:lang w:eastAsia="pl-PL"/>
    </w:rPr>
  </w:style>
  <w:style w:type="character" w:styleId="ListLabel1">
    <w:name w:val="ListLabel 1"/>
    <w:qFormat/>
    <w:rPr>
      <w:rFonts w:eastAsia="Times New Roman" w:cs="Times New Roman"/>
    </w:rPr>
  </w:style>
  <w:style w:type="character" w:styleId="ListLabel2">
    <w:name w:val="ListLabel 2"/>
    <w:qFormat/>
    <w:rPr>
      <w:rFonts w:cs="Arial"/>
    </w:rPr>
  </w:style>
  <w:style w:type="character" w:styleId="ListLabel3">
    <w:name w:val="ListLabel 3"/>
    <w:qFormat/>
    <w:rPr>
      <w:sz w:val="16"/>
      <w:szCs w:val="20"/>
    </w:rPr>
  </w:style>
  <w:style w:type="character" w:styleId="ListLabel4">
    <w:name w:val="ListLabel 4"/>
    <w:qFormat/>
    <w:rPr>
      <w:rFonts w:cs="Times New Roman"/>
    </w:rPr>
  </w:style>
  <w:style w:type="character" w:styleId="ListLabel5">
    <w:name w:val="ListLabel 5"/>
    <w:qFormat/>
    <w:rPr>
      <w:b/>
      <w:sz w:val="20"/>
      <w:szCs w:val="20"/>
    </w:rPr>
  </w:style>
  <w:style w:type="character" w:styleId="ListLabel6">
    <w:name w:val="ListLabel 6"/>
    <w:qFormat/>
    <w:rPr>
      <w:rFonts w:cs="Times New Roman"/>
    </w:rPr>
  </w:style>
  <w:style w:type="character" w:styleId="ListLabel7">
    <w:name w:val="ListLabel 7"/>
    <w:qFormat/>
    <w:rPr>
      <w:sz w:val="16"/>
      <w:szCs w:val="20"/>
    </w:rPr>
  </w:style>
  <w:style w:type="character" w:styleId="ListLabel8">
    <w:name w:val="ListLabel 8"/>
    <w:qFormat/>
    <w:rPr>
      <w:rFonts w:cs="Symbol"/>
    </w:rPr>
  </w:style>
  <w:style w:type="character" w:styleId="ListLabel9">
    <w:name w:val="ListLabel 9"/>
    <w:qFormat/>
    <w:rPr>
      <w:rFonts w:cs="Times New Roman"/>
    </w:rPr>
  </w:style>
  <w:style w:type="character" w:styleId="ListLabel10">
    <w:name w:val="ListLabel 10"/>
    <w:qFormat/>
    <w:rPr>
      <w:rFonts w:ascii="Times New Roman" w:hAnsi="Times New Roman"/>
      <w:sz w:val="20"/>
      <w:szCs w:val="20"/>
    </w:rPr>
  </w:style>
  <w:style w:type="character" w:styleId="ListLabel11">
    <w:name w:val="ListLabel 11"/>
    <w:qFormat/>
    <w:rPr>
      <w:rFonts w:cs="Symbol"/>
    </w:rPr>
  </w:style>
  <w:style w:type="character" w:styleId="ListLabel12">
    <w:name w:val="ListLabel 12"/>
    <w:qFormat/>
    <w:rPr>
      <w:rFonts w:cs="Times New Roman"/>
    </w:rPr>
  </w:style>
  <w:style w:type="character" w:styleId="ListLabel13">
    <w:name w:val="ListLabel 13"/>
    <w:qFormat/>
    <w:rPr>
      <w:rFonts w:ascii="Times New Roman" w:hAnsi="Times New Roman"/>
      <w:sz w:val="20"/>
      <w:szCs w:val="20"/>
    </w:rPr>
  </w:style>
  <w:style w:type="character" w:styleId="ListLabel14">
    <w:name w:val="ListLabel 14"/>
    <w:qFormat/>
    <w:rPr>
      <w:rFonts w:cs="Symbol"/>
    </w:rPr>
  </w:style>
  <w:style w:type="character" w:styleId="ListLabel15">
    <w:name w:val="ListLabel 15"/>
    <w:qFormat/>
    <w:rPr>
      <w:rFonts w:cs="Times New Roman"/>
    </w:rPr>
  </w:style>
  <w:style w:type="character" w:styleId="ListLabel16">
    <w:name w:val="ListLabel 16"/>
    <w:qFormat/>
    <w:rPr>
      <w:rFonts w:ascii="Times New Roman" w:hAnsi="Times New Roman"/>
      <w:sz w:val="20"/>
      <w:szCs w:val="20"/>
    </w:rPr>
  </w:style>
  <w:style w:type="character" w:styleId="ListLabel17">
    <w:name w:val="ListLabel 17"/>
    <w:qFormat/>
    <w:rPr>
      <w:rFonts w:cs="Symbol"/>
    </w:rPr>
  </w:style>
  <w:style w:type="character" w:styleId="Znakinumeracji">
    <w:name w:val="Znaki numeracji"/>
    <w:qFormat/>
    <w:rPr/>
  </w:style>
  <w:style w:type="paragraph" w:styleId="Nagwek">
    <w:name w:val="Nagłówek"/>
    <w:basedOn w:val="Normal"/>
    <w:next w:val="Tretekstu"/>
    <w:qFormat/>
    <w:pPr>
      <w:keepNext/>
      <w:spacing w:before="240" w:after="120"/>
    </w:pPr>
    <w:rPr>
      <w:rFonts w:ascii="Liberation Sans" w:hAnsi="Liberation Sans" w:eastAsia="Lucida Sans Unicode"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ekstpodstawowy21" w:customStyle="1">
    <w:name w:val="Tekst podstawowy 21"/>
    <w:basedOn w:val="Normal"/>
    <w:qFormat/>
    <w:rsid w:val="00e05c4a"/>
    <w:pPr>
      <w:tabs>
        <w:tab w:val="left" w:pos="426" w:leader="none"/>
      </w:tabs>
      <w:suppressAutoHyphens w:val="true"/>
      <w:jc w:val="both"/>
    </w:pPr>
    <w:rPr>
      <w:rFonts w:ascii="Arial" w:hAnsi="Arial"/>
      <w:sz w:val="20"/>
      <w:szCs w:val="20"/>
    </w:rPr>
  </w:style>
  <w:style w:type="paragraph" w:styleId="BodyText3">
    <w:name w:val="Body Text 3"/>
    <w:basedOn w:val="Normal"/>
    <w:link w:val="Tekstpodstawowy3Znak"/>
    <w:qFormat/>
    <w:rsid w:val="00e05c4a"/>
    <w:pPr>
      <w:spacing w:before="0" w:after="120"/>
      <w:jc w:val="both"/>
    </w:pPr>
    <w:rPr>
      <w:rFonts w:ascii="Arial" w:hAnsi="Arial" w:cs="Arial"/>
    </w:rPr>
  </w:style>
  <w:style w:type="paragraph" w:styleId="NormalIMP" w:customStyle="1">
    <w:name w:val="Normal_IMP"/>
    <w:basedOn w:val="Normal"/>
    <w:qFormat/>
    <w:rsid w:val="00e05c4a"/>
    <w:pPr>
      <w:suppressAutoHyphens w:val="true"/>
      <w:overflowPunct w:val="true"/>
      <w:spacing w:lineRule="auto" w:line="228"/>
      <w:textAlignment w:val="baseline"/>
    </w:pPr>
    <w:rPr>
      <w:rFonts w:ascii="Arial" w:hAnsi="Arial"/>
      <w:sz w:val="20"/>
      <w:szCs w:val="20"/>
    </w:rPr>
  </w:style>
  <w:style w:type="paragraph" w:styleId="WWTekstpodstawowy3" w:customStyle="1">
    <w:name w:val="WW-Tekst podstawowy 3"/>
    <w:basedOn w:val="Normal"/>
    <w:qFormat/>
    <w:rsid w:val="00e05c4a"/>
    <w:pPr>
      <w:spacing w:before="0" w:after="120"/>
      <w:jc w:val="both"/>
    </w:pPr>
    <w:rPr>
      <w:rFonts w:ascii="Arial" w:hAnsi="Arial" w:cs="Arial"/>
      <w:sz w:val="20"/>
    </w:rPr>
  </w:style>
  <w:style w:type="paragraph" w:styleId="Stopka">
    <w:name w:val="Stopka"/>
    <w:basedOn w:val="Normal"/>
    <w:link w:val="StopkaZnak"/>
    <w:rsid w:val="00e05c4a"/>
    <w:pPr>
      <w:tabs>
        <w:tab w:val="center" w:pos="4536" w:leader="none"/>
        <w:tab w:val="right" w:pos="9072" w:leader="none"/>
      </w:tabs>
    </w:pPr>
    <w:rPr/>
  </w:style>
  <w:style w:type="paragraph" w:styleId="ListParagraph">
    <w:name w:val="List Paragraph"/>
    <w:basedOn w:val="Normal"/>
    <w:uiPriority w:val="34"/>
    <w:qFormat/>
    <w:rsid w:val="00e05c4a"/>
    <w:pPr>
      <w:spacing w:before="0" w:after="0"/>
      <w:ind w:left="720" w:hanging="0"/>
      <w:contextualSpacing/>
    </w:pPr>
    <w:rPr/>
  </w:style>
  <w:style w:type="paragraph" w:styleId="Wcicietrecitekstu">
    <w:name w:val="Wcięcie treści tekstu"/>
    <w:basedOn w:val="Normal"/>
    <w:link w:val="TekstpodstawowywcityZnak"/>
    <w:uiPriority w:val="99"/>
    <w:semiHidden/>
    <w:unhideWhenUsed/>
    <w:rsid w:val="007a3cd5"/>
    <w:pPr>
      <w:spacing w:before="0" w:after="120"/>
      <w:ind w:left="283" w:hanging="0"/>
    </w:pPr>
    <w:rPr/>
  </w:style>
  <w:style w:type="paragraph" w:styleId="Tekstpodstawowy22" w:customStyle="1">
    <w:name w:val="Tekst podstawowy 22"/>
    <w:basedOn w:val="Normal"/>
    <w:qFormat/>
    <w:rsid w:val="007a3cd5"/>
    <w:pPr>
      <w:tabs>
        <w:tab w:val="left" w:pos="426" w:leader="none"/>
      </w:tabs>
      <w:suppressAutoHyphens w:val="true"/>
      <w:jc w:val="both"/>
    </w:pPr>
    <w:rPr>
      <w:rFonts w:ascii="Arial" w:hAnsi="Arial"/>
      <w:sz w:val="20"/>
      <w:szCs w:val="20"/>
      <w:lang w:eastAsia="ar-SA"/>
    </w:rPr>
  </w:style>
  <w:style w:type="paragraph" w:styleId="Default" w:customStyle="1">
    <w:name w:val="Default"/>
    <w:qFormat/>
    <w:rsid w:val="002e77fc"/>
    <w:pPr>
      <w:widowControl/>
      <w:kinsoku w:val="true"/>
      <w:overflowPunct w:val="true"/>
      <w:autoSpaceDE w:val="true"/>
      <w:bidi w:val="0"/>
      <w:spacing w:lineRule="auto" w:line="240" w:before="0" w:after="0"/>
      <w:jc w:val="left"/>
    </w:pPr>
    <w:rPr>
      <w:rFonts w:ascii="Times New Roman" w:hAnsi="Times New Roman" w:eastAsia="Calibri" w:cs="Times New Roman"/>
      <w:color w:val="000000"/>
      <w:sz w:val="24"/>
      <w:szCs w:val="24"/>
      <w:lang w:val="pl-PL" w:eastAsia="en-US" w:bidi="ar-SA"/>
    </w:rPr>
  </w:style>
  <w:style w:type="paragraph" w:styleId="ZLITPKT8211" w:customStyle="1">
    <w:name w:val="Z_LIT/PKT &amp;#8211"/>
    <w:basedOn w:val="Normal"/>
    <w:qFormat/>
    <w:rsid w:val="003d2ebe"/>
    <w:pPr>
      <w:spacing w:lineRule="auto" w:line="360"/>
      <w:ind w:left="1497" w:hanging="510"/>
      <w:jc w:val="both"/>
    </w:pPr>
    <w:rPr>
      <w:rFonts w:ascii="Times" w:hAnsi="Times" w:cs="Times"/>
    </w:rPr>
  </w:style>
  <w:style w:type="paragraph" w:styleId="Zawartoramki">
    <w:name w:val="Zawartość ramki"/>
    <w:basedOn w:val="Normal"/>
    <w:qFormat/>
    <w:pPr/>
    <w:rPr/>
  </w:style>
  <w:style w:type="paragraph" w:styleId="Cytaty">
    <w:name w:val="Cytaty"/>
    <w:basedOn w:val="Normal"/>
    <w:qFormat/>
    <w:pPr/>
    <w:rPr/>
  </w:style>
  <w:style w:type="paragraph" w:styleId="Tytu">
    <w:name w:val="Tytuł"/>
    <w:basedOn w:val="Nagwek"/>
    <w:pPr/>
    <w:rPr/>
  </w:style>
  <w:style w:type="paragraph" w:styleId="Podtytu">
    <w:name w:val="Podtytuł"/>
    <w:basedOn w:val="Nagwek"/>
    <w:pPr/>
    <w:rPr/>
  </w:style>
  <w:style w:type="paragraph" w:styleId="Zawartotabeli">
    <w:name w:val="Zawartość tabeli"/>
    <w:basedOn w:val="Normal"/>
    <w:qFormat/>
    <w:pPr/>
    <w:rPr/>
  </w:style>
  <w:style w:type="paragraph" w:styleId="Nagwektabeli">
    <w:name w:val="Nagłówek tabeli"/>
    <w:basedOn w:val="Zawartotabeli"/>
    <w:qFormat/>
    <w:pPr>
      <w:suppressLineNumbers/>
      <w:jc w:val="center"/>
    </w:pPr>
    <w:rPr>
      <w:b/>
      <w:bCs/>
    </w:rPr>
  </w:style>
  <w:style w:type="paragraph" w:styleId="Gwka">
    <w:name w:val="Główka"/>
    <w:basedOn w:val="Normal"/>
    <w:next w:val="Tretekstu"/>
    <w:pPr>
      <w:keepNext/>
      <w:spacing w:before="240" w:after="120"/>
    </w:pPr>
    <w:rPr>
      <w:rFonts w:ascii="Arial" w:hAnsi="Arial" w:eastAsia="Lucida Sans Unicode" w:cs="Tahoma"/>
      <w:sz w:val="28"/>
      <w:szCs w:val="28"/>
    </w:rPr>
  </w:style>
  <w:style w:type="numbering" w:styleId="NoList" w:default="1">
    <w:name w:val="No List"/>
    <w:uiPriority w:val="99"/>
    <w:semiHidden/>
    <w:unhideWhenUsed/>
  </w:style>
  <w:style w:type="numbering" w:styleId="WW8Num2">
    <w:name w:val="WW8Num2"/>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Application>LibreOffice/5.0.1.2$Windows_x86 LibreOffice_project/81898c9f5c0d43f3473ba111d7b351050be20261</Application>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2015-10-21T10:52:00Z</dcterms:created>
  <dc:creator>Agnieszka</dc:creator>
  <dc:language>pl-PL</dc:language>
  <cp:lastPrinted>2015-11-27T12:15:19Z</cp:lastPrinted>
  <dcterms:modified xsi:type="dcterms:W3CDTF">2015-11-30T13:19:15Z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