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44FFF" w14:textId="0360831C" w:rsidR="002B11A9" w:rsidRDefault="00CD7719">
      <w:r w:rsidRPr="00CD7719">
        <w:t>RK.6220.XII.</w:t>
      </w:r>
      <w:r>
        <w:t>9</w:t>
      </w:r>
      <w:r w:rsidRPr="00CD7719">
        <w:t>.2023.WM</w:t>
      </w:r>
      <w:r w:rsidR="00620340">
        <w:tab/>
      </w:r>
      <w:r w:rsidR="00620340">
        <w:tab/>
      </w:r>
      <w:r w:rsidR="00620340">
        <w:tab/>
      </w:r>
      <w:r w:rsidR="00620340">
        <w:tab/>
      </w:r>
      <w:r w:rsidR="00620340">
        <w:tab/>
      </w:r>
      <w:r w:rsidR="00620340">
        <w:tab/>
      </w:r>
      <w:r w:rsidR="00B71253">
        <w:t xml:space="preserve">      </w:t>
      </w:r>
      <w:r w:rsidR="005B4808">
        <w:t xml:space="preserve"> </w:t>
      </w:r>
      <w:r w:rsidR="00DA3E94">
        <w:t xml:space="preserve"> </w:t>
      </w:r>
      <w:r w:rsidR="00620340">
        <w:t>Złoczew, dni</w:t>
      </w:r>
      <w:r w:rsidR="005B4808">
        <w:t>a</w:t>
      </w:r>
      <w:r w:rsidR="00246AB9">
        <w:t xml:space="preserve"> </w:t>
      </w:r>
      <w:r>
        <w:t>1</w:t>
      </w:r>
      <w:r w:rsidR="00220891">
        <w:t>2</w:t>
      </w:r>
      <w:r>
        <w:t xml:space="preserve"> kwietnia 2024 r.</w:t>
      </w:r>
    </w:p>
    <w:p w14:paraId="0D7F6D8C" w14:textId="6C9A5053" w:rsidR="00620340" w:rsidRDefault="00620340"/>
    <w:p w14:paraId="77087064" w14:textId="19CCB06E" w:rsidR="00620340" w:rsidRDefault="00620340"/>
    <w:p w14:paraId="5C99286D" w14:textId="26513BA4" w:rsidR="00620340" w:rsidRPr="00294C4D" w:rsidRDefault="00620340" w:rsidP="00D05C12">
      <w:pPr>
        <w:jc w:val="center"/>
        <w:rPr>
          <w:b/>
          <w:bCs/>
          <w:sz w:val="28"/>
          <w:szCs w:val="28"/>
        </w:rPr>
      </w:pPr>
      <w:r w:rsidRPr="00294C4D">
        <w:rPr>
          <w:b/>
          <w:bCs/>
          <w:sz w:val="28"/>
          <w:szCs w:val="28"/>
        </w:rPr>
        <w:t xml:space="preserve">D E C Y Z J </w:t>
      </w:r>
      <w:r w:rsidR="00D05C12">
        <w:rPr>
          <w:b/>
          <w:bCs/>
          <w:sz w:val="28"/>
          <w:szCs w:val="28"/>
        </w:rPr>
        <w:t>A</w:t>
      </w:r>
    </w:p>
    <w:p w14:paraId="0E127440" w14:textId="43BC0034" w:rsidR="00620340" w:rsidRDefault="00620340" w:rsidP="00620340">
      <w:pPr>
        <w:jc w:val="center"/>
        <w:rPr>
          <w:b/>
          <w:bCs/>
          <w:sz w:val="28"/>
          <w:szCs w:val="28"/>
        </w:rPr>
      </w:pPr>
      <w:r w:rsidRPr="00294C4D">
        <w:rPr>
          <w:b/>
          <w:bCs/>
          <w:sz w:val="28"/>
          <w:szCs w:val="28"/>
        </w:rPr>
        <w:t xml:space="preserve">o środowiskowych uwarunkowaniach </w:t>
      </w:r>
    </w:p>
    <w:p w14:paraId="1E60B2AB" w14:textId="77777777" w:rsidR="000C7181" w:rsidRPr="00294C4D" w:rsidRDefault="000C7181" w:rsidP="00620340">
      <w:pPr>
        <w:jc w:val="center"/>
        <w:rPr>
          <w:b/>
          <w:bCs/>
          <w:sz w:val="28"/>
          <w:szCs w:val="28"/>
        </w:rPr>
      </w:pPr>
    </w:p>
    <w:p w14:paraId="0B1FE989" w14:textId="5925421C" w:rsidR="00461811" w:rsidRDefault="00620340" w:rsidP="00246AB9">
      <w:pPr>
        <w:ind w:firstLine="708"/>
        <w:jc w:val="both"/>
        <w:rPr>
          <w:b/>
          <w:bCs/>
          <w:i/>
          <w:iCs/>
        </w:rPr>
      </w:pPr>
      <w:r>
        <w:t>Na podstawie art. 104 ustawy z dnia 14 czerwca 1960 r. Kodeksu postępowania administracyjnego (</w:t>
      </w:r>
      <w:r w:rsidR="00CD7719" w:rsidRPr="00CD7719">
        <w:t>Dz. U. z 2023 r. poz. 775</w:t>
      </w:r>
      <w:r w:rsidR="00CD7719">
        <w:t xml:space="preserve"> ze zm.</w:t>
      </w:r>
      <w:r w:rsidR="00D0088F">
        <w:t xml:space="preserve"> </w:t>
      </w:r>
      <w:r>
        <w:t xml:space="preserve">) w związku z art. 71 ust. 1 i 2 pkt 2 art. 75 ust. 1 pkt 4, art. 84 oraz 85 ust. 1 i ust. 2 ustawy z dnia 3 października 2008 r. o udostępnieniu informacji </w:t>
      </w:r>
      <w:r w:rsidR="00F90D23">
        <w:br/>
      </w:r>
      <w:r>
        <w:t>o środowisku i jego ochronie, udziale społeczeństwa w ochronie środowiska oraz o ocenach oddziaływania na środowisko (</w:t>
      </w:r>
      <w:r w:rsidR="00CD7719">
        <w:t xml:space="preserve"> </w:t>
      </w:r>
      <w:r w:rsidR="00CD7719" w:rsidRPr="00CD7719">
        <w:t>Dz. U. z 2023 r. poz. 1094</w:t>
      </w:r>
      <w:r w:rsidR="00CD7719">
        <w:t xml:space="preserve"> ze zm.</w:t>
      </w:r>
      <w:r w:rsidR="00CA5312">
        <w:t xml:space="preserve"> </w:t>
      </w:r>
      <w:r>
        <w:t xml:space="preserve">), zwanej w skrócie </w:t>
      </w:r>
      <w:proofErr w:type="spellStart"/>
      <w:r>
        <w:t>ooś</w:t>
      </w:r>
      <w:proofErr w:type="spellEnd"/>
      <w:r>
        <w:t xml:space="preserve">, a także § 3 ust. 1 pkt </w:t>
      </w:r>
      <w:r w:rsidR="008579C6">
        <w:t>55</w:t>
      </w:r>
      <w:r>
        <w:t xml:space="preserve"> Rozporządzenia Rady Ministrów z dnia 10 września 2019 r. w sprawie przedsięwzięć mogących znacząco oddziaływać na środowisko (Dz. U. z 2019 r., 1839), </w:t>
      </w:r>
      <w:bookmarkStart w:id="0" w:name="_Hlk93473197"/>
      <w:r>
        <w:t>po rozpatrzeniu wniosku</w:t>
      </w:r>
      <w:r w:rsidR="00743720">
        <w:t xml:space="preserve"> Inwestora tj. </w:t>
      </w:r>
      <w:r w:rsidR="008579C6">
        <w:rPr>
          <w:b/>
          <w:bCs/>
        </w:rPr>
        <w:t xml:space="preserve">Krystyny i Wojciecha Jędras </w:t>
      </w:r>
      <w:r>
        <w:t xml:space="preserve">z dnia </w:t>
      </w:r>
      <w:r w:rsidR="008579C6">
        <w:t xml:space="preserve">11 grudnia </w:t>
      </w:r>
      <w:r>
        <w:t>202</w:t>
      </w:r>
      <w:r w:rsidR="008579C6">
        <w:t>3</w:t>
      </w:r>
      <w:r>
        <w:t xml:space="preserve"> r. (wpływ </w:t>
      </w:r>
      <w:r w:rsidR="008579C6">
        <w:t>13</w:t>
      </w:r>
      <w:r w:rsidR="00D0088F">
        <w:t>.1</w:t>
      </w:r>
      <w:r w:rsidR="008579C6">
        <w:t>2</w:t>
      </w:r>
      <w:r>
        <w:t>.202</w:t>
      </w:r>
      <w:r w:rsidR="008579C6">
        <w:t>3</w:t>
      </w:r>
      <w:r w:rsidR="002309C5">
        <w:t xml:space="preserve"> </w:t>
      </w:r>
      <w:r>
        <w:t xml:space="preserve">r.) </w:t>
      </w:r>
      <w:r w:rsidR="008A7DF5">
        <w:br/>
      </w:r>
      <w:r>
        <w:t xml:space="preserve">w sprawie </w:t>
      </w:r>
      <w:r w:rsidR="008A7DF5">
        <w:t>wydania</w:t>
      </w:r>
      <w:r w:rsidR="00120B86">
        <w:t xml:space="preserve"> </w:t>
      </w:r>
      <w:r>
        <w:t xml:space="preserve">decyzji o środowiskowych uwarunkowaniach </w:t>
      </w:r>
      <w:r w:rsidR="00461811">
        <w:t>dla przedsięwzięcia polegającego</w:t>
      </w:r>
      <w:r w:rsidR="00743720">
        <w:t xml:space="preserve"> na </w:t>
      </w:r>
      <w:bookmarkEnd w:id="0"/>
      <w:r w:rsidR="00BA56C4" w:rsidRPr="00F37FC6">
        <w:rPr>
          <w:b/>
          <w:bCs/>
          <w:i/>
          <w:iCs/>
        </w:rPr>
        <w:t>„</w:t>
      </w:r>
      <w:bookmarkStart w:id="1" w:name="_Hlk163634437"/>
      <w:r w:rsidR="00BA56C4" w:rsidRPr="00F37FC6">
        <w:rPr>
          <w:b/>
          <w:bCs/>
          <w:i/>
          <w:iCs/>
        </w:rPr>
        <w:t>Budowie</w:t>
      </w:r>
      <w:r w:rsidR="008579C6">
        <w:rPr>
          <w:b/>
          <w:bCs/>
          <w:i/>
          <w:iCs/>
        </w:rPr>
        <w:t xml:space="preserve"> zespołu budynków mieszkalnych jednorodzinnych w zabudowie bliźniaczej wraz z drogą wewnętrzną dojazdową na działce o nr ewid. 217/2 obręb geod. Złoczew 0011</w:t>
      </w:r>
      <w:bookmarkEnd w:id="1"/>
      <w:r w:rsidR="00BA56C4" w:rsidRPr="00F37FC6">
        <w:rPr>
          <w:b/>
          <w:bCs/>
          <w:i/>
          <w:iCs/>
        </w:rPr>
        <w:t>”,</w:t>
      </w:r>
    </w:p>
    <w:p w14:paraId="054CBE5E" w14:textId="77777777" w:rsidR="000159F3" w:rsidRDefault="000159F3" w:rsidP="00246AB9">
      <w:pPr>
        <w:ind w:firstLine="708"/>
        <w:jc w:val="both"/>
      </w:pPr>
    </w:p>
    <w:p w14:paraId="660BDF89" w14:textId="1A6C7178" w:rsidR="00461811" w:rsidRDefault="00461811" w:rsidP="00461811">
      <w:pPr>
        <w:jc w:val="both"/>
        <w:rPr>
          <w:b/>
          <w:bCs/>
        </w:rPr>
      </w:pPr>
      <w:r>
        <w:rPr>
          <w:b/>
          <w:bCs/>
        </w:rPr>
        <w:t>s</w:t>
      </w:r>
      <w:r w:rsidRPr="00461811">
        <w:rPr>
          <w:b/>
          <w:bCs/>
        </w:rPr>
        <w:t>twierdzono, że:</w:t>
      </w:r>
    </w:p>
    <w:p w14:paraId="1CB22E42" w14:textId="77777777" w:rsidR="000159F3" w:rsidRDefault="000159F3" w:rsidP="00461811">
      <w:pPr>
        <w:jc w:val="both"/>
        <w:rPr>
          <w:b/>
          <w:bCs/>
        </w:rPr>
      </w:pPr>
    </w:p>
    <w:p w14:paraId="4D49D70B" w14:textId="35EECB4B" w:rsidR="00461811" w:rsidRDefault="001E42E4" w:rsidP="004C4030">
      <w:pPr>
        <w:pStyle w:val="Akapitzlist"/>
        <w:numPr>
          <w:ilvl w:val="0"/>
          <w:numId w:val="2"/>
        </w:numPr>
        <w:jc w:val="both"/>
        <w:rPr>
          <w:b/>
          <w:bCs/>
        </w:rPr>
      </w:pPr>
      <w:r>
        <w:rPr>
          <w:b/>
          <w:bCs/>
        </w:rPr>
        <w:t>D</w:t>
      </w:r>
      <w:r w:rsidR="00461811">
        <w:rPr>
          <w:b/>
          <w:bCs/>
        </w:rPr>
        <w:t>la przedsięwzięcia pod nazwą</w:t>
      </w:r>
      <w:r w:rsidR="00BA56C4">
        <w:rPr>
          <w:b/>
          <w:bCs/>
          <w:i/>
          <w:iCs/>
        </w:rPr>
        <w:t xml:space="preserve"> „</w:t>
      </w:r>
      <w:r w:rsidR="008579C6" w:rsidRPr="008579C6">
        <w:rPr>
          <w:b/>
          <w:bCs/>
          <w:i/>
          <w:iCs/>
        </w:rPr>
        <w:t>Budow</w:t>
      </w:r>
      <w:r w:rsidR="008579C6">
        <w:rPr>
          <w:b/>
          <w:bCs/>
          <w:i/>
          <w:iCs/>
        </w:rPr>
        <w:t>a</w:t>
      </w:r>
      <w:r w:rsidR="008579C6" w:rsidRPr="008579C6">
        <w:rPr>
          <w:b/>
          <w:bCs/>
          <w:i/>
          <w:iCs/>
        </w:rPr>
        <w:t xml:space="preserve"> zespołu budynków mieszkalnych jednorodzinnych w zabudowie bliźniaczej wraz z drogą wewnętrzną dojazdową na działce o nr ewid. 217/2 obręb geod. Złoczew 0011</w:t>
      </w:r>
      <w:r w:rsidR="00D0088F" w:rsidRPr="00D0088F">
        <w:rPr>
          <w:b/>
          <w:bCs/>
          <w:i/>
          <w:iCs/>
        </w:rPr>
        <w:t>”</w:t>
      </w:r>
      <w:r w:rsidR="00461811" w:rsidRPr="004C4030">
        <w:rPr>
          <w:b/>
          <w:bCs/>
        </w:rPr>
        <w:t>, nie istnieje potrzeba przeprowadzenia oceny oddziaływania na środowisko.</w:t>
      </w:r>
    </w:p>
    <w:p w14:paraId="52581A65" w14:textId="77777777" w:rsidR="000159F3" w:rsidRPr="004C4030" w:rsidRDefault="000159F3" w:rsidP="000159F3">
      <w:pPr>
        <w:pStyle w:val="Akapitzlist"/>
        <w:jc w:val="both"/>
        <w:rPr>
          <w:b/>
          <w:bCs/>
        </w:rPr>
      </w:pPr>
    </w:p>
    <w:p w14:paraId="26E67E22" w14:textId="135A089D" w:rsidR="009A31CF" w:rsidRDefault="00461811" w:rsidP="005F2E3D">
      <w:pPr>
        <w:pStyle w:val="Akapitzlist"/>
        <w:numPr>
          <w:ilvl w:val="0"/>
          <w:numId w:val="2"/>
        </w:numPr>
        <w:jc w:val="both"/>
        <w:rPr>
          <w:b/>
          <w:bCs/>
        </w:rPr>
      </w:pPr>
      <w:r>
        <w:rPr>
          <w:b/>
          <w:bCs/>
        </w:rPr>
        <w:t>Wskazuje</w:t>
      </w:r>
      <w:r w:rsidR="00D611D1">
        <w:rPr>
          <w:b/>
          <w:bCs/>
        </w:rPr>
        <w:t xml:space="preserve"> się</w:t>
      </w:r>
      <w:r>
        <w:rPr>
          <w:b/>
          <w:bCs/>
        </w:rPr>
        <w:t xml:space="preserve"> na konieczność określenia w decyzji środowiskowych uwarunkowaniach następujących warunków i wymagań</w:t>
      </w:r>
      <w:r w:rsidR="008579C6">
        <w:rPr>
          <w:b/>
          <w:bCs/>
        </w:rPr>
        <w:t>:</w:t>
      </w:r>
    </w:p>
    <w:p w14:paraId="18972F6F" w14:textId="77777777" w:rsidR="000159F3" w:rsidRPr="000159F3" w:rsidRDefault="000159F3" w:rsidP="000159F3">
      <w:pPr>
        <w:jc w:val="both"/>
        <w:rPr>
          <w:b/>
          <w:bCs/>
        </w:rPr>
      </w:pPr>
    </w:p>
    <w:p w14:paraId="786CB98B" w14:textId="79169221" w:rsidR="008579C6" w:rsidRPr="004E34BE" w:rsidRDefault="008579C6" w:rsidP="008579C6">
      <w:pPr>
        <w:pStyle w:val="Akapitzlist"/>
        <w:numPr>
          <w:ilvl w:val="0"/>
          <w:numId w:val="26"/>
        </w:numPr>
        <w:jc w:val="both"/>
        <w:rPr>
          <w:b/>
          <w:bCs/>
        </w:rPr>
      </w:pPr>
      <w:r>
        <w:t>Prace budowlane uciążliwe akustycznie prowadzić wyłącznie w porze dnia, tj. w godzinach 6</w:t>
      </w:r>
      <w:r>
        <w:rPr>
          <w:vertAlign w:val="superscript"/>
        </w:rPr>
        <w:t xml:space="preserve">00 </w:t>
      </w:r>
      <w:r w:rsidR="00116111">
        <w:t>– 22</w:t>
      </w:r>
      <w:r w:rsidR="00116111">
        <w:rPr>
          <w:vertAlign w:val="superscript"/>
        </w:rPr>
        <w:t>00</w:t>
      </w:r>
      <w:r w:rsidR="00116111">
        <w:t>.</w:t>
      </w:r>
    </w:p>
    <w:p w14:paraId="0AE964AA" w14:textId="601CB374" w:rsidR="004E34BE" w:rsidRPr="00F85B57" w:rsidRDefault="004E34BE" w:rsidP="008579C6">
      <w:pPr>
        <w:pStyle w:val="Akapitzlist"/>
        <w:numPr>
          <w:ilvl w:val="0"/>
          <w:numId w:val="26"/>
        </w:numPr>
        <w:jc w:val="both"/>
        <w:rPr>
          <w:b/>
          <w:bCs/>
        </w:rPr>
      </w:pPr>
      <w:r>
        <w:t>Rozpoczęcie prac ziemnych (zdejmowanie humusu, wykopy) należy przeprowadzić poza okresem od 1 marca do 15 pa</w:t>
      </w:r>
      <w:r w:rsidR="00F85B57">
        <w:t xml:space="preserve">ździernika włącznie, tj. poza sezonem lęgowym większości ptaków oraz okresem rozrodu i migracji płazów. Dopuszcza się wykonanie wskazanych prac w ww. okresie po przeprowadzeniu kontroli przez nadzór przyrodniczy pod kątem zasiedlenia terenu przez gatunki chronione (1-3 dni przed rozpoczęciem prac). </w:t>
      </w:r>
      <w:r w:rsidR="00F85B57">
        <w:br/>
        <w:t xml:space="preserve">W przypadku ryzyka zniszczenia gatunków chronionych i ich siedlisk lub płoszenia, niepokojenia zwierząt gatunków chronionych na skutek prac ziemnych w sezonie lęgowym oraz w przypadku zasiedlenia terenu przez gatunki chronione, prace należy wstrzymać </w:t>
      </w:r>
      <w:r w:rsidR="00F85B57">
        <w:br/>
        <w:t>i postępować zgodnie ze wskazaniami nadzoru przyrodniczego.</w:t>
      </w:r>
    </w:p>
    <w:p w14:paraId="52E96D8E" w14:textId="467C2FAA" w:rsidR="00F85B57" w:rsidRDefault="00F85B57" w:rsidP="008579C6">
      <w:pPr>
        <w:pStyle w:val="Akapitzlist"/>
        <w:numPr>
          <w:ilvl w:val="0"/>
          <w:numId w:val="26"/>
        </w:numPr>
        <w:jc w:val="both"/>
      </w:pPr>
      <w:r w:rsidRPr="00F85B57">
        <w:lastRenderedPageBreak/>
        <w:t xml:space="preserve">Przed </w:t>
      </w:r>
      <w:r>
        <w:t>przystąpieniem do prac związanych z rozbiórką istniejącej zabudowy zagrodowej należy przeprowadzić kontrolę budynków przez nadzór przyrodniczy pod kątem zasiedlenia przez ptaki i nietoperze. W przypadku ich stwierdzenia należy wstrzymać prace i postępować zgodnie ze wskazaniami nadzoru przyrodniczego.</w:t>
      </w:r>
    </w:p>
    <w:p w14:paraId="3F6D8F11" w14:textId="641BC987" w:rsidR="00F85B57" w:rsidRDefault="00F85B57" w:rsidP="008579C6">
      <w:pPr>
        <w:pStyle w:val="Akapitzlist"/>
        <w:numPr>
          <w:ilvl w:val="0"/>
          <w:numId w:val="26"/>
        </w:numPr>
        <w:jc w:val="both"/>
      </w:pPr>
      <w:r>
        <w:t>Dopuszcza się wycinkę maksymalnie 10 drzew oraz ok. 10 m</w:t>
      </w:r>
      <w:r>
        <w:rPr>
          <w:vertAlign w:val="superscript"/>
        </w:rPr>
        <w:t>2</w:t>
      </w:r>
      <w:r>
        <w:t xml:space="preserve"> krzewów.</w:t>
      </w:r>
    </w:p>
    <w:p w14:paraId="760CE5FE" w14:textId="21B8BEB6" w:rsidR="00F85B57" w:rsidRDefault="00F85B57" w:rsidP="008579C6">
      <w:pPr>
        <w:pStyle w:val="Akapitzlist"/>
        <w:numPr>
          <w:ilvl w:val="0"/>
          <w:numId w:val="26"/>
        </w:numPr>
        <w:jc w:val="both"/>
      </w:pPr>
      <w:r>
        <w:t>Wycinkę drzew i krzewów należy wykonać poza sezonem lęgowym większości ptaków mogących gniazdować na analizowanym terenie, tj. poza okresem od 1 marca do 15 października włącznie. W uzasadnionych przypadkach dopuszcza się przeprowadzenie wycinki we wskazanym powyżej terminie, jednak należy ją wtedy poprzed</w:t>
      </w:r>
      <w:r w:rsidR="00744F3C">
        <w:t xml:space="preserve">zić bezpośrednio (maksymalnie 1-3 dni przed rozpoczęciem prac) ekspertyzą ornitologiczną stwierdzającą brak zasiedlenia </w:t>
      </w:r>
      <w:proofErr w:type="spellStart"/>
      <w:r w:rsidR="00744F3C">
        <w:t>zadrzewień</w:t>
      </w:r>
      <w:proofErr w:type="spellEnd"/>
      <w:r w:rsidR="00744F3C">
        <w:t xml:space="preserve"> przez ptaki. W przypadku stwierdzenia lęgów ptaków, należy wstrzymać prace i postępować zgodnie z wytycznymi ornitologa.</w:t>
      </w:r>
    </w:p>
    <w:p w14:paraId="60623E36" w14:textId="6B12CD23" w:rsidR="00F26280" w:rsidRDefault="00744F3C" w:rsidP="00F26280">
      <w:pPr>
        <w:pStyle w:val="Akapitzlist"/>
        <w:numPr>
          <w:ilvl w:val="0"/>
          <w:numId w:val="26"/>
        </w:numPr>
        <w:jc w:val="both"/>
      </w:pPr>
      <w:r>
        <w:t xml:space="preserve">Należy przewidzieć wykonanie </w:t>
      </w:r>
      <w:proofErr w:type="spellStart"/>
      <w:r>
        <w:t>nasadzeń</w:t>
      </w:r>
      <w:proofErr w:type="spellEnd"/>
      <w:r>
        <w:t xml:space="preserve"> zastępczych drzew i krzewów na terenie przedsięwzięcia. Do wyliczenia </w:t>
      </w:r>
      <w:proofErr w:type="spellStart"/>
      <w:r>
        <w:t>nasadzeń</w:t>
      </w:r>
      <w:proofErr w:type="spellEnd"/>
      <w:r>
        <w:t xml:space="preserve"> zastępczych należy przyjąć poniższy sposób- drzewa: za każde rozpoczęte 50 cm obwodu pierśnicy- 1 drzewo (do 50 cm-1 drzewo od 51 cm do 100 cm- 2 drzewa, od 101 cm do 150 cm- 3 drzewa itd.) przy czym w przypadku wielopniowych każdy pień traktować jako odrębne drzewo; dotyczy to także drzew owocowych; krzewy i odrosty: 1 m</w:t>
      </w:r>
      <w:r>
        <w:rPr>
          <w:vertAlign w:val="superscript"/>
        </w:rPr>
        <w:t>2</w:t>
      </w:r>
      <w:r>
        <w:t xml:space="preserve"> usuwanych odrostów i krzewów- 1 m</w:t>
      </w:r>
      <w:r>
        <w:rPr>
          <w:vertAlign w:val="superscript"/>
        </w:rPr>
        <w:t>2</w:t>
      </w:r>
      <w:r>
        <w:t xml:space="preserve"> nowych krzewów albo za każde 5 m</w:t>
      </w:r>
      <w:r>
        <w:rPr>
          <w:vertAlign w:val="superscript"/>
        </w:rPr>
        <w:t>2</w:t>
      </w:r>
      <w:r>
        <w:t xml:space="preserve"> usuwanych odrostów i krzewów- 1 pnącze (winobluszcz lub bluszcz) albo za każde 5 m</w:t>
      </w:r>
      <w:r>
        <w:rPr>
          <w:vertAlign w:val="superscript"/>
        </w:rPr>
        <w:t>2</w:t>
      </w:r>
      <w:r>
        <w:t xml:space="preserve"> </w:t>
      </w:r>
      <w:r w:rsidR="00F26280">
        <w:t>usuwanych odrostów i krzewów- 1 drzewo. Należy nasadzić nie mniej niż 27 drzew i 10 m</w:t>
      </w:r>
      <w:r w:rsidR="00F26280">
        <w:rPr>
          <w:vertAlign w:val="superscript"/>
        </w:rPr>
        <w:t>2</w:t>
      </w:r>
      <w:r w:rsidR="00F26280">
        <w:t xml:space="preserve"> krzewów. Do </w:t>
      </w:r>
      <w:proofErr w:type="spellStart"/>
      <w:r w:rsidR="00F26280">
        <w:t>nasadzeń</w:t>
      </w:r>
      <w:proofErr w:type="spellEnd"/>
      <w:r w:rsidR="00F26280">
        <w:t xml:space="preserve"> należy wykorzystać w pierwszej kolejności gatunki rodzime, miododajne, właściwe siedliskowe dla danego terenu. Zabrania się </w:t>
      </w:r>
      <w:proofErr w:type="spellStart"/>
      <w:r w:rsidR="00F26280">
        <w:t>nasadzeń</w:t>
      </w:r>
      <w:proofErr w:type="spellEnd"/>
      <w:r w:rsidR="00F26280">
        <w:t xml:space="preserve"> inwazyjnych gatunków roślin.</w:t>
      </w:r>
    </w:p>
    <w:p w14:paraId="09F89CF4" w14:textId="19920A0C" w:rsidR="00F26280" w:rsidRDefault="002B702D" w:rsidP="00F26280">
      <w:pPr>
        <w:pStyle w:val="Akapitzlist"/>
        <w:numPr>
          <w:ilvl w:val="0"/>
          <w:numId w:val="26"/>
        </w:numPr>
        <w:jc w:val="both"/>
      </w:pPr>
      <w:r>
        <w:t>Drzewa pozostające w zasięgu prac i narażone na uszkodzenia (w szczególności zadrzewienia znajdujące się wzdłuż cieku Dopływ ze Złoczewa), należy zabezpieczyć zgodnie ze sztuką ogrodniczą. Zabezpieczenie powinno dotyczyć wszystkich części drzewa tj. części nadziemnej- pnia i korony oraz części podziemnej- korzeni. Grupy drzew bezpośrednio sąsiadujące z zapleczem budowy, placem budowy, drogami przejazdu sprzętu budowlanego itp. Należy ogrodzić ochronnym ogrodzeniem wys. 1,5-2,0 m w odległości co najmniej 1,0 m od brzegu pni- po obu stronach rzędów drzew lub wokół grup drzew. Jeżeli rozwiązanie z wygrodzeniem grup drzew jest niemożliwe, należy na cały okres budowy zastosować zabezpieczenia indywidulane drzew poprzez oszalowanie pni drzew deskami zamocowanymi za pomocą drutu, z zastosowaniem materiału amortyzującego (mata słomiana, juta itp.). Należy minimalizować ruch pojazdów i maszyn budowlanych wokół drzew w obrębie strefy wyznaczonej przez obrys jego korony. Prace w obrębie strefy korzeniowej należy w miarę możliwości wykorzystać ręcznie, ograniczając wykorzystanie sprzętu mechanicznego. W obrębie systemu korzeniowego drzew nie należy składować materiałów chemicznie i fizycznie szkodliwych dla korzeni i gleby, jak np. cement, wapno, oleje, środki impregnujące, paliwa ciekłe itp.</w:t>
      </w:r>
    </w:p>
    <w:p w14:paraId="72D24F57" w14:textId="709545FF" w:rsidR="002B702D" w:rsidRDefault="002B702D" w:rsidP="00F26280">
      <w:pPr>
        <w:pStyle w:val="Akapitzlist"/>
        <w:numPr>
          <w:ilvl w:val="0"/>
          <w:numId w:val="26"/>
        </w:numPr>
        <w:jc w:val="both"/>
      </w:pPr>
      <w:r>
        <w:t xml:space="preserve">Zaplecze techniczne, miejsca magazynowania materiałów budowlanych i odpadów oraz miejsca postoju maszyn budowlanych i sprzętu transportowego zorganizować na terenie utwardzonym, w sposób zabezpieczający przed przedostawaniem się </w:t>
      </w:r>
      <w:r w:rsidR="008E0C69">
        <w:t>zanieczyszczeń do gruntu.</w:t>
      </w:r>
    </w:p>
    <w:p w14:paraId="58A2E29D" w14:textId="322C4CC0" w:rsidR="008E0C69" w:rsidRDefault="008E0C69" w:rsidP="00F26280">
      <w:pPr>
        <w:pStyle w:val="Akapitzlist"/>
        <w:numPr>
          <w:ilvl w:val="0"/>
          <w:numId w:val="26"/>
        </w:numPr>
        <w:jc w:val="both"/>
      </w:pPr>
      <w:r>
        <w:t>W czasie prowadzenia robót budowlanych prowadzić stały monitoring stanu technicznego sprzętu budowlanego i transportowego oraz przypadków wystąpienia zanieczyszczenia gruntu i neutralizację miejsc mogących powodować ewentualnie zagrożenia dla środowiska gruntowo-wodnego.</w:t>
      </w:r>
    </w:p>
    <w:p w14:paraId="26CE0472" w14:textId="48361A46" w:rsidR="008E0C69" w:rsidRPr="00F85B57" w:rsidRDefault="008E0C69" w:rsidP="00F26280">
      <w:pPr>
        <w:pStyle w:val="Akapitzlist"/>
        <w:numPr>
          <w:ilvl w:val="0"/>
          <w:numId w:val="26"/>
        </w:numPr>
        <w:jc w:val="both"/>
      </w:pPr>
      <w:r>
        <w:lastRenderedPageBreak/>
        <w:t>W przypadku przedostania się zanieczyszczeń do gruntu lub wód bezzwłocznie podjąć działania zmierzające do usunięcia skutków i przyczyn awarii.</w:t>
      </w:r>
    </w:p>
    <w:p w14:paraId="1A933486" w14:textId="77777777" w:rsidR="007C0379" w:rsidRDefault="007C0379" w:rsidP="007C0379">
      <w:pPr>
        <w:jc w:val="both"/>
        <w:rPr>
          <w:b/>
          <w:bCs/>
        </w:rPr>
      </w:pPr>
    </w:p>
    <w:p w14:paraId="7FB8F041" w14:textId="77777777" w:rsidR="000159F3" w:rsidRPr="007C0379" w:rsidRDefault="000159F3" w:rsidP="007C0379">
      <w:pPr>
        <w:jc w:val="both"/>
        <w:rPr>
          <w:b/>
          <w:bCs/>
        </w:rPr>
      </w:pPr>
    </w:p>
    <w:p w14:paraId="07CFA365" w14:textId="29C6B80F" w:rsidR="000C7181" w:rsidRDefault="009A31CF" w:rsidP="007C0379">
      <w:pPr>
        <w:jc w:val="center"/>
        <w:rPr>
          <w:b/>
          <w:bCs/>
          <w:sz w:val="28"/>
          <w:szCs w:val="28"/>
        </w:rPr>
      </w:pPr>
      <w:bookmarkStart w:id="2" w:name="_Hlk93476405"/>
      <w:r w:rsidRPr="004C4030">
        <w:rPr>
          <w:b/>
          <w:bCs/>
          <w:sz w:val="28"/>
          <w:szCs w:val="28"/>
        </w:rPr>
        <w:t xml:space="preserve">U Z A S A D N I E N I E </w:t>
      </w:r>
    </w:p>
    <w:p w14:paraId="34D53314" w14:textId="77777777" w:rsidR="000159F3" w:rsidRPr="004C4030" w:rsidRDefault="000159F3" w:rsidP="007C0379">
      <w:pPr>
        <w:jc w:val="center"/>
        <w:rPr>
          <w:b/>
          <w:bCs/>
          <w:sz w:val="28"/>
          <w:szCs w:val="28"/>
        </w:rPr>
      </w:pPr>
    </w:p>
    <w:p w14:paraId="77C1B681" w14:textId="60E79198" w:rsidR="000159F3" w:rsidRPr="000159F3" w:rsidRDefault="009A31CF" w:rsidP="000159F3">
      <w:pPr>
        <w:ind w:firstLine="708"/>
        <w:jc w:val="both"/>
        <w:rPr>
          <w:b/>
          <w:bCs/>
        </w:rPr>
      </w:pPr>
      <w:r>
        <w:t xml:space="preserve">Procedura oddziaływania na środowisko została wszczęta w związku z wnioskiem </w:t>
      </w:r>
      <w:r w:rsidR="005642B7">
        <w:br/>
      </w:r>
      <w:r>
        <w:t xml:space="preserve">z dnia </w:t>
      </w:r>
      <w:r w:rsidR="008E0C69">
        <w:t xml:space="preserve">11 grudnia 2023 </w:t>
      </w:r>
      <w:r>
        <w:t xml:space="preserve">roku przez </w:t>
      </w:r>
      <w:r w:rsidR="00743720">
        <w:t xml:space="preserve">Inwestora tj. </w:t>
      </w:r>
      <w:r w:rsidR="008E0C69">
        <w:t xml:space="preserve">Krystynę i Wojciecha Jędras </w:t>
      </w:r>
      <w:r w:rsidR="00743720">
        <w:t xml:space="preserve">z siedzibą </w:t>
      </w:r>
      <w:r w:rsidR="007F345A">
        <w:br/>
      </w:r>
      <w:r w:rsidR="00743720">
        <w:t xml:space="preserve">w </w:t>
      </w:r>
      <w:r w:rsidR="008E0C69">
        <w:t>Nowej Wsi 4A</w:t>
      </w:r>
      <w:r w:rsidR="00743720">
        <w:t xml:space="preserve">, </w:t>
      </w:r>
      <w:r w:rsidR="00C75AAE">
        <w:t>98-2</w:t>
      </w:r>
      <w:r w:rsidR="008E0C69">
        <w:t>75</w:t>
      </w:r>
      <w:r w:rsidR="00C75AAE">
        <w:t xml:space="preserve"> </w:t>
      </w:r>
      <w:r w:rsidR="008E0C69">
        <w:t xml:space="preserve">Brzeźnio </w:t>
      </w:r>
      <w:r>
        <w:t xml:space="preserve">, w sprawie </w:t>
      </w:r>
      <w:r w:rsidR="007F345A">
        <w:t>wydania</w:t>
      </w:r>
      <w:r>
        <w:t xml:space="preserve"> decyzji </w:t>
      </w:r>
      <w:r w:rsidR="006F5D4F">
        <w:br/>
      </w:r>
      <w:r>
        <w:t xml:space="preserve">o środowiskowych uwarunkowaniach dla przedsięwzięcia polegającego na </w:t>
      </w:r>
      <w:bookmarkStart w:id="3" w:name="_Hlk128991278"/>
      <w:bookmarkStart w:id="4" w:name="_Hlk103847348"/>
      <w:r w:rsidR="00C75AAE">
        <w:rPr>
          <w:b/>
          <w:bCs/>
        </w:rPr>
        <w:t>budow</w:t>
      </w:r>
      <w:r w:rsidR="00F860BF">
        <w:rPr>
          <w:b/>
          <w:bCs/>
        </w:rPr>
        <w:t>ie</w:t>
      </w:r>
      <w:r w:rsidR="00C75AAE">
        <w:rPr>
          <w:b/>
          <w:bCs/>
        </w:rPr>
        <w:t xml:space="preserve"> </w:t>
      </w:r>
      <w:bookmarkEnd w:id="3"/>
      <w:r w:rsidR="008E0C69">
        <w:rPr>
          <w:b/>
          <w:bCs/>
        </w:rPr>
        <w:t>zespołu budynków mieszkalnych jednorodzinnych w zabudowie bliźniaczej wraz z drogą wewnętrzną dojazdową na działce o nr ewid. 217/2 obręb geod. Złoczew 0011.</w:t>
      </w:r>
    </w:p>
    <w:p w14:paraId="4AAE9078" w14:textId="4C128D6F" w:rsidR="000159F3" w:rsidRPr="000159F3" w:rsidRDefault="009A31CF" w:rsidP="000159F3">
      <w:pPr>
        <w:ind w:firstLine="708"/>
        <w:jc w:val="both"/>
      </w:pPr>
      <w:bookmarkStart w:id="5" w:name="_Hlk127277398"/>
      <w:bookmarkEnd w:id="4"/>
      <w:r>
        <w:t xml:space="preserve">Planowane przedsięwzięcie należy do przedsięwzięć mogących potencjalnie znacząco oddziaływać na środowisko, o którym mowa w § </w:t>
      </w:r>
      <w:r w:rsidR="00F013DA">
        <w:t xml:space="preserve">3 ust. 1 pkt 55 Rozporządzenia Rady Ministrów z 10 września 2019 r. w sprawie przedsięwzięć mogących znacząco oddziaływać na środowisko planowane przedsięwzięcie, jako zabudowa mieszkaniowa wraz z towarzyszącą jej infrastrukturą nieobjęta ustaleniami miejscowego planuj zagospodarowania przestrzennego o powierzchni zabudowy nie mniejszej niż 2 ha na obszarach nieobjętych formami ochrony przyrody. </w:t>
      </w:r>
    </w:p>
    <w:bookmarkEnd w:id="5"/>
    <w:p w14:paraId="7F8A167E" w14:textId="6A8EC591" w:rsidR="000159F3" w:rsidRPr="000159F3" w:rsidRDefault="0083719C" w:rsidP="000159F3">
      <w:pPr>
        <w:ind w:firstLine="708"/>
        <w:jc w:val="both"/>
        <w:rPr>
          <w:b/>
          <w:bCs/>
        </w:rPr>
      </w:pPr>
      <w:r>
        <w:t xml:space="preserve">Burmistrz Miasta Złoczewa pismem znak: </w:t>
      </w:r>
      <w:r w:rsidRPr="00970377">
        <w:rPr>
          <w:b/>
          <w:bCs/>
        </w:rPr>
        <w:t>RK.6220.</w:t>
      </w:r>
      <w:r w:rsidR="00F013DA">
        <w:rPr>
          <w:b/>
          <w:bCs/>
        </w:rPr>
        <w:t>XII</w:t>
      </w:r>
      <w:r w:rsidRPr="00970377">
        <w:rPr>
          <w:b/>
          <w:bCs/>
        </w:rPr>
        <w:t>.</w:t>
      </w:r>
      <w:r w:rsidR="00AE2D8B">
        <w:rPr>
          <w:b/>
          <w:bCs/>
        </w:rPr>
        <w:t>2</w:t>
      </w:r>
      <w:r w:rsidRPr="00970377">
        <w:rPr>
          <w:b/>
          <w:bCs/>
        </w:rPr>
        <w:t>.202</w:t>
      </w:r>
      <w:r w:rsidR="00F013DA">
        <w:rPr>
          <w:b/>
          <w:bCs/>
        </w:rPr>
        <w:t>3</w:t>
      </w:r>
      <w:r w:rsidRPr="00970377">
        <w:rPr>
          <w:b/>
          <w:bCs/>
        </w:rPr>
        <w:t>.W</w:t>
      </w:r>
      <w:r w:rsidR="00F013DA">
        <w:rPr>
          <w:b/>
          <w:bCs/>
        </w:rPr>
        <w:t>M</w:t>
      </w:r>
      <w:r w:rsidRPr="00970377">
        <w:rPr>
          <w:b/>
          <w:bCs/>
        </w:rPr>
        <w:t xml:space="preserve"> z</w:t>
      </w:r>
      <w:r>
        <w:t xml:space="preserve"> dnia </w:t>
      </w:r>
      <w:r w:rsidR="00F013DA">
        <w:t>20 grudnia 2023</w:t>
      </w:r>
      <w:r>
        <w:t xml:space="preserve"> roku zawiadomił o wszczęciu postępowania w sprawie wydania decyzji o środowiskowych uwarunkowaniach zgody na realizację przedsięwzięcia polegającego na </w:t>
      </w:r>
      <w:bookmarkStart w:id="6" w:name="_Hlk128991396"/>
      <w:r w:rsidR="00F860BF" w:rsidRPr="00F860BF">
        <w:rPr>
          <w:b/>
          <w:bCs/>
        </w:rPr>
        <w:t>budow</w:t>
      </w:r>
      <w:r w:rsidR="00F013DA">
        <w:rPr>
          <w:b/>
          <w:bCs/>
        </w:rPr>
        <w:t>ie zespołu budynków mieszkalnych jednorodzinnych w zabudowie bliźniaczej wraz z drogą wewnętrzną dojazdową na działce o nr ewid. 217/2 obręb geod. Złoczew 0011</w:t>
      </w:r>
      <w:r w:rsidR="00F860BF" w:rsidRPr="00F860BF">
        <w:rPr>
          <w:b/>
          <w:bCs/>
        </w:rPr>
        <w:t>.</w:t>
      </w:r>
      <w:bookmarkEnd w:id="6"/>
    </w:p>
    <w:p w14:paraId="6DF9BC4C" w14:textId="597F537A" w:rsidR="000159F3" w:rsidRDefault="0083719C" w:rsidP="000159F3">
      <w:pPr>
        <w:ind w:firstLine="708"/>
        <w:jc w:val="both"/>
      </w:pPr>
      <w:r>
        <w:t xml:space="preserve">Pismem znak: </w:t>
      </w:r>
      <w:r w:rsidRPr="004F37CF">
        <w:rPr>
          <w:b/>
          <w:bCs/>
        </w:rPr>
        <w:t>RK.6220.</w:t>
      </w:r>
      <w:r w:rsidR="00F013DA">
        <w:rPr>
          <w:b/>
          <w:bCs/>
        </w:rPr>
        <w:t>XII</w:t>
      </w:r>
      <w:r w:rsidRPr="004F37CF">
        <w:rPr>
          <w:b/>
          <w:bCs/>
        </w:rPr>
        <w:t>.</w:t>
      </w:r>
      <w:r w:rsidR="00B524C9">
        <w:rPr>
          <w:b/>
          <w:bCs/>
        </w:rPr>
        <w:t>3</w:t>
      </w:r>
      <w:r w:rsidRPr="004F37CF">
        <w:rPr>
          <w:b/>
          <w:bCs/>
        </w:rPr>
        <w:t>.202</w:t>
      </w:r>
      <w:r w:rsidR="00F013DA">
        <w:rPr>
          <w:b/>
          <w:bCs/>
        </w:rPr>
        <w:t>3</w:t>
      </w:r>
      <w:r w:rsidRPr="004F37CF">
        <w:rPr>
          <w:b/>
          <w:bCs/>
        </w:rPr>
        <w:t>.W</w:t>
      </w:r>
      <w:r w:rsidR="00F013DA">
        <w:rPr>
          <w:b/>
          <w:bCs/>
        </w:rPr>
        <w:t>M</w:t>
      </w:r>
      <w:r>
        <w:t xml:space="preserve"> z dnia</w:t>
      </w:r>
      <w:r w:rsidR="003449C5">
        <w:t xml:space="preserve"> </w:t>
      </w:r>
      <w:r w:rsidR="00B7402B">
        <w:t xml:space="preserve">20 grudnia 2023 </w:t>
      </w:r>
      <w:r>
        <w:t xml:space="preserve"> roku Burmistrz Miasta Złoczewa wystąpił do Regionalnego Dyrektora Ochrony Środowiska w Łodzi, Państwowego Inspektora Sanitarnego w Sieradzu</w:t>
      </w:r>
      <w:r w:rsidR="00333C32">
        <w:t xml:space="preserve">, </w:t>
      </w:r>
      <w:r>
        <w:t>Dyrektora Zarządu Zlewni Wód Polskich w Sieradz</w:t>
      </w:r>
      <w:r w:rsidR="004C4030">
        <w:t>u</w:t>
      </w:r>
      <w:r w:rsidR="00333C32">
        <w:t xml:space="preserve"> </w:t>
      </w:r>
      <w:r>
        <w:t xml:space="preserve">w sprawie </w:t>
      </w:r>
      <w:r w:rsidR="004F37CF">
        <w:t>opinii</w:t>
      </w:r>
      <w:r>
        <w:t xml:space="preserve"> co do konieczności </w:t>
      </w:r>
      <w:r w:rsidR="004C4030">
        <w:t>prze</w:t>
      </w:r>
      <w:r>
        <w:t>prowadzenia oceny oddziaływania na środowisko i ewentualnego zakresu raportu dla planowanego przedsięwzięcia.</w:t>
      </w:r>
    </w:p>
    <w:p w14:paraId="45E164C0" w14:textId="32A81D7A" w:rsidR="000159F3" w:rsidRDefault="0083719C" w:rsidP="000159F3">
      <w:pPr>
        <w:ind w:firstLine="708"/>
        <w:jc w:val="both"/>
      </w:pPr>
      <w:r w:rsidRPr="0083719C">
        <w:rPr>
          <w:b/>
          <w:bCs/>
        </w:rPr>
        <w:t>Państwowy Powiatowy Inspektor Sanitarny w Sieradzu</w:t>
      </w:r>
      <w:r>
        <w:t xml:space="preserve"> w opinii </w:t>
      </w:r>
      <w:r>
        <w:br/>
        <w:t xml:space="preserve">znak: </w:t>
      </w:r>
      <w:r w:rsidRPr="000159F3">
        <w:rPr>
          <w:b/>
          <w:bCs/>
        </w:rPr>
        <w:t>PPIS.ZNS.</w:t>
      </w:r>
      <w:r w:rsidR="0012636C" w:rsidRPr="000159F3">
        <w:rPr>
          <w:b/>
          <w:bCs/>
        </w:rPr>
        <w:t>9</w:t>
      </w:r>
      <w:r w:rsidR="00B524C9" w:rsidRPr="000159F3">
        <w:rPr>
          <w:b/>
          <w:bCs/>
        </w:rPr>
        <w:t>0281.</w:t>
      </w:r>
      <w:r w:rsidR="00B7402B" w:rsidRPr="000159F3">
        <w:rPr>
          <w:b/>
          <w:bCs/>
        </w:rPr>
        <w:t>41.2024</w:t>
      </w:r>
      <w:r>
        <w:t xml:space="preserve"> z dnia </w:t>
      </w:r>
      <w:r w:rsidR="00B7402B">
        <w:t>15 marca 2024 roku milcząco załatwił sprawę dot. uzgodnień warunków realizacji przedsięwzięcia.</w:t>
      </w:r>
    </w:p>
    <w:p w14:paraId="05717302" w14:textId="6C55CD0B" w:rsidR="000159F3" w:rsidRDefault="001733BA" w:rsidP="000159F3">
      <w:pPr>
        <w:ind w:firstLine="708"/>
        <w:jc w:val="both"/>
      </w:pPr>
      <w:r w:rsidRPr="006F2A9D">
        <w:rPr>
          <w:b/>
          <w:bCs/>
        </w:rPr>
        <w:t>Regionalny Dyrektor Ochrony Środowiska w Łodzi</w:t>
      </w:r>
      <w:r>
        <w:t xml:space="preserve"> w </w:t>
      </w:r>
      <w:r w:rsidR="00B7402B">
        <w:t>postanowieniu</w:t>
      </w:r>
      <w:r>
        <w:t xml:space="preserve"> </w:t>
      </w:r>
      <w:r w:rsidR="00170C9D">
        <w:br/>
      </w:r>
      <w:r>
        <w:t xml:space="preserve">znak: </w:t>
      </w:r>
      <w:r w:rsidRPr="000159F3">
        <w:rPr>
          <w:b/>
          <w:bCs/>
        </w:rPr>
        <w:t>WOOŚ.422</w:t>
      </w:r>
      <w:r w:rsidR="00AE2D8B" w:rsidRPr="000159F3">
        <w:rPr>
          <w:b/>
          <w:bCs/>
        </w:rPr>
        <w:t>0.</w:t>
      </w:r>
      <w:r w:rsidR="00B7402B" w:rsidRPr="000159F3">
        <w:rPr>
          <w:b/>
          <w:bCs/>
        </w:rPr>
        <w:t>930.2023.Azi.2</w:t>
      </w:r>
      <w:r w:rsidR="00AE2D8B">
        <w:t xml:space="preserve"> </w:t>
      </w:r>
      <w:r>
        <w:t xml:space="preserve">z dnia </w:t>
      </w:r>
      <w:r w:rsidR="00B7402B">
        <w:t>7 lutego 2024</w:t>
      </w:r>
      <w:r>
        <w:t xml:space="preserve"> roku wyraził opinię, że dla planowanego przedsięwzięcia nie istnieje konieczność przeprowadzenia oceny oddziaływania na środowisko</w:t>
      </w:r>
      <w:r w:rsidR="0012636C">
        <w:t xml:space="preserve">, </w:t>
      </w:r>
      <w:r w:rsidR="00C07D06">
        <w:br/>
      </w:r>
      <w:r w:rsidR="0012636C">
        <w:t>lecz wskazuję na konieczność określenia w decyzji o środowiskowych uwarunkowaniach określonych warunków i wymagań.</w:t>
      </w:r>
    </w:p>
    <w:p w14:paraId="168365BC" w14:textId="4B77A5F1" w:rsidR="001733BA" w:rsidRDefault="001733BA" w:rsidP="009A31CF">
      <w:pPr>
        <w:ind w:firstLine="708"/>
        <w:jc w:val="both"/>
      </w:pPr>
      <w:r w:rsidRPr="00F860BF">
        <w:rPr>
          <w:b/>
          <w:bCs/>
        </w:rPr>
        <w:t>Dyrektor Zarządu Zlewni Wód Polskich w Sieradzu</w:t>
      </w:r>
      <w:r w:rsidRPr="00F860BF">
        <w:t xml:space="preserve"> w opinii znak: </w:t>
      </w:r>
      <w:r w:rsidRPr="000159F3">
        <w:rPr>
          <w:b/>
          <w:bCs/>
        </w:rPr>
        <w:t>PO. ZZŚ.</w:t>
      </w:r>
      <w:r w:rsidR="00F860BF" w:rsidRPr="000159F3">
        <w:rPr>
          <w:b/>
          <w:bCs/>
        </w:rPr>
        <w:t>5.</w:t>
      </w:r>
      <w:r w:rsidR="00B7402B" w:rsidRPr="000159F3">
        <w:rPr>
          <w:b/>
          <w:bCs/>
        </w:rPr>
        <w:t>4901.525.2023.AC</w:t>
      </w:r>
      <w:r w:rsidRPr="00F860BF">
        <w:t xml:space="preserve"> </w:t>
      </w:r>
      <w:r w:rsidR="00D93B5A" w:rsidRPr="00F860BF">
        <w:br/>
      </w:r>
      <w:r w:rsidRPr="00F860BF">
        <w:t>z dn</w:t>
      </w:r>
      <w:r w:rsidR="00F860BF" w:rsidRPr="00F860BF">
        <w:t>ia 1</w:t>
      </w:r>
      <w:r w:rsidR="00B7402B">
        <w:t>4 lutego 2024</w:t>
      </w:r>
      <w:r w:rsidR="00F860BF" w:rsidRPr="00F860BF">
        <w:t xml:space="preserve"> roku</w:t>
      </w:r>
      <w:r w:rsidRPr="00F860BF">
        <w:t>,</w:t>
      </w:r>
      <w:r>
        <w:t xml:space="preserve"> nie stwierdza potrzeby przeprowadzenia oceny oddziaływania </w:t>
      </w:r>
      <w:r w:rsidR="004C4030">
        <w:br/>
      </w:r>
      <w:r w:rsidR="006F2A9D">
        <w:t xml:space="preserve">w/w przedsięwzięcia na środowisko, lecz wskazuję na konieczność określenia w decyzji </w:t>
      </w:r>
      <w:r w:rsidR="004C4030">
        <w:br/>
      </w:r>
      <w:r w:rsidR="006F2A9D">
        <w:t>o środowiskowych uwarunkowaniach określonych warunków i wymagań.</w:t>
      </w:r>
    </w:p>
    <w:p w14:paraId="28BE61C2" w14:textId="77777777" w:rsidR="000159F3" w:rsidRDefault="000159F3" w:rsidP="009A31CF">
      <w:pPr>
        <w:ind w:firstLine="708"/>
        <w:jc w:val="both"/>
      </w:pPr>
    </w:p>
    <w:p w14:paraId="6C8AAF65" w14:textId="007A6F19" w:rsidR="006F2A9D" w:rsidRDefault="006F2A9D" w:rsidP="009A31CF">
      <w:pPr>
        <w:ind w:firstLine="708"/>
        <w:jc w:val="both"/>
        <w:rPr>
          <w:b/>
          <w:bCs/>
        </w:rPr>
      </w:pPr>
      <w:r w:rsidRPr="004332A7">
        <w:rPr>
          <w:b/>
          <w:bCs/>
        </w:rPr>
        <w:lastRenderedPageBreak/>
        <w:t>Burmistrz Miasta Złoczewa, uwzględniając łącznie uwarunkowania uznał, że nie jest konieczne przeprowadzenie oceny oddziaływania dla przedmiotowego przedsięwzięcia na środowisko argumentując to w przedstawiony poniżej sposób.</w:t>
      </w:r>
    </w:p>
    <w:p w14:paraId="4E730FE4" w14:textId="45837D3D" w:rsidR="00D62F2A" w:rsidRDefault="00D62F2A" w:rsidP="009A31CF">
      <w:pPr>
        <w:ind w:firstLine="708"/>
        <w:jc w:val="both"/>
      </w:pPr>
      <w:r>
        <w:t>Planowane przedsięwzięcie polega na realizacji zabudowy zespołu budynków mieszkalnych jednorodzinnych dwulokalowych w zabudowie bliźniaczej wraz z drogą dojazdową w Złoczewie przy ul. Błaszkowskiej, na dz. nr ewid. 217/2 obręb Złoczew.</w:t>
      </w:r>
    </w:p>
    <w:p w14:paraId="624761A5" w14:textId="77DA1D75" w:rsidR="00D62F2A" w:rsidRDefault="00D62F2A" w:rsidP="00D62F2A">
      <w:pPr>
        <w:ind w:firstLine="708"/>
        <w:jc w:val="both"/>
      </w:pPr>
      <w:r>
        <w:t>Powierzchnia działki inwestycyjnej wynosi 2,7510 ha.</w:t>
      </w:r>
    </w:p>
    <w:p w14:paraId="4DC7DEB1" w14:textId="4895EE4F" w:rsidR="00D62F2A" w:rsidRDefault="00D62F2A" w:rsidP="00D62F2A">
      <w:pPr>
        <w:jc w:val="both"/>
      </w:pPr>
      <w:r>
        <w:t xml:space="preserve">Dla analizowanego terenu nie obowiązuje miejscowy plan zagospodarowania przestrzennego. </w:t>
      </w:r>
    </w:p>
    <w:p w14:paraId="65DB6912" w14:textId="773A3CB7" w:rsidR="00D62F2A" w:rsidRDefault="00D62F2A" w:rsidP="00D62F2A">
      <w:pPr>
        <w:jc w:val="both"/>
      </w:pPr>
      <w:r>
        <w:tab/>
        <w:t>Przedsięwzięcie zostanie poprzedzone podziałem działki inwestycyjnej na 29 działek budowlanych o powierzchni od ok. 0,05 h do ok. 0,07 ha. Na działkach powstanie maksymalnie 27 budynków mieszkalnych jednorodzinnych w zabudowie bliźniaczej i 2 budynki usługowe. Wytyczona będzie także droga wewnętrzna do poszczególnych działek o szerokości ok. 6 m.</w:t>
      </w:r>
    </w:p>
    <w:p w14:paraId="5679339D" w14:textId="008E8FCC" w:rsidR="00D62F2A" w:rsidRDefault="00D62F2A" w:rsidP="00D62F2A">
      <w:pPr>
        <w:jc w:val="both"/>
      </w:pPr>
      <w:r>
        <w:tab/>
        <w:t>Na każdej działce budowlanej pozostanie minimum 30%  powierzchni biologicznie czynnej, a maksymalnie 200 m</w:t>
      </w:r>
      <w:r>
        <w:rPr>
          <w:vertAlign w:val="superscript"/>
        </w:rPr>
        <w:t>2</w:t>
      </w:r>
      <w:r>
        <w:t xml:space="preserve"> zabudowy.</w:t>
      </w:r>
    </w:p>
    <w:p w14:paraId="43DD43B9" w14:textId="49C07FDF" w:rsidR="00D62F2A" w:rsidRDefault="00D62F2A" w:rsidP="00D62F2A">
      <w:pPr>
        <w:jc w:val="both"/>
      </w:pPr>
      <w:r>
        <w:tab/>
        <w:t>Każdy z jednopiętrowego budynku bliźniaczego o powierzchni zabudowy wynoszącej 80,5 m</w:t>
      </w:r>
      <w:r>
        <w:rPr>
          <w:vertAlign w:val="superscript"/>
        </w:rPr>
        <w:t>2</w:t>
      </w:r>
      <w:r>
        <w:t xml:space="preserve"> posiadać będzie wysokość w kalenicy do 10,0 m. Pod mansardowym dachem znajdzie się dodatkowo użytkowe poddasze. Kąty nachylenia dachu wyniosą 18</w:t>
      </w:r>
      <w:r>
        <w:sym w:font="Symbol" w:char="F0B0"/>
      </w:r>
      <w:r>
        <w:t xml:space="preserve"> w części dolnej i 40</w:t>
      </w:r>
      <w:r>
        <w:sym w:font="Symbol" w:char="F0B0"/>
      </w:r>
      <w:r>
        <w:t xml:space="preserve"> w części górnej, szczytowej. Wymiary pojedynczego budynku do zabudowy bliźniaczej wynosić będą 7,00 x 11,50 m. Budynki wykonane będą w technologii tradycyjnej murowanej.</w:t>
      </w:r>
    </w:p>
    <w:p w14:paraId="01C3FFC7" w14:textId="3E114BD9" w:rsidR="00C13657" w:rsidRDefault="00C13657" w:rsidP="00D62F2A">
      <w:pPr>
        <w:jc w:val="both"/>
      </w:pPr>
      <w:r>
        <w:tab/>
        <w:t>Budynki usługowe posiadać będą maksymalnie dwa piętra, powierzchnia zabudowy każdego z dwóch planowanych budynków wyniesie ok. 200-250 m</w:t>
      </w:r>
      <w:r>
        <w:rPr>
          <w:vertAlign w:val="superscript"/>
        </w:rPr>
        <w:t>2</w:t>
      </w:r>
      <w:r>
        <w:t>. Planuje się usytuować w nich usługi takie jak: fryzjerstwo, kosmetyka, biura lub handel artykułami spożywczo-przemysłowymi.</w:t>
      </w:r>
    </w:p>
    <w:p w14:paraId="2877E477" w14:textId="5F42B077" w:rsidR="00C13657" w:rsidRDefault="00C13657" w:rsidP="00D62F2A">
      <w:pPr>
        <w:jc w:val="both"/>
      </w:pPr>
      <w:r>
        <w:tab/>
        <w:t>Na etapie eksploatacji dla planowanej zabudowy przewidziano:</w:t>
      </w:r>
    </w:p>
    <w:p w14:paraId="5CCB6C91" w14:textId="3CD413A8" w:rsidR="00C13657" w:rsidRDefault="00C13657" w:rsidP="00D62F2A">
      <w:pPr>
        <w:jc w:val="both"/>
      </w:pPr>
      <w:r>
        <w:t>- zaopatrzenie każdego budynku w wodę z wodociągu publicznego;</w:t>
      </w:r>
    </w:p>
    <w:p w14:paraId="1FB6E6D0" w14:textId="10B05F26" w:rsidR="00C13657" w:rsidRDefault="00C13657" w:rsidP="00D62F2A">
      <w:pPr>
        <w:jc w:val="both"/>
      </w:pPr>
      <w:r>
        <w:t>- odprowadzanie ścieków bytowych- budynki mieszkalne i usługowe wyposażone będą w kanalizację sanitarną;</w:t>
      </w:r>
    </w:p>
    <w:p w14:paraId="5EAF54D3" w14:textId="176C21E6" w:rsidR="00C13657" w:rsidRDefault="00C13657" w:rsidP="00D62F2A">
      <w:pPr>
        <w:jc w:val="both"/>
      </w:pPr>
      <w:r>
        <w:t>- dostarczenie energii elektrycznej z sieci elektroenergetycznej na warunkach określonych przez gestora sieci;</w:t>
      </w:r>
    </w:p>
    <w:p w14:paraId="51E9D72F" w14:textId="1565B5A0" w:rsidR="00C13657" w:rsidRDefault="00C13657" w:rsidP="00D62F2A">
      <w:pPr>
        <w:jc w:val="both"/>
      </w:pPr>
      <w:r>
        <w:t>- zaopatrzenie w ciepło- na obecnym etapie przewiduje się sposób ogrzewania budynków za pomocą pomp ciepła;</w:t>
      </w:r>
    </w:p>
    <w:p w14:paraId="5B836EDE" w14:textId="68617441" w:rsidR="00C13657" w:rsidRDefault="00C13657" w:rsidP="00D62F2A">
      <w:pPr>
        <w:jc w:val="both"/>
      </w:pPr>
      <w:r>
        <w:t>- odprowadzanie wód opadowych na nieutwardzony teren każdej działki;</w:t>
      </w:r>
    </w:p>
    <w:p w14:paraId="438E38A7" w14:textId="71C1A2ED" w:rsidR="00C13657" w:rsidRDefault="00C13657" w:rsidP="00D62F2A">
      <w:pPr>
        <w:jc w:val="both"/>
      </w:pPr>
      <w:r>
        <w:t>- gromadzenie odpadów na zasadach określonych w przepisach szczególnych i zgodnie z gospodarką odpadami przyjętą przez gminę.</w:t>
      </w:r>
    </w:p>
    <w:p w14:paraId="535CDCDC" w14:textId="5BF188DD" w:rsidR="00C13657" w:rsidRDefault="00C13657" w:rsidP="00D62F2A">
      <w:pPr>
        <w:jc w:val="both"/>
      </w:pPr>
      <w:r>
        <w:tab/>
        <w:t>Działka inwestycyjna zlokalizowana jest w terenie z rozproszoną zabudową mieszkalną, zagrodową i usługową. W sąsiedztwie znajdują się: od strony północnej droga powiatowa, a za nią zabudowa mieszkaniowa i usługowa, od strony zachodniej zabudowa zagrodowa; od strony wschodniej zabudowa klasztorna zabytkowa; od strony południowej pola uprawne.</w:t>
      </w:r>
    </w:p>
    <w:p w14:paraId="48BFFBD4" w14:textId="67834CC2" w:rsidR="00C13657" w:rsidRDefault="00C13657" w:rsidP="00D62F2A">
      <w:pPr>
        <w:jc w:val="both"/>
      </w:pPr>
      <w:r>
        <w:tab/>
        <w:t xml:space="preserve">Wzdłuż południowo-wschodniej </w:t>
      </w:r>
      <w:r w:rsidR="001462DD">
        <w:t>granicy działki, poza jej obszarem, zlokalizowany jest rów ziemny (Dopływ spod Złoczewa).</w:t>
      </w:r>
    </w:p>
    <w:p w14:paraId="1CA8106D" w14:textId="454B337E" w:rsidR="001462DD" w:rsidRDefault="001462DD" w:rsidP="00D62F2A">
      <w:pPr>
        <w:jc w:val="both"/>
      </w:pPr>
      <w:r>
        <w:lastRenderedPageBreak/>
        <w:tab/>
        <w:t>Działka inwestycyjna od kilku lat użytkowana jest jako łąka. Część działki zajmuje zabudowa zagrodowa, która zostanie przeznaczona do rozbiórki. W obrębie zagrody znajduje się budynek mieszkalny o powierzchni zabudowy ok. 120 m</w:t>
      </w:r>
      <w:r>
        <w:rPr>
          <w:vertAlign w:val="superscript"/>
        </w:rPr>
        <w:t>2</w:t>
      </w:r>
      <w:r>
        <w:t>, budynek gospodarczy oraz drewniana stodoła. Fragment działki inwestycyjnej zajęty obecnie przez zagrodę będzie przeznaczony na budowę planowanego zespołu budynków mieszkalnych.</w:t>
      </w:r>
    </w:p>
    <w:p w14:paraId="23508788" w14:textId="11B19043" w:rsidR="001462DD" w:rsidRDefault="001462DD" w:rsidP="00D62F2A">
      <w:pPr>
        <w:jc w:val="both"/>
      </w:pPr>
      <w:r>
        <w:tab/>
        <w:t>W związku z realizacją przedsięwzięcia zachodzi konieczność wycinki drzew i krzewów znajdujących się w granicach wyznaczonych jako istniejąca zagroda. Maksymalna skala wycinki obejmuje 10 szt. drzew i ok. 10 m</w:t>
      </w:r>
      <w:r>
        <w:rPr>
          <w:vertAlign w:val="superscript"/>
        </w:rPr>
        <w:t>2</w:t>
      </w:r>
      <w:r>
        <w:t xml:space="preserve"> krzewów. W Aneksie nr 1 do KIP opisano szczegółowo zadrzewienia podlegające wycince oraz wskazano, że wycinka zostanie ograniczona do minimum, tj. do drzew i krzewów kolidującym z planowanym </w:t>
      </w:r>
      <w:r w:rsidR="004004F4">
        <w:t>zagospodarowaniem terenu.</w:t>
      </w:r>
    </w:p>
    <w:p w14:paraId="3FE32954" w14:textId="6AFF91D4" w:rsidR="004004F4" w:rsidRDefault="004004F4" w:rsidP="00D62F2A">
      <w:pPr>
        <w:jc w:val="both"/>
      </w:pPr>
      <w:r>
        <w:tab/>
        <w:t>Zgodnie z KIP zadrzewienia nie są zasiedlane przez gatunki prawnie chronione. Nie mniej jednak, w celu ochrony dziko występujących zwierząt, w szczególności ptaków, które mogą się pojawić na analizowanym terenie, wycinkę należy wykonać poza szczytem sezonu lęgowego ptaków (bądź w uzasadnionych przypadkach w tym terminie po kontroli ornitologa).</w:t>
      </w:r>
    </w:p>
    <w:p w14:paraId="7C0B0597" w14:textId="76C287C1" w:rsidR="004004F4" w:rsidRDefault="004004F4" w:rsidP="00D62F2A">
      <w:pPr>
        <w:jc w:val="both"/>
      </w:pPr>
      <w:r>
        <w:tab/>
        <w:t>W celu wyrównania równowagi przyrodniczej za usunięte zadrzewienia zostaną wykonane nasadzenia zastępcze w liczbie nie mniejszej niż 27 drzew i 10 m</w:t>
      </w:r>
      <w:r>
        <w:rPr>
          <w:vertAlign w:val="superscript"/>
        </w:rPr>
        <w:t>2</w:t>
      </w:r>
      <w:r>
        <w:t xml:space="preserve"> krzewów. Do wyliczenia </w:t>
      </w:r>
      <w:proofErr w:type="spellStart"/>
      <w:r>
        <w:t>nasadzeń</w:t>
      </w:r>
      <w:proofErr w:type="spellEnd"/>
      <w:r>
        <w:t xml:space="preserve"> zastępczych przyjęto poniższy sposób: drzewa: za każde rozpoczęte 50 cm obwodu pierśnicy- 1 drzewo ( do 50 cm- 1 drzewo, od 51 cm do 100 cm- 2 drzewa, od 101 cm do 150 cm- 3 drzewa, itd.), przy czym w przypadku wielopniowych każdy pień traktować jako odrębne drzewo; dotyczy to także drzew owocowych; krzewy i odrosty: za 1 m</w:t>
      </w:r>
      <w:r>
        <w:rPr>
          <w:vertAlign w:val="superscript"/>
        </w:rPr>
        <w:t>2</w:t>
      </w:r>
      <w:r>
        <w:t xml:space="preserve"> usuwanych odrostów i krzewów- 1 m</w:t>
      </w:r>
      <w:r>
        <w:rPr>
          <w:vertAlign w:val="superscript"/>
        </w:rPr>
        <w:t>2</w:t>
      </w:r>
      <w:r>
        <w:t xml:space="preserve"> nowych krzewów albo za każde 5 m</w:t>
      </w:r>
      <w:r>
        <w:rPr>
          <w:vertAlign w:val="superscript"/>
        </w:rPr>
        <w:t>2</w:t>
      </w:r>
      <w:r>
        <w:t xml:space="preserve"> usuwanych odrostów i krzewów- 1 drzewo.</w:t>
      </w:r>
    </w:p>
    <w:p w14:paraId="4904A1B0" w14:textId="1F6CE5FA" w:rsidR="004004F4" w:rsidRDefault="004004F4" w:rsidP="00D62F2A">
      <w:pPr>
        <w:jc w:val="both"/>
      </w:pPr>
      <w:r>
        <w:tab/>
        <w:t xml:space="preserve">Drzewo i krzewy zostaną nasadzone wzdłuż dróg dojazdowych i na terenach działek usługowych. Do </w:t>
      </w:r>
      <w:proofErr w:type="spellStart"/>
      <w:r>
        <w:t>nasadzeń</w:t>
      </w:r>
      <w:proofErr w:type="spellEnd"/>
      <w:r>
        <w:t xml:space="preserve"> należy zastosować sadzonki gatunków rodzimych- np. lipy drobnolistnej, klonu zwyczajnego, klonu jawora, klonu polnego, wierzby białej, wierzby kruchej, olszy czarnej, jesionu wyniosłego, wiązu pospolitego, śliwy tarniny, gruszy pospolitej, wiśni ptasiej, jarzębu pospolitego, głogu jednoszyjkowego, głogu dwuszyjkowego oraz jako krzewów: jałowca </w:t>
      </w:r>
      <w:r w:rsidR="004F5798">
        <w:t xml:space="preserve">pospolitego, róży dzikiej, kaliny koralowej. Zabrania się </w:t>
      </w:r>
      <w:proofErr w:type="spellStart"/>
      <w:r w:rsidR="004F5798">
        <w:t>nasadzeń</w:t>
      </w:r>
      <w:proofErr w:type="spellEnd"/>
      <w:r w:rsidR="004F5798">
        <w:t xml:space="preserve"> inwazyjnych gatunków roślin.</w:t>
      </w:r>
    </w:p>
    <w:p w14:paraId="5CB951C9" w14:textId="79F1D5E5" w:rsidR="004F5798" w:rsidRDefault="004F5798" w:rsidP="00D62F2A">
      <w:pPr>
        <w:jc w:val="both"/>
      </w:pPr>
      <w:r>
        <w:tab/>
        <w:t xml:space="preserve">W sentencji niniejszego postanowienia określono warunki dotyczące wycinki i </w:t>
      </w:r>
      <w:proofErr w:type="spellStart"/>
      <w:r>
        <w:t>nasadzeń</w:t>
      </w:r>
      <w:proofErr w:type="spellEnd"/>
      <w:r>
        <w:t xml:space="preserve"> zastępczych. Dzięki dostosowaniu terminu wycinki do okresu lęgowego ptaków oraz wykonaniu </w:t>
      </w:r>
      <w:proofErr w:type="spellStart"/>
      <w:r>
        <w:t>nasadzeń</w:t>
      </w:r>
      <w:proofErr w:type="spellEnd"/>
      <w:r>
        <w:t xml:space="preserve"> zastępczych ograniczone zostaną straty przyrodnicze jakie będą wiązać się z wycinką na potrzeby realizacji przedsięwzięcia.</w:t>
      </w:r>
    </w:p>
    <w:p w14:paraId="31CA8899" w14:textId="30CE730E" w:rsidR="004F5798" w:rsidRDefault="004F5798" w:rsidP="00D62F2A">
      <w:pPr>
        <w:jc w:val="both"/>
      </w:pPr>
      <w:r>
        <w:tab/>
        <w:t>Na etapie realizacji przedsięwzięcia przewiduje się zużycie energii elektrycznej, paliw silnikowych, materiałów i surowców oraz wody w ilości niezbędnej do wykonania prac budowlanych. Materiałochłonność prowadzonej budowy nie powinna odbiegać od analogicznych przedsięwzięć o podobnym profilu. Obiekty będą zaprojektowane w oparciu o najnowsze dostępne i sprawdzone technologię. Po zrealizowaniu przedsięwzięcia zapotrzebowanie na poszczególne surowce i energię wynikać będzie z zaspokojenia podstawowych potrzeb związanych z funkcjonowaniem gospodarstw domowych. W KIP określono szacunkowe zapotrzebowanie na wodę, paliwa, energię, materiały i surowce.</w:t>
      </w:r>
    </w:p>
    <w:p w14:paraId="31196FD0" w14:textId="5B22D770" w:rsidR="004F5798" w:rsidRDefault="004F5798" w:rsidP="00D62F2A">
      <w:pPr>
        <w:jc w:val="both"/>
      </w:pPr>
      <w:r>
        <w:tab/>
        <w:t>Realizacja przedmiotowego przedsięwzięcia związana jest z oddziaływaniem na środowisko w trzech etapach: budowy, eksploatacji oraz ewentualnej likwidacji. Poszczególne fazy charakteryzują się odmiennym rodzajem i natężeniem oddziaływań, przy czym faza eksploatacji przedsięwzięcia jest etapem najdłuższym w czasie.</w:t>
      </w:r>
      <w:r>
        <w:tab/>
      </w:r>
    </w:p>
    <w:p w14:paraId="0E5C6F4F" w14:textId="10D4EE98" w:rsidR="004F5798" w:rsidRDefault="004F5798" w:rsidP="00D62F2A">
      <w:pPr>
        <w:jc w:val="both"/>
      </w:pPr>
      <w:r>
        <w:lastRenderedPageBreak/>
        <w:tab/>
        <w:t xml:space="preserve">W KIP opisano rodzaje i wielkości emisji, a także potencjalne wystąpienie innych uciążliwości w związku z realizacja i funkcjonowaniem przedsięwzięcia. Opisano sposób prowadzenia prac i w odniesieniu do potencjalnych oddziaływań wskazano rozwiązania, które zapewnią ograniczenie tych oddziaływań do minimum. Prowadzenie prac na warunkach określonych w KIP, Aneksie nr1 do KIP </w:t>
      </w:r>
      <w:r w:rsidR="000B6283">
        <w:t>powinno zapewnić brak występowania znaczących negatywnych oddziaływań.</w:t>
      </w:r>
    </w:p>
    <w:p w14:paraId="37F1CF80" w14:textId="7422A502" w:rsidR="000B6283" w:rsidRDefault="000B6283" w:rsidP="00D62F2A">
      <w:pPr>
        <w:jc w:val="both"/>
      </w:pPr>
      <w:r>
        <w:tab/>
        <w:t xml:space="preserve">Przedsięwzięcie będzie oddziaływać w zakresie emisji i występowania uciążliwości przede wszystkim na etapie budowy. Prace budowlane będą powodować charakterystyczne dla tego rodzaju przedsięwzięć oddziaływania, takie jak emisja hałasu z pracy urządzeń i sprzętu budowlanego, emisja pyłów i gazów do atmosfery ze spalania paliw w pojazdach transportu oraz z pracy urządzeń budowlanych, emisja ścieków bytowych w związku z funkcjonowaniem zaplecza budowy, emisja wody opadowych i roztopowych oraz gruntowych z przestrzeni wykopów podczas prowadzenia prac ziemnych, emisja odpadów, oddziaływanie na środowisko przyrodnicze i krajobraz w związku </w:t>
      </w:r>
      <w:r w:rsidR="00AE42D3">
        <w:br/>
      </w:r>
      <w:r>
        <w:t xml:space="preserve">z przekształceniem terenu i wycinką </w:t>
      </w:r>
      <w:proofErr w:type="spellStart"/>
      <w:r>
        <w:t>zadrzewień</w:t>
      </w:r>
      <w:proofErr w:type="spellEnd"/>
      <w:r>
        <w:t xml:space="preserve">. Etap budowy i związane z nim uciążliwości będą odwracalne, krótkotrwałe i będą mieć zasięg lokalny. W celu ograniczenia emisji hałasu na etapie realizacji przedsięwzięcia nałożono na inwestora warunek dotyczący konieczności prowadzenia prac budowlanych uciążliwych akustycznie w porze dziennej. Ponadto na etapie realizacji będą stosowane środki </w:t>
      </w:r>
      <w:r w:rsidR="00AE42D3">
        <w:t xml:space="preserve">techniczne i organizacyjne mające na celu ograniczenie emisji pyłu z terenu przedsięwzięcia powstającego podczas prowadzenia prac budowlanych, jak i podczas transportu materiałów budowlanych, w tym należy zapobiegać nadmiernemu pyleniu w przypadku stosowania i gromadzenia na terenie budowy materiałów sypkich, do transportu materiałów pylistych należy stosować na samochodach dostawczych szczelne skrzynie ładunkowe (plandeki itp.), drogi </w:t>
      </w:r>
      <w:r w:rsidR="007F000B">
        <w:t>wyjazdowe z placu budowy utrzymywać w czystości. Teren budowy będzie także zabezpieczony przed zanieczyszczeniem spowodowanym ewentualnymi wyciekami substancji ropopochodnych z pojazdów, maszyn i urządzeń. Odpady wytworzone w trakcie budowy będą gromadzone selektywnie, w uporządkowany sposób, w pojemnikach, kontenerach lub innych odpowiednich opakowaniach, w warunkach odpowiednio zabezpieczonych przed przedostaniem się do środowiska substancji szkodliwych, przed dostępem osób postronnych i zwierząt, na utwardzonym podłożu, a następnie przekazywane firmom posiadającym stosowne zezwolenie na zbieranie odpadów, odzysk czy ich unieszkodliwienie.</w:t>
      </w:r>
    </w:p>
    <w:p w14:paraId="426F11F4" w14:textId="10E5E087" w:rsidR="007F000B" w:rsidRDefault="007F000B" w:rsidP="00D62F2A">
      <w:pPr>
        <w:jc w:val="both"/>
      </w:pPr>
      <w:r>
        <w:tab/>
        <w:t>Na etapie eksploatacji przewiduje się nieznaczną emisję hałasu i zanieczyszczeń do powietrza, powstawanie odpadów głównie komunalnych, a także emisję ścieków bytowych i wód opadowych. Oddziaływanie w fazie eksploatacji będzie długotrwałe o charakterze ciągłym, jednakże oddziaływanie to nie będzie powodować zagrożenia jakości środowiska, jeśli przedsięwzięcie będzie przeprowadzone zgodnie z zamierzeniami inwestora przedstawionymi w przedłożonej dokumentacji.</w:t>
      </w:r>
    </w:p>
    <w:p w14:paraId="7813AA46" w14:textId="5BA86DE0" w:rsidR="007F000B" w:rsidRDefault="007F000B" w:rsidP="00D62F2A">
      <w:pPr>
        <w:jc w:val="both"/>
      </w:pPr>
      <w:r>
        <w:tab/>
        <w:t>Eksploatacja projektowanego przedsięwzięcia będzie wiązała się z emisją zanieczyszczeń do powietrza at</w:t>
      </w:r>
      <w:r w:rsidR="00336300">
        <w:t>mosferycznego pochodzącą z ruchu komunikacyjnego po terenie inwestycji. Z uwagi na rodzaj i skale przedsięwzięcia emisje te będą stosunkowo niewielkie.</w:t>
      </w:r>
    </w:p>
    <w:p w14:paraId="03452FBD" w14:textId="2E6EB052" w:rsidR="00336300" w:rsidRDefault="00336300" w:rsidP="00D62F2A">
      <w:pPr>
        <w:jc w:val="both"/>
      </w:pPr>
      <w:r>
        <w:tab/>
        <w:t>Ze względu na charakter przedsięwzięcia- zabudowa mieszkaniowa, nie przewiduje się również ponadnormatywnych oddziaływań akustycznych na etapie eksploatacji. Źródłami hałasy będą pojazdy przemieszczające się po osiedlu. Planowane przedsięwzięcie, przede wszystkim z uwagi na niewielką skalę i charakter, nie będzie znacząco oddziaływało na sąsiadujące tereny, w tym na tereny chronione akustycznie.</w:t>
      </w:r>
    </w:p>
    <w:p w14:paraId="26C1CDAB" w14:textId="10CD0931" w:rsidR="00336300" w:rsidRDefault="00336300" w:rsidP="00D62F2A">
      <w:pPr>
        <w:jc w:val="both"/>
      </w:pPr>
      <w:r>
        <w:tab/>
        <w:t>Ścieki bytowe na etapie eksploatacji będą odprowadzane do kanalizacji sanitarnej. Nie przewiduje się powstawania ścieków technologicznych.</w:t>
      </w:r>
    </w:p>
    <w:p w14:paraId="366B39E2" w14:textId="1E15AB63" w:rsidR="00336300" w:rsidRDefault="00336300" w:rsidP="00D62F2A">
      <w:pPr>
        <w:jc w:val="both"/>
      </w:pPr>
      <w:r>
        <w:tab/>
        <w:t xml:space="preserve">Wody opadowe i roztopowe na etapie eksploatacji odprowadzane będą powierzchniowo z wykorzystaniem chłonności terenu, w obrębie terenu inwestycyjnego na zasadzie retencji do gruntu </w:t>
      </w:r>
      <w:r>
        <w:lastRenderedPageBreak/>
        <w:t xml:space="preserve">(każda posesja zapewniony będzie mieć teren biologicznie czynny). Wody te nie będą narażone na kontakt z substancjami niebezpiecznymi. </w:t>
      </w:r>
    </w:p>
    <w:p w14:paraId="422ED540" w14:textId="5E4E5084" w:rsidR="00336300" w:rsidRDefault="00336300" w:rsidP="00D62F2A">
      <w:pPr>
        <w:jc w:val="both"/>
      </w:pPr>
      <w:r>
        <w:tab/>
        <w:t>Etap eksploatacji związany będzie także z powstawaniem typowych odpadów komunalnych. Powstające odpady będą segregowane i gromadzone w wyznaczonych miejscach, w szczelnych pojemnikach, a następnie będą przekazywane do odzysku lub unieszkodliwienia podmiotom posiadającym stosowne zezwolenia. Sposób postępowania oraz dalsze zagospodarowanie odpadów będzie zgodne z zasadami zagospodarowania odpadami i wymaganiami w zakresie ochrony środowiska oraz bezpieczeństwa życia i zdrowia ludzi oraz zgodne z obowiązującymi przepisami prawa.</w:t>
      </w:r>
    </w:p>
    <w:p w14:paraId="3DCB43FA" w14:textId="77777777" w:rsidR="00336300" w:rsidRDefault="00336300" w:rsidP="00D62F2A">
      <w:pPr>
        <w:jc w:val="both"/>
      </w:pPr>
    </w:p>
    <w:p w14:paraId="0433E8E7" w14:textId="5E13B3CB" w:rsidR="00336300" w:rsidRDefault="00336300" w:rsidP="00D62F2A">
      <w:pPr>
        <w:jc w:val="both"/>
      </w:pPr>
      <w:r>
        <w:tab/>
        <w:t xml:space="preserve">Ewentualna faza likwidacji przedsięwzięcia będzie charakteryzowała się podobnymi oddziaływaniami jak faza budowy. Oddziaływania te, podobnie jak na etapie realizacji, będą miały charakter krótkotrwały i ustną po zakończeniu prowadzonych </w:t>
      </w:r>
      <w:r w:rsidR="007C2DF9">
        <w:t>prac.</w:t>
      </w:r>
    </w:p>
    <w:p w14:paraId="6049D387" w14:textId="479F037F" w:rsidR="007C2DF9" w:rsidRDefault="007C2DF9" w:rsidP="00D62F2A">
      <w:pPr>
        <w:jc w:val="both"/>
      </w:pPr>
      <w:r>
        <w:tab/>
        <w:t xml:space="preserve">Przedmiotowa inwestycja nie będzie powodować oddziaływań skumulowanych. </w:t>
      </w:r>
    </w:p>
    <w:p w14:paraId="1048B478" w14:textId="7803D342" w:rsidR="007C2DF9" w:rsidRDefault="007C2DF9" w:rsidP="00D62F2A">
      <w:pPr>
        <w:jc w:val="both"/>
      </w:pPr>
      <w:r>
        <w:tab/>
        <w:t xml:space="preserve">W związku z realizacją i eksploatacją przedsięwzięcia nie przewiduje się wystąpienia zagrożenia dla zdrowia ludzi, w tym </w:t>
      </w:r>
      <w:r w:rsidR="00C41804">
        <w:t xml:space="preserve">wynikającego z emisji. Wszelkie prace związane z planowanym </w:t>
      </w:r>
      <w:r w:rsidR="00D27926">
        <w:t>przedsięwzięciem zostaną wykonane tak, aby spowodować jak najmniejsze uciążliwości dla okolicznych mieszkańców i otaczającego środowiska naturalnego.</w:t>
      </w:r>
    </w:p>
    <w:p w14:paraId="5032B5D8" w14:textId="4EA3F5AC" w:rsidR="00D27926" w:rsidRDefault="00D27926" w:rsidP="00D62F2A">
      <w:pPr>
        <w:jc w:val="both"/>
      </w:pPr>
      <w:r>
        <w:tab/>
        <w:t>Na terenie planowanego przedsięwzięcia i w obszarze jego oddziaływania, nie będą prowadzone prace rozbiórkowe dotyczące przedsięwzięć mogących znacząco oddziaływać na środowisko. Przewiduje się natomiast rozbiórkę istniejącej zabudowy zagrodowej. Przed przystąpieniem do prac rozbiórkowych należy przeprowadzić kontrolę budynków pod kątem zasiedlenia przez ptaki i nietoperze. W przypadku ich stwierdzenia należy wstrzymać prace i postępować zgodnie ze wskazaniami specjalisty przyrodnika.</w:t>
      </w:r>
    </w:p>
    <w:p w14:paraId="4810AF40" w14:textId="78DE38E1" w:rsidR="00D27926" w:rsidRDefault="00D27926" w:rsidP="00D62F2A">
      <w:pPr>
        <w:jc w:val="both"/>
      </w:pPr>
      <w:r>
        <w:tab/>
        <w:t>W przypadku realizacji i eksploatacji przedmiotowego przedsięwzięcia należy wykluczyć duże ryzyko wystąpienia powyższych awarii lub katastrof naturalnych i budowlanych.</w:t>
      </w:r>
    </w:p>
    <w:p w14:paraId="29C78871" w14:textId="37354A55" w:rsidR="00D27926" w:rsidRDefault="00D27926" w:rsidP="00D62F2A">
      <w:pPr>
        <w:jc w:val="both"/>
      </w:pPr>
      <w:r>
        <w:tab/>
        <w:t xml:space="preserve">Planowane przedsięwzięcie położone jest poza formami ochrony przyrody objętymi ochroną na podstawie ustawy z dnia 16 kwietnia 2004 r. o ochronie przyrody (Dz. U. z 2023 r. poz. 1336 ze zm.) oraz poza korytarzami ekologicznymi. Najbliżej położoną formą ochrony przyrody względem terenu </w:t>
      </w:r>
      <w:r w:rsidR="00C07FA8">
        <w:t xml:space="preserve">objętego przedsięwzięciem (zgodnie z centralnym rejestrem form ochrony przyrody prowadzonych przez Generalnego Dyrektora Ochrony Środowiska) jest Zespół przyrodniczo-krajobrazowy „Parki Złoczewskie”, w odległości ok. 0,5 km. Najbliżej położonym obszarem należącym do europejskiej sieci obszarów Natura 2000 jest obszar specjalnej ochrony ptaków Zbiornik Jeziorsko PLB100002, </w:t>
      </w:r>
      <w:r w:rsidR="00C07FA8">
        <w:br/>
        <w:t>w odległości ok. 24 km.</w:t>
      </w:r>
    </w:p>
    <w:p w14:paraId="08E54E23" w14:textId="4348C7B8" w:rsidR="00C07FA8" w:rsidRDefault="00C07FA8" w:rsidP="00D62F2A">
      <w:pPr>
        <w:jc w:val="both"/>
      </w:pPr>
      <w:r>
        <w:tab/>
        <w:t>Przedmiotowe przedsięwzięcie, przede wszystkim z uwagi na niewielką skalę oraz krótkotrwały i nieodwracalny charakter zmian środowiska na etapie realizacji inwestycji oraz brak znaczących negatywnych oddziaływań w czasie późniejszej eksploatacji, nie będzie miało negatywnego wpływu na cele ochrony, przedmioty ochrony oraz integralność znajdujących się w pobliżu obszarów podlegających ochronie, w tym na obszary Natura 2000.</w:t>
      </w:r>
    </w:p>
    <w:p w14:paraId="01DC1B84" w14:textId="14071E65" w:rsidR="00C07FA8" w:rsidRDefault="00C07FA8" w:rsidP="00D62F2A">
      <w:pPr>
        <w:jc w:val="both"/>
      </w:pPr>
      <w:r>
        <w:tab/>
        <w:t>Jednocześnie na podstawie zgromadzonej dokumentacji można także stwierdzić, że teren objęty przedsięwzięciem nie wskazuje istotnych wartości przyrodniczych związanych z występowaniem cennych</w:t>
      </w:r>
      <w:r w:rsidR="00030E2D">
        <w:t xml:space="preserve">, rzadkich, bądź objętych ochroną siedlisk przyrodniczych oraz gatunków roślin, zwierząt i grzybów. Z uwagi na to, iż nie można wykluczyć pojawienia się na analizowanym </w:t>
      </w:r>
      <w:r w:rsidR="00030E2D">
        <w:lastRenderedPageBreak/>
        <w:t xml:space="preserve">terenie zwierząt objętych ochroną gatunkową w sentencji niniejszego postanowienia wprowadzono rozwiązania chroniące środowisko dotyczące terminu prowadzenia praz ziemnych. Dodatkowo tut. organ informuję, iż w przypadku jeśli skutkiem robót budowlanych bądź innych prac związanych z realizacją zamierzenia będzie podjęcie czynności objętych zakazami względem gatunków chronionych zwierząt, roślin oraz grzybów, wynikającymi z art. 51 i art. 52 ustawy o ochronie przyrody. Inwestor lub Wykonawca są zobowiązani do uzyskania zgody na wykonanie czynności podlegających zakazom zgodnie z przepisami odrębnymi. </w:t>
      </w:r>
    </w:p>
    <w:p w14:paraId="7262F2C8" w14:textId="29F0144D" w:rsidR="00030E2D" w:rsidRDefault="00030E2D" w:rsidP="00D62F2A">
      <w:pPr>
        <w:jc w:val="both"/>
      </w:pPr>
      <w:r>
        <w:tab/>
        <w:t xml:space="preserve">W obszarze oddziaływania przedsięwzięcia nie znajdują się jeziora, obszary ochronne zbiorników wód śródlądowych, obszary wodno-błotne i obszary o płytkim zaleganiu wód podziemnych, w tym siedliska łęgowe oraz ujścia rzek, obszary, na których standardy jakości środowiska zostały przekroczone, obszary leśne, obszary górskie, morza i obszary wybrzeży, obszary o krajobrazie mającym znaczenie historyczne, kulturowe lub archeologiczne, uzdrowiska i obszary ochrony uzdrowiskowej. </w:t>
      </w:r>
    </w:p>
    <w:p w14:paraId="24D92378" w14:textId="0B0182B6" w:rsidR="00030E2D" w:rsidRDefault="00030E2D" w:rsidP="00D62F2A">
      <w:pPr>
        <w:jc w:val="both"/>
      </w:pPr>
      <w:r>
        <w:tab/>
        <w:t xml:space="preserve">Wzdłuż południowo-wschodniej granicy działki, poza jej obszarem zlokalizowany był zewidencjonowany rów melioracyjny R-KZ-5F- obecnie wg Mapy Podziału Hydrograficznego </w:t>
      </w:r>
      <w:r w:rsidR="00506FD6">
        <w:t>Polski jest to ciek o nazwie „Dopływ ze Złoczewa”. Przedsięwzięcie na etapie realizacji i eksploatacji nie będzie ingerować w ww. ciek.</w:t>
      </w:r>
    </w:p>
    <w:p w14:paraId="26D39F60" w14:textId="5C7C1726" w:rsidR="00506FD6" w:rsidRDefault="00506FD6" w:rsidP="00D62F2A">
      <w:pPr>
        <w:jc w:val="both"/>
      </w:pPr>
      <w:r>
        <w:tab/>
        <w:t>Ze względu na rodzaj, skalę i usytuowanie przedsięwzięcia można jednoznacznie stwierdzić, iż nie będzie ono powodować transgranicznego oddziaływania na środowisko.</w:t>
      </w:r>
    </w:p>
    <w:p w14:paraId="1423F9AC" w14:textId="0A46CA6D" w:rsidR="00506FD6" w:rsidRDefault="00506FD6" w:rsidP="00D62F2A">
      <w:pPr>
        <w:jc w:val="both"/>
      </w:pPr>
      <w:r>
        <w:tab/>
        <w:t>Zgodnie z danymi Banku Danych Lokalnych (GUS) gęstość zaludnienia na rok 2022 gminy miejsko-wiejskiej Złoczew wynosi 58,5 os/km</w:t>
      </w:r>
      <w:r>
        <w:rPr>
          <w:vertAlign w:val="superscript"/>
        </w:rPr>
        <w:t>2</w:t>
      </w:r>
      <w:r>
        <w:t>.</w:t>
      </w:r>
    </w:p>
    <w:p w14:paraId="4E694C6B" w14:textId="5F57118A" w:rsidR="00506FD6" w:rsidRDefault="00506FD6" w:rsidP="00D62F2A">
      <w:pPr>
        <w:jc w:val="both"/>
      </w:pPr>
      <w:r>
        <w:tab/>
        <w:t>Z uwagi na zakres, skalę i charakter prac przewiduje się, że zasięg oddziaływania przedsięwzięcia ograniczy się do terenu, na którym będzie realizowane oraz terenu z nim sąsiadującego. Przy założeniach przyjętych w KIP i Aneks nr 1 do KIP, przedsięwzięcie będzie mieć charakter lokalny i nie będzie oddziaływać w sposób znaczący na obszary geograficzne i znaczną liczbę ludności.</w:t>
      </w:r>
    </w:p>
    <w:p w14:paraId="0EA86B88" w14:textId="56F9B54B" w:rsidR="008045D8" w:rsidRDefault="00506FD6" w:rsidP="00D62F2A">
      <w:pPr>
        <w:jc w:val="both"/>
      </w:pPr>
      <w:r>
        <w:tab/>
      </w:r>
      <w:r w:rsidR="00FC5FF0">
        <w:t>Na podstawie informacji zawartych w zgromadzonej dokumentacji należy stwierdzić, że na etapie realizacji, eksploatacji i ewentualnej likwidacji przedsięwzięcia przy przyjętych założeniach technicznych nie będą występowały oddziaływania o znacznej wielkości intensywności lub złożoności. Nie wystąpi prawdopodobieństwo znacząco negatywnego oddziaływania na żaden z komponentów środowiska. Przyjęte działania minimalizujące wskazane w KIP</w:t>
      </w:r>
      <w:r w:rsidR="008045D8">
        <w:t>, Aneksie Nr 1 do KIP oraz warunki określone w pkt II sentencji niniejszego postanowienia będą wystarczające do zapewnienia właściwego przebiegu prac podczas realizacji przedsięwzięcia i późniejszej eksploatacji przedsięwzięcia, pod względem minimalizacji oddziaływania na środowisko.</w:t>
      </w:r>
    </w:p>
    <w:p w14:paraId="30F5DE4C" w14:textId="77777777" w:rsidR="000159F3" w:rsidRDefault="000159F3" w:rsidP="00D62F2A">
      <w:pPr>
        <w:jc w:val="both"/>
      </w:pPr>
    </w:p>
    <w:p w14:paraId="3754C55F" w14:textId="682B4ED0" w:rsidR="008045D8" w:rsidRPr="00506FD6" w:rsidRDefault="008045D8" w:rsidP="00D62F2A">
      <w:pPr>
        <w:jc w:val="both"/>
      </w:pPr>
      <w:r>
        <w:tab/>
        <w:t>Mając powyższe na uwadze uznano za zasadne odstąpienie od przeprowadzenia oceny oddziaływania na środowisko.</w:t>
      </w:r>
    </w:p>
    <w:p w14:paraId="7B2A9B30" w14:textId="77777777" w:rsidR="00C13657" w:rsidRPr="00C13657" w:rsidRDefault="00C13657" w:rsidP="00D62F2A">
      <w:pPr>
        <w:jc w:val="both"/>
      </w:pPr>
    </w:p>
    <w:p w14:paraId="5E1A48A1" w14:textId="045DD1C6" w:rsidR="00D62F2A" w:rsidRDefault="00D62F2A" w:rsidP="00D62F2A">
      <w:pPr>
        <w:ind w:firstLine="708"/>
        <w:jc w:val="both"/>
      </w:pPr>
    </w:p>
    <w:p w14:paraId="1B365CDC" w14:textId="77777777" w:rsidR="000159F3" w:rsidRDefault="000159F3" w:rsidP="00D62F2A">
      <w:pPr>
        <w:ind w:firstLine="708"/>
        <w:jc w:val="both"/>
      </w:pPr>
    </w:p>
    <w:p w14:paraId="36DB9716" w14:textId="77777777" w:rsidR="000159F3" w:rsidRPr="00D62F2A" w:rsidRDefault="000159F3" w:rsidP="000159F3">
      <w:pPr>
        <w:jc w:val="both"/>
      </w:pPr>
    </w:p>
    <w:p w14:paraId="34C71790" w14:textId="06703701" w:rsidR="00EF7377" w:rsidRDefault="00EF7377" w:rsidP="000C7181">
      <w:pPr>
        <w:jc w:val="center"/>
        <w:rPr>
          <w:b/>
          <w:bCs/>
        </w:rPr>
      </w:pPr>
      <w:bookmarkStart w:id="7" w:name="_Hlk93487896"/>
      <w:bookmarkEnd w:id="2"/>
      <w:r w:rsidRPr="00EF7377">
        <w:rPr>
          <w:b/>
          <w:bCs/>
        </w:rPr>
        <w:lastRenderedPageBreak/>
        <w:t xml:space="preserve">P O U C Z E N I E </w:t>
      </w:r>
    </w:p>
    <w:p w14:paraId="49D4B8FB" w14:textId="460EF5ED" w:rsidR="00C00030" w:rsidRDefault="00EF7377" w:rsidP="00EF7377">
      <w:pPr>
        <w:jc w:val="both"/>
      </w:pPr>
      <w:r>
        <w:t xml:space="preserve">Od niniejszej decyzji przysługuje stronom odwołanie do Samorządowego Kolegium Odwoławczego </w:t>
      </w:r>
      <w:r>
        <w:br/>
        <w:t xml:space="preserve">w Sieradzu w terminie 14 dni od dnia doręczenia decyzji, za pośrednictwem Burmistrza Miasta Złoczewa. </w:t>
      </w:r>
      <w:bookmarkEnd w:id="7"/>
    </w:p>
    <w:p w14:paraId="495DAAD1" w14:textId="03676556" w:rsidR="00F80224" w:rsidRDefault="00F80224" w:rsidP="00EF7377">
      <w:pPr>
        <w:jc w:val="both"/>
      </w:pPr>
    </w:p>
    <w:p w14:paraId="30A73E34" w14:textId="13459872" w:rsidR="000C7181" w:rsidRDefault="000C7181" w:rsidP="00EF7377">
      <w:pPr>
        <w:jc w:val="both"/>
      </w:pPr>
    </w:p>
    <w:p w14:paraId="6FF60C20" w14:textId="11505E79" w:rsidR="000C7181" w:rsidRDefault="000C7181" w:rsidP="00EF7377">
      <w:pPr>
        <w:jc w:val="both"/>
      </w:pPr>
    </w:p>
    <w:p w14:paraId="5344F630" w14:textId="6493EE93" w:rsidR="000C7181" w:rsidRDefault="000C7181" w:rsidP="00EF7377">
      <w:pPr>
        <w:jc w:val="both"/>
      </w:pPr>
    </w:p>
    <w:p w14:paraId="1A34597E" w14:textId="7066C5E4" w:rsidR="000C7181" w:rsidRDefault="000C7181" w:rsidP="00EF7377">
      <w:pPr>
        <w:jc w:val="both"/>
      </w:pPr>
    </w:p>
    <w:p w14:paraId="4AB33274" w14:textId="5AD81A41" w:rsidR="000C7181" w:rsidRDefault="000C7181" w:rsidP="00EF7377">
      <w:pPr>
        <w:jc w:val="both"/>
      </w:pPr>
    </w:p>
    <w:p w14:paraId="2F74210E" w14:textId="1524F014" w:rsidR="00480A95" w:rsidRDefault="00480A95" w:rsidP="00EF7377">
      <w:pPr>
        <w:jc w:val="both"/>
      </w:pPr>
    </w:p>
    <w:p w14:paraId="472FF3FF" w14:textId="5CEBDB73" w:rsidR="00480A95" w:rsidRDefault="00480A95" w:rsidP="00EF7377">
      <w:pPr>
        <w:jc w:val="both"/>
      </w:pPr>
    </w:p>
    <w:p w14:paraId="5F4EB985" w14:textId="6A300EFC" w:rsidR="00BA1912" w:rsidRDefault="00BA1912" w:rsidP="00EF7377">
      <w:pPr>
        <w:jc w:val="both"/>
      </w:pPr>
    </w:p>
    <w:p w14:paraId="50BBDA6C" w14:textId="42E54E2D" w:rsidR="00BA1912" w:rsidRDefault="00BA1912" w:rsidP="00EF7377">
      <w:pPr>
        <w:jc w:val="both"/>
      </w:pPr>
    </w:p>
    <w:p w14:paraId="71F4E6D7" w14:textId="3864AEAB" w:rsidR="00BA1912" w:rsidRDefault="00BA1912" w:rsidP="00EF7377">
      <w:pPr>
        <w:jc w:val="both"/>
      </w:pPr>
    </w:p>
    <w:p w14:paraId="098DA1BA" w14:textId="77777777" w:rsidR="00BA1912" w:rsidRDefault="00BA1912" w:rsidP="00EF7377">
      <w:pPr>
        <w:jc w:val="both"/>
      </w:pPr>
    </w:p>
    <w:p w14:paraId="140A2B31" w14:textId="17447035" w:rsidR="00EF7377" w:rsidRPr="00F80224" w:rsidRDefault="00EF7377" w:rsidP="00EF7377">
      <w:pPr>
        <w:jc w:val="both"/>
        <w:rPr>
          <w:i/>
          <w:iCs/>
          <w:sz w:val="18"/>
          <w:szCs w:val="18"/>
          <w:u w:val="single"/>
        </w:rPr>
      </w:pPr>
      <w:bookmarkStart w:id="8" w:name="_Hlk93487928"/>
      <w:r w:rsidRPr="00F80224">
        <w:rPr>
          <w:i/>
          <w:iCs/>
          <w:sz w:val="18"/>
          <w:szCs w:val="18"/>
          <w:u w:val="single"/>
        </w:rPr>
        <w:t>Załączniki:</w:t>
      </w:r>
    </w:p>
    <w:p w14:paraId="37914ED0" w14:textId="7E5EF73E" w:rsidR="00EF7377" w:rsidRPr="00F80224" w:rsidRDefault="00EF7377" w:rsidP="00EF7377">
      <w:pPr>
        <w:jc w:val="both"/>
        <w:rPr>
          <w:i/>
          <w:iCs/>
          <w:sz w:val="18"/>
          <w:szCs w:val="18"/>
        </w:rPr>
      </w:pPr>
      <w:r w:rsidRPr="00F80224">
        <w:rPr>
          <w:i/>
          <w:iCs/>
          <w:sz w:val="18"/>
          <w:szCs w:val="18"/>
        </w:rPr>
        <w:t xml:space="preserve">1. Charakterystyka przedsięwzięcia </w:t>
      </w:r>
    </w:p>
    <w:p w14:paraId="1C3FF8FE" w14:textId="021FE1E0" w:rsidR="00EF7377" w:rsidRPr="00F80224" w:rsidRDefault="00EF7377" w:rsidP="00EF7377">
      <w:pPr>
        <w:jc w:val="both"/>
        <w:rPr>
          <w:i/>
          <w:iCs/>
          <w:sz w:val="18"/>
          <w:szCs w:val="18"/>
          <w:u w:val="single"/>
        </w:rPr>
      </w:pPr>
      <w:r w:rsidRPr="00F80224">
        <w:rPr>
          <w:i/>
          <w:iCs/>
          <w:sz w:val="18"/>
          <w:szCs w:val="18"/>
          <w:u w:val="single"/>
        </w:rPr>
        <w:t>Otrzymują:</w:t>
      </w:r>
    </w:p>
    <w:p w14:paraId="1C28F7AA" w14:textId="157CCA6B" w:rsidR="00EF7377" w:rsidRPr="00F80224" w:rsidRDefault="00EF7377" w:rsidP="00EF7377">
      <w:pPr>
        <w:jc w:val="both"/>
        <w:rPr>
          <w:i/>
          <w:iCs/>
          <w:sz w:val="18"/>
          <w:szCs w:val="18"/>
        </w:rPr>
      </w:pPr>
      <w:r w:rsidRPr="00F80224">
        <w:rPr>
          <w:i/>
          <w:iCs/>
          <w:sz w:val="18"/>
          <w:szCs w:val="18"/>
        </w:rPr>
        <w:t xml:space="preserve">1. Inwestor </w:t>
      </w:r>
    </w:p>
    <w:p w14:paraId="69DD3ECC" w14:textId="2BF91E6E" w:rsidR="00EF7377" w:rsidRPr="00F80224" w:rsidRDefault="00EF7377" w:rsidP="00EF7377">
      <w:pPr>
        <w:jc w:val="both"/>
        <w:rPr>
          <w:i/>
          <w:iCs/>
          <w:sz w:val="18"/>
          <w:szCs w:val="18"/>
        </w:rPr>
      </w:pPr>
      <w:r w:rsidRPr="00F80224">
        <w:rPr>
          <w:i/>
          <w:iCs/>
          <w:sz w:val="18"/>
          <w:szCs w:val="18"/>
        </w:rPr>
        <w:t xml:space="preserve">2. a/a </w:t>
      </w:r>
    </w:p>
    <w:p w14:paraId="0F1127B9" w14:textId="6F6E2084" w:rsidR="00EF7377" w:rsidRPr="00F80224" w:rsidRDefault="00EF7377" w:rsidP="00EF7377">
      <w:pPr>
        <w:jc w:val="both"/>
        <w:rPr>
          <w:i/>
          <w:iCs/>
          <w:sz w:val="18"/>
          <w:szCs w:val="18"/>
          <w:u w:val="single"/>
        </w:rPr>
      </w:pPr>
      <w:r w:rsidRPr="00F80224">
        <w:rPr>
          <w:i/>
          <w:iCs/>
          <w:sz w:val="18"/>
          <w:szCs w:val="18"/>
          <w:u w:val="single"/>
        </w:rPr>
        <w:t xml:space="preserve">Do wiadomości: </w:t>
      </w:r>
    </w:p>
    <w:p w14:paraId="6EE26A40" w14:textId="0A504F3C" w:rsidR="00EF7377" w:rsidRPr="00F80224" w:rsidRDefault="00EF7377" w:rsidP="00EF7377">
      <w:pPr>
        <w:jc w:val="both"/>
        <w:rPr>
          <w:b/>
          <w:bCs/>
          <w:i/>
          <w:iCs/>
          <w:sz w:val="18"/>
          <w:szCs w:val="18"/>
        </w:rPr>
      </w:pPr>
      <w:r w:rsidRPr="00F80224">
        <w:rPr>
          <w:b/>
          <w:bCs/>
          <w:i/>
          <w:iCs/>
          <w:sz w:val="18"/>
          <w:szCs w:val="18"/>
        </w:rPr>
        <w:t>1. Regionalny Dyrektor Ochrony Środowiska w Łodzi</w:t>
      </w:r>
    </w:p>
    <w:p w14:paraId="45FC67CB" w14:textId="4B94250B" w:rsidR="00EF7377" w:rsidRPr="00F80224" w:rsidRDefault="00EF7377" w:rsidP="00EF7377">
      <w:pPr>
        <w:jc w:val="both"/>
        <w:rPr>
          <w:i/>
          <w:iCs/>
          <w:sz w:val="18"/>
          <w:szCs w:val="18"/>
        </w:rPr>
      </w:pPr>
      <w:r w:rsidRPr="00F80224">
        <w:rPr>
          <w:i/>
          <w:iCs/>
          <w:sz w:val="18"/>
          <w:szCs w:val="18"/>
        </w:rPr>
        <w:t xml:space="preserve">ul. Traugutta 25, 90-113 Łódź, </w:t>
      </w:r>
    </w:p>
    <w:p w14:paraId="0D5DF961" w14:textId="69F39515" w:rsidR="00EF7377" w:rsidRPr="00F80224" w:rsidRDefault="00EF7377" w:rsidP="00EF7377">
      <w:pPr>
        <w:jc w:val="both"/>
        <w:rPr>
          <w:b/>
          <w:bCs/>
          <w:i/>
          <w:iCs/>
          <w:sz w:val="18"/>
          <w:szCs w:val="18"/>
        </w:rPr>
      </w:pPr>
      <w:r w:rsidRPr="00F80224">
        <w:rPr>
          <w:b/>
          <w:bCs/>
          <w:i/>
          <w:iCs/>
          <w:sz w:val="18"/>
          <w:szCs w:val="18"/>
        </w:rPr>
        <w:t>2. Państwowy Powiatow</w:t>
      </w:r>
      <w:r w:rsidR="006F79D3">
        <w:rPr>
          <w:b/>
          <w:bCs/>
          <w:i/>
          <w:iCs/>
          <w:sz w:val="18"/>
          <w:szCs w:val="18"/>
        </w:rPr>
        <w:t>y</w:t>
      </w:r>
      <w:r w:rsidRPr="00F80224">
        <w:rPr>
          <w:b/>
          <w:bCs/>
          <w:i/>
          <w:iCs/>
          <w:sz w:val="18"/>
          <w:szCs w:val="18"/>
        </w:rPr>
        <w:t xml:space="preserve"> Inspektora</w:t>
      </w:r>
      <w:r w:rsidR="006F79D3">
        <w:rPr>
          <w:b/>
          <w:bCs/>
          <w:i/>
          <w:iCs/>
          <w:sz w:val="18"/>
          <w:szCs w:val="18"/>
        </w:rPr>
        <w:t>t</w:t>
      </w:r>
      <w:r w:rsidRPr="00F80224">
        <w:rPr>
          <w:b/>
          <w:bCs/>
          <w:i/>
          <w:iCs/>
          <w:sz w:val="18"/>
          <w:szCs w:val="18"/>
        </w:rPr>
        <w:t xml:space="preserve"> Sanitarnego w Sieradzu</w:t>
      </w:r>
    </w:p>
    <w:p w14:paraId="499A4363" w14:textId="5A506370" w:rsidR="00EF7377" w:rsidRPr="00F80224" w:rsidRDefault="00EF7377" w:rsidP="00EF7377">
      <w:pPr>
        <w:jc w:val="both"/>
        <w:rPr>
          <w:i/>
          <w:iCs/>
          <w:sz w:val="18"/>
          <w:szCs w:val="18"/>
        </w:rPr>
      </w:pPr>
      <w:r w:rsidRPr="00F80224">
        <w:rPr>
          <w:i/>
          <w:iCs/>
          <w:sz w:val="18"/>
          <w:szCs w:val="18"/>
        </w:rPr>
        <w:t>ul. POW 52, 98-200 Sieradz,</w:t>
      </w:r>
    </w:p>
    <w:p w14:paraId="5903A7E9" w14:textId="5255F3CC" w:rsidR="00EF7377" w:rsidRPr="00F80224" w:rsidRDefault="00EF7377" w:rsidP="00EF7377">
      <w:pPr>
        <w:jc w:val="both"/>
        <w:rPr>
          <w:b/>
          <w:bCs/>
          <w:i/>
          <w:iCs/>
          <w:sz w:val="18"/>
          <w:szCs w:val="18"/>
        </w:rPr>
      </w:pPr>
      <w:r w:rsidRPr="00F80224">
        <w:rPr>
          <w:b/>
          <w:bCs/>
          <w:i/>
          <w:iCs/>
          <w:sz w:val="18"/>
          <w:szCs w:val="18"/>
        </w:rPr>
        <w:t>3. Państwowe Gospodarstwo Wodne Wody Polskie w Sieradzu</w:t>
      </w:r>
    </w:p>
    <w:p w14:paraId="1148EA81" w14:textId="39267875" w:rsidR="00EF7377" w:rsidRPr="000C7181" w:rsidRDefault="00EF7377" w:rsidP="00EF7377">
      <w:pPr>
        <w:jc w:val="both"/>
        <w:rPr>
          <w:i/>
          <w:iCs/>
          <w:sz w:val="18"/>
          <w:szCs w:val="18"/>
        </w:rPr>
      </w:pPr>
      <w:r w:rsidRPr="00F80224">
        <w:rPr>
          <w:i/>
          <w:iCs/>
          <w:sz w:val="18"/>
          <w:szCs w:val="18"/>
        </w:rPr>
        <w:t>Plac Wojewódzki 1, 98-200 Sieradz</w:t>
      </w:r>
      <w:bookmarkEnd w:id="8"/>
    </w:p>
    <w:sectPr w:rsidR="00EF7377" w:rsidRPr="000C7181" w:rsidSect="00E31187">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87335" w14:textId="77777777" w:rsidR="00E31187" w:rsidRDefault="00E31187" w:rsidP="00D563BB">
      <w:pPr>
        <w:spacing w:after="0" w:line="240" w:lineRule="auto"/>
      </w:pPr>
      <w:r>
        <w:separator/>
      </w:r>
    </w:p>
  </w:endnote>
  <w:endnote w:type="continuationSeparator" w:id="0">
    <w:p w14:paraId="547A11E0" w14:textId="77777777" w:rsidR="00E31187" w:rsidRDefault="00E31187" w:rsidP="00D56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9764222"/>
      <w:docPartObj>
        <w:docPartGallery w:val="Page Numbers (Bottom of Page)"/>
        <w:docPartUnique/>
      </w:docPartObj>
    </w:sdtPr>
    <w:sdtContent>
      <w:p w14:paraId="78D32670" w14:textId="7A0EEB70" w:rsidR="004A094C" w:rsidRDefault="004A094C">
        <w:pPr>
          <w:pStyle w:val="Stopka"/>
          <w:jc w:val="center"/>
        </w:pPr>
        <w:r>
          <w:fldChar w:fldCharType="begin"/>
        </w:r>
        <w:r>
          <w:instrText>PAGE   \* MERGEFORMAT</w:instrText>
        </w:r>
        <w:r>
          <w:fldChar w:fldCharType="separate"/>
        </w:r>
        <w:r>
          <w:t>2</w:t>
        </w:r>
        <w:r>
          <w:fldChar w:fldCharType="end"/>
        </w:r>
      </w:p>
    </w:sdtContent>
  </w:sdt>
  <w:p w14:paraId="0961E031" w14:textId="77777777" w:rsidR="004A094C" w:rsidRDefault="004A094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85791" w14:textId="77777777" w:rsidR="00E31187" w:rsidRDefault="00E31187" w:rsidP="00D563BB">
      <w:pPr>
        <w:spacing w:after="0" w:line="240" w:lineRule="auto"/>
      </w:pPr>
      <w:r>
        <w:separator/>
      </w:r>
    </w:p>
  </w:footnote>
  <w:footnote w:type="continuationSeparator" w:id="0">
    <w:p w14:paraId="10DCE376" w14:textId="77777777" w:rsidR="00E31187" w:rsidRDefault="00E31187" w:rsidP="00D563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00D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9C2A81"/>
    <w:multiLevelType w:val="hybridMultilevel"/>
    <w:tmpl w:val="B33EEE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63A2009"/>
    <w:multiLevelType w:val="hybridMultilevel"/>
    <w:tmpl w:val="4566A9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D732F10"/>
    <w:multiLevelType w:val="hybridMultilevel"/>
    <w:tmpl w:val="5516C5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921996"/>
    <w:multiLevelType w:val="hybridMultilevel"/>
    <w:tmpl w:val="0ED0931E"/>
    <w:lvl w:ilvl="0" w:tplc="817E63F0">
      <w:start w:val="1"/>
      <w:numFmt w:val="lowerLetter"/>
      <w:lvlText w:val="%1)"/>
      <w:lvlJc w:val="left"/>
      <w:pPr>
        <w:ind w:left="360" w:hanging="360"/>
      </w:pPr>
      <w:rPr>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A3D472D"/>
    <w:multiLevelType w:val="hybridMultilevel"/>
    <w:tmpl w:val="69009C94"/>
    <w:lvl w:ilvl="0" w:tplc="7B584EDC">
      <w:start w:val="1"/>
      <w:numFmt w:val="decimal"/>
      <w:lvlText w:val="%1)"/>
      <w:lvlJc w:val="left"/>
      <w:pPr>
        <w:ind w:left="501" w:hanging="360"/>
      </w:pPr>
      <w:rPr>
        <w:b w:val="0"/>
        <w:bCs w:val="0"/>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6" w15:restartNumberingAfterBreak="0">
    <w:nsid w:val="1EB7017C"/>
    <w:multiLevelType w:val="hybridMultilevel"/>
    <w:tmpl w:val="31E220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5197304"/>
    <w:multiLevelType w:val="hybridMultilevel"/>
    <w:tmpl w:val="84646EE6"/>
    <w:lvl w:ilvl="0" w:tplc="D346C0DE">
      <w:start w:val="1"/>
      <w:numFmt w:val="decimal"/>
      <w:lvlText w:val="%1)"/>
      <w:lvlJc w:val="left"/>
      <w:pPr>
        <w:ind w:left="927" w:hanging="360"/>
      </w:pPr>
      <w:rPr>
        <w:b w:val="0"/>
        <w:bCs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25264CBB"/>
    <w:multiLevelType w:val="hybridMultilevel"/>
    <w:tmpl w:val="E1EA52A2"/>
    <w:lvl w:ilvl="0" w:tplc="6EC050E4">
      <w:start w:val="1"/>
      <w:numFmt w:val="decimal"/>
      <w:lvlText w:val="%1."/>
      <w:lvlJc w:val="left"/>
      <w:pPr>
        <w:ind w:left="501" w:hanging="360"/>
      </w:pPr>
      <w:rPr>
        <w:b w:val="0"/>
        <w:bCs w:val="0"/>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9" w15:restartNumberingAfterBreak="0">
    <w:nsid w:val="27C43C2C"/>
    <w:multiLevelType w:val="hybridMultilevel"/>
    <w:tmpl w:val="17C89280"/>
    <w:lvl w:ilvl="0" w:tplc="CD9C6CCE">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FE6556B"/>
    <w:multiLevelType w:val="hybridMultilevel"/>
    <w:tmpl w:val="696020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595455E"/>
    <w:multiLevelType w:val="hybridMultilevel"/>
    <w:tmpl w:val="EA6A6F36"/>
    <w:lvl w:ilvl="0" w:tplc="CA50E1D4">
      <w:start w:val="1"/>
      <w:numFmt w:val="decimal"/>
      <w:lvlText w:val="%1."/>
      <w:lvlJc w:val="left"/>
      <w:pPr>
        <w:ind w:left="1080" w:hanging="360"/>
      </w:pPr>
      <w:rPr>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384C7A7A"/>
    <w:multiLevelType w:val="hybridMultilevel"/>
    <w:tmpl w:val="1166CAFA"/>
    <w:lvl w:ilvl="0" w:tplc="88A6E414">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6561EB6"/>
    <w:multiLevelType w:val="hybridMultilevel"/>
    <w:tmpl w:val="3E06ED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80D6837"/>
    <w:multiLevelType w:val="hybridMultilevel"/>
    <w:tmpl w:val="A68CE1C6"/>
    <w:lvl w:ilvl="0" w:tplc="0415000F">
      <w:start w:val="1"/>
      <w:numFmt w:val="decimal"/>
      <w:lvlText w:val="%1."/>
      <w:lvlJc w:val="left"/>
      <w:pPr>
        <w:ind w:left="643" w:hanging="360"/>
      </w:pPr>
      <w:rPr>
        <w:b w:val="0"/>
        <w:bCs w:val="0"/>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5" w15:restartNumberingAfterBreak="0">
    <w:nsid w:val="4BB52899"/>
    <w:multiLevelType w:val="hybridMultilevel"/>
    <w:tmpl w:val="41BC3D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E7A68E6"/>
    <w:multiLevelType w:val="hybridMultilevel"/>
    <w:tmpl w:val="3F8662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4810DEE"/>
    <w:multiLevelType w:val="hybridMultilevel"/>
    <w:tmpl w:val="CABC2CD4"/>
    <w:lvl w:ilvl="0" w:tplc="0C72BAF8">
      <w:start w:val="1"/>
      <w:numFmt w:val="upperRoman"/>
      <w:lvlText w:val="%1."/>
      <w:lvlJc w:val="righ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91B25A8"/>
    <w:multiLevelType w:val="hybridMultilevel"/>
    <w:tmpl w:val="2DF43B30"/>
    <w:lvl w:ilvl="0" w:tplc="093CA328">
      <w:start w:val="1"/>
      <w:numFmt w:val="decimal"/>
      <w:lvlText w:val="%1."/>
      <w:lvlJc w:val="left"/>
      <w:pPr>
        <w:ind w:left="643" w:hanging="360"/>
      </w:pPr>
      <w:rPr>
        <w:b w:val="0"/>
        <w:bCs w:val="0"/>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9" w15:restartNumberingAfterBreak="0">
    <w:nsid w:val="5D7C3782"/>
    <w:multiLevelType w:val="hybridMultilevel"/>
    <w:tmpl w:val="87CE61C2"/>
    <w:lvl w:ilvl="0" w:tplc="0415000F">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0" w15:restartNumberingAfterBreak="0">
    <w:nsid w:val="605A310C"/>
    <w:multiLevelType w:val="hybridMultilevel"/>
    <w:tmpl w:val="B308F1E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61682C56"/>
    <w:multiLevelType w:val="hybridMultilevel"/>
    <w:tmpl w:val="33DCD9CC"/>
    <w:lvl w:ilvl="0" w:tplc="DE865AEC">
      <w:start w:val="1"/>
      <w:numFmt w:val="decimal"/>
      <w:lvlText w:val="%1."/>
      <w:lvlJc w:val="left"/>
      <w:pPr>
        <w:ind w:left="501" w:hanging="360"/>
      </w:pPr>
      <w:rPr>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6A4948B7"/>
    <w:multiLevelType w:val="hybridMultilevel"/>
    <w:tmpl w:val="FBC8B9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6CD569E6"/>
    <w:multiLevelType w:val="hybridMultilevel"/>
    <w:tmpl w:val="C1A46450"/>
    <w:lvl w:ilvl="0" w:tplc="B2AABBF0">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4455D44"/>
    <w:multiLevelType w:val="hybridMultilevel"/>
    <w:tmpl w:val="716EFFA2"/>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7C8F40F4"/>
    <w:multiLevelType w:val="hybridMultilevel"/>
    <w:tmpl w:val="1DAE0C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67508617">
    <w:abstractNumId w:val="19"/>
  </w:num>
  <w:num w:numId="2" w16cid:durableId="11733259">
    <w:abstractNumId w:val="17"/>
  </w:num>
  <w:num w:numId="3" w16cid:durableId="749618311">
    <w:abstractNumId w:val="5"/>
  </w:num>
  <w:num w:numId="4" w16cid:durableId="169951837">
    <w:abstractNumId w:val="13"/>
  </w:num>
  <w:num w:numId="5" w16cid:durableId="133449909">
    <w:abstractNumId w:val="15"/>
  </w:num>
  <w:num w:numId="6" w16cid:durableId="252513877">
    <w:abstractNumId w:val="6"/>
  </w:num>
  <w:num w:numId="7" w16cid:durableId="786240491">
    <w:abstractNumId w:val="22"/>
  </w:num>
  <w:num w:numId="8" w16cid:durableId="1766925582">
    <w:abstractNumId w:val="0"/>
  </w:num>
  <w:num w:numId="9" w16cid:durableId="1502428610">
    <w:abstractNumId w:val="4"/>
  </w:num>
  <w:num w:numId="10" w16cid:durableId="2099330866">
    <w:abstractNumId w:val="25"/>
  </w:num>
  <w:num w:numId="11" w16cid:durableId="1406879226">
    <w:abstractNumId w:val="24"/>
  </w:num>
  <w:num w:numId="12" w16cid:durableId="1712195307">
    <w:abstractNumId w:val="7"/>
  </w:num>
  <w:num w:numId="13" w16cid:durableId="108861345">
    <w:abstractNumId w:val="14"/>
  </w:num>
  <w:num w:numId="14" w16cid:durableId="497304219">
    <w:abstractNumId w:val="23"/>
  </w:num>
  <w:num w:numId="15" w16cid:durableId="1831678159">
    <w:abstractNumId w:val="2"/>
  </w:num>
  <w:num w:numId="16" w16cid:durableId="74017072">
    <w:abstractNumId w:val="16"/>
  </w:num>
  <w:num w:numId="17" w16cid:durableId="533276256">
    <w:abstractNumId w:val="1"/>
  </w:num>
  <w:num w:numId="18" w16cid:durableId="1759711813">
    <w:abstractNumId w:val="3"/>
  </w:num>
  <w:num w:numId="19" w16cid:durableId="578292266">
    <w:abstractNumId w:val="8"/>
  </w:num>
  <w:num w:numId="20" w16cid:durableId="507981410">
    <w:abstractNumId w:val="9"/>
  </w:num>
  <w:num w:numId="21" w16cid:durableId="1054885529">
    <w:abstractNumId w:val="10"/>
  </w:num>
  <w:num w:numId="22" w16cid:durableId="1857183582">
    <w:abstractNumId w:val="21"/>
  </w:num>
  <w:num w:numId="23" w16cid:durableId="1191725526">
    <w:abstractNumId w:val="18"/>
  </w:num>
  <w:num w:numId="24" w16cid:durableId="938873768">
    <w:abstractNumId w:val="12"/>
  </w:num>
  <w:num w:numId="25" w16cid:durableId="2009284387">
    <w:abstractNumId w:val="20"/>
  </w:num>
  <w:num w:numId="26" w16cid:durableId="263706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340"/>
    <w:rsid w:val="0000431A"/>
    <w:rsid w:val="00014632"/>
    <w:rsid w:val="000159F3"/>
    <w:rsid w:val="00023011"/>
    <w:rsid w:val="00030E2D"/>
    <w:rsid w:val="0004226A"/>
    <w:rsid w:val="000425FC"/>
    <w:rsid w:val="0004464C"/>
    <w:rsid w:val="00044797"/>
    <w:rsid w:val="0004698D"/>
    <w:rsid w:val="00053B3B"/>
    <w:rsid w:val="00054F3C"/>
    <w:rsid w:val="000636C4"/>
    <w:rsid w:val="000713A6"/>
    <w:rsid w:val="00086203"/>
    <w:rsid w:val="000A200C"/>
    <w:rsid w:val="000A3413"/>
    <w:rsid w:val="000A52DD"/>
    <w:rsid w:val="000A542D"/>
    <w:rsid w:val="000A55BC"/>
    <w:rsid w:val="000B29C2"/>
    <w:rsid w:val="000B6283"/>
    <w:rsid w:val="000C4536"/>
    <w:rsid w:val="000C5A31"/>
    <w:rsid w:val="000C7181"/>
    <w:rsid w:val="000D5160"/>
    <w:rsid w:val="001069CA"/>
    <w:rsid w:val="00116111"/>
    <w:rsid w:val="00120B86"/>
    <w:rsid w:val="001210D3"/>
    <w:rsid w:val="001259C7"/>
    <w:rsid w:val="0012636C"/>
    <w:rsid w:val="00134737"/>
    <w:rsid w:val="001420EF"/>
    <w:rsid w:val="00143551"/>
    <w:rsid w:val="001462DD"/>
    <w:rsid w:val="00150523"/>
    <w:rsid w:val="0015379D"/>
    <w:rsid w:val="00170C9D"/>
    <w:rsid w:val="0017151B"/>
    <w:rsid w:val="00171551"/>
    <w:rsid w:val="001733BA"/>
    <w:rsid w:val="001A74C6"/>
    <w:rsid w:val="001A7944"/>
    <w:rsid w:val="001C6E0A"/>
    <w:rsid w:val="001D013E"/>
    <w:rsid w:val="001E42E4"/>
    <w:rsid w:val="001F45EA"/>
    <w:rsid w:val="00216654"/>
    <w:rsid w:val="00220891"/>
    <w:rsid w:val="00221FE7"/>
    <w:rsid w:val="00226EE2"/>
    <w:rsid w:val="00227F5B"/>
    <w:rsid w:val="002309C5"/>
    <w:rsid w:val="00231520"/>
    <w:rsid w:val="0023647C"/>
    <w:rsid w:val="00236569"/>
    <w:rsid w:val="00237099"/>
    <w:rsid w:val="0024134C"/>
    <w:rsid w:val="0024345C"/>
    <w:rsid w:val="0024473F"/>
    <w:rsid w:val="00245365"/>
    <w:rsid w:val="00245542"/>
    <w:rsid w:val="00246AB9"/>
    <w:rsid w:val="00246C52"/>
    <w:rsid w:val="002512D9"/>
    <w:rsid w:val="00252453"/>
    <w:rsid w:val="00254381"/>
    <w:rsid w:val="0027343C"/>
    <w:rsid w:val="00294C4D"/>
    <w:rsid w:val="00296538"/>
    <w:rsid w:val="002A2FEB"/>
    <w:rsid w:val="002B11A9"/>
    <w:rsid w:val="002B702D"/>
    <w:rsid w:val="002D5125"/>
    <w:rsid w:val="002D5745"/>
    <w:rsid w:val="002E1E40"/>
    <w:rsid w:val="002E7CD1"/>
    <w:rsid w:val="003145F6"/>
    <w:rsid w:val="00316097"/>
    <w:rsid w:val="00326F0F"/>
    <w:rsid w:val="00333C32"/>
    <w:rsid w:val="00336300"/>
    <w:rsid w:val="003449C5"/>
    <w:rsid w:val="003452B8"/>
    <w:rsid w:val="00357E6F"/>
    <w:rsid w:val="00371554"/>
    <w:rsid w:val="00373F80"/>
    <w:rsid w:val="00376235"/>
    <w:rsid w:val="00380584"/>
    <w:rsid w:val="00392EF5"/>
    <w:rsid w:val="00394DBF"/>
    <w:rsid w:val="00395E06"/>
    <w:rsid w:val="003B1505"/>
    <w:rsid w:val="003C3226"/>
    <w:rsid w:val="003D165D"/>
    <w:rsid w:val="003F278D"/>
    <w:rsid w:val="004004F4"/>
    <w:rsid w:val="00410404"/>
    <w:rsid w:val="004125CC"/>
    <w:rsid w:val="00420C95"/>
    <w:rsid w:val="004232B6"/>
    <w:rsid w:val="00430753"/>
    <w:rsid w:val="004332A7"/>
    <w:rsid w:val="00446671"/>
    <w:rsid w:val="00461811"/>
    <w:rsid w:val="00480A95"/>
    <w:rsid w:val="0049136B"/>
    <w:rsid w:val="00492E2F"/>
    <w:rsid w:val="00493CA7"/>
    <w:rsid w:val="00496CB1"/>
    <w:rsid w:val="004A094C"/>
    <w:rsid w:val="004B0F53"/>
    <w:rsid w:val="004B1AFF"/>
    <w:rsid w:val="004C4030"/>
    <w:rsid w:val="004D2BB3"/>
    <w:rsid w:val="004D75C0"/>
    <w:rsid w:val="004E34BE"/>
    <w:rsid w:val="004F37CF"/>
    <w:rsid w:val="004F5798"/>
    <w:rsid w:val="00500CAB"/>
    <w:rsid w:val="005012CD"/>
    <w:rsid w:val="00501FB2"/>
    <w:rsid w:val="00502B3E"/>
    <w:rsid w:val="00506FD6"/>
    <w:rsid w:val="00531F08"/>
    <w:rsid w:val="005331ED"/>
    <w:rsid w:val="00544AC3"/>
    <w:rsid w:val="0055340B"/>
    <w:rsid w:val="00555C6B"/>
    <w:rsid w:val="00557EB4"/>
    <w:rsid w:val="005638C4"/>
    <w:rsid w:val="005642B7"/>
    <w:rsid w:val="0057218D"/>
    <w:rsid w:val="00573B4C"/>
    <w:rsid w:val="00587083"/>
    <w:rsid w:val="00593174"/>
    <w:rsid w:val="005B1327"/>
    <w:rsid w:val="005B19F2"/>
    <w:rsid w:val="005B3E15"/>
    <w:rsid w:val="005B4808"/>
    <w:rsid w:val="005C6164"/>
    <w:rsid w:val="005C772C"/>
    <w:rsid w:val="005E3AE8"/>
    <w:rsid w:val="005F2D98"/>
    <w:rsid w:val="005F2E3D"/>
    <w:rsid w:val="006052FF"/>
    <w:rsid w:val="00607CB9"/>
    <w:rsid w:val="00616999"/>
    <w:rsid w:val="00620340"/>
    <w:rsid w:val="00621CCB"/>
    <w:rsid w:val="006409A8"/>
    <w:rsid w:val="006467DB"/>
    <w:rsid w:val="00646E02"/>
    <w:rsid w:val="00660D5A"/>
    <w:rsid w:val="00677128"/>
    <w:rsid w:val="00681E98"/>
    <w:rsid w:val="00692D5F"/>
    <w:rsid w:val="006A0D62"/>
    <w:rsid w:val="006B5AF5"/>
    <w:rsid w:val="006D5649"/>
    <w:rsid w:val="006E2F72"/>
    <w:rsid w:val="006E7E21"/>
    <w:rsid w:val="006F007C"/>
    <w:rsid w:val="006F2A9D"/>
    <w:rsid w:val="006F5D4F"/>
    <w:rsid w:val="006F79D3"/>
    <w:rsid w:val="00707B15"/>
    <w:rsid w:val="00711018"/>
    <w:rsid w:val="0071622E"/>
    <w:rsid w:val="00737EF8"/>
    <w:rsid w:val="00743720"/>
    <w:rsid w:val="00744F3C"/>
    <w:rsid w:val="00762925"/>
    <w:rsid w:val="0077057C"/>
    <w:rsid w:val="007759A9"/>
    <w:rsid w:val="00782C67"/>
    <w:rsid w:val="00790349"/>
    <w:rsid w:val="00791184"/>
    <w:rsid w:val="007932A1"/>
    <w:rsid w:val="00794D02"/>
    <w:rsid w:val="00796307"/>
    <w:rsid w:val="007A4ACD"/>
    <w:rsid w:val="007C0379"/>
    <w:rsid w:val="007C2DF9"/>
    <w:rsid w:val="007C336B"/>
    <w:rsid w:val="007C4A2E"/>
    <w:rsid w:val="007E32D1"/>
    <w:rsid w:val="007E5B1F"/>
    <w:rsid w:val="007E6E52"/>
    <w:rsid w:val="007F000B"/>
    <w:rsid w:val="007F345A"/>
    <w:rsid w:val="007F5253"/>
    <w:rsid w:val="007F5608"/>
    <w:rsid w:val="008045D8"/>
    <w:rsid w:val="00804DB4"/>
    <w:rsid w:val="00827C37"/>
    <w:rsid w:val="00834D09"/>
    <w:rsid w:val="008352A6"/>
    <w:rsid w:val="008363AB"/>
    <w:rsid w:val="0083719C"/>
    <w:rsid w:val="00850662"/>
    <w:rsid w:val="008563EA"/>
    <w:rsid w:val="008579C6"/>
    <w:rsid w:val="00860DB0"/>
    <w:rsid w:val="00861DB1"/>
    <w:rsid w:val="008627BA"/>
    <w:rsid w:val="008810AE"/>
    <w:rsid w:val="0089217B"/>
    <w:rsid w:val="0089224C"/>
    <w:rsid w:val="00894CED"/>
    <w:rsid w:val="00895118"/>
    <w:rsid w:val="008A6DBE"/>
    <w:rsid w:val="008A7DF5"/>
    <w:rsid w:val="008C12F3"/>
    <w:rsid w:val="008C595A"/>
    <w:rsid w:val="008C60AC"/>
    <w:rsid w:val="008D4056"/>
    <w:rsid w:val="008E0C69"/>
    <w:rsid w:val="008E3EFC"/>
    <w:rsid w:val="008F286F"/>
    <w:rsid w:val="008F5BEC"/>
    <w:rsid w:val="0090530C"/>
    <w:rsid w:val="0092198D"/>
    <w:rsid w:val="00922F2E"/>
    <w:rsid w:val="00930175"/>
    <w:rsid w:val="009475DB"/>
    <w:rsid w:val="00953607"/>
    <w:rsid w:val="00963C55"/>
    <w:rsid w:val="00970377"/>
    <w:rsid w:val="00976820"/>
    <w:rsid w:val="009A31CF"/>
    <w:rsid w:val="009A73A7"/>
    <w:rsid w:val="009A7C4E"/>
    <w:rsid w:val="009E3869"/>
    <w:rsid w:val="009E7A1E"/>
    <w:rsid w:val="009F385B"/>
    <w:rsid w:val="009F5BD2"/>
    <w:rsid w:val="00A04784"/>
    <w:rsid w:val="00A51150"/>
    <w:rsid w:val="00A52219"/>
    <w:rsid w:val="00A71F90"/>
    <w:rsid w:val="00A727CC"/>
    <w:rsid w:val="00A81EA5"/>
    <w:rsid w:val="00A90D49"/>
    <w:rsid w:val="00AA06B4"/>
    <w:rsid w:val="00AB03CE"/>
    <w:rsid w:val="00AB054E"/>
    <w:rsid w:val="00AB0DFE"/>
    <w:rsid w:val="00AB5E94"/>
    <w:rsid w:val="00AD3738"/>
    <w:rsid w:val="00AE2D8B"/>
    <w:rsid w:val="00AE42D3"/>
    <w:rsid w:val="00B02577"/>
    <w:rsid w:val="00B120C7"/>
    <w:rsid w:val="00B32069"/>
    <w:rsid w:val="00B3673B"/>
    <w:rsid w:val="00B42189"/>
    <w:rsid w:val="00B524C9"/>
    <w:rsid w:val="00B61EA5"/>
    <w:rsid w:val="00B65582"/>
    <w:rsid w:val="00B66711"/>
    <w:rsid w:val="00B71253"/>
    <w:rsid w:val="00B7402B"/>
    <w:rsid w:val="00B81158"/>
    <w:rsid w:val="00B81CB7"/>
    <w:rsid w:val="00B8250C"/>
    <w:rsid w:val="00B87CA6"/>
    <w:rsid w:val="00BA168B"/>
    <w:rsid w:val="00BA1912"/>
    <w:rsid w:val="00BA56C4"/>
    <w:rsid w:val="00BB2E69"/>
    <w:rsid w:val="00BC1198"/>
    <w:rsid w:val="00BC1905"/>
    <w:rsid w:val="00BF013D"/>
    <w:rsid w:val="00C00030"/>
    <w:rsid w:val="00C05290"/>
    <w:rsid w:val="00C07D06"/>
    <w:rsid w:val="00C07FA8"/>
    <w:rsid w:val="00C13657"/>
    <w:rsid w:val="00C2286E"/>
    <w:rsid w:val="00C311D2"/>
    <w:rsid w:val="00C37BD2"/>
    <w:rsid w:val="00C41804"/>
    <w:rsid w:val="00C454FF"/>
    <w:rsid w:val="00C46059"/>
    <w:rsid w:val="00C473AB"/>
    <w:rsid w:val="00C647A7"/>
    <w:rsid w:val="00C65DD7"/>
    <w:rsid w:val="00C66AE9"/>
    <w:rsid w:val="00C75AAE"/>
    <w:rsid w:val="00C84248"/>
    <w:rsid w:val="00C904EB"/>
    <w:rsid w:val="00C94F20"/>
    <w:rsid w:val="00C963DA"/>
    <w:rsid w:val="00CA271A"/>
    <w:rsid w:val="00CA5312"/>
    <w:rsid w:val="00CB3991"/>
    <w:rsid w:val="00CC5CEB"/>
    <w:rsid w:val="00CC6C1B"/>
    <w:rsid w:val="00CC73CC"/>
    <w:rsid w:val="00CD7719"/>
    <w:rsid w:val="00CD7BF1"/>
    <w:rsid w:val="00CD7CDF"/>
    <w:rsid w:val="00CE5112"/>
    <w:rsid w:val="00CE5BEF"/>
    <w:rsid w:val="00CF2E34"/>
    <w:rsid w:val="00D0088F"/>
    <w:rsid w:val="00D030B9"/>
    <w:rsid w:val="00D05C12"/>
    <w:rsid w:val="00D27926"/>
    <w:rsid w:val="00D563BB"/>
    <w:rsid w:val="00D611D1"/>
    <w:rsid w:val="00D62F2A"/>
    <w:rsid w:val="00D67D1D"/>
    <w:rsid w:val="00D70B29"/>
    <w:rsid w:val="00D82592"/>
    <w:rsid w:val="00D93B5A"/>
    <w:rsid w:val="00DA3E94"/>
    <w:rsid w:val="00DA57C6"/>
    <w:rsid w:val="00DB57A2"/>
    <w:rsid w:val="00DC5704"/>
    <w:rsid w:val="00DD5E8D"/>
    <w:rsid w:val="00DF14BE"/>
    <w:rsid w:val="00E1100F"/>
    <w:rsid w:val="00E301F1"/>
    <w:rsid w:val="00E31187"/>
    <w:rsid w:val="00E37E23"/>
    <w:rsid w:val="00E435A4"/>
    <w:rsid w:val="00E44C98"/>
    <w:rsid w:val="00E45AE8"/>
    <w:rsid w:val="00E46270"/>
    <w:rsid w:val="00E512D0"/>
    <w:rsid w:val="00E76B61"/>
    <w:rsid w:val="00E80FE6"/>
    <w:rsid w:val="00E87E2F"/>
    <w:rsid w:val="00E91E27"/>
    <w:rsid w:val="00EA23B1"/>
    <w:rsid w:val="00EB5401"/>
    <w:rsid w:val="00ED322B"/>
    <w:rsid w:val="00EE107B"/>
    <w:rsid w:val="00EE6DDF"/>
    <w:rsid w:val="00EF0456"/>
    <w:rsid w:val="00EF098E"/>
    <w:rsid w:val="00EF7377"/>
    <w:rsid w:val="00F013DA"/>
    <w:rsid w:val="00F14CBE"/>
    <w:rsid w:val="00F26280"/>
    <w:rsid w:val="00F334DD"/>
    <w:rsid w:val="00F37FC6"/>
    <w:rsid w:val="00F50390"/>
    <w:rsid w:val="00F535CB"/>
    <w:rsid w:val="00F5650A"/>
    <w:rsid w:val="00F80224"/>
    <w:rsid w:val="00F85B57"/>
    <w:rsid w:val="00F860BF"/>
    <w:rsid w:val="00F90D23"/>
    <w:rsid w:val="00FB4999"/>
    <w:rsid w:val="00FB6EA9"/>
    <w:rsid w:val="00FC4009"/>
    <w:rsid w:val="00FC5F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48DA3"/>
  <w15:chartTrackingRefBased/>
  <w15:docId w15:val="{B874ACF9-256F-4CBF-BE10-33D2053B7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61811"/>
    <w:pPr>
      <w:ind w:left="720"/>
      <w:contextualSpacing/>
    </w:pPr>
  </w:style>
  <w:style w:type="table" w:styleId="Tabela-Siatka">
    <w:name w:val="Table Grid"/>
    <w:basedOn w:val="Standardowy"/>
    <w:uiPriority w:val="39"/>
    <w:rsid w:val="002D5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D563B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563BB"/>
    <w:rPr>
      <w:sz w:val="20"/>
      <w:szCs w:val="20"/>
    </w:rPr>
  </w:style>
  <w:style w:type="character" w:styleId="Odwoanieprzypisukocowego">
    <w:name w:val="endnote reference"/>
    <w:basedOn w:val="Domylnaczcionkaakapitu"/>
    <w:uiPriority w:val="99"/>
    <w:semiHidden/>
    <w:unhideWhenUsed/>
    <w:rsid w:val="00D563BB"/>
    <w:rPr>
      <w:vertAlign w:val="superscript"/>
    </w:rPr>
  </w:style>
  <w:style w:type="paragraph" w:styleId="Nagwek">
    <w:name w:val="header"/>
    <w:basedOn w:val="Normalny"/>
    <w:link w:val="NagwekZnak"/>
    <w:uiPriority w:val="99"/>
    <w:unhideWhenUsed/>
    <w:rsid w:val="004A094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A094C"/>
  </w:style>
  <w:style w:type="paragraph" w:styleId="Stopka">
    <w:name w:val="footer"/>
    <w:basedOn w:val="Normalny"/>
    <w:link w:val="StopkaZnak"/>
    <w:uiPriority w:val="99"/>
    <w:unhideWhenUsed/>
    <w:rsid w:val="004A09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A094C"/>
  </w:style>
  <w:style w:type="paragraph" w:styleId="Tekstdymka">
    <w:name w:val="Balloon Text"/>
    <w:basedOn w:val="Normalny"/>
    <w:link w:val="TekstdymkaZnak"/>
    <w:uiPriority w:val="99"/>
    <w:semiHidden/>
    <w:unhideWhenUsed/>
    <w:rsid w:val="004C403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C40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11DED-40AC-4A1C-93A8-7BFCF205E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Pages>
  <Words>3757</Words>
  <Characters>22544</Characters>
  <Application>Microsoft Office Word</Application>
  <DocSecurity>0</DocSecurity>
  <Lines>187</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Weronika</dc:creator>
  <cp:keywords/>
  <dc:description/>
  <cp:lastModifiedBy>Weronika</cp:lastModifiedBy>
  <cp:revision>5</cp:revision>
  <cp:lastPrinted>2024-04-11T11:48:00Z</cp:lastPrinted>
  <dcterms:created xsi:type="dcterms:W3CDTF">2024-04-10T13:29:00Z</dcterms:created>
  <dcterms:modified xsi:type="dcterms:W3CDTF">2024-04-11T13:02:00Z</dcterms:modified>
</cp:coreProperties>
</file>