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031302">
        <w:rPr>
          <w:b/>
          <w:sz w:val="28"/>
          <w:szCs w:val="28"/>
        </w:rPr>
        <w:t>TRZECIEGO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</w:t>
      </w:r>
      <w:r w:rsidR="00031302">
        <w:t>trzeciego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:rsidR="002331EC" w:rsidRDefault="002331EC" w:rsidP="002331EC">
      <w:pPr>
        <w:pStyle w:val="Akapitzlist"/>
        <w:jc w:val="both"/>
      </w:pPr>
    </w:p>
    <w:p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</w:t>
      </w:r>
      <w:r w:rsidR="00A66B92">
        <w:t>1</w:t>
      </w:r>
      <w:r w:rsidR="00795110" w:rsidRPr="00795110">
        <w:t xml:space="preserve"> r. poz. </w:t>
      </w:r>
      <w:r w:rsidR="0095471B">
        <w:t>1</w:t>
      </w:r>
      <w:r w:rsidR="00A66B92">
        <w:t>899</w:t>
      </w:r>
      <w:r w:rsidR="00795110" w:rsidRPr="00795110">
        <w:t xml:space="preserve"> z późn. zm.</w:t>
      </w:r>
      <w:r w:rsidR="00795110">
        <w:t>),</w:t>
      </w:r>
    </w:p>
    <w:p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</w:t>
      </w:r>
      <w:r w:rsidR="00031302">
        <w:t>21</w:t>
      </w:r>
      <w:r w:rsidR="00795110">
        <w:t xml:space="preserve">r. poz. </w:t>
      </w:r>
      <w:r w:rsidR="00031302">
        <w:t>2213</w:t>
      </w:r>
      <w:r>
        <w:t>)</w:t>
      </w:r>
      <w:r w:rsidR="00EE2871">
        <w:t xml:space="preserve">, </w:t>
      </w:r>
    </w:p>
    <w:p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:rsidR="00A5125E" w:rsidRDefault="00A5125E" w:rsidP="00A5125E">
      <w:pPr>
        <w:pStyle w:val="Akapitzlist"/>
        <w:jc w:val="both"/>
      </w:pPr>
    </w:p>
    <w:p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:rsidR="00D32FD3" w:rsidRDefault="00CA7F8D" w:rsidP="00D32FD3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:rsidR="001A1E1C" w:rsidRPr="00616793" w:rsidRDefault="001A1E1C" w:rsidP="008E6745">
      <w:pPr>
        <w:jc w:val="both"/>
      </w:pPr>
    </w:p>
    <w:p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>CENA WYWOŁAWCZA NETTO NIERUCHOMOŚCI WYNOSI</w:t>
      </w:r>
      <w:r w:rsidR="00576C46">
        <w:rPr>
          <w:b/>
        </w:rPr>
        <w:t xml:space="preserve"> odpowiednio: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179/7 o pow. 0,2826ha – </w:t>
      </w:r>
      <w:r w:rsidR="00A66B92">
        <w:t>57</w:t>
      </w:r>
      <w:r w:rsidRPr="00A06259">
        <w:t xml:space="preserve"> 000,00zł,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179/8 o pow. 0,2300ha – </w:t>
      </w:r>
      <w:r w:rsidR="00A66B92">
        <w:t>47 0</w:t>
      </w:r>
      <w:r w:rsidRPr="00A06259">
        <w:t>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179/9 o pow. 0,2035ha – </w:t>
      </w:r>
      <w:r w:rsidR="00A66B92">
        <w:t>37 000</w:t>
      </w:r>
      <w:r w:rsidRPr="00A06259">
        <w:t>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</w:t>
      </w:r>
      <w:r w:rsidR="00A06259" w:rsidRPr="00A06259">
        <w:t>10</w:t>
      </w:r>
      <w:r w:rsidRPr="00A06259">
        <w:t xml:space="preserve"> o pow. 0,230</w:t>
      </w:r>
      <w:r w:rsidR="00A06259" w:rsidRPr="00A06259">
        <w:t>9</w:t>
      </w:r>
      <w:r w:rsidRPr="00A06259">
        <w:t xml:space="preserve">ha – </w:t>
      </w:r>
      <w:r w:rsidR="00A66B92">
        <w:t>47 000</w:t>
      </w:r>
      <w:r w:rsidRPr="00A06259">
        <w:t>,00zł,</w:t>
      </w:r>
    </w:p>
    <w:p w:rsidR="00576C46" w:rsidRPr="00A06259" w:rsidRDefault="00A06259" w:rsidP="00A06259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179/11 o pow. 0,2724ha – </w:t>
      </w:r>
      <w:r w:rsidR="00A66B92">
        <w:t>57 000</w:t>
      </w:r>
      <w:r w:rsidRPr="00A06259">
        <w:t>,00zł,</w:t>
      </w:r>
    </w:p>
    <w:p w:rsidR="00576C46" w:rsidRPr="00576C46" w:rsidRDefault="00576C46" w:rsidP="00576C46">
      <w:pPr>
        <w:pStyle w:val="Akapitzlist"/>
        <w:rPr>
          <w:b/>
        </w:rPr>
      </w:pPr>
    </w:p>
    <w:p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031302">
        <w:rPr>
          <w:b/>
          <w:u w:val="single"/>
        </w:rPr>
        <w:t>25 MAJA</w:t>
      </w:r>
      <w:r w:rsidR="00A06259">
        <w:rPr>
          <w:b/>
          <w:u w:val="single"/>
        </w:rPr>
        <w:t xml:space="preserve"> </w:t>
      </w:r>
      <w:r w:rsidR="001A1E1C">
        <w:rPr>
          <w:b/>
          <w:u w:val="single"/>
        </w:rPr>
        <w:t>202</w:t>
      </w:r>
      <w:r w:rsidR="00A66B92">
        <w:rPr>
          <w:b/>
          <w:u w:val="single"/>
        </w:rPr>
        <w:t>2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</w:t>
      </w:r>
      <w:r w:rsidR="00A06259">
        <w:rPr>
          <w:b/>
          <w:u w:val="single"/>
        </w:rPr>
        <w:t>D</w:t>
      </w:r>
      <w:r w:rsidRPr="001043F0">
        <w:rPr>
          <w:b/>
          <w:u w:val="single"/>
        </w:rPr>
        <w:t xml:space="preserve"> GODZ. </w:t>
      </w:r>
      <w:r w:rsidR="00A06259">
        <w:rPr>
          <w:b/>
          <w:u w:val="single"/>
        </w:rPr>
        <w:t>9: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031302">
        <w:rPr>
          <w:b/>
        </w:rPr>
        <w:t>konferencyjna</w:t>
      </w:r>
      <w:r w:rsidR="00D32FD3" w:rsidRPr="001043F0">
        <w:rPr>
          <w:b/>
        </w:rPr>
        <w:t>, pok. 11</w:t>
      </w:r>
      <w:r w:rsidR="00031302">
        <w:rPr>
          <w:b/>
        </w:rPr>
        <w:t>4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:rsidR="002331EC" w:rsidRDefault="002331EC" w:rsidP="002331EC">
      <w:pPr>
        <w:pStyle w:val="Akapitzlist"/>
        <w:jc w:val="both"/>
      </w:pPr>
    </w:p>
    <w:p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lastRenderedPageBreak/>
        <w:t xml:space="preserve">VI. Przetarg. </w:t>
      </w:r>
    </w:p>
    <w:p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:rsidR="00325B92" w:rsidRDefault="00325B92" w:rsidP="00325B92">
      <w:pPr>
        <w:ind w:left="720"/>
        <w:jc w:val="both"/>
      </w:pPr>
      <w:r>
        <w:t xml:space="preserve">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:rsidR="00EE6D8E" w:rsidRDefault="00EE6D8E" w:rsidP="00325B92">
      <w:pPr>
        <w:jc w:val="both"/>
        <w:rPr>
          <w:b/>
        </w:rPr>
      </w:pPr>
      <w:r w:rsidRPr="00EE6D8E">
        <w:rPr>
          <w:b/>
        </w:rPr>
        <w:lastRenderedPageBreak/>
        <w:t xml:space="preserve">VII. Protokół z przetargu.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:rsidR="009B6CA3" w:rsidRPr="00C50629" w:rsidRDefault="009B6CA3" w:rsidP="009B6CA3">
      <w:pPr>
        <w:pStyle w:val="Akapitzlist"/>
        <w:spacing w:after="0"/>
        <w:jc w:val="right"/>
        <w:rPr>
          <w:b/>
          <w:color w:val="FFFFFF" w:themeColor="background1"/>
        </w:rPr>
      </w:pPr>
      <w:r w:rsidRPr="00C50629">
        <w:rPr>
          <w:b/>
          <w:color w:val="FFFFFF" w:themeColor="background1"/>
        </w:rPr>
        <w:t>Burmistrz Miasta Złoczewa</w:t>
      </w:r>
    </w:p>
    <w:p w:rsidR="009B6CA3" w:rsidRPr="00C50629" w:rsidRDefault="009B6CA3" w:rsidP="009B6CA3">
      <w:pPr>
        <w:pStyle w:val="Akapitzlist"/>
        <w:spacing w:after="0"/>
        <w:jc w:val="right"/>
        <w:rPr>
          <w:b/>
          <w:color w:val="FFFFFF" w:themeColor="background1"/>
        </w:rPr>
      </w:pPr>
    </w:p>
    <w:p w:rsidR="009B6CA3" w:rsidRPr="00C50629" w:rsidRDefault="009B6CA3" w:rsidP="009B6CA3">
      <w:pPr>
        <w:pStyle w:val="Akapitzlist"/>
        <w:ind w:left="6384" w:firstLine="696"/>
        <w:jc w:val="center"/>
        <w:rPr>
          <w:b/>
          <w:i/>
          <w:color w:val="FFFFFF" w:themeColor="background1"/>
        </w:rPr>
      </w:pPr>
      <w:r w:rsidRPr="00C50629">
        <w:rPr>
          <w:b/>
          <w:i/>
          <w:color w:val="FFFFFF" w:themeColor="background1"/>
        </w:rPr>
        <w:t>(-) Dominik Drzazga</w:t>
      </w:r>
    </w:p>
    <w:sectPr w:rsidR="009B6CA3" w:rsidRPr="00C50629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B3" w:rsidRDefault="00BB2BB3" w:rsidP="009361FA">
      <w:pPr>
        <w:spacing w:after="0" w:line="240" w:lineRule="auto"/>
      </w:pPr>
      <w:r>
        <w:separator/>
      </w:r>
    </w:p>
  </w:endnote>
  <w:endnote w:type="continuationSeparator" w:id="1">
    <w:p w:rsidR="00BB2BB3" w:rsidRDefault="00BB2BB3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684014"/>
      <w:docPartObj>
        <w:docPartGallery w:val="Page Numbers (Bottom of Page)"/>
        <w:docPartUnique/>
      </w:docPartObj>
    </w:sdtPr>
    <w:sdtContent>
      <w:p w:rsidR="001043F0" w:rsidRDefault="00FA3598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742E4E">
          <w:rPr>
            <w:rFonts w:cstheme="minorHAnsi"/>
            <w:noProof/>
          </w:rPr>
          <w:t>1</w:t>
        </w:r>
        <w:r w:rsidRPr="009361FA">
          <w:rPr>
            <w:rFonts w:cstheme="minorHAnsi"/>
          </w:rPr>
          <w:fldChar w:fldCharType="end"/>
        </w:r>
      </w:p>
    </w:sdtContent>
  </w:sdt>
  <w:p w:rsidR="001043F0" w:rsidRDefault="00104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B3" w:rsidRDefault="00BB2BB3" w:rsidP="009361FA">
      <w:pPr>
        <w:spacing w:after="0" w:line="240" w:lineRule="auto"/>
      </w:pPr>
      <w:r>
        <w:separator/>
      </w:r>
    </w:p>
  </w:footnote>
  <w:footnote w:type="continuationSeparator" w:id="1">
    <w:p w:rsidR="00BB2BB3" w:rsidRDefault="00BB2BB3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32"/>
  </w:num>
  <w:num w:numId="10">
    <w:abstractNumId w:val="28"/>
  </w:num>
  <w:num w:numId="11">
    <w:abstractNumId w:val="31"/>
  </w:num>
  <w:num w:numId="12">
    <w:abstractNumId w:val="12"/>
  </w:num>
  <w:num w:numId="13">
    <w:abstractNumId w:val="20"/>
  </w:num>
  <w:num w:numId="14">
    <w:abstractNumId w:val="5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29"/>
  </w:num>
  <w:num w:numId="20">
    <w:abstractNumId w:val="7"/>
  </w:num>
  <w:num w:numId="21">
    <w:abstractNumId w:val="9"/>
  </w:num>
  <w:num w:numId="22">
    <w:abstractNumId w:val="4"/>
  </w:num>
  <w:num w:numId="23">
    <w:abstractNumId w:val="30"/>
  </w:num>
  <w:num w:numId="24">
    <w:abstractNumId w:val="15"/>
  </w:num>
  <w:num w:numId="25">
    <w:abstractNumId w:val="18"/>
  </w:num>
  <w:num w:numId="26">
    <w:abstractNumId w:val="22"/>
  </w:num>
  <w:num w:numId="27">
    <w:abstractNumId w:val="14"/>
  </w:num>
  <w:num w:numId="28">
    <w:abstractNumId w:val="26"/>
  </w:num>
  <w:num w:numId="29">
    <w:abstractNumId w:val="24"/>
  </w:num>
  <w:num w:numId="30">
    <w:abstractNumId w:val="25"/>
  </w:num>
  <w:num w:numId="31">
    <w:abstractNumId w:val="16"/>
  </w:num>
  <w:num w:numId="32">
    <w:abstractNumId w:val="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35"/>
    <w:rsid w:val="00031302"/>
    <w:rsid w:val="0006570C"/>
    <w:rsid w:val="00095B0C"/>
    <w:rsid w:val="000A49D4"/>
    <w:rsid w:val="000B7DC8"/>
    <w:rsid w:val="001043F0"/>
    <w:rsid w:val="00123DA1"/>
    <w:rsid w:val="0016746A"/>
    <w:rsid w:val="001867BE"/>
    <w:rsid w:val="001A1E1C"/>
    <w:rsid w:val="001A46FE"/>
    <w:rsid w:val="001C7E00"/>
    <w:rsid w:val="002331EC"/>
    <w:rsid w:val="002B538B"/>
    <w:rsid w:val="002C5B41"/>
    <w:rsid w:val="002D3BA7"/>
    <w:rsid w:val="0030085C"/>
    <w:rsid w:val="0031796C"/>
    <w:rsid w:val="003211D3"/>
    <w:rsid w:val="00321F98"/>
    <w:rsid w:val="00324CC0"/>
    <w:rsid w:val="00325B92"/>
    <w:rsid w:val="003667C3"/>
    <w:rsid w:val="003D0687"/>
    <w:rsid w:val="00407EBF"/>
    <w:rsid w:val="005375BE"/>
    <w:rsid w:val="005671A7"/>
    <w:rsid w:val="005725AF"/>
    <w:rsid w:val="00576C46"/>
    <w:rsid w:val="00583A9A"/>
    <w:rsid w:val="005A3908"/>
    <w:rsid w:val="005E1CC2"/>
    <w:rsid w:val="00616793"/>
    <w:rsid w:val="00631755"/>
    <w:rsid w:val="006339EE"/>
    <w:rsid w:val="00646CF7"/>
    <w:rsid w:val="0065667E"/>
    <w:rsid w:val="006E50AD"/>
    <w:rsid w:val="006F44A9"/>
    <w:rsid w:val="00742E4E"/>
    <w:rsid w:val="00753D57"/>
    <w:rsid w:val="00766DB1"/>
    <w:rsid w:val="00794B55"/>
    <w:rsid w:val="00795110"/>
    <w:rsid w:val="00795750"/>
    <w:rsid w:val="007A304C"/>
    <w:rsid w:val="007A349C"/>
    <w:rsid w:val="007C342B"/>
    <w:rsid w:val="008257BB"/>
    <w:rsid w:val="00833EAE"/>
    <w:rsid w:val="008559F0"/>
    <w:rsid w:val="00855B9B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F65B0"/>
    <w:rsid w:val="00A01ACC"/>
    <w:rsid w:val="00A06259"/>
    <w:rsid w:val="00A459C2"/>
    <w:rsid w:val="00A5125E"/>
    <w:rsid w:val="00A66B92"/>
    <w:rsid w:val="00A73EC9"/>
    <w:rsid w:val="00AB4B98"/>
    <w:rsid w:val="00AD1A47"/>
    <w:rsid w:val="00AF4DE3"/>
    <w:rsid w:val="00B04CE7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2BB3"/>
    <w:rsid w:val="00BB4B4C"/>
    <w:rsid w:val="00BC1E85"/>
    <w:rsid w:val="00BD4A6E"/>
    <w:rsid w:val="00C50629"/>
    <w:rsid w:val="00C8784A"/>
    <w:rsid w:val="00C92D86"/>
    <w:rsid w:val="00CA7F8D"/>
    <w:rsid w:val="00CB0111"/>
    <w:rsid w:val="00CF571F"/>
    <w:rsid w:val="00D148A8"/>
    <w:rsid w:val="00D32FD3"/>
    <w:rsid w:val="00D57BEE"/>
    <w:rsid w:val="00D62D2E"/>
    <w:rsid w:val="00D6746E"/>
    <w:rsid w:val="00E13253"/>
    <w:rsid w:val="00E57C5F"/>
    <w:rsid w:val="00ED38E2"/>
    <w:rsid w:val="00EE262A"/>
    <w:rsid w:val="00EE2871"/>
    <w:rsid w:val="00EE6D8E"/>
    <w:rsid w:val="00F51862"/>
    <w:rsid w:val="00F52F74"/>
    <w:rsid w:val="00FA3598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26</cp:revision>
  <cp:lastPrinted>2021-09-28T08:43:00Z</cp:lastPrinted>
  <dcterms:created xsi:type="dcterms:W3CDTF">2018-05-09T10:29:00Z</dcterms:created>
  <dcterms:modified xsi:type="dcterms:W3CDTF">2022-04-19T06:21:00Z</dcterms:modified>
</cp:coreProperties>
</file>