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2486" w14:textId="4E089206" w:rsidR="00B55362" w:rsidRDefault="00B55362" w:rsidP="00B55362">
      <w:pPr>
        <w:rPr>
          <w:rFonts w:ascii="Arial" w:hAnsi="Arial" w:cs="Arial"/>
          <w:b/>
          <w:bCs/>
          <w:sz w:val="24"/>
          <w:szCs w:val="24"/>
        </w:rPr>
      </w:pPr>
      <w:r>
        <w:t xml:space="preserve">                                                                </w:t>
      </w:r>
      <w:r>
        <w:rPr>
          <w:rFonts w:ascii="Arial" w:hAnsi="Arial" w:cs="Arial"/>
          <w:b/>
          <w:bCs/>
          <w:sz w:val="24"/>
          <w:szCs w:val="24"/>
        </w:rPr>
        <w:t xml:space="preserve">UCHWAŁA NR XXVII/225/21                               </w:t>
      </w:r>
    </w:p>
    <w:p w14:paraId="0C3E14A8" w14:textId="77777777" w:rsidR="00B55362" w:rsidRDefault="00B55362" w:rsidP="00B55362">
      <w:pPr>
        <w:ind w:left="2124" w:firstLine="708"/>
        <w:rPr>
          <w:rFonts w:ascii="Arial" w:hAnsi="Arial" w:cs="Arial"/>
          <w:b/>
          <w:bCs/>
          <w:sz w:val="24"/>
          <w:szCs w:val="24"/>
        </w:rPr>
      </w:pPr>
      <w:r>
        <w:rPr>
          <w:rFonts w:ascii="Arial" w:hAnsi="Arial" w:cs="Arial"/>
          <w:b/>
          <w:bCs/>
          <w:sz w:val="24"/>
          <w:szCs w:val="24"/>
        </w:rPr>
        <w:t>RADY MIEJSKIEJ W ZŁOCZEWIE</w:t>
      </w:r>
    </w:p>
    <w:p w14:paraId="44AB1AC4" w14:textId="0FDC1C9E" w:rsidR="00B55362" w:rsidRDefault="00B55362" w:rsidP="00B55362">
      <w:pPr>
        <w:ind w:left="2124" w:firstLine="708"/>
        <w:rPr>
          <w:rFonts w:ascii="Arial" w:hAnsi="Arial" w:cs="Arial"/>
          <w:sz w:val="24"/>
          <w:szCs w:val="24"/>
        </w:rPr>
      </w:pPr>
      <w:r>
        <w:rPr>
          <w:rFonts w:ascii="Arial" w:hAnsi="Arial" w:cs="Arial"/>
          <w:sz w:val="24"/>
          <w:szCs w:val="24"/>
        </w:rPr>
        <w:t xml:space="preserve">          z dnia 2</w:t>
      </w:r>
      <w:r w:rsidR="002B4143">
        <w:rPr>
          <w:rFonts w:ascii="Arial" w:hAnsi="Arial" w:cs="Arial"/>
          <w:sz w:val="24"/>
          <w:szCs w:val="24"/>
        </w:rPr>
        <w:t>7</w:t>
      </w:r>
      <w:r>
        <w:rPr>
          <w:rFonts w:ascii="Arial" w:hAnsi="Arial" w:cs="Arial"/>
          <w:sz w:val="24"/>
          <w:szCs w:val="24"/>
        </w:rPr>
        <w:t xml:space="preserve"> kwietnia 2021r.</w:t>
      </w:r>
    </w:p>
    <w:p w14:paraId="732EB1B5" w14:textId="77777777" w:rsidR="00B55362" w:rsidRDefault="00B55362" w:rsidP="00B55362">
      <w:pPr>
        <w:jc w:val="both"/>
        <w:rPr>
          <w:rFonts w:ascii="Arial" w:hAnsi="Arial" w:cs="Arial"/>
          <w:sz w:val="24"/>
          <w:szCs w:val="24"/>
        </w:rPr>
      </w:pPr>
    </w:p>
    <w:p w14:paraId="61646B28" w14:textId="77777777" w:rsidR="00B55362" w:rsidRDefault="00B55362" w:rsidP="00B55362">
      <w:pPr>
        <w:spacing w:after="0" w:line="360" w:lineRule="auto"/>
        <w:jc w:val="center"/>
        <w:rPr>
          <w:rFonts w:ascii="Arial" w:hAnsi="Arial" w:cs="Arial"/>
          <w:b/>
          <w:bCs/>
          <w:sz w:val="24"/>
          <w:szCs w:val="24"/>
        </w:rPr>
      </w:pPr>
      <w:r>
        <w:rPr>
          <w:rFonts w:ascii="Arial" w:hAnsi="Arial" w:cs="Arial"/>
          <w:b/>
          <w:bCs/>
          <w:sz w:val="24"/>
          <w:szCs w:val="24"/>
        </w:rPr>
        <w:t xml:space="preserve">w sprawie rozpatrzenia petycji wielokrotnej złożonej w interesie publicznym </w:t>
      </w:r>
    </w:p>
    <w:p w14:paraId="646FC7DA" w14:textId="77777777" w:rsidR="00B55362" w:rsidRDefault="00B55362" w:rsidP="00B55362">
      <w:pPr>
        <w:spacing w:after="0" w:line="360" w:lineRule="auto"/>
        <w:jc w:val="center"/>
        <w:rPr>
          <w:rFonts w:ascii="Arial" w:hAnsi="Arial" w:cs="Arial"/>
          <w:sz w:val="24"/>
          <w:szCs w:val="24"/>
        </w:rPr>
      </w:pPr>
    </w:p>
    <w:p w14:paraId="2F52ECBC" w14:textId="77777777" w:rsidR="00B55362" w:rsidRDefault="00B55362" w:rsidP="00B55362">
      <w:pPr>
        <w:spacing w:after="0" w:line="360" w:lineRule="auto"/>
        <w:jc w:val="both"/>
        <w:rPr>
          <w:rFonts w:ascii="Arial" w:hAnsi="Arial" w:cs="Arial"/>
          <w:sz w:val="24"/>
          <w:szCs w:val="24"/>
        </w:rPr>
      </w:pPr>
      <w:r>
        <w:rPr>
          <w:rFonts w:ascii="Arial" w:hAnsi="Arial" w:cs="Arial"/>
          <w:sz w:val="24"/>
          <w:szCs w:val="24"/>
        </w:rPr>
        <w:tab/>
        <w:t>Na podstawie art. 18b ust. 1 ustawy z dnia 8 marca 1990r. o samorządzie gminnym (Dz.U. z 2020r., poz. 713 i  1378),  art. 9 ust. 2, art. 11 ust. 1 i  art. 13 ustawy z dnia 11 lipca 2014r. o petycjach (t.j. Dz.U. z 2018r., poz. 870) oraz po zapoznaniu się z opinią Komisji Skarg, Wniosków i Petycji, Rada Miejska w Złoczewie uchwala, co następuje:</w:t>
      </w:r>
    </w:p>
    <w:p w14:paraId="1B50A96A" w14:textId="77777777" w:rsidR="00B55362" w:rsidRDefault="00B55362" w:rsidP="00B55362">
      <w:pPr>
        <w:spacing w:after="0" w:line="360" w:lineRule="auto"/>
        <w:jc w:val="both"/>
        <w:rPr>
          <w:rFonts w:ascii="Arial" w:hAnsi="Arial" w:cs="Arial"/>
          <w:sz w:val="24"/>
          <w:szCs w:val="24"/>
        </w:rPr>
      </w:pPr>
    </w:p>
    <w:p w14:paraId="007FF512" w14:textId="5336E14B" w:rsidR="00B55362" w:rsidRDefault="00B55362" w:rsidP="00B55362">
      <w:pPr>
        <w:spacing w:after="0" w:line="360" w:lineRule="auto"/>
        <w:ind w:firstLine="708"/>
        <w:jc w:val="both"/>
        <w:rPr>
          <w:rFonts w:ascii="Arial" w:hAnsi="Arial" w:cs="Arial"/>
          <w:sz w:val="24"/>
          <w:szCs w:val="24"/>
        </w:rPr>
      </w:pPr>
      <w:r>
        <w:rPr>
          <w:rFonts w:ascii="Arial" w:hAnsi="Arial" w:cs="Arial"/>
          <w:b/>
          <w:bCs/>
          <w:sz w:val="24"/>
          <w:szCs w:val="24"/>
        </w:rPr>
        <w:t>§ 1.</w:t>
      </w:r>
      <w:r>
        <w:rPr>
          <w:rFonts w:ascii="Arial" w:hAnsi="Arial" w:cs="Arial"/>
          <w:sz w:val="24"/>
          <w:szCs w:val="24"/>
        </w:rPr>
        <w:t xml:space="preserve"> Po rozpatrzeniu petycji z dnia 10 grudnia 2020r. oraz petycji z dnia 14 grudnia 2020r. złożonych w interesie publicznym, rozpatrywanych jako petycja wielokrotna, uznaje się petycję za bezzasadną z przyczyn wskazanych w uzasadnieniu do uchwały.</w:t>
      </w:r>
    </w:p>
    <w:p w14:paraId="47E9516F" w14:textId="77777777" w:rsidR="00B55362" w:rsidRDefault="00B55362" w:rsidP="00B55362">
      <w:pPr>
        <w:spacing w:after="0" w:line="360" w:lineRule="auto"/>
        <w:ind w:firstLine="708"/>
        <w:jc w:val="both"/>
        <w:rPr>
          <w:rFonts w:ascii="Arial" w:hAnsi="Arial" w:cs="Arial"/>
          <w:sz w:val="24"/>
          <w:szCs w:val="24"/>
        </w:rPr>
      </w:pPr>
      <w:r>
        <w:rPr>
          <w:rFonts w:ascii="Arial" w:hAnsi="Arial" w:cs="Arial"/>
          <w:b/>
          <w:bCs/>
          <w:sz w:val="24"/>
          <w:szCs w:val="24"/>
        </w:rPr>
        <w:t>§ 2.</w:t>
      </w:r>
      <w:r>
        <w:rPr>
          <w:rFonts w:ascii="Arial" w:hAnsi="Arial" w:cs="Arial"/>
          <w:sz w:val="24"/>
          <w:szCs w:val="24"/>
        </w:rPr>
        <w:t xml:space="preserve"> Wykonanie uchwały powierza się Przewodniczącemu Rady Miejskiej w Złoczewie zobowiązując do poinformowania autora petycji o sposobie jej załatwienia.</w:t>
      </w:r>
    </w:p>
    <w:p w14:paraId="5CE5FB5F" w14:textId="77777777" w:rsidR="00B55362" w:rsidRDefault="00B55362" w:rsidP="00B55362">
      <w:pPr>
        <w:spacing w:after="0" w:line="360" w:lineRule="auto"/>
        <w:ind w:firstLine="708"/>
        <w:jc w:val="both"/>
        <w:rPr>
          <w:rFonts w:ascii="Arial" w:hAnsi="Arial" w:cs="Arial"/>
          <w:sz w:val="24"/>
          <w:szCs w:val="24"/>
        </w:rPr>
      </w:pPr>
      <w:r>
        <w:rPr>
          <w:rFonts w:ascii="Arial" w:hAnsi="Arial" w:cs="Arial"/>
          <w:b/>
          <w:bCs/>
          <w:sz w:val="24"/>
          <w:szCs w:val="24"/>
        </w:rPr>
        <w:t>§ 3</w:t>
      </w:r>
      <w:r>
        <w:rPr>
          <w:rFonts w:ascii="Arial" w:hAnsi="Arial" w:cs="Arial"/>
          <w:sz w:val="24"/>
          <w:szCs w:val="24"/>
        </w:rPr>
        <w:t>. Uchwała wchodzi w życie z dniem podjęcia.</w:t>
      </w:r>
    </w:p>
    <w:p w14:paraId="7DE94DF7" w14:textId="77777777" w:rsidR="00B55362" w:rsidRDefault="00B55362" w:rsidP="00B55362">
      <w:pPr>
        <w:spacing w:after="0" w:line="360" w:lineRule="auto"/>
        <w:jc w:val="both"/>
        <w:rPr>
          <w:rFonts w:ascii="Arial" w:hAnsi="Arial" w:cs="Arial"/>
          <w:sz w:val="24"/>
          <w:szCs w:val="24"/>
        </w:rPr>
      </w:pPr>
    </w:p>
    <w:p w14:paraId="7A60F07E" w14:textId="77777777" w:rsidR="00B55362" w:rsidRDefault="00B55362" w:rsidP="00B55362">
      <w:pPr>
        <w:spacing w:after="0" w:line="360" w:lineRule="auto"/>
        <w:ind w:left="3540" w:firstLine="708"/>
        <w:jc w:val="both"/>
        <w:rPr>
          <w:rFonts w:ascii="Arial" w:hAnsi="Arial" w:cs="Arial"/>
          <w:sz w:val="24"/>
          <w:szCs w:val="24"/>
        </w:rPr>
      </w:pPr>
      <w:r>
        <w:rPr>
          <w:rFonts w:ascii="Arial" w:hAnsi="Arial" w:cs="Arial"/>
          <w:sz w:val="24"/>
          <w:szCs w:val="24"/>
        </w:rPr>
        <w:t>Przewodniczący Rady Miejskiej</w:t>
      </w:r>
    </w:p>
    <w:p w14:paraId="73F70409" w14:textId="77777777" w:rsidR="00B55362" w:rsidRDefault="00B55362" w:rsidP="00B55362">
      <w:pPr>
        <w:spacing w:after="0" w:line="360" w:lineRule="auto"/>
        <w:ind w:left="4248" w:firstLine="708"/>
        <w:jc w:val="both"/>
        <w:rPr>
          <w:rFonts w:ascii="Arial" w:hAnsi="Arial" w:cs="Arial"/>
          <w:sz w:val="24"/>
          <w:szCs w:val="24"/>
        </w:rPr>
      </w:pPr>
      <w:r>
        <w:rPr>
          <w:rFonts w:ascii="Arial" w:hAnsi="Arial" w:cs="Arial"/>
          <w:sz w:val="24"/>
          <w:szCs w:val="24"/>
        </w:rPr>
        <w:t>w Złoczewie</w:t>
      </w:r>
    </w:p>
    <w:p w14:paraId="6662CD9F" w14:textId="77777777" w:rsidR="00B55362" w:rsidRDefault="00B55362" w:rsidP="00B55362">
      <w:pPr>
        <w:spacing w:after="0" w:line="360" w:lineRule="auto"/>
        <w:ind w:left="2832" w:firstLine="708"/>
        <w:jc w:val="both"/>
        <w:rPr>
          <w:rFonts w:ascii="Arial" w:hAnsi="Arial" w:cs="Arial"/>
          <w:sz w:val="24"/>
          <w:szCs w:val="24"/>
        </w:rPr>
      </w:pPr>
      <w:r>
        <w:rPr>
          <w:rFonts w:ascii="Arial" w:hAnsi="Arial" w:cs="Arial"/>
          <w:sz w:val="24"/>
          <w:szCs w:val="24"/>
        </w:rPr>
        <w:t xml:space="preserve">                   Andrzej Konieczny</w:t>
      </w:r>
    </w:p>
    <w:p w14:paraId="77772C71" w14:textId="77777777" w:rsidR="00B55362" w:rsidRDefault="00B55362" w:rsidP="00B55362">
      <w:pPr>
        <w:spacing w:after="0" w:line="360" w:lineRule="auto"/>
        <w:jc w:val="both"/>
        <w:rPr>
          <w:rFonts w:ascii="Arial" w:hAnsi="Arial" w:cs="Arial"/>
          <w:sz w:val="24"/>
          <w:szCs w:val="24"/>
        </w:rPr>
      </w:pPr>
    </w:p>
    <w:p w14:paraId="31F0E988" w14:textId="77777777" w:rsidR="00B55362" w:rsidRDefault="00B55362" w:rsidP="00B55362"/>
    <w:p w14:paraId="4BD7BC6C" w14:textId="77777777" w:rsidR="00B55362" w:rsidRDefault="00B55362" w:rsidP="00B55362"/>
    <w:p w14:paraId="2E646736" w14:textId="77777777" w:rsidR="00B55362" w:rsidRDefault="00B55362" w:rsidP="00B55362">
      <w:pPr>
        <w:spacing w:after="0" w:line="360" w:lineRule="auto"/>
        <w:ind w:left="4956" w:firstLine="708"/>
      </w:pPr>
    </w:p>
    <w:p w14:paraId="5CD84347" w14:textId="77777777" w:rsidR="00B55362" w:rsidRDefault="00B55362" w:rsidP="00B55362">
      <w:pPr>
        <w:spacing w:after="0" w:line="360" w:lineRule="auto"/>
        <w:ind w:left="4956" w:firstLine="708"/>
      </w:pPr>
    </w:p>
    <w:p w14:paraId="6F99F1A0" w14:textId="77777777" w:rsidR="00B55362" w:rsidRDefault="00B55362" w:rsidP="00B55362">
      <w:pPr>
        <w:spacing w:after="0" w:line="360" w:lineRule="auto"/>
        <w:ind w:left="4956" w:firstLine="708"/>
      </w:pPr>
    </w:p>
    <w:p w14:paraId="7FD78A79" w14:textId="77777777" w:rsidR="00B55362" w:rsidRDefault="00B55362" w:rsidP="00B55362">
      <w:pPr>
        <w:spacing w:after="0" w:line="360" w:lineRule="auto"/>
        <w:ind w:left="4956" w:firstLine="708"/>
      </w:pPr>
    </w:p>
    <w:p w14:paraId="0AE82DD6" w14:textId="210CE22B" w:rsidR="00B55362" w:rsidRDefault="00B55362" w:rsidP="00B55362">
      <w:pPr>
        <w:spacing w:after="0" w:line="360" w:lineRule="auto"/>
        <w:ind w:left="4956" w:firstLine="708"/>
      </w:pPr>
    </w:p>
    <w:p w14:paraId="064D5F18" w14:textId="77777777" w:rsidR="00171EFA" w:rsidRDefault="00171EFA" w:rsidP="00B55362">
      <w:pPr>
        <w:spacing w:after="0" w:line="360" w:lineRule="auto"/>
        <w:ind w:left="4956" w:firstLine="708"/>
      </w:pPr>
    </w:p>
    <w:p w14:paraId="0833112F" w14:textId="77777777" w:rsidR="00B55362" w:rsidRDefault="00B55362" w:rsidP="00B55362">
      <w:pPr>
        <w:spacing w:after="0" w:line="360" w:lineRule="auto"/>
        <w:ind w:left="4956" w:firstLine="708"/>
      </w:pPr>
    </w:p>
    <w:p w14:paraId="2A26F285" w14:textId="0D2B2229" w:rsidR="00B55362" w:rsidRDefault="00B55362" w:rsidP="00171EFA">
      <w:pPr>
        <w:spacing w:after="0" w:line="360" w:lineRule="auto"/>
        <w:ind w:left="4956"/>
        <w:rPr>
          <w:rFonts w:ascii="Arial" w:hAnsi="Arial" w:cs="Arial"/>
          <w:sz w:val="20"/>
          <w:szCs w:val="20"/>
        </w:rPr>
      </w:pPr>
      <w:r>
        <w:rPr>
          <w:rFonts w:ascii="Arial" w:hAnsi="Arial" w:cs="Arial"/>
          <w:sz w:val="20"/>
          <w:szCs w:val="20"/>
        </w:rPr>
        <w:lastRenderedPageBreak/>
        <w:t>Załącznik do Uchwały Nr</w:t>
      </w:r>
      <w:r w:rsidR="00171EFA">
        <w:rPr>
          <w:rFonts w:ascii="Arial" w:hAnsi="Arial" w:cs="Arial"/>
          <w:sz w:val="20"/>
          <w:szCs w:val="20"/>
        </w:rPr>
        <w:t xml:space="preserve"> XXVII/225/21</w:t>
      </w:r>
    </w:p>
    <w:p w14:paraId="3332A5DE" w14:textId="2CD19653" w:rsidR="00B55362" w:rsidRDefault="00171EFA" w:rsidP="00171EFA">
      <w:pPr>
        <w:spacing w:after="0" w:line="360" w:lineRule="auto"/>
        <w:ind w:left="3540" w:firstLine="708"/>
        <w:rPr>
          <w:rFonts w:ascii="Arial" w:hAnsi="Arial" w:cs="Arial"/>
          <w:sz w:val="20"/>
          <w:szCs w:val="20"/>
        </w:rPr>
      </w:pPr>
      <w:r>
        <w:rPr>
          <w:rFonts w:ascii="Arial" w:hAnsi="Arial" w:cs="Arial"/>
          <w:sz w:val="20"/>
          <w:szCs w:val="20"/>
        </w:rPr>
        <w:t xml:space="preserve">             </w:t>
      </w:r>
      <w:r w:rsidR="00B55362">
        <w:rPr>
          <w:rFonts w:ascii="Arial" w:hAnsi="Arial" w:cs="Arial"/>
          <w:sz w:val="20"/>
          <w:szCs w:val="20"/>
        </w:rPr>
        <w:t>Rady Miejskiej w Złoczewie</w:t>
      </w:r>
    </w:p>
    <w:p w14:paraId="39120F6A" w14:textId="37A0BF1C" w:rsidR="00B55362" w:rsidRDefault="00171EFA" w:rsidP="00171EFA">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 dnia 27 kwietnia 2021r.</w:t>
      </w:r>
    </w:p>
    <w:p w14:paraId="04E62037" w14:textId="77777777" w:rsidR="00B55362" w:rsidRDefault="00B55362" w:rsidP="00B55362">
      <w:pPr>
        <w:spacing w:after="0" w:line="360" w:lineRule="auto"/>
        <w:ind w:left="5664" w:firstLine="708"/>
        <w:rPr>
          <w:rFonts w:ascii="Arial" w:hAnsi="Arial" w:cs="Arial"/>
          <w:sz w:val="20"/>
          <w:szCs w:val="20"/>
        </w:rPr>
      </w:pPr>
    </w:p>
    <w:p w14:paraId="0B6E9522" w14:textId="77777777" w:rsidR="00B55362" w:rsidRDefault="00B55362" w:rsidP="00B55362">
      <w:pPr>
        <w:spacing w:after="0" w:line="360" w:lineRule="auto"/>
        <w:jc w:val="center"/>
        <w:rPr>
          <w:rFonts w:ascii="Arial" w:hAnsi="Arial" w:cs="Arial"/>
          <w:sz w:val="24"/>
          <w:szCs w:val="24"/>
        </w:rPr>
      </w:pPr>
      <w:r>
        <w:rPr>
          <w:rFonts w:ascii="Arial" w:hAnsi="Arial" w:cs="Arial"/>
          <w:sz w:val="24"/>
          <w:szCs w:val="24"/>
        </w:rPr>
        <w:t>Uzasadnienie</w:t>
      </w:r>
    </w:p>
    <w:p w14:paraId="2C5BE0D7" w14:textId="77777777" w:rsidR="00B55362" w:rsidRDefault="00B55362" w:rsidP="00B55362">
      <w:pPr>
        <w:spacing w:after="0" w:line="360" w:lineRule="auto"/>
        <w:jc w:val="both"/>
        <w:rPr>
          <w:rFonts w:ascii="Arial" w:hAnsi="Arial" w:cs="Arial"/>
          <w:sz w:val="24"/>
          <w:szCs w:val="24"/>
        </w:rPr>
      </w:pPr>
    </w:p>
    <w:p w14:paraId="5BCD6761" w14:textId="77777777" w:rsidR="00B55362" w:rsidRDefault="00B55362" w:rsidP="00B55362">
      <w:pPr>
        <w:spacing w:after="0" w:line="360" w:lineRule="auto"/>
        <w:ind w:firstLine="708"/>
        <w:jc w:val="both"/>
        <w:rPr>
          <w:rFonts w:ascii="Arial" w:hAnsi="Arial" w:cs="Arial"/>
          <w:sz w:val="24"/>
          <w:szCs w:val="24"/>
        </w:rPr>
      </w:pPr>
      <w:r>
        <w:rPr>
          <w:rFonts w:ascii="Arial" w:hAnsi="Arial" w:cs="Arial"/>
          <w:sz w:val="24"/>
          <w:szCs w:val="24"/>
        </w:rPr>
        <w:t xml:space="preserve">W dniu 10 grudnia 2020r. do Rady Miejskiej w Złoczewie wpłynęła drogą elektroniczną petycja złożona w interesie publicznym przez Pana Oktawiana Krakowiaka. W dniu 14 grudnia 2020r. do Rady Miejskiej w Złoczewie wpłynęła drogą elektroniczną petycja złożona w interesie publicznym przez Pana  Piotra Sterkowskiego. Zgodnie z art. 11 ust. 1 ustawy z dnia 11 lipca 2014r. o petycjach podmiot właściwy do rozpatrzenia petycji zarządził łączne rozpatrywanie petycji (petycja wielokrotna)  z uwagi na fakt, że w ciągu miesiąca wpłynęły petycje dotyczące tej samej sprawy. Okres oczekiwania na dalsze petycje upłynął w dniu 23 lutego 2021r.  </w:t>
      </w:r>
    </w:p>
    <w:p w14:paraId="7203D4D1" w14:textId="77777777" w:rsidR="00B55362" w:rsidRDefault="00B55362" w:rsidP="00B55362">
      <w:pPr>
        <w:spacing w:after="0" w:line="360" w:lineRule="auto"/>
        <w:ind w:firstLine="708"/>
        <w:jc w:val="both"/>
        <w:rPr>
          <w:rFonts w:ascii="Arial" w:hAnsi="Arial" w:cs="Arial"/>
          <w:sz w:val="24"/>
          <w:szCs w:val="24"/>
        </w:rPr>
      </w:pPr>
      <w:r>
        <w:rPr>
          <w:rFonts w:ascii="Arial" w:hAnsi="Arial" w:cs="Arial"/>
          <w:sz w:val="24"/>
          <w:szCs w:val="24"/>
        </w:rPr>
        <w:t>Wnoszący petycję wzywają Radę Miejską w Złoczewie do:</w:t>
      </w:r>
    </w:p>
    <w:p w14:paraId="18085B4D" w14:textId="77777777" w:rsidR="00B55362" w:rsidRDefault="00B55362" w:rsidP="00B55362">
      <w:pPr>
        <w:spacing w:after="0" w:line="360" w:lineRule="auto"/>
        <w:ind w:firstLine="708"/>
        <w:jc w:val="both"/>
        <w:rPr>
          <w:rFonts w:ascii="Arial" w:hAnsi="Arial" w:cs="Arial"/>
          <w:sz w:val="24"/>
          <w:szCs w:val="24"/>
        </w:rPr>
      </w:pPr>
      <w:r>
        <w:rPr>
          <w:rFonts w:ascii="Arial" w:hAnsi="Arial" w:cs="Arial"/>
          <w:sz w:val="24"/>
          <w:szCs w:val="24"/>
        </w:rPr>
        <w:t>- rozpatrzenia petycji,</w:t>
      </w:r>
    </w:p>
    <w:p w14:paraId="13A358BD" w14:textId="77777777" w:rsidR="00B55362" w:rsidRDefault="00B55362" w:rsidP="00B55362">
      <w:pPr>
        <w:spacing w:after="0" w:line="360" w:lineRule="auto"/>
        <w:ind w:firstLine="708"/>
        <w:jc w:val="both"/>
        <w:rPr>
          <w:rFonts w:ascii="Arial" w:hAnsi="Arial" w:cs="Arial"/>
          <w:sz w:val="24"/>
          <w:szCs w:val="24"/>
        </w:rPr>
      </w:pPr>
      <w:r>
        <w:rPr>
          <w:rFonts w:ascii="Arial" w:hAnsi="Arial" w:cs="Arial"/>
          <w:sz w:val="24"/>
          <w:szCs w:val="24"/>
        </w:rPr>
        <w:t xml:space="preserve">- przyjęcia uchwały w zaproponowanej przez Wnoszących treści. </w:t>
      </w:r>
    </w:p>
    <w:p w14:paraId="7C90143D" w14:textId="77777777" w:rsidR="00B55362" w:rsidRDefault="00B55362" w:rsidP="00B55362">
      <w:pPr>
        <w:spacing w:after="0" w:line="360" w:lineRule="auto"/>
        <w:ind w:firstLine="708"/>
        <w:jc w:val="both"/>
        <w:rPr>
          <w:rFonts w:ascii="Arial" w:hAnsi="Arial" w:cs="Arial"/>
          <w:sz w:val="24"/>
          <w:szCs w:val="24"/>
        </w:rPr>
      </w:pPr>
      <w:r>
        <w:rPr>
          <w:rFonts w:ascii="Arial" w:hAnsi="Arial" w:cs="Arial"/>
          <w:sz w:val="24"/>
          <w:szCs w:val="24"/>
        </w:rPr>
        <w:t xml:space="preserve">Wnoszący podnoszą, że zgodnie z art. 32 Konstytucji RP wszyscy są równi wobec prawa  i za niedopuszczalne uznaje się jakiekolwiek działania władz międzynarodowych, krajowych i lokalnych wykluczające społecznie mieszkańców gminy Złoczew z powodów rasowych, religijnych, medycznych czy sanitarnych. </w:t>
      </w:r>
    </w:p>
    <w:p w14:paraId="3E65503C" w14:textId="77777777" w:rsidR="00B55362" w:rsidRDefault="00B55362" w:rsidP="00B55362">
      <w:pPr>
        <w:spacing w:after="0" w:line="360" w:lineRule="auto"/>
        <w:ind w:firstLine="708"/>
        <w:jc w:val="both"/>
        <w:rPr>
          <w:rFonts w:ascii="Arial" w:hAnsi="Arial" w:cs="Arial"/>
          <w:sz w:val="24"/>
          <w:szCs w:val="24"/>
        </w:rPr>
      </w:pPr>
      <w:r>
        <w:rPr>
          <w:rFonts w:ascii="Arial" w:hAnsi="Arial" w:cs="Arial"/>
          <w:sz w:val="24"/>
          <w:szCs w:val="24"/>
        </w:rPr>
        <w:t xml:space="preserve">Wnoszący postulują też, by Rząd RP uzyskał pisemne gwarancje ze strony producentów szczepionek, by w razie jakichkolwiek powikłań gotowi byli przyjąć i ponieść wszelkie koszty prawne i finansowe wystąpienia niepożądanych odczynów poszczepiennych wśród mieszkańców gminy. </w:t>
      </w:r>
    </w:p>
    <w:p w14:paraId="4FC3F32D" w14:textId="77777777" w:rsidR="00B55362" w:rsidRDefault="00B55362" w:rsidP="00B55362">
      <w:pPr>
        <w:spacing w:after="0" w:line="360" w:lineRule="auto"/>
        <w:jc w:val="both"/>
        <w:rPr>
          <w:rFonts w:ascii="Arial" w:hAnsi="Arial" w:cs="Arial"/>
          <w:sz w:val="24"/>
          <w:szCs w:val="24"/>
        </w:rPr>
      </w:pPr>
      <w:r>
        <w:rPr>
          <w:rFonts w:ascii="Arial" w:hAnsi="Arial" w:cs="Arial"/>
          <w:sz w:val="24"/>
          <w:szCs w:val="24"/>
        </w:rPr>
        <w:tab/>
        <w:t xml:space="preserve">Zgodnie z art. 9 ust. 2 ustawy z  dnia 11 lipca 2014r. o petycjach  - petycja złożona do organu stanowiącego jednostki samorządu terytorialnego jest rozpatrywana przez ten organ. </w:t>
      </w:r>
    </w:p>
    <w:p w14:paraId="2B54D5F9" w14:textId="77777777" w:rsidR="00B55362" w:rsidRDefault="00B55362" w:rsidP="00B55362">
      <w:pPr>
        <w:spacing w:after="0" w:line="360" w:lineRule="auto"/>
        <w:ind w:firstLine="708"/>
        <w:jc w:val="both"/>
        <w:rPr>
          <w:rFonts w:ascii="Arial" w:hAnsi="Arial" w:cs="Arial"/>
          <w:sz w:val="24"/>
          <w:szCs w:val="24"/>
        </w:rPr>
      </w:pPr>
      <w:r>
        <w:rPr>
          <w:rFonts w:ascii="Arial" w:hAnsi="Arial" w:cs="Arial"/>
          <w:sz w:val="24"/>
          <w:szCs w:val="24"/>
        </w:rPr>
        <w:t xml:space="preserve">Na podstawie § 55 Statutu Gminy Złoczew petycja została przekazana do rozpatrzenia Komisji Skarg, Wniosków i Petycji Rady Miejskiej w Złoczewie. Komisja, na posiedzeniu w dniu 26 marca 2021r. zajęła stanowisko, w którym zarekomendowała  Radzie Miejskiej w Złoczewie uznanie petycji za bezzasadną.  </w:t>
      </w:r>
    </w:p>
    <w:p w14:paraId="70A17604" w14:textId="77777777" w:rsidR="00B55362" w:rsidRDefault="00B55362" w:rsidP="00B55362">
      <w:pPr>
        <w:spacing w:after="0" w:line="360"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Komisja w toku prowadzonego postępowania stwierdziła, że rada gminy może podejmować uchwały tylko w granicach zadań gminy, a zatem w sprawach </w:t>
      </w:r>
      <w:r>
        <w:rPr>
          <w:rFonts w:ascii="Arial" w:eastAsia="Times New Roman" w:hAnsi="Arial" w:cs="Arial"/>
          <w:sz w:val="24"/>
          <w:szCs w:val="24"/>
          <w:lang w:eastAsia="pl-PL"/>
        </w:rPr>
        <w:lastRenderedPageBreak/>
        <w:t>publicznych o znaczeniu lokalnym, niezastrzeżonych ustawami na rzecz innych podmiotów (art. 6 ust. 1 ustawy z dnia 8 marca 1990 r. o samorządzie gminnym, dalej usg). Żaden tymczasem z przepisów usg, a w szczególności art. 7, nie obejmuje swym zakresem ani recenzowania („uznawania za niedopuszczalne”) działań innych organów administracji publicznej, czy to na szczeblu krajowym, czy tym bardziej zagranicznym, ani podejmowania jakichkolwiek działań władczych względem organów administracji centralnej. Tak podjęta uchwała wykraczałaby poza zakres zadań gminy, a zatem byłaby niezgodna z obowiązującym prawem. Organy władzy publicznej działają wyłącznie w ramach i w granicach prawa, co oznacza, że mogą one podejmować tylko te działania, na które prawo wprost im zezwala; niedopuszczalna jest wykładnia rozszerzająca, bazująca na szerokiej interpretacji zapisu art. 18 ust. 1 usg. </w:t>
      </w:r>
    </w:p>
    <w:p w14:paraId="7D395902" w14:textId="77777777" w:rsidR="00B55362" w:rsidRDefault="00B55362" w:rsidP="00B55362">
      <w:pPr>
        <w:spacing w:after="0" w:line="360"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Zauważyć także należy, że przepis art. 18 ust. 1 usg nie jest, zgodnie z utrwaloną w doktrynie i orzecznictwie linią interpretacyjną, samodzielnym przepisem kompetencyjnym. Uchwała podjęta wyłącznie na jego podstawie również byłaby aktem podjętym bez podstawy prawnej, a więc niezgodnym z prawem. W orzecznictwie oraz w doktrynie przyjmuje się jedynie, że przepis art. 18 ust. 1 u.s.g. upoważnia radę gminy do podejmowania działań niewładczych, np. o charakterze programowym, intencyjnym, co jednak nie dotyczy treści analizowanej petycji.  </w:t>
      </w:r>
    </w:p>
    <w:p w14:paraId="1C188EC0" w14:textId="77777777" w:rsidR="00B55362" w:rsidRDefault="00B55362" w:rsidP="00B55362">
      <w:pPr>
        <w:spacing w:after="0" w:line="360"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Reasumując, organ stanowiący i kontrolny gminy działać musi zawsze w granicach upoważnienia ustawowego, a podjęcie uchwały w takim przedmiocie - w ocenie Komisji - wychodzi poza granice uprawnień ww. organu, co mogłoby następnie spowodować podjęcie czynności przez organ nadzoru w przedmiocie stwierdzenia nieważności takiej uchwały.</w:t>
      </w:r>
    </w:p>
    <w:p w14:paraId="75291A50" w14:textId="6B612344" w:rsidR="00B55362" w:rsidRDefault="00B55362" w:rsidP="00B55362">
      <w:pPr>
        <w:spacing w:after="0" w:line="360" w:lineRule="auto"/>
        <w:ind w:firstLine="708"/>
        <w:jc w:val="both"/>
        <w:rPr>
          <w:rFonts w:ascii="Arial" w:hAnsi="Arial" w:cs="Arial"/>
          <w:sz w:val="24"/>
          <w:szCs w:val="24"/>
        </w:rPr>
      </w:pPr>
      <w:r>
        <w:rPr>
          <w:rFonts w:ascii="Arial" w:hAnsi="Arial" w:cs="Arial"/>
          <w:sz w:val="24"/>
          <w:szCs w:val="24"/>
        </w:rPr>
        <w:t>Niniejsza uchwała wraz z załącznikiem stanowi zawiadomienie o sposobie załatwienia petycji</w:t>
      </w:r>
      <w:r w:rsidR="00171EFA">
        <w:rPr>
          <w:rFonts w:ascii="Arial" w:hAnsi="Arial" w:cs="Arial"/>
          <w:sz w:val="24"/>
          <w:szCs w:val="24"/>
        </w:rPr>
        <w:t>.</w:t>
      </w:r>
    </w:p>
    <w:p w14:paraId="44E3629A" w14:textId="11EA1517" w:rsidR="00B55362" w:rsidRDefault="00B55362" w:rsidP="00B55362">
      <w:pPr>
        <w:spacing w:after="0" w:line="360" w:lineRule="auto"/>
        <w:ind w:firstLine="708"/>
        <w:jc w:val="both"/>
        <w:rPr>
          <w:rFonts w:ascii="Arial" w:hAnsi="Arial" w:cs="Arial"/>
          <w:sz w:val="24"/>
          <w:szCs w:val="24"/>
        </w:rPr>
      </w:pPr>
      <w:r>
        <w:rPr>
          <w:rFonts w:ascii="Arial" w:hAnsi="Arial" w:cs="Arial"/>
          <w:sz w:val="24"/>
          <w:szCs w:val="24"/>
        </w:rPr>
        <w:t xml:space="preserve">Jednocześnie, w myśl art.  12 ust. 1 i 2  ustawy z dnia 11 lipca 2014r. o petycjach poucza się, że podmiot właściwy do rozpatrzenia petycji może pozostawić bez rozpatrzenia petycją złożoną w sprawie, która była przedmiotem petycji już rozpatrzonej przez ten podmiot, jeżeli w petycji nie powołano się na nowe  fakty lub dowody  nieznane podmiotowi do rozpatrzenia petycji. </w:t>
      </w:r>
    </w:p>
    <w:p w14:paraId="624A8B61" w14:textId="4A6C08A6" w:rsidR="00B55362" w:rsidRDefault="00B55362" w:rsidP="00B55362">
      <w:pPr>
        <w:spacing w:after="0" w:line="360" w:lineRule="auto"/>
        <w:jc w:val="both"/>
        <w:rPr>
          <w:rFonts w:ascii="Arial" w:hAnsi="Arial" w:cs="Arial"/>
          <w:sz w:val="24"/>
          <w:szCs w:val="24"/>
        </w:rPr>
      </w:pPr>
      <w:r>
        <w:rPr>
          <w:rFonts w:ascii="Arial" w:hAnsi="Arial" w:cs="Arial"/>
          <w:sz w:val="24"/>
          <w:szCs w:val="24"/>
        </w:rPr>
        <w:tab/>
        <w:t>W przypadku, o którym mowa w ust. 1, podmiot właściwy do rozpatrzenia petycji  niezwłocznie informuje podmiot wnoszący petycję  o pozostawieniu petycji bez rozpatrzenia i poprzednim sposobie załatwienia petycji.</w:t>
      </w:r>
    </w:p>
    <w:sectPr w:rsidR="00B55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62"/>
    <w:rsid w:val="00042F5A"/>
    <w:rsid w:val="00171EFA"/>
    <w:rsid w:val="002B4143"/>
    <w:rsid w:val="0054576D"/>
    <w:rsid w:val="00B55362"/>
    <w:rsid w:val="00BD0E53"/>
    <w:rsid w:val="00EB51CC"/>
    <w:rsid w:val="00F15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DA32"/>
  <w15:chartTrackingRefBased/>
  <w15:docId w15:val="{F898D7C8-2221-4E39-9C55-BBCB2EEF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362"/>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811</Words>
  <Characters>4870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6</cp:revision>
  <dcterms:created xsi:type="dcterms:W3CDTF">2021-04-22T12:43:00Z</dcterms:created>
  <dcterms:modified xsi:type="dcterms:W3CDTF">2021-04-28T07:35:00Z</dcterms:modified>
</cp:coreProperties>
</file>