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65ED" w:rsidRPr="00D95168" w:rsidRDefault="002D069F" w:rsidP="00DA01B4">
      <w:pPr>
        <w:pStyle w:val="Nagwek1"/>
        <w:tabs>
          <w:tab w:val="left" w:pos="2977"/>
        </w:tabs>
        <w:spacing w:before="120" w:line="276" w:lineRule="auto"/>
        <w:ind w:right="284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</w:pPr>
      <w:r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 xml:space="preserve">INFORMACJE DOTYCZĄCE PRZETWARZANIA DANYCH </w:t>
      </w:r>
      <w:r w:rsidR="00FC2248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–</w:t>
      </w:r>
      <w:bookmarkStart w:id="0" w:name="_GoBack"/>
      <w:bookmarkEnd w:id="0"/>
      <w:r w:rsidR="00CE735B" w:rsidRPr="00CE735B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 xml:space="preserve">DOTYCZĄCA </w:t>
      </w:r>
      <w:r w:rsidR="009E59EE" w:rsidRPr="009E59EE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USTALENI</w:t>
      </w:r>
      <w:r w:rsidR="00600E3E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A</w:t>
      </w:r>
      <w:r w:rsidR="009E59EE" w:rsidRPr="009E59EE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 xml:space="preserve"> WARUNKÓW ZABUDOWY</w:t>
      </w:r>
      <w:r w:rsidR="009E59EE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 xml:space="preserve"> LUB </w:t>
      </w:r>
      <w:r w:rsidR="009E59EE" w:rsidRPr="009E59EE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USTALENI</w:t>
      </w:r>
      <w:r w:rsidR="00600E3E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A</w:t>
      </w:r>
      <w:r w:rsidR="009E59EE" w:rsidRPr="009E59EE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 xml:space="preserve"> LOKALIZACJI INWESTYCJI CELU PUBLICZNEGO</w:t>
      </w:r>
    </w:p>
    <w:p w:rsidR="006A72B3" w:rsidRPr="00BE3E84" w:rsidRDefault="006A72B3" w:rsidP="001835FD">
      <w:pPr>
        <w:pStyle w:val="Nagwek1"/>
        <w:spacing w:line="276" w:lineRule="auto"/>
        <w:ind w:left="284"/>
        <w:jc w:val="both"/>
        <w:rPr>
          <w:rFonts w:ascii="Calibri" w:hAnsi="Calibri" w:cs="Arial"/>
          <w:color w:val="000000" w:themeColor="text1"/>
          <w:sz w:val="8"/>
          <w:szCs w:val="18"/>
        </w:rPr>
      </w:pPr>
    </w:p>
    <w:p w:rsidR="00306B7D" w:rsidRPr="00D7059E" w:rsidRDefault="00306B7D" w:rsidP="00D7059E">
      <w:pPr>
        <w:pStyle w:val="Nagwek1"/>
        <w:tabs>
          <w:tab w:val="clear" w:pos="4770"/>
          <w:tab w:val="left" w:pos="9360"/>
        </w:tabs>
        <w:spacing w:line="276" w:lineRule="auto"/>
        <w:ind w:left="142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D7059E">
        <w:rPr>
          <w:rFonts w:ascii="Calibri" w:hAnsi="Calibri" w:cs="Arial"/>
          <w:color w:val="0E57C4" w:themeColor="background2" w:themeShade="80"/>
          <w:sz w:val="18"/>
          <w:szCs w:val="18"/>
        </w:rPr>
        <w:t>Administrator</w:t>
      </w:r>
      <w:r w:rsidR="00613D20" w:rsidRPr="00D7059E">
        <w:rPr>
          <w:rFonts w:ascii="Calibri" w:hAnsi="Calibri" w:cs="Arial"/>
          <w:color w:val="0E57C4" w:themeColor="background2" w:themeShade="80"/>
          <w:sz w:val="18"/>
          <w:szCs w:val="18"/>
        </w:rPr>
        <w:t xml:space="preserve"> danych osobowych</w:t>
      </w:r>
      <w:r w:rsidR="0046033B" w:rsidRPr="00D7059E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  <w:r w:rsidR="00902788" w:rsidRPr="00D7059E">
        <w:rPr>
          <w:rFonts w:ascii="Calibri" w:hAnsi="Calibri" w:cs="Arial"/>
          <w:color w:val="0E57C4" w:themeColor="background2" w:themeShade="80"/>
          <w:sz w:val="18"/>
          <w:szCs w:val="18"/>
        </w:rPr>
        <w:tab/>
      </w:r>
    </w:p>
    <w:p w:rsidR="004A6A7C" w:rsidRPr="009E59EE" w:rsidRDefault="004A6A7C" w:rsidP="009E59EE">
      <w:pPr>
        <w:pStyle w:val="Nagwek1"/>
        <w:spacing w:line="276" w:lineRule="auto"/>
        <w:ind w:left="142"/>
        <w:jc w:val="both"/>
        <w:rPr>
          <w:rFonts w:ascii="Calibri" w:hAnsi="Calibri" w:cs="Arial"/>
          <w:color w:val="000000" w:themeColor="text1"/>
          <w:sz w:val="18"/>
          <w:szCs w:val="18"/>
        </w:rPr>
      </w:pPr>
      <w:r w:rsidRPr="00D7059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Administratorem Pani/Pana danych osobowych będzie </w:t>
      </w:r>
      <w:r w:rsidR="009E59EE" w:rsidRPr="00733FEE">
        <w:rPr>
          <w:rFonts w:asciiTheme="minorHAnsi" w:hAnsiTheme="minorHAnsi" w:cs="Times New Roman"/>
          <w:b w:val="0"/>
          <w:color w:val="000000" w:themeColor="text1"/>
          <w:sz w:val="18"/>
          <w:szCs w:val="18"/>
        </w:rPr>
        <w:t>Burmistrz Miasta Złoczew</w:t>
      </w:r>
      <w:r w:rsidR="001B0861">
        <w:rPr>
          <w:rFonts w:asciiTheme="minorHAnsi" w:hAnsiTheme="minorHAnsi" w:cs="Times New Roman"/>
          <w:b w:val="0"/>
          <w:color w:val="000000" w:themeColor="text1"/>
          <w:sz w:val="18"/>
          <w:szCs w:val="18"/>
        </w:rPr>
        <w:t>a</w:t>
      </w:r>
      <w:r w:rsidR="009E59E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. </w:t>
      </w:r>
      <w:r w:rsidRPr="00D7059E">
        <w:rPr>
          <w:rFonts w:ascii="Calibri" w:hAnsi="Calibri" w:cs="Arial"/>
          <w:b w:val="0"/>
          <w:color w:val="000000" w:themeColor="text1"/>
          <w:sz w:val="18"/>
          <w:szCs w:val="18"/>
        </w:rPr>
        <w:t>Można się z nim skontaktować w następujący sposób:</w:t>
      </w:r>
    </w:p>
    <w:p w:rsidR="009E59EE" w:rsidRPr="00733FEE" w:rsidRDefault="009E59EE" w:rsidP="009E59EE">
      <w:pPr>
        <w:pStyle w:val="Nagwek1"/>
        <w:numPr>
          <w:ilvl w:val="0"/>
          <w:numId w:val="17"/>
        </w:numPr>
        <w:spacing w:line="276" w:lineRule="auto"/>
        <w:ind w:left="426" w:hanging="207"/>
        <w:jc w:val="both"/>
        <w:rPr>
          <w:rFonts w:asciiTheme="minorHAnsi" w:hAnsiTheme="minorHAnsi" w:cs="Arial"/>
          <w:b w:val="0"/>
          <w:color w:val="000000" w:themeColor="text1"/>
          <w:sz w:val="18"/>
          <w:szCs w:val="18"/>
        </w:rPr>
      </w:pPr>
      <w:r w:rsidRPr="00733FEE">
        <w:rPr>
          <w:rFonts w:asciiTheme="minorHAnsi" w:hAnsiTheme="minorHAnsi" w:cs="Arial"/>
          <w:b w:val="0"/>
          <w:color w:val="000000" w:themeColor="text1"/>
          <w:sz w:val="18"/>
          <w:szCs w:val="18"/>
        </w:rPr>
        <w:t>listownie: ul. Szkolna 16, 98-270 Złoczew,</w:t>
      </w:r>
    </w:p>
    <w:p w:rsidR="009E59EE" w:rsidRPr="00733FEE" w:rsidRDefault="009E59EE" w:rsidP="009E59EE">
      <w:pPr>
        <w:pStyle w:val="Nagwek1"/>
        <w:numPr>
          <w:ilvl w:val="0"/>
          <w:numId w:val="17"/>
        </w:numPr>
        <w:spacing w:line="276" w:lineRule="auto"/>
        <w:ind w:left="426" w:hanging="207"/>
        <w:jc w:val="both"/>
        <w:rPr>
          <w:rFonts w:asciiTheme="minorHAnsi" w:hAnsiTheme="minorHAnsi" w:cs="Arial"/>
          <w:b w:val="0"/>
          <w:color w:val="000000" w:themeColor="text1"/>
          <w:sz w:val="18"/>
          <w:szCs w:val="18"/>
        </w:rPr>
      </w:pPr>
      <w:r w:rsidRPr="00733FEE">
        <w:rPr>
          <w:rFonts w:asciiTheme="minorHAnsi" w:hAnsiTheme="minorHAnsi" w:cs="Arial"/>
          <w:b w:val="0"/>
          <w:color w:val="000000" w:themeColor="text1"/>
          <w:sz w:val="18"/>
          <w:szCs w:val="18"/>
        </w:rPr>
        <w:t xml:space="preserve">przez adres e-mail: </w:t>
      </w:r>
      <w:r w:rsidRPr="00733FEE">
        <w:rPr>
          <w:rFonts w:asciiTheme="minorHAnsi" w:hAnsiTheme="minorHAnsi" w:cs="Arial"/>
          <w:b w:val="0"/>
          <w:color w:val="498CF1" w:themeColor="background2" w:themeShade="BF"/>
          <w:sz w:val="18"/>
          <w:szCs w:val="18"/>
          <w:u w:val="single"/>
        </w:rPr>
        <w:t>gmina@zloczew.pl</w:t>
      </w:r>
    </w:p>
    <w:p w:rsidR="009E59EE" w:rsidRPr="00733FEE" w:rsidRDefault="009E59EE" w:rsidP="009E59EE">
      <w:pPr>
        <w:pStyle w:val="Nagwek1"/>
        <w:numPr>
          <w:ilvl w:val="0"/>
          <w:numId w:val="17"/>
        </w:numPr>
        <w:spacing w:line="276" w:lineRule="auto"/>
        <w:ind w:left="426" w:hanging="207"/>
        <w:jc w:val="both"/>
        <w:rPr>
          <w:rFonts w:asciiTheme="minorHAnsi" w:hAnsiTheme="minorHAnsi" w:cs="Arial"/>
          <w:b w:val="0"/>
          <w:color w:val="000000" w:themeColor="text1"/>
          <w:sz w:val="18"/>
          <w:szCs w:val="18"/>
        </w:rPr>
      </w:pPr>
      <w:r w:rsidRPr="00733FEE">
        <w:rPr>
          <w:rFonts w:asciiTheme="minorHAnsi" w:hAnsiTheme="minorHAnsi" w:cs="Arial"/>
          <w:b w:val="0"/>
          <w:color w:val="000000" w:themeColor="text1"/>
          <w:sz w:val="18"/>
          <w:szCs w:val="18"/>
        </w:rPr>
        <w:t>telefonicznie: (43) 820 22 70.</w:t>
      </w:r>
    </w:p>
    <w:p w:rsidR="005A64F0" w:rsidRPr="00D7059E" w:rsidRDefault="00956CF5" w:rsidP="00D7059E">
      <w:pPr>
        <w:pStyle w:val="Nagwek1"/>
        <w:spacing w:before="6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D7059E">
        <w:rPr>
          <w:rFonts w:ascii="Calibri" w:hAnsi="Calibri" w:cs="Arial"/>
          <w:color w:val="0E57C4" w:themeColor="background2" w:themeShade="80"/>
          <w:sz w:val="18"/>
          <w:szCs w:val="18"/>
        </w:rPr>
        <w:t>Cel i podstawy przetwarzania</w:t>
      </w:r>
      <w:r w:rsidR="0046033B" w:rsidRPr="00D7059E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  <w:r w:rsidR="002D069F" w:rsidRPr="00D7059E">
        <w:rPr>
          <w:rFonts w:ascii="Calibri" w:hAnsi="Calibri" w:cs="Arial"/>
          <w:color w:val="0E57C4" w:themeColor="background2" w:themeShade="80"/>
          <w:sz w:val="18"/>
          <w:szCs w:val="18"/>
        </w:rPr>
        <w:t xml:space="preserve">  </w:t>
      </w:r>
    </w:p>
    <w:p w:rsidR="00CE735B" w:rsidRPr="00D7059E" w:rsidRDefault="00CE735B" w:rsidP="00600E3E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D7059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Pani/Pana dane osobowe przetwarzane </w:t>
      </w:r>
      <w:r w:rsidR="001B0861" w:rsidRPr="00D7059E">
        <w:rPr>
          <w:rFonts w:ascii="Calibri" w:hAnsi="Calibri" w:cs="Arial"/>
          <w:b w:val="0"/>
          <w:color w:val="000000" w:themeColor="text1"/>
          <w:sz w:val="18"/>
          <w:szCs w:val="18"/>
        </w:rPr>
        <w:t>są</w:t>
      </w:r>
      <w:r w:rsidRPr="00D7059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w celu/celach wypełnienia </w:t>
      </w:r>
      <w:r w:rsidR="00B00C92" w:rsidRPr="00D7059E">
        <w:rPr>
          <w:rFonts w:ascii="Calibri" w:hAnsi="Calibri" w:cs="Arial"/>
          <w:b w:val="0"/>
          <w:color w:val="000000" w:themeColor="text1"/>
          <w:sz w:val="18"/>
          <w:szCs w:val="18"/>
        </w:rPr>
        <w:t>obowiązków</w:t>
      </w:r>
      <w:r w:rsidRPr="00D7059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prawnych </w:t>
      </w:r>
      <w:r w:rsidR="001B0861" w:rsidRPr="00D7059E">
        <w:rPr>
          <w:rFonts w:ascii="Calibri" w:hAnsi="Calibri" w:cs="Arial"/>
          <w:b w:val="0"/>
          <w:color w:val="000000" w:themeColor="text1"/>
          <w:sz w:val="18"/>
          <w:szCs w:val="18"/>
        </w:rPr>
        <w:t>ciążących</w:t>
      </w:r>
      <w:r w:rsidRPr="00D7059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na Urzędzie </w:t>
      </w:r>
      <w:r w:rsidR="001B0861">
        <w:rPr>
          <w:rFonts w:ascii="Calibri" w:hAnsi="Calibri" w:cs="Arial"/>
          <w:b w:val="0"/>
          <w:color w:val="000000" w:themeColor="text1"/>
          <w:sz w:val="18"/>
          <w:szCs w:val="18"/>
        </w:rPr>
        <w:t>Miejskim</w:t>
      </w:r>
      <w:r w:rsidR="009E59E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w Złoczewie</w:t>
      </w:r>
      <w:r w:rsidRPr="00D7059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, tj. </w:t>
      </w:r>
      <w:r w:rsidR="009E59EE" w:rsidRPr="009E59EE">
        <w:rPr>
          <w:rFonts w:ascii="Calibri" w:hAnsi="Calibri" w:cs="Arial"/>
          <w:b w:val="0"/>
          <w:color w:val="000000" w:themeColor="text1"/>
          <w:sz w:val="18"/>
          <w:szCs w:val="18"/>
        </w:rPr>
        <w:t>przeprowadzenia postępowania administracyjnego i wydania</w:t>
      </w:r>
      <w:r w:rsidR="009E59E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decyzji o warunkach zabudowy, decyzji o ustaleniu lokalizacji inwestycji celu publicznego, decyzji pozwolenia na budowę, w celu prowadzenia postępowań w oparciu o art. 1 Kodeksu postępowania administracyjnego</w:t>
      </w:r>
      <w:r w:rsidR="009E59EE" w:rsidRPr="009E59EE">
        <w:rPr>
          <w:rFonts w:ascii="Calibri" w:hAnsi="Calibri" w:cs="Arial"/>
          <w:b w:val="0"/>
          <w:color w:val="000000" w:themeColor="text1"/>
          <w:sz w:val="18"/>
          <w:szCs w:val="18"/>
        </w:rPr>
        <w:t>w związku ze złożonym wnioskiem</w:t>
      </w:r>
      <w:r w:rsidR="009E59EE">
        <w:rPr>
          <w:rFonts w:ascii="Calibri" w:hAnsi="Calibri" w:cs="Arial"/>
          <w:b w:val="0"/>
          <w:color w:val="000000" w:themeColor="text1"/>
          <w:sz w:val="18"/>
          <w:szCs w:val="18"/>
        </w:rPr>
        <w:t>.</w:t>
      </w:r>
      <w:r w:rsidR="001B086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przypadku danych, </w:t>
      </w:r>
      <w:r w:rsidR="001B086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których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obowiązek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podania nie wynika z przepisu prawa, Pani/Pana dane osobowe</w:t>
      </w:r>
      <w:r w:rsidR="001B086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przetwarzane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są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na podstawie zgody - w celu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wynikającym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treści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tej zgody.</w:t>
      </w:r>
    </w:p>
    <w:p w:rsidR="00B7473C" w:rsidRPr="00D7059E" w:rsidRDefault="00B7473C" w:rsidP="00D7059E">
      <w:pPr>
        <w:pStyle w:val="Nagwek1"/>
        <w:spacing w:before="6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D7059E">
        <w:rPr>
          <w:rFonts w:ascii="Calibri" w:hAnsi="Calibri" w:cs="Arial"/>
          <w:color w:val="0E57C4" w:themeColor="background2" w:themeShade="80"/>
          <w:sz w:val="18"/>
          <w:szCs w:val="18"/>
        </w:rPr>
        <w:t>Odbiorcy danych osobowych.</w:t>
      </w:r>
    </w:p>
    <w:p w:rsidR="00600E3E" w:rsidRPr="00600E3E" w:rsidRDefault="00600E3E" w:rsidP="00600E3E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związku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 przetwarzaniem danych, odbiorcami Pani/Pana danych osobowych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mogą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być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: </w:t>
      </w:r>
    </w:p>
    <w:p w:rsidR="00600E3E" w:rsidRPr="00600E3E" w:rsidRDefault="00600E3E" w:rsidP="00600E3E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organy władzy publicznej oraz podmioty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wykonujące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zadania publiczne lub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działające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na zlecenie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organów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władzy publicznej, w zakresie </w:t>
      </w:r>
      <w:r w:rsidR="001B0861">
        <w:rPr>
          <w:rFonts w:ascii="Calibri" w:hAnsi="Calibri" w:cs="Arial"/>
          <w:b w:val="0"/>
          <w:color w:val="000000" w:themeColor="text1"/>
          <w:sz w:val="18"/>
          <w:szCs w:val="18"/>
        </w:rPr>
        <w:br/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i w celach,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które</w:t>
      </w:r>
      <w:r w:rsidR="001B086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wynikają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przepisów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powszechnie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obowiązującego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prawa; </w:t>
      </w:r>
    </w:p>
    <w:p w:rsidR="00600E3E" w:rsidRPr="00600E3E" w:rsidRDefault="00600E3E" w:rsidP="00600E3E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podmioty,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które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na podstawie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przepisów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prawa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bądź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stosownych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umów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podpisanych z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miastem Złoczew</w:t>
      </w:r>
      <w:r w:rsidR="001B086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przetwarzają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dane osobowe dla </w:t>
      </w:r>
      <w:r w:rsidR="001B0861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których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Administratorem jest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Burmistrz Miasta Złoczew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. </w:t>
      </w:r>
    </w:p>
    <w:p w:rsidR="00B7473C" w:rsidRPr="00D7059E" w:rsidRDefault="00B7473C" w:rsidP="00D7059E">
      <w:pPr>
        <w:pStyle w:val="Nagwek1"/>
        <w:spacing w:before="6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D7059E">
        <w:rPr>
          <w:rFonts w:ascii="Calibri" w:hAnsi="Calibri" w:cs="Arial"/>
          <w:color w:val="0E57C4" w:themeColor="background2" w:themeShade="80"/>
          <w:sz w:val="18"/>
          <w:szCs w:val="18"/>
        </w:rPr>
        <w:t>Okres przechowywania danych.</w:t>
      </w:r>
    </w:p>
    <w:p w:rsidR="00600E3E" w:rsidRPr="00600E3E" w:rsidRDefault="00600E3E" w:rsidP="00600E3E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Pani/Pana dane osobowe będą przetwarzane w ramach dokumentacji prowadzonej w formie papierowej i elektronicznej przez okres wynikający z przepisów prawa, w szczególności ustawy z dnia 14 lipca 1983  r. o narodowym zasobie archiwalnym i archiwach oraz rozporządzenia Prezesa Rady Ministrów z dnia 18 stycznia 2011 r. w sprawie instrukcji kancelaryjnej, jednolitych rzeczowych wykazów akt oraz instrukcji w sprawie organizacji </w:t>
      </w:r>
      <w:r w:rsidR="001B0861">
        <w:rPr>
          <w:rFonts w:ascii="Calibri" w:hAnsi="Calibri" w:cs="Arial"/>
          <w:b w:val="0"/>
          <w:color w:val="000000" w:themeColor="text1"/>
          <w:sz w:val="18"/>
          <w:szCs w:val="18"/>
        </w:rPr>
        <w:br/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i zakresu działania archiwów zakładowych.</w:t>
      </w:r>
    </w:p>
    <w:p w:rsidR="00B7473C" w:rsidRPr="00D7059E" w:rsidRDefault="00B7473C" w:rsidP="00D7059E">
      <w:pPr>
        <w:pStyle w:val="Nagwek1"/>
        <w:spacing w:before="6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D7059E">
        <w:rPr>
          <w:rFonts w:ascii="Calibri" w:hAnsi="Calibri" w:cs="Arial"/>
          <w:color w:val="0E57C4" w:themeColor="background2" w:themeShade="80"/>
          <w:sz w:val="18"/>
          <w:szCs w:val="18"/>
        </w:rPr>
        <w:t>Prawa osób, których dane dotyczą.</w:t>
      </w:r>
    </w:p>
    <w:p w:rsidR="00600E3E" w:rsidRPr="00600E3E" w:rsidRDefault="00600E3E" w:rsidP="00600E3E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W związku z przetwarzaniem Pani/Pana danych osobowych przysługują Pani/Panu następujące prawa:</w:t>
      </w:r>
    </w:p>
    <w:p w:rsidR="00600E3E" w:rsidRPr="00600E3E" w:rsidRDefault="00600E3E" w:rsidP="00600E3E">
      <w:pPr>
        <w:pStyle w:val="Nagwek1"/>
        <w:numPr>
          <w:ilvl w:val="0"/>
          <w:numId w:val="22"/>
        </w:numPr>
        <w:spacing w:line="276" w:lineRule="auto"/>
        <w:ind w:left="426" w:hanging="284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prawo dostępu do danych osobowych, w tym prawo do uzyskania kopii tych danych;</w:t>
      </w:r>
    </w:p>
    <w:p w:rsidR="00600E3E" w:rsidRPr="00600E3E" w:rsidRDefault="00600E3E" w:rsidP="00600E3E">
      <w:pPr>
        <w:pStyle w:val="Nagwek1"/>
        <w:numPr>
          <w:ilvl w:val="0"/>
          <w:numId w:val="22"/>
        </w:numPr>
        <w:spacing w:line="276" w:lineRule="auto"/>
        <w:ind w:left="426" w:hanging="284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prawo do żądania sprostowania (poprawiania) danych osobowych – w przypadku, gdy dane są nieprawidłowe lub niekompletne;</w:t>
      </w:r>
    </w:p>
    <w:p w:rsidR="00600E3E" w:rsidRPr="00600E3E" w:rsidRDefault="00600E3E" w:rsidP="00600E3E">
      <w:pPr>
        <w:pStyle w:val="Nagwek1"/>
        <w:numPr>
          <w:ilvl w:val="0"/>
          <w:numId w:val="22"/>
        </w:numPr>
        <w:spacing w:line="276" w:lineRule="auto"/>
        <w:ind w:left="426" w:hanging="284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prawo do żądania usunięcia danych osobowych; przypadkach, w których administrator przetwarza dane na podstawie art. 6 ust. 1 lit. c) i e) RODO</w:t>
      </w:r>
      <w:r w:rsidR="00307DC6" w:rsidRPr="00307DC6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dane mogą być usunięte po zakończeniu okresu archiwizacji, o ile przepis szczególny nie stanowi inaczej;</w:t>
      </w:r>
    </w:p>
    <w:p w:rsidR="00600E3E" w:rsidRPr="00600E3E" w:rsidRDefault="00600E3E" w:rsidP="00600E3E">
      <w:pPr>
        <w:pStyle w:val="Nagwek1"/>
        <w:numPr>
          <w:ilvl w:val="0"/>
          <w:numId w:val="22"/>
        </w:numPr>
        <w:spacing w:line="276" w:lineRule="auto"/>
        <w:ind w:left="426" w:hanging="284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prawo do żądania ograniczenia przetwarzania danych osobowych, jeżeli zachodzi jedna z okoliczności określonych w art. 17 ust. 1 RODO</w:t>
      </w:r>
      <w:r w:rsidR="00307DC6" w:rsidRPr="00307DC6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, o ile przepis szczególny nie stanowi inaczej;</w:t>
      </w:r>
    </w:p>
    <w:p w:rsidR="00600E3E" w:rsidRPr="00600E3E" w:rsidRDefault="00600E3E" w:rsidP="00600E3E">
      <w:pPr>
        <w:pStyle w:val="Nagwek1"/>
        <w:numPr>
          <w:ilvl w:val="0"/>
          <w:numId w:val="22"/>
        </w:numPr>
        <w:spacing w:line="276" w:lineRule="auto"/>
        <w:ind w:left="426" w:hanging="284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prawo do wniesienia sprzeciwu wobec przetwarzania z przyczyn związanych z Pani/Pana szczególną sytuacją – wobec przetwarzania danych osobowych opartego na art. 6 ust. 1 lit. e) RODO</w:t>
      </w:r>
      <w:r w:rsidR="00307DC6" w:rsidRPr="00307DC6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, o ile przepis szczególny nie stanowi inaczej;</w:t>
      </w:r>
    </w:p>
    <w:p w:rsidR="00600E3E" w:rsidRPr="00600E3E" w:rsidRDefault="00600E3E" w:rsidP="00600E3E">
      <w:pPr>
        <w:pStyle w:val="Nagwek1"/>
        <w:numPr>
          <w:ilvl w:val="0"/>
          <w:numId w:val="22"/>
        </w:numPr>
        <w:spacing w:line="276" w:lineRule="auto"/>
        <w:ind w:left="426" w:hanging="284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prawo do przenoszenia danych.</w:t>
      </w:r>
    </w:p>
    <w:p w:rsidR="00600E3E" w:rsidRPr="00600E3E" w:rsidRDefault="00600E3E" w:rsidP="00600E3E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Realizacja powyższych uprawnień musi być zgodna z przepisami prawa na podstawie, których odbywa się przetwarzanie danych, w tym z zasadami wynikającymi z kodeksu postępowania administracyjnego czy archiwizacji.</w:t>
      </w:r>
    </w:p>
    <w:p w:rsidR="00B7473C" w:rsidRPr="00D7059E" w:rsidRDefault="00B7473C" w:rsidP="00D7059E">
      <w:pPr>
        <w:pStyle w:val="Nagwek1"/>
        <w:spacing w:before="6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D7059E">
        <w:rPr>
          <w:rFonts w:ascii="Calibri" w:hAnsi="Calibri" w:cs="Arial"/>
          <w:color w:val="0E57C4" w:themeColor="background2" w:themeShade="80"/>
          <w:sz w:val="18"/>
          <w:szCs w:val="18"/>
        </w:rPr>
        <w:t>Prawo wniesienia skargi do organu nadzorczego.</w:t>
      </w:r>
    </w:p>
    <w:p w:rsidR="00B7473C" w:rsidRPr="00D7059E" w:rsidRDefault="00B7473C" w:rsidP="00D7059E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</w:pPr>
      <w:r w:rsidRPr="00D7059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Przysługuje Pani/Panu również prawo wniesienia skargi do organu nadzorczego zajmującego się ochroną danych osobowych na adres: Biura Prezesa Urzędu Ochrony Danych Osobowych, adres ul Stawki 2, 00-193 Warszawa lub przez stronę internetową </w:t>
      </w:r>
      <w:r w:rsidRPr="00D7059E"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  <w:t>uodo.gov.pl.</w:t>
      </w:r>
    </w:p>
    <w:p w:rsidR="00CE735B" w:rsidRPr="00D7059E" w:rsidRDefault="00B7473C" w:rsidP="00D7059E">
      <w:pPr>
        <w:pStyle w:val="Nagwek1"/>
        <w:spacing w:before="6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D7059E">
        <w:rPr>
          <w:rFonts w:ascii="Calibri" w:hAnsi="Calibri" w:cs="Arial"/>
          <w:color w:val="0E57C4" w:themeColor="background2" w:themeShade="80"/>
          <w:sz w:val="18"/>
          <w:szCs w:val="18"/>
        </w:rPr>
        <w:t>Informacja o wymogu podania danych.</w:t>
      </w:r>
    </w:p>
    <w:p w:rsidR="00600E3E" w:rsidRPr="00600E3E" w:rsidRDefault="00600E3E" w:rsidP="00600E3E">
      <w:pPr>
        <w:pStyle w:val="Nagwek1"/>
        <w:spacing w:before="60"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Podanie przez Panią/Pana danych osobowych jest wymogiem ustawowym (Kodeks postępowania administracyjnego), wynika z realizacji obowiązków wynikających z przepisów prawa. Ponadto dane osobowe mogą być zbierane od stron postępowania administracyjnego, mogą pochodzić z systemów informatycznych, do których organ ma dostęp zgodnie z przepisami prawa lub od osób trzecich i innych podmiotów.</w:t>
      </w:r>
    </w:p>
    <w:p w:rsidR="00600E3E" w:rsidRDefault="00600E3E" w:rsidP="00600E3E">
      <w:pPr>
        <w:pStyle w:val="Nagwek1"/>
        <w:spacing w:before="60"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Niepodanie przez Panią/Pana danych osobowych uniemożliwia wszczęcie i prowadzenie sprawy z Pani/Pana wniosku bądź uniemożliwi stronie zapewnienie czynnego udziału w postępowaniu administracyjnym zgodnie z Kodeksem postępowania administracyjnego.  </w:t>
      </w:r>
    </w:p>
    <w:p w:rsidR="00A249A3" w:rsidRPr="00D7059E" w:rsidRDefault="00A249A3" w:rsidP="00600E3E">
      <w:pPr>
        <w:pStyle w:val="Nagwek1"/>
        <w:spacing w:before="6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D7059E">
        <w:rPr>
          <w:rFonts w:ascii="Calibri" w:hAnsi="Calibri" w:cs="Arial"/>
          <w:color w:val="0E57C4" w:themeColor="background2" w:themeShade="80"/>
          <w:sz w:val="18"/>
          <w:szCs w:val="18"/>
        </w:rPr>
        <w:t>Inspektor ochrony danych.</w:t>
      </w:r>
    </w:p>
    <w:p w:rsidR="00600E3E" w:rsidRPr="00600E3E" w:rsidRDefault="001B0861" w:rsidP="00600E3E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Jeśli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ma Pani/Pan pytania 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dotyczące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sposobu i zakresu przetwarzania Pani/Pana danych osobowych w zakresie działania Ur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zę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du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Miejskiego</w:t>
      </w:r>
      <w:r w:rsid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br/>
      </w:r>
      <w:r w:rsidR="00600E3E">
        <w:rPr>
          <w:rFonts w:ascii="Calibri" w:hAnsi="Calibri" w:cs="Arial"/>
          <w:b w:val="0"/>
          <w:color w:val="000000" w:themeColor="text1"/>
          <w:sz w:val="18"/>
          <w:szCs w:val="18"/>
        </w:rPr>
        <w:t>w Złoczewie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, a 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także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przysługujących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Pani/Panu 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uprawnień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, 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może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się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Pani/Pan 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skontaktować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się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 Inspektorem Ochrony Danych w 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Urzędzie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za </w:t>
      </w:r>
      <w:r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>pomocą</w:t>
      </w:r>
      <w:r w:rsidR="00600E3E" w:rsidRPr="00600E3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adresu inspektor@myiod.pl. </w:t>
      </w:r>
    </w:p>
    <w:p w:rsidR="00A249A3" w:rsidRDefault="00A249A3" w:rsidP="00D7059E">
      <w:pPr>
        <w:pStyle w:val="Nagwek1"/>
        <w:spacing w:line="276" w:lineRule="auto"/>
        <w:jc w:val="both"/>
        <w:rPr>
          <w:rFonts w:ascii="Calibri" w:hAnsi="Calibri" w:cs="Arial"/>
          <w:i/>
          <w:color w:val="000000" w:themeColor="text1"/>
          <w:sz w:val="18"/>
          <w:szCs w:val="18"/>
        </w:rPr>
      </w:pPr>
    </w:p>
    <w:p w:rsidR="00307DC6" w:rsidRPr="002237FD" w:rsidRDefault="00307DC6" w:rsidP="00307DC6">
      <w:pPr>
        <w:pStyle w:val="Nagwek1"/>
        <w:spacing w:line="276" w:lineRule="auto"/>
        <w:ind w:left="142"/>
        <w:jc w:val="both"/>
        <w:rPr>
          <w:sz w:val="36"/>
        </w:rPr>
      </w:pPr>
      <w:r w:rsidRPr="002237FD">
        <w:rPr>
          <w:rFonts w:ascii="Helvetica" w:hAnsi="Helvetica" w:cs="Arial"/>
          <w:b w:val="0"/>
          <w:i/>
          <w:color w:val="000000" w:themeColor="text1"/>
          <w:sz w:val="15"/>
          <w:szCs w:val="16"/>
          <w:vertAlign w:val="superscript"/>
        </w:rPr>
        <w:t>1</w:t>
      </w:r>
      <w:r w:rsidRPr="002237FD">
        <w:rPr>
          <w:rFonts w:ascii="Helvetica" w:hAnsi="Helvetica" w:cs="Arial"/>
          <w:b w:val="0"/>
          <w:i/>
          <w:color w:val="000000" w:themeColor="text1"/>
          <w:sz w:val="15"/>
          <w:szCs w:val="16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</w:t>
      </w:r>
    </w:p>
    <w:p w:rsidR="00B7473C" w:rsidRPr="00BE3E84" w:rsidRDefault="00B7473C" w:rsidP="001B0861">
      <w:pPr>
        <w:pStyle w:val="Nagwek1"/>
        <w:spacing w:line="276" w:lineRule="auto"/>
        <w:jc w:val="both"/>
        <w:rPr>
          <w:rFonts w:ascii="Calibri" w:hAnsi="Calibri" w:cs="Arial"/>
          <w:i/>
          <w:color w:val="000000" w:themeColor="text1"/>
          <w:sz w:val="18"/>
          <w:szCs w:val="18"/>
        </w:rPr>
      </w:pPr>
    </w:p>
    <w:sectPr w:rsidR="00B7473C" w:rsidRPr="00BE3E84" w:rsidSect="00B74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98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08" w:rsidRDefault="00F20B08" w:rsidP="0001246E">
      <w:r>
        <w:separator/>
      </w:r>
    </w:p>
  </w:endnote>
  <w:endnote w:type="continuationSeparator" w:id="1">
    <w:p w:rsidR="00F20B08" w:rsidRDefault="00F20B08" w:rsidP="00012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EE" w:rsidRDefault="009E59E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EE" w:rsidRDefault="009E59E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EE" w:rsidRDefault="009E59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08" w:rsidRDefault="00F20B08" w:rsidP="0001246E">
      <w:r>
        <w:separator/>
      </w:r>
    </w:p>
  </w:footnote>
  <w:footnote w:type="continuationSeparator" w:id="1">
    <w:p w:rsidR="00F20B08" w:rsidRDefault="00F20B08" w:rsidP="00012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A3" w:rsidRDefault="00A249A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A3" w:rsidRDefault="00A249A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A3" w:rsidRDefault="00A249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41D0A"/>
    <w:multiLevelType w:val="multilevel"/>
    <w:tmpl w:val="6F0A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B090D"/>
    <w:multiLevelType w:val="multilevel"/>
    <w:tmpl w:val="E1029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8D6390"/>
    <w:multiLevelType w:val="multilevel"/>
    <w:tmpl w:val="CB7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7D7403"/>
    <w:multiLevelType w:val="hybridMultilevel"/>
    <w:tmpl w:val="BC14CC8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64448"/>
    <w:multiLevelType w:val="hybridMultilevel"/>
    <w:tmpl w:val="92289F7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EB74C45"/>
    <w:multiLevelType w:val="multilevel"/>
    <w:tmpl w:val="7DF2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3BB56E7"/>
    <w:multiLevelType w:val="hybridMultilevel"/>
    <w:tmpl w:val="BC14CC8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4432D18"/>
    <w:multiLevelType w:val="hybridMultilevel"/>
    <w:tmpl w:val="BFACB18C"/>
    <w:lvl w:ilvl="0" w:tplc="109EB9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7B73114"/>
    <w:multiLevelType w:val="hybridMultilevel"/>
    <w:tmpl w:val="F98E79B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B1D0E07"/>
    <w:multiLevelType w:val="multilevel"/>
    <w:tmpl w:val="9902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2"/>
  </w:num>
  <w:num w:numId="5">
    <w:abstractNumId w:val="12"/>
  </w:num>
  <w:num w:numId="6">
    <w:abstractNumId w:val="17"/>
  </w:num>
  <w:num w:numId="7">
    <w:abstractNumId w:val="9"/>
  </w:num>
  <w:num w:numId="8">
    <w:abstractNumId w:val="23"/>
  </w:num>
  <w:num w:numId="9">
    <w:abstractNumId w:val="7"/>
  </w:num>
  <w:num w:numId="10">
    <w:abstractNumId w:val="13"/>
  </w:num>
  <w:num w:numId="11">
    <w:abstractNumId w:val="14"/>
  </w:num>
  <w:num w:numId="12">
    <w:abstractNumId w:val="6"/>
  </w:num>
  <w:num w:numId="13">
    <w:abstractNumId w:val="5"/>
  </w:num>
  <w:num w:numId="14">
    <w:abstractNumId w:val="0"/>
  </w:num>
  <w:num w:numId="15">
    <w:abstractNumId w:val="16"/>
  </w:num>
  <w:num w:numId="16">
    <w:abstractNumId w:val="4"/>
  </w:num>
  <w:num w:numId="17">
    <w:abstractNumId w:val="15"/>
  </w:num>
  <w:num w:numId="18">
    <w:abstractNumId w:val="2"/>
  </w:num>
  <w:num w:numId="19">
    <w:abstractNumId w:val="11"/>
  </w:num>
  <w:num w:numId="20">
    <w:abstractNumId w:val="19"/>
  </w:num>
  <w:num w:numId="21">
    <w:abstractNumId w:val="1"/>
  </w:num>
  <w:num w:numId="22">
    <w:abstractNumId w:val="20"/>
  </w:num>
  <w:num w:numId="23">
    <w:abstractNumId w:val="2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6B7D"/>
    <w:rsid w:val="0001246E"/>
    <w:rsid w:val="00057078"/>
    <w:rsid w:val="00077E7C"/>
    <w:rsid w:val="00120A01"/>
    <w:rsid w:val="00153011"/>
    <w:rsid w:val="001835FD"/>
    <w:rsid w:val="001B0861"/>
    <w:rsid w:val="001D30EC"/>
    <w:rsid w:val="002017F0"/>
    <w:rsid w:val="002235CD"/>
    <w:rsid w:val="002237FD"/>
    <w:rsid w:val="002501FB"/>
    <w:rsid w:val="002D069F"/>
    <w:rsid w:val="002D4D94"/>
    <w:rsid w:val="002D6577"/>
    <w:rsid w:val="002D78D8"/>
    <w:rsid w:val="00306B7D"/>
    <w:rsid w:val="00307DC6"/>
    <w:rsid w:val="003233A7"/>
    <w:rsid w:val="00391E26"/>
    <w:rsid w:val="003A4849"/>
    <w:rsid w:val="003B72ED"/>
    <w:rsid w:val="003E02F6"/>
    <w:rsid w:val="003E29F7"/>
    <w:rsid w:val="003E4F4C"/>
    <w:rsid w:val="003F041F"/>
    <w:rsid w:val="004019B2"/>
    <w:rsid w:val="0040730C"/>
    <w:rsid w:val="0046033B"/>
    <w:rsid w:val="004A6A7C"/>
    <w:rsid w:val="0056020F"/>
    <w:rsid w:val="00585A3C"/>
    <w:rsid w:val="005A64F0"/>
    <w:rsid w:val="00600E3E"/>
    <w:rsid w:val="006038B0"/>
    <w:rsid w:val="00613D20"/>
    <w:rsid w:val="006240AF"/>
    <w:rsid w:val="006343A0"/>
    <w:rsid w:val="00661352"/>
    <w:rsid w:val="00693704"/>
    <w:rsid w:val="006A72B3"/>
    <w:rsid w:val="006B1BA1"/>
    <w:rsid w:val="006C1053"/>
    <w:rsid w:val="006D355B"/>
    <w:rsid w:val="00714F45"/>
    <w:rsid w:val="0072473A"/>
    <w:rsid w:val="00731086"/>
    <w:rsid w:val="007F7541"/>
    <w:rsid w:val="0080382D"/>
    <w:rsid w:val="008527FE"/>
    <w:rsid w:val="008C347F"/>
    <w:rsid w:val="008E4C11"/>
    <w:rsid w:val="00902788"/>
    <w:rsid w:val="00915692"/>
    <w:rsid w:val="009450B8"/>
    <w:rsid w:val="00956CF5"/>
    <w:rsid w:val="009617A5"/>
    <w:rsid w:val="009828B4"/>
    <w:rsid w:val="009D7799"/>
    <w:rsid w:val="009E59EE"/>
    <w:rsid w:val="009F41BE"/>
    <w:rsid w:val="00A07C47"/>
    <w:rsid w:val="00A249A3"/>
    <w:rsid w:val="00A43642"/>
    <w:rsid w:val="00A63C7D"/>
    <w:rsid w:val="00A945ED"/>
    <w:rsid w:val="00AA5FAC"/>
    <w:rsid w:val="00AC6577"/>
    <w:rsid w:val="00AF06ED"/>
    <w:rsid w:val="00B00C92"/>
    <w:rsid w:val="00B265ED"/>
    <w:rsid w:val="00B45F40"/>
    <w:rsid w:val="00B7473C"/>
    <w:rsid w:val="00BD0A59"/>
    <w:rsid w:val="00BE3E84"/>
    <w:rsid w:val="00C17382"/>
    <w:rsid w:val="00CA7BF7"/>
    <w:rsid w:val="00CE735B"/>
    <w:rsid w:val="00CF16AB"/>
    <w:rsid w:val="00D7059E"/>
    <w:rsid w:val="00D75458"/>
    <w:rsid w:val="00D95168"/>
    <w:rsid w:val="00DA01B4"/>
    <w:rsid w:val="00DB4551"/>
    <w:rsid w:val="00DE0BD2"/>
    <w:rsid w:val="00E008DD"/>
    <w:rsid w:val="00E04A3F"/>
    <w:rsid w:val="00E24639"/>
    <w:rsid w:val="00E333F7"/>
    <w:rsid w:val="00E60FAD"/>
    <w:rsid w:val="00E72774"/>
    <w:rsid w:val="00E85B97"/>
    <w:rsid w:val="00EE6BF9"/>
    <w:rsid w:val="00F012CC"/>
    <w:rsid w:val="00F12E0E"/>
    <w:rsid w:val="00F20B08"/>
    <w:rsid w:val="00FB09AA"/>
    <w:rsid w:val="00FB497B"/>
    <w:rsid w:val="00FC2248"/>
    <w:rsid w:val="00FD1D3C"/>
    <w:rsid w:val="00FD3556"/>
    <w:rsid w:val="00FE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5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3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35CD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35B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8382-8DF5-3040-B844-1C9C6300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Bartela</dc:creator>
  <cp:lastModifiedBy>Celina</cp:lastModifiedBy>
  <cp:revision>2</cp:revision>
  <cp:lastPrinted>2019-01-14T11:56:00Z</cp:lastPrinted>
  <dcterms:created xsi:type="dcterms:W3CDTF">2020-01-20T11:56:00Z</dcterms:created>
  <dcterms:modified xsi:type="dcterms:W3CDTF">2020-01-20T11:56:00Z</dcterms:modified>
</cp:coreProperties>
</file>