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11D97B5" w14:textId="77777777" w:rsidR="003220D1" w:rsidRPr="003220D1" w:rsidRDefault="003220D1" w:rsidP="003220D1">
      <w:pPr>
        <w:tabs>
          <w:tab w:val="right" w:pos="9639"/>
        </w:tabs>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bookmarkStart w:id="0" w:name="_Toc58533503"/>
      <w:r w:rsidRPr="003220D1">
        <w:rPr>
          <w:rFonts w:ascii="Arial Narrow" w:eastAsia="Times New Roman" w:hAnsi="Arial Narrow" w:cs="Times New Roman"/>
          <w:b/>
          <w:sz w:val="28"/>
          <w:szCs w:val="20"/>
          <w:lang w:eastAsia="pl-PL"/>
        </w:rPr>
        <w:t>D – M-00.00.00. WYMAGANIA OGÓLNE</w:t>
      </w:r>
      <w:bookmarkEnd w:id="0"/>
    </w:p>
    <w:p w14:paraId="7751EB98" w14:textId="77777777" w:rsidR="003220D1" w:rsidRPr="003220D1" w:rsidRDefault="003220D1" w:rsidP="003220D1">
      <w:pPr>
        <w:tabs>
          <w:tab w:val="right" w:pos="9639"/>
        </w:tabs>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1CC81531"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1" w:name="_Toc495829472"/>
      <w:r w:rsidRPr="003220D1">
        <w:rPr>
          <w:rFonts w:ascii="Arial Narrow" w:eastAsia="Times New Roman" w:hAnsi="Arial Narrow" w:cs="Times New Roman"/>
          <w:b/>
          <w:caps/>
          <w:kern w:val="28"/>
          <w:sz w:val="28"/>
          <w:szCs w:val="20"/>
          <w:lang w:val="x-none" w:eastAsia="x-none"/>
        </w:rPr>
        <w:t>1. WSTĘP</w:t>
      </w:r>
      <w:bookmarkEnd w:id="1"/>
      <w:r w:rsidRPr="003220D1">
        <w:rPr>
          <w:rFonts w:ascii="Arial Narrow" w:eastAsia="Times New Roman" w:hAnsi="Arial Narrow" w:cs="Times New Roman"/>
          <w:b/>
          <w:caps/>
          <w:kern w:val="28"/>
          <w:sz w:val="28"/>
          <w:szCs w:val="20"/>
          <w:lang w:val="x-none" w:eastAsia="x-none"/>
        </w:rPr>
        <w:t xml:space="preserve"> </w:t>
      </w:r>
    </w:p>
    <w:p w14:paraId="42E1ACBA"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1.1. Przedmiot STWiORB</w:t>
      </w:r>
    </w:p>
    <w:p w14:paraId="66AC30B0" w14:textId="5C11C568"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 xml:space="preserve">Przedmiotem niniejszej Specyfikacji Technicznej Wykonania i Odbioru Robót Budowlanych  (STWiORB) są wymagania ogólne dotyczące wykonania i odbioru robót drogowych przy zlecaniu i realizacji robót na </w:t>
      </w:r>
    </w:p>
    <w:p w14:paraId="76D4B6F6" w14:textId="77777777" w:rsidR="003220D1" w:rsidRPr="003220D1" w:rsidRDefault="003220D1" w:rsidP="003220D1">
      <w:pPr>
        <w:keepNext/>
        <w:shd w:val="clear" w:color="auto" w:fill="BFBFBF"/>
        <w:tabs>
          <w:tab w:val="left" w:pos="5212"/>
        </w:tabs>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1.2. Zakres stosowania STWiORB</w:t>
      </w:r>
      <w:r w:rsidRPr="003220D1">
        <w:rPr>
          <w:rFonts w:ascii="Arial Narrow" w:eastAsia="Times New Roman" w:hAnsi="Arial Narrow" w:cs="Arial"/>
          <w:b/>
          <w:sz w:val="28"/>
          <w:szCs w:val="20"/>
          <w:lang w:val="x-none" w:eastAsia="x-none"/>
        </w:rPr>
        <w:tab/>
      </w:r>
    </w:p>
    <w:p w14:paraId="597BF234" w14:textId="79E0F6AC" w:rsidR="003220D1" w:rsidRPr="003220D1" w:rsidRDefault="003220D1" w:rsidP="003220D1">
      <w:pPr>
        <w:spacing w:after="0" w:line="240" w:lineRule="auto"/>
        <w:ind w:firstLine="709"/>
        <w:jc w:val="both"/>
        <w:rPr>
          <w:rFonts w:ascii="Arial Narrow" w:eastAsia="Times New Roman" w:hAnsi="Arial Narrow" w:cs="Arial"/>
          <w:sz w:val="20"/>
          <w:szCs w:val="24"/>
          <w:lang w:eastAsia="pl-PL"/>
        </w:rPr>
      </w:pPr>
      <w:r w:rsidRPr="003220D1">
        <w:rPr>
          <w:rFonts w:ascii="Arial Narrow" w:eastAsia="Times New Roman" w:hAnsi="Arial Narrow" w:cs="Arial"/>
          <w:sz w:val="20"/>
          <w:szCs w:val="24"/>
          <w:lang w:eastAsia="pl-PL"/>
        </w:rPr>
        <w:t>Specyfikacja techniczna Wykonania i Odbioru Robót Budowlanych stosowana jest jako dokument przetargowy i kontraktowy przy zlecani</w:t>
      </w:r>
      <w:r w:rsidR="00C721E3">
        <w:rPr>
          <w:rFonts w:ascii="Arial Narrow" w:eastAsia="Times New Roman" w:hAnsi="Arial Narrow" w:cs="Arial"/>
          <w:sz w:val="20"/>
          <w:szCs w:val="24"/>
          <w:lang w:eastAsia="pl-PL"/>
        </w:rPr>
        <w:t>u i realizacji robót na drogach.</w:t>
      </w:r>
    </w:p>
    <w:p w14:paraId="03079208"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 xml:space="preserve">1.3. Zakres robót objętych STWiORB </w:t>
      </w:r>
    </w:p>
    <w:p w14:paraId="5479E7EA" w14:textId="30CF184D"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Ustalenia zawarte w niniejszej szczegółowej specyfikacji technicznej (STWiORB) „D-M-00.00.00. – Wymagania ogólne” obejmują wymagania dla robót realizowanych na drogach.</w:t>
      </w:r>
    </w:p>
    <w:p w14:paraId="63C2DFE3"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1.4. Określenia podstawowe</w:t>
      </w:r>
    </w:p>
    <w:p w14:paraId="4613FD2D" w14:textId="77777777" w:rsidR="003220D1" w:rsidRPr="003220D1" w:rsidRDefault="003220D1" w:rsidP="003220D1">
      <w:pPr>
        <w:overflowPunct w:val="0"/>
        <w:autoSpaceDE w:val="0"/>
        <w:autoSpaceDN w:val="0"/>
        <w:adjustRightInd w:val="0"/>
        <w:spacing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Użyte w STWiORB wymienione poniżej określenia należy rozumieć w każdym przypadku następująco:</w:t>
      </w:r>
    </w:p>
    <w:p w14:paraId="07E48EE7" w14:textId="77777777" w:rsidR="003220D1" w:rsidRPr="003220D1" w:rsidRDefault="003220D1" w:rsidP="003220D1">
      <w:pPr>
        <w:tabs>
          <w:tab w:val="left" w:pos="567"/>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1.4.1.</w:t>
      </w:r>
      <w:r w:rsidRPr="003220D1">
        <w:rPr>
          <w:rFonts w:ascii="Arial Narrow" w:eastAsia="Times New Roman" w:hAnsi="Arial Narrow" w:cs="Arial"/>
          <w:sz w:val="20"/>
          <w:szCs w:val="20"/>
          <w:lang w:eastAsia="pl-PL"/>
        </w:rPr>
        <w:tab/>
        <w:t>Budowla drogowa - obiekt budowlany, nie będący budynkiem, stanowiący całość techniczno-użytkową (droga) albo jego część stanowiącą odrębny element konstrukcyjny lub technologiczny (obiekt mostowy, korpus ziemny, węzeł).</w:t>
      </w:r>
    </w:p>
    <w:p w14:paraId="664AE871" w14:textId="77777777" w:rsidR="003220D1" w:rsidRPr="003220D1" w:rsidRDefault="003220D1" w:rsidP="003220D1">
      <w:pPr>
        <w:tabs>
          <w:tab w:val="left" w:pos="567"/>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1.4.2</w:t>
      </w:r>
      <w:r w:rsidRPr="003220D1">
        <w:rPr>
          <w:rFonts w:ascii="Arial Narrow" w:eastAsia="Times New Roman" w:hAnsi="Arial Narrow" w:cs="Arial"/>
          <w:sz w:val="20"/>
          <w:szCs w:val="20"/>
          <w:lang w:eastAsia="pl-PL"/>
        </w:rPr>
        <w:t>.</w:t>
      </w:r>
      <w:r w:rsidRPr="003220D1">
        <w:rPr>
          <w:rFonts w:ascii="Arial Narrow" w:eastAsia="Times New Roman" w:hAnsi="Arial Narrow" w:cs="Arial"/>
          <w:sz w:val="20"/>
          <w:szCs w:val="20"/>
          <w:lang w:eastAsia="pl-PL"/>
        </w:rPr>
        <w:tab/>
        <w:t>Chodnik - wyznaczony pas terenu przy jezdni lub odsunięty od jezdni, przeznaczony do ruchu pieszych.</w:t>
      </w:r>
    </w:p>
    <w:p w14:paraId="62C41D8D" w14:textId="77777777" w:rsidR="003220D1" w:rsidRPr="003220D1" w:rsidRDefault="003220D1" w:rsidP="003220D1">
      <w:pPr>
        <w:tabs>
          <w:tab w:val="left" w:pos="567"/>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1.4.3</w:t>
      </w:r>
      <w:r w:rsidRPr="003220D1">
        <w:rPr>
          <w:rFonts w:ascii="Arial Narrow" w:eastAsia="Times New Roman" w:hAnsi="Arial Narrow" w:cs="Arial"/>
          <w:sz w:val="20"/>
          <w:szCs w:val="20"/>
          <w:lang w:eastAsia="pl-PL"/>
        </w:rPr>
        <w:t>.</w:t>
      </w:r>
      <w:r w:rsidRPr="003220D1">
        <w:rPr>
          <w:rFonts w:ascii="Arial Narrow" w:eastAsia="Times New Roman" w:hAnsi="Arial Narrow" w:cs="Arial"/>
          <w:sz w:val="20"/>
          <w:szCs w:val="20"/>
          <w:lang w:eastAsia="pl-PL"/>
        </w:rPr>
        <w:tab/>
        <w:t>Droga - wydzielony pas terenu przeznaczony do ruchu lub postoju pojazdów oraz ruchu pieszych wraz z wszelkimi urządzeniami technicznymi związanymi z prowadzeniem i zabezpieczeniem ruchu.</w:t>
      </w:r>
    </w:p>
    <w:p w14:paraId="18AE96A6" w14:textId="77777777" w:rsidR="003220D1" w:rsidRPr="003220D1" w:rsidRDefault="003220D1" w:rsidP="003220D1">
      <w:pPr>
        <w:tabs>
          <w:tab w:val="left" w:pos="567"/>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1.4.4</w:t>
      </w:r>
      <w:r w:rsidRPr="003220D1">
        <w:rPr>
          <w:rFonts w:ascii="Arial Narrow" w:eastAsia="Times New Roman" w:hAnsi="Arial Narrow" w:cs="Arial"/>
          <w:sz w:val="20"/>
          <w:szCs w:val="20"/>
          <w:lang w:eastAsia="pl-PL"/>
        </w:rPr>
        <w:t>.</w:t>
      </w:r>
      <w:r w:rsidRPr="003220D1">
        <w:rPr>
          <w:rFonts w:ascii="Arial Narrow" w:eastAsia="Times New Roman" w:hAnsi="Arial Narrow" w:cs="Arial"/>
          <w:sz w:val="20"/>
          <w:szCs w:val="20"/>
          <w:lang w:eastAsia="pl-PL"/>
        </w:rPr>
        <w:tab/>
        <w:t>Droga tymczasowa (montażowa) - droga specjalnie przygotowana, przeznaczona do ruchu pojazdów obsługujących zadanie budowlane na czas jego wykonania, przewidziana do usunięcia po jego zakończeniu.</w:t>
      </w:r>
    </w:p>
    <w:p w14:paraId="7CD60B68" w14:textId="77777777" w:rsidR="003220D1" w:rsidRPr="003220D1" w:rsidRDefault="003220D1" w:rsidP="003220D1">
      <w:pPr>
        <w:tabs>
          <w:tab w:val="left" w:pos="567"/>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1.4.5.</w:t>
      </w:r>
      <w:r w:rsidRPr="003220D1">
        <w:rPr>
          <w:rFonts w:ascii="Arial Narrow" w:eastAsia="Times New Roman" w:hAnsi="Arial Narrow" w:cs="Arial"/>
          <w:sz w:val="20"/>
          <w:szCs w:val="20"/>
          <w:lang w:eastAsia="pl-PL"/>
        </w:rPr>
        <w:tab/>
        <w:t>Dziennik budowy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Zamawiającym, Wykonawcą i projektantem.</w:t>
      </w:r>
    </w:p>
    <w:p w14:paraId="3A80A252"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1.4.6.</w:t>
      </w:r>
      <w:r w:rsidRPr="003220D1">
        <w:rPr>
          <w:rFonts w:ascii="Arial Narrow" w:eastAsia="Times New Roman" w:hAnsi="Arial Narrow" w:cs="Arial"/>
          <w:sz w:val="20"/>
          <w:szCs w:val="20"/>
          <w:lang w:eastAsia="pl-PL"/>
        </w:rPr>
        <w:tab/>
        <w:t>Inspektor Nadzoru – osoba uprawniona  przez Zamawiającego odpowiedzialna za prowadzenie wszystkich spraw związanych z nadzorowaniem robót w zakresie określonym w umowie.</w:t>
      </w:r>
    </w:p>
    <w:p w14:paraId="73E00245"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1.4.7.</w:t>
      </w:r>
      <w:r w:rsidRPr="003220D1">
        <w:rPr>
          <w:rFonts w:ascii="Arial Narrow" w:eastAsia="Times New Roman" w:hAnsi="Arial Narrow" w:cs="Arial"/>
          <w:sz w:val="20"/>
          <w:szCs w:val="20"/>
          <w:lang w:eastAsia="pl-PL"/>
        </w:rPr>
        <w:tab/>
        <w:t>Zamawiający - jest to osoba</w:t>
      </w:r>
      <w:r w:rsidRPr="003220D1">
        <w:rPr>
          <w:rFonts w:ascii="Arial Narrow" w:eastAsia="Times New Roman" w:hAnsi="Arial Narrow" w:cs="Arial"/>
          <w:b/>
          <w:bCs/>
          <w:sz w:val="20"/>
          <w:szCs w:val="20"/>
          <w:lang w:eastAsia="pl-PL"/>
        </w:rPr>
        <w:t xml:space="preserve"> </w:t>
      </w:r>
      <w:r w:rsidRPr="003220D1">
        <w:rPr>
          <w:rFonts w:ascii="Arial Narrow" w:eastAsia="Times New Roman" w:hAnsi="Arial Narrow" w:cs="Arial"/>
          <w:bCs/>
          <w:sz w:val="20"/>
          <w:szCs w:val="20"/>
          <w:lang w:eastAsia="pl-PL"/>
        </w:rPr>
        <w:t>fizyczna lub prawna</w:t>
      </w:r>
      <w:r w:rsidRPr="003220D1">
        <w:rPr>
          <w:rFonts w:ascii="Arial Narrow" w:eastAsia="Times New Roman" w:hAnsi="Arial Narrow" w:cs="Arial"/>
          <w:sz w:val="20"/>
          <w:szCs w:val="20"/>
          <w:lang w:eastAsia="pl-PL"/>
        </w:rPr>
        <w:t xml:space="preserve"> wyznaczona przez Zamawiającego i upoważniona do zarządzania realizacją umowy oraz nadzorowania robót w zakresie określonym mu w umowie.</w:t>
      </w:r>
    </w:p>
    <w:p w14:paraId="73C41324"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1.4.8.</w:t>
      </w:r>
      <w:r w:rsidRPr="003220D1">
        <w:rPr>
          <w:rFonts w:ascii="Arial Narrow" w:eastAsia="Times New Roman" w:hAnsi="Arial Narrow" w:cs="Arial"/>
          <w:sz w:val="20"/>
          <w:szCs w:val="20"/>
          <w:lang w:eastAsia="pl-PL"/>
        </w:rPr>
        <w:tab/>
        <w:t>Jezdnia - część korony drogi przeznaczona do ruchu pojazdów.</w:t>
      </w:r>
    </w:p>
    <w:p w14:paraId="441F3281"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b/>
          <w:color w:val="0070C0"/>
          <w:sz w:val="20"/>
          <w:szCs w:val="20"/>
          <w:lang w:eastAsia="pl-PL"/>
        </w:rPr>
      </w:pPr>
      <w:r w:rsidRPr="003220D1">
        <w:rPr>
          <w:rFonts w:ascii="Arial Narrow" w:eastAsia="Times New Roman" w:hAnsi="Arial Narrow" w:cs="Arial"/>
          <w:b/>
          <w:sz w:val="20"/>
          <w:szCs w:val="20"/>
          <w:lang w:eastAsia="pl-PL"/>
        </w:rPr>
        <w:t>1.4.9.</w:t>
      </w:r>
      <w:r w:rsidRPr="003220D1">
        <w:rPr>
          <w:rFonts w:ascii="Arial Narrow" w:eastAsia="Times New Roman" w:hAnsi="Arial Narrow" w:cs="Arial"/>
          <w:sz w:val="20"/>
          <w:szCs w:val="20"/>
          <w:lang w:eastAsia="pl-PL"/>
        </w:rPr>
        <w:tab/>
        <w:t>Kierownik projektu - jest to osoba uprawniona przez Zamawiającego odpowiedzialna za prowadzenie wszystkich spraw związanych z  realizacją umowy o wykonanie przedmiotu zamówienia</w:t>
      </w:r>
      <w:r w:rsidRPr="003220D1">
        <w:rPr>
          <w:rFonts w:ascii="Arial Narrow" w:eastAsia="Times New Roman" w:hAnsi="Arial Narrow" w:cs="Arial"/>
          <w:color w:val="0070C0"/>
          <w:sz w:val="20"/>
          <w:szCs w:val="20"/>
          <w:lang w:eastAsia="pl-PL"/>
        </w:rPr>
        <w:t>.</w:t>
      </w:r>
    </w:p>
    <w:p w14:paraId="7BE16463"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1.4.10.</w:t>
      </w:r>
      <w:r w:rsidRPr="003220D1">
        <w:rPr>
          <w:rFonts w:ascii="Arial Narrow" w:eastAsia="Times New Roman" w:hAnsi="Arial Narrow" w:cs="Arial"/>
          <w:b/>
          <w:sz w:val="20"/>
          <w:szCs w:val="20"/>
          <w:lang w:eastAsia="pl-PL"/>
        </w:rPr>
        <w:tab/>
      </w:r>
      <w:r w:rsidRPr="003220D1">
        <w:rPr>
          <w:rFonts w:ascii="Arial Narrow" w:eastAsia="Times New Roman" w:hAnsi="Arial Narrow" w:cs="Arial"/>
          <w:sz w:val="20"/>
          <w:szCs w:val="20"/>
          <w:lang w:eastAsia="pl-PL"/>
        </w:rPr>
        <w:t>Kierownik budowy - osoba wyznaczona przez Wykonawcę, upoważniona do kierowania robotami i do występowania w jego imieniu w sprawach realizacji kontraktu.</w:t>
      </w:r>
    </w:p>
    <w:p w14:paraId="10D52EE4"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1.4.11.</w:t>
      </w:r>
      <w:r w:rsidRPr="003220D1">
        <w:rPr>
          <w:rFonts w:ascii="Arial Narrow" w:eastAsia="Times New Roman" w:hAnsi="Arial Narrow" w:cs="Arial"/>
          <w:b/>
          <w:sz w:val="20"/>
          <w:szCs w:val="20"/>
          <w:lang w:eastAsia="pl-PL"/>
        </w:rPr>
        <w:tab/>
      </w:r>
      <w:r w:rsidRPr="003220D1">
        <w:rPr>
          <w:rFonts w:ascii="Arial Narrow" w:eastAsia="Times New Roman" w:hAnsi="Arial Narrow" w:cs="Arial"/>
          <w:sz w:val="20"/>
          <w:szCs w:val="20"/>
          <w:lang w:eastAsia="pl-PL"/>
        </w:rPr>
        <w:t>Korona drogi - jezdnia (jezdnie) z poboczami lub chodnikami, zatokami, pasami awaryjnego postoju i pasami dzielącymi jezdnie.</w:t>
      </w:r>
    </w:p>
    <w:p w14:paraId="5D749D4B"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1.4.12.</w:t>
      </w:r>
      <w:r w:rsidRPr="003220D1">
        <w:rPr>
          <w:rFonts w:ascii="Arial Narrow" w:eastAsia="Times New Roman" w:hAnsi="Arial Narrow" w:cs="Arial"/>
          <w:sz w:val="20"/>
          <w:szCs w:val="20"/>
          <w:lang w:eastAsia="pl-PL"/>
        </w:rPr>
        <w:tab/>
        <w:t>Konstrukcja nawierzchni - układ warstw nawierzchni wraz ze sposobem ich połączenia.</w:t>
      </w:r>
    </w:p>
    <w:p w14:paraId="5DC3367D"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1.4.13.</w:t>
      </w:r>
      <w:r w:rsidRPr="003220D1">
        <w:rPr>
          <w:rFonts w:ascii="Arial Narrow" w:eastAsia="Times New Roman" w:hAnsi="Arial Narrow" w:cs="Arial"/>
          <w:sz w:val="20"/>
          <w:szCs w:val="20"/>
          <w:lang w:eastAsia="pl-PL"/>
        </w:rPr>
        <w:tab/>
        <w:t>Korpus drogowy - nasyp lub ta część wykopu, która jest ograniczona koroną drogi i skarpami rowów.</w:t>
      </w:r>
    </w:p>
    <w:p w14:paraId="250E36FF"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1.4.14.</w:t>
      </w:r>
      <w:r w:rsidRPr="003220D1">
        <w:rPr>
          <w:rFonts w:ascii="Arial Narrow" w:eastAsia="Times New Roman" w:hAnsi="Arial Narrow" w:cs="Arial"/>
          <w:sz w:val="20"/>
          <w:szCs w:val="20"/>
          <w:lang w:eastAsia="pl-PL"/>
        </w:rPr>
        <w:tab/>
        <w:t>Koryto - element uformowany w korpusie drogowym w celu ułożenia w nim konstrukcji nawierzchni.</w:t>
      </w:r>
    </w:p>
    <w:p w14:paraId="2D60A975"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1.4.15</w:t>
      </w:r>
      <w:r w:rsidRPr="003220D1">
        <w:rPr>
          <w:rFonts w:ascii="Arial Narrow" w:eastAsia="Times New Roman" w:hAnsi="Arial Narrow" w:cs="Arial"/>
          <w:sz w:val="20"/>
          <w:szCs w:val="20"/>
          <w:lang w:eastAsia="pl-PL"/>
        </w:rPr>
        <w:t>.</w:t>
      </w:r>
      <w:r w:rsidRPr="003220D1">
        <w:rPr>
          <w:rFonts w:ascii="Arial Narrow" w:eastAsia="Times New Roman" w:hAnsi="Arial Narrow" w:cs="Arial"/>
          <w:sz w:val="20"/>
          <w:szCs w:val="20"/>
          <w:lang w:eastAsia="pl-PL"/>
        </w:rPr>
        <w:tab/>
        <w:t>Książka obmiarów lub druki obmiarów - akceptowany przez Zamawiającego zeszyt lub druk z ponumerowanymi stronami, służący do wpisywania przez Wykonawcę obmiaru dokonywanych robót w formie wyliczeń, szkiców i ew. dodatkowych załączników. Wpisy w książce lub drukach obmiarów podlegają potwierdzeniu przez Zamawiającego.</w:t>
      </w:r>
    </w:p>
    <w:p w14:paraId="7051B8A8"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1.4.16.</w:t>
      </w:r>
      <w:r w:rsidRPr="003220D1">
        <w:rPr>
          <w:rFonts w:ascii="Arial Narrow" w:eastAsia="Times New Roman" w:hAnsi="Arial Narrow" w:cs="Arial"/>
          <w:sz w:val="20"/>
          <w:szCs w:val="20"/>
          <w:lang w:eastAsia="pl-PL"/>
        </w:rPr>
        <w:tab/>
        <w:t>Laboratorium - drogowe lub inne laboratorium badawcze, zaakceptowane przez Zamawiającego, niezbędne do przeprowadzenia wszelkich badań i prób związanych z oceną jakości materiałów oraz robót.</w:t>
      </w:r>
    </w:p>
    <w:p w14:paraId="0A25E5FE"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1.4.17.</w:t>
      </w:r>
      <w:r w:rsidRPr="003220D1">
        <w:rPr>
          <w:rFonts w:ascii="Arial Narrow" w:eastAsia="Times New Roman" w:hAnsi="Arial Narrow" w:cs="Arial"/>
          <w:sz w:val="20"/>
          <w:szCs w:val="20"/>
          <w:lang w:eastAsia="pl-PL"/>
        </w:rPr>
        <w:tab/>
        <w:t>Materiały - wszelkie tworzywa niezbędne do wykonania robót, zgodne z dokumentacją projektową i specyfikacjami technicznymi, zaakceptowane przez Zamawiającego.</w:t>
      </w:r>
    </w:p>
    <w:p w14:paraId="6AF4F68C" w14:textId="77777777" w:rsidR="003220D1" w:rsidRPr="003220D1" w:rsidRDefault="003220D1" w:rsidP="003220D1">
      <w:pPr>
        <w:tabs>
          <w:tab w:val="left" w:pos="624"/>
        </w:tabs>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1.4.18.</w:t>
      </w:r>
      <w:r w:rsidRPr="003220D1">
        <w:rPr>
          <w:rFonts w:ascii="Arial Narrow" w:eastAsia="Times New Roman" w:hAnsi="Arial Narrow" w:cs="Arial"/>
          <w:sz w:val="20"/>
          <w:szCs w:val="20"/>
          <w:lang w:eastAsia="pl-PL"/>
        </w:rPr>
        <w:t xml:space="preserve"> Nawierzchnia - warstwa lub zespół warstw służących do przejmowania i rozkładania obciążeń od ruchu na podłoże gruntowe i zapewniających dogodne warunki dla ruchu.</w:t>
      </w:r>
    </w:p>
    <w:p w14:paraId="52A33851"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Warstwa ścieralna - górna warstwa nawierzchni poddana bezpośrednio oddziaływaniu ruchu i czynników atmosferycznych.</w:t>
      </w:r>
    </w:p>
    <w:p w14:paraId="5AB46526"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Warstwa wiążąca - warstwa znajdująca się między warstwą ścieralną a podbudową, zapewniająca lepsze rozłożenie naprężeń w nawierzchni i przekazywanie ich na podbudowę.</w:t>
      </w:r>
    </w:p>
    <w:p w14:paraId="559947F5"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Warstwa wyrównawcza - warstwa służąca do wyrównania nierówności podbudowy lub profilu istniejącej nawierzchni.</w:t>
      </w:r>
    </w:p>
    <w:p w14:paraId="746A6415"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Podbudowa - dolna część nawierzchni służąca do przenoszenia obciążeń od ruchu na podłoże. Podbudowa może składać się z podbudowy zasadniczej i podbudowy pomocniczej.</w:t>
      </w:r>
    </w:p>
    <w:p w14:paraId="308E70EA"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lastRenderedPageBreak/>
        <w:t>Podbudowa zasadnicza - górna część podbudowy spełniająca funkcje nośne w konstrukcji nawierzchni. Może ona składać się z jednej lub dwóch warstw.</w:t>
      </w:r>
    </w:p>
    <w:p w14:paraId="638EA170"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Podbudowa pomocnicza - dolna część podbudowy spełniająca, obok funkcji nośnych, funkcje zabezpieczenia nawierzchni przed działaniem wody, mrozu i przenikaniem cząstek podłoża. Może zawierać warstwę mrozoochronną, odsączającą lub odcinającą.</w:t>
      </w:r>
    </w:p>
    <w:p w14:paraId="71D43D1F"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Warstwa mrozoochronna - warstwa, której głównym zadaniem jest ochrona nawierzchni przed skutkami działania mrozu.</w:t>
      </w:r>
    </w:p>
    <w:p w14:paraId="7639BCA1"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Warstwa odcinająca - warstwa stosowana w celu uniemożliwienia przenikania cząstek drobnych gruntu do warstwy nawierzchni leżącej powyżej.</w:t>
      </w:r>
    </w:p>
    <w:p w14:paraId="20065BC2"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Warstwa odsączająca - warstwa służąca do odprowadzenia wody przedostającej się do nawierzchni.</w:t>
      </w:r>
    </w:p>
    <w:p w14:paraId="2EFAF147"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1.4.19.</w:t>
      </w:r>
      <w:r w:rsidRPr="003220D1">
        <w:rPr>
          <w:rFonts w:ascii="Arial Narrow" w:eastAsia="Times New Roman" w:hAnsi="Arial Narrow" w:cs="Arial"/>
          <w:sz w:val="20"/>
          <w:szCs w:val="20"/>
          <w:lang w:eastAsia="pl-PL"/>
        </w:rPr>
        <w:tab/>
        <w:t>Niweleta - wysokościowe i geometryczne rozwinięcie na płaszczyźnie pionowego przekroju w osi drogi lub obiektu mostowego.</w:t>
      </w:r>
    </w:p>
    <w:p w14:paraId="6C06F56D"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1.4.20</w:t>
      </w:r>
      <w:r w:rsidRPr="003220D1">
        <w:rPr>
          <w:rFonts w:ascii="Arial Narrow" w:eastAsia="Times New Roman" w:hAnsi="Arial Narrow" w:cs="Arial"/>
          <w:sz w:val="20"/>
          <w:szCs w:val="20"/>
          <w:lang w:eastAsia="pl-PL"/>
        </w:rPr>
        <w:tab/>
        <w:t>Obiekt mostowy – most i przepust.</w:t>
      </w:r>
    </w:p>
    <w:p w14:paraId="62023F1F"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1.4.21.</w:t>
      </w:r>
      <w:r w:rsidRPr="003220D1">
        <w:rPr>
          <w:rFonts w:ascii="Arial Narrow" w:eastAsia="Times New Roman" w:hAnsi="Arial Narrow" w:cs="Arial"/>
          <w:sz w:val="20"/>
          <w:szCs w:val="20"/>
          <w:lang w:eastAsia="pl-PL"/>
        </w:rPr>
        <w:tab/>
        <w:t>Objazd tymczasowy - droga specjalnie przygotowana i odpowiednio utrzymana do przeprowadzenia ruchu publicznego na okres budowy.</w:t>
      </w:r>
    </w:p>
    <w:p w14:paraId="0B3C7117"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1.4.22</w:t>
      </w:r>
      <w:r w:rsidRPr="003220D1">
        <w:rPr>
          <w:rFonts w:ascii="Arial Narrow" w:eastAsia="Times New Roman" w:hAnsi="Arial Narrow" w:cs="Arial"/>
          <w:sz w:val="20"/>
          <w:szCs w:val="20"/>
          <w:lang w:eastAsia="pl-PL"/>
        </w:rPr>
        <w:tab/>
        <w:t>Odpowiednia (bliska) zgodność - zgodność wykonywanych robót z dopuszczonymi tolerancjami, a jeśli przedział tolerancji nie został określony - z przeciętnymi tolerancjami, przyjmowanymi zwyczajowo dla danego rodzaju robót budowlanych.</w:t>
      </w:r>
    </w:p>
    <w:p w14:paraId="28CB3741"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1.4.23.</w:t>
      </w:r>
      <w:r w:rsidRPr="003220D1">
        <w:rPr>
          <w:rFonts w:ascii="Arial Narrow" w:eastAsia="Times New Roman" w:hAnsi="Arial Narrow" w:cs="Arial"/>
          <w:sz w:val="20"/>
          <w:szCs w:val="20"/>
          <w:lang w:eastAsia="pl-PL"/>
        </w:rPr>
        <w:tab/>
        <w:t>Pas drogowy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14:paraId="17137F6C"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1.4.24.</w:t>
      </w:r>
      <w:r w:rsidRPr="003220D1">
        <w:rPr>
          <w:rFonts w:ascii="Arial Narrow" w:eastAsia="Times New Roman" w:hAnsi="Arial Narrow" w:cs="Arial"/>
          <w:sz w:val="20"/>
          <w:szCs w:val="20"/>
          <w:lang w:eastAsia="pl-PL"/>
        </w:rPr>
        <w:tab/>
        <w:t>Pobocze - część korony drogi przeznaczona do chwilowego postoju pojazdów, umieszczenia urządzeń organizacji i bezpieczeństwa ruchu oraz do ruchu pieszych, służąca jednocześnie do bocznego oparcia konstrukcji nawierzchni.</w:t>
      </w:r>
    </w:p>
    <w:p w14:paraId="620C1EA9"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1.4.25.</w:t>
      </w:r>
      <w:r w:rsidRPr="003220D1">
        <w:rPr>
          <w:rFonts w:ascii="Arial Narrow" w:eastAsia="Times New Roman" w:hAnsi="Arial Narrow" w:cs="Arial"/>
          <w:sz w:val="20"/>
          <w:szCs w:val="20"/>
          <w:lang w:eastAsia="pl-PL"/>
        </w:rPr>
        <w:tab/>
        <w:t>Podłoże nawierzchni - grunt rodzimy lub nasypowy, leżący pod nawierzchnią do głębokości przemarzania.</w:t>
      </w:r>
    </w:p>
    <w:p w14:paraId="06011DBA"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1.4.26.</w:t>
      </w:r>
      <w:r w:rsidRPr="003220D1">
        <w:rPr>
          <w:rFonts w:ascii="Arial Narrow" w:eastAsia="Times New Roman" w:hAnsi="Arial Narrow" w:cs="Arial"/>
          <w:sz w:val="20"/>
          <w:szCs w:val="20"/>
          <w:lang w:eastAsia="pl-PL"/>
        </w:rPr>
        <w:tab/>
        <w:t>Podłoże ulepszone nawierzchni - górna warstwa podłoża, leżąca bezpośrednio pod nawierzchnią, ulepszona w celu umożliwienia przejęcia ruchu budowlanego i właściwego wykonania nawierzchni.</w:t>
      </w:r>
    </w:p>
    <w:p w14:paraId="73DE245C"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1.4.27.</w:t>
      </w:r>
      <w:r w:rsidRPr="003220D1">
        <w:rPr>
          <w:rFonts w:ascii="Arial Narrow" w:eastAsia="Times New Roman" w:hAnsi="Arial Narrow" w:cs="Arial"/>
          <w:b/>
          <w:sz w:val="20"/>
          <w:szCs w:val="20"/>
          <w:lang w:eastAsia="pl-PL"/>
        </w:rPr>
        <w:tab/>
      </w:r>
      <w:r w:rsidRPr="003220D1">
        <w:rPr>
          <w:rFonts w:ascii="Arial Narrow" w:eastAsia="Times New Roman" w:hAnsi="Arial Narrow" w:cs="Arial"/>
          <w:sz w:val="20"/>
          <w:szCs w:val="20"/>
          <w:lang w:eastAsia="pl-PL"/>
        </w:rPr>
        <w:t>Polecenie Zamawiającego - wszelkie polecenia przekazane Wykonawcy przez Zamawiającego, w formie pisemnej, dotyczące sposobu realizacji robót lub innych spraw związanych z prowadzeniem budowy.</w:t>
      </w:r>
    </w:p>
    <w:p w14:paraId="2C25DBAD"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1.4.28.</w:t>
      </w:r>
      <w:r w:rsidRPr="003220D1">
        <w:rPr>
          <w:rFonts w:ascii="Arial Narrow" w:eastAsia="Times New Roman" w:hAnsi="Arial Narrow" w:cs="Arial"/>
          <w:sz w:val="20"/>
          <w:szCs w:val="20"/>
          <w:lang w:eastAsia="pl-PL"/>
        </w:rPr>
        <w:tab/>
        <w:t>Projektant - uprawniona osoba prawna lub fizyczna będąca autorem dokumentacji projektowej.</w:t>
      </w:r>
    </w:p>
    <w:p w14:paraId="4369583C"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1.4.29.</w:t>
      </w:r>
      <w:r w:rsidRPr="003220D1">
        <w:rPr>
          <w:rFonts w:ascii="Arial Narrow" w:eastAsia="Times New Roman" w:hAnsi="Arial Narrow" w:cs="Arial"/>
          <w:b/>
          <w:sz w:val="20"/>
          <w:szCs w:val="20"/>
          <w:lang w:eastAsia="pl-PL"/>
        </w:rPr>
        <w:tab/>
      </w:r>
      <w:r w:rsidRPr="003220D1">
        <w:rPr>
          <w:rFonts w:ascii="Arial Narrow" w:eastAsia="Times New Roman" w:hAnsi="Arial Narrow" w:cs="Arial"/>
          <w:sz w:val="20"/>
          <w:szCs w:val="20"/>
          <w:lang w:eastAsia="pl-PL"/>
        </w:rPr>
        <w:t>Przedsięwzięcie budowlane - kompleksowa realizacja nowego połączenia drogowego lub całkowita modernizacja/przebudowa (zmiana parametrów geometrycznych trasy w planie i przekroju podłużnym) istniejącego połączenia.</w:t>
      </w:r>
    </w:p>
    <w:p w14:paraId="3B6ACE36"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1.4.30.</w:t>
      </w:r>
      <w:r w:rsidRPr="003220D1">
        <w:rPr>
          <w:rFonts w:ascii="Arial Narrow" w:eastAsia="Times New Roman" w:hAnsi="Arial Narrow" w:cs="Arial"/>
          <w:sz w:val="20"/>
          <w:szCs w:val="20"/>
          <w:lang w:eastAsia="pl-PL"/>
        </w:rPr>
        <w:tab/>
        <w:t>Przepust – budowla o przekroju poprzecznym zamkniętym, przeznaczona do przeprowadzenia cieku, szlaku wędrówek zwierząt dziko żyjących lub urządzeń technicznych przez korpus drogowy.</w:t>
      </w:r>
    </w:p>
    <w:p w14:paraId="0B75D459"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1.4.31.</w:t>
      </w:r>
      <w:r w:rsidRPr="003220D1">
        <w:rPr>
          <w:rFonts w:ascii="Arial Narrow" w:eastAsia="Times New Roman" w:hAnsi="Arial Narrow" w:cs="Arial"/>
          <w:sz w:val="20"/>
          <w:szCs w:val="20"/>
          <w:lang w:eastAsia="pl-PL"/>
        </w:rPr>
        <w:tab/>
        <w:t>Przeszkoda naturalna - element środowiska naturalnego, stanowiący utrudnienie w realizacji zadania budowlanego, na przykład dolina, bagno, rzeka, szlak wędrówek dzikich zwierząt itp.</w:t>
      </w:r>
    </w:p>
    <w:p w14:paraId="42600EEF"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1.4.32.</w:t>
      </w:r>
      <w:r w:rsidRPr="003220D1">
        <w:rPr>
          <w:rFonts w:ascii="Arial Narrow" w:eastAsia="Times New Roman" w:hAnsi="Arial Narrow" w:cs="Arial"/>
          <w:sz w:val="20"/>
          <w:szCs w:val="20"/>
          <w:lang w:eastAsia="pl-PL"/>
        </w:rPr>
        <w:tab/>
        <w:t>Przeszkoda sztuczna - dzieło ludzkie, stanowiące utrudnienie w realizacji zadania budowlanego, na przykład droga, kolej, rurociąg, kanał, ciąg pieszy lub rowerowy itp.</w:t>
      </w:r>
    </w:p>
    <w:p w14:paraId="7A29ADEE"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1.4.33.</w:t>
      </w:r>
      <w:r w:rsidRPr="003220D1">
        <w:rPr>
          <w:rFonts w:ascii="Arial Narrow" w:eastAsia="Times New Roman" w:hAnsi="Arial Narrow" w:cs="Arial"/>
          <w:sz w:val="20"/>
          <w:szCs w:val="20"/>
          <w:lang w:eastAsia="pl-PL"/>
        </w:rPr>
        <w:tab/>
        <w:t>Przetargowa dokumentacja projektowa - część dokumentacji projektowej, która wskazuje lokalizację, charakterystykę i wymiary obiektu będącego przedmiotem robót.</w:t>
      </w:r>
    </w:p>
    <w:p w14:paraId="2C026BC3"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1.4.34.</w:t>
      </w:r>
      <w:r w:rsidRPr="003220D1">
        <w:rPr>
          <w:rFonts w:ascii="Arial Narrow" w:eastAsia="Times New Roman" w:hAnsi="Arial Narrow" w:cs="Arial"/>
          <w:sz w:val="20"/>
          <w:szCs w:val="20"/>
          <w:lang w:eastAsia="pl-PL"/>
        </w:rPr>
        <w:tab/>
        <w:t>Rekultywacja - roboty mające na celu uporządkowanie i przywrócenie pierwotnych funkcji terenom naruszonym w czasie realizacji zadania budowlanego.</w:t>
      </w:r>
    </w:p>
    <w:p w14:paraId="73ECEBAF"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1.4.35.</w:t>
      </w:r>
      <w:r w:rsidRPr="003220D1">
        <w:rPr>
          <w:rFonts w:ascii="Arial Narrow" w:eastAsia="Times New Roman" w:hAnsi="Arial Narrow" w:cs="Arial"/>
          <w:sz w:val="20"/>
          <w:szCs w:val="20"/>
          <w:lang w:eastAsia="pl-PL"/>
        </w:rPr>
        <w:tab/>
        <w:t>Rozpiętość teoretyczna - odległość między punktami podparcia (łożyskami), przęsła mostowego.</w:t>
      </w:r>
    </w:p>
    <w:p w14:paraId="631A7C3A"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1.4.36.</w:t>
      </w:r>
      <w:r w:rsidRPr="003220D1">
        <w:rPr>
          <w:rFonts w:ascii="Arial Narrow" w:eastAsia="Times New Roman" w:hAnsi="Arial Narrow" w:cs="Arial"/>
          <w:sz w:val="20"/>
          <w:szCs w:val="20"/>
          <w:lang w:eastAsia="pl-PL"/>
        </w:rPr>
        <w:tab/>
        <w:t>Szerokość użytkowa obiektu - szerokość jezdni (nawierzchni) przeznaczona dla poszczególnych rodzajów ruchu oraz szerokość chodników mierzona w świetle poręczy mostowych z wyłączeniem konstrukcji przy jezdni dołem oddzielającej ruch kołowy od ruchu pieszego.</w:t>
      </w:r>
    </w:p>
    <w:p w14:paraId="0A1CAD64"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1.4.37.</w:t>
      </w:r>
      <w:r w:rsidRPr="003220D1">
        <w:rPr>
          <w:rFonts w:ascii="Arial Narrow" w:eastAsia="Times New Roman" w:hAnsi="Arial Narrow" w:cs="Arial"/>
          <w:sz w:val="20"/>
          <w:szCs w:val="20"/>
          <w:lang w:eastAsia="pl-PL"/>
        </w:rPr>
        <w:tab/>
        <w:t xml:space="preserve"> Ślepy kosztorys - wykaz robót z podaniem ich ilości (przedmiarem) w kolejności technologicznej ich wykonania.</w:t>
      </w:r>
    </w:p>
    <w:p w14:paraId="09349386" w14:textId="77777777" w:rsidR="003220D1" w:rsidRPr="003220D1" w:rsidRDefault="003220D1" w:rsidP="003220D1">
      <w:pPr>
        <w:tabs>
          <w:tab w:val="left" w:pos="624"/>
        </w:tabs>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1.4.38.</w:t>
      </w:r>
      <w:r w:rsidRPr="003220D1">
        <w:rPr>
          <w:rFonts w:ascii="Arial Narrow" w:eastAsia="Times New Roman" w:hAnsi="Arial Narrow" w:cs="Arial"/>
          <w:sz w:val="20"/>
          <w:szCs w:val="20"/>
          <w:lang w:eastAsia="pl-PL"/>
        </w:rPr>
        <w:tab/>
        <w:t xml:space="preserve"> Teren budowy - teren udostępniony przez Zamawiającego dla wykonania na nim robót oraz inne miejsca wymienione w kontrakcie jako tworzące część terenu budowy.</w:t>
      </w:r>
    </w:p>
    <w:p w14:paraId="410C2604" w14:textId="77777777" w:rsidR="003220D1" w:rsidRPr="003220D1" w:rsidRDefault="003220D1" w:rsidP="003220D1">
      <w:pPr>
        <w:tabs>
          <w:tab w:val="left" w:pos="624"/>
        </w:tabs>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 xml:space="preserve">1.4.39. </w:t>
      </w:r>
      <w:r w:rsidRPr="003220D1">
        <w:rPr>
          <w:rFonts w:ascii="Arial Narrow" w:eastAsia="Times New Roman" w:hAnsi="Arial Narrow" w:cs="Arial"/>
          <w:sz w:val="20"/>
          <w:szCs w:val="20"/>
          <w:lang w:eastAsia="pl-PL"/>
        </w:rPr>
        <w:tab/>
        <w:t>Zadanie budowlane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14:paraId="0A1B32FC" w14:textId="33CB78A6" w:rsidR="003220D1" w:rsidRPr="003220D1" w:rsidRDefault="003220D1" w:rsidP="003220D1">
      <w:pPr>
        <w:tabs>
          <w:tab w:val="left" w:pos="624"/>
        </w:tabs>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b/>
          <w:sz w:val="20"/>
          <w:szCs w:val="20"/>
          <w:lang w:eastAsia="pl-PL"/>
        </w:rPr>
        <w:t xml:space="preserve">1.4.40. </w:t>
      </w:r>
      <w:r w:rsidRPr="003220D1">
        <w:rPr>
          <w:rFonts w:ascii="Arial Narrow" w:eastAsia="Times New Roman" w:hAnsi="Arial Narrow" w:cs="Arial"/>
          <w:sz w:val="20"/>
          <w:szCs w:val="20"/>
          <w:lang w:eastAsia="pl-PL"/>
        </w:rPr>
        <w:tab/>
        <w:t xml:space="preserve">Zmawiający </w:t>
      </w:r>
      <w:r w:rsidR="00C721E3">
        <w:rPr>
          <w:rFonts w:ascii="Arial Narrow" w:eastAsia="Times New Roman" w:hAnsi="Arial Narrow" w:cs="Arial"/>
          <w:sz w:val="20"/>
          <w:szCs w:val="20"/>
          <w:lang w:eastAsia="pl-PL"/>
        </w:rPr>
        <w:t>–</w:t>
      </w:r>
      <w:r w:rsidRPr="003220D1">
        <w:rPr>
          <w:rFonts w:ascii="Arial Narrow" w:eastAsia="Times New Roman" w:hAnsi="Arial Narrow" w:cs="Arial"/>
          <w:sz w:val="20"/>
          <w:szCs w:val="20"/>
          <w:lang w:eastAsia="pl-PL"/>
        </w:rPr>
        <w:t xml:space="preserve"> </w:t>
      </w:r>
      <w:r w:rsidR="00C721E3">
        <w:rPr>
          <w:rFonts w:ascii="Arial Narrow" w:eastAsia="Times New Roman" w:hAnsi="Arial Narrow" w:cs="Arial"/>
          <w:sz w:val="20"/>
          <w:szCs w:val="20"/>
          <w:lang w:eastAsia="pl-PL"/>
        </w:rPr>
        <w:t xml:space="preserve">Gmina Zakrzewo </w:t>
      </w:r>
      <w:bookmarkStart w:id="2" w:name="_GoBack"/>
      <w:bookmarkEnd w:id="2"/>
      <w:r w:rsidRPr="003220D1">
        <w:rPr>
          <w:rFonts w:ascii="Arial Narrow" w:eastAsia="Times New Roman" w:hAnsi="Arial Narrow" w:cs="Arial"/>
          <w:sz w:val="20"/>
          <w:szCs w:val="20"/>
          <w:lang w:eastAsia="pl-PL"/>
        </w:rPr>
        <w:t>jest to strona umowy w sprawie zamówienia publicznego, która dokonała wyboru oferty Wykonawcy.</w:t>
      </w:r>
    </w:p>
    <w:p w14:paraId="507FA49E" w14:textId="77777777" w:rsidR="003220D1" w:rsidRPr="003220D1" w:rsidRDefault="003220D1" w:rsidP="003220D1">
      <w:pPr>
        <w:tabs>
          <w:tab w:val="left" w:pos="624"/>
        </w:tabs>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p>
    <w:p w14:paraId="4BDB2EA5"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lastRenderedPageBreak/>
        <w:t>1.5. Ogólne wymagania dotyczące robót</w:t>
      </w:r>
    </w:p>
    <w:p w14:paraId="32994356" w14:textId="77777777" w:rsidR="003220D1" w:rsidRPr="003220D1" w:rsidRDefault="003220D1" w:rsidP="003220D1">
      <w:pPr>
        <w:overflowPunct w:val="0"/>
        <w:autoSpaceDE w:val="0"/>
        <w:autoSpaceDN w:val="0"/>
        <w:adjustRightInd w:val="0"/>
        <w:spacing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jest odpowiedzialny za jakość wykonanych robót, bezpieczeństwo wszelkich czynności na terenie budowy, metody użyte przy budowie oraz za ich zgodność z dokumentacją projektową, SST i poleceniami Zamawiającego.</w:t>
      </w:r>
    </w:p>
    <w:p w14:paraId="3CB91A73"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Arial"/>
          <w:b/>
          <w:sz w:val="24"/>
          <w:szCs w:val="20"/>
          <w:lang w:val="x-none" w:eastAsia="x-none"/>
        </w:rPr>
      </w:pPr>
      <w:r w:rsidRPr="003220D1">
        <w:rPr>
          <w:rFonts w:ascii="Arial Narrow" w:eastAsia="Times New Roman" w:hAnsi="Arial Narrow" w:cs="Arial"/>
          <w:sz w:val="24"/>
          <w:szCs w:val="20"/>
          <w:lang w:val="x-none" w:eastAsia="x-none"/>
        </w:rPr>
        <w:t>1.5.1.</w:t>
      </w:r>
      <w:r w:rsidRPr="003220D1">
        <w:rPr>
          <w:rFonts w:ascii="Arial Narrow" w:eastAsia="Times New Roman" w:hAnsi="Arial Narrow" w:cs="Arial"/>
          <w:b/>
          <w:sz w:val="24"/>
          <w:szCs w:val="20"/>
          <w:lang w:val="x-none" w:eastAsia="x-none"/>
        </w:rPr>
        <w:t xml:space="preserve"> Przekazanie terenu budowy</w:t>
      </w:r>
    </w:p>
    <w:p w14:paraId="2438904F" w14:textId="77777777" w:rsidR="003220D1" w:rsidRPr="003220D1" w:rsidRDefault="003220D1" w:rsidP="003220D1">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 xml:space="preserve">Zamawiający w terminie określonym w dokumentach kontraktowych przekaże Wykonawcy teren budowy wraz ze wszystkimi wymaganymi uzgodnieniami prawnymi i administracyjnymi,  dziennik budowy oraz jeden egzemplarz dokumentacji projektowej, jeden komplet SST </w:t>
      </w:r>
    </w:p>
    <w:p w14:paraId="2904FB12"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Arial"/>
          <w:b/>
          <w:sz w:val="24"/>
          <w:szCs w:val="20"/>
          <w:lang w:val="x-none" w:eastAsia="x-none"/>
        </w:rPr>
      </w:pPr>
      <w:r w:rsidRPr="003220D1">
        <w:rPr>
          <w:rFonts w:ascii="Arial Narrow" w:eastAsia="Times New Roman" w:hAnsi="Arial Narrow" w:cs="Arial"/>
          <w:sz w:val="24"/>
          <w:szCs w:val="20"/>
          <w:lang w:val="x-none" w:eastAsia="x-none"/>
        </w:rPr>
        <w:t>1.5.2.</w:t>
      </w:r>
      <w:r w:rsidRPr="003220D1">
        <w:rPr>
          <w:rFonts w:ascii="Arial Narrow" w:eastAsia="Times New Roman" w:hAnsi="Arial Narrow" w:cs="Arial"/>
          <w:b/>
          <w:sz w:val="24"/>
          <w:szCs w:val="20"/>
          <w:lang w:val="x-none" w:eastAsia="x-none"/>
        </w:rPr>
        <w:t xml:space="preserve"> Dokumentacja projektowa</w:t>
      </w:r>
    </w:p>
    <w:p w14:paraId="3F20A93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Dokumentacja projektowa będzie zawierać rysunki, obliczenia i dokumenty, zgodne z wykazem podanym w szczegółowych warunkach umowy, </w:t>
      </w:r>
    </w:p>
    <w:p w14:paraId="6309A935"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Arial"/>
          <w:b/>
          <w:sz w:val="24"/>
          <w:szCs w:val="20"/>
          <w:lang w:val="x-none" w:eastAsia="x-none"/>
        </w:rPr>
      </w:pPr>
      <w:r w:rsidRPr="003220D1">
        <w:rPr>
          <w:rFonts w:ascii="Arial Narrow" w:eastAsia="Times New Roman" w:hAnsi="Arial Narrow" w:cs="Arial"/>
          <w:sz w:val="24"/>
          <w:szCs w:val="20"/>
          <w:lang w:val="x-none" w:eastAsia="x-none"/>
        </w:rPr>
        <w:t>1.5.3.</w:t>
      </w:r>
      <w:r w:rsidRPr="003220D1">
        <w:rPr>
          <w:rFonts w:ascii="Arial Narrow" w:eastAsia="Times New Roman" w:hAnsi="Arial Narrow" w:cs="Arial"/>
          <w:b/>
          <w:sz w:val="24"/>
          <w:szCs w:val="20"/>
          <w:lang w:val="x-none" w:eastAsia="x-none"/>
        </w:rPr>
        <w:t xml:space="preserve"> Zgodność robót z dokumentacją projektową i STWiORB</w:t>
      </w:r>
    </w:p>
    <w:p w14:paraId="04AD2F7F" w14:textId="77777777" w:rsidR="003220D1" w:rsidRPr="003220D1" w:rsidRDefault="003220D1" w:rsidP="003220D1">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Dokumentacja projektowa, STWiORB i wszystkie dodatkowe dokumenty przekazane Wykonawcy przez Zamawiającego projektu stanowią część umowy, a wymagania określone w choćby jednym z nich są obowiązujące dla Wykonawcy tak jakby zawarte były w całej dokumentacji.</w:t>
      </w:r>
    </w:p>
    <w:p w14:paraId="0303DB6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 przypadku rozbieżności w ustaleniach poszczególnych dokumentów obowiązuje kolejność ich ważności wymieniona w Umowie z Wykonawcą.</w:t>
      </w:r>
    </w:p>
    <w:p w14:paraId="4605B898"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nie może wykorzystywać błędów lub opuszczeń w dokumentach kontraktowych, a o ich wykryciu winien natychmiast powiadomić Zamawiającego, który podejmie decyzję o wprowadzeniu odpowiednich zmian i poprawek.</w:t>
      </w:r>
    </w:p>
    <w:p w14:paraId="64876A7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 przypadku rozbieżności, wymiary podane na piśmie są ważniejsze od wymiarów określonych na podstawie odczytu ze skali rysunku.</w:t>
      </w:r>
    </w:p>
    <w:p w14:paraId="3A0B9658"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Wszystkie wykonane roboty i dostarczone materiały będą zgodne z dokumentacją projektową i STWiORB.</w:t>
      </w:r>
    </w:p>
    <w:p w14:paraId="69937C4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Dane określone w dokumentacji projektowej i w STWiORB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14:paraId="5A1335C9" w14:textId="77777777" w:rsidR="003220D1" w:rsidRPr="003220D1" w:rsidRDefault="003220D1" w:rsidP="003220D1">
      <w:pPr>
        <w:overflowPunct w:val="0"/>
        <w:autoSpaceDE w:val="0"/>
        <w:autoSpaceDN w:val="0"/>
        <w:adjustRightInd w:val="0"/>
        <w:spacing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 przypadku, gdy materiały lub roboty nie będą w pełni zgodne z dokumentacją projektową lub STWiORB i wpłynie to na niezadowalającą jakość elementu budowli, to takie materiały zostaną zastąpione innymi, a elementy budowli rozebrane i wykonane ponownie na koszt Wykonawcy.</w:t>
      </w:r>
    </w:p>
    <w:p w14:paraId="2E034E3E"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Arial"/>
          <w:b/>
          <w:sz w:val="24"/>
          <w:szCs w:val="20"/>
          <w:lang w:val="x-none" w:eastAsia="x-none"/>
        </w:rPr>
      </w:pPr>
      <w:r w:rsidRPr="003220D1">
        <w:rPr>
          <w:rFonts w:ascii="Arial Narrow" w:eastAsia="Times New Roman" w:hAnsi="Arial Narrow" w:cs="Arial"/>
          <w:sz w:val="24"/>
          <w:szCs w:val="20"/>
          <w:lang w:val="x-none" w:eastAsia="x-none"/>
        </w:rPr>
        <w:t>1.5.4.</w:t>
      </w:r>
      <w:r w:rsidRPr="003220D1">
        <w:rPr>
          <w:rFonts w:ascii="Arial Narrow" w:eastAsia="Times New Roman" w:hAnsi="Arial Narrow" w:cs="Arial"/>
          <w:b/>
          <w:sz w:val="24"/>
          <w:szCs w:val="20"/>
          <w:lang w:val="x-none" w:eastAsia="x-none"/>
        </w:rPr>
        <w:t xml:space="preserve"> Zabezpieczenie terenu budowy</w:t>
      </w:r>
    </w:p>
    <w:p w14:paraId="4FDD5B6B" w14:textId="77777777" w:rsidR="003220D1" w:rsidRPr="003220D1" w:rsidRDefault="003220D1" w:rsidP="003220D1">
      <w:pPr>
        <w:keepNext/>
        <w:numPr>
          <w:ilvl w:val="0"/>
          <w:numId w:val="1"/>
        </w:numPr>
        <w:overflowPunct w:val="0"/>
        <w:autoSpaceDE w:val="0"/>
        <w:autoSpaceDN w:val="0"/>
        <w:adjustRightInd w:val="0"/>
        <w:spacing w:before="60" w:after="0" w:line="240" w:lineRule="auto"/>
        <w:ind w:left="288" w:hanging="288"/>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Roboty modernizacyjne/ przebudowa i remontowe („pod  ruchem”)</w:t>
      </w:r>
    </w:p>
    <w:p w14:paraId="7A08E8D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w:t>
      </w:r>
    </w:p>
    <w:p w14:paraId="42DA740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Przed przystąpieniem do robót Wykonawca przedstawi Zamawiającemu do akceptacji, uzgodniony z odpowiednim zarządem drogi i organem zarządzającym ruchem, projekt organizacji ruchu i zabezpieczenia robót w okresie trwania budowy, w przypadku gdy przekazany przez Zamawiającego Projekt Tymczasowej Organizacji Ruchu nie będzie odpowiadał technologii robót (zatwierdzonej przez Zamawiający) przyjętej przez Wykonawcę lub gdy zajdzie potrzeba wykonania dodatkowej organizacji ruchu na roboty budowlane. W zależności od potrzeb i postępu robót projekt organizacji ruchu powinien być na bieżąco aktualizowany przez Wykonawcę. Każda zmiana, w stosunku do zatwierdzonego projektu organizacji ruchu, wymaga każdorazowo ponownego zatwierdzenia projektu.</w:t>
      </w:r>
    </w:p>
    <w:p w14:paraId="51A2E3A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 czasie wykonywania robót Wykonawca dostarczy, zainstaluje i będzie obsługiwał wszystkie tymczasowe urządzenia zabezpieczające takie jak: zapory, światła ostrzegawcze, sygnały, itp., zapewniając w ten sposób bezpieczeństwo pojazdów i pieszych.</w:t>
      </w:r>
    </w:p>
    <w:p w14:paraId="71052C3A"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zapewni stałe warunki widoczności w dzień i w nocy tych zapór i znaków, dla których jest to nieodzowne ze względów bezpieczeństwa.</w:t>
      </w:r>
    </w:p>
    <w:p w14:paraId="6E7E98B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Wszystkie znaki, zapory i inne urządzenia zabezpieczające będą akceptowane przez Zamawiającego.</w:t>
      </w:r>
    </w:p>
    <w:p w14:paraId="09B68B9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Fakt przystąpienia do robót Wykonawca obwieści publicznie przed ich rozpoczęciem w sposób uzgodniony z Zamawiajacym oraz przez umieszczenie, w miejscach i ilościach określonych przez Zamawiającego, tablic informacyjnych, których treść będzie zatwierdzona przez Zamawiającego. Tablice informacyjne będą utrzymywane przez Wykonawcę w dobrym stanie przez cały okres realizacji robót.</w:t>
      </w:r>
    </w:p>
    <w:p w14:paraId="3B16D0B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w sezonach zimowych jest zobowiązany w ramach ceny umownej do zimowego utrzymania rozbudowywanego odcinka drogi objętego umową, tj. wykonania prac mających na celu zmniejszenie lub ograniczenie zakłóceń ruchu drogowego, wywołanych czynnikami atmosferycznymi, jak śliskość zimowa oraz opady śniegu zgodnie z przyjętymi przez Zamawiającego standardami Zimowego Utrzymania Dróg.</w:t>
      </w:r>
    </w:p>
    <w:p w14:paraId="7552C02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jest zobowiązany do bieżącego utrzymania stanu drogi przez cały okres budowy, tj. wykonywanie robót remontowych (obejmujących w szczególności uzupełnienie ubytków w nawierzchni betonem asfaltowym), robót konserwacyjnych i porządkowych oraz podejmowanie innych działań technicznych mających na celu zapewnienie, zgodnego z potrzebami ruchu drogowego, stanu technicznego drogi oraz sprawności i bezpieczeństwa ruchu, zarówno na odcinkach gdzie nie były jeszcze prowadzone roboty budowlane, trwają roboty lub zostały zakończone (tj. przez cały okres trwania realizacji zamówienia, aż do zakończenia i odbioru ostatecznego robót).</w:t>
      </w:r>
    </w:p>
    <w:p w14:paraId="02A325D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lastRenderedPageBreak/>
        <w:t>Koszt zabezpieczenia terenu budowy nie podlega odrębnej zapłacie i przyjmuje się, że jest włączony w cenę kontraktową.</w:t>
      </w:r>
    </w:p>
    <w:p w14:paraId="47EF5217" w14:textId="77777777" w:rsidR="003220D1" w:rsidRPr="003220D1" w:rsidRDefault="003220D1" w:rsidP="003220D1">
      <w:pPr>
        <w:numPr>
          <w:ilvl w:val="0"/>
          <w:numId w:val="2"/>
        </w:numPr>
        <w:overflowPunct w:val="0"/>
        <w:autoSpaceDE w:val="0"/>
        <w:autoSpaceDN w:val="0"/>
        <w:adjustRightInd w:val="0"/>
        <w:spacing w:before="60" w:after="0" w:line="240" w:lineRule="auto"/>
        <w:ind w:left="288" w:hanging="288"/>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Roboty o charakterze inwestycyjnym</w:t>
      </w:r>
    </w:p>
    <w:p w14:paraId="432D23E9"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jest zobowiązany do zabezpieczenia terenu budowy w okresie trwania realizacji kontraktu aż do zakończenia i odbioru ostatecznego robót.</w:t>
      </w:r>
    </w:p>
    <w:p w14:paraId="35C76D2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dostarczy, zainstaluje i będzie utrzymywać tymczasowe urządzenia zabezpieczające, w tym: ogrodzenia, poręcze, oświetlenie, sygnały i znaki ostrzegawcze oraz  wszelkie inne środki niezbędne do ochrony robót, wygody społeczności i innych.</w:t>
      </w:r>
    </w:p>
    <w:p w14:paraId="3EB40E6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 miejscach przylegających do dróg otwartych dla ruchu, Wykonawca ogrodzi lub wyraźnie oznakuje teren budowy, w sposób uzgodniony z Zamawiającym.</w:t>
      </w:r>
    </w:p>
    <w:p w14:paraId="1C9A0C1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Wjazdy i wyjazdy z terenu budowy przeznaczone dla pojazdów i maszyn pracujących przy realizacji robót, Wykonawca odpowiednio oznakuje w sposób uzgodniony z Zamawiającym.</w:t>
      </w:r>
    </w:p>
    <w:p w14:paraId="5CCFAE4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Fakt przystąpienia do robót Wykonawca obwieści publicznie przed ich rozpoczęciem w sposób uzgodniony z Zamawiającym oraz przez umieszczenie, w miejscach i ilościach określonych przez Zamawiającego, tablic informacyjnych, których treść będzie zatwierdzona przez Zamawiającego. Tablice informacyjne będą utrzymywane przez Wykonawcę w dobrym stanie przez cały okres realizacji robót.</w:t>
      </w:r>
    </w:p>
    <w:p w14:paraId="265E5375" w14:textId="77777777" w:rsidR="003220D1" w:rsidRPr="003220D1" w:rsidRDefault="003220D1" w:rsidP="003220D1">
      <w:pPr>
        <w:overflowPunct w:val="0"/>
        <w:autoSpaceDE w:val="0"/>
        <w:autoSpaceDN w:val="0"/>
        <w:adjustRightInd w:val="0"/>
        <w:spacing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Koszt zabezpieczenia terenu budowy nie podlega odrębnej zapłacie i przyjmuje się, że jest włączony w cenę kontraktową.</w:t>
      </w:r>
    </w:p>
    <w:p w14:paraId="0BB46BAD" w14:textId="77777777" w:rsidR="003220D1" w:rsidRPr="003220D1" w:rsidRDefault="003220D1" w:rsidP="003220D1">
      <w:pPr>
        <w:keepNext/>
        <w:shd w:val="clear" w:color="auto" w:fill="D9D9D9"/>
        <w:overflowPunct w:val="0"/>
        <w:autoSpaceDE w:val="0"/>
        <w:autoSpaceDN w:val="0"/>
        <w:adjustRightInd w:val="0"/>
        <w:spacing w:before="120" w:after="0" w:line="240" w:lineRule="auto"/>
        <w:textAlignment w:val="baseline"/>
        <w:outlineLvl w:val="2"/>
        <w:rPr>
          <w:rFonts w:ascii="Arial Narrow" w:eastAsia="Times New Roman" w:hAnsi="Arial Narrow" w:cs="Arial"/>
          <w:b/>
          <w:sz w:val="24"/>
          <w:szCs w:val="20"/>
          <w:lang w:val="x-none" w:eastAsia="x-none"/>
        </w:rPr>
      </w:pPr>
      <w:r w:rsidRPr="003220D1">
        <w:rPr>
          <w:rFonts w:ascii="Arial Narrow" w:eastAsia="Times New Roman" w:hAnsi="Arial Narrow" w:cs="Arial"/>
          <w:sz w:val="24"/>
          <w:szCs w:val="20"/>
          <w:lang w:val="x-none" w:eastAsia="x-none"/>
        </w:rPr>
        <w:t>1.5.5.</w:t>
      </w:r>
      <w:r w:rsidRPr="003220D1">
        <w:rPr>
          <w:rFonts w:ascii="Arial Narrow" w:eastAsia="Times New Roman" w:hAnsi="Arial Narrow" w:cs="Arial"/>
          <w:b/>
          <w:sz w:val="24"/>
          <w:szCs w:val="20"/>
          <w:lang w:val="x-none" w:eastAsia="x-none"/>
        </w:rPr>
        <w:t xml:space="preserve"> Ochrona środowiska w czasie wykonywania robót</w:t>
      </w:r>
    </w:p>
    <w:p w14:paraId="239379DB" w14:textId="77777777" w:rsidR="003220D1" w:rsidRPr="003220D1" w:rsidRDefault="003220D1" w:rsidP="003220D1">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ma obowiązek znać i stosować w czasie prowadzenia robót wszelkie przepisy dotyczące ochrony środowiska naturalnego.</w:t>
      </w:r>
    </w:p>
    <w:p w14:paraId="6BB68E43"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 okresie trwania budowy i wykańczania robót Wykonawca będzie:</w:t>
      </w:r>
    </w:p>
    <w:p w14:paraId="557C9A06"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utrzymywać teren budowy i wykopy w stanie bez wody stojącej,</w:t>
      </w:r>
    </w:p>
    <w:p w14:paraId="282DB16C"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 </w:t>
      </w:r>
    </w:p>
    <w:p w14:paraId="7BFC3C85" w14:textId="77777777" w:rsidR="003220D1" w:rsidRPr="003220D1" w:rsidRDefault="003220D1" w:rsidP="003220D1">
      <w:pPr>
        <w:overflowPunct w:val="0"/>
        <w:autoSpaceDE w:val="0"/>
        <w:autoSpaceDN w:val="0"/>
        <w:adjustRightInd w:val="0"/>
        <w:spacing w:after="0" w:line="240" w:lineRule="auto"/>
        <w:ind w:left="283" w:firstLine="426"/>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Stosując się do tych wymagań będzie miał szczególny wzgląd na:</w:t>
      </w:r>
    </w:p>
    <w:p w14:paraId="16AAB4AD"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lokalizację baz, warsztatów, magazynów, składowisk, ukopów i dróg dojazdowych,</w:t>
      </w:r>
    </w:p>
    <w:p w14:paraId="2DE21C27"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środki ostrożności i zabezpieczenia przed:</w:t>
      </w:r>
    </w:p>
    <w:p w14:paraId="565ECCB3"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zanieczyszczeniem zbiorników i cieków wodnych pyłami lub substancjami toksycznymi,</w:t>
      </w:r>
    </w:p>
    <w:p w14:paraId="0DDFC247"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zanieczyszczeniem powietrza pyłami i gazami,</w:t>
      </w:r>
    </w:p>
    <w:p w14:paraId="5C2CC9B3"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możliwością powstania pożaru.</w:t>
      </w:r>
    </w:p>
    <w:p w14:paraId="3D42C2CD"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Arial"/>
          <w:b/>
          <w:sz w:val="24"/>
          <w:szCs w:val="20"/>
          <w:lang w:val="x-none" w:eastAsia="x-none"/>
        </w:rPr>
      </w:pPr>
      <w:r w:rsidRPr="003220D1">
        <w:rPr>
          <w:rFonts w:ascii="Arial Narrow" w:eastAsia="Times New Roman" w:hAnsi="Arial Narrow" w:cs="Arial"/>
          <w:sz w:val="24"/>
          <w:szCs w:val="20"/>
          <w:lang w:val="x-none" w:eastAsia="x-none"/>
        </w:rPr>
        <w:t>1.5.6.</w:t>
      </w:r>
      <w:r w:rsidRPr="003220D1">
        <w:rPr>
          <w:rFonts w:ascii="Arial Narrow" w:eastAsia="Times New Roman" w:hAnsi="Arial Narrow" w:cs="Arial"/>
          <w:b/>
          <w:sz w:val="24"/>
          <w:szCs w:val="20"/>
          <w:lang w:val="x-none" w:eastAsia="x-none"/>
        </w:rPr>
        <w:t xml:space="preserve"> Ochrona przeciwpożarowa</w:t>
      </w:r>
    </w:p>
    <w:p w14:paraId="45380618" w14:textId="77777777" w:rsidR="003220D1" w:rsidRPr="003220D1" w:rsidRDefault="003220D1" w:rsidP="003220D1">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będzie przestrzegać przepisy ochrony przeciwpożarowej.</w:t>
      </w:r>
    </w:p>
    <w:p w14:paraId="114E9579"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będzie utrzymywać, wymagany na podstawie odpowiednich przepisów sprawny sprzęt przeciwpożarowy, na terenie baz produkcyjnych, w pomieszczeniach biurowych, mieszkalnych, magazynach oraz w maszynach i pojazdach.</w:t>
      </w:r>
    </w:p>
    <w:p w14:paraId="0EC8F2C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Materiały łatwopalne będą składowane w sposób zgodny z odpowiednimi przepisami i zabezpieczone przed dostępem osób trzecich.</w:t>
      </w:r>
    </w:p>
    <w:p w14:paraId="4E15F855" w14:textId="77777777" w:rsidR="003220D1" w:rsidRPr="003220D1" w:rsidRDefault="003220D1" w:rsidP="003220D1">
      <w:pPr>
        <w:overflowPunct w:val="0"/>
        <w:autoSpaceDE w:val="0"/>
        <w:autoSpaceDN w:val="0"/>
        <w:adjustRightInd w:val="0"/>
        <w:spacing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będzie odpowiedzialny za wszelkie straty spowodowane pożarem wywołanym jako rezultat realizacji robót albo przez personel Wykonawcy.</w:t>
      </w:r>
    </w:p>
    <w:p w14:paraId="3BE4B862"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Arial"/>
          <w:b/>
          <w:sz w:val="24"/>
          <w:szCs w:val="20"/>
          <w:lang w:val="x-none" w:eastAsia="x-none"/>
        </w:rPr>
      </w:pPr>
      <w:r w:rsidRPr="003220D1">
        <w:rPr>
          <w:rFonts w:ascii="Arial Narrow" w:eastAsia="Times New Roman" w:hAnsi="Arial Narrow" w:cs="Arial"/>
          <w:sz w:val="24"/>
          <w:szCs w:val="20"/>
          <w:lang w:val="x-none" w:eastAsia="x-none"/>
        </w:rPr>
        <w:t>1.5.7.</w:t>
      </w:r>
      <w:r w:rsidRPr="003220D1">
        <w:rPr>
          <w:rFonts w:ascii="Arial Narrow" w:eastAsia="Times New Roman" w:hAnsi="Arial Narrow" w:cs="Arial"/>
          <w:b/>
          <w:sz w:val="24"/>
          <w:szCs w:val="20"/>
          <w:lang w:val="x-none" w:eastAsia="x-none"/>
        </w:rPr>
        <w:t xml:space="preserve"> Materiały szkodliwe dla otoczenia</w:t>
      </w:r>
    </w:p>
    <w:p w14:paraId="508269D5" w14:textId="77777777" w:rsidR="003220D1" w:rsidRPr="003220D1" w:rsidRDefault="003220D1" w:rsidP="003220D1">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Materiały, które w sposób trwały są szkodliwe dla otoczenia, nie będą dopuszczone do użycia.</w:t>
      </w:r>
    </w:p>
    <w:p w14:paraId="3622EF3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Nie dopuszcza się użycia materiałów wywołujących szkodliwe promieniowanie o stężeniu większym od dopuszczalnego, określonego odpowiednimi przepisami.</w:t>
      </w:r>
    </w:p>
    <w:p w14:paraId="7540CF59"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Wszelkie materiały odpadowe użyte do robót będą miały aprobatę techniczną wydaną przez uprawnioną jednostkę, jednoznacznie określającą brak szkodliwego oddziaływania tych materiałów na środowisko.</w:t>
      </w:r>
    </w:p>
    <w:p w14:paraId="525F818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14:paraId="34F88C48" w14:textId="77777777" w:rsidR="003220D1" w:rsidRPr="003220D1" w:rsidRDefault="003220D1" w:rsidP="003220D1">
      <w:pPr>
        <w:overflowPunct w:val="0"/>
        <w:autoSpaceDE w:val="0"/>
        <w:autoSpaceDN w:val="0"/>
        <w:adjustRightInd w:val="0"/>
        <w:spacing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Jeżeli Wykonawca użył materiałów szkodliwych dla otoczenia zgodnie ze specyfikacjami, a ich użycie spowodowało jakiekolwiek zagrożenie środowiska, to konsekwencje tego poniesie Zamawiający.</w:t>
      </w:r>
    </w:p>
    <w:p w14:paraId="3E2A6C24"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Arial"/>
          <w:b/>
          <w:sz w:val="24"/>
          <w:szCs w:val="20"/>
          <w:lang w:val="x-none" w:eastAsia="x-none"/>
        </w:rPr>
      </w:pPr>
      <w:r w:rsidRPr="003220D1">
        <w:rPr>
          <w:rFonts w:ascii="Arial Narrow" w:eastAsia="Times New Roman" w:hAnsi="Arial Narrow" w:cs="Arial"/>
          <w:sz w:val="24"/>
          <w:szCs w:val="20"/>
          <w:lang w:val="x-none" w:eastAsia="x-none"/>
        </w:rPr>
        <w:t>1.5.8.</w:t>
      </w:r>
      <w:r w:rsidRPr="003220D1">
        <w:rPr>
          <w:rFonts w:ascii="Arial Narrow" w:eastAsia="Times New Roman" w:hAnsi="Arial Narrow" w:cs="Arial"/>
          <w:b/>
          <w:sz w:val="24"/>
          <w:szCs w:val="20"/>
          <w:lang w:val="x-none" w:eastAsia="x-none"/>
        </w:rPr>
        <w:t xml:space="preserve"> Ochrona własności publicznej i prywatnej</w:t>
      </w:r>
    </w:p>
    <w:p w14:paraId="7C836D94" w14:textId="77777777" w:rsidR="003220D1" w:rsidRPr="003220D1" w:rsidRDefault="003220D1" w:rsidP="003220D1">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14:paraId="590FB210" w14:textId="77777777" w:rsidR="003220D1" w:rsidRPr="003220D1" w:rsidRDefault="003220D1" w:rsidP="003220D1">
      <w:pPr>
        <w:overflowPunct w:val="0"/>
        <w:autoSpaceDE w:val="0"/>
        <w:autoSpaceDN w:val="0"/>
        <w:adjustRightInd w:val="0"/>
        <w:spacing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lastRenderedPageBreak/>
        <w:t>Wykonawca zobowiązany jest umieścić w swoim harmonogramie rezerwę czasową dla wszelkiego rodzaju robót, które mają być wykonane w zakresie przełożenia instalacji i urządzeń podziemnych na terenie budowy i powiadomić Zamawiającego i władze lokalne o zamiarze rozpoczęcia robót. O fakcie przypadkowego uszkodzenia tych instalacji Wykonawca bezzwłocznie powiadomi Zamawiającego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14:paraId="4A2EEDD9" w14:textId="77777777" w:rsidR="003220D1" w:rsidRPr="003220D1" w:rsidRDefault="003220D1" w:rsidP="003220D1">
      <w:pPr>
        <w:overflowPunct w:val="0"/>
        <w:autoSpaceDE w:val="0"/>
        <w:autoSpaceDN w:val="0"/>
        <w:adjustRightInd w:val="0"/>
        <w:spacing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14:paraId="0567761A" w14:textId="77777777" w:rsidR="003220D1" w:rsidRPr="003220D1" w:rsidRDefault="003220D1" w:rsidP="003220D1">
      <w:pPr>
        <w:overflowPunct w:val="0"/>
        <w:autoSpaceDE w:val="0"/>
        <w:autoSpaceDN w:val="0"/>
        <w:adjustRightInd w:val="0"/>
        <w:spacing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Zamawiający będzie na bieżąco informowany o wszystkich umowach zawartych pomiędzy Wykonawcą a właścicielami nieruchomości i dotyczących korzystania z własności i dróg wewnętrznych. Jednakże Zamawiający nie będzie ingerował w takie porozumienia, o ile nie będą one sprzeczne z postanowieniami zawartymi w warunkach umowy.</w:t>
      </w:r>
    </w:p>
    <w:p w14:paraId="6D2A75DF"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Arial"/>
          <w:b/>
          <w:sz w:val="24"/>
          <w:szCs w:val="20"/>
          <w:lang w:val="x-none" w:eastAsia="x-none"/>
        </w:rPr>
      </w:pPr>
      <w:r w:rsidRPr="003220D1">
        <w:rPr>
          <w:rFonts w:ascii="Arial Narrow" w:eastAsia="Times New Roman" w:hAnsi="Arial Narrow" w:cs="Arial"/>
          <w:sz w:val="24"/>
          <w:szCs w:val="20"/>
          <w:lang w:val="x-none" w:eastAsia="x-none"/>
        </w:rPr>
        <w:t>1.5.9.</w:t>
      </w:r>
      <w:r w:rsidRPr="003220D1">
        <w:rPr>
          <w:rFonts w:ascii="Arial Narrow" w:eastAsia="Times New Roman" w:hAnsi="Arial Narrow" w:cs="Arial"/>
          <w:b/>
          <w:sz w:val="24"/>
          <w:szCs w:val="20"/>
          <w:lang w:val="x-none" w:eastAsia="x-none"/>
        </w:rPr>
        <w:t xml:space="preserve"> Ograniczenie obciążeń osi pojazdów</w:t>
      </w:r>
    </w:p>
    <w:p w14:paraId="10F8CF38" w14:textId="77777777" w:rsidR="003220D1" w:rsidRPr="003220D1" w:rsidRDefault="003220D1" w:rsidP="003220D1">
      <w:pPr>
        <w:overflowPunct w:val="0"/>
        <w:autoSpaceDE w:val="0"/>
        <w:autoSpaceDN w:val="0"/>
        <w:adjustRightInd w:val="0"/>
        <w:spacing w:before="60"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Zamawiającego. Zamawiający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Zamawiającego.</w:t>
      </w:r>
    </w:p>
    <w:p w14:paraId="34325DB4"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Arial"/>
          <w:b/>
          <w:sz w:val="24"/>
          <w:szCs w:val="20"/>
          <w:lang w:val="x-none" w:eastAsia="x-none"/>
        </w:rPr>
      </w:pPr>
      <w:r w:rsidRPr="003220D1">
        <w:rPr>
          <w:rFonts w:ascii="Arial Narrow" w:eastAsia="Times New Roman" w:hAnsi="Arial Narrow" w:cs="Arial"/>
          <w:sz w:val="24"/>
          <w:szCs w:val="20"/>
          <w:lang w:val="x-none" w:eastAsia="x-none"/>
        </w:rPr>
        <w:t>1.5.10.</w:t>
      </w:r>
      <w:r w:rsidRPr="003220D1">
        <w:rPr>
          <w:rFonts w:ascii="Arial Narrow" w:eastAsia="Times New Roman" w:hAnsi="Arial Narrow" w:cs="Arial"/>
          <w:b/>
          <w:sz w:val="24"/>
          <w:szCs w:val="20"/>
          <w:lang w:val="x-none" w:eastAsia="x-none"/>
        </w:rPr>
        <w:t xml:space="preserve"> Bezpieczeństwo i higiena pracy</w:t>
      </w:r>
    </w:p>
    <w:p w14:paraId="0B418B60" w14:textId="77777777" w:rsidR="003220D1" w:rsidRPr="003220D1" w:rsidRDefault="003220D1" w:rsidP="003220D1">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Podczas realizacji robót Wykonawca będzie przestrzegać przepisów dotyczących bezpieczeństwa i higieny pracy.</w:t>
      </w:r>
    </w:p>
    <w:p w14:paraId="6C8C923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 szczególności Wykonawca ma obowiązek zadbać, aby personel nie wykonywał pracy w warunkach niebezpiecznych, szkodliwych dla zdrowia oraz nie spełniających odpowiednich wymagań sanitarnych.</w:t>
      </w:r>
    </w:p>
    <w:p w14:paraId="67D1B4C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zapewni i będzie utrzymywał wszelkie urządzenia zabezpieczające, socjalne oraz sprzęt i odpowiednią odzież dla ochrony życia i zdrowia osób zatrudnionych na budowie oraz dla zapewnienia bezpieczeństwa publicznego.</w:t>
      </w:r>
    </w:p>
    <w:p w14:paraId="7311E321" w14:textId="77777777" w:rsidR="003220D1" w:rsidRPr="003220D1" w:rsidRDefault="003220D1" w:rsidP="003220D1">
      <w:pPr>
        <w:overflowPunct w:val="0"/>
        <w:autoSpaceDE w:val="0"/>
        <w:autoSpaceDN w:val="0"/>
        <w:adjustRightInd w:val="0"/>
        <w:spacing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Uznaje się, że wszelkie koszty związane z wypełnieniem wymagań określonych powyżej nie podlegają odrębnej zapłacie i są uwzględnione w cenie kontraktowej.</w:t>
      </w:r>
    </w:p>
    <w:p w14:paraId="10434DD8"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Arial"/>
          <w:b/>
          <w:sz w:val="24"/>
          <w:szCs w:val="20"/>
          <w:lang w:val="x-none" w:eastAsia="x-none"/>
        </w:rPr>
      </w:pPr>
      <w:r w:rsidRPr="003220D1">
        <w:rPr>
          <w:rFonts w:ascii="Arial Narrow" w:eastAsia="Times New Roman" w:hAnsi="Arial Narrow" w:cs="Arial"/>
          <w:sz w:val="24"/>
          <w:szCs w:val="20"/>
          <w:lang w:val="x-none" w:eastAsia="x-none"/>
        </w:rPr>
        <w:t>1.5.11.</w:t>
      </w:r>
      <w:r w:rsidRPr="003220D1">
        <w:rPr>
          <w:rFonts w:ascii="Arial Narrow" w:eastAsia="Times New Roman" w:hAnsi="Arial Narrow" w:cs="Arial"/>
          <w:b/>
          <w:sz w:val="24"/>
          <w:szCs w:val="20"/>
          <w:lang w:val="x-none" w:eastAsia="x-none"/>
        </w:rPr>
        <w:t xml:space="preserve"> Ochrona i utrzymanie robót</w:t>
      </w:r>
    </w:p>
    <w:p w14:paraId="010E1DD5"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bookmarkStart w:id="3" w:name="_Toc412518567"/>
      <w:r w:rsidRPr="003220D1">
        <w:rPr>
          <w:rFonts w:ascii="Arial Narrow" w:eastAsia="Times New Roman" w:hAnsi="Arial Narrow" w:cs="Times New Roman"/>
          <w:sz w:val="20"/>
          <w:szCs w:val="20"/>
          <w:lang w:eastAsia="pl-PL"/>
        </w:rPr>
        <w:t xml:space="preserve">Wykonawca będzie odpowiadał za ochronę robót i za wszelkie materiały i urządzenia używane do robót od daty rozpoczęcia do daty wydania potwierdzenia zakończenia robót przez </w:t>
      </w:r>
      <w:r w:rsidRPr="003220D1">
        <w:rPr>
          <w:rFonts w:ascii="Arial Narrow" w:eastAsia="Times New Roman" w:hAnsi="Arial Narrow" w:cs="Arial"/>
          <w:sz w:val="20"/>
          <w:szCs w:val="20"/>
          <w:lang w:eastAsia="pl-PL"/>
        </w:rPr>
        <w:t>Zamawiającego</w:t>
      </w:r>
      <w:r w:rsidRPr="003220D1">
        <w:rPr>
          <w:rFonts w:ascii="Arial Narrow" w:eastAsia="Times New Roman" w:hAnsi="Arial Narrow" w:cs="Times New Roman"/>
          <w:sz w:val="20"/>
          <w:szCs w:val="20"/>
          <w:lang w:eastAsia="pl-PL"/>
        </w:rPr>
        <w:t>.</w:t>
      </w:r>
      <w:bookmarkEnd w:id="3"/>
    </w:p>
    <w:p w14:paraId="159B1700"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będzie utrzymywać roboty do czasu odbioru ostatecznego. Utrzymanie powinno być prowadzone w taki sposób, aby budowla drogowa lub jej elementy były w zadowalającym stanie przez cały czas, do momentu odbioru ostatecznego.</w:t>
      </w:r>
    </w:p>
    <w:p w14:paraId="79CE0B54" w14:textId="77777777" w:rsidR="003220D1" w:rsidRPr="003220D1" w:rsidRDefault="003220D1" w:rsidP="003220D1">
      <w:pPr>
        <w:overflowPunct w:val="0"/>
        <w:autoSpaceDE w:val="0"/>
        <w:autoSpaceDN w:val="0"/>
        <w:adjustRightInd w:val="0"/>
        <w:spacing w:after="6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Jeśli Wykonawca w jakimkolwiek czasie zaniedba utrzymanie, to na polecenie Zamawiającego powinien rozpocząć roboty utrzymaniowe nie później niż w 24 godziny po otrzymaniu tego polecenia.</w:t>
      </w:r>
    </w:p>
    <w:p w14:paraId="709580EC"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Arial"/>
          <w:b/>
          <w:sz w:val="24"/>
          <w:szCs w:val="20"/>
          <w:lang w:val="x-none" w:eastAsia="x-none"/>
        </w:rPr>
      </w:pPr>
      <w:r w:rsidRPr="003220D1">
        <w:rPr>
          <w:rFonts w:ascii="Arial Narrow" w:eastAsia="Times New Roman" w:hAnsi="Arial Narrow" w:cs="Arial"/>
          <w:sz w:val="24"/>
          <w:szCs w:val="20"/>
          <w:lang w:val="x-none" w:eastAsia="x-none"/>
        </w:rPr>
        <w:t>1.5.12.</w:t>
      </w:r>
      <w:r w:rsidRPr="003220D1">
        <w:rPr>
          <w:rFonts w:ascii="Arial Narrow" w:eastAsia="Times New Roman" w:hAnsi="Arial Narrow" w:cs="Arial"/>
          <w:b/>
          <w:sz w:val="24"/>
          <w:szCs w:val="20"/>
          <w:lang w:val="x-none" w:eastAsia="x-none"/>
        </w:rPr>
        <w:t xml:space="preserve"> Stosowanie się do prawa i innych przepisów</w:t>
      </w:r>
    </w:p>
    <w:p w14:paraId="327FD971" w14:textId="77777777" w:rsidR="003220D1" w:rsidRPr="003220D1" w:rsidRDefault="003220D1" w:rsidP="003220D1">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14:paraId="6DC599B1" w14:textId="77777777" w:rsidR="003220D1" w:rsidRPr="003220D1" w:rsidRDefault="003220D1" w:rsidP="003220D1">
      <w:pPr>
        <w:overflowPunct w:val="0"/>
        <w:autoSpaceDE w:val="0"/>
        <w:autoSpaceDN w:val="0"/>
        <w:adjustRightInd w:val="0"/>
        <w:spacing w:after="12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Zamawiającego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Zamawiającego.</w:t>
      </w:r>
    </w:p>
    <w:p w14:paraId="50A60CBE"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val="x-none" w:eastAsia="x-none"/>
        </w:rPr>
        <w:t>1.5.13. Równoważność norm i zbiorów przepisów prawnych</w:t>
      </w:r>
    </w:p>
    <w:p w14:paraId="0D43AF2A"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Zamawiającego. Różnice pomiędzy powołanymi normami a ich proponowanymi zamiennikami muszą być dokładnie opisane przez Wykonawcę i przedłożone Zamawiającemu do zatwierdzenia.</w:t>
      </w:r>
    </w:p>
    <w:p w14:paraId="78A3A570"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val="x-none" w:eastAsia="x-none"/>
        </w:rPr>
        <w:t>1.5.14. Wykopaliska</w:t>
      </w:r>
    </w:p>
    <w:p w14:paraId="390EA8F5" w14:textId="77777777" w:rsidR="003220D1" w:rsidRPr="003220D1" w:rsidRDefault="003220D1" w:rsidP="003220D1">
      <w:pPr>
        <w:overflowPunct w:val="0"/>
        <w:autoSpaceDE w:val="0"/>
        <w:autoSpaceDN w:val="0"/>
        <w:adjustRightInd w:val="0"/>
        <w:spacing w:after="12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 xml:space="preserve">Wszelkie wykopaliska, monety, przedmioty wartościowe, budowle oraz inne pozostałości o znaczeniu geologicznym lub archeologicznym odkryte na terenie budowy będą uważane za własność Zamawiającego. Wykonawca zobowiązany jest powiadomić Zamawiającego i postępować zgodnie z ich poleceniami. W przypadku stwierdzenia konieczności Wykonawca jest </w:t>
      </w:r>
      <w:r w:rsidRPr="003220D1">
        <w:rPr>
          <w:rFonts w:ascii="Arial Narrow" w:eastAsia="Times New Roman" w:hAnsi="Arial Narrow" w:cs="Arial"/>
          <w:sz w:val="20"/>
          <w:szCs w:val="20"/>
          <w:lang w:eastAsia="pl-PL"/>
        </w:rPr>
        <w:lastRenderedPageBreak/>
        <w:t xml:space="preserve">zobowiązany przeprowadzić badania weryfikacyjno-sondażowe i ratunkowe oraz wszelkie prace zabezpieczające na terenie objętym inwestycją. Wszelkie koszty związane z prowadzeniem w/w prac i badań ponosi Wykonawca. </w:t>
      </w:r>
      <w:bookmarkStart w:id="4" w:name="_Toc416830699"/>
      <w:bookmarkStart w:id="5" w:name="_Toc6881280"/>
      <w:bookmarkStart w:id="6" w:name="_Toc6882153"/>
    </w:p>
    <w:p w14:paraId="02748ECE"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Arial"/>
          <w:b/>
          <w:caps/>
          <w:kern w:val="28"/>
          <w:sz w:val="28"/>
          <w:szCs w:val="20"/>
          <w:lang w:val="x-none" w:eastAsia="x-none"/>
        </w:rPr>
      </w:pPr>
      <w:r w:rsidRPr="003220D1">
        <w:rPr>
          <w:rFonts w:ascii="Arial Narrow" w:eastAsia="Times New Roman" w:hAnsi="Arial Narrow" w:cs="Arial"/>
          <w:b/>
          <w:caps/>
          <w:kern w:val="28"/>
          <w:sz w:val="28"/>
          <w:szCs w:val="20"/>
          <w:lang w:val="x-none" w:eastAsia="x-none"/>
        </w:rPr>
        <w:t>2. MATERIAŁY</w:t>
      </w:r>
      <w:bookmarkEnd w:id="4"/>
      <w:bookmarkEnd w:id="5"/>
      <w:bookmarkEnd w:id="6"/>
    </w:p>
    <w:p w14:paraId="4C973978"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2.1. Źródła uzyskania materiałów</w:t>
      </w:r>
    </w:p>
    <w:p w14:paraId="6084991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Przed zaplanowanym wykorzystaniem jakichkolwiek materiałów przeznaczonych do robót, Wykonawca przedstawi Zamawiającemu do zatwierdzenia, szczegółowe informacje dotyczące proponowanego źródła wytwarzania, zamawiania lub wydobywania tych materiałów jak również odpowiednie świadectwa badań laboratoryjnych oraz próbki materiałów.</w:t>
      </w:r>
    </w:p>
    <w:p w14:paraId="59F313A6"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Zatwierdzenie partii materiałów z danego źródła nie oznacza automatycznie, że wszelkie materiały z danego źródła uzyskają zatwierdzenie.</w:t>
      </w:r>
    </w:p>
    <w:p w14:paraId="5D45BBE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zobowiązany jest do prowadzenia badań w celu wykazania, że materiały uzyskane z dopuszczonego źródła w sposób ciągły spełniają wymagania STWiORB w czasie realizacji robót.</w:t>
      </w:r>
    </w:p>
    <w:p w14:paraId="57460BF1"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2.2. Pozyskiwanie materiałów miejscowych</w:t>
      </w:r>
    </w:p>
    <w:p w14:paraId="35450EE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odpowiada za uzyskanie pozwoleń od właścicieli i odnośnych władz na pozyskanie materiałów ze źródeł miejscowych włączając w to źródła wskazane przez Zamawiającego i jest zobowiązany dostarczyć Zamawiającemu wymagane dokumenty przed rozpoczęciem eksploatacji źródła.</w:t>
      </w:r>
    </w:p>
    <w:p w14:paraId="355921B6"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przedstawi Zamawiającemu do zatwierdzenia dokumentację zawierającą raporty z badań terenowych i laboratoryjnych oraz proponowaną przez siebie metodę wydobycia i selekcji, uwzględniając aktualne decyzje o eksploatacji, organów administracji państwowej i samorządowej.</w:t>
      </w:r>
    </w:p>
    <w:p w14:paraId="376F17A3"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ponosi odpowiedzialność za spełnienie wymagań ilościowych i jakościowych materiałów pochodzących ze źródeł miejscowych.</w:t>
      </w:r>
    </w:p>
    <w:p w14:paraId="3BEA9DD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ponosi wszystkie koszty, z tytułu wydobycia materiałów, dzierżawy i inne jakie okażą się potrzebne w związku  z dostarczeniem materiałów do robót.</w:t>
      </w:r>
    </w:p>
    <w:p w14:paraId="32B6CC00"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Humus i nadkład czasowo zdjęte z terenu wykopów, dokopów i miejsc pozyskania materiałów miejscowych będą formowane w hałdy i wykorzystane przy zasypce i rekultywacji terenu po ukończeniu robót.</w:t>
      </w:r>
    </w:p>
    <w:p w14:paraId="29BCF5F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Wszystkie odpowiednie materiały pozyskane z wykopów na terenie budowy lub z innych miejsc wskazanych w dokumentach umowy będą wykorzystane do robót lub odwiezione na odkład odpowiednio do wymagań umowy lub wskazań Zamawiającego.</w:t>
      </w:r>
    </w:p>
    <w:p w14:paraId="5135CA85"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nie będzie prowadzić żadnych wykopów w obrębie terenu budowy poza tymi, które zostały wyszczególnione w dokumentach umowy, chyba, że uzyska na to pisemną zgodę Zamawiającego.</w:t>
      </w:r>
    </w:p>
    <w:p w14:paraId="17A7217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Eksploatacja źródeł materiałów będzie zgodna z wszelkimi regulacjami prawnymi obowiązującymi na danym obszarze.</w:t>
      </w:r>
    </w:p>
    <w:p w14:paraId="01BBA136"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2.3. Materiały nie odpowiadające wymaganiom</w:t>
      </w:r>
    </w:p>
    <w:p w14:paraId="162432F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Materiały nie odpowiadające wymaganiom zostaną przez Wykonawcę wywiezione z terenu budowy. Każdy rodzaj robót, z wykorzystaniem materiałów niezaakceptowanych przez Zamawiającego i nie posiadających aktualnych badań (aprobat i certyfikatów) ,Wykonawca wykonuje na własne ryzyko, licząc się z jego nie odebraniem oraz koniecznością usunięcia (rozbiórki).</w:t>
      </w:r>
    </w:p>
    <w:p w14:paraId="05C3F6DE"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2.4. Materiały pochodzące z rozbiórek</w:t>
      </w:r>
    </w:p>
    <w:p w14:paraId="49E2518E" w14:textId="77777777" w:rsidR="003220D1" w:rsidRPr="003220D1" w:rsidRDefault="003220D1" w:rsidP="003220D1">
      <w:pPr>
        <w:overflowPunct w:val="0"/>
        <w:autoSpaceDE w:val="0"/>
        <w:autoSpaceDN w:val="0"/>
        <w:adjustRightInd w:val="0"/>
        <w:spacing w:after="0" w:line="240" w:lineRule="auto"/>
        <w:ind w:firstLine="708"/>
        <w:jc w:val="both"/>
        <w:textAlignment w:val="baseline"/>
        <w:rPr>
          <w:rFonts w:ascii="Arial Narrow" w:eastAsia="Times New Roman" w:hAnsi="Arial Narrow" w:cs="Arial"/>
          <w:color w:val="000000"/>
          <w:sz w:val="20"/>
          <w:szCs w:val="20"/>
          <w:lang w:eastAsia="pl-PL"/>
        </w:rPr>
      </w:pPr>
      <w:r w:rsidRPr="003220D1">
        <w:rPr>
          <w:rFonts w:ascii="Arial Narrow" w:eastAsia="Times New Roman" w:hAnsi="Arial Narrow" w:cs="Arial"/>
          <w:color w:val="000000"/>
          <w:sz w:val="20"/>
          <w:szCs w:val="20"/>
          <w:lang w:eastAsia="pl-PL"/>
        </w:rPr>
        <w:t xml:space="preserve">Materiały rozbiórkowe, </w:t>
      </w:r>
      <w:r w:rsidRPr="003220D1">
        <w:rPr>
          <w:rFonts w:ascii="Arial Narrow" w:eastAsia="Times New Roman" w:hAnsi="Arial Narrow" w:cs="Arial"/>
          <w:sz w:val="20"/>
          <w:szCs w:val="20"/>
          <w:lang w:eastAsia="pl-PL"/>
        </w:rPr>
        <w:t xml:space="preserve">tj. destrukt z frezowania, znaki drogowe wraz ze słupkami, bariery energochłonne, kostka brukowa oraz krawężniki nieuszkodzone i nadające się do ponownego wbudowania, </w:t>
      </w:r>
      <w:r w:rsidRPr="003220D1">
        <w:rPr>
          <w:rFonts w:ascii="Arial Narrow" w:eastAsia="Times New Roman" w:hAnsi="Arial Narrow" w:cs="Arial"/>
          <w:color w:val="000000"/>
          <w:sz w:val="20"/>
          <w:szCs w:val="20"/>
          <w:lang w:eastAsia="pl-PL"/>
        </w:rPr>
        <w:t xml:space="preserve">zostaną przewiezione na Bazę Materiałową Zarządu Dróg Wojewódzkich. Pozostałe materiały rozbiórkowe należą do Wykonawcy. </w:t>
      </w:r>
    </w:p>
    <w:p w14:paraId="0A5F8330" w14:textId="77777777" w:rsidR="003220D1" w:rsidRPr="003220D1" w:rsidRDefault="003220D1" w:rsidP="003220D1">
      <w:pPr>
        <w:overflowPunct w:val="0"/>
        <w:autoSpaceDE w:val="0"/>
        <w:autoSpaceDN w:val="0"/>
        <w:adjustRightInd w:val="0"/>
        <w:spacing w:after="0" w:line="240" w:lineRule="auto"/>
        <w:ind w:firstLine="708"/>
        <w:jc w:val="both"/>
        <w:textAlignment w:val="baseline"/>
        <w:rPr>
          <w:rFonts w:ascii="Arial Narrow" w:eastAsia="Times New Roman" w:hAnsi="Arial Narrow" w:cs="Arial"/>
          <w:color w:val="000000"/>
          <w:sz w:val="20"/>
          <w:szCs w:val="20"/>
          <w:lang w:eastAsia="pl-PL"/>
        </w:rPr>
      </w:pPr>
      <w:r w:rsidRPr="003220D1">
        <w:rPr>
          <w:rFonts w:ascii="Arial Narrow" w:eastAsia="Times New Roman" w:hAnsi="Arial Narrow" w:cs="Arial"/>
          <w:color w:val="000000"/>
          <w:sz w:val="20"/>
          <w:szCs w:val="20"/>
          <w:lang w:eastAsia="pl-PL"/>
        </w:rPr>
        <w:t>Materiały pochodzące z rozbiórek, nie posiadające pełnowartościowych właściwości materiałowych i nie nadające się do wykorzystania do wbudowania, Wykonawca zutylizuje we własnym zakresie.</w:t>
      </w:r>
    </w:p>
    <w:p w14:paraId="0D3890AC" w14:textId="77777777" w:rsidR="003220D1" w:rsidRPr="003220D1" w:rsidRDefault="003220D1" w:rsidP="003220D1">
      <w:pPr>
        <w:overflowPunct w:val="0"/>
        <w:autoSpaceDE w:val="0"/>
        <w:autoSpaceDN w:val="0"/>
        <w:adjustRightInd w:val="0"/>
        <w:spacing w:after="0" w:line="240" w:lineRule="auto"/>
        <w:ind w:firstLine="708"/>
        <w:jc w:val="both"/>
        <w:textAlignment w:val="baseline"/>
        <w:rPr>
          <w:rFonts w:ascii="Arial Narrow" w:eastAsia="Times New Roman" w:hAnsi="Arial Narrow" w:cs="Arial"/>
          <w:color w:val="000000"/>
          <w:sz w:val="20"/>
          <w:szCs w:val="20"/>
          <w:lang w:eastAsia="pl-PL"/>
        </w:rPr>
      </w:pPr>
      <w:r w:rsidRPr="003220D1">
        <w:rPr>
          <w:rFonts w:ascii="Arial Narrow" w:eastAsia="Times New Roman" w:hAnsi="Arial Narrow" w:cs="Arial"/>
          <w:color w:val="000000"/>
          <w:sz w:val="20"/>
          <w:szCs w:val="20"/>
          <w:lang w:eastAsia="pl-PL"/>
        </w:rPr>
        <w:t xml:space="preserve">Koszty związane z odwozem, składowaniem, </w:t>
      </w:r>
      <w:r w:rsidRPr="003220D1">
        <w:rPr>
          <w:rFonts w:ascii="Arial Narrow" w:eastAsia="Times New Roman" w:hAnsi="Arial Narrow" w:cs="Arial"/>
          <w:color w:val="1B1B1B"/>
          <w:sz w:val="20"/>
          <w:szCs w:val="20"/>
          <w:lang w:eastAsia="pl-PL"/>
        </w:rPr>
        <w:t xml:space="preserve">zagospodarowaniem i/lub utylizacją </w:t>
      </w:r>
      <w:r w:rsidRPr="003220D1">
        <w:rPr>
          <w:rFonts w:ascii="Arial Narrow" w:eastAsia="Times New Roman" w:hAnsi="Arial Narrow" w:cs="Arial"/>
          <w:color w:val="000000"/>
          <w:sz w:val="20"/>
          <w:szCs w:val="20"/>
          <w:lang w:eastAsia="pl-PL"/>
        </w:rPr>
        <w:t>ponosi Wykonawca i powinny być wkalkulowane w cenę jednostkową rozbiórki.</w:t>
      </w:r>
    </w:p>
    <w:p w14:paraId="4E12CDDB" w14:textId="77777777" w:rsidR="003220D1" w:rsidRPr="003220D1" w:rsidRDefault="003220D1" w:rsidP="003220D1">
      <w:pPr>
        <w:overflowPunct w:val="0"/>
        <w:autoSpaceDE w:val="0"/>
        <w:autoSpaceDN w:val="0"/>
        <w:adjustRightInd w:val="0"/>
        <w:spacing w:after="0" w:line="240" w:lineRule="auto"/>
        <w:ind w:firstLine="708"/>
        <w:jc w:val="both"/>
        <w:textAlignment w:val="baseline"/>
        <w:rPr>
          <w:rFonts w:ascii="Arial Narrow" w:eastAsia="Times New Roman" w:hAnsi="Arial Narrow" w:cs="Arial"/>
          <w:color w:val="000000"/>
          <w:sz w:val="20"/>
          <w:szCs w:val="20"/>
          <w:lang w:eastAsia="pl-PL"/>
        </w:rPr>
      </w:pPr>
      <w:r w:rsidRPr="003220D1">
        <w:rPr>
          <w:rFonts w:ascii="Arial Narrow" w:eastAsia="Times New Roman" w:hAnsi="Arial Narrow" w:cs="Arial"/>
          <w:color w:val="000000"/>
          <w:sz w:val="20"/>
          <w:szCs w:val="20"/>
          <w:lang w:eastAsia="pl-PL"/>
        </w:rPr>
        <w:t xml:space="preserve">Koszt związany z rozbiórką, transportem, zwałką, </w:t>
      </w:r>
      <w:r w:rsidRPr="003220D1">
        <w:rPr>
          <w:rFonts w:ascii="Arial Narrow" w:eastAsia="Times New Roman" w:hAnsi="Arial Narrow" w:cs="Arial"/>
          <w:color w:val="1B1B1B"/>
          <w:sz w:val="20"/>
          <w:szCs w:val="20"/>
          <w:lang w:eastAsia="pl-PL"/>
        </w:rPr>
        <w:t xml:space="preserve">zagospodarowaniem i/lub utylizacją </w:t>
      </w:r>
      <w:r w:rsidRPr="003220D1">
        <w:rPr>
          <w:rFonts w:ascii="Arial Narrow" w:eastAsia="Times New Roman" w:hAnsi="Arial Narrow" w:cs="Arial"/>
          <w:color w:val="000000"/>
          <w:sz w:val="20"/>
          <w:szCs w:val="20"/>
          <w:lang w:eastAsia="pl-PL"/>
        </w:rPr>
        <w:t>w/w materiałów Wykonawca uwzględni w cenie kontraktowej.</w:t>
      </w:r>
    </w:p>
    <w:p w14:paraId="42702D50" w14:textId="77777777" w:rsidR="003220D1" w:rsidRPr="003220D1" w:rsidRDefault="003220D1" w:rsidP="003220D1">
      <w:pPr>
        <w:overflowPunct w:val="0"/>
        <w:autoSpaceDE w:val="0"/>
        <w:autoSpaceDN w:val="0"/>
        <w:adjustRightInd w:val="0"/>
        <w:spacing w:after="0" w:line="240" w:lineRule="auto"/>
        <w:ind w:firstLine="708"/>
        <w:jc w:val="both"/>
        <w:textAlignment w:val="baseline"/>
        <w:rPr>
          <w:rFonts w:ascii="Arial Narrow" w:eastAsia="Times New Roman" w:hAnsi="Arial Narrow" w:cs="Arial"/>
          <w:color w:val="000000"/>
          <w:sz w:val="20"/>
          <w:szCs w:val="20"/>
          <w:lang w:eastAsia="pl-PL"/>
        </w:rPr>
      </w:pPr>
      <w:r w:rsidRPr="003220D1">
        <w:rPr>
          <w:rFonts w:ascii="Arial Narrow" w:eastAsia="Times New Roman" w:hAnsi="Arial Narrow" w:cs="Arial"/>
          <w:color w:val="000000"/>
          <w:sz w:val="20"/>
          <w:szCs w:val="20"/>
          <w:lang w:eastAsia="pl-PL"/>
        </w:rPr>
        <w:t>Elementy pochodzące z rozbiórek sieci uzbrojenia terenu Wykonawca zdemontuje i przetransportuje w miejsce uzgodnione z odpowiednim właścicielem zbrojenia sieci. W przypadku stwierdzenia przez Właściciela sieci uzbrojenia terenu, że elementy pochodzące z rozbiórek nie odpowiadają jego wymaganiom, Wykonawca zutylizuje we własnym zakresie.</w:t>
      </w:r>
    </w:p>
    <w:p w14:paraId="64873F56" w14:textId="77777777" w:rsidR="003220D1" w:rsidRPr="003220D1" w:rsidRDefault="003220D1" w:rsidP="003220D1">
      <w:pPr>
        <w:overflowPunct w:val="0"/>
        <w:autoSpaceDE w:val="0"/>
        <w:autoSpaceDN w:val="0"/>
        <w:adjustRightInd w:val="0"/>
        <w:spacing w:after="0" w:line="240" w:lineRule="auto"/>
        <w:ind w:firstLine="708"/>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color w:val="000000"/>
          <w:sz w:val="20"/>
          <w:szCs w:val="20"/>
          <w:lang w:eastAsia="pl-PL"/>
        </w:rPr>
        <w:t>Koszt transportu nie podlega osobnej zapłacie i Wykonawca uwzględni go w cenie kontraktowej.</w:t>
      </w:r>
    </w:p>
    <w:p w14:paraId="3395A7F3"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2.5. Przechowywanie i składowanie materiałów</w:t>
      </w:r>
    </w:p>
    <w:p w14:paraId="0F58E9BA"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zapewni, aby tymczasowo składowane materiały, do czasu gdy będą one użyte do robót, były zabezpieczone przed zanieczyszczeniami, zachowały swoją jakość i właściwości i były dostępne do kontroli przez Zamawiającego.</w:t>
      </w:r>
    </w:p>
    <w:p w14:paraId="610B2CE1"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Miejsca czasowego składowania materiałów będą zlokalizowane w obrębie terenu budowy w miejscach uzgodnionych z Zamawiającym lub poza terenem budowy w miejscach zorganizowanych przez Wykonawcę i zaakceptowanych przez Zamawiającego.</w:t>
      </w:r>
    </w:p>
    <w:p w14:paraId="04C5A94E"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2.6. Inspekcja wytwórni materiałów</w:t>
      </w:r>
    </w:p>
    <w:p w14:paraId="2DFCC89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Wytwórnie materiałów mogą być okresowo kontrolowane przez Zamawiającego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14:paraId="55A8059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 przypadku, gdy Zamawiający będzie przeprowadzał inspekcję wytwórni, muszą być spełnione następujące warunki:</w:t>
      </w:r>
    </w:p>
    <w:p w14:paraId="29EC8A84"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Arial"/>
          <w:sz w:val="20"/>
          <w:szCs w:val="20"/>
          <w:lang w:val="x-none" w:eastAsia="x-none"/>
        </w:rPr>
        <w:lastRenderedPageBreak/>
        <w:t>Zamawiający</w:t>
      </w:r>
      <w:r w:rsidRPr="003220D1">
        <w:rPr>
          <w:rFonts w:ascii="Arial Narrow" w:eastAsia="Times New Roman" w:hAnsi="Arial Narrow" w:cs="Arial"/>
          <w:sz w:val="20"/>
          <w:szCs w:val="20"/>
          <w:lang w:eastAsia="x-none"/>
        </w:rPr>
        <w:t xml:space="preserve"> </w:t>
      </w:r>
      <w:r w:rsidRPr="003220D1">
        <w:rPr>
          <w:rFonts w:ascii="Arial Narrow" w:eastAsia="Times New Roman" w:hAnsi="Arial Narrow" w:cs="Times New Roman"/>
          <w:sz w:val="20"/>
          <w:szCs w:val="20"/>
          <w:lang w:val="x-none" w:eastAsia="x-none"/>
        </w:rPr>
        <w:t>będzie miał zapewnioną współpracę i pomoc Wykonawcy oraz producenta materiałów w czasie przeprowadzania inspekcji,</w:t>
      </w:r>
    </w:p>
    <w:p w14:paraId="728AB70D"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Arial"/>
          <w:sz w:val="20"/>
          <w:szCs w:val="20"/>
          <w:lang w:val="x-none" w:eastAsia="x-none"/>
        </w:rPr>
        <w:t>Zamawiający</w:t>
      </w:r>
      <w:r w:rsidRPr="003220D1">
        <w:rPr>
          <w:rFonts w:ascii="Arial Narrow" w:eastAsia="Times New Roman" w:hAnsi="Arial Narrow" w:cs="Arial"/>
          <w:sz w:val="20"/>
          <w:szCs w:val="20"/>
          <w:lang w:eastAsia="x-none"/>
        </w:rPr>
        <w:t xml:space="preserve"> </w:t>
      </w:r>
      <w:r w:rsidRPr="003220D1">
        <w:rPr>
          <w:rFonts w:ascii="Arial Narrow" w:eastAsia="Times New Roman" w:hAnsi="Arial Narrow" w:cs="Times New Roman"/>
          <w:sz w:val="20"/>
          <w:szCs w:val="20"/>
          <w:lang w:val="x-none" w:eastAsia="x-none"/>
        </w:rPr>
        <w:t>będzie miał wolny dostęp, w dowolnym czasie, do tych części wytwórni, gdzie odbywa się produkcja materiałów przeznaczonych do realizacji robót,</w:t>
      </w:r>
    </w:p>
    <w:p w14:paraId="4E9D6A67"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Jeżeli produkcja odbywa się w miejscu nie należącym do Wykonawcy, Wykonawca uzyska dla </w:t>
      </w:r>
      <w:r w:rsidRPr="003220D1">
        <w:rPr>
          <w:rFonts w:ascii="Arial Narrow" w:eastAsia="Times New Roman" w:hAnsi="Arial Narrow" w:cs="Arial"/>
          <w:sz w:val="20"/>
          <w:szCs w:val="20"/>
          <w:lang w:val="x-none" w:eastAsia="x-none"/>
        </w:rPr>
        <w:t>Zamawiającego</w:t>
      </w:r>
      <w:r w:rsidRPr="003220D1">
        <w:rPr>
          <w:rFonts w:ascii="Arial Narrow" w:eastAsia="Times New Roman" w:hAnsi="Arial Narrow" w:cs="Times New Roman"/>
          <w:sz w:val="20"/>
          <w:szCs w:val="20"/>
          <w:lang w:val="x-none" w:eastAsia="x-none"/>
        </w:rPr>
        <w:t xml:space="preserve"> zezwolenie dla przeprowadzenia inspekcji i badań w tych miejscach.</w:t>
      </w:r>
    </w:p>
    <w:p w14:paraId="0807D4DA"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7" w:name="_Toc416830700"/>
      <w:bookmarkStart w:id="8" w:name="_Toc6881281"/>
      <w:bookmarkStart w:id="9" w:name="_Toc6882154"/>
      <w:r w:rsidRPr="003220D1">
        <w:rPr>
          <w:rFonts w:ascii="Arial Narrow" w:eastAsia="Times New Roman" w:hAnsi="Arial Narrow" w:cs="Times New Roman"/>
          <w:b/>
          <w:caps/>
          <w:kern w:val="28"/>
          <w:sz w:val="28"/>
          <w:szCs w:val="20"/>
          <w:lang w:val="x-none" w:eastAsia="x-none"/>
        </w:rPr>
        <w:t>3. sprzęt</w:t>
      </w:r>
      <w:bookmarkEnd w:id="7"/>
      <w:bookmarkEnd w:id="8"/>
      <w:bookmarkEnd w:id="9"/>
    </w:p>
    <w:p w14:paraId="2F7D6419"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PZJ lub projekcie organizacji robót, zaakceptowanym przez </w:t>
      </w:r>
      <w:r w:rsidRPr="003220D1">
        <w:rPr>
          <w:rFonts w:ascii="Arial Narrow" w:eastAsia="Times New Roman" w:hAnsi="Arial Narrow" w:cs="Arial"/>
          <w:sz w:val="20"/>
          <w:szCs w:val="20"/>
          <w:lang w:eastAsia="pl-PL"/>
        </w:rPr>
        <w:t>Zamawiającego</w:t>
      </w:r>
      <w:r w:rsidRPr="003220D1">
        <w:rPr>
          <w:rFonts w:ascii="Arial Narrow" w:eastAsia="Times New Roman" w:hAnsi="Arial Narrow" w:cs="Times New Roman"/>
          <w:sz w:val="20"/>
          <w:szCs w:val="20"/>
          <w:lang w:eastAsia="pl-PL"/>
        </w:rPr>
        <w:t xml:space="preserve">; w przypadku braku ustaleń w wymienionych wyżej dokumentach, sprzęt powinien być uzgodniony i zaakceptowany przez </w:t>
      </w:r>
      <w:r w:rsidRPr="003220D1">
        <w:rPr>
          <w:rFonts w:ascii="Arial Narrow" w:eastAsia="Times New Roman" w:hAnsi="Arial Narrow" w:cs="Arial"/>
          <w:sz w:val="20"/>
          <w:szCs w:val="20"/>
          <w:lang w:eastAsia="pl-PL"/>
        </w:rPr>
        <w:t>Zamawiającego</w:t>
      </w:r>
      <w:r w:rsidRPr="003220D1">
        <w:rPr>
          <w:rFonts w:ascii="Arial Narrow" w:eastAsia="Times New Roman" w:hAnsi="Arial Narrow" w:cs="Times New Roman"/>
          <w:sz w:val="20"/>
          <w:szCs w:val="20"/>
          <w:lang w:eastAsia="pl-PL"/>
        </w:rPr>
        <w:t>.</w:t>
      </w:r>
    </w:p>
    <w:p w14:paraId="7875CFB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Liczba i wydajność sprzętu powinny gwarantować przeprowadzenie robót, zgodnie z zasadami określonymi w dokumentacji projektowej, STWiORB i wskazaniach Zamawiającego.</w:t>
      </w:r>
    </w:p>
    <w:p w14:paraId="5AADDDD8"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Sprzęt będący własnością Wykonawcy lub wynajęty do wykonania robót ma być utrzymywany w dobrym stanie i gotowości do pracy. Powinien być zgodny z normami ochrony środowiska i przepisami dotyczącymi jego użytkowania.</w:t>
      </w:r>
    </w:p>
    <w:p w14:paraId="5B247CD0"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dostarczy Zamawiającemu kopie dokumentów potwierdzających dopuszczenie sprzętu do użytkowania i badań okresowych, tam gdzie jest to wymagane przepisami.</w:t>
      </w:r>
    </w:p>
    <w:p w14:paraId="21D50D2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będzie konserwować sprzęt jak również naprawiać lub wymieniać sprzęt niesprawny.</w:t>
      </w:r>
    </w:p>
    <w:p w14:paraId="0565957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Jeżeli dokumentacja projektowa lub STWiORB przewidują możliwość wariantowego użycia sprzętu przy wykonywanych robotach, Wykonawca powiadomi Zamawiającego o swoim zamiarze wyboru i uzyska jego akceptację przed użyciem sprzętu. Wybrany sprzęt, po akceptacji Zamawiającego, nie może być później zmieniany bez jego zgody.</w:t>
      </w:r>
    </w:p>
    <w:p w14:paraId="2523ADF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Jakikolwiek sprzęt, maszyny, urządzenia i narzędzia nie gwarantujące zachowania warunków umowy, zostaną przez </w:t>
      </w:r>
      <w:r w:rsidRPr="003220D1">
        <w:rPr>
          <w:rFonts w:ascii="Arial Narrow" w:eastAsia="Times New Roman" w:hAnsi="Arial Narrow" w:cs="Arial"/>
          <w:sz w:val="20"/>
          <w:szCs w:val="20"/>
          <w:lang w:eastAsia="pl-PL"/>
        </w:rPr>
        <w:t xml:space="preserve">Zamawiającego </w:t>
      </w:r>
      <w:r w:rsidRPr="003220D1">
        <w:rPr>
          <w:rFonts w:ascii="Arial Narrow" w:eastAsia="Times New Roman" w:hAnsi="Arial Narrow" w:cs="Times New Roman"/>
          <w:sz w:val="20"/>
          <w:szCs w:val="20"/>
          <w:lang w:eastAsia="pl-PL"/>
        </w:rPr>
        <w:t>zdyskwalifikowane i nie dopuszczone do robót.</w:t>
      </w:r>
    </w:p>
    <w:p w14:paraId="64D62F0D"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Arial"/>
          <w:b/>
          <w:caps/>
          <w:kern w:val="28"/>
          <w:sz w:val="28"/>
          <w:szCs w:val="20"/>
          <w:lang w:val="x-none" w:eastAsia="x-none"/>
        </w:rPr>
      </w:pPr>
      <w:bookmarkStart w:id="10" w:name="_Toc416830701"/>
      <w:bookmarkStart w:id="11" w:name="_Toc6881282"/>
      <w:bookmarkStart w:id="12" w:name="_Toc6882155"/>
      <w:r w:rsidRPr="003220D1">
        <w:rPr>
          <w:rFonts w:ascii="Arial Narrow" w:eastAsia="Times New Roman" w:hAnsi="Arial Narrow" w:cs="Arial"/>
          <w:b/>
          <w:caps/>
          <w:kern w:val="28"/>
          <w:sz w:val="28"/>
          <w:szCs w:val="20"/>
          <w:lang w:val="x-none" w:eastAsia="x-none"/>
        </w:rPr>
        <w:t>4. transport</w:t>
      </w:r>
      <w:bookmarkEnd w:id="10"/>
      <w:bookmarkEnd w:id="11"/>
      <w:bookmarkEnd w:id="12"/>
    </w:p>
    <w:p w14:paraId="07D800C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jest zobowiązany do stosowania jedynie takich środków transportu, które nie wpłyną niekorzystnie na jakość wykonywanych robót i właściwości przewożonych materiałów.</w:t>
      </w:r>
    </w:p>
    <w:p w14:paraId="04A1CFB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Liczba środków transportu powinna zapewniać prowadzenie robót zgodnie z zasadami określonymi w dokumentacji projektowej, STWiORB i wskazaniach Zamawiającego, w terminie przewidzianym umową.</w:t>
      </w:r>
    </w:p>
    <w:p w14:paraId="4EA9A280"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Przy ruchu na drogach publicznych pojazdy będą spełniać wymagania dotyczące przepisów ruchu drogowego w odniesieniu do dopuszczalnych nacisków na oś i innych parametrów technicznych. Środki transportu nie spełniające tych warunków mogą być dopuszczone przez Zamawiającego, pod warunkiem przywrócenia stanu pierwotnego użytkowanych odcinków dróg na koszt Wykonawcy.</w:t>
      </w:r>
    </w:p>
    <w:p w14:paraId="5CCBE33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Wykonawca będzie usuwać na bieżąco, na własny koszt, wszelkie zanieczyszczenia, uszkodzenia spowodowane jego pojazdami na drogach publicznych oraz dojazdach do terenu budowy.</w:t>
      </w:r>
    </w:p>
    <w:p w14:paraId="14D973BA"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Arial"/>
          <w:b/>
          <w:caps/>
          <w:kern w:val="28"/>
          <w:sz w:val="28"/>
          <w:szCs w:val="20"/>
          <w:lang w:val="x-none" w:eastAsia="x-none"/>
        </w:rPr>
      </w:pPr>
      <w:bookmarkStart w:id="13" w:name="_Toc416830702"/>
      <w:bookmarkStart w:id="14" w:name="_Toc6881283"/>
      <w:bookmarkStart w:id="15" w:name="_Toc6882156"/>
      <w:r w:rsidRPr="003220D1">
        <w:rPr>
          <w:rFonts w:ascii="Arial Narrow" w:eastAsia="Times New Roman" w:hAnsi="Arial Narrow" w:cs="Arial"/>
          <w:b/>
          <w:caps/>
          <w:kern w:val="28"/>
          <w:sz w:val="28"/>
          <w:szCs w:val="20"/>
          <w:lang w:val="x-none" w:eastAsia="x-none"/>
        </w:rPr>
        <w:t>5. wykonanie robót</w:t>
      </w:r>
      <w:bookmarkEnd w:id="13"/>
      <w:bookmarkEnd w:id="14"/>
      <w:bookmarkEnd w:id="15"/>
    </w:p>
    <w:p w14:paraId="753974D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jest odpowiedzialny za prowadzenie robót zgodnie z warunkami umowy oraz za jakość zastosowanych materiałów i wykonywanych robót, za ich zgodność z dokumentacją projektową, wymaganiami STWiORB, PZJ, opracowanym przez Wykonawcę oraz poleceniami Zamawiającego projektu.</w:t>
      </w:r>
    </w:p>
    <w:p w14:paraId="384561B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jest odpowiedzialny za stosowane metody wykonywania robót.</w:t>
      </w:r>
    </w:p>
    <w:p w14:paraId="58C3312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jest odpowiedzialny za dokładne wytyczenie w planie i wyznaczenie wysokości wszystkich elementów robót zgodnie z wymiarami i rzędnymi określonymi w dokumentacji projektowej lub przekazanymi na piśmie przez Zamawiającego.</w:t>
      </w:r>
    </w:p>
    <w:p w14:paraId="5341866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Błędy popełnione przez Wykonawcę w wytyczeniu i wyznaczaniu robót zostaną, usunięte przez Wykonawcę na własny koszt.</w:t>
      </w:r>
    </w:p>
    <w:p w14:paraId="13CED499"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Sprawdzenie wytyczenia robót lub wyznaczenia wysokości przez Zamawiającego nie zwalnia Wykonawcy od odpowiedzialności za ich dokładność.</w:t>
      </w:r>
    </w:p>
    <w:p w14:paraId="00BEB2A0"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Decyzje Zamawiającego dotyczące akceptacji lub odrzucenia materiałów i elementów robót będą oparte na wymaganiach określonych w dokumentach umowy, dokumentacji projektowej i w STWiORB, a także w normach i wytycznych. Przy podejmowaniu decyzji Zamawiający projektu uwzględni wyniki badań materiałów i robót, rozrzuty normalnie występujące przy produkcji i przy badaniach materiałów, doświadczenia z przeszłości, wyniki badań naukowych oraz inne czynniki wpływające na rozważaną kwestię.</w:t>
      </w:r>
    </w:p>
    <w:p w14:paraId="2ED74AB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Polecenia </w:t>
      </w:r>
      <w:r w:rsidRPr="003220D1">
        <w:rPr>
          <w:rFonts w:ascii="Arial Narrow" w:eastAsia="Times New Roman" w:hAnsi="Arial Narrow" w:cs="Arial"/>
          <w:sz w:val="20"/>
          <w:szCs w:val="20"/>
          <w:lang w:eastAsia="pl-PL"/>
        </w:rPr>
        <w:t xml:space="preserve">Zamawiającego </w:t>
      </w:r>
      <w:r w:rsidRPr="003220D1">
        <w:rPr>
          <w:rFonts w:ascii="Arial Narrow" w:eastAsia="Times New Roman" w:hAnsi="Arial Narrow" w:cs="Times New Roman"/>
          <w:sz w:val="20"/>
          <w:szCs w:val="20"/>
          <w:lang w:eastAsia="pl-PL"/>
        </w:rPr>
        <w:t xml:space="preserve">powinny być wykonywane przez Wykonawcę w czasie określonym przez </w:t>
      </w:r>
      <w:r w:rsidRPr="003220D1">
        <w:rPr>
          <w:rFonts w:ascii="Arial Narrow" w:eastAsia="Times New Roman" w:hAnsi="Arial Narrow" w:cs="Arial"/>
          <w:sz w:val="20"/>
          <w:szCs w:val="20"/>
          <w:lang w:eastAsia="pl-PL"/>
        </w:rPr>
        <w:t>Zamawiającego</w:t>
      </w:r>
      <w:r w:rsidRPr="003220D1">
        <w:rPr>
          <w:rFonts w:ascii="Arial Narrow" w:eastAsia="Times New Roman" w:hAnsi="Arial Narrow" w:cs="Times New Roman"/>
          <w:sz w:val="20"/>
          <w:szCs w:val="20"/>
          <w:lang w:eastAsia="pl-PL"/>
        </w:rPr>
        <w:t>, pod groźbą zatrzymania robót. Skutki finansowe z tego tytułu poniesie Wykonawca.</w:t>
      </w:r>
    </w:p>
    <w:p w14:paraId="145A16DE"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Arial"/>
          <w:b/>
          <w:caps/>
          <w:kern w:val="28"/>
          <w:sz w:val="28"/>
          <w:szCs w:val="20"/>
          <w:lang w:val="x-none" w:eastAsia="x-none"/>
        </w:rPr>
      </w:pPr>
      <w:bookmarkStart w:id="16" w:name="_Toc416830703"/>
      <w:bookmarkStart w:id="17" w:name="_Toc6881284"/>
      <w:bookmarkStart w:id="18" w:name="_Toc6882157"/>
      <w:r w:rsidRPr="003220D1">
        <w:rPr>
          <w:rFonts w:ascii="Arial Narrow" w:eastAsia="Times New Roman" w:hAnsi="Arial Narrow" w:cs="Arial"/>
          <w:b/>
          <w:caps/>
          <w:kern w:val="28"/>
          <w:sz w:val="28"/>
          <w:szCs w:val="20"/>
          <w:lang w:val="x-none" w:eastAsia="x-none"/>
        </w:rPr>
        <w:t>6. kontrola jakości robót</w:t>
      </w:r>
      <w:bookmarkEnd w:id="16"/>
      <w:bookmarkEnd w:id="17"/>
      <w:bookmarkEnd w:id="18"/>
    </w:p>
    <w:p w14:paraId="5F2BED18"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 xml:space="preserve">6.1. Program zapewnienia jakości </w:t>
      </w:r>
    </w:p>
    <w:p w14:paraId="33339AE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 xml:space="preserve">Wykonawca jest zobowiązany opracować i przedstawić do akceptacji Zamawiającemu projektu program zapewnienia jakości. W programie zapewnienia jakości Wykonawca powinien określić, zamierzony sposób wykonywania robót, możliwości techniczne, kadrowe i plan organizacji robót gwarantujący wykonanie robót zgodnie z dokumentacją projektową, STWiORB oraz ustaleniami. </w:t>
      </w:r>
    </w:p>
    <w:p w14:paraId="5DC99423"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Program zapewnienia jakości powinien zawierać:</w:t>
      </w:r>
    </w:p>
    <w:p w14:paraId="1944D9DC"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lastRenderedPageBreak/>
        <w:t>część ogólną opisującą:</w:t>
      </w:r>
    </w:p>
    <w:p w14:paraId="016689EB"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organizację wykonania robót, w tym terminy i sposób prowadzenia robót,</w:t>
      </w:r>
    </w:p>
    <w:p w14:paraId="55C5AA4D"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organizację ruchu na budowie wraz z oznakowaniem robót,</w:t>
      </w:r>
    </w:p>
    <w:p w14:paraId="1B233314"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sposób zapewnienia bhp.,</w:t>
      </w:r>
    </w:p>
    <w:p w14:paraId="306B42CF"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wykaz zespołów roboczych, ich kwalifikacje i przygotowanie praktyczne,</w:t>
      </w:r>
    </w:p>
    <w:p w14:paraId="1DEED00D"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wykaz osób odpowiedzialnych za jakość i terminowość wykonania poszczególnych elementów robót,</w:t>
      </w:r>
    </w:p>
    <w:p w14:paraId="6DB035D2"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system (sposób i procedurę) proponowanej kontroli i sterowania jakością wykonywanych robót,</w:t>
      </w:r>
    </w:p>
    <w:p w14:paraId="1C0DB4D9"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wyposażenie w sprzęt i urządzenia do pomiarów i kontroli (opis laboratorium własnego lub laboratorium, któremu Wykonawca zamierza zlecić prowadzenie badań),</w:t>
      </w:r>
    </w:p>
    <w:p w14:paraId="54DFB08A"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sposób oraz formę gromadzenia wyników badań laboratoryjnych, zapis pomiarów, nastaw mechanizmów sterujących, a także wyciąganych wniosków i zastosowanych korekt w procesie technologicznym, proponowany sposób i formę przekazywania tych informacji </w:t>
      </w:r>
      <w:r w:rsidRPr="003220D1">
        <w:rPr>
          <w:rFonts w:ascii="Arial Narrow" w:eastAsia="Times New Roman" w:hAnsi="Arial Narrow" w:cs="Arial"/>
          <w:sz w:val="20"/>
          <w:szCs w:val="20"/>
          <w:lang w:val="x-none" w:eastAsia="x-none"/>
        </w:rPr>
        <w:t>Zamawiającemu</w:t>
      </w:r>
      <w:r w:rsidRPr="003220D1">
        <w:rPr>
          <w:rFonts w:ascii="Arial Narrow" w:eastAsia="Times New Roman" w:hAnsi="Arial Narrow" w:cs="Times New Roman"/>
          <w:sz w:val="20"/>
          <w:szCs w:val="20"/>
          <w:lang w:val="x-none" w:eastAsia="x-none"/>
        </w:rPr>
        <w:t>;</w:t>
      </w:r>
    </w:p>
    <w:p w14:paraId="24847174"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część szczegółową opisującą dla każdego asortymentu robót:</w:t>
      </w:r>
    </w:p>
    <w:p w14:paraId="08014862"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wykaz maszyn i urządzeń stosowanych na budowie z ich parametrami technicznymi oraz wyposażeniem w mechanizmy do sterowania i urządzenia pomiarowo-kontrolne,</w:t>
      </w:r>
    </w:p>
    <w:p w14:paraId="344297E4"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rodzaje i ilość środków transportu oraz urządzeń do magazynowania i załadunku materiałów, spoiw, lepiszczy, kruszyw itp.,</w:t>
      </w:r>
    </w:p>
    <w:p w14:paraId="79C9D9D2"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sposób zabezpieczenia i ochrony ładunków przed utratą ich właściwości w czasie transportu,</w:t>
      </w:r>
    </w:p>
    <w:p w14:paraId="4FB63EE1"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sposób i procedurę pomiarów i badań (rodzaj i częstotliwość, pobieranie próbek, legalizacja i sprawdzanie urządzeń, itp.) prowadzonych podczas dostaw materiałów, wytwarzania mieszanek i wykonywania poszczególnych elementów robót,</w:t>
      </w:r>
    </w:p>
    <w:p w14:paraId="1D9725AB"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sposób postępowania z materiałami i robotami nie odpowiadającymi wymaganiom.</w:t>
      </w:r>
    </w:p>
    <w:p w14:paraId="4A8CC220"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6.2. Zasady kontroli jakości robót</w:t>
      </w:r>
    </w:p>
    <w:p w14:paraId="15001786"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Celem kontroli robót będzie takie sterowanie ich przygotowaniem i wykonaniem, aby osiągnąć założoną jakość robót.</w:t>
      </w:r>
    </w:p>
    <w:p w14:paraId="3F93379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14:paraId="0DC943E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będzie przeprowadzać pomiary i badania materiałów oraz robót z częstotliwością zapewniającą stwierdzenie, że roboty wykonano zgodnie z wymaganiami zawartymi w dokumentacji projektowej i STWiORB</w:t>
      </w:r>
    </w:p>
    <w:p w14:paraId="7D3E9B6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Minimalne wymagania co do zakresu badań i ich częstotliwość są określone w STWiORB, normach i wytycznych. W przypadku, gdy nie zostały one tam określone, Zamawiający ustali jaki zakres kontroli jest konieczny, aby zapewnić wykonanie robót zgodnie z umową.</w:t>
      </w:r>
    </w:p>
    <w:p w14:paraId="65DDB2BC" w14:textId="77777777" w:rsidR="003220D1" w:rsidRPr="003220D1" w:rsidRDefault="003220D1" w:rsidP="003220D1">
      <w:pPr>
        <w:overflowPunct w:val="0"/>
        <w:autoSpaceDE w:val="0"/>
        <w:autoSpaceDN w:val="0"/>
        <w:adjustRightInd w:val="0"/>
        <w:spacing w:after="0" w:line="240" w:lineRule="auto"/>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ab/>
        <w:t>Zamawiający będzie mieć nieograniczony dostęp do pomieszczeń laboratoryjnych, w celu ich inspekcji.</w:t>
      </w:r>
    </w:p>
    <w:p w14:paraId="051EC62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Zamawiający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Zamawiający natychmiast wstrzyma użycie do robót badanych materiałów i dopuści je do użycia dopiero wtedy, gdy niedociągnięcia w pracy laboratorium Wykonawcy zostaną usunięte i stwierdzona zostanie odpowiednia jakość tych materiałów.</w:t>
      </w:r>
    </w:p>
    <w:p w14:paraId="08A51A5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Wszystkie koszty związane z organizowaniem i prowadzeniem badań materiałów ponosi Wykonawca.</w:t>
      </w:r>
    </w:p>
    <w:p w14:paraId="40F14B36"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6.3. Pobieranie próbek</w:t>
      </w:r>
    </w:p>
    <w:p w14:paraId="03DF1FE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Próbki będą pobierane losowo. Zaleca się stosowanie statystycznych metod pobierania próbek, opartych na zasadzie, że wszystkie jednostkowe elementy produkcji mogą być z jednakowym prawdopodobieństwem wytypowane do badań.</w:t>
      </w:r>
    </w:p>
    <w:p w14:paraId="21D786C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Zamawiający będzie mieć zapewnioną możliwość udziału w pobieraniu próbek.</w:t>
      </w:r>
    </w:p>
    <w:p w14:paraId="64598FE6" w14:textId="77777777" w:rsidR="003220D1" w:rsidRPr="003220D1" w:rsidRDefault="003220D1" w:rsidP="003220D1">
      <w:pPr>
        <w:overflowPunct w:val="0"/>
        <w:autoSpaceDE w:val="0"/>
        <w:autoSpaceDN w:val="0"/>
        <w:adjustRightInd w:val="0"/>
        <w:spacing w:after="0" w:line="240" w:lineRule="auto"/>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ab/>
        <w:t>Na zlecenie Zamawiającego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14:paraId="5AF25913"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6.4. Badania i pomiary</w:t>
      </w:r>
    </w:p>
    <w:p w14:paraId="1E5004A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Wszystkie badania i pomiary będą przeprowadzone zgodnie z wymaganiami norm. W przypadku, gdy normy nie obejmują jakiegokolwiek badania wymaganego w STWiORB, stosować można wytyczne krajowe, albo inne procedury, zaakceptowane przez Zamawiającego.</w:t>
      </w:r>
    </w:p>
    <w:p w14:paraId="7ECFFAF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Przed przystąpieniem do pomiarów lub badań, Wykonawca powiadomi Zamawiającego o rodzaju, miejscu i terminie pomiaru lub badania. Po wykonaniu pomiaru lub badania, Wykonawca przedstawi na piśmie ich wyniki do akceptacji Zamawiającego.</w:t>
      </w:r>
    </w:p>
    <w:p w14:paraId="0BDCF18A"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6.5. Raporty z badań</w:t>
      </w:r>
    </w:p>
    <w:p w14:paraId="362AFA00"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będzie przekazywać Zamawiającemu kopie raportów z wynikami badań jak najszybciej, nie później jednak niż w terminie określonym w programie zapewnienia jakości.</w:t>
      </w:r>
    </w:p>
    <w:p w14:paraId="29C594B0"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Wyniki badań (kopie) będą przekazywane Zamawiającemu na formularzach według dostarczonego przez niego wzoru lub innych, przez niego zaaprobowanych.</w:t>
      </w:r>
    </w:p>
    <w:p w14:paraId="1BE5F0BE"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eastAsia="x-none"/>
        </w:rPr>
      </w:pPr>
      <w:r w:rsidRPr="003220D1">
        <w:rPr>
          <w:rFonts w:ascii="Arial Narrow" w:eastAsia="Times New Roman" w:hAnsi="Arial Narrow" w:cs="Arial"/>
          <w:b/>
          <w:sz w:val="28"/>
          <w:szCs w:val="20"/>
          <w:lang w:val="x-none" w:eastAsia="x-none"/>
        </w:rPr>
        <w:lastRenderedPageBreak/>
        <w:t xml:space="preserve">6.6. Badania prowadzone przez </w:t>
      </w:r>
      <w:r w:rsidRPr="003220D1">
        <w:rPr>
          <w:rFonts w:ascii="Arial Narrow" w:eastAsia="Times New Roman" w:hAnsi="Arial Narrow" w:cs="Arial"/>
          <w:b/>
          <w:sz w:val="28"/>
          <w:szCs w:val="20"/>
          <w:lang w:eastAsia="x-none"/>
        </w:rPr>
        <w:t>Zamawiającego</w:t>
      </w:r>
    </w:p>
    <w:p w14:paraId="5F51637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Zamawiający jest uprawniony do dokonywania kontroli, pobierania próbek i badania materiałów w miejscu ich wytwarzania/pozyskiwania, a Wykonawca i producent materiałów powinien udzielić mu niezbędnej pomocy.</w:t>
      </w:r>
    </w:p>
    <w:p w14:paraId="5061C025"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u w:val="single"/>
          <w:lang w:eastAsia="pl-PL"/>
        </w:rPr>
      </w:pPr>
      <w:r w:rsidRPr="003220D1">
        <w:rPr>
          <w:rFonts w:ascii="Arial Narrow" w:eastAsia="Times New Roman" w:hAnsi="Arial Narrow" w:cs="Arial"/>
          <w:sz w:val="20"/>
          <w:szCs w:val="20"/>
          <w:lang w:eastAsia="pl-PL"/>
        </w:rPr>
        <w:t>Zamawiający, dokonując weryfikacji systemu kontroli robót prowadzonego przez Wykonawcę, poprzez między innymi swoje badania, będzie oceniać zgodność materiałów i robót z wymaganiami STWiORB na podstawie wyników własnych badań kontrolnych jak i wyników badań dostarczonych przez Wykonawcę.</w:t>
      </w:r>
    </w:p>
    <w:p w14:paraId="5115253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Zamawiający może pobierać próbki materiałów i prowadzić badania niezależnie od Wykonawcy, na swój koszt. Jeżeli wyniki tych badań wykażą, że raporty Wykonawcy są niewiarygodne, to Zamawiający oprze się wyłącznie na własnych badaniach przy ocenie zgodności materiałów i robót z dokumentacją projektową i STWiORB. Może również zlecić, sam lub poprzez Wykonawcę, przeprowadzenie powtórnych lub dodatkowych badań niezależnemu laboratorium. W takim przypadku całkowite koszty powtórnych lub dodatkowych badań i pobierania próbek poniesione zostaną przez Wykonawcę.</w:t>
      </w:r>
    </w:p>
    <w:p w14:paraId="33412CF5"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6.7. Certyfikaty i deklaracje</w:t>
      </w:r>
    </w:p>
    <w:p w14:paraId="66669083"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Zamawiający może dopuścić do użycia tylko te materiały, które posiadają:</w:t>
      </w:r>
    </w:p>
    <w:p w14:paraId="07C2E5CF" w14:textId="77777777" w:rsidR="003220D1" w:rsidRPr="003220D1" w:rsidRDefault="003220D1" w:rsidP="003220D1">
      <w:pPr>
        <w:overflowPunct w:val="0"/>
        <w:autoSpaceDE w:val="0"/>
        <w:autoSpaceDN w:val="0"/>
        <w:adjustRightInd w:val="0"/>
        <w:spacing w:after="0" w:line="240" w:lineRule="auto"/>
        <w:ind w:left="1004" w:hanging="360"/>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certyfikat na znak bezpieczeństwa wykazujący, że zapewniono zgodność z kryteriami technicznymi określonymi na podstawie Polskich Norm, aprobat technicznych oraz właściwych przepisów i dokumentów technicznych,</w:t>
      </w:r>
    </w:p>
    <w:p w14:paraId="5AF6DF1C" w14:textId="77777777" w:rsidR="003220D1" w:rsidRPr="003220D1" w:rsidRDefault="003220D1" w:rsidP="003220D1">
      <w:pPr>
        <w:overflowPunct w:val="0"/>
        <w:autoSpaceDE w:val="0"/>
        <w:autoSpaceDN w:val="0"/>
        <w:adjustRightInd w:val="0"/>
        <w:spacing w:after="0" w:line="240" w:lineRule="auto"/>
        <w:ind w:left="1004" w:hanging="360"/>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deklarację zgodności / deklarację właściwości użytkowych lub certyfikat zgodności z:</w:t>
      </w:r>
    </w:p>
    <w:p w14:paraId="4BDA15C1"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Polską Normą lub</w:t>
      </w:r>
    </w:p>
    <w:p w14:paraId="08816C20"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aprobatą techniczną, w przypadku wyrobów, dla których nie ustanowiono Polskiej Normy, jeżeli nie są objęte certyfikacją określoną w pkt 1</w:t>
      </w:r>
    </w:p>
    <w:p w14:paraId="681DC763" w14:textId="77777777" w:rsidR="003220D1" w:rsidRPr="003220D1" w:rsidRDefault="003220D1" w:rsidP="003220D1">
      <w:pPr>
        <w:numPr>
          <w:ilvl w:val="12"/>
          <w:numId w:val="0"/>
        </w:numPr>
        <w:overflowPunct w:val="0"/>
        <w:autoSpaceDE w:val="0"/>
        <w:autoSpaceDN w:val="0"/>
        <w:adjustRightInd w:val="0"/>
        <w:spacing w:after="0" w:line="240" w:lineRule="auto"/>
        <w:ind w:left="284"/>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i które spełniają wymogi STWiORB.</w:t>
      </w:r>
    </w:p>
    <w:p w14:paraId="597710E8" w14:textId="77777777" w:rsidR="003220D1" w:rsidRPr="003220D1" w:rsidRDefault="003220D1" w:rsidP="003220D1">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ab/>
        <w:t>W przypadku materiałów, dla których ww. dokumenty są wymagane przez STWiORB, każda partia dostarczona do robót będzie posiadać te dokumenty, określające w sposób jednoznaczny jej cechy.</w:t>
      </w:r>
    </w:p>
    <w:p w14:paraId="47D07C5B" w14:textId="77777777" w:rsidR="003220D1" w:rsidRPr="003220D1" w:rsidRDefault="003220D1" w:rsidP="003220D1">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ab/>
        <w:t>Produkty przemysłowe muszą posiadać ww. dokumenty wydane przez producenta, a w razie potrzeby poparte wynikami badań wykonanych przez niego. Kopie wyników tych badań będą dostarczone przez Wykonawcę Zamawiającemu.</w:t>
      </w:r>
    </w:p>
    <w:p w14:paraId="243F945D" w14:textId="77777777" w:rsidR="003220D1" w:rsidRPr="003220D1" w:rsidRDefault="003220D1" w:rsidP="003220D1">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ab/>
        <w:t>Jakiekolwiek materiały, które nie spełniają tych wymagań będą odrzucone.</w:t>
      </w:r>
    </w:p>
    <w:p w14:paraId="362B7D71" w14:textId="77777777" w:rsidR="003220D1" w:rsidRPr="003220D1" w:rsidRDefault="003220D1" w:rsidP="003220D1">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6.8. Dokumenty budowy</w:t>
      </w:r>
    </w:p>
    <w:p w14:paraId="3D7820BB"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eastAsia="x-none"/>
        </w:rPr>
        <w:t xml:space="preserve">6.8.1 </w:t>
      </w:r>
      <w:r w:rsidRPr="003220D1">
        <w:rPr>
          <w:rFonts w:ascii="Arial Narrow" w:eastAsia="Times New Roman" w:hAnsi="Arial Narrow" w:cs="Times New Roman"/>
          <w:b/>
          <w:sz w:val="24"/>
          <w:szCs w:val="20"/>
          <w:lang w:val="x-none" w:eastAsia="x-none"/>
        </w:rPr>
        <w:t>Dziennik budowy</w:t>
      </w:r>
    </w:p>
    <w:p w14:paraId="448C871E" w14:textId="77777777" w:rsidR="003220D1" w:rsidRPr="003220D1" w:rsidRDefault="003220D1" w:rsidP="003220D1">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ab/>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14:paraId="5E2853ED" w14:textId="77777777" w:rsidR="003220D1" w:rsidRPr="003220D1" w:rsidRDefault="003220D1" w:rsidP="003220D1">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ab/>
        <w:t>Zapisy w dzienniku budowy będą dokonywane na bieżąco i będą dotyczyć przebiegu robót, stanu bezpieczeństwa ludzi i mienia oraz technicznej i gospodarczej strony budowy.</w:t>
      </w:r>
    </w:p>
    <w:p w14:paraId="4C28969F" w14:textId="77777777" w:rsidR="003220D1" w:rsidRPr="003220D1" w:rsidRDefault="003220D1" w:rsidP="003220D1">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ab/>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14:paraId="4C271E57" w14:textId="77777777" w:rsidR="003220D1" w:rsidRPr="003220D1" w:rsidRDefault="003220D1" w:rsidP="003220D1">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ab/>
        <w:t>Załączone do dziennika budowy protokoły i inne dokumenty będą oznaczone kolejnym numerem załącznika i opatrzone datą i podpisem Wykonawcy i Zamawiającego.</w:t>
      </w:r>
    </w:p>
    <w:p w14:paraId="13C3BB83" w14:textId="77777777" w:rsidR="003220D1" w:rsidRPr="003220D1" w:rsidRDefault="003220D1" w:rsidP="003220D1">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ab/>
        <w:t>Do dziennika budowy należy wpisywać w szczególności:</w:t>
      </w:r>
    </w:p>
    <w:p w14:paraId="56FD4424"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datę przekazania Wykonawcy terenu budowy,</w:t>
      </w:r>
    </w:p>
    <w:p w14:paraId="4D2BF1B8"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datę przekazania przez Zamawiającego dokumentacji projektowej,</w:t>
      </w:r>
    </w:p>
    <w:p w14:paraId="29E4F51D"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datę uzgodnienia przez Zamawiającego programu zapewnienia jakości i harmonogramów robót,</w:t>
      </w:r>
    </w:p>
    <w:p w14:paraId="4F9C2822"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terminy rozpoczęcia i zakończenia poszczególnych elementów robót,</w:t>
      </w:r>
    </w:p>
    <w:p w14:paraId="34BC8EF2"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przebieg robót, trudności i przeszkody w ich prowadzeniu, okresy i przyczyny przerw w robotach,</w:t>
      </w:r>
    </w:p>
    <w:p w14:paraId="40C4B7A6"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uwagi i polecenia </w:t>
      </w:r>
      <w:r w:rsidRPr="003220D1">
        <w:rPr>
          <w:rFonts w:ascii="Arial Narrow" w:eastAsia="Times New Roman" w:hAnsi="Arial Narrow" w:cs="Arial"/>
          <w:sz w:val="20"/>
          <w:szCs w:val="20"/>
          <w:lang w:val="x-none" w:eastAsia="x-none"/>
        </w:rPr>
        <w:t>Zamawiającego</w:t>
      </w:r>
      <w:r w:rsidRPr="003220D1">
        <w:rPr>
          <w:rFonts w:ascii="Arial Narrow" w:eastAsia="Times New Roman" w:hAnsi="Arial Narrow" w:cs="Times New Roman"/>
          <w:sz w:val="20"/>
          <w:szCs w:val="20"/>
          <w:lang w:val="x-none" w:eastAsia="x-none"/>
        </w:rPr>
        <w:t>,</w:t>
      </w:r>
    </w:p>
    <w:p w14:paraId="55C63E0F"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daty zarządzenia wstrzymania robót, z podaniem powodu,</w:t>
      </w:r>
    </w:p>
    <w:p w14:paraId="3147AEBA"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zgłoszenia i daty odbiorów robót zanikających i ulegających zakryciu, częściowych i ostatecznych odbiorów robót,</w:t>
      </w:r>
    </w:p>
    <w:p w14:paraId="2606D0EA"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wyjaśnienia, uwagi i propozycje Wykonawcy,</w:t>
      </w:r>
    </w:p>
    <w:p w14:paraId="6E897573"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stan pogody i temperaturę powietrza w okresie wykonywania robót podlegających ograniczeniom lub wymaganiom szczególnym w związku z warunkami klimatycznymi,</w:t>
      </w:r>
    </w:p>
    <w:p w14:paraId="2A6BB1D1"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zgodność rzeczywistych warunków geotechnicznych z ich opisem w dokumentacji projektowej,</w:t>
      </w:r>
    </w:p>
    <w:p w14:paraId="00916E47"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dane dotyczące czynności geodezyjnych (pomiarowych) dokonywanych przed i w trakcie wykonywania robót,</w:t>
      </w:r>
    </w:p>
    <w:p w14:paraId="66405AFB"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dane dotyczące sposobu wykonywania zabezpieczenia robót,</w:t>
      </w:r>
    </w:p>
    <w:p w14:paraId="4DEF2A12"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dane dotyczące jakości materiałów, pobierania próbek oraz wyniki przeprowadzonych badań z podaniem, kto je przeprowadzał,</w:t>
      </w:r>
    </w:p>
    <w:p w14:paraId="6B2DE681"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wyniki prób poszczególnych elementów budowli z podaniem, kto je przeprowadzał,</w:t>
      </w:r>
    </w:p>
    <w:p w14:paraId="5AF0C744"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inne istotne informacje o przebiegu robót.</w:t>
      </w:r>
    </w:p>
    <w:p w14:paraId="621964D3"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Propozycje, uwagi i wyjaśnienia Wykonawcy, wpisane do dziennika budowy będą przedłożone Zamawiającemu do ustosunkowania się.</w:t>
      </w:r>
    </w:p>
    <w:p w14:paraId="033DECCA"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Decyzje Zamawiającego wpisane do dziennika budowy Wykonawca podpisuje z zaznaczeniem ich przyjęcia lub zajęciem stanowiska.</w:t>
      </w:r>
    </w:p>
    <w:p w14:paraId="79B1B7B4" w14:textId="77777777" w:rsidR="003220D1" w:rsidRPr="003220D1" w:rsidRDefault="003220D1" w:rsidP="003220D1">
      <w:pPr>
        <w:overflowPunct w:val="0"/>
        <w:autoSpaceDE w:val="0"/>
        <w:autoSpaceDN w:val="0"/>
        <w:adjustRightInd w:val="0"/>
        <w:spacing w:after="12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lastRenderedPageBreak/>
        <w:t>Wpis projektanta do dziennika budowy obliguje Zamawiającego do ustosunkowania się. Projektant nie jest jednak stroną umowy i nie ma uprawnień do wydawania poleceń Wykonawcy robót.</w:t>
      </w:r>
    </w:p>
    <w:p w14:paraId="31E168AF"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Arial"/>
          <w:b/>
          <w:sz w:val="24"/>
          <w:szCs w:val="20"/>
          <w:lang w:eastAsia="x-none"/>
        </w:rPr>
        <w:t>6.8.2</w:t>
      </w:r>
      <w:r w:rsidRPr="003220D1">
        <w:rPr>
          <w:rFonts w:ascii="Arial Narrow" w:eastAsia="Times New Roman" w:hAnsi="Arial Narrow" w:cs="Times New Roman"/>
          <w:b/>
          <w:sz w:val="24"/>
          <w:szCs w:val="20"/>
          <w:lang w:val="x-none" w:eastAsia="x-none"/>
        </w:rPr>
        <w:t xml:space="preserve"> Dokumenty laboratoryjne</w:t>
      </w:r>
    </w:p>
    <w:p w14:paraId="2F79C888" w14:textId="77777777" w:rsidR="003220D1" w:rsidRPr="003220D1" w:rsidRDefault="003220D1" w:rsidP="003220D1">
      <w:pPr>
        <w:overflowPunct w:val="0"/>
        <w:autoSpaceDE w:val="0"/>
        <w:autoSpaceDN w:val="0"/>
        <w:adjustRightInd w:val="0"/>
        <w:spacing w:after="12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Zamawiającego.</w:t>
      </w:r>
    </w:p>
    <w:p w14:paraId="6E0EE3C4"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eastAsia="x-none"/>
        </w:rPr>
        <w:t xml:space="preserve">6.8.3 </w:t>
      </w:r>
      <w:r w:rsidRPr="003220D1">
        <w:rPr>
          <w:rFonts w:ascii="Arial Narrow" w:eastAsia="Times New Roman" w:hAnsi="Arial Narrow" w:cs="Times New Roman"/>
          <w:b/>
          <w:sz w:val="24"/>
          <w:szCs w:val="20"/>
          <w:lang w:val="x-none" w:eastAsia="x-none"/>
        </w:rPr>
        <w:t>Pozostałe dokumenty budowy</w:t>
      </w:r>
    </w:p>
    <w:p w14:paraId="4C44D8A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Do dokumentów budowy zalicza się, oprócz wymienionych w punktach (1) - (3) następujące dokumenty:</w:t>
      </w:r>
    </w:p>
    <w:p w14:paraId="083861A7" w14:textId="77777777" w:rsidR="003220D1" w:rsidRPr="003220D1" w:rsidRDefault="003220D1" w:rsidP="003220D1">
      <w:pPr>
        <w:numPr>
          <w:ilvl w:val="0"/>
          <w:numId w:val="6"/>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Decyzję o zezwoleniu na realizację inwestycji drogowej </w:t>
      </w:r>
      <w:r w:rsidRPr="003220D1">
        <w:rPr>
          <w:rFonts w:ascii="Arial Narrow" w:eastAsia="Times New Roman" w:hAnsi="Arial Narrow" w:cs="Times New Roman"/>
          <w:sz w:val="20"/>
          <w:szCs w:val="20"/>
          <w:lang w:eastAsia="x-none"/>
        </w:rPr>
        <w:t>/</w:t>
      </w:r>
      <w:r w:rsidRPr="003220D1">
        <w:rPr>
          <w:rFonts w:ascii="Arial Narrow" w:eastAsia="Times New Roman" w:hAnsi="Arial Narrow" w:cs="Times New Roman"/>
          <w:sz w:val="20"/>
          <w:szCs w:val="20"/>
          <w:lang w:val="x-none" w:eastAsia="x-none"/>
        </w:rPr>
        <w:t xml:space="preserve"> pozwolenie na budowę</w:t>
      </w:r>
      <w:r w:rsidRPr="003220D1">
        <w:rPr>
          <w:rFonts w:ascii="Arial Narrow" w:eastAsia="Times New Roman" w:hAnsi="Arial Narrow" w:cs="Times New Roman"/>
          <w:sz w:val="20"/>
          <w:szCs w:val="20"/>
          <w:lang w:eastAsia="x-none"/>
        </w:rPr>
        <w:t xml:space="preserve"> / zgłoszenie robót nie wymagających pozwolenia na budowę</w:t>
      </w:r>
      <w:r w:rsidRPr="003220D1">
        <w:rPr>
          <w:rFonts w:ascii="Arial Narrow" w:eastAsia="Times New Roman" w:hAnsi="Arial Narrow" w:cs="Times New Roman"/>
          <w:sz w:val="20"/>
          <w:szCs w:val="20"/>
          <w:lang w:val="x-none" w:eastAsia="x-none"/>
        </w:rPr>
        <w:t>,</w:t>
      </w:r>
    </w:p>
    <w:p w14:paraId="7606F51E" w14:textId="77777777" w:rsidR="003220D1" w:rsidRPr="003220D1" w:rsidRDefault="003220D1" w:rsidP="003220D1">
      <w:pPr>
        <w:overflowPunct w:val="0"/>
        <w:autoSpaceDE w:val="0"/>
        <w:autoSpaceDN w:val="0"/>
        <w:adjustRightInd w:val="0"/>
        <w:spacing w:after="0" w:line="240" w:lineRule="auto"/>
        <w:ind w:left="1004" w:hanging="360"/>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protokół przekazania terenu budowy,</w:t>
      </w:r>
    </w:p>
    <w:p w14:paraId="03F67B9C" w14:textId="77777777" w:rsidR="003220D1" w:rsidRPr="003220D1" w:rsidRDefault="003220D1" w:rsidP="003220D1">
      <w:pPr>
        <w:overflowPunct w:val="0"/>
        <w:autoSpaceDE w:val="0"/>
        <w:autoSpaceDN w:val="0"/>
        <w:adjustRightInd w:val="0"/>
        <w:spacing w:after="0" w:line="240" w:lineRule="auto"/>
        <w:ind w:left="1004" w:hanging="360"/>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umowy cywilno-prawne z osobami trzecimi i inne umowy cywilno-prawne,</w:t>
      </w:r>
    </w:p>
    <w:p w14:paraId="21F0BEF4" w14:textId="77777777" w:rsidR="003220D1" w:rsidRPr="003220D1" w:rsidRDefault="003220D1" w:rsidP="003220D1">
      <w:pPr>
        <w:overflowPunct w:val="0"/>
        <w:autoSpaceDE w:val="0"/>
        <w:autoSpaceDN w:val="0"/>
        <w:adjustRightInd w:val="0"/>
        <w:spacing w:after="0" w:line="240" w:lineRule="auto"/>
        <w:ind w:left="1004" w:hanging="360"/>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protokoły odbioru robót,</w:t>
      </w:r>
    </w:p>
    <w:p w14:paraId="2BDA61B8" w14:textId="77777777" w:rsidR="003220D1" w:rsidRPr="003220D1" w:rsidRDefault="003220D1" w:rsidP="003220D1">
      <w:pPr>
        <w:overflowPunct w:val="0"/>
        <w:autoSpaceDE w:val="0"/>
        <w:autoSpaceDN w:val="0"/>
        <w:adjustRightInd w:val="0"/>
        <w:spacing w:after="0" w:line="240" w:lineRule="auto"/>
        <w:ind w:left="1004" w:hanging="360"/>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protokoły z narad i ustaleń,</w:t>
      </w:r>
    </w:p>
    <w:p w14:paraId="73E3A9D4" w14:textId="77777777" w:rsidR="003220D1" w:rsidRPr="003220D1" w:rsidRDefault="003220D1" w:rsidP="003220D1">
      <w:pPr>
        <w:overflowPunct w:val="0"/>
        <w:autoSpaceDE w:val="0"/>
        <w:autoSpaceDN w:val="0"/>
        <w:adjustRightInd w:val="0"/>
        <w:spacing w:after="0" w:line="240" w:lineRule="auto"/>
        <w:ind w:left="1004" w:hanging="360"/>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korespondencję na budowie.</w:t>
      </w:r>
    </w:p>
    <w:p w14:paraId="7FF72FFC"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eastAsia="x-none"/>
        </w:rPr>
        <w:t>6.8.4</w:t>
      </w:r>
      <w:r w:rsidRPr="003220D1">
        <w:rPr>
          <w:rFonts w:ascii="Arial Narrow" w:eastAsia="Times New Roman" w:hAnsi="Arial Narrow" w:cs="Times New Roman"/>
          <w:b/>
          <w:sz w:val="24"/>
          <w:szCs w:val="20"/>
          <w:lang w:val="x-none" w:eastAsia="x-none"/>
        </w:rPr>
        <w:t xml:space="preserve"> Przechowywanie dokumentów budowy</w:t>
      </w:r>
    </w:p>
    <w:p w14:paraId="48F8CE0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Dokumenty budowy będą przechowywane na terenie budowy w miejscu odpowiednio zabezpieczonym.</w:t>
      </w:r>
    </w:p>
    <w:p w14:paraId="0C05E481"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Zaginięcie któregokolwiek z dokumentów budowy spowoduje jego natychmiastowe odtworzenie w formie przewidzianej prawem.</w:t>
      </w:r>
    </w:p>
    <w:p w14:paraId="591BCE2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Wszelkie dokumenty budowy będą zawsze dostępne dla </w:t>
      </w:r>
      <w:r w:rsidRPr="003220D1">
        <w:rPr>
          <w:rFonts w:ascii="Arial Narrow" w:eastAsia="Times New Roman" w:hAnsi="Arial Narrow" w:cs="Arial"/>
          <w:sz w:val="20"/>
          <w:szCs w:val="20"/>
          <w:lang w:eastAsia="pl-PL"/>
        </w:rPr>
        <w:t xml:space="preserve">Zamawiającego </w:t>
      </w:r>
      <w:r w:rsidRPr="003220D1">
        <w:rPr>
          <w:rFonts w:ascii="Arial Narrow" w:eastAsia="Times New Roman" w:hAnsi="Arial Narrow" w:cs="Times New Roman"/>
          <w:sz w:val="20"/>
          <w:szCs w:val="20"/>
          <w:lang w:eastAsia="pl-PL"/>
        </w:rPr>
        <w:t>i przedstawiane do wglądu na życzenie Zamawiającego.</w:t>
      </w:r>
    </w:p>
    <w:p w14:paraId="1AC17FB9"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19" w:name="_Toc416830704"/>
      <w:bookmarkStart w:id="20" w:name="_Toc6881285"/>
      <w:bookmarkStart w:id="21" w:name="_Toc6882158"/>
      <w:r w:rsidRPr="003220D1">
        <w:rPr>
          <w:rFonts w:ascii="Arial Narrow" w:eastAsia="Times New Roman" w:hAnsi="Arial Narrow" w:cs="Times New Roman"/>
          <w:b/>
          <w:caps/>
          <w:kern w:val="28"/>
          <w:sz w:val="28"/>
          <w:szCs w:val="20"/>
          <w:lang w:val="x-none" w:eastAsia="x-none"/>
        </w:rPr>
        <w:t>7. obmiar robót</w:t>
      </w:r>
      <w:bookmarkEnd w:id="19"/>
      <w:bookmarkEnd w:id="20"/>
      <w:bookmarkEnd w:id="21"/>
    </w:p>
    <w:p w14:paraId="0C4D9ADA"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7.1. Ogólne zasady obmiaru robót</w:t>
      </w:r>
    </w:p>
    <w:p w14:paraId="183A4AF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Obmiar robót będzie określać faktyczny zakres wykonywanych robót zgodnie z dokumentacją projektową i STWiORB, w jednostkach ustalonych w kosztorysie.</w:t>
      </w:r>
    </w:p>
    <w:p w14:paraId="0F5B31F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Jakikolwiek błąd lub przeoczenie (opuszczenie) w ilościach podanych w ślepym kosztorysie lub gdzie indziej w STWiORB nie zwalnia Wykonawcy od obowiązku ukończenia wszystkich robót.</w:t>
      </w:r>
    </w:p>
    <w:p w14:paraId="3899703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Obmiar gotowych robót będzie przeprowadzony z częstością wymaganą do celu miesięcznej płatności na rzecz Wykonawcy lub w innym czasie określonym w umowie lub oczekiwanym przez Wykonawcę i Zamawiającego.</w:t>
      </w:r>
    </w:p>
    <w:p w14:paraId="71735F8C"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7.2. Zasady określania ilości robót i materiałów</w:t>
      </w:r>
    </w:p>
    <w:p w14:paraId="72256F13"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Długości i odległości pomiędzy wyszczególnionymi punktami skrajnymi będą obmierzone poziomo wzdłuż linii osiowej.</w:t>
      </w:r>
    </w:p>
    <w:p w14:paraId="2123176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Jeśli STWiORB właściwe dla danych robót nie wymagają tego inaczej, objętości będą wyliczone w m</w:t>
      </w:r>
      <w:r w:rsidRPr="003220D1">
        <w:rPr>
          <w:rFonts w:ascii="Arial Narrow" w:eastAsia="Times New Roman" w:hAnsi="Arial Narrow" w:cs="Arial"/>
          <w:sz w:val="20"/>
          <w:szCs w:val="20"/>
          <w:vertAlign w:val="superscript"/>
          <w:lang w:eastAsia="pl-PL"/>
        </w:rPr>
        <w:t>3</w:t>
      </w:r>
      <w:r w:rsidRPr="003220D1">
        <w:rPr>
          <w:rFonts w:ascii="Arial Narrow" w:eastAsia="Times New Roman" w:hAnsi="Arial Narrow" w:cs="Arial"/>
          <w:sz w:val="20"/>
          <w:szCs w:val="20"/>
          <w:lang w:eastAsia="pl-PL"/>
        </w:rPr>
        <w:t xml:space="preserve"> jako długość pomnożona przez średni przekrój.</w:t>
      </w:r>
    </w:p>
    <w:p w14:paraId="5A467D3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Ilości, które mają być obmierzone wagowo, będą ważone w tonach lub kilogramach zgodnie z wymaganiami STWiORB.</w:t>
      </w:r>
    </w:p>
    <w:p w14:paraId="5D3FD31F"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3220D1">
        <w:rPr>
          <w:rFonts w:ascii="Arial Narrow" w:eastAsia="Times New Roman" w:hAnsi="Arial Narrow" w:cs="Times New Roman"/>
          <w:b/>
          <w:sz w:val="28"/>
          <w:szCs w:val="20"/>
          <w:lang w:val="x-none" w:eastAsia="x-none"/>
        </w:rPr>
        <w:t>7.3. Urządzenia i sprzęt pomiarowy</w:t>
      </w:r>
    </w:p>
    <w:p w14:paraId="7493220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Wszystkie urządzenia i sprzęt pomiarowy, stosowany w czasie obmiaru robót będą zaakceptowane przez Zamawiającego.</w:t>
      </w:r>
    </w:p>
    <w:p w14:paraId="4B8E4C1A"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Urządzenia i sprzęt pomiarowy zostaną dostarczone przez Wykonawcę. Jeżeli urządzenia te lub sprzęt wymagają badań atestujących to Wykonawca będzie posiadać ważne świadectwa legalizacji.</w:t>
      </w:r>
    </w:p>
    <w:p w14:paraId="2D0A533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Wszystkie urządzenia pomiarowe będą przez Wykonawcę utrzymywane w dobrym stanie, w całym okresie trwania robót.</w:t>
      </w:r>
    </w:p>
    <w:p w14:paraId="00265F2A"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 xml:space="preserve"> </w:t>
      </w:r>
    </w:p>
    <w:p w14:paraId="5B1D71FF" w14:textId="77777777" w:rsidR="003220D1" w:rsidRPr="003220D1" w:rsidRDefault="003220D1" w:rsidP="003220D1">
      <w:pPr>
        <w:keepNext/>
        <w:shd w:val="clear" w:color="auto" w:fill="BFBFBF"/>
        <w:overflowPunct w:val="0"/>
        <w:autoSpaceDE w:val="0"/>
        <w:autoSpaceDN w:val="0"/>
        <w:adjustRightInd w:val="0"/>
        <w:spacing w:before="240"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7.4. Czas przeprowadzenia obmiaru</w:t>
      </w:r>
    </w:p>
    <w:p w14:paraId="13AB362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Obmiary będą przeprowadzone przed częściowym lub ostatecznym odbiorem odcinków robót, a także w przypadku występowania dłuższej przerwy w robotach.</w:t>
      </w:r>
    </w:p>
    <w:p w14:paraId="2A4866D5"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Obmiar robót zanikających przeprowadza się w czasie ich wykonywania. Obmiar robót podlegających zakryciu przeprowadza się przed ich zakryciem. Roboty pomiarowe do obmiaru oraz nieodzowne obliczenia będą wykonane w sposób zrozumiały i jednoznaczny.</w:t>
      </w:r>
    </w:p>
    <w:p w14:paraId="369DC0D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Wymiary skomplikowanych powierzchni lub objętości będą uzupełnione odpowiednimi szkicami umieszczonymi na karcie książki obmiarów lub drukach obmiarów. W razie braku miejsca szkice mogą być dołączone w formie oddzielnego załącznika do książki obmiarów lub druków obmiarów, którego wzór zostanie uzgodniony z Zamawiającym.</w:t>
      </w:r>
    </w:p>
    <w:p w14:paraId="5CFC9CB3"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22" w:name="_Toc416830705"/>
      <w:bookmarkStart w:id="23" w:name="_Toc6881286"/>
      <w:bookmarkStart w:id="24" w:name="_Toc6882159"/>
      <w:r w:rsidRPr="003220D1">
        <w:rPr>
          <w:rFonts w:ascii="Arial Narrow" w:eastAsia="Times New Roman" w:hAnsi="Arial Narrow" w:cs="Times New Roman"/>
          <w:b/>
          <w:caps/>
          <w:kern w:val="28"/>
          <w:sz w:val="28"/>
          <w:szCs w:val="20"/>
          <w:lang w:val="x-none" w:eastAsia="x-none"/>
        </w:rPr>
        <w:t>8. odbiór robót</w:t>
      </w:r>
      <w:bookmarkEnd w:id="22"/>
      <w:bookmarkEnd w:id="23"/>
      <w:bookmarkEnd w:id="24"/>
    </w:p>
    <w:p w14:paraId="621464A1"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8.1. Rodzaje odbiorów robót</w:t>
      </w:r>
    </w:p>
    <w:p w14:paraId="43655A0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 zależności od ustaleń odpowiednich SST, roboty podlegają następującym etapom odbioru:</w:t>
      </w:r>
    </w:p>
    <w:p w14:paraId="223B2A04"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odbiór robót ulegających zakryciu,</w:t>
      </w:r>
    </w:p>
    <w:p w14:paraId="52C797C5"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odbiór robót zanikających,</w:t>
      </w:r>
    </w:p>
    <w:p w14:paraId="4E1642DF"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odbiór częściowy,</w:t>
      </w:r>
    </w:p>
    <w:p w14:paraId="47104AD7"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odbiór końcowy,</w:t>
      </w:r>
      <w:r w:rsidRPr="003220D1">
        <w:rPr>
          <w:rFonts w:ascii="Arial Narrow" w:eastAsia="Times New Roman" w:hAnsi="Arial Narrow" w:cs="Times New Roman"/>
          <w:sz w:val="20"/>
          <w:szCs w:val="20"/>
          <w:lang w:eastAsia="x-none"/>
        </w:rPr>
        <w:t xml:space="preserve"> gwarancyjny,</w:t>
      </w:r>
    </w:p>
    <w:p w14:paraId="5713EE2D"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lastRenderedPageBreak/>
        <w:t>odbiór ostateczny, pogwarancyjny.</w:t>
      </w:r>
    </w:p>
    <w:p w14:paraId="32A5068C"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3220D1">
        <w:rPr>
          <w:rFonts w:ascii="Arial Narrow" w:eastAsia="Times New Roman" w:hAnsi="Arial Narrow" w:cs="Times New Roman"/>
          <w:b/>
          <w:sz w:val="28"/>
          <w:szCs w:val="20"/>
          <w:lang w:val="x-none" w:eastAsia="x-none"/>
        </w:rPr>
        <w:t>8.2. Odbiór robót zanikających i ulegających zakryciu</w:t>
      </w:r>
    </w:p>
    <w:p w14:paraId="7FF8E64C" w14:textId="77777777" w:rsidR="003220D1" w:rsidRPr="003220D1" w:rsidRDefault="003220D1" w:rsidP="003220D1">
      <w:pPr>
        <w:overflowPunct w:val="0"/>
        <w:autoSpaceDE w:val="0"/>
        <w:autoSpaceDN w:val="0"/>
        <w:adjustRightInd w:val="0"/>
        <w:spacing w:after="0" w:line="20" w:lineRule="atLeast"/>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Odbiór Robót zanikających i ulegających zakryciu polega na finalnej ocenie ilości i jakości wykonywanych Robót, które w dalszym procesie realizacji ulegną zakryciu.</w:t>
      </w:r>
    </w:p>
    <w:p w14:paraId="0AA7EFB8" w14:textId="77777777" w:rsidR="003220D1" w:rsidRPr="003220D1" w:rsidRDefault="003220D1" w:rsidP="003220D1">
      <w:pPr>
        <w:overflowPunct w:val="0"/>
        <w:autoSpaceDE w:val="0"/>
        <w:autoSpaceDN w:val="0"/>
        <w:adjustRightInd w:val="0"/>
        <w:spacing w:after="0" w:line="20" w:lineRule="atLeast"/>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Odbiór Robót zanikających i ulegających zakryciu będzie dokonany w czasie umożliwiającym wykonanie ewentualnych korekt i poprawek bez hamowania ogólnego postępu Robót. Odbioru Robót dokonuje Zamawiający.</w:t>
      </w:r>
    </w:p>
    <w:p w14:paraId="67A40DEE" w14:textId="77777777" w:rsidR="003220D1" w:rsidRPr="003220D1" w:rsidRDefault="003220D1" w:rsidP="003220D1">
      <w:pPr>
        <w:overflowPunct w:val="0"/>
        <w:autoSpaceDE w:val="0"/>
        <w:autoSpaceDN w:val="0"/>
        <w:adjustRightInd w:val="0"/>
        <w:spacing w:after="0" w:line="20" w:lineRule="atLeast"/>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Gotowość danej części Robót do odbioru zgłasza Wykonawca wpisem do Dziennika Budowy i jednoczesnym powiadomieniem Inspektora Nadzoru. Odbiór będzie przeprowadzony niezwłocznie</w:t>
      </w:r>
    </w:p>
    <w:p w14:paraId="1BB7441F" w14:textId="77777777" w:rsidR="003220D1" w:rsidRPr="003220D1" w:rsidRDefault="003220D1" w:rsidP="003220D1">
      <w:pPr>
        <w:overflowPunct w:val="0"/>
        <w:autoSpaceDE w:val="0"/>
        <w:autoSpaceDN w:val="0"/>
        <w:adjustRightInd w:val="0"/>
        <w:spacing w:after="0" w:line="20" w:lineRule="atLeast"/>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Jakość i ilość Robót ulegających zakryciu ocenia Zamawiający na podstawie dokumentów zawierających komplet wyników badań laboratoryjnych i w oparciu o przeprowadzone pomiary, w konfrontacji z Dokumentacją Projektową, STWiORB i uprzednimi ustaleniami.</w:t>
      </w:r>
    </w:p>
    <w:p w14:paraId="60BD18E0" w14:textId="77777777" w:rsidR="003220D1" w:rsidRPr="003220D1" w:rsidRDefault="003220D1" w:rsidP="003220D1">
      <w:pPr>
        <w:overflowPunct w:val="0"/>
        <w:autoSpaceDE w:val="0"/>
        <w:autoSpaceDN w:val="0"/>
        <w:adjustRightInd w:val="0"/>
        <w:spacing w:after="0" w:line="20" w:lineRule="atLeast"/>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 przypadku stwierdzenia wadliwego wykonania robót Wykonawca usunie na własny koszt wadliwie wykonane prace wraz z pokryciem kosztu materiałów.</w:t>
      </w:r>
    </w:p>
    <w:p w14:paraId="51702B61"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8.3. Odbiór częściowy</w:t>
      </w:r>
    </w:p>
    <w:p w14:paraId="573D188E" w14:textId="77777777" w:rsidR="003220D1" w:rsidRPr="003220D1" w:rsidRDefault="003220D1" w:rsidP="003220D1">
      <w:pPr>
        <w:overflowPunct w:val="0"/>
        <w:autoSpaceDE w:val="0"/>
        <w:autoSpaceDN w:val="0"/>
        <w:adjustRightInd w:val="0"/>
        <w:spacing w:after="0" w:line="20" w:lineRule="atLeast"/>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Odbiór częściowy polega na ocenie ilości i jakości wykonanych części Robót. Odbioru częściowego Robót dokonuje się wg zasad jak przy odbiorze końcowym Robót.</w:t>
      </w:r>
    </w:p>
    <w:p w14:paraId="5DE3E423" w14:textId="77777777" w:rsidR="003220D1" w:rsidRPr="003220D1" w:rsidRDefault="003220D1" w:rsidP="003220D1">
      <w:pPr>
        <w:keepNext/>
        <w:shd w:val="clear" w:color="auto" w:fill="BFBFBF"/>
        <w:tabs>
          <w:tab w:val="left" w:pos="8370"/>
        </w:tabs>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8.4. Odbiór końcowy</w:t>
      </w:r>
      <w:r w:rsidRPr="003220D1">
        <w:rPr>
          <w:rFonts w:ascii="Arial Narrow" w:eastAsia="Times New Roman" w:hAnsi="Arial Narrow" w:cs="Arial"/>
          <w:b/>
          <w:sz w:val="28"/>
          <w:szCs w:val="20"/>
          <w:lang w:eastAsia="x-none"/>
        </w:rPr>
        <w:t xml:space="preserve">, </w:t>
      </w:r>
      <w:r w:rsidRPr="003220D1">
        <w:rPr>
          <w:rFonts w:ascii="Arial Narrow" w:eastAsia="Times New Roman" w:hAnsi="Arial Narrow" w:cs="Times New Roman"/>
          <w:b/>
          <w:sz w:val="28"/>
          <w:szCs w:val="20"/>
          <w:lang w:eastAsia="x-none"/>
        </w:rPr>
        <w:t>gwarancyjny</w:t>
      </w:r>
      <w:r w:rsidRPr="003220D1">
        <w:rPr>
          <w:rFonts w:ascii="Arial Narrow" w:eastAsia="Times New Roman" w:hAnsi="Arial Narrow" w:cs="Arial"/>
          <w:b/>
          <w:sz w:val="28"/>
          <w:szCs w:val="20"/>
          <w:lang w:val="x-none" w:eastAsia="x-none"/>
        </w:rPr>
        <w:tab/>
      </w:r>
    </w:p>
    <w:p w14:paraId="0AB409C8"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Odbioru końcowego, w celu końcowego  rozliczenia rzeczowo-finansowego zamówienia, dokonuje Inspektor  Nadzoru, po całkowitym zakończeniu wszystkich robót składających się na przedmiot umowy na podstawie oświadczenia kierownika budowy oraz innych czynności przewidzianych przepisami ustawy Prawo Budowlane, w terminie określonym w Umowie przez Wykonawcę robót, pod warunkiem, że Wykonawca dostarczy Inspektorowi Nadzoru kompletną dokumentację powykonawczą wraz z operatem kolaudacyjnym oraz dokumenty, których dołączenia do wniosku o użytkowanie/zgłoszenia o zakończeniu robót wymaga art. 57 ustawy Prawo Budowlane celem sprawdzenia i akceptacji. Dokonanie odbioru końcowego następuje, po sprawdzeniu przez Inspektora Nadzoru operatu kolaudacyjnego,  na podstawie sporządzonego przez Wykonawcę "Wykazu robót wykonanych" potwierdzonego przez Inspektora Nadzoru. Wykaz ten sporządzony winien być na podstawie rzeczowego wykonania robót wycenionego według cen z oferty Wykonawcy. Zakończenie odbioru końcowego zostanie potwierdzone protokołem odbioru końcowego, podlegającym podpisaniu przez upoważnionych przedstawicieli Stron.</w:t>
      </w:r>
    </w:p>
    <w:p w14:paraId="37E7E2D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Wykonawca we współudziale z przedstawicielem Zamawiającego dokonywać będzie corocznych odbiorów gwarancyjnych przy przeglądach sporządzając stosowną notatkę.</w:t>
      </w:r>
    </w:p>
    <w:p w14:paraId="55F56FB9"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3220D1">
        <w:rPr>
          <w:rFonts w:ascii="Arial Narrow" w:eastAsia="Times New Roman" w:hAnsi="Arial Narrow" w:cs="Times New Roman"/>
          <w:b/>
          <w:sz w:val="28"/>
          <w:szCs w:val="20"/>
          <w:lang w:val="x-none" w:eastAsia="x-none"/>
        </w:rPr>
        <w:t>8.5. Odbiór ostateczny</w:t>
      </w:r>
      <w:r w:rsidRPr="003220D1">
        <w:rPr>
          <w:rFonts w:ascii="Arial Narrow" w:eastAsia="Times New Roman" w:hAnsi="Arial Narrow" w:cs="Times New Roman"/>
          <w:b/>
          <w:sz w:val="28"/>
          <w:szCs w:val="20"/>
          <w:lang w:eastAsia="x-none"/>
        </w:rPr>
        <w:t xml:space="preserve"> - </w:t>
      </w:r>
      <w:r w:rsidRPr="003220D1">
        <w:rPr>
          <w:rFonts w:ascii="Arial Narrow" w:eastAsia="Times New Roman" w:hAnsi="Arial Narrow" w:cs="Times New Roman"/>
          <w:b/>
          <w:sz w:val="28"/>
          <w:szCs w:val="20"/>
          <w:lang w:val="x-none" w:eastAsia="x-none"/>
        </w:rPr>
        <w:t>pogwarancyjny</w:t>
      </w:r>
      <w:r w:rsidRPr="003220D1">
        <w:rPr>
          <w:rFonts w:ascii="Arial Narrow" w:eastAsia="Times New Roman" w:hAnsi="Arial Narrow" w:cs="Times New Roman"/>
          <w:b/>
          <w:sz w:val="28"/>
          <w:szCs w:val="20"/>
          <w:lang w:eastAsia="x-none"/>
        </w:rPr>
        <w:t xml:space="preserve"> robót</w:t>
      </w:r>
    </w:p>
    <w:p w14:paraId="43CBF974" w14:textId="77777777" w:rsidR="003220D1" w:rsidRPr="003220D1" w:rsidRDefault="003220D1" w:rsidP="003220D1">
      <w:pPr>
        <w:numPr>
          <w:ilvl w:val="2"/>
          <w:numId w:val="0"/>
        </w:numPr>
        <w:shd w:val="clear" w:color="auto" w:fill="D9D9D9"/>
        <w:tabs>
          <w:tab w:val="num" w:pos="0"/>
        </w:tabs>
        <w:spacing w:after="0" w:line="20" w:lineRule="atLeast"/>
        <w:ind w:left="1418" w:hanging="1418"/>
        <w:outlineLvl w:val="2"/>
        <w:rPr>
          <w:rFonts w:ascii="Arial Narrow" w:eastAsia="Times New Roman" w:hAnsi="Arial Narrow" w:cs="Arial"/>
          <w:b/>
          <w:sz w:val="24"/>
          <w:szCs w:val="20"/>
          <w:lang w:val="x-none" w:eastAsia="x-none"/>
        </w:rPr>
      </w:pPr>
      <w:r w:rsidRPr="003220D1">
        <w:rPr>
          <w:rFonts w:ascii="Arial Narrow" w:eastAsia="Times New Roman" w:hAnsi="Arial Narrow" w:cs="Arial"/>
          <w:sz w:val="24"/>
          <w:szCs w:val="20"/>
          <w:lang w:val="x-none" w:eastAsia="x-none"/>
        </w:rPr>
        <w:t>8.5.1</w:t>
      </w:r>
      <w:r w:rsidRPr="003220D1">
        <w:rPr>
          <w:rFonts w:ascii="Arial Narrow" w:eastAsia="Times New Roman" w:hAnsi="Arial Narrow" w:cs="Arial"/>
          <w:b/>
          <w:sz w:val="24"/>
          <w:szCs w:val="20"/>
          <w:lang w:val="x-none" w:eastAsia="x-none"/>
        </w:rPr>
        <w:t xml:space="preserve"> </w:t>
      </w:r>
      <w:r w:rsidRPr="003220D1">
        <w:rPr>
          <w:rFonts w:ascii="Arial Narrow" w:eastAsia="Times New Roman" w:hAnsi="Arial Narrow" w:cs="Arial"/>
          <w:sz w:val="24"/>
          <w:szCs w:val="20"/>
          <w:lang w:val="x-none" w:eastAsia="x-none"/>
        </w:rPr>
        <w:t>Zasady odbioru ostatecznego</w:t>
      </w:r>
      <w:r w:rsidRPr="003220D1">
        <w:rPr>
          <w:rFonts w:ascii="Arial Narrow" w:eastAsia="Times New Roman" w:hAnsi="Arial Narrow" w:cs="Arial"/>
          <w:sz w:val="24"/>
          <w:szCs w:val="20"/>
          <w:lang w:eastAsia="x-none"/>
        </w:rPr>
        <w:t xml:space="preserve"> - pogwarancyjnego</w:t>
      </w:r>
      <w:r w:rsidRPr="003220D1">
        <w:rPr>
          <w:rFonts w:ascii="Arial Narrow" w:eastAsia="Times New Roman" w:hAnsi="Arial Narrow" w:cs="Arial"/>
          <w:sz w:val="24"/>
          <w:szCs w:val="20"/>
          <w:lang w:val="x-none" w:eastAsia="x-none"/>
        </w:rPr>
        <w:t xml:space="preserve"> robót</w:t>
      </w:r>
    </w:p>
    <w:p w14:paraId="032DAA8A" w14:textId="77777777" w:rsidR="003220D1" w:rsidRPr="003220D1" w:rsidRDefault="003220D1" w:rsidP="003220D1">
      <w:pPr>
        <w:overflowPunct w:val="0"/>
        <w:autoSpaceDE w:val="0"/>
        <w:autoSpaceDN w:val="0"/>
        <w:adjustRightInd w:val="0"/>
        <w:spacing w:after="0" w:line="20" w:lineRule="atLeast"/>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Odbiór ostateczny polega na finalnej ocenie rzeczywistego wykonania Robót w odniesieniu do ich ilości, jakości i wartości.</w:t>
      </w:r>
    </w:p>
    <w:p w14:paraId="09F429F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Całkowite zakończenie Robót oraz gotowość do odbioru ostatecznego będzie stwierdzona przez Wykonawcę wpisem do Dziennika Budowy z bezzwłocznym powiadomieniem na piśmie o tym fakcie Zamawiającego.</w:t>
      </w:r>
    </w:p>
    <w:p w14:paraId="76FB3E5A" w14:textId="77777777" w:rsidR="003220D1" w:rsidRPr="003220D1" w:rsidRDefault="003220D1" w:rsidP="003220D1">
      <w:pPr>
        <w:overflowPunct w:val="0"/>
        <w:autoSpaceDE w:val="0"/>
        <w:autoSpaceDN w:val="0"/>
        <w:adjustRightInd w:val="0"/>
        <w:spacing w:after="0" w:line="20" w:lineRule="atLeast"/>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Odbiór ostateczny Robót nastąpi w terminie ustalonym w dokumentach umowy, licząc od dnia potwierdzenia przez Inspektora Nadzoru zakończenia Robót i przyjęcia dokumentów, o których mowa w punkcie 8.4.2.</w:t>
      </w:r>
    </w:p>
    <w:p w14:paraId="1F93EE0F" w14:textId="77777777" w:rsidR="003220D1" w:rsidRPr="003220D1" w:rsidRDefault="003220D1" w:rsidP="003220D1">
      <w:pPr>
        <w:overflowPunct w:val="0"/>
        <w:autoSpaceDE w:val="0"/>
        <w:autoSpaceDN w:val="0"/>
        <w:adjustRightInd w:val="0"/>
        <w:spacing w:after="0" w:line="20" w:lineRule="atLeast"/>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Odbioru ostatecznego Robót dokona komisja wyznaczona przez Zamawiającego w obecności Inspektora Nadzoru i Wykonawcy. Komisja odbierająca Roboty dokona ich oceny jakościowej na podstawie przedłożonych dokumentów, wyników badań i pomiarów, ocenie wizualnej oraz zgodności wykonania Robót z Dokumentacją Projektową i STWiORB.</w:t>
      </w:r>
    </w:p>
    <w:p w14:paraId="09208B3F" w14:textId="77777777" w:rsidR="003220D1" w:rsidRPr="003220D1" w:rsidRDefault="003220D1" w:rsidP="003220D1">
      <w:pPr>
        <w:overflowPunct w:val="0"/>
        <w:autoSpaceDE w:val="0"/>
        <w:autoSpaceDN w:val="0"/>
        <w:adjustRightInd w:val="0"/>
        <w:spacing w:after="0" w:line="20" w:lineRule="atLeast"/>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 toku odbioru ostatecznego Robót komisja zapozna się z realizacją ustaleń przyjętych w trakcie odbiorów Robót zanikających i ulegających zakryciu, zwłaszcza w zakresie wykonania Robót uzupełniających i Robót poprawkowych.</w:t>
      </w:r>
    </w:p>
    <w:p w14:paraId="408AA28A" w14:textId="77777777" w:rsidR="003220D1" w:rsidRPr="003220D1" w:rsidRDefault="003220D1" w:rsidP="003220D1">
      <w:pPr>
        <w:overflowPunct w:val="0"/>
        <w:autoSpaceDE w:val="0"/>
        <w:autoSpaceDN w:val="0"/>
        <w:adjustRightInd w:val="0"/>
        <w:spacing w:after="0" w:line="20" w:lineRule="atLeast"/>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 przypadkach niewykonania wyznaczonych Robót poprawkowych lub Robót uzupełniających w warstwie ścieralnej lub Robotach wykończeniowych, komisja przerwie swoje czynności i ustala nowy termin odbioru ostatecznego.</w:t>
      </w:r>
    </w:p>
    <w:p w14:paraId="218A59E2" w14:textId="77777777" w:rsidR="003220D1" w:rsidRPr="003220D1" w:rsidRDefault="003220D1" w:rsidP="003220D1">
      <w:pPr>
        <w:overflowPunct w:val="0"/>
        <w:autoSpaceDE w:val="0"/>
        <w:autoSpaceDN w:val="0"/>
        <w:adjustRightInd w:val="0"/>
        <w:spacing w:after="0" w:line="20" w:lineRule="atLeast"/>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 xml:space="preserve">W przypadku stwierdzenia przez komisję, że jakość wykonywanych Robót w poszczególnych asortymentach nieznacznie odbiega od wymaganej Dokumentacją Projektową i ST z uwzględnieniem tolerancji i nie ma większego wpływu na cechy eksploatacyjne obiektu i bezpieczeństwo ruchu, komisja dokona potrąceń, oceniając pomniejszoną wartość wykonywanych Robót w stosunku do wymagań przyjętych w dokumentach umowy. </w:t>
      </w:r>
    </w:p>
    <w:p w14:paraId="53A6ED18" w14:textId="77777777" w:rsidR="003220D1" w:rsidRPr="003220D1" w:rsidRDefault="003220D1" w:rsidP="003220D1">
      <w:pPr>
        <w:numPr>
          <w:ilvl w:val="2"/>
          <w:numId w:val="0"/>
        </w:numPr>
        <w:shd w:val="clear" w:color="auto" w:fill="D9D9D9"/>
        <w:spacing w:after="0" w:line="20" w:lineRule="atLeast"/>
        <w:ind w:left="1418" w:hanging="1418"/>
        <w:outlineLvl w:val="2"/>
        <w:rPr>
          <w:rFonts w:ascii="Arial Narrow" w:eastAsia="Times New Roman" w:hAnsi="Arial Narrow" w:cs="Arial"/>
          <w:sz w:val="24"/>
          <w:szCs w:val="20"/>
          <w:lang w:val="x-none" w:eastAsia="x-none"/>
        </w:rPr>
      </w:pPr>
      <w:r w:rsidRPr="003220D1">
        <w:rPr>
          <w:rFonts w:ascii="Arial Narrow" w:eastAsia="Times New Roman" w:hAnsi="Arial Narrow" w:cs="Arial"/>
          <w:sz w:val="24"/>
          <w:szCs w:val="20"/>
          <w:lang w:val="x-none" w:eastAsia="x-none"/>
        </w:rPr>
        <w:t>8.5.2. Dokumenty do odbioru ostatecznego</w:t>
      </w:r>
      <w:r w:rsidRPr="003220D1">
        <w:rPr>
          <w:rFonts w:ascii="Arial Narrow" w:eastAsia="Times New Roman" w:hAnsi="Arial Narrow" w:cs="Arial"/>
          <w:sz w:val="24"/>
          <w:szCs w:val="20"/>
          <w:lang w:eastAsia="x-none"/>
        </w:rPr>
        <w:t>, pogwarancyjnego</w:t>
      </w:r>
      <w:r w:rsidRPr="003220D1">
        <w:rPr>
          <w:rFonts w:ascii="Arial Narrow" w:eastAsia="Times New Roman" w:hAnsi="Arial Narrow" w:cs="Arial"/>
          <w:sz w:val="24"/>
          <w:szCs w:val="20"/>
          <w:lang w:val="x-none" w:eastAsia="x-none"/>
        </w:rPr>
        <w:t xml:space="preserve"> </w:t>
      </w:r>
      <w:r w:rsidRPr="003220D1">
        <w:rPr>
          <w:rFonts w:ascii="Arial Narrow" w:eastAsia="Times New Roman" w:hAnsi="Arial Narrow" w:cs="Arial"/>
          <w:sz w:val="24"/>
          <w:szCs w:val="20"/>
          <w:lang w:eastAsia="x-none"/>
        </w:rPr>
        <w:t>r</w:t>
      </w:r>
      <w:r w:rsidRPr="003220D1">
        <w:rPr>
          <w:rFonts w:ascii="Arial Narrow" w:eastAsia="Times New Roman" w:hAnsi="Arial Narrow" w:cs="Arial"/>
          <w:sz w:val="24"/>
          <w:szCs w:val="20"/>
          <w:lang w:val="x-none" w:eastAsia="x-none"/>
        </w:rPr>
        <w:t>obót</w:t>
      </w:r>
    </w:p>
    <w:p w14:paraId="45E2A230" w14:textId="77777777" w:rsidR="003220D1" w:rsidRPr="003220D1" w:rsidRDefault="003220D1" w:rsidP="003220D1">
      <w:pPr>
        <w:overflowPunct w:val="0"/>
        <w:autoSpaceDE w:val="0"/>
        <w:autoSpaceDN w:val="0"/>
        <w:adjustRightInd w:val="0"/>
        <w:spacing w:after="0" w:line="20" w:lineRule="atLeast"/>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Podstawowym dokumentem do dokonania odbioru ostatecznego Robót jest protokół odbioru ostatecznego Robót sporządzony wg wzoru ustalonego przez Zamawiającego.</w:t>
      </w:r>
    </w:p>
    <w:p w14:paraId="2274D791" w14:textId="77777777" w:rsidR="003220D1" w:rsidRPr="003220D1" w:rsidRDefault="003220D1" w:rsidP="003220D1">
      <w:pPr>
        <w:overflowPunct w:val="0"/>
        <w:autoSpaceDE w:val="0"/>
        <w:autoSpaceDN w:val="0"/>
        <w:adjustRightInd w:val="0"/>
        <w:spacing w:after="0" w:line="20" w:lineRule="atLeast"/>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Do odbioru ostatecznego Wykonawca jest zobowiązany przygotować następujące dokumenty:</w:t>
      </w:r>
    </w:p>
    <w:p w14:paraId="777E9E21"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recepty i ustalenia technologiczne,</w:t>
      </w:r>
    </w:p>
    <w:p w14:paraId="4F854AA1"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Dzienniki Budowy i Rejestr Obmiarów (oryginały),</w:t>
      </w:r>
    </w:p>
    <w:p w14:paraId="478CD908"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wyniki pomiarów kontrolnych oraz badań i oznaczeń laboratoryjnych zgodne z STWiORB i PZJ,</w:t>
      </w:r>
    </w:p>
    <w:p w14:paraId="016ED9E2"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deklaracje zgodności lub certyfikaty zgodności wbudowanych materiałów zgodnie z STWiORB i PZJ,</w:t>
      </w:r>
    </w:p>
    <w:p w14:paraId="14A95BA4"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opinię technologiczną sporządzoną na podstawie wszystkich wyników badań i pomiarów załączonych do dokumentów odbioru, a wykonywanych zgodnie z PZJ i STWiORB</w:t>
      </w:r>
    </w:p>
    <w:p w14:paraId="402D6052"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geodezyjną inwentaryzację powykonawczą robót </w:t>
      </w:r>
      <w:r w:rsidRPr="003220D1">
        <w:rPr>
          <w:rFonts w:ascii="Arial Narrow" w:eastAsia="Times New Roman" w:hAnsi="Arial Narrow" w:cs="Times New Roman"/>
          <w:sz w:val="20"/>
          <w:szCs w:val="20"/>
          <w:lang w:eastAsia="x-none"/>
        </w:rPr>
        <w:t>(jeżeli wymagana).</w:t>
      </w:r>
    </w:p>
    <w:p w14:paraId="27D5028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lastRenderedPageBreak/>
        <w:t>W przypadku, gdy wg komisji, Roboty pod względem przygotowania dokumentacyjnego nie będą gotowe do odbioru ostatecznego, komisja w porozumieniu z Wykonawcą wyznaczy ponowny termin odbioru ostatecznego Robót.</w:t>
      </w:r>
    </w:p>
    <w:p w14:paraId="31CF5B13" w14:textId="77777777" w:rsidR="003220D1" w:rsidRPr="003220D1" w:rsidRDefault="003220D1" w:rsidP="003220D1">
      <w:pPr>
        <w:overflowPunct w:val="0"/>
        <w:autoSpaceDE w:val="0"/>
        <w:autoSpaceDN w:val="0"/>
        <w:adjustRightInd w:val="0"/>
        <w:spacing w:after="0" w:line="20" w:lineRule="atLeast"/>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Wszystkie zarządzone przez komisję Roboty poprawkowe lub uzupełniające będą zestawione wg wzoru ustalonego przez Zamawiającego.</w:t>
      </w:r>
    </w:p>
    <w:p w14:paraId="7AE5B3CD" w14:textId="77777777" w:rsidR="003220D1" w:rsidRPr="003220D1" w:rsidRDefault="003220D1" w:rsidP="003220D1">
      <w:pPr>
        <w:overflowPunct w:val="0"/>
        <w:autoSpaceDE w:val="0"/>
        <w:autoSpaceDN w:val="0"/>
        <w:adjustRightInd w:val="0"/>
        <w:spacing w:after="0" w:line="20" w:lineRule="atLeast"/>
        <w:ind w:firstLine="709"/>
        <w:textAlignment w:val="baseline"/>
        <w:rPr>
          <w:rFonts w:ascii="Arial Narrow" w:eastAsia="Times New Roman" w:hAnsi="Arial Narrow" w:cs="Arial"/>
          <w:b/>
          <w:sz w:val="20"/>
          <w:szCs w:val="20"/>
          <w:lang w:eastAsia="pl-PL"/>
        </w:rPr>
      </w:pPr>
      <w:r w:rsidRPr="003220D1">
        <w:rPr>
          <w:rFonts w:ascii="Arial Narrow" w:eastAsia="Times New Roman" w:hAnsi="Arial Narrow" w:cs="Arial"/>
          <w:sz w:val="20"/>
          <w:szCs w:val="20"/>
          <w:lang w:eastAsia="pl-PL"/>
        </w:rPr>
        <w:t>Termin wykonania Robót poprawkowych i Robót uzupełniających wyznaczy komisja.</w:t>
      </w:r>
    </w:p>
    <w:p w14:paraId="592FBFC0"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eastAsia="x-none"/>
        </w:rPr>
      </w:pPr>
      <w:r w:rsidRPr="003220D1">
        <w:rPr>
          <w:rFonts w:ascii="Arial Narrow" w:eastAsia="Times New Roman" w:hAnsi="Arial Narrow" w:cs="Times New Roman"/>
          <w:b/>
          <w:sz w:val="24"/>
          <w:szCs w:val="20"/>
          <w:lang w:val="x-none" w:eastAsia="x-none"/>
        </w:rPr>
        <w:t xml:space="preserve">8.6. Odbiór </w:t>
      </w:r>
      <w:r w:rsidRPr="003220D1">
        <w:rPr>
          <w:rFonts w:ascii="Arial Narrow" w:eastAsia="Times New Roman" w:hAnsi="Arial Narrow" w:cs="Times New Roman"/>
          <w:b/>
          <w:sz w:val="24"/>
          <w:szCs w:val="20"/>
          <w:lang w:eastAsia="x-none"/>
        </w:rPr>
        <w:t xml:space="preserve">ostateczny </w:t>
      </w:r>
      <w:r w:rsidRPr="003220D1">
        <w:rPr>
          <w:rFonts w:ascii="Arial Narrow" w:eastAsia="Times New Roman" w:hAnsi="Arial Narrow" w:cs="Times New Roman"/>
          <w:b/>
          <w:sz w:val="24"/>
          <w:szCs w:val="20"/>
          <w:lang w:val="x-none" w:eastAsia="x-none"/>
        </w:rPr>
        <w:t>po</w:t>
      </w:r>
      <w:r w:rsidRPr="003220D1">
        <w:rPr>
          <w:rFonts w:ascii="Arial Narrow" w:eastAsia="Times New Roman" w:hAnsi="Arial Narrow" w:cs="Times New Roman"/>
          <w:b/>
          <w:sz w:val="24"/>
          <w:szCs w:val="20"/>
          <w:lang w:eastAsia="x-none"/>
        </w:rPr>
        <w:t>gwarancyjny</w:t>
      </w:r>
    </w:p>
    <w:p w14:paraId="17DC0165"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Odbiór po rękojmi polega na ocenie wykonanych robót związanych z usunięciem wad stwierdzonych przy odbiorze ostatecznym i zaistniałych w okresie gwarancyjnym.</w:t>
      </w:r>
    </w:p>
    <w:p w14:paraId="6E2E2E98"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Arial"/>
          <w:sz w:val="20"/>
          <w:szCs w:val="20"/>
          <w:lang w:eastAsia="pl-PL"/>
        </w:rPr>
        <w:t>Odbiór po okresie rękojmi jest dokonywany w terminie wyznaczonym przez Zamawiającego przy udziale Zamawiającego i Wykonawcy w formie protokołu odbioru po okresie rękojmi, po usunięciu wszystkich wad ujawnionych w okresie rękojmi, potwierdzonym przez Zamawiającego w wystawionym świadectwie usunięcia wad.</w:t>
      </w:r>
    </w:p>
    <w:p w14:paraId="7CBE722E"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Arial"/>
          <w:b/>
          <w:caps/>
          <w:kern w:val="28"/>
          <w:sz w:val="28"/>
          <w:szCs w:val="20"/>
          <w:lang w:val="x-none" w:eastAsia="x-none"/>
        </w:rPr>
      </w:pPr>
      <w:bookmarkStart w:id="25" w:name="_Toc416830706"/>
      <w:bookmarkStart w:id="26" w:name="_Toc6881287"/>
      <w:bookmarkStart w:id="27" w:name="_Toc6882160"/>
      <w:r w:rsidRPr="003220D1">
        <w:rPr>
          <w:rFonts w:ascii="Arial Narrow" w:eastAsia="Times New Roman" w:hAnsi="Arial Narrow" w:cs="Arial"/>
          <w:b/>
          <w:caps/>
          <w:kern w:val="28"/>
          <w:sz w:val="28"/>
          <w:szCs w:val="20"/>
          <w:lang w:val="x-none" w:eastAsia="x-none"/>
        </w:rPr>
        <w:t>9. podstawa płatności</w:t>
      </w:r>
      <w:bookmarkEnd w:id="25"/>
      <w:bookmarkEnd w:id="26"/>
      <w:bookmarkEnd w:id="27"/>
    </w:p>
    <w:p w14:paraId="312F3D62"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9.1. Ustalenia ogólne</w:t>
      </w:r>
    </w:p>
    <w:p w14:paraId="7C529703"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Podstawą płatności jest cena jednostkowa skalkulowana przez Wykonawcę za jednostkę obmiarową ustaloną dla danej pozycji kosztorysu.</w:t>
      </w:r>
    </w:p>
    <w:p w14:paraId="07785A0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Dla pozycji kosztorysowych wycenionych ryczałtowo podstawą płatności jest wartość (kwota) podana przez Wykonawcę w danej pozycji kosztorysu.</w:t>
      </w:r>
    </w:p>
    <w:p w14:paraId="2F23B09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Cena jednostkowa lub kwota ryczałtowa pozycji kosztorysowej będzie uwzględniać wszystkie czynności, wymagania i badania składające się na jej wykonanie, określone dla tej roboty w STWiORB i w dokumentacji projektowej.</w:t>
      </w:r>
    </w:p>
    <w:p w14:paraId="073B5599"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Ceny jednostkowe lub kwoty ryczałtowe robót będą obejmować:</w:t>
      </w:r>
    </w:p>
    <w:p w14:paraId="0A4F8AE7"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robociznę bezpośrednią wraz z towarzyszącymi kosztami,</w:t>
      </w:r>
    </w:p>
    <w:p w14:paraId="28907BDD"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wartość zużytych materiałów wraz z kosztami zakupu, magazynowania, ewentualnych ubytków i transportu na teren budowy,</w:t>
      </w:r>
    </w:p>
    <w:p w14:paraId="49EC8CC0"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wartość pracy sprzętu wraz z towarzyszącymi kosztami,</w:t>
      </w:r>
    </w:p>
    <w:p w14:paraId="12E075D3"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koszty pośrednie, zysk kalkulacyjny i ryzyko,</w:t>
      </w:r>
    </w:p>
    <w:p w14:paraId="4814CB7C"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podatki obliczone zgodnie z obowiązującymi przepisami.</w:t>
      </w:r>
    </w:p>
    <w:p w14:paraId="60CF37DA"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Do cen jednostkowych nie należy wliczać podatku VAT.</w:t>
      </w:r>
    </w:p>
    <w:p w14:paraId="089E7DF1"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9.2. Warunki umowy i wymagania ogólne D-M-00.00.00</w:t>
      </w:r>
    </w:p>
    <w:p w14:paraId="43522E90"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Koszt dostosowania się do wymagań warunków umowy i wymagań ogólnych zawartych w D-M-00.00.00 obejmuje wszystkie warunki określone w ww. dokumentach, a nie wyszczególnione w kosztorysie.</w:t>
      </w:r>
    </w:p>
    <w:p w14:paraId="42D12400"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Arial"/>
          <w:b/>
          <w:sz w:val="28"/>
          <w:szCs w:val="20"/>
          <w:lang w:val="x-none" w:eastAsia="x-none"/>
        </w:rPr>
      </w:pPr>
      <w:r w:rsidRPr="003220D1">
        <w:rPr>
          <w:rFonts w:ascii="Arial Narrow" w:eastAsia="Times New Roman" w:hAnsi="Arial Narrow" w:cs="Arial"/>
          <w:b/>
          <w:sz w:val="28"/>
          <w:szCs w:val="20"/>
          <w:lang w:val="x-none" w:eastAsia="x-none"/>
        </w:rPr>
        <w:t>9.3. Objazdy, przejazdy i organizacja ruchu</w:t>
      </w:r>
    </w:p>
    <w:p w14:paraId="6C5EFE19"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Koszt  wybudowania objazdów/przejazdów i organizacji ruchu obejmuje:</w:t>
      </w:r>
    </w:p>
    <w:p w14:paraId="1346E6B7"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opracowanie oraz uzgodnienie z </w:t>
      </w:r>
      <w:r w:rsidRPr="003220D1">
        <w:rPr>
          <w:rFonts w:ascii="Arial Narrow" w:eastAsia="Times New Roman" w:hAnsi="Arial Narrow" w:cs="Arial"/>
          <w:sz w:val="20"/>
          <w:szCs w:val="20"/>
          <w:lang w:val="x-none" w:eastAsia="x-none"/>
        </w:rPr>
        <w:t>Zamawiający</w:t>
      </w:r>
      <w:r w:rsidRPr="003220D1">
        <w:rPr>
          <w:rFonts w:ascii="Arial Narrow" w:eastAsia="Times New Roman" w:hAnsi="Arial Narrow" w:cs="Arial"/>
          <w:sz w:val="20"/>
          <w:szCs w:val="20"/>
          <w:lang w:eastAsia="x-none"/>
        </w:rPr>
        <w:t xml:space="preserve">m </w:t>
      </w:r>
      <w:r w:rsidRPr="003220D1">
        <w:rPr>
          <w:rFonts w:ascii="Arial Narrow" w:eastAsia="Times New Roman" w:hAnsi="Arial Narrow" w:cs="Times New Roman"/>
          <w:sz w:val="20"/>
          <w:szCs w:val="20"/>
          <w:lang w:val="x-none" w:eastAsia="x-none"/>
        </w:rPr>
        <w:t xml:space="preserve">i odpowiednimi instytucjami projektu organizacji ruchu na czas trwania budowy, wraz z dostarczeniem kopii projektu </w:t>
      </w:r>
      <w:r w:rsidRPr="003220D1">
        <w:rPr>
          <w:rFonts w:ascii="Arial Narrow" w:eastAsia="Times New Roman" w:hAnsi="Arial Narrow" w:cs="Arial"/>
          <w:sz w:val="20"/>
          <w:szCs w:val="20"/>
          <w:lang w:val="x-none" w:eastAsia="x-none"/>
        </w:rPr>
        <w:t>Zamawiając</w:t>
      </w:r>
      <w:r w:rsidRPr="003220D1">
        <w:rPr>
          <w:rFonts w:ascii="Arial Narrow" w:eastAsia="Times New Roman" w:hAnsi="Arial Narrow" w:cs="Arial"/>
          <w:sz w:val="20"/>
          <w:szCs w:val="20"/>
          <w:lang w:eastAsia="x-none"/>
        </w:rPr>
        <w:t>emu i</w:t>
      </w:r>
      <w:r w:rsidRPr="003220D1">
        <w:rPr>
          <w:rFonts w:ascii="Arial Narrow" w:eastAsia="Times New Roman" w:hAnsi="Arial Narrow" w:cs="Times New Roman"/>
          <w:sz w:val="20"/>
          <w:szCs w:val="20"/>
          <w:lang w:val="x-none" w:eastAsia="x-none"/>
        </w:rPr>
        <w:t xml:space="preserve"> wprowadzaniem dalszych zmian i uzgodnień wynikających z postępu robót,</w:t>
      </w:r>
    </w:p>
    <w:p w14:paraId="220DC809"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ustawienie tymczasowego oznakowania i oświetlenia zgodnie z wymaganiami bezpieczeństwa ruchu,</w:t>
      </w:r>
    </w:p>
    <w:p w14:paraId="05BFB4AD"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opłaty/dzierżawy terenu,</w:t>
      </w:r>
    </w:p>
    <w:p w14:paraId="2682F531"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przygotowanie terenu,</w:t>
      </w:r>
    </w:p>
    <w:p w14:paraId="09050FF4"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konstrukcję tymczasowej nawierzchni, ramp, chodników, krawężników, barier, oznakowań i drenażu,</w:t>
      </w:r>
    </w:p>
    <w:p w14:paraId="2241AB21"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tymczasową przebudowę urządzeń obcych.</w:t>
      </w:r>
    </w:p>
    <w:p w14:paraId="4C4EE043"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Koszt utrzymania objazdów/przejazdów i organizacji ruchu obejmuje:</w:t>
      </w:r>
    </w:p>
    <w:p w14:paraId="08FE4AED"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oczyszczanie, przestawienie, przykrycie i usunięcie tymczasowych oznakowań pionowych, poziomych, barier i świateł,</w:t>
      </w:r>
    </w:p>
    <w:p w14:paraId="1E8D1EBF"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utrzymanie płynności ruchu publicznego.</w:t>
      </w:r>
    </w:p>
    <w:p w14:paraId="26E1452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Koszt likwidacji objazdów/przejazdów i organizacji ruchu obejmuje:</w:t>
      </w:r>
    </w:p>
    <w:p w14:paraId="2B26B2C0"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usunięcie wbudowanych materiałów i oznakowania,</w:t>
      </w:r>
    </w:p>
    <w:p w14:paraId="06A43177"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doprowadzenie terenu do stanu pierwotnego.</w:t>
      </w:r>
    </w:p>
    <w:p w14:paraId="640A612B"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Arial"/>
          <w:b/>
          <w:caps/>
          <w:kern w:val="28"/>
          <w:sz w:val="28"/>
          <w:szCs w:val="20"/>
          <w:lang w:val="x-none" w:eastAsia="x-none"/>
        </w:rPr>
      </w:pPr>
      <w:bookmarkStart w:id="28" w:name="_Toc416830707"/>
      <w:bookmarkStart w:id="29" w:name="_Toc6881288"/>
      <w:bookmarkStart w:id="30" w:name="_Toc6882161"/>
      <w:r w:rsidRPr="003220D1">
        <w:rPr>
          <w:rFonts w:ascii="Arial Narrow" w:eastAsia="Times New Roman" w:hAnsi="Arial Narrow" w:cs="Arial"/>
          <w:b/>
          <w:caps/>
          <w:kern w:val="28"/>
          <w:sz w:val="28"/>
          <w:szCs w:val="20"/>
          <w:lang w:val="x-none" w:eastAsia="x-none"/>
        </w:rPr>
        <w:t>10. przepisy związane</w:t>
      </w:r>
      <w:bookmarkEnd w:id="28"/>
      <w:bookmarkEnd w:id="29"/>
      <w:bookmarkEnd w:id="30"/>
    </w:p>
    <w:p w14:paraId="7D3E9EA3" w14:textId="77777777" w:rsidR="003220D1" w:rsidRPr="003220D1" w:rsidRDefault="003220D1" w:rsidP="003220D1">
      <w:pPr>
        <w:numPr>
          <w:ilvl w:val="0"/>
          <w:numId w:val="7"/>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Ustawa z dnia 7 lipca 2020 r. - Prawo budowlane (Dz. U. 2020 poz. 1333 z późn. zm).</w:t>
      </w:r>
    </w:p>
    <w:p w14:paraId="6658C242" w14:textId="77777777" w:rsidR="003220D1" w:rsidRPr="003220D1" w:rsidRDefault="003220D1" w:rsidP="003220D1">
      <w:pPr>
        <w:overflowPunct w:val="0"/>
        <w:autoSpaceDE w:val="0"/>
        <w:autoSpaceDN w:val="0"/>
        <w:adjustRightInd w:val="0"/>
        <w:spacing w:after="0" w:line="240" w:lineRule="auto"/>
        <w:ind w:left="1004" w:hanging="360"/>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Zarządzenie Ministra Infrastruktury z dnia 25 kwietnia 2018r. w sprawie dziennika budowy, montażu i rozbiórki oraz tablicy informacyjnej (Dz. U2018 poz. 963).</w:t>
      </w:r>
    </w:p>
    <w:p w14:paraId="76213F4E" w14:textId="77777777" w:rsidR="003220D1" w:rsidRPr="003220D1" w:rsidRDefault="003220D1" w:rsidP="003220D1">
      <w:pPr>
        <w:overflowPunct w:val="0"/>
        <w:autoSpaceDE w:val="0"/>
        <w:autoSpaceDN w:val="0"/>
        <w:adjustRightInd w:val="0"/>
        <w:spacing w:after="0" w:line="240" w:lineRule="auto"/>
        <w:ind w:left="1004" w:hanging="360"/>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Ustawa z dnia 3 marca 2020 r. o drogach publicznych (Dz. U. 2020 poz. 470 z późn. zm.).</w:t>
      </w:r>
    </w:p>
    <w:p w14:paraId="748691AA"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p>
    <w:p w14:paraId="698F0A2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sectPr w:rsidR="003220D1" w:rsidRPr="003220D1" w:rsidSect="00271B54">
          <w:headerReference w:type="default" r:id="rId7"/>
          <w:footerReference w:type="even" r:id="rId8"/>
          <w:footerReference w:type="default" r:id="rId9"/>
          <w:pgSz w:w="11906" w:h="16838" w:code="9"/>
          <w:pgMar w:top="1134" w:right="1134" w:bottom="1134" w:left="1418" w:header="851" w:footer="851" w:gutter="0"/>
          <w:pgNumType w:start="1"/>
          <w:cols w:space="708"/>
          <w:docGrid w:linePitch="360"/>
        </w:sectPr>
      </w:pPr>
    </w:p>
    <w:p w14:paraId="2F86AEC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bookmarkStart w:id="31" w:name="_Toc55817074"/>
      <w:bookmarkStart w:id="32" w:name="_Toc58533504"/>
      <w:r w:rsidRPr="003220D1">
        <w:rPr>
          <w:rFonts w:ascii="Arial Narrow" w:eastAsia="Times New Roman" w:hAnsi="Arial Narrow" w:cs="Times New Roman"/>
          <w:b/>
          <w:sz w:val="28"/>
          <w:szCs w:val="20"/>
          <w:lang w:eastAsia="pl-PL"/>
        </w:rPr>
        <w:lastRenderedPageBreak/>
        <w:t>D – 01.01.01 ODTWORZENIE TRASY I PUNKTÓW WYSOKOŚCIOWYCH</w:t>
      </w:r>
      <w:bookmarkEnd w:id="31"/>
      <w:bookmarkEnd w:id="32"/>
    </w:p>
    <w:p w14:paraId="5CEBCBE0" w14:textId="77777777" w:rsidR="003220D1" w:rsidRPr="003220D1" w:rsidRDefault="003220D1" w:rsidP="003220D1">
      <w:pPr>
        <w:overflowPunct w:val="0"/>
        <w:autoSpaceDE w:val="0"/>
        <w:autoSpaceDN w:val="0"/>
        <w:adjustRightInd w:val="0"/>
        <w:spacing w:after="0" w:line="240" w:lineRule="auto"/>
        <w:ind w:firstLine="709"/>
        <w:textAlignment w:val="baseline"/>
        <w:rPr>
          <w:rFonts w:ascii="Arial Narrow" w:eastAsia="Times New Roman" w:hAnsi="Arial Narrow" w:cs="Times New Roman"/>
          <w:sz w:val="20"/>
          <w:szCs w:val="24"/>
          <w:lang w:val="x-none" w:eastAsia="x-none"/>
        </w:rPr>
      </w:pPr>
      <w:r w:rsidRPr="003220D1">
        <w:rPr>
          <w:rFonts w:ascii="Arial Narrow" w:eastAsia="Times New Roman" w:hAnsi="Arial Narrow" w:cs="Times New Roman"/>
          <w:sz w:val="20"/>
          <w:szCs w:val="24"/>
          <w:lang w:val="x-none" w:eastAsia="x-none"/>
        </w:rPr>
        <w:t>Kod CPV: 45111000-8</w:t>
      </w:r>
    </w:p>
    <w:p w14:paraId="5CF94A6F" w14:textId="77777777" w:rsidR="003220D1" w:rsidRPr="003220D1" w:rsidRDefault="003220D1" w:rsidP="003220D1">
      <w:pPr>
        <w:overflowPunct w:val="0"/>
        <w:autoSpaceDE w:val="0"/>
        <w:autoSpaceDN w:val="0"/>
        <w:adjustRightInd w:val="0"/>
        <w:spacing w:after="0" w:line="240" w:lineRule="auto"/>
        <w:ind w:firstLine="709"/>
        <w:textAlignment w:val="baseline"/>
        <w:rPr>
          <w:rFonts w:ascii="Arial Narrow" w:eastAsia="Times New Roman" w:hAnsi="Arial Narrow" w:cs="Times New Roman"/>
          <w:sz w:val="20"/>
          <w:szCs w:val="24"/>
          <w:lang w:val="x-none" w:eastAsia="x-none"/>
        </w:rPr>
      </w:pPr>
      <w:r w:rsidRPr="003220D1">
        <w:rPr>
          <w:rFonts w:ascii="Arial Narrow" w:eastAsia="Times New Roman" w:hAnsi="Arial Narrow" w:cs="Times New Roman"/>
          <w:sz w:val="20"/>
          <w:szCs w:val="24"/>
          <w:lang w:val="x-none" w:eastAsia="x-none"/>
        </w:rPr>
        <w:t>Roboty w zakresie burzenia, roboty ziemne.</w:t>
      </w:r>
    </w:p>
    <w:p w14:paraId="62A95A0A" w14:textId="77777777" w:rsidR="003220D1" w:rsidRPr="003220D1" w:rsidRDefault="003220D1" w:rsidP="003220D1">
      <w:pPr>
        <w:spacing w:after="0" w:line="240" w:lineRule="auto"/>
        <w:ind w:firstLine="454"/>
        <w:jc w:val="center"/>
        <w:rPr>
          <w:rFonts w:ascii="Arial Narrow" w:eastAsia="Calibri" w:hAnsi="Arial Narrow" w:cs="Times New Roman"/>
        </w:rPr>
      </w:pPr>
    </w:p>
    <w:p w14:paraId="15F02A0C"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3220D1">
        <w:rPr>
          <w:rFonts w:ascii="Arial Narrow" w:eastAsia="Times New Roman" w:hAnsi="Arial Narrow" w:cs="Times New Roman"/>
          <w:b/>
          <w:caps/>
          <w:kern w:val="28"/>
          <w:sz w:val="28"/>
          <w:szCs w:val="20"/>
          <w:lang w:eastAsia="x-none"/>
        </w:rPr>
        <w:t xml:space="preserve">1. </w:t>
      </w:r>
      <w:r w:rsidRPr="003220D1">
        <w:rPr>
          <w:rFonts w:ascii="Arial Narrow" w:eastAsia="Times New Roman" w:hAnsi="Arial Narrow" w:cs="Times New Roman"/>
          <w:b/>
          <w:caps/>
          <w:kern w:val="28"/>
          <w:sz w:val="28"/>
          <w:szCs w:val="20"/>
          <w:lang w:val="x-none" w:eastAsia="x-none"/>
        </w:rPr>
        <w:t>wstęp</w:t>
      </w:r>
    </w:p>
    <w:p w14:paraId="3989BDDD"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3220D1">
        <w:rPr>
          <w:rFonts w:ascii="Arial Narrow" w:eastAsia="Times New Roman" w:hAnsi="Arial Narrow" w:cs="Times New Roman"/>
          <w:b/>
          <w:sz w:val="28"/>
          <w:szCs w:val="20"/>
          <w:lang w:eastAsia="x-none"/>
        </w:rPr>
        <w:t xml:space="preserve">1.1 </w:t>
      </w:r>
      <w:r w:rsidRPr="003220D1">
        <w:rPr>
          <w:rFonts w:ascii="Arial Narrow" w:eastAsia="Times New Roman" w:hAnsi="Arial Narrow" w:cs="Times New Roman"/>
          <w:b/>
          <w:sz w:val="28"/>
          <w:szCs w:val="20"/>
          <w:lang w:val="x-none" w:eastAsia="x-none"/>
        </w:rPr>
        <w:t>Przedmiot STWiORB</w:t>
      </w:r>
    </w:p>
    <w:p w14:paraId="7445A744" w14:textId="77777777" w:rsidR="003220D1" w:rsidRPr="003220D1" w:rsidRDefault="003220D1" w:rsidP="003220D1">
      <w:pPr>
        <w:spacing w:after="0" w:line="240" w:lineRule="auto"/>
        <w:ind w:firstLine="454"/>
        <w:jc w:val="both"/>
        <w:rPr>
          <w:rFonts w:ascii="Arial Narrow" w:eastAsia="Calibri" w:hAnsi="Arial Narrow" w:cs="Times New Roman"/>
          <w:sz w:val="20"/>
        </w:rPr>
      </w:pPr>
      <w:r w:rsidRPr="003220D1">
        <w:rPr>
          <w:rFonts w:ascii="Arial Narrow" w:eastAsia="Times New Roman" w:hAnsi="Arial Narrow" w:cs="Times New Roman"/>
          <w:sz w:val="20"/>
          <w:szCs w:val="20"/>
          <w:lang w:eastAsia="pl-PL"/>
        </w:rPr>
        <w:t>Przedmiotem niniejszej szczegółowej specyfikacji technicznej (SST) są wymagania dotyczące wykonania i odbioru robót związanych z odtworzeniem trasy drogowej i jej punktów wysokościowych</w:t>
      </w:r>
      <w:r w:rsidRPr="003220D1">
        <w:rPr>
          <w:rFonts w:ascii="Arial Narrow" w:eastAsia="Calibri" w:hAnsi="Arial Narrow" w:cs="Times New Roman"/>
          <w:sz w:val="20"/>
        </w:rPr>
        <w:t>.</w:t>
      </w:r>
    </w:p>
    <w:p w14:paraId="2F2ECFB2"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3220D1">
        <w:rPr>
          <w:rFonts w:ascii="Arial Narrow" w:eastAsia="Times New Roman" w:hAnsi="Arial Narrow" w:cs="Times New Roman"/>
          <w:b/>
          <w:sz w:val="28"/>
          <w:szCs w:val="20"/>
          <w:lang w:eastAsia="x-none"/>
        </w:rPr>
        <w:t xml:space="preserve">1.2 </w:t>
      </w:r>
      <w:r w:rsidRPr="003220D1">
        <w:rPr>
          <w:rFonts w:ascii="Arial Narrow" w:eastAsia="Times New Roman" w:hAnsi="Arial Narrow" w:cs="Times New Roman"/>
          <w:b/>
          <w:sz w:val="28"/>
          <w:szCs w:val="20"/>
          <w:lang w:val="x-none" w:eastAsia="x-none"/>
        </w:rPr>
        <w:t>Zakres stosowania STWiORB</w:t>
      </w:r>
    </w:p>
    <w:p w14:paraId="5D3C11DA" w14:textId="13E3FC92" w:rsidR="003220D1" w:rsidRPr="003220D1" w:rsidRDefault="003220D1" w:rsidP="00B7753A">
      <w:pPr>
        <w:tabs>
          <w:tab w:val="left" w:pos="-1440"/>
          <w:tab w:val="left" w:pos="-720"/>
          <w:tab w:val="left" w:pos="0"/>
        </w:tabs>
        <w:spacing w:after="0" w:line="240" w:lineRule="auto"/>
        <w:ind w:firstLine="454"/>
        <w:jc w:val="both"/>
        <w:rPr>
          <w:rFonts w:ascii="Arial Narrow" w:eastAsia="Times New Roman" w:hAnsi="Arial Narrow" w:cs="Times New Roman"/>
          <w:b/>
          <w:sz w:val="28"/>
          <w:szCs w:val="20"/>
          <w:lang w:val="x-none" w:eastAsia="x-none"/>
        </w:rPr>
      </w:pPr>
      <w:r w:rsidRPr="003220D1">
        <w:rPr>
          <w:rFonts w:ascii="Arial Narrow" w:eastAsia="Calibri" w:hAnsi="Arial Narrow" w:cs="Arial"/>
          <w:sz w:val="20"/>
        </w:rPr>
        <w:t xml:space="preserve">Specyfikacje Techniczne Wykonania i Odbioru Robót Budowlanych </w:t>
      </w:r>
      <w:r w:rsidRPr="003220D1">
        <w:rPr>
          <w:rFonts w:ascii="Arial Narrow" w:eastAsia="Calibri" w:hAnsi="Arial Narrow" w:cs="Arial"/>
          <w:spacing w:val="-3"/>
          <w:sz w:val="20"/>
        </w:rPr>
        <w:t xml:space="preserve">stanowią Dokument Przetargowy i Kontraktowy przy zlecaniu i realizacji robót na drogach </w:t>
      </w:r>
    </w:p>
    <w:p w14:paraId="6485B614"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Ustalenia zawarte w niniejszej specyfikacji dotyczą zasad prowadzenia robót związanych z wszystkimi czynnościami umożliwiającymi i mającymi na celu odtworzenie w terenie przebiegu trasy drogowej oraz położenia obiektów inżynierskich.</w:t>
      </w:r>
    </w:p>
    <w:p w14:paraId="78A70DF4"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val="x-none" w:eastAsia="x-none"/>
        </w:rPr>
        <w:t>1.3.1. Odtworzenie trasy i punktów wysokościowych</w:t>
      </w:r>
    </w:p>
    <w:p w14:paraId="3BCF5109"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 zakres robót pomiarowych, związanych z odtworzeniem trasy i punktów wysokościowych wchodzą:</w:t>
      </w:r>
    </w:p>
    <w:p w14:paraId="1B64A8CE"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sprawdzenie wyznaczenia sytuacyjnego i wysokościowego punktów głównych osi trasy   i punktów wysokościowych,</w:t>
      </w:r>
    </w:p>
    <w:p w14:paraId="7FAC94D7"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uzupełnienie osi trasy dodatkowymi punktami (wyznaczenie osi),</w:t>
      </w:r>
    </w:p>
    <w:p w14:paraId="1AD6EA2D"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wyznaczenie dodatkowych punktów wysokościowych (reperów roboczych),</w:t>
      </w:r>
    </w:p>
    <w:p w14:paraId="41E293BE"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wyznaczenie przekrojów poprzecznych,</w:t>
      </w:r>
    </w:p>
    <w:p w14:paraId="2C4AC03C"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wyznaczenie obiektów budowlanych,</w:t>
      </w:r>
    </w:p>
    <w:p w14:paraId="4ABD79F7"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wyznaczenie tras sieci projektowanych,</w:t>
      </w:r>
    </w:p>
    <w:p w14:paraId="61FCCD19"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zastabilizowanie punktów w sposób trwały, ochrona ich przed zniszczeniem oraz oznakowanie w sposób ułatwiający odszukanie i ewentualne odtworzenie.</w:t>
      </w:r>
    </w:p>
    <w:p w14:paraId="3A552627"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val="x-none" w:eastAsia="x-none"/>
        </w:rPr>
        <w:t>1.3.2. Wyznaczenie przepustów</w:t>
      </w:r>
    </w:p>
    <w:p w14:paraId="6FA5797C"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Wyznaczenie przepustów obejmuje sprawdzenie wyznaczenia osi obiektu i punktów wysokościowych, zastabilizowanie ich w sposób trwały, ochronę ich przed zniszczeniem, oznakowanie w sposób ułatwiający odszukanie i ewentualne odtworzenie oraz wyznaczenie usytuowania obiektu.</w:t>
      </w:r>
    </w:p>
    <w:p w14:paraId="3A3289A7"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33" w:name="_Toc495829520"/>
      <w:r w:rsidRPr="003220D1">
        <w:rPr>
          <w:rFonts w:ascii="Arial Narrow" w:eastAsia="Times New Roman" w:hAnsi="Arial Narrow" w:cs="Times New Roman"/>
          <w:b/>
          <w:sz w:val="28"/>
          <w:szCs w:val="20"/>
          <w:lang w:val="x-none" w:eastAsia="x-none"/>
        </w:rPr>
        <w:t>1.4. Określenia podstawowe</w:t>
      </w:r>
      <w:bookmarkEnd w:id="33"/>
    </w:p>
    <w:p w14:paraId="3FD78C08"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t xml:space="preserve">1.4.1. </w:t>
      </w:r>
      <w:r w:rsidRPr="003220D1">
        <w:rPr>
          <w:rFonts w:ascii="Arial Narrow" w:eastAsia="Times New Roman" w:hAnsi="Arial Narrow" w:cs="Times New Roman"/>
          <w:sz w:val="20"/>
          <w:szCs w:val="20"/>
          <w:lang w:eastAsia="pl-PL"/>
        </w:rPr>
        <w:t>Punkty główne trasy - punkty załamania osi trasy, punkty kierunkowe oraz początkowy i końcowy punkt trasy.</w:t>
      </w:r>
    </w:p>
    <w:p w14:paraId="4B23E9DE"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t xml:space="preserve">1.4.2. </w:t>
      </w:r>
      <w:r w:rsidRPr="003220D1">
        <w:rPr>
          <w:rFonts w:ascii="Arial Narrow" w:eastAsia="Times New Roman" w:hAnsi="Arial Narrow" w:cs="Times New Roman"/>
          <w:sz w:val="20"/>
          <w:szCs w:val="20"/>
          <w:lang w:eastAsia="pl-PL"/>
        </w:rPr>
        <w:t>Pozostałe określenia podstawowe są zgodne z obowiązującymi, odpowiednimi polskimi normami i z definicjami podanymi w SST D-M-00.00.00 „Wymagania ogólne” pkt 1.4.</w:t>
      </w:r>
    </w:p>
    <w:p w14:paraId="3BCFD71F"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34" w:name="_Toc495829521"/>
      <w:r w:rsidRPr="003220D1">
        <w:rPr>
          <w:rFonts w:ascii="Arial Narrow" w:eastAsia="Times New Roman" w:hAnsi="Arial Narrow" w:cs="Times New Roman"/>
          <w:b/>
          <w:sz w:val="28"/>
          <w:szCs w:val="20"/>
          <w:lang w:val="x-none" w:eastAsia="x-none"/>
        </w:rPr>
        <w:t>1.5. Ogólne wymagania dotyczące robót</w:t>
      </w:r>
      <w:bookmarkEnd w:id="34"/>
    </w:p>
    <w:p w14:paraId="2F7C8233"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wymagania dotyczące robót podano w SST D-M-00.00.00 „Wymagania ogólne” pkt 1.5.</w:t>
      </w:r>
    </w:p>
    <w:p w14:paraId="569BB25F"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35" w:name="_Toc495829522"/>
      <w:r w:rsidRPr="003220D1">
        <w:rPr>
          <w:rFonts w:ascii="Arial Narrow" w:eastAsia="Times New Roman" w:hAnsi="Arial Narrow" w:cs="Times New Roman"/>
          <w:b/>
          <w:caps/>
          <w:kern w:val="28"/>
          <w:sz w:val="28"/>
          <w:szCs w:val="20"/>
          <w:lang w:val="x-none" w:eastAsia="x-none"/>
        </w:rPr>
        <w:t>2. MATERIAŁY</w:t>
      </w:r>
      <w:bookmarkEnd w:id="35"/>
    </w:p>
    <w:p w14:paraId="2E16CA2B"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36" w:name="_Toc495829523"/>
      <w:r w:rsidRPr="003220D1">
        <w:rPr>
          <w:rFonts w:ascii="Arial Narrow" w:eastAsia="Times New Roman" w:hAnsi="Arial Narrow" w:cs="Times New Roman"/>
          <w:b/>
          <w:sz w:val="28"/>
          <w:szCs w:val="20"/>
          <w:lang w:val="x-none" w:eastAsia="x-none"/>
        </w:rPr>
        <w:t>2.1. Ogólne wymagania dotyczące materiałów</w:t>
      </w:r>
      <w:bookmarkEnd w:id="36"/>
    </w:p>
    <w:p w14:paraId="3B569D6D"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wymagania dotyczące materiałów, ich pozyskiwania i składowania podano w SST D-M-00.00.00 „Wymagania ogólne” pkt 2.</w:t>
      </w:r>
    </w:p>
    <w:p w14:paraId="04E23538"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37" w:name="_Toc495829524"/>
      <w:r w:rsidRPr="003220D1">
        <w:rPr>
          <w:rFonts w:ascii="Arial Narrow" w:eastAsia="Times New Roman" w:hAnsi="Arial Narrow" w:cs="Times New Roman"/>
          <w:b/>
          <w:sz w:val="28"/>
          <w:szCs w:val="20"/>
          <w:lang w:val="x-none" w:eastAsia="x-none"/>
        </w:rPr>
        <w:t>2.2. Rodzaje materiałów</w:t>
      </w:r>
      <w:bookmarkEnd w:id="37"/>
    </w:p>
    <w:p w14:paraId="752057E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Do utrwalenia punktów głównych trasy należy stosować pale drewniane z gwoździem lub prętem stalowym, słupki betonowe albo rury metalowe o długości około </w:t>
      </w:r>
      <w:smartTag w:uri="urn:schemas-microsoft-com:office:smarttags" w:element="metricconverter">
        <w:smartTagPr>
          <w:attr w:name="ProductID" w:val="0,50 metra"/>
        </w:smartTagPr>
        <w:r w:rsidRPr="003220D1">
          <w:rPr>
            <w:rFonts w:ascii="Arial Narrow" w:eastAsia="Times New Roman" w:hAnsi="Arial Narrow" w:cs="Times New Roman"/>
            <w:sz w:val="20"/>
            <w:szCs w:val="20"/>
            <w:lang w:eastAsia="pl-PL"/>
          </w:rPr>
          <w:t>0,50 metra</w:t>
        </w:r>
      </w:smartTag>
      <w:r w:rsidRPr="003220D1">
        <w:rPr>
          <w:rFonts w:ascii="Arial Narrow" w:eastAsia="Times New Roman" w:hAnsi="Arial Narrow" w:cs="Times New Roman"/>
          <w:sz w:val="20"/>
          <w:szCs w:val="20"/>
          <w:lang w:eastAsia="pl-PL"/>
        </w:rPr>
        <w:t>.</w:t>
      </w:r>
    </w:p>
    <w:p w14:paraId="74D9C383"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Pale drewniane umieszczone poza granicą robót ziemnych, w sąsiedztwie punktów załamania trasy, powinny mieć średnicę od  0,15 do </w:t>
      </w:r>
      <w:smartTag w:uri="urn:schemas-microsoft-com:office:smarttags" w:element="metricconverter">
        <w:smartTagPr>
          <w:attr w:name="ProductID" w:val="0,20 m"/>
        </w:smartTagPr>
        <w:r w:rsidRPr="003220D1">
          <w:rPr>
            <w:rFonts w:ascii="Arial Narrow" w:eastAsia="Times New Roman" w:hAnsi="Arial Narrow" w:cs="Times New Roman"/>
            <w:sz w:val="20"/>
            <w:szCs w:val="20"/>
            <w:lang w:eastAsia="pl-PL"/>
          </w:rPr>
          <w:t>0,20 m</w:t>
        </w:r>
      </w:smartTag>
      <w:r w:rsidRPr="003220D1">
        <w:rPr>
          <w:rFonts w:ascii="Arial Narrow" w:eastAsia="Times New Roman" w:hAnsi="Arial Narrow" w:cs="Times New Roman"/>
          <w:sz w:val="20"/>
          <w:szCs w:val="20"/>
          <w:lang w:eastAsia="pl-PL"/>
        </w:rPr>
        <w:t xml:space="preserve">  i długość od 1,5 do </w:t>
      </w:r>
      <w:smartTag w:uri="urn:schemas-microsoft-com:office:smarttags" w:element="metricconverter">
        <w:smartTagPr>
          <w:attr w:name="ProductID" w:val="1,7 m"/>
        </w:smartTagPr>
        <w:r w:rsidRPr="003220D1">
          <w:rPr>
            <w:rFonts w:ascii="Arial Narrow" w:eastAsia="Times New Roman" w:hAnsi="Arial Narrow" w:cs="Times New Roman"/>
            <w:sz w:val="20"/>
            <w:szCs w:val="20"/>
            <w:lang w:eastAsia="pl-PL"/>
          </w:rPr>
          <w:t>1,7 m</w:t>
        </w:r>
      </w:smartTag>
      <w:r w:rsidRPr="003220D1">
        <w:rPr>
          <w:rFonts w:ascii="Arial Narrow" w:eastAsia="Times New Roman" w:hAnsi="Arial Narrow" w:cs="Times New Roman"/>
          <w:sz w:val="20"/>
          <w:szCs w:val="20"/>
          <w:lang w:eastAsia="pl-PL"/>
        </w:rPr>
        <w:t>.</w:t>
      </w:r>
    </w:p>
    <w:p w14:paraId="612E5D38"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Do stabilizacji pozostałych punktów należy stosować paliki drewniane średnicy od 0,05 do </w:t>
      </w:r>
      <w:smartTag w:uri="urn:schemas-microsoft-com:office:smarttags" w:element="metricconverter">
        <w:smartTagPr>
          <w:attr w:name="ProductID" w:val="0,08 m"/>
        </w:smartTagPr>
        <w:r w:rsidRPr="003220D1">
          <w:rPr>
            <w:rFonts w:ascii="Arial Narrow" w:eastAsia="Times New Roman" w:hAnsi="Arial Narrow" w:cs="Times New Roman"/>
            <w:sz w:val="20"/>
            <w:szCs w:val="20"/>
            <w:lang w:eastAsia="pl-PL"/>
          </w:rPr>
          <w:t>0,08 m</w:t>
        </w:r>
      </w:smartTag>
      <w:r w:rsidRPr="003220D1">
        <w:rPr>
          <w:rFonts w:ascii="Arial Narrow" w:eastAsia="Times New Roman" w:hAnsi="Arial Narrow" w:cs="Times New Roman"/>
          <w:sz w:val="20"/>
          <w:szCs w:val="20"/>
          <w:lang w:eastAsia="pl-PL"/>
        </w:rPr>
        <w:t xml:space="preserve"> i długości około </w:t>
      </w:r>
      <w:smartTag w:uri="urn:schemas-microsoft-com:office:smarttags" w:element="metricconverter">
        <w:smartTagPr>
          <w:attr w:name="ProductID" w:val="0,30 m"/>
        </w:smartTagPr>
        <w:r w:rsidRPr="003220D1">
          <w:rPr>
            <w:rFonts w:ascii="Arial Narrow" w:eastAsia="Times New Roman" w:hAnsi="Arial Narrow" w:cs="Times New Roman"/>
            <w:sz w:val="20"/>
            <w:szCs w:val="20"/>
            <w:lang w:eastAsia="pl-PL"/>
          </w:rPr>
          <w:t>0,30 m</w:t>
        </w:r>
      </w:smartTag>
      <w:r w:rsidRPr="003220D1">
        <w:rPr>
          <w:rFonts w:ascii="Arial Narrow" w:eastAsia="Times New Roman" w:hAnsi="Arial Narrow" w:cs="Times New Roman"/>
          <w:sz w:val="20"/>
          <w:szCs w:val="20"/>
          <w:lang w:eastAsia="pl-PL"/>
        </w:rPr>
        <w:t xml:space="preserve">, a dla punktów utrwalanych w istniejącej nawierzchni bolce stalowe średnicy </w:t>
      </w:r>
      <w:smartTag w:uri="urn:schemas-microsoft-com:office:smarttags" w:element="metricconverter">
        <w:smartTagPr>
          <w:attr w:name="ProductID" w:val="5 mm"/>
        </w:smartTagPr>
        <w:r w:rsidRPr="003220D1">
          <w:rPr>
            <w:rFonts w:ascii="Arial Narrow" w:eastAsia="Times New Roman" w:hAnsi="Arial Narrow" w:cs="Times New Roman"/>
            <w:sz w:val="20"/>
            <w:szCs w:val="20"/>
            <w:lang w:eastAsia="pl-PL"/>
          </w:rPr>
          <w:t>5 mm</w:t>
        </w:r>
      </w:smartTag>
      <w:r w:rsidRPr="003220D1">
        <w:rPr>
          <w:rFonts w:ascii="Arial Narrow" w:eastAsia="Times New Roman" w:hAnsi="Arial Narrow" w:cs="Times New Roman"/>
          <w:sz w:val="20"/>
          <w:szCs w:val="20"/>
          <w:lang w:eastAsia="pl-PL"/>
        </w:rPr>
        <w:t xml:space="preserve"> i długości od  0,04 do </w:t>
      </w:r>
      <w:smartTag w:uri="urn:schemas-microsoft-com:office:smarttags" w:element="metricconverter">
        <w:smartTagPr>
          <w:attr w:name="ProductID" w:val="0,05 m"/>
        </w:smartTagPr>
        <w:r w:rsidRPr="003220D1">
          <w:rPr>
            <w:rFonts w:ascii="Arial Narrow" w:eastAsia="Times New Roman" w:hAnsi="Arial Narrow" w:cs="Times New Roman"/>
            <w:sz w:val="20"/>
            <w:szCs w:val="20"/>
            <w:lang w:eastAsia="pl-PL"/>
          </w:rPr>
          <w:t>0,05 m</w:t>
        </w:r>
      </w:smartTag>
      <w:r w:rsidRPr="003220D1">
        <w:rPr>
          <w:rFonts w:ascii="Arial Narrow" w:eastAsia="Times New Roman" w:hAnsi="Arial Narrow" w:cs="Times New Roman"/>
          <w:sz w:val="20"/>
          <w:szCs w:val="20"/>
          <w:lang w:eastAsia="pl-PL"/>
        </w:rPr>
        <w:t>.</w:t>
      </w:r>
    </w:p>
    <w:p w14:paraId="4ABB0516"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sidDel="00E47A60">
        <w:rPr>
          <w:rFonts w:ascii="Arial Narrow" w:eastAsia="Times New Roman" w:hAnsi="Arial Narrow" w:cs="Times New Roman"/>
          <w:sz w:val="20"/>
          <w:szCs w:val="20"/>
          <w:lang w:eastAsia="pl-PL"/>
        </w:rPr>
        <w:t xml:space="preserve"> </w:t>
      </w:r>
      <w:r w:rsidRPr="003220D1">
        <w:rPr>
          <w:rFonts w:ascii="Arial Narrow" w:eastAsia="Times New Roman" w:hAnsi="Arial Narrow" w:cs="Times New Roman"/>
          <w:sz w:val="20"/>
          <w:szCs w:val="20"/>
          <w:lang w:eastAsia="pl-PL"/>
        </w:rPr>
        <w:t xml:space="preserve">„Świadki” powinny mieć długość około </w:t>
      </w:r>
      <w:smartTag w:uri="urn:schemas-microsoft-com:office:smarttags" w:element="metricconverter">
        <w:smartTagPr>
          <w:attr w:name="ProductID" w:val="0,50 m"/>
        </w:smartTagPr>
        <w:r w:rsidRPr="003220D1">
          <w:rPr>
            <w:rFonts w:ascii="Arial Narrow" w:eastAsia="Times New Roman" w:hAnsi="Arial Narrow" w:cs="Times New Roman"/>
            <w:sz w:val="20"/>
            <w:szCs w:val="20"/>
            <w:lang w:eastAsia="pl-PL"/>
          </w:rPr>
          <w:t>0,50 m</w:t>
        </w:r>
      </w:smartTag>
      <w:r w:rsidRPr="003220D1">
        <w:rPr>
          <w:rFonts w:ascii="Arial Narrow" w:eastAsia="Times New Roman" w:hAnsi="Arial Narrow" w:cs="Times New Roman"/>
          <w:sz w:val="20"/>
          <w:szCs w:val="20"/>
          <w:lang w:eastAsia="pl-PL"/>
        </w:rPr>
        <w:t xml:space="preserve"> i przekrój prostokątny.</w:t>
      </w:r>
    </w:p>
    <w:p w14:paraId="03BEEB5F"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38" w:name="_Toc495829525"/>
      <w:r w:rsidRPr="003220D1">
        <w:rPr>
          <w:rFonts w:ascii="Arial Narrow" w:eastAsia="Times New Roman" w:hAnsi="Arial Narrow" w:cs="Times New Roman"/>
          <w:b/>
          <w:caps/>
          <w:kern w:val="28"/>
          <w:sz w:val="28"/>
          <w:szCs w:val="20"/>
          <w:lang w:val="x-none" w:eastAsia="x-none"/>
        </w:rPr>
        <w:t>3. SPRZĘT</w:t>
      </w:r>
      <w:bookmarkEnd w:id="38"/>
    </w:p>
    <w:p w14:paraId="4E584ED6"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39" w:name="_Toc495829526"/>
      <w:r w:rsidRPr="003220D1">
        <w:rPr>
          <w:rFonts w:ascii="Arial Narrow" w:eastAsia="Times New Roman" w:hAnsi="Arial Narrow" w:cs="Times New Roman"/>
          <w:b/>
          <w:sz w:val="28"/>
          <w:szCs w:val="20"/>
          <w:lang w:val="x-none" w:eastAsia="x-none"/>
        </w:rPr>
        <w:t>3.1. Ogólne wymagania dotyczące sprzętu</w:t>
      </w:r>
      <w:bookmarkEnd w:id="39"/>
    </w:p>
    <w:p w14:paraId="2CD551D8"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wymagania dotyczące sprzętu podano w SST D-M-00.00.00 „Wymagania ogólne” pkt 3.</w:t>
      </w:r>
    </w:p>
    <w:p w14:paraId="0EB186BE"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40" w:name="_Toc495829527"/>
      <w:r w:rsidRPr="003220D1">
        <w:rPr>
          <w:rFonts w:ascii="Arial Narrow" w:eastAsia="Times New Roman" w:hAnsi="Arial Narrow" w:cs="Times New Roman"/>
          <w:b/>
          <w:sz w:val="28"/>
          <w:szCs w:val="20"/>
          <w:lang w:val="x-none" w:eastAsia="x-none"/>
        </w:rPr>
        <w:t>3.2. Sprzęt pomiarowy</w:t>
      </w:r>
      <w:bookmarkEnd w:id="40"/>
    </w:p>
    <w:p w14:paraId="4B8ACE23" w14:textId="77777777" w:rsidR="003220D1" w:rsidRPr="003220D1" w:rsidRDefault="003220D1" w:rsidP="003220D1">
      <w:pPr>
        <w:tabs>
          <w:tab w:val="left" w:pos="0"/>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Do odtworzenia sytuacyjnego trasy i punktów wysokościowych należy stosować następujący sprzęt:</w:t>
      </w:r>
    </w:p>
    <w:p w14:paraId="2712E783"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teodolity lub tachimetry,</w:t>
      </w:r>
    </w:p>
    <w:p w14:paraId="1B485B6B"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niwelatory,</w:t>
      </w:r>
    </w:p>
    <w:p w14:paraId="41E7CEA5"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dalmierze,</w:t>
      </w:r>
    </w:p>
    <w:p w14:paraId="74EF6150"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tyczki,</w:t>
      </w:r>
    </w:p>
    <w:p w14:paraId="1E751DF2"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łaty,</w:t>
      </w:r>
    </w:p>
    <w:p w14:paraId="0E0A8557"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taśmy stalowe, szpilki.</w:t>
      </w:r>
    </w:p>
    <w:p w14:paraId="44AA0577"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lastRenderedPageBreak/>
        <w:t>Sprzęt stosowany do odtworzenia trasy drogowej i jej punktów wysokościowych powinien gwarantować uzyskanie wymaganej dokładności pomiaru.</w:t>
      </w:r>
    </w:p>
    <w:p w14:paraId="49A07C2C"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41" w:name="_Toc495829528"/>
      <w:r w:rsidRPr="003220D1">
        <w:rPr>
          <w:rFonts w:ascii="Arial Narrow" w:eastAsia="Times New Roman" w:hAnsi="Arial Narrow" w:cs="Times New Roman"/>
          <w:b/>
          <w:caps/>
          <w:kern w:val="28"/>
          <w:sz w:val="28"/>
          <w:szCs w:val="20"/>
          <w:lang w:val="x-none" w:eastAsia="x-none"/>
        </w:rPr>
        <w:t>4. TRANSPORT</w:t>
      </w:r>
      <w:bookmarkEnd w:id="41"/>
    </w:p>
    <w:p w14:paraId="2CC88AF0"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42" w:name="_Toc495829529"/>
      <w:r w:rsidRPr="003220D1">
        <w:rPr>
          <w:rFonts w:ascii="Arial Narrow" w:eastAsia="Times New Roman" w:hAnsi="Arial Narrow" w:cs="Times New Roman"/>
          <w:b/>
          <w:sz w:val="28"/>
          <w:szCs w:val="20"/>
          <w:lang w:val="x-none" w:eastAsia="x-none"/>
        </w:rPr>
        <w:t>4.1. Ogólne wymagania dotyczące transportu</w:t>
      </w:r>
      <w:bookmarkEnd w:id="42"/>
    </w:p>
    <w:p w14:paraId="2486E2B2"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wymagania dotyczące transportu podano w SST D-M-00.00.00 „Wymagania ogólne” pkt 4.</w:t>
      </w:r>
    </w:p>
    <w:p w14:paraId="65B38168"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43" w:name="_Toc495829530"/>
      <w:r w:rsidRPr="003220D1">
        <w:rPr>
          <w:rFonts w:ascii="Arial Narrow" w:eastAsia="Times New Roman" w:hAnsi="Arial Narrow" w:cs="Times New Roman"/>
          <w:b/>
          <w:sz w:val="28"/>
          <w:szCs w:val="20"/>
          <w:lang w:val="x-none" w:eastAsia="x-none"/>
        </w:rPr>
        <w:t>4.2. Transport sprzętu i materiałów</w:t>
      </w:r>
      <w:bookmarkEnd w:id="43"/>
    </w:p>
    <w:p w14:paraId="32785C35"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Sprzęt i materiały do odtworzenia trasy można przewozić dowolnymi środkami transportu.</w:t>
      </w:r>
    </w:p>
    <w:p w14:paraId="4E762689"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44" w:name="_Toc495829531"/>
      <w:r w:rsidRPr="003220D1">
        <w:rPr>
          <w:rFonts w:ascii="Arial Narrow" w:eastAsia="Times New Roman" w:hAnsi="Arial Narrow" w:cs="Times New Roman"/>
          <w:b/>
          <w:caps/>
          <w:kern w:val="28"/>
          <w:sz w:val="28"/>
          <w:szCs w:val="20"/>
          <w:lang w:val="x-none" w:eastAsia="x-none"/>
        </w:rPr>
        <w:t>5. WYKONANIE ROBÓT</w:t>
      </w:r>
      <w:bookmarkEnd w:id="44"/>
    </w:p>
    <w:p w14:paraId="25B121F9"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45" w:name="_Toc495829532"/>
      <w:r w:rsidRPr="003220D1">
        <w:rPr>
          <w:rFonts w:ascii="Arial Narrow" w:eastAsia="Times New Roman" w:hAnsi="Arial Narrow" w:cs="Times New Roman"/>
          <w:b/>
          <w:sz w:val="28"/>
          <w:szCs w:val="20"/>
          <w:lang w:val="x-none" w:eastAsia="x-none"/>
        </w:rPr>
        <w:t>5.1. Ogólne zasady wykonania robót</w:t>
      </w:r>
      <w:bookmarkEnd w:id="45"/>
    </w:p>
    <w:p w14:paraId="17711CE2"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zasady wykonania robót podano w SST D-M-00.00.00 „Wymagania ogólne” pkt 5.</w:t>
      </w:r>
    </w:p>
    <w:p w14:paraId="696DD241"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46" w:name="_Toc495829533"/>
      <w:r w:rsidRPr="003220D1">
        <w:rPr>
          <w:rFonts w:ascii="Arial Narrow" w:eastAsia="Times New Roman" w:hAnsi="Arial Narrow" w:cs="Times New Roman"/>
          <w:b/>
          <w:sz w:val="28"/>
          <w:szCs w:val="20"/>
          <w:lang w:val="x-none" w:eastAsia="x-none"/>
        </w:rPr>
        <w:t>5.2. Zasady wykonywania prac pomiarowych</w:t>
      </w:r>
      <w:bookmarkEnd w:id="46"/>
    </w:p>
    <w:p w14:paraId="352804BF"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Prace pomiarowe powinny być wykonane zgodnie z obowiązującymi Instrukcjami GUGiK (od 1 do 7).</w:t>
      </w:r>
    </w:p>
    <w:p w14:paraId="5B4AD3E6"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Przed przystąpieniem do robót Wykonawca powinien przejąć od Zamawiającego dane zawierające lokalizację i współrzędne punktów głównych trasy oraz reperów.</w:t>
      </w:r>
    </w:p>
    <w:p w14:paraId="60B00774"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 oparciu o materiały dostarczone przez Zamawiającego, Wykonawca powinien przeprowadzić obliczenia i pomiary geodezyjne niezbędne do szczegółowego wytyczenia robót.</w:t>
      </w:r>
    </w:p>
    <w:p w14:paraId="5C1AD25E"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Prace pomiarowe powinny być wykonane przez osoby posiadające odpowiednie kwalifikacje i uprawnienia.</w:t>
      </w:r>
    </w:p>
    <w:p w14:paraId="0C054934"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Wykonawca powinien natychmiast poinformować Inżyniera o wszelkich błędach wykrytych w wytyczeniu punktów głównych trasy i (lub) reperów roboczych. Błędy te powinny być usunięte na koszt Zamawiającego.</w:t>
      </w:r>
    </w:p>
    <w:p w14:paraId="41D5F654"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14:paraId="4857D553"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Wszystkie roboty, które bazują na pomiarach Wykonawcy, nie mogą być rozpoczęte przed zaakceptowaniem wyników pomiarów przez Inżyniera.</w:t>
      </w:r>
    </w:p>
    <w:p w14:paraId="6C9F9EB3"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14:paraId="42983928"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Wykonawca jest odpowiedzialny za ochronę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14:paraId="64D57E62"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Wszystkie pozostałe prace pomiarowe konieczne dla prawidłowej realizacji robót należą do obowiązków Wykonawcy.</w:t>
      </w:r>
    </w:p>
    <w:p w14:paraId="6D5E610C"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47" w:name="_Toc495829534"/>
      <w:r w:rsidRPr="003220D1">
        <w:rPr>
          <w:rFonts w:ascii="Arial Narrow" w:eastAsia="Times New Roman" w:hAnsi="Arial Narrow" w:cs="Times New Roman"/>
          <w:b/>
          <w:sz w:val="28"/>
          <w:szCs w:val="20"/>
          <w:lang w:val="x-none" w:eastAsia="x-none"/>
        </w:rPr>
        <w:t>5.3. Sprawdzenie wyznaczenia punktów głównych osi trasy i punktów wysokościowych</w:t>
      </w:r>
      <w:bookmarkEnd w:id="47"/>
    </w:p>
    <w:p w14:paraId="58BDF554"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Punkty wierzchołkowe trasy i inne punkty główne powinny być zastabilizowane w sposób trwały, przy użyciu pali drewnianych lub słupków betonowych, a także dowiązane do punktów pomocniczych, położonych poza granicą robót ziemnych. Maksymalna odległość pomiędzy punktami głównymi na odcinkach prostych nie może przekraczać 100 m.</w:t>
      </w:r>
    </w:p>
    <w:p w14:paraId="0A798DFB"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Wykonawca ma założyć robocze punkty wysokościowe (repery robocze) wzdłuż osi trasy drogowej, a także przy każdym obiekcie inżynierskim. Maksymalna odległość między reperami roboczymi wzdłuż trasy drogowej w terenie płaskim powinna wynosić 100 metrów.</w:t>
      </w:r>
    </w:p>
    <w:p w14:paraId="74489053"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Repery robocze należy założyć poza granicami robót związanych z wykonaniem trasy drogowej i obiektów towarzyszących. Jako repery robocze można wykorzystać punkty stałe na stabilnych, istniejących budowlach wzdłuż trasy drogowej. O ile brak takich punktów, repery robocze należy założyć w postaci słupków betonowych lub grubych kształtowników stalowych, osadzonych w gruncie w sposób wykluczający osiadanie, zaakceptowany przez Inżyniera.</w:t>
      </w:r>
    </w:p>
    <w:p w14:paraId="1ED5BE8F"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Rzędne reperów roboczych należy określać z taką dokładnością, aby średni błąd niwelacji po wyrównaniu był mniejszy od 4 mm/km, stosując niwelację podwójną w nawiązaniu do reperów państwowych.</w:t>
      </w:r>
    </w:p>
    <w:p w14:paraId="08FC37EA"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Repery robocze powinny być wyposażone w dodatkowe oznaczenia, zawierające wyraźne i jednoznaczne określenie nazwy reperu i jego rzędnej.</w:t>
      </w:r>
    </w:p>
    <w:p w14:paraId="4EF9B5D1"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48" w:name="_Toc495829535"/>
      <w:r w:rsidRPr="003220D1">
        <w:rPr>
          <w:rFonts w:ascii="Arial Narrow" w:eastAsia="Times New Roman" w:hAnsi="Arial Narrow" w:cs="Times New Roman"/>
          <w:b/>
          <w:sz w:val="28"/>
          <w:szCs w:val="20"/>
          <w:lang w:val="x-none" w:eastAsia="x-none"/>
        </w:rPr>
        <w:t>5.4. Odtworzenie osi trasy</w:t>
      </w:r>
      <w:bookmarkEnd w:id="48"/>
    </w:p>
    <w:p w14:paraId="5CC0FA66"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Tyczenie osi trasy należy wykonać w oparciu o dokumentację projektową oraz inne dane geodezyjne przekazane przez Zamawiającego, przy wykorzystaniu sieci poligonizacji państwowej albo innej osnowy geodezyjnej, określonej w dokumentacji projektowej.</w:t>
      </w:r>
    </w:p>
    <w:p w14:paraId="72531556"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Oś trasy powinna być wyznaczona w punktach głównych i w punktach pośrednich w odległości zależnej od charakterystyki terenu i ukształtowania trasy, lecz nie rzadziej niż co </w:t>
      </w:r>
      <w:smartTag w:uri="urn:schemas-microsoft-com:office:smarttags" w:element="metricconverter">
        <w:smartTagPr>
          <w:attr w:name="ProductID" w:val="50 metr￳w"/>
        </w:smartTagPr>
        <w:r w:rsidRPr="003220D1">
          <w:rPr>
            <w:rFonts w:ascii="Arial Narrow" w:eastAsia="Times New Roman" w:hAnsi="Arial Narrow" w:cs="Times New Roman"/>
            <w:sz w:val="20"/>
            <w:szCs w:val="20"/>
            <w:lang w:eastAsia="pl-PL"/>
          </w:rPr>
          <w:t>50 metrów</w:t>
        </w:r>
      </w:smartTag>
      <w:r w:rsidRPr="003220D1">
        <w:rPr>
          <w:rFonts w:ascii="Arial Narrow" w:eastAsia="Times New Roman" w:hAnsi="Arial Narrow" w:cs="Times New Roman"/>
          <w:sz w:val="20"/>
          <w:szCs w:val="20"/>
          <w:lang w:eastAsia="pl-PL"/>
        </w:rPr>
        <w:t>.</w:t>
      </w:r>
    </w:p>
    <w:p w14:paraId="78666EDD"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Dopuszczalne odchylenie sytuacyjne wytyczonej osi trasy w stosunku do dokumentacji projektowej nie może być większe niż 3 cm. Rzędne niwelety punktów osi trasy należy wyznaczyć z dokładnością do </w:t>
      </w:r>
      <w:smartTag w:uri="urn:schemas-microsoft-com:office:smarttags" w:element="metricconverter">
        <w:smartTagPr>
          <w:attr w:name="ProductID" w:val="1 cm"/>
        </w:smartTagPr>
        <w:r w:rsidRPr="003220D1">
          <w:rPr>
            <w:rFonts w:ascii="Arial Narrow" w:eastAsia="Times New Roman" w:hAnsi="Arial Narrow" w:cs="Times New Roman"/>
            <w:sz w:val="20"/>
            <w:szCs w:val="20"/>
            <w:lang w:eastAsia="pl-PL"/>
          </w:rPr>
          <w:t>1 cm</w:t>
        </w:r>
      </w:smartTag>
      <w:r w:rsidRPr="003220D1">
        <w:rPr>
          <w:rFonts w:ascii="Arial Narrow" w:eastAsia="Times New Roman" w:hAnsi="Arial Narrow" w:cs="Times New Roman"/>
          <w:sz w:val="20"/>
          <w:szCs w:val="20"/>
          <w:lang w:eastAsia="pl-PL"/>
        </w:rPr>
        <w:t xml:space="preserve"> w stosunku do rzędnych niwelety określonych w dokumentacji projektowej.</w:t>
      </w:r>
    </w:p>
    <w:p w14:paraId="0CB80069"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lastRenderedPageBreak/>
        <w:t>Do utrwalenia osi trasy w terenie należy użyć materiałów wymienionych w pkt 2.2.</w:t>
      </w:r>
    </w:p>
    <w:p w14:paraId="09F473D2"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Usunięcie pali z osi trasy jest dopuszczalne tylko wówczas, gdy Wykonawca robót zastąpi je odpowiednimi palami po obu stronach osi, umieszczonych poza granicą robót.</w:t>
      </w:r>
    </w:p>
    <w:p w14:paraId="020BF132"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49" w:name="_Toc495829536"/>
      <w:r w:rsidRPr="003220D1">
        <w:rPr>
          <w:rFonts w:ascii="Arial Narrow" w:eastAsia="Times New Roman" w:hAnsi="Arial Narrow" w:cs="Times New Roman"/>
          <w:b/>
          <w:sz w:val="28"/>
          <w:szCs w:val="20"/>
          <w:lang w:val="x-none" w:eastAsia="x-none"/>
        </w:rPr>
        <w:t>5.5. Wyznaczenie przekrojów poprzecznych</w:t>
      </w:r>
      <w:bookmarkEnd w:id="49"/>
    </w:p>
    <w:p w14:paraId="1F30BD98"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14:paraId="2BE62D10"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Do wyznaczania krawędzi nasypów i wykopów należy stosować dobrze widoczne paliki lub wiechy. Wiechy należy stosować w przypadku nasypów o wysokości przekraczającej </w:t>
      </w:r>
      <w:smartTag w:uri="urn:schemas-microsoft-com:office:smarttags" w:element="metricconverter">
        <w:smartTagPr>
          <w:attr w:name="ProductID" w:val="1 metr"/>
        </w:smartTagPr>
        <w:r w:rsidRPr="003220D1">
          <w:rPr>
            <w:rFonts w:ascii="Arial Narrow" w:eastAsia="Times New Roman" w:hAnsi="Arial Narrow" w:cs="Times New Roman"/>
            <w:sz w:val="20"/>
            <w:szCs w:val="20"/>
            <w:lang w:eastAsia="pl-PL"/>
          </w:rPr>
          <w:t>1 metr</w:t>
        </w:r>
      </w:smartTag>
      <w:r w:rsidRPr="003220D1">
        <w:rPr>
          <w:rFonts w:ascii="Arial Narrow" w:eastAsia="Times New Roman" w:hAnsi="Arial Narrow" w:cs="Times New Roman"/>
          <w:sz w:val="20"/>
          <w:szCs w:val="20"/>
          <w:lang w:eastAsia="pl-PL"/>
        </w:rPr>
        <w:t xml:space="preserve"> oraz wykopów głębszych niż </w:t>
      </w:r>
      <w:smartTag w:uri="urn:schemas-microsoft-com:office:smarttags" w:element="metricconverter">
        <w:smartTagPr>
          <w:attr w:name="ProductID" w:val="1 metr"/>
        </w:smartTagPr>
        <w:r w:rsidRPr="003220D1">
          <w:rPr>
            <w:rFonts w:ascii="Arial Narrow" w:eastAsia="Times New Roman" w:hAnsi="Arial Narrow" w:cs="Times New Roman"/>
            <w:sz w:val="20"/>
            <w:szCs w:val="20"/>
            <w:lang w:eastAsia="pl-PL"/>
          </w:rPr>
          <w:t>1 metr</w:t>
        </w:r>
      </w:smartTag>
      <w:r w:rsidRPr="003220D1">
        <w:rPr>
          <w:rFonts w:ascii="Arial Narrow" w:eastAsia="Times New Roman" w:hAnsi="Arial Narrow" w:cs="Times New Roman"/>
          <w:sz w:val="20"/>
          <w:szCs w:val="20"/>
          <w:lang w:eastAsia="pl-PL"/>
        </w:rPr>
        <w:t>. Odległość między palikami lub wiechami należy dostosować do ukształtowania terenu oraz geometrii trasy drogowej. Odległość ta co najmniej powinna odpowiadać odstępowi kolejnych przekrojów poprzecznych.</w:t>
      </w:r>
    </w:p>
    <w:p w14:paraId="385B9C2D"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Profilowanie przekrojów poprzecznych musi umożliwiać wykonanie nasypów i wykopów o kształcie zgodnym z dokumentacją projektową.</w:t>
      </w:r>
    </w:p>
    <w:p w14:paraId="2D832A43"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0" w:name="_Toc495829537"/>
      <w:r w:rsidRPr="003220D1">
        <w:rPr>
          <w:rFonts w:ascii="Arial Narrow" w:eastAsia="Times New Roman" w:hAnsi="Arial Narrow" w:cs="Times New Roman"/>
          <w:b/>
          <w:sz w:val="28"/>
          <w:szCs w:val="20"/>
          <w:lang w:val="x-none" w:eastAsia="x-none"/>
        </w:rPr>
        <w:t>5.6. Wyznaczenie położenia przepustów</w:t>
      </w:r>
      <w:bookmarkEnd w:id="50"/>
    </w:p>
    <w:p w14:paraId="1BF923DC"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Dla każdego z przepustów należy wyznaczyć jego położenie w terenie poprzez:</w:t>
      </w:r>
    </w:p>
    <w:p w14:paraId="3FE16864"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wytyczenie osi obiektu,</w:t>
      </w:r>
    </w:p>
    <w:p w14:paraId="456EAA61"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wytyczenie punktów określających usytuowanie (kontur) obiektu.</w:t>
      </w:r>
    </w:p>
    <w:p w14:paraId="418B3437"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Położenie obiektu w planie należy określić z dokładnością określoną w punkcie 5.4.</w:t>
      </w:r>
    </w:p>
    <w:p w14:paraId="145EE7D1"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1" w:name="_Toc495829538"/>
      <w:r w:rsidRPr="003220D1">
        <w:rPr>
          <w:rFonts w:ascii="Arial Narrow" w:eastAsia="Times New Roman" w:hAnsi="Arial Narrow" w:cs="Times New Roman"/>
          <w:b/>
          <w:caps/>
          <w:kern w:val="28"/>
          <w:sz w:val="28"/>
          <w:szCs w:val="20"/>
          <w:lang w:val="x-none" w:eastAsia="x-none"/>
        </w:rPr>
        <w:t>6. KONTROLA JAKOŚCI ROBÓT</w:t>
      </w:r>
      <w:bookmarkEnd w:id="51"/>
    </w:p>
    <w:p w14:paraId="17EFFB7E"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2" w:name="_Toc495829539"/>
      <w:r w:rsidRPr="003220D1">
        <w:rPr>
          <w:rFonts w:ascii="Arial Narrow" w:eastAsia="Times New Roman" w:hAnsi="Arial Narrow" w:cs="Times New Roman"/>
          <w:b/>
          <w:sz w:val="28"/>
          <w:szCs w:val="20"/>
          <w:lang w:val="x-none" w:eastAsia="x-none"/>
        </w:rPr>
        <w:t>6.1. Ogólne zasady kontroli jakości robót</w:t>
      </w:r>
      <w:bookmarkEnd w:id="52"/>
    </w:p>
    <w:p w14:paraId="6C8FDDF2"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zasady kontroli jakości robót podano w SST D-M-00.00.00 „Wymagania ogólne” pkt 6.</w:t>
      </w:r>
    </w:p>
    <w:p w14:paraId="66429090"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3" w:name="_Toc495829540"/>
      <w:r w:rsidRPr="003220D1">
        <w:rPr>
          <w:rFonts w:ascii="Arial Narrow" w:eastAsia="Times New Roman" w:hAnsi="Arial Narrow" w:cs="Times New Roman"/>
          <w:b/>
          <w:sz w:val="28"/>
          <w:szCs w:val="20"/>
          <w:lang w:val="x-none" w:eastAsia="x-none"/>
        </w:rPr>
        <w:t>6.2. Kontrola jakości prac pomiarowych</w:t>
      </w:r>
      <w:bookmarkEnd w:id="53"/>
    </w:p>
    <w:p w14:paraId="22B0C3B3"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Kontrolę jakości prac pomiarowych związanych z odtworzeniem trasy i punktów wysokościowych należy prowadzić według ogólnych zasad określonych w instrukcjach i wytycznych GUGiK (1,2,3,4,5,6,7) zgodnie z wymaganiami podanymi w pkt 5.4.</w:t>
      </w:r>
    </w:p>
    <w:p w14:paraId="72506644"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4" w:name="_Toc495829541"/>
      <w:r w:rsidRPr="003220D1">
        <w:rPr>
          <w:rFonts w:ascii="Arial Narrow" w:eastAsia="Times New Roman" w:hAnsi="Arial Narrow" w:cs="Times New Roman"/>
          <w:b/>
          <w:caps/>
          <w:kern w:val="28"/>
          <w:sz w:val="28"/>
          <w:szCs w:val="20"/>
          <w:lang w:val="x-none" w:eastAsia="x-none"/>
        </w:rPr>
        <w:t>7. OBMIAR ROBÓT</w:t>
      </w:r>
      <w:bookmarkEnd w:id="54"/>
    </w:p>
    <w:p w14:paraId="11704068"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5" w:name="_Toc495829542"/>
      <w:r w:rsidRPr="003220D1">
        <w:rPr>
          <w:rFonts w:ascii="Arial Narrow" w:eastAsia="Times New Roman" w:hAnsi="Arial Narrow" w:cs="Times New Roman"/>
          <w:b/>
          <w:sz w:val="28"/>
          <w:szCs w:val="20"/>
          <w:lang w:val="x-none" w:eastAsia="x-none"/>
        </w:rPr>
        <w:t>7.1. Ogólne zasady obmiaru robót</w:t>
      </w:r>
      <w:bookmarkEnd w:id="55"/>
    </w:p>
    <w:p w14:paraId="1A639972"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zasady obmiaru robót podano w SST D-M-00.00.00 „Wymagania ogólne” pkt 7.</w:t>
      </w:r>
    </w:p>
    <w:p w14:paraId="7A025EB6"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6" w:name="_Toc495829543"/>
      <w:r w:rsidRPr="003220D1">
        <w:rPr>
          <w:rFonts w:ascii="Arial Narrow" w:eastAsia="Times New Roman" w:hAnsi="Arial Narrow" w:cs="Times New Roman"/>
          <w:b/>
          <w:sz w:val="28"/>
          <w:szCs w:val="20"/>
          <w:lang w:val="x-none" w:eastAsia="x-none"/>
        </w:rPr>
        <w:t>7.2. Jednostka obmiarowa</w:t>
      </w:r>
      <w:bookmarkEnd w:id="56"/>
    </w:p>
    <w:p w14:paraId="47F86414"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Jednostką obmiarową jest km (kilometr) odtworzonej trasy w terenie.</w:t>
      </w:r>
    </w:p>
    <w:p w14:paraId="1F2425C4"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7" w:name="_Toc495829544"/>
      <w:r w:rsidRPr="003220D1">
        <w:rPr>
          <w:rFonts w:ascii="Arial Narrow" w:eastAsia="Times New Roman" w:hAnsi="Arial Narrow" w:cs="Times New Roman"/>
          <w:b/>
          <w:caps/>
          <w:kern w:val="28"/>
          <w:sz w:val="28"/>
          <w:szCs w:val="20"/>
          <w:lang w:val="x-none" w:eastAsia="x-none"/>
        </w:rPr>
        <w:t>8. ODBIÓR ROBÓT</w:t>
      </w:r>
      <w:bookmarkEnd w:id="57"/>
    </w:p>
    <w:p w14:paraId="48C98327"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8" w:name="_Toc495829545"/>
      <w:r w:rsidRPr="003220D1">
        <w:rPr>
          <w:rFonts w:ascii="Arial Narrow" w:eastAsia="Times New Roman" w:hAnsi="Arial Narrow" w:cs="Times New Roman"/>
          <w:b/>
          <w:sz w:val="28"/>
          <w:szCs w:val="20"/>
          <w:lang w:val="x-none" w:eastAsia="x-none"/>
        </w:rPr>
        <w:t>8.1. Ogólne zasady odbioru robót</w:t>
      </w:r>
      <w:bookmarkEnd w:id="58"/>
    </w:p>
    <w:p w14:paraId="75B95CC9"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zasady odbioru robót podano w SST D-M-00.00.00 „Wymagania ogólne” pkt 8.</w:t>
      </w:r>
    </w:p>
    <w:p w14:paraId="63298141"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9" w:name="_Toc495829546"/>
      <w:r w:rsidRPr="003220D1">
        <w:rPr>
          <w:rFonts w:ascii="Arial Narrow" w:eastAsia="Times New Roman" w:hAnsi="Arial Narrow" w:cs="Times New Roman"/>
          <w:b/>
          <w:sz w:val="28"/>
          <w:szCs w:val="20"/>
          <w:lang w:val="x-none" w:eastAsia="x-none"/>
        </w:rPr>
        <w:t>8.2. Sposób odbioru robót</w:t>
      </w:r>
      <w:bookmarkEnd w:id="59"/>
    </w:p>
    <w:p w14:paraId="4A508CBB"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Odbiór robót związanych z odtworzeniem trasy w terenie następuje na podstawie szkiców i dzienników pomiarów geodezyjnych lub protokółu z kontroli geodezyjnej, które Wykonawca przedkłada Inżynierowi.</w:t>
      </w:r>
    </w:p>
    <w:p w14:paraId="0F33ADEA"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0" w:name="_Toc495829547"/>
      <w:r w:rsidRPr="003220D1">
        <w:rPr>
          <w:rFonts w:ascii="Arial Narrow" w:eastAsia="Times New Roman" w:hAnsi="Arial Narrow" w:cs="Times New Roman"/>
          <w:b/>
          <w:caps/>
          <w:kern w:val="28"/>
          <w:sz w:val="28"/>
          <w:szCs w:val="20"/>
          <w:lang w:val="x-none" w:eastAsia="x-none"/>
        </w:rPr>
        <w:t>9. PODSTAWA PŁATNOŚCI</w:t>
      </w:r>
      <w:bookmarkEnd w:id="60"/>
    </w:p>
    <w:p w14:paraId="4CA3A487"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1" w:name="_Toc495829548"/>
      <w:r w:rsidRPr="003220D1">
        <w:rPr>
          <w:rFonts w:ascii="Arial Narrow" w:eastAsia="Times New Roman" w:hAnsi="Arial Narrow" w:cs="Times New Roman"/>
          <w:b/>
          <w:sz w:val="28"/>
          <w:szCs w:val="20"/>
          <w:lang w:val="x-none" w:eastAsia="x-none"/>
        </w:rPr>
        <w:t>9.1. Ogólne ustalenia dotyczące podstawy płatności</w:t>
      </w:r>
      <w:bookmarkEnd w:id="61"/>
    </w:p>
    <w:p w14:paraId="3CEBA390"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ustalenia dotyczące podstawy płatności podano w SST D-M-00.00.00 „Wymagania ogólne” pkt 9.</w:t>
      </w:r>
    </w:p>
    <w:p w14:paraId="36EEA0F5"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2" w:name="_Toc495829549"/>
      <w:r w:rsidRPr="003220D1">
        <w:rPr>
          <w:rFonts w:ascii="Arial Narrow" w:eastAsia="Times New Roman" w:hAnsi="Arial Narrow" w:cs="Times New Roman"/>
          <w:b/>
          <w:sz w:val="28"/>
          <w:szCs w:val="20"/>
          <w:lang w:val="x-none" w:eastAsia="x-none"/>
        </w:rPr>
        <w:t>9.2. Cena jednostki obmiarowej</w:t>
      </w:r>
      <w:bookmarkEnd w:id="62"/>
    </w:p>
    <w:p w14:paraId="7BA1A214" w14:textId="77777777" w:rsidR="003220D1" w:rsidRPr="003220D1" w:rsidRDefault="003220D1" w:rsidP="003220D1">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Cena </w:t>
      </w:r>
      <w:smartTag w:uri="urn:schemas-microsoft-com:office:smarttags" w:element="metricconverter">
        <w:smartTagPr>
          <w:attr w:name="ProductID" w:val="1 km"/>
        </w:smartTagPr>
        <w:r w:rsidRPr="003220D1">
          <w:rPr>
            <w:rFonts w:ascii="Arial Narrow" w:eastAsia="Times New Roman" w:hAnsi="Arial Narrow" w:cs="Times New Roman"/>
            <w:sz w:val="20"/>
            <w:szCs w:val="20"/>
            <w:lang w:eastAsia="pl-PL"/>
          </w:rPr>
          <w:t>1 km</w:t>
        </w:r>
      </w:smartTag>
      <w:r w:rsidRPr="003220D1">
        <w:rPr>
          <w:rFonts w:ascii="Arial Narrow" w:eastAsia="Times New Roman" w:hAnsi="Arial Narrow" w:cs="Times New Roman"/>
          <w:sz w:val="20"/>
          <w:szCs w:val="20"/>
          <w:lang w:eastAsia="pl-PL"/>
        </w:rPr>
        <w:t xml:space="preserve"> wykonania robót obejmuje:</w:t>
      </w:r>
    </w:p>
    <w:p w14:paraId="02D3D99F"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sprawdzenie wyznaczenia punktów głównych osi trasy i punktów wysokościowych, obiektów inżynierskich, sieci,</w:t>
      </w:r>
    </w:p>
    <w:p w14:paraId="14506216"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uzupełnienie osi trasy dodatkowymi punktami,</w:t>
      </w:r>
    </w:p>
    <w:p w14:paraId="6ACF97BF"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wyznaczenie dodatkowych punktów wysokościowych,</w:t>
      </w:r>
    </w:p>
    <w:p w14:paraId="38FD5C3E"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wyznaczenie przekrojów poprzecznych z ewentualnym wytyczeniem dodatkowych przekrojów,</w:t>
      </w:r>
    </w:p>
    <w:p w14:paraId="6AC8990D" w14:textId="77777777" w:rsidR="003220D1" w:rsidRPr="003220D1" w:rsidRDefault="003220D1" w:rsidP="003220D1">
      <w:pPr>
        <w:spacing w:after="0" w:line="240" w:lineRule="auto"/>
        <w:ind w:left="1069" w:hanging="360"/>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zastabilizowanie punktów w sposób trwały, ochrona ich przed zniszczeniem i oznakowanie ułatwiające odszukanie i ewentualne odtworzenie.</w:t>
      </w:r>
    </w:p>
    <w:p w14:paraId="2CA48275"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3" w:name="_Toc495829550"/>
      <w:r w:rsidRPr="003220D1">
        <w:rPr>
          <w:rFonts w:ascii="Arial Narrow" w:eastAsia="Times New Roman" w:hAnsi="Arial Narrow" w:cs="Times New Roman"/>
          <w:b/>
          <w:caps/>
          <w:kern w:val="28"/>
          <w:sz w:val="28"/>
          <w:szCs w:val="20"/>
          <w:lang w:val="x-none" w:eastAsia="x-none"/>
        </w:rPr>
        <w:t>10. PRZEPISY ZWIĄZANE</w:t>
      </w:r>
      <w:bookmarkEnd w:id="63"/>
    </w:p>
    <w:p w14:paraId="3E2D8A5C" w14:textId="77777777" w:rsidR="003220D1" w:rsidRPr="003220D1" w:rsidRDefault="003220D1" w:rsidP="003220D1">
      <w:pPr>
        <w:numPr>
          <w:ilvl w:val="0"/>
          <w:numId w:val="5"/>
        </w:numPr>
        <w:overflowPunct w:val="0"/>
        <w:autoSpaceDE w:val="0"/>
        <w:autoSpaceDN w:val="0"/>
        <w:adjustRightInd w:val="0"/>
        <w:spacing w:after="0" w:line="240" w:lineRule="auto"/>
        <w:ind w:left="644"/>
        <w:jc w:val="both"/>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Instrukcja techniczna 0-1. Ogólne zasady wykonywania prac geodezyjnych.</w:t>
      </w:r>
    </w:p>
    <w:p w14:paraId="7421CCAD"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Instrukcja techniczna G-3. Geodezyjna obsługa inwestycji, Główny Urząd Geodezji i Kartografii, Warszawa 1979.</w:t>
      </w:r>
    </w:p>
    <w:p w14:paraId="4FB60035"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Instrukcja techniczna G-1. Geodezyjna osnowa pozioma, GUGiK 1978.</w:t>
      </w:r>
    </w:p>
    <w:p w14:paraId="1432D8BC"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Instrukcja techniczna G-2. Wysokościowa osnowa geodezyjna, GUGiK 1983.</w:t>
      </w:r>
    </w:p>
    <w:p w14:paraId="7DB151DA"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Instrukcja techniczna G-4. Pomiary sytuacyjne i wysokościowe, GUGiK 1979.</w:t>
      </w:r>
    </w:p>
    <w:p w14:paraId="169E02D2"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Wytyczne techniczne G-3.2. Pomiary realizacyjne, GUGiK 1983.</w:t>
      </w:r>
    </w:p>
    <w:p w14:paraId="46DEF80C"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Wytyczne techniczne G-3.1. Osnowy realizacyjne, GUGiK 1983.</w:t>
      </w:r>
    </w:p>
    <w:p w14:paraId="328912C3" w14:textId="688C166A" w:rsidR="004F1134" w:rsidRDefault="004F1134"/>
    <w:p w14:paraId="53DD29D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bookmarkStart w:id="64" w:name="_Toc58533510"/>
      <w:r w:rsidRPr="003220D1">
        <w:rPr>
          <w:rFonts w:ascii="Arial Narrow" w:eastAsia="Times New Roman" w:hAnsi="Arial Narrow" w:cs="Times New Roman"/>
          <w:b/>
          <w:sz w:val="28"/>
          <w:szCs w:val="20"/>
          <w:lang w:eastAsia="pl-PL"/>
        </w:rPr>
        <w:lastRenderedPageBreak/>
        <w:t>D – 01.02.04 ROZBIÓRKA ELEMENTÓW DRÓG, OGRODZEŃ, PRZEPUSTÓW</w:t>
      </w:r>
      <w:bookmarkEnd w:id="64"/>
    </w:p>
    <w:p w14:paraId="669B8B73"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Kod CPV:45112000-5</w:t>
      </w:r>
    </w:p>
    <w:p w14:paraId="7841B34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Roboty w zakresie usuwania gleby.</w:t>
      </w:r>
    </w:p>
    <w:p w14:paraId="0B86EE2E" w14:textId="77777777" w:rsidR="003220D1" w:rsidRPr="003220D1" w:rsidRDefault="003220D1" w:rsidP="003220D1">
      <w:pPr>
        <w:spacing w:after="0" w:line="240" w:lineRule="auto"/>
        <w:ind w:firstLine="454"/>
        <w:jc w:val="center"/>
        <w:rPr>
          <w:rFonts w:ascii="Arial Narrow" w:eastAsia="Calibri" w:hAnsi="Arial Narrow" w:cs="Times New Roman"/>
        </w:rPr>
      </w:pPr>
    </w:p>
    <w:p w14:paraId="526C1049"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3220D1">
        <w:rPr>
          <w:rFonts w:ascii="Arial Narrow" w:eastAsia="Times New Roman" w:hAnsi="Arial Narrow" w:cs="Times New Roman"/>
          <w:b/>
          <w:caps/>
          <w:kern w:val="28"/>
          <w:sz w:val="28"/>
          <w:szCs w:val="20"/>
          <w:lang w:eastAsia="x-none"/>
        </w:rPr>
        <w:t xml:space="preserve">1. </w:t>
      </w:r>
      <w:r w:rsidRPr="003220D1">
        <w:rPr>
          <w:rFonts w:ascii="Arial Narrow" w:eastAsia="Times New Roman" w:hAnsi="Arial Narrow" w:cs="Times New Roman"/>
          <w:b/>
          <w:caps/>
          <w:kern w:val="28"/>
          <w:sz w:val="28"/>
          <w:szCs w:val="20"/>
          <w:lang w:val="x-none" w:eastAsia="x-none"/>
        </w:rPr>
        <w:t>wstęp</w:t>
      </w:r>
    </w:p>
    <w:p w14:paraId="16B9957E"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3220D1">
        <w:rPr>
          <w:rFonts w:ascii="Arial Narrow" w:eastAsia="Times New Roman" w:hAnsi="Arial Narrow" w:cs="Times New Roman"/>
          <w:b/>
          <w:sz w:val="28"/>
          <w:szCs w:val="20"/>
          <w:lang w:eastAsia="x-none"/>
        </w:rPr>
        <w:t xml:space="preserve">1.1 </w:t>
      </w:r>
      <w:r w:rsidRPr="003220D1">
        <w:rPr>
          <w:rFonts w:ascii="Arial Narrow" w:eastAsia="Times New Roman" w:hAnsi="Arial Narrow" w:cs="Times New Roman"/>
          <w:b/>
          <w:sz w:val="28"/>
          <w:szCs w:val="20"/>
          <w:lang w:val="x-none" w:eastAsia="x-none"/>
        </w:rPr>
        <w:t>Przedmiot STWiORB</w:t>
      </w:r>
    </w:p>
    <w:p w14:paraId="68A8B57F" w14:textId="77777777" w:rsidR="003220D1" w:rsidRPr="003220D1" w:rsidRDefault="003220D1" w:rsidP="003220D1">
      <w:pPr>
        <w:spacing w:after="0" w:line="240" w:lineRule="auto"/>
        <w:ind w:firstLine="454"/>
        <w:jc w:val="both"/>
        <w:rPr>
          <w:rFonts w:ascii="Arial Narrow" w:eastAsia="Calibri" w:hAnsi="Arial Narrow" w:cs="Times New Roman"/>
          <w:sz w:val="20"/>
        </w:rPr>
      </w:pPr>
      <w:r w:rsidRPr="003220D1">
        <w:rPr>
          <w:rFonts w:ascii="Arial Narrow" w:eastAsia="Times New Roman" w:hAnsi="Arial Narrow" w:cs="Times New Roman"/>
          <w:sz w:val="20"/>
          <w:szCs w:val="20"/>
          <w:lang w:eastAsia="pl-PL"/>
        </w:rPr>
        <w:t>Przedmiotem niniejszej szczegółowej specyfikacji technicznej (SST) są wymagania dotyczące wykonania i odbioru robót związanych z rozbiórką elementów dróg, ogrodzeń i przepustów</w:t>
      </w:r>
      <w:r w:rsidRPr="003220D1">
        <w:rPr>
          <w:rFonts w:ascii="Arial Narrow" w:eastAsia="Calibri" w:hAnsi="Arial Narrow" w:cs="Times New Roman"/>
          <w:sz w:val="20"/>
        </w:rPr>
        <w:t>.</w:t>
      </w:r>
    </w:p>
    <w:p w14:paraId="2B47C837"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3220D1">
        <w:rPr>
          <w:rFonts w:ascii="Arial Narrow" w:eastAsia="Times New Roman" w:hAnsi="Arial Narrow" w:cs="Times New Roman"/>
          <w:b/>
          <w:sz w:val="28"/>
          <w:szCs w:val="20"/>
          <w:lang w:eastAsia="x-none"/>
        </w:rPr>
        <w:t xml:space="preserve">1.2 </w:t>
      </w:r>
      <w:r w:rsidRPr="003220D1">
        <w:rPr>
          <w:rFonts w:ascii="Arial Narrow" w:eastAsia="Times New Roman" w:hAnsi="Arial Narrow" w:cs="Times New Roman"/>
          <w:b/>
          <w:sz w:val="28"/>
          <w:szCs w:val="20"/>
          <w:lang w:val="x-none" w:eastAsia="x-none"/>
        </w:rPr>
        <w:t>Zakres stosowania STWiORB</w:t>
      </w:r>
    </w:p>
    <w:p w14:paraId="459FA8D3" w14:textId="3AC0E2A4" w:rsidR="003220D1" w:rsidRPr="003220D1" w:rsidRDefault="003220D1" w:rsidP="003220D1">
      <w:pPr>
        <w:tabs>
          <w:tab w:val="left" w:pos="-1440"/>
          <w:tab w:val="left" w:pos="-720"/>
          <w:tab w:val="left" w:pos="0"/>
        </w:tabs>
        <w:spacing w:after="0" w:line="240" w:lineRule="auto"/>
        <w:ind w:firstLine="454"/>
        <w:jc w:val="both"/>
        <w:rPr>
          <w:rFonts w:ascii="Arial Narrow" w:eastAsia="Calibri" w:hAnsi="Arial Narrow" w:cs="Arial"/>
          <w:spacing w:val="-3"/>
          <w:sz w:val="20"/>
        </w:rPr>
      </w:pPr>
      <w:r w:rsidRPr="003220D1">
        <w:rPr>
          <w:rFonts w:ascii="Arial Narrow" w:eastAsia="Calibri" w:hAnsi="Arial Narrow" w:cs="Arial"/>
          <w:sz w:val="20"/>
        </w:rPr>
        <w:t xml:space="preserve">Specyfikacje Techniczne Wykonania i Odbioru Robót Budowlanych </w:t>
      </w:r>
      <w:r w:rsidRPr="003220D1">
        <w:rPr>
          <w:rFonts w:ascii="Arial Narrow" w:eastAsia="Calibri" w:hAnsi="Arial Narrow" w:cs="Arial"/>
          <w:spacing w:val="-3"/>
          <w:sz w:val="20"/>
        </w:rPr>
        <w:t xml:space="preserve">stanowią Dokument Przetargowy i Kontraktowy przy zlecaniu i realizacji robót na drogach </w:t>
      </w:r>
    </w:p>
    <w:p w14:paraId="191C6F69"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5" w:name="_Toc495829609"/>
      <w:r w:rsidRPr="003220D1">
        <w:rPr>
          <w:rFonts w:ascii="Arial Narrow" w:eastAsia="Times New Roman" w:hAnsi="Arial Narrow" w:cs="Times New Roman"/>
          <w:b/>
          <w:sz w:val="28"/>
          <w:szCs w:val="20"/>
          <w:lang w:val="x-none" w:eastAsia="x-none"/>
        </w:rPr>
        <w:t>1.3. Zakres robót objętych SST</w:t>
      </w:r>
      <w:bookmarkEnd w:id="65"/>
    </w:p>
    <w:p w14:paraId="72EAD0EE" w14:textId="77777777" w:rsidR="003220D1" w:rsidRPr="003220D1" w:rsidRDefault="003220D1" w:rsidP="003220D1">
      <w:pPr>
        <w:tabs>
          <w:tab w:val="right" w:leader="dot" w:pos="-1985"/>
          <w:tab w:val="left" w:pos="426"/>
          <w:tab w:val="right" w:leader="dot" w:pos="8505"/>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Ustalenia zawarte w niniejszej specyfikacji dotyczą zasad prowadzenia robót związanych z rozbiórką:</w:t>
      </w:r>
    </w:p>
    <w:p w14:paraId="355E26BC"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warstw nawierzchni,</w:t>
      </w:r>
    </w:p>
    <w:p w14:paraId="7800BFE7"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krawężników, obrzeży i oporników, ścieków,</w:t>
      </w:r>
    </w:p>
    <w:p w14:paraId="4FCEF74E"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chodników,</w:t>
      </w:r>
    </w:p>
    <w:p w14:paraId="51F244E0"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barier i poręczy,</w:t>
      </w:r>
    </w:p>
    <w:p w14:paraId="56492189"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znaków drogowych,</w:t>
      </w:r>
    </w:p>
    <w:p w14:paraId="4E986EA5"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przepustów betonowych</w:t>
      </w:r>
    </w:p>
    <w:p w14:paraId="48D97CAB"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kolektora słonecznego, </w:t>
      </w:r>
    </w:p>
    <w:p w14:paraId="5A9085F5" w14:textId="77777777" w:rsidR="003220D1" w:rsidRPr="003220D1" w:rsidRDefault="003220D1" w:rsidP="003220D1">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6" w:name="_Toc495829610"/>
      <w:r w:rsidRPr="003220D1">
        <w:rPr>
          <w:rFonts w:ascii="Arial Narrow" w:eastAsia="Times New Roman" w:hAnsi="Arial Narrow" w:cs="Times New Roman"/>
          <w:b/>
          <w:sz w:val="28"/>
          <w:szCs w:val="20"/>
          <w:lang w:val="x-none" w:eastAsia="x-none"/>
        </w:rPr>
        <w:t>1.4. Określenia podstawowe</w:t>
      </w:r>
      <w:bookmarkEnd w:id="66"/>
    </w:p>
    <w:p w14:paraId="75700009" w14:textId="77777777" w:rsidR="003220D1" w:rsidRPr="003220D1" w:rsidRDefault="003220D1" w:rsidP="003220D1">
      <w:pPr>
        <w:numPr>
          <w:ilvl w:val="12"/>
          <w:numId w:val="0"/>
        </w:numPr>
        <w:tabs>
          <w:tab w:val="left" w:pos="0"/>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Stosowane określenia podstawowe są zgodne z obowiązującymi, odpowiednimi polskimi normami oraz z definicjami podanymi w SST D-M-00.00.00 „Wymagania ogólne” pkt 1.4.</w:t>
      </w:r>
    </w:p>
    <w:p w14:paraId="64BE5905" w14:textId="77777777" w:rsidR="003220D1" w:rsidRPr="003220D1" w:rsidRDefault="003220D1" w:rsidP="003220D1">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7" w:name="_Toc495829611"/>
      <w:r w:rsidRPr="003220D1">
        <w:rPr>
          <w:rFonts w:ascii="Arial Narrow" w:eastAsia="Times New Roman" w:hAnsi="Arial Narrow" w:cs="Times New Roman"/>
          <w:b/>
          <w:sz w:val="28"/>
          <w:szCs w:val="20"/>
          <w:lang w:val="x-none" w:eastAsia="x-none"/>
        </w:rPr>
        <w:t>1.5. Ogólne wymagania dotyczące robót</w:t>
      </w:r>
      <w:bookmarkEnd w:id="67"/>
    </w:p>
    <w:p w14:paraId="756A097A"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wymagania dotyczące robót podano w SST D-M-00.00.00 „Wymagania ogólne” pkt 1.5.</w:t>
      </w:r>
    </w:p>
    <w:p w14:paraId="7FFA8667" w14:textId="77777777" w:rsidR="003220D1" w:rsidRPr="003220D1" w:rsidRDefault="003220D1" w:rsidP="003220D1">
      <w:pPr>
        <w:keepNext/>
        <w:keepLines/>
        <w:numPr>
          <w:ilvl w:val="12"/>
          <w:numId w:val="0"/>
        </w:numPr>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8" w:name="_Toc495829612"/>
      <w:r w:rsidRPr="003220D1">
        <w:rPr>
          <w:rFonts w:ascii="Arial Narrow" w:eastAsia="Times New Roman" w:hAnsi="Arial Narrow" w:cs="Times New Roman"/>
          <w:b/>
          <w:caps/>
          <w:kern w:val="28"/>
          <w:sz w:val="28"/>
          <w:szCs w:val="20"/>
          <w:lang w:val="x-none" w:eastAsia="x-none"/>
        </w:rPr>
        <w:t>2. MATERIAŁY</w:t>
      </w:r>
      <w:bookmarkEnd w:id="68"/>
    </w:p>
    <w:p w14:paraId="49030BA3" w14:textId="77777777" w:rsidR="003220D1" w:rsidRPr="003220D1" w:rsidRDefault="003220D1" w:rsidP="003220D1">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9" w:name="_Toc495829613"/>
      <w:r w:rsidRPr="003220D1">
        <w:rPr>
          <w:rFonts w:ascii="Arial Narrow" w:eastAsia="Times New Roman" w:hAnsi="Arial Narrow" w:cs="Times New Roman"/>
          <w:b/>
          <w:sz w:val="28"/>
          <w:szCs w:val="20"/>
          <w:lang w:val="x-none" w:eastAsia="x-none"/>
        </w:rPr>
        <w:t>2.1. Ogólne wymagania dotyczące materiałów</w:t>
      </w:r>
      <w:bookmarkEnd w:id="69"/>
    </w:p>
    <w:p w14:paraId="14E24D8D"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wymagania dotyczące materiałów, ich pozyskiwania i składowania, podano w SST D-M-00.00.00 „Wymagania ogólne” pkt 2.</w:t>
      </w:r>
    </w:p>
    <w:p w14:paraId="48C5CBD3" w14:textId="77777777" w:rsidR="003220D1" w:rsidRPr="003220D1" w:rsidRDefault="003220D1" w:rsidP="003220D1">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0" w:name="_Toc495829614"/>
      <w:r w:rsidRPr="003220D1">
        <w:rPr>
          <w:rFonts w:ascii="Arial Narrow" w:eastAsia="Times New Roman" w:hAnsi="Arial Narrow" w:cs="Times New Roman"/>
          <w:b/>
          <w:sz w:val="28"/>
          <w:szCs w:val="20"/>
          <w:lang w:val="x-none" w:eastAsia="x-none"/>
        </w:rPr>
        <w:t>2.2. Rusztowania</w:t>
      </w:r>
      <w:bookmarkEnd w:id="70"/>
    </w:p>
    <w:p w14:paraId="672940E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Rusztowania robocze przestawne przy rozbiórce przepustów mogą być wykonane z drewna lub rur stalowych w postaci:</w:t>
      </w:r>
    </w:p>
    <w:p w14:paraId="34ACDE27"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rusztowań kozłowych, wysokości od 1,0 do </w:t>
      </w:r>
      <w:smartTag w:uri="urn:schemas-microsoft-com:office:smarttags" w:element="metricconverter">
        <w:smartTagPr>
          <w:attr w:name="ProductID" w:val="1,5 m"/>
        </w:smartTagPr>
        <w:r w:rsidRPr="003220D1">
          <w:rPr>
            <w:rFonts w:ascii="Arial Narrow" w:eastAsia="Times New Roman" w:hAnsi="Arial Narrow" w:cs="Times New Roman"/>
            <w:sz w:val="20"/>
            <w:szCs w:val="20"/>
            <w:lang w:val="x-none" w:eastAsia="x-none"/>
          </w:rPr>
          <w:t>1,5 m</w:t>
        </w:r>
      </w:smartTag>
      <w:r w:rsidRPr="003220D1">
        <w:rPr>
          <w:rFonts w:ascii="Arial Narrow" w:eastAsia="Times New Roman" w:hAnsi="Arial Narrow" w:cs="Times New Roman"/>
          <w:sz w:val="20"/>
          <w:szCs w:val="20"/>
          <w:lang w:val="x-none" w:eastAsia="x-none"/>
        </w:rPr>
        <w:t xml:space="preserve">, składających się z leżni z bali (np. 12,5 x </w:t>
      </w:r>
      <w:smartTag w:uri="urn:schemas-microsoft-com:office:smarttags" w:element="metricconverter">
        <w:smartTagPr>
          <w:attr w:name="ProductID" w:val="12,5 cm"/>
        </w:smartTagPr>
        <w:r w:rsidRPr="003220D1">
          <w:rPr>
            <w:rFonts w:ascii="Arial Narrow" w:eastAsia="Times New Roman" w:hAnsi="Arial Narrow" w:cs="Times New Roman"/>
            <w:sz w:val="20"/>
            <w:szCs w:val="20"/>
            <w:lang w:val="x-none" w:eastAsia="x-none"/>
          </w:rPr>
          <w:t>12,5 cm</w:t>
        </w:r>
      </w:smartTag>
      <w:r w:rsidRPr="003220D1">
        <w:rPr>
          <w:rFonts w:ascii="Arial Narrow" w:eastAsia="Times New Roman" w:hAnsi="Arial Narrow" w:cs="Times New Roman"/>
          <w:sz w:val="20"/>
          <w:szCs w:val="20"/>
          <w:lang w:val="x-none" w:eastAsia="x-none"/>
        </w:rPr>
        <w:t xml:space="preserve">), nóg z krawędziaków (np. 7,6 x </w:t>
      </w:r>
      <w:smartTag w:uri="urn:schemas-microsoft-com:office:smarttags" w:element="metricconverter">
        <w:smartTagPr>
          <w:attr w:name="ProductID" w:val="7,6 cm"/>
        </w:smartTagPr>
        <w:r w:rsidRPr="003220D1">
          <w:rPr>
            <w:rFonts w:ascii="Arial Narrow" w:eastAsia="Times New Roman" w:hAnsi="Arial Narrow" w:cs="Times New Roman"/>
            <w:sz w:val="20"/>
            <w:szCs w:val="20"/>
            <w:lang w:val="x-none" w:eastAsia="x-none"/>
          </w:rPr>
          <w:t>7,6 cm</w:t>
        </w:r>
      </w:smartTag>
      <w:r w:rsidRPr="003220D1">
        <w:rPr>
          <w:rFonts w:ascii="Arial Narrow" w:eastAsia="Times New Roman" w:hAnsi="Arial Narrow" w:cs="Times New Roman"/>
          <w:sz w:val="20"/>
          <w:szCs w:val="20"/>
          <w:lang w:val="x-none" w:eastAsia="x-none"/>
        </w:rPr>
        <w:t xml:space="preserve">), stężeń (np. 3,2 x </w:t>
      </w:r>
      <w:smartTag w:uri="urn:schemas-microsoft-com:office:smarttags" w:element="metricconverter">
        <w:smartTagPr>
          <w:attr w:name="ProductID" w:val="12,5 cm"/>
        </w:smartTagPr>
        <w:r w:rsidRPr="003220D1">
          <w:rPr>
            <w:rFonts w:ascii="Arial Narrow" w:eastAsia="Times New Roman" w:hAnsi="Arial Narrow" w:cs="Times New Roman"/>
            <w:sz w:val="20"/>
            <w:szCs w:val="20"/>
            <w:lang w:val="x-none" w:eastAsia="x-none"/>
          </w:rPr>
          <w:t>12,5 cm</w:t>
        </w:r>
      </w:smartTag>
      <w:r w:rsidRPr="003220D1">
        <w:rPr>
          <w:rFonts w:ascii="Arial Narrow" w:eastAsia="Times New Roman" w:hAnsi="Arial Narrow" w:cs="Times New Roman"/>
          <w:sz w:val="20"/>
          <w:szCs w:val="20"/>
          <w:lang w:val="x-none" w:eastAsia="x-none"/>
        </w:rPr>
        <w:t>) i pomostu z desek,</w:t>
      </w:r>
    </w:p>
    <w:p w14:paraId="66D34306"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rusztowań drabinowych, składających się z drabin (np. długości </w:t>
      </w:r>
      <w:smartTag w:uri="urn:schemas-microsoft-com:office:smarttags" w:element="metricconverter">
        <w:smartTagPr>
          <w:attr w:name="ProductID" w:val="6 m"/>
        </w:smartTagPr>
        <w:r w:rsidRPr="003220D1">
          <w:rPr>
            <w:rFonts w:ascii="Arial Narrow" w:eastAsia="Times New Roman" w:hAnsi="Arial Narrow" w:cs="Times New Roman"/>
            <w:sz w:val="20"/>
            <w:szCs w:val="20"/>
            <w:lang w:val="x-none" w:eastAsia="x-none"/>
          </w:rPr>
          <w:t>6 m</w:t>
        </w:r>
      </w:smartTag>
      <w:r w:rsidRPr="003220D1">
        <w:rPr>
          <w:rFonts w:ascii="Arial Narrow" w:eastAsia="Times New Roman" w:hAnsi="Arial Narrow" w:cs="Times New Roman"/>
          <w:sz w:val="20"/>
          <w:szCs w:val="20"/>
          <w:lang w:val="x-none" w:eastAsia="x-none"/>
        </w:rPr>
        <w:t xml:space="preserve">, szerokości </w:t>
      </w:r>
      <w:smartTag w:uri="urn:schemas-microsoft-com:office:smarttags" w:element="metricconverter">
        <w:smartTagPr>
          <w:attr w:name="ProductID" w:val="52 cm"/>
        </w:smartTagPr>
        <w:r w:rsidRPr="003220D1">
          <w:rPr>
            <w:rFonts w:ascii="Arial Narrow" w:eastAsia="Times New Roman" w:hAnsi="Arial Narrow" w:cs="Times New Roman"/>
            <w:sz w:val="20"/>
            <w:szCs w:val="20"/>
            <w:lang w:val="x-none" w:eastAsia="x-none"/>
          </w:rPr>
          <w:t>52 cm</w:t>
        </w:r>
      </w:smartTag>
      <w:r w:rsidRPr="003220D1">
        <w:rPr>
          <w:rFonts w:ascii="Arial Narrow" w:eastAsia="Times New Roman" w:hAnsi="Arial Narrow" w:cs="Times New Roman"/>
          <w:sz w:val="20"/>
          <w:szCs w:val="20"/>
          <w:lang w:val="x-none" w:eastAsia="x-none"/>
        </w:rPr>
        <w:t xml:space="preserve">), usztywnionych stężeniami z desek (np. 3,2 x </w:t>
      </w:r>
      <w:smartTag w:uri="urn:schemas-microsoft-com:office:smarttags" w:element="metricconverter">
        <w:smartTagPr>
          <w:attr w:name="ProductID" w:val="12,5 cm"/>
        </w:smartTagPr>
        <w:r w:rsidRPr="003220D1">
          <w:rPr>
            <w:rFonts w:ascii="Arial Narrow" w:eastAsia="Times New Roman" w:hAnsi="Arial Narrow" w:cs="Times New Roman"/>
            <w:sz w:val="20"/>
            <w:szCs w:val="20"/>
            <w:lang w:val="x-none" w:eastAsia="x-none"/>
          </w:rPr>
          <w:t>12,5 cm</w:t>
        </w:r>
      </w:smartTag>
      <w:r w:rsidRPr="003220D1">
        <w:rPr>
          <w:rFonts w:ascii="Arial Narrow" w:eastAsia="Times New Roman" w:hAnsi="Arial Narrow" w:cs="Times New Roman"/>
          <w:sz w:val="20"/>
          <w:szCs w:val="20"/>
          <w:lang w:val="x-none" w:eastAsia="x-none"/>
        </w:rPr>
        <w:t xml:space="preserve">), na których szczeblach (np. 3,2 x </w:t>
      </w:r>
      <w:smartTag w:uri="urn:schemas-microsoft-com:office:smarttags" w:element="metricconverter">
        <w:smartTagPr>
          <w:attr w:name="ProductID" w:val="6,3 cm"/>
        </w:smartTagPr>
        <w:r w:rsidRPr="003220D1">
          <w:rPr>
            <w:rFonts w:ascii="Arial Narrow" w:eastAsia="Times New Roman" w:hAnsi="Arial Narrow" w:cs="Times New Roman"/>
            <w:sz w:val="20"/>
            <w:szCs w:val="20"/>
            <w:lang w:val="x-none" w:eastAsia="x-none"/>
          </w:rPr>
          <w:t>6,3 cm</w:t>
        </w:r>
      </w:smartTag>
      <w:r w:rsidRPr="003220D1">
        <w:rPr>
          <w:rFonts w:ascii="Arial Narrow" w:eastAsia="Times New Roman" w:hAnsi="Arial Narrow" w:cs="Times New Roman"/>
          <w:sz w:val="20"/>
          <w:szCs w:val="20"/>
          <w:lang w:val="x-none" w:eastAsia="x-none"/>
        </w:rPr>
        <w:t>) układa się pomosty z desek,</w:t>
      </w:r>
    </w:p>
    <w:p w14:paraId="51BF3A9C"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przestawnych klatek rusztowaniowych z rur stalowych średnicy od 38 do </w:t>
      </w:r>
      <w:smartTag w:uri="urn:schemas-microsoft-com:office:smarttags" w:element="metricconverter">
        <w:smartTagPr>
          <w:attr w:name="ProductID" w:val="63,5 mm"/>
        </w:smartTagPr>
        <w:r w:rsidRPr="003220D1">
          <w:rPr>
            <w:rFonts w:ascii="Arial Narrow" w:eastAsia="Times New Roman" w:hAnsi="Arial Narrow" w:cs="Times New Roman"/>
            <w:sz w:val="20"/>
            <w:szCs w:val="20"/>
            <w:lang w:val="x-none" w:eastAsia="x-none"/>
          </w:rPr>
          <w:t>63,5 mm</w:t>
        </w:r>
      </w:smartTag>
      <w:r w:rsidRPr="003220D1">
        <w:rPr>
          <w:rFonts w:ascii="Arial Narrow" w:eastAsia="Times New Roman" w:hAnsi="Arial Narrow" w:cs="Times New Roman"/>
          <w:sz w:val="20"/>
          <w:szCs w:val="20"/>
          <w:lang w:val="x-none" w:eastAsia="x-none"/>
        </w:rPr>
        <w:t xml:space="preserve">, o wymiarach klatek około 1,2 x </w:t>
      </w:r>
      <w:smartTag w:uri="urn:schemas-microsoft-com:office:smarttags" w:element="metricconverter">
        <w:smartTagPr>
          <w:attr w:name="ProductID" w:val="1,5 m"/>
        </w:smartTagPr>
        <w:r w:rsidRPr="003220D1">
          <w:rPr>
            <w:rFonts w:ascii="Arial Narrow" w:eastAsia="Times New Roman" w:hAnsi="Arial Narrow" w:cs="Times New Roman"/>
            <w:sz w:val="20"/>
            <w:szCs w:val="20"/>
            <w:lang w:val="x-none" w:eastAsia="x-none"/>
          </w:rPr>
          <w:t>1,5 m</w:t>
        </w:r>
      </w:smartTag>
      <w:r w:rsidRPr="003220D1">
        <w:rPr>
          <w:rFonts w:ascii="Arial Narrow" w:eastAsia="Times New Roman" w:hAnsi="Arial Narrow" w:cs="Times New Roman"/>
          <w:sz w:val="20"/>
          <w:szCs w:val="20"/>
          <w:lang w:val="x-none" w:eastAsia="x-none"/>
        </w:rPr>
        <w:t xml:space="preserve"> lub płaskich klatek rusztowaniowych (np. z rur stalowych średnicy </w:t>
      </w:r>
      <w:smartTag w:uri="urn:schemas-microsoft-com:office:smarttags" w:element="metricconverter">
        <w:smartTagPr>
          <w:attr w:name="ProductID" w:val="108 mm"/>
        </w:smartTagPr>
        <w:r w:rsidRPr="003220D1">
          <w:rPr>
            <w:rFonts w:ascii="Arial Narrow" w:eastAsia="Times New Roman" w:hAnsi="Arial Narrow" w:cs="Times New Roman"/>
            <w:sz w:val="20"/>
            <w:szCs w:val="20"/>
            <w:lang w:val="x-none" w:eastAsia="x-none"/>
          </w:rPr>
          <w:t>108 mm</w:t>
        </w:r>
      </w:smartTag>
      <w:r w:rsidRPr="003220D1">
        <w:rPr>
          <w:rFonts w:ascii="Arial Narrow" w:eastAsia="Times New Roman" w:hAnsi="Arial Narrow" w:cs="Times New Roman"/>
          <w:sz w:val="20"/>
          <w:szCs w:val="20"/>
          <w:lang w:val="x-none" w:eastAsia="x-none"/>
        </w:rPr>
        <w:t xml:space="preserve"> i kątowników 45 x 45 x </w:t>
      </w:r>
      <w:smartTag w:uri="urn:schemas-microsoft-com:office:smarttags" w:element="metricconverter">
        <w:smartTagPr>
          <w:attr w:name="ProductID" w:val="5 mm"/>
        </w:smartTagPr>
        <w:r w:rsidRPr="003220D1">
          <w:rPr>
            <w:rFonts w:ascii="Arial Narrow" w:eastAsia="Times New Roman" w:hAnsi="Arial Narrow" w:cs="Times New Roman"/>
            <w:sz w:val="20"/>
            <w:szCs w:val="20"/>
            <w:lang w:val="x-none" w:eastAsia="x-none"/>
          </w:rPr>
          <w:t>5 mm</w:t>
        </w:r>
      </w:smartTag>
      <w:r w:rsidRPr="003220D1">
        <w:rPr>
          <w:rFonts w:ascii="Arial Narrow" w:eastAsia="Times New Roman" w:hAnsi="Arial Narrow" w:cs="Times New Roman"/>
          <w:sz w:val="20"/>
          <w:szCs w:val="20"/>
          <w:lang w:val="x-none" w:eastAsia="x-none"/>
        </w:rPr>
        <w:t xml:space="preserve"> i 70 x 70 x </w:t>
      </w:r>
      <w:smartTag w:uri="urn:schemas-microsoft-com:office:smarttags" w:element="metricconverter">
        <w:smartTagPr>
          <w:attr w:name="ProductID" w:val="7 mm"/>
        </w:smartTagPr>
        <w:r w:rsidRPr="003220D1">
          <w:rPr>
            <w:rFonts w:ascii="Arial Narrow" w:eastAsia="Times New Roman" w:hAnsi="Arial Narrow" w:cs="Times New Roman"/>
            <w:sz w:val="20"/>
            <w:szCs w:val="20"/>
            <w:lang w:val="x-none" w:eastAsia="x-none"/>
          </w:rPr>
          <w:t>7 mm</w:t>
        </w:r>
      </w:smartTag>
      <w:r w:rsidRPr="003220D1">
        <w:rPr>
          <w:rFonts w:ascii="Arial Narrow" w:eastAsia="Times New Roman" w:hAnsi="Arial Narrow" w:cs="Times New Roman"/>
          <w:sz w:val="20"/>
          <w:szCs w:val="20"/>
          <w:lang w:val="x-none" w:eastAsia="x-none"/>
        </w:rPr>
        <w:t xml:space="preserve">), o wymiarach klatek około 1,1 x </w:t>
      </w:r>
      <w:smartTag w:uri="urn:schemas-microsoft-com:office:smarttags" w:element="metricconverter">
        <w:smartTagPr>
          <w:attr w:name="ProductID" w:val="1,5 m"/>
        </w:smartTagPr>
        <w:r w:rsidRPr="003220D1">
          <w:rPr>
            <w:rFonts w:ascii="Arial Narrow" w:eastAsia="Times New Roman" w:hAnsi="Arial Narrow" w:cs="Times New Roman"/>
            <w:sz w:val="20"/>
            <w:szCs w:val="20"/>
            <w:lang w:val="x-none" w:eastAsia="x-none"/>
          </w:rPr>
          <w:t>1,5 m</w:t>
        </w:r>
      </w:smartTag>
      <w:r w:rsidRPr="003220D1">
        <w:rPr>
          <w:rFonts w:ascii="Arial Narrow" w:eastAsia="Times New Roman" w:hAnsi="Arial Narrow" w:cs="Times New Roman"/>
          <w:sz w:val="20"/>
          <w:szCs w:val="20"/>
          <w:lang w:val="x-none" w:eastAsia="x-none"/>
        </w:rPr>
        <w:t>,</w:t>
      </w:r>
    </w:p>
    <w:p w14:paraId="30384F0F"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rusztowań z rur stalowych średnicy od 33,5 do </w:t>
      </w:r>
      <w:smartTag w:uri="urn:schemas-microsoft-com:office:smarttags" w:element="metricconverter">
        <w:smartTagPr>
          <w:attr w:name="ProductID" w:val="76,1 mm"/>
        </w:smartTagPr>
        <w:r w:rsidRPr="003220D1">
          <w:rPr>
            <w:rFonts w:ascii="Arial Narrow" w:eastAsia="Times New Roman" w:hAnsi="Arial Narrow" w:cs="Times New Roman"/>
            <w:sz w:val="20"/>
            <w:szCs w:val="20"/>
            <w:lang w:val="x-none" w:eastAsia="x-none"/>
          </w:rPr>
          <w:t>76,1 mm</w:t>
        </w:r>
      </w:smartTag>
      <w:r w:rsidRPr="003220D1">
        <w:rPr>
          <w:rFonts w:ascii="Arial Narrow" w:eastAsia="Times New Roman" w:hAnsi="Arial Narrow" w:cs="Times New Roman"/>
          <w:sz w:val="20"/>
          <w:szCs w:val="20"/>
          <w:lang w:val="x-none" w:eastAsia="x-none"/>
        </w:rPr>
        <w:t xml:space="preserve"> połączonych łącznikami w ramownice i kratownice.</w:t>
      </w:r>
    </w:p>
    <w:p w14:paraId="7B3DCADC"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Rusztowanie należy wykonać z materiałów odpowiadających następującym normom:</w:t>
      </w:r>
    </w:p>
    <w:p w14:paraId="0C9C6704"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drewno i tarcica wg PN-D-95017 [1], PN-D-96000 [2], PN-D-96002 [3] lub innej zaakceptowanej przez Inżyniera,</w:t>
      </w:r>
    </w:p>
    <w:p w14:paraId="6728B920"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gwoździe wg BN-87/5028-12 [8],</w:t>
      </w:r>
    </w:p>
    <w:p w14:paraId="2052F511"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rury stalowe wg PN-H-74219 [4], PN-H-74220 [5] lub innej zaakceptowanej przez Inżyniera,</w:t>
      </w:r>
    </w:p>
    <w:p w14:paraId="29904AFE"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kątowniki wg PN-H-93401[6], PN-H-93402 [7] lub innej zaakceptowanej przez Inżyniera.</w:t>
      </w:r>
    </w:p>
    <w:p w14:paraId="1F99C67F" w14:textId="77777777" w:rsidR="003220D1" w:rsidRPr="003220D1" w:rsidRDefault="003220D1" w:rsidP="003220D1">
      <w:pPr>
        <w:keepNext/>
        <w:keepLines/>
        <w:numPr>
          <w:ilvl w:val="12"/>
          <w:numId w:val="0"/>
        </w:numPr>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71" w:name="_Toc495829615"/>
      <w:r w:rsidRPr="003220D1">
        <w:rPr>
          <w:rFonts w:ascii="Arial Narrow" w:eastAsia="Times New Roman" w:hAnsi="Arial Narrow" w:cs="Times New Roman"/>
          <w:b/>
          <w:caps/>
          <w:kern w:val="28"/>
          <w:sz w:val="28"/>
          <w:szCs w:val="20"/>
          <w:lang w:val="x-none" w:eastAsia="x-none"/>
        </w:rPr>
        <w:t>3. SPRZĘT</w:t>
      </w:r>
      <w:bookmarkEnd w:id="71"/>
    </w:p>
    <w:p w14:paraId="6960AFE7" w14:textId="77777777" w:rsidR="003220D1" w:rsidRPr="003220D1" w:rsidRDefault="003220D1" w:rsidP="003220D1">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2" w:name="_Toc495829616"/>
      <w:r w:rsidRPr="003220D1">
        <w:rPr>
          <w:rFonts w:ascii="Arial Narrow" w:eastAsia="Times New Roman" w:hAnsi="Arial Narrow" w:cs="Times New Roman"/>
          <w:b/>
          <w:sz w:val="28"/>
          <w:szCs w:val="20"/>
          <w:lang w:val="x-none" w:eastAsia="x-none"/>
        </w:rPr>
        <w:t>3.1. Ogólne wymagania dotyczące sprzętu</w:t>
      </w:r>
      <w:bookmarkEnd w:id="72"/>
    </w:p>
    <w:p w14:paraId="3D4932D8"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wymagania dotyczące sprzętu podano w SST D-M-00.00.00 „Wymagania ogólne” pkt 3.</w:t>
      </w:r>
    </w:p>
    <w:p w14:paraId="3C3060F6" w14:textId="77777777" w:rsidR="003220D1" w:rsidRPr="003220D1" w:rsidRDefault="003220D1" w:rsidP="003220D1">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3" w:name="_Toc495829617"/>
      <w:r w:rsidRPr="003220D1">
        <w:rPr>
          <w:rFonts w:ascii="Arial Narrow" w:eastAsia="Times New Roman" w:hAnsi="Arial Narrow" w:cs="Times New Roman"/>
          <w:b/>
          <w:sz w:val="28"/>
          <w:szCs w:val="20"/>
          <w:lang w:val="x-none" w:eastAsia="x-none"/>
        </w:rPr>
        <w:t>3.2. Sprzęt do rozbiórki</w:t>
      </w:r>
      <w:bookmarkEnd w:id="73"/>
    </w:p>
    <w:p w14:paraId="270484B3"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Do wykonania robót związanych z rozbiórką elementów dróg, ogrodzeń i przepustów może być wykorzystany sprzęt podany poniżej, lub inny zaakceptowany przez Inżyniera:</w:t>
      </w:r>
    </w:p>
    <w:p w14:paraId="73639DDE"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spycharki,</w:t>
      </w:r>
    </w:p>
    <w:p w14:paraId="4FAC3B7E"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ładowarki,</w:t>
      </w:r>
    </w:p>
    <w:p w14:paraId="1D7335B4"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żurawie samochodowe,</w:t>
      </w:r>
    </w:p>
    <w:p w14:paraId="67E00791"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samochody ciężarowe,</w:t>
      </w:r>
    </w:p>
    <w:p w14:paraId="188F22F7"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zrywarki,</w:t>
      </w:r>
    </w:p>
    <w:p w14:paraId="463D16AD"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młoty pneumatyczne,</w:t>
      </w:r>
    </w:p>
    <w:p w14:paraId="309BC67C"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lastRenderedPageBreak/>
        <w:t>piły mechaniczne,</w:t>
      </w:r>
    </w:p>
    <w:p w14:paraId="631A6281"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frezarki nawierzchni,</w:t>
      </w:r>
    </w:p>
    <w:p w14:paraId="0641D871"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koparki.</w:t>
      </w:r>
    </w:p>
    <w:p w14:paraId="271917E8" w14:textId="77777777" w:rsidR="003220D1" w:rsidRPr="003220D1" w:rsidRDefault="003220D1" w:rsidP="003220D1">
      <w:pPr>
        <w:keepNext/>
        <w:keepLines/>
        <w:numPr>
          <w:ilvl w:val="12"/>
          <w:numId w:val="0"/>
        </w:numPr>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74" w:name="_Toc495829618"/>
      <w:r w:rsidRPr="003220D1">
        <w:rPr>
          <w:rFonts w:ascii="Arial Narrow" w:eastAsia="Times New Roman" w:hAnsi="Arial Narrow" w:cs="Times New Roman"/>
          <w:b/>
          <w:caps/>
          <w:kern w:val="28"/>
          <w:sz w:val="28"/>
          <w:szCs w:val="20"/>
          <w:lang w:val="x-none" w:eastAsia="x-none"/>
        </w:rPr>
        <w:t>4. TRANSPORT</w:t>
      </w:r>
      <w:bookmarkEnd w:id="74"/>
    </w:p>
    <w:p w14:paraId="08B6E33F" w14:textId="77777777" w:rsidR="003220D1" w:rsidRPr="003220D1" w:rsidRDefault="003220D1" w:rsidP="003220D1">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5" w:name="_Toc495829619"/>
      <w:r w:rsidRPr="003220D1">
        <w:rPr>
          <w:rFonts w:ascii="Arial Narrow" w:eastAsia="Times New Roman" w:hAnsi="Arial Narrow" w:cs="Times New Roman"/>
          <w:b/>
          <w:sz w:val="28"/>
          <w:szCs w:val="20"/>
          <w:lang w:val="x-none" w:eastAsia="x-none"/>
        </w:rPr>
        <w:t>4.1. Ogólne wymagania dotyczące transportu</w:t>
      </w:r>
      <w:bookmarkEnd w:id="75"/>
    </w:p>
    <w:p w14:paraId="6B3891B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wymagania dotyczące transportu podano w SST D-M-00.00.00 „Wymagania ogólne” pkt 4.</w:t>
      </w:r>
    </w:p>
    <w:p w14:paraId="743A4123" w14:textId="77777777" w:rsidR="003220D1" w:rsidRPr="003220D1" w:rsidRDefault="003220D1" w:rsidP="003220D1">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6" w:name="_Toc495829620"/>
      <w:r w:rsidRPr="003220D1">
        <w:rPr>
          <w:rFonts w:ascii="Arial Narrow" w:eastAsia="Times New Roman" w:hAnsi="Arial Narrow" w:cs="Times New Roman"/>
          <w:b/>
          <w:sz w:val="28"/>
          <w:szCs w:val="20"/>
          <w:lang w:val="x-none" w:eastAsia="x-none"/>
        </w:rPr>
        <w:t>4.2. Transport materiałów z rozbiórki</w:t>
      </w:r>
      <w:bookmarkEnd w:id="76"/>
    </w:p>
    <w:p w14:paraId="79E1D61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Materiał z rozbiórki można przewozić dowolnym środkiem transportu.</w:t>
      </w:r>
    </w:p>
    <w:p w14:paraId="67DE6234" w14:textId="77777777" w:rsidR="003220D1" w:rsidRPr="003220D1" w:rsidRDefault="003220D1" w:rsidP="003220D1">
      <w:pPr>
        <w:keepNext/>
        <w:keepLines/>
        <w:numPr>
          <w:ilvl w:val="12"/>
          <w:numId w:val="0"/>
        </w:numPr>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77" w:name="_Toc495829621"/>
      <w:r w:rsidRPr="003220D1">
        <w:rPr>
          <w:rFonts w:ascii="Arial Narrow" w:eastAsia="Times New Roman" w:hAnsi="Arial Narrow" w:cs="Times New Roman"/>
          <w:b/>
          <w:caps/>
          <w:kern w:val="28"/>
          <w:sz w:val="28"/>
          <w:szCs w:val="20"/>
          <w:lang w:val="x-none" w:eastAsia="x-none"/>
        </w:rPr>
        <w:t>5. WYKONANIE ROBÓT</w:t>
      </w:r>
      <w:bookmarkEnd w:id="77"/>
    </w:p>
    <w:p w14:paraId="596A53DC" w14:textId="77777777" w:rsidR="003220D1" w:rsidRPr="003220D1" w:rsidRDefault="003220D1" w:rsidP="003220D1">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8" w:name="_Toc495829622"/>
      <w:r w:rsidRPr="003220D1">
        <w:rPr>
          <w:rFonts w:ascii="Arial Narrow" w:eastAsia="Times New Roman" w:hAnsi="Arial Narrow" w:cs="Times New Roman"/>
          <w:b/>
          <w:sz w:val="28"/>
          <w:szCs w:val="20"/>
          <w:lang w:val="x-none" w:eastAsia="x-none"/>
        </w:rPr>
        <w:t>5.1. Ogólne zasady wykonania robót</w:t>
      </w:r>
      <w:bookmarkEnd w:id="78"/>
    </w:p>
    <w:p w14:paraId="5F1FF92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zasady wykonania robót podano w SST D-M-00.00.00 „Wymagania ogólne” pkt 5.</w:t>
      </w:r>
    </w:p>
    <w:p w14:paraId="68A581DD" w14:textId="77777777" w:rsidR="003220D1" w:rsidRPr="003220D1" w:rsidRDefault="003220D1" w:rsidP="003220D1">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9" w:name="_Toc495829623"/>
      <w:r w:rsidRPr="003220D1">
        <w:rPr>
          <w:rFonts w:ascii="Arial Narrow" w:eastAsia="Times New Roman" w:hAnsi="Arial Narrow" w:cs="Times New Roman"/>
          <w:b/>
          <w:sz w:val="28"/>
          <w:szCs w:val="20"/>
          <w:lang w:val="x-none" w:eastAsia="x-none"/>
        </w:rPr>
        <w:t>5.2. Wykonanie robót rozbiórkowych</w:t>
      </w:r>
      <w:bookmarkEnd w:id="79"/>
    </w:p>
    <w:p w14:paraId="3073E66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Roboty rozbiórkowe elementów dróg, ogrodzeń i przepustów obejmują usunięcie z terenu budowy wszystkich elementów wymienionych w pkt 1.3, zgodnie z dokumentacją projektową, SST lub wskazanych przez Inżyniera.</w:t>
      </w:r>
    </w:p>
    <w:p w14:paraId="695C006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Jeśli dokumentacja projektowa nie zawiera dokumentacji inwentaryzacyjnej lub/i rozbiórkowej, Inżynier może polecić Wykonawcy sporządzenie takiej dokumentacji, w której zostanie określony przewidziany odzysk materiałów.</w:t>
      </w:r>
    </w:p>
    <w:p w14:paraId="09890FB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Roboty rozbiórkowe można wykonywać mechanicznie lub ręcznie w sposób określony w SST lub przez Zamawiającego.</w:t>
      </w:r>
    </w:p>
    <w:p w14:paraId="6A2DC410"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 przypadku robót rozbiórkowych przepustu należy dokonać:</w:t>
      </w:r>
    </w:p>
    <w:p w14:paraId="78C7840F"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odkopania przepustu,</w:t>
      </w:r>
    </w:p>
    <w:p w14:paraId="19222305"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ew. ustawienia przenośnych rusztowań przy przepustach,</w:t>
      </w:r>
    </w:p>
    <w:p w14:paraId="4DA63C20"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rozbicia elementów, których nie przewiduje się odzyskać, w sposób ręczny lub mechaniczny z ew. przecięciem prętów zbrojeniowych i ich odgięciem,</w:t>
      </w:r>
    </w:p>
    <w:p w14:paraId="7D5D7223"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demontażu prefabrykowanych elementów przepustów (np. rur, elementów skrzynkowych, ramowych) z uprzednim oczyszczeniem spoin i częściowym usunięciu ław, względnie ostrożnego rozebrania konstrukcji,</w:t>
      </w:r>
    </w:p>
    <w:p w14:paraId="04F092BE"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oczyszczenia rozebranych elementów, przewidzianych do powtórnego użycia (z zaprawy, kawałków betonu, izolacji itp.) i ich posortowania.</w:t>
      </w:r>
    </w:p>
    <w:p w14:paraId="1C3A376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Wszystkie elementy możliwe do powtórnego wykorzystania powinny być usuwane bez powodowania zbędnych uszkodzeń. O ile uzyskane elementy nie stają się własnością Wykonawcy, powinien on przewieźć je na miejsce określone w SST lub wskazane przez Inżyniera.</w:t>
      </w:r>
    </w:p>
    <w:p w14:paraId="006C1CA0"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Elementy i materiały, które zgodnie z SST stają się własnością Wykonawcy, powinny być usunięte z terenu budowy.</w:t>
      </w:r>
    </w:p>
    <w:p w14:paraId="4E92CE10"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Doły (wykopy) powstałe po rozbiórce elementów dróg, ogrodzeń i przepustów znajdujące się w miejscach, gdzie zgodnie z dokumentacją projektową będą wykonane wykopy drogowe, powinny być tymczasowo zabezpieczone. W szczególności należy zapobiec gromadzeniu się w nich wody opadowej.</w:t>
      </w:r>
    </w:p>
    <w:p w14:paraId="70F80E88"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ind w:firstLine="426"/>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Doły w miejscach, gdzie nie przewiduje się wykonania wykopów drogowych należy wypełnić, warstwami, odpowiednim gruntem do poziomu otaczającego terenu i zagęścić zgodnie z wymaganiami określonymi w SST D-02.00.00 „Roboty ziemne”.</w:t>
      </w:r>
    </w:p>
    <w:p w14:paraId="77527116" w14:textId="77777777" w:rsidR="003220D1" w:rsidRPr="003220D1" w:rsidRDefault="003220D1" w:rsidP="003220D1">
      <w:pPr>
        <w:keepNext/>
        <w:keepLines/>
        <w:numPr>
          <w:ilvl w:val="12"/>
          <w:numId w:val="0"/>
        </w:numPr>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0" w:name="_Toc495829624"/>
      <w:r w:rsidRPr="003220D1">
        <w:rPr>
          <w:rFonts w:ascii="Arial Narrow" w:eastAsia="Times New Roman" w:hAnsi="Arial Narrow" w:cs="Times New Roman"/>
          <w:b/>
          <w:caps/>
          <w:kern w:val="28"/>
          <w:sz w:val="28"/>
          <w:szCs w:val="20"/>
          <w:lang w:val="x-none" w:eastAsia="x-none"/>
        </w:rPr>
        <w:t>6. KONTROLA JAKOŚCI ROBÓT</w:t>
      </w:r>
      <w:bookmarkEnd w:id="80"/>
    </w:p>
    <w:p w14:paraId="30C95899" w14:textId="77777777" w:rsidR="003220D1" w:rsidRPr="003220D1" w:rsidRDefault="003220D1" w:rsidP="003220D1">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1" w:name="_Toc495829625"/>
      <w:r w:rsidRPr="003220D1">
        <w:rPr>
          <w:rFonts w:ascii="Arial Narrow" w:eastAsia="Times New Roman" w:hAnsi="Arial Narrow" w:cs="Times New Roman"/>
          <w:b/>
          <w:sz w:val="28"/>
          <w:szCs w:val="20"/>
          <w:lang w:val="x-none" w:eastAsia="x-none"/>
        </w:rPr>
        <w:t>6.1. Ogólne zasady kontroli jakości robót</w:t>
      </w:r>
      <w:bookmarkEnd w:id="81"/>
    </w:p>
    <w:p w14:paraId="3758A5F2"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zasady kontroli jakości robót podano w SST D-M-00.00.00 „Wymagania ogólne” pkt 6.</w:t>
      </w:r>
    </w:p>
    <w:p w14:paraId="5EE30FE0" w14:textId="77777777" w:rsidR="003220D1" w:rsidRPr="003220D1" w:rsidRDefault="003220D1" w:rsidP="003220D1">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2" w:name="_Toc495829626"/>
      <w:r w:rsidRPr="003220D1">
        <w:rPr>
          <w:rFonts w:ascii="Arial Narrow" w:eastAsia="Times New Roman" w:hAnsi="Arial Narrow" w:cs="Times New Roman"/>
          <w:b/>
          <w:sz w:val="28"/>
          <w:szCs w:val="20"/>
          <w:lang w:val="x-none" w:eastAsia="x-none"/>
        </w:rPr>
        <w:t>6.2. Kontrola jakości robót rozbiórkowych</w:t>
      </w:r>
      <w:bookmarkEnd w:id="82"/>
    </w:p>
    <w:p w14:paraId="47E4F1D8"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Kontrola jakości robót polega na wizualnej ocenie kompletności wykonanych robót rozbiórkowych oraz sprawdzeniu stopnia uszkodzenia elementów przewidzianych do powtórnego wykorzystania.</w:t>
      </w:r>
    </w:p>
    <w:p w14:paraId="351ED3C5"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Zagęszczenie gruntu wypełniającego ewentualne doły po usuniętych elementach nawierzchni, ogrodzeń i przepustów powinno spełniać odpowiednie wymagania określone w SST D-02.00.00 „Roboty ziemne”.</w:t>
      </w:r>
    </w:p>
    <w:p w14:paraId="7AAF0068" w14:textId="77777777" w:rsidR="003220D1" w:rsidRPr="003220D1" w:rsidRDefault="003220D1" w:rsidP="003220D1">
      <w:pPr>
        <w:keepNext/>
        <w:keepLines/>
        <w:numPr>
          <w:ilvl w:val="12"/>
          <w:numId w:val="0"/>
        </w:numPr>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3" w:name="_Toc495829627"/>
      <w:r w:rsidRPr="003220D1">
        <w:rPr>
          <w:rFonts w:ascii="Arial Narrow" w:eastAsia="Times New Roman" w:hAnsi="Arial Narrow" w:cs="Times New Roman"/>
          <w:b/>
          <w:caps/>
          <w:kern w:val="28"/>
          <w:sz w:val="28"/>
          <w:szCs w:val="20"/>
          <w:lang w:val="x-none" w:eastAsia="x-none"/>
        </w:rPr>
        <w:t>7. OBMIAR ROBÓT</w:t>
      </w:r>
      <w:bookmarkEnd w:id="83"/>
    </w:p>
    <w:p w14:paraId="26AF9FCD" w14:textId="77777777" w:rsidR="003220D1" w:rsidRPr="003220D1" w:rsidRDefault="003220D1" w:rsidP="003220D1">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4" w:name="_Toc495829628"/>
      <w:r w:rsidRPr="003220D1">
        <w:rPr>
          <w:rFonts w:ascii="Arial Narrow" w:eastAsia="Times New Roman" w:hAnsi="Arial Narrow" w:cs="Times New Roman"/>
          <w:b/>
          <w:sz w:val="28"/>
          <w:szCs w:val="20"/>
          <w:lang w:val="x-none" w:eastAsia="x-none"/>
        </w:rPr>
        <w:t>7.1. Ogólne zasady obmiaru robót</w:t>
      </w:r>
      <w:bookmarkEnd w:id="84"/>
    </w:p>
    <w:p w14:paraId="3A92456D"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zasady obmiaru robót podano w SST D-M-00.00.00 „Wymagania ogólne”     pkt 7.</w:t>
      </w:r>
    </w:p>
    <w:p w14:paraId="187E4B27" w14:textId="77777777" w:rsidR="003220D1" w:rsidRPr="003220D1" w:rsidRDefault="003220D1" w:rsidP="003220D1">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5" w:name="_Toc495829629"/>
      <w:r w:rsidRPr="003220D1">
        <w:rPr>
          <w:rFonts w:ascii="Arial Narrow" w:eastAsia="Times New Roman" w:hAnsi="Arial Narrow" w:cs="Times New Roman"/>
          <w:b/>
          <w:sz w:val="28"/>
          <w:szCs w:val="20"/>
          <w:lang w:val="x-none" w:eastAsia="x-none"/>
        </w:rPr>
        <w:t>7.2. Jednostka obmiarowa</w:t>
      </w:r>
      <w:bookmarkEnd w:id="85"/>
    </w:p>
    <w:p w14:paraId="4015E7DE"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Jednostką obmiarową robót związanych z rozbiórką elementów dróg i ogrodzeń jest:</w:t>
      </w:r>
    </w:p>
    <w:p w14:paraId="236CFB2E"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dla nawierzchni i chodnika - m</w:t>
      </w:r>
      <w:r w:rsidRPr="003220D1">
        <w:rPr>
          <w:rFonts w:ascii="Arial Narrow" w:eastAsia="Times New Roman" w:hAnsi="Arial Narrow" w:cs="Times New Roman"/>
          <w:sz w:val="20"/>
          <w:szCs w:val="20"/>
          <w:vertAlign w:val="superscript"/>
          <w:lang w:val="x-none" w:eastAsia="x-none"/>
        </w:rPr>
        <w:t>2</w:t>
      </w:r>
      <w:r w:rsidRPr="003220D1">
        <w:rPr>
          <w:rFonts w:ascii="Arial Narrow" w:eastAsia="Times New Roman" w:hAnsi="Arial Narrow" w:cs="Times New Roman"/>
          <w:sz w:val="20"/>
          <w:szCs w:val="20"/>
          <w:lang w:val="x-none" w:eastAsia="x-none"/>
        </w:rPr>
        <w:t xml:space="preserve"> (metr kwadratowy),</w:t>
      </w:r>
    </w:p>
    <w:p w14:paraId="26ECCAC9"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dla krawężnika, opornika, obrzeża, barier i poręczy, ogrodzeń - m (metr),</w:t>
      </w:r>
    </w:p>
    <w:p w14:paraId="652C47E6"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dla znaków drogowych, separatora - szt. (sztuka),</w:t>
      </w:r>
    </w:p>
    <w:p w14:paraId="6ECF3C50"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dla pylonu informacyjnego - szt. (sztuka),</w:t>
      </w:r>
    </w:p>
    <w:p w14:paraId="1F49A946"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dla separatorów – szt. (sztuka),</w:t>
      </w:r>
    </w:p>
    <w:p w14:paraId="67EF9E98"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dla kolektora słonecznego – szt. (sztuka),</w:t>
      </w:r>
    </w:p>
    <w:p w14:paraId="6EA427F3"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dla przepustów </w:t>
      </w:r>
    </w:p>
    <w:p w14:paraId="2A9D8359" w14:textId="77777777" w:rsidR="003220D1" w:rsidRPr="003220D1" w:rsidRDefault="003220D1" w:rsidP="003220D1">
      <w:pPr>
        <w:numPr>
          <w:ilvl w:val="1"/>
          <w:numId w:val="3"/>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betonowych</w:t>
      </w:r>
      <w:r w:rsidRPr="003220D1">
        <w:rPr>
          <w:rFonts w:ascii="Arial Narrow" w:eastAsia="Times New Roman" w:hAnsi="Arial Narrow" w:cs="Times New Roman"/>
          <w:sz w:val="20"/>
          <w:szCs w:val="20"/>
          <w:lang w:eastAsia="x-none"/>
        </w:rPr>
        <w:t xml:space="preserve"> / żelbetowych </w:t>
      </w:r>
      <w:r w:rsidRPr="003220D1">
        <w:rPr>
          <w:rFonts w:ascii="Arial Narrow" w:eastAsia="Times New Roman" w:hAnsi="Arial Narrow" w:cs="Times New Roman"/>
          <w:sz w:val="20"/>
          <w:szCs w:val="20"/>
          <w:lang w:val="x-none" w:eastAsia="x-none"/>
        </w:rPr>
        <w:t>- m (metr).</w:t>
      </w:r>
    </w:p>
    <w:p w14:paraId="77C4C0B9"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dla elementów betonowych </w:t>
      </w:r>
      <w:r w:rsidRPr="003220D1">
        <w:rPr>
          <w:rFonts w:ascii="Arial Narrow" w:eastAsia="Times New Roman" w:hAnsi="Arial Narrow" w:cs="Times New Roman"/>
          <w:sz w:val="20"/>
          <w:szCs w:val="20"/>
          <w:lang w:eastAsia="x-none"/>
        </w:rPr>
        <w:t>/ żelbetowych</w:t>
      </w:r>
      <w:r w:rsidRPr="003220D1">
        <w:rPr>
          <w:rFonts w:ascii="Arial Narrow" w:eastAsia="Times New Roman" w:hAnsi="Arial Narrow" w:cs="Times New Roman"/>
          <w:sz w:val="20"/>
          <w:szCs w:val="20"/>
          <w:lang w:val="x-none" w:eastAsia="x-none"/>
        </w:rPr>
        <w:t>, - m</w:t>
      </w:r>
      <w:r w:rsidRPr="003220D1">
        <w:rPr>
          <w:rFonts w:ascii="Arial Narrow" w:eastAsia="Times New Roman" w:hAnsi="Arial Narrow" w:cs="Times New Roman"/>
          <w:sz w:val="20"/>
          <w:szCs w:val="20"/>
          <w:vertAlign w:val="superscript"/>
          <w:lang w:val="x-none" w:eastAsia="x-none"/>
        </w:rPr>
        <w:t>3</w:t>
      </w:r>
      <w:r w:rsidRPr="003220D1">
        <w:rPr>
          <w:rFonts w:ascii="Arial Narrow" w:eastAsia="Times New Roman" w:hAnsi="Arial Narrow" w:cs="Times New Roman"/>
          <w:sz w:val="20"/>
          <w:szCs w:val="20"/>
          <w:lang w:val="x-none" w:eastAsia="x-none"/>
        </w:rPr>
        <w:t xml:space="preserve"> (metr sześcienny),</w:t>
      </w:r>
    </w:p>
    <w:p w14:paraId="52227FC7"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p w14:paraId="108CD7D4" w14:textId="77777777" w:rsidR="003220D1" w:rsidRPr="003220D1" w:rsidRDefault="003220D1" w:rsidP="003220D1">
      <w:pPr>
        <w:keepNext/>
        <w:keepLines/>
        <w:numPr>
          <w:ilvl w:val="12"/>
          <w:numId w:val="0"/>
        </w:numPr>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6" w:name="_Toc495829630"/>
      <w:r w:rsidRPr="003220D1">
        <w:rPr>
          <w:rFonts w:ascii="Arial Narrow" w:eastAsia="Times New Roman" w:hAnsi="Arial Narrow" w:cs="Times New Roman"/>
          <w:b/>
          <w:caps/>
          <w:kern w:val="28"/>
          <w:sz w:val="28"/>
          <w:szCs w:val="20"/>
          <w:lang w:val="x-none" w:eastAsia="x-none"/>
        </w:rPr>
        <w:t>8. ODBIÓR ROBÓT</w:t>
      </w:r>
      <w:bookmarkEnd w:id="86"/>
    </w:p>
    <w:p w14:paraId="06408E07"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zasady odbioru robót podano w SST D-M-00.00.00 „Wymagania ogólne”            pkt 8.</w:t>
      </w:r>
    </w:p>
    <w:p w14:paraId="759543E2" w14:textId="77777777" w:rsidR="003220D1" w:rsidRPr="003220D1" w:rsidRDefault="003220D1" w:rsidP="003220D1">
      <w:pPr>
        <w:keepNext/>
        <w:keepLines/>
        <w:numPr>
          <w:ilvl w:val="12"/>
          <w:numId w:val="0"/>
        </w:numPr>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7" w:name="_Toc495829631"/>
      <w:r w:rsidRPr="003220D1">
        <w:rPr>
          <w:rFonts w:ascii="Arial Narrow" w:eastAsia="Times New Roman" w:hAnsi="Arial Narrow" w:cs="Times New Roman"/>
          <w:b/>
          <w:caps/>
          <w:kern w:val="28"/>
          <w:sz w:val="28"/>
          <w:szCs w:val="20"/>
          <w:lang w:val="x-none" w:eastAsia="x-none"/>
        </w:rPr>
        <w:t>9. PODSTAWA PŁATNOŚCI</w:t>
      </w:r>
      <w:bookmarkEnd w:id="87"/>
    </w:p>
    <w:p w14:paraId="7A5A2EC8" w14:textId="77777777" w:rsidR="003220D1" w:rsidRPr="003220D1" w:rsidRDefault="003220D1" w:rsidP="003220D1">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8" w:name="_Toc495829632"/>
      <w:r w:rsidRPr="003220D1">
        <w:rPr>
          <w:rFonts w:ascii="Arial Narrow" w:eastAsia="Times New Roman" w:hAnsi="Arial Narrow" w:cs="Times New Roman"/>
          <w:b/>
          <w:sz w:val="28"/>
          <w:szCs w:val="20"/>
          <w:lang w:val="x-none" w:eastAsia="x-none"/>
        </w:rPr>
        <w:t>9.1. Ogólne ustalenia dotyczące podstawy płatności</w:t>
      </w:r>
      <w:bookmarkEnd w:id="88"/>
    </w:p>
    <w:p w14:paraId="70C1AE42"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ustalenia dotyczące podstawy płatności podano w SST D-M-00.00.00 „Wymagania ogólne” pkt 9.</w:t>
      </w:r>
    </w:p>
    <w:p w14:paraId="514700B4" w14:textId="77777777" w:rsidR="003220D1" w:rsidRPr="003220D1" w:rsidRDefault="003220D1" w:rsidP="003220D1">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9" w:name="_Toc495829633"/>
      <w:r w:rsidRPr="003220D1">
        <w:rPr>
          <w:rFonts w:ascii="Arial Narrow" w:eastAsia="Times New Roman" w:hAnsi="Arial Narrow" w:cs="Times New Roman"/>
          <w:b/>
          <w:sz w:val="28"/>
          <w:szCs w:val="20"/>
          <w:lang w:val="x-none" w:eastAsia="x-none"/>
        </w:rPr>
        <w:t>9.2. Cena jednostki obmiarowej</w:t>
      </w:r>
      <w:bookmarkEnd w:id="89"/>
    </w:p>
    <w:p w14:paraId="2BF2D46E"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Cena wykonania robót obejmuje:</w:t>
      </w:r>
    </w:p>
    <w:p w14:paraId="1DCC4E0A"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a) dla rozbiórki warstw nawierzchni:</w:t>
      </w:r>
    </w:p>
    <w:p w14:paraId="41DA9373"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wyznaczenie powierzchni przeznaczonej do rozbiórki,</w:t>
      </w:r>
    </w:p>
    <w:p w14:paraId="795776FE"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rozkucie, rozcięcie i zerwanie nawierzchni,</w:t>
      </w:r>
    </w:p>
    <w:p w14:paraId="2B7CF4C5"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ew. przesortowanie materiału uzyskanego z rozbiórki, w celu ponownego jej użycia, z ułożeniem na poboczu,</w:t>
      </w:r>
    </w:p>
    <w:p w14:paraId="73C70533"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załadunek i wywiezienie materiałów z rozbiórki,</w:t>
      </w:r>
    </w:p>
    <w:p w14:paraId="351F7B5A"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eastAsia="x-none"/>
        </w:rPr>
        <w:t>utylizacja zgodnie z ustawą o odpadach,</w:t>
      </w:r>
    </w:p>
    <w:p w14:paraId="13CBEF0F"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wyrównanie podłoża i uporządkowanie terenu rozbiórki;</w:t>
      </w:r>
    </w:p>
    <w:p w14:paraId="119ED13E" w14:textId="77777777" w:rsidR="003220D1" w:rsidRPr="003220D1" w:rsidRDefault="003220D1" w:rsidP="003220D1">
      <w:p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dla rozbiórki krawężników, obrzeży:</w:t>
      </w:r>
    </w:p>
    <w:p w14:paraId="14CDF33F"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odkopanie krawężników, obrzeży i oporników wraz z wyjęciem i oczyszczeniem,</w:t>
      </w:r>
    </w:p>
    <w:p w14:paraId="3BF96272"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zerwanie podsypki cementowo-piaskowej i ew. ław,</w:t>
      </w:r>
    </w:p>
    <w:p w14:paraId="69428FD8"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załadunek i wywiezienie materiału z rozbiórki,</w:t>
      </w:r>
    </w:p>
    <w:p w14:paraId="399548E8"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eastAsia="x-none"/>
        </w:rPr>
        <w:t>utylizacja zgodnie z ustawą o odpadach,</w:t>
      </w:r>
    </w:p>
    <w:p w14:paraId="2F1AB44A"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wyrównanie podłoża i uporządkowanie terenu rozbiórki;</w:t>
      </w:r>
    </w:p>
    <w:p w14:paraId="2E8343B7"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c) dla rozbiórki barier:</w:t>
      </w:r>
    </w:p>
    <w:p w14:paraId="7CC98C3C"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demontaż elementów bariery,</w:t>
      </w:r>
    </w:p>
    <w:p w14:paraId="5B15C1F2"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odkopanie i wydobycie słupków wraz z fundamentem,</w:t>
      </w:r>
    </w:p>
    <w:p w14:paraId="6CBE4D55"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zasypanie dołów po słupkach wraz z zagęszczeniem do uzyskania Is </w:t>
      </w:r>
      <w:r w:rsidRPr="003220D1">
        <w:rPr>
          <w:rFonts w:ascii="Arial Narrow" w:eastAsia="Times New Roman" w:hAnsi="Arial Narrow" w:cs="Times New Roman"/>
          <w:sz w:val="20"/>
          <w:szCs w:val="20"/>
          <w:lang w:val="x-none" w:eastAsia="x-none"/>
        </w:rPr>
        <w:sym w:font="Symbol" w:char="F0B3"/>
      </w:r>
      <w:r w:rsidRPr="003220D1">
        <w:rPr>
          <w:rFonts w:ascii="Arial Narrow" w:eastAsia="Times New Roman" w:hAnsi="Arial Narrow" w:cs="Times New Roman"/>
          <w:sz w:val="20"/>
          <w:szCs w:val="20"/>
          <w:lang w:val="x-none" w:eastAsia="x-none"/>
        </w:rPr>
        <w:t xml:space="preserve"> 1,00 wg BN-77/8931-12 [9],</w:t>
      </w:r>
    </w:p>
    <w:p w14:paraId="5BA9AFB6"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załadunek i wywiezienie materiałów z rozbiórki,</w:t>
      </w:r>
    </w:p>
    <w:p w14:paraId="17C6C072"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eastAsia="x-none"/>
        </w:rPr>
        <w:t>w przypadku możliwości ponownego wbudowania na teren RDW, jeśli nie to utylizacja zgodnie z ustawą o odpadach,</w:t>
      </w:r>
    </w:p>
    <w:p w14:paraId="3ED19B66"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uporządkowanie terenu rozbiórki;</w:t>
      </w:r>
    </w:p>
    <w:p w14:paraId="0A43648F"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d) dla rozbiórki znaków drogowych:</w:t>
      </w:r>
    </w:p>
    <w:p w14:paraId="567586E2"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demontaż tablic znaków drogowych ze słupków,</w:t>
      </w:r>
    </w:p>
    <w:p w14:paraId="75C46A22"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odkopanie i wydobycie słupków,</w:t>
      </w:r>
    </w:p>
    <w:p w14:paraId="0B2898FC"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zasypanie dołów po słupkach wraz z zagęszczeniem do uzyskania Is </w:t>
      </w:r>
      <w:r w:rsidRPr="003220D1">
        <w:rPr>
          <w:rFonts w:ascii="Arial Narrow" w:eastAsia="Times New Roman" w:hAnsi="Arial Narrow" w:cs="Times New Roman"/>
          <w:sz w:val="20"/>
          <w:szCs w:val="20"/>
          <w:lang w:val="x-none" w:eastAsia="x-none"/>
        </w:rPr>
        <w:sym w:font="Symbol" w:char="F0B3"/>
      </w:r>
      <w:r w:rsidRPr="003220D1">
        <w:rPr>
          <w:rFonts w:ascii="Arial Narrow" w:eastAsia="Times New Roman" w:hAnsi="Arial Narrow" w:cs="Times New Roman"/>
          <w:sz w:val="20"/>
          <w:szCs w:val="20"/>
          <w:lang w:val="x-none" w:eastAsia="x-none"/>
        </w:rPr>
        <w:t xml:space="preserve"> 1,00 wg BN-77/8931-12 [9],</w:t>
      </w:r>
    </w:p>
    <w:p w14:paraId="2F81AE20"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załadunek i wywiezienie materiałów z rozbiórki,</w:t>
      </w:r>
    </w:p>
    <w:p w14:paraId="1D01CC68"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eastAsia="x-none"/>
        </w:rPr>
        <w:t>w przypadku możliwości ponownego wbudowania na teren RDW, jeśli nie to utylizacja zgodnie z ustawą o odpadach,</w:t>
      </w:r>
    </w:p>
    <w:p w14:paraId="690B6FE5"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uporządkowanie terenu rozbiórki;</w:t>
      </w:r>
    </w:p>
    <w:p w14:paraId="76D09448"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e) dla rozbiórki przepustu, separatorów:</w:t>
      </w:r>
    </w:p>
    <w:p w14:paraId="3AD5842B"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odkopanie przepustu, fundamentów, ław, umocnień itp.,</w:t>
      </w:r>
    </w:p>
    <w:p w14:paraId="2C3C42C2"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ew. ustawienie rusztowań i ich późniejsze rozebranie,</w:t>
      </w:r>
    </w:p>
    <w:p w14:paraId="1ED9DDDA"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rozebranie elementów przepustu, separatora,</w:t>
      </w:r>
    </w:p>
    <w:p w14:paraId="2720B1B7"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sortowanie i pryzmowanie odzyskanych materiałów,</w:t>
      </w:r>
    </w:p>
    <w:p w14:paraId="2C4E71D4"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załadunek i wywiezienie materiałów z rozbiórki,</w:t>
      </w:r>
    </w:p>
    <w:p w14:paraId="58719C45"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eastAsia="x-none"/>
        </w:rPr>
        <w:t>utylizacja zgodnie z ustawą o odpadach,</w:t>
      </w:r>
    </w:p>
    <w:p w14:paraId="1984DD22"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zasypanie dołów (wykopów) gruntem z zagęszczeniem do uzyskania Is </w:t>
      </w:r>
      <w:r w:rsidRPr="003220D1">
        <w:rPr>
          <w:rFonts w:ascii="Arial Narrow" w:eastAsia="Times New Roman" w:hAnsi="Arial Narrow" w:cs="Times New Roman"/>
          <w:sz w:val="20"/>
          <w:szCs w:val="20"/>
          <w:lang w:val="x-none" w:eastAsia="x-none"/>
        </w:rPr>
        <w:sym w:font="Symbol" w:char="F0B3"/>
      </w:r>
      <w:r w:rsidRPr="003220D1">
        <w:rPr>
          <w:rFonts w:ascii="Arial Narrow" w:eastAsia="Times New Roman" w:hAnsi="Arial Narrow" w:cs="Times New Roman"/>
          <w:sz w:val="20"/>
          <w:szCs w:val="20"/>
          <w:lang w:val="x-none" w:eastAsia="x-none"/>
        </w:rPr>
        <w:t xml:space="preserve"> 1,00 wg BN-77/8931-12 [9],</w:t>
      </w:r>
    </w:p>
    <w:p w14:paraId="19242191"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uporządkowanie terenu rozbiórki.</w:t>
      </w:r>
    </w:p>
    <w:p w14:paraId="1A2884B4" w14:textId="77777777" w:rsidR="003220D1" w:rsidRP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e) dla rozbiórki pylonu, kolektora słonecznego, separatora:</w:t>
      </w:r>
    </w:p>
    <w:p w14:paraId="1F77BCBE"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odkopanie fundamentów, ław, umocnień itp.,</w:t>
      </w:r>
    </w:p>
    <w:p w14:paraId="4F908636"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ew. ustawienie rusztowań i ich późniejsze rozebranie,</w:t>
      </w:r>
    </w:p>
    <w:p w14:paraId="7679A081"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rozebranie elementów,</w:t>
      </w:r>
    </w:p>
    <w:p w14:paraId="330F5B5E"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sortowanie i pryzmowanie odzyskanych materiałów,</w:t>
      </w:r>
    </w:p>
    <w:p w14:paraId="6F30EB34"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załadunek i wywiezienie materiałów z rozbiórki,</w:t>
      </w:r>
    </w:p>
    <w:p w14:paraId="42BC23B9"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eastAsia="x-none"/>
        </w:rPr>
        <w:t>utylizacja zgodnie z ustawą o odpadach,</w:t>
      </w:r>
    </w:p>
    <w:p w14:paraId="46B35788"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zasypanie dołów (wykopów) gruntem z zagęszczeniem do uzyskania Is </w:t>
      </w:r>
      <w:r w:rsidRPr="003220D1">
        <w:rPr>
          <w:rFonts w:ascii="Arial Narrow" w:eastAsia="Times New Roman" w:hAnsi="Arial Narrow" w:cs="Times New Roman"/>
          <w:sz w:val="20"/>
          <w:szCs w:val="20"/>
          <w:lang w:val="x-none" w:eastAsia="x-none"/>
        </w:rPr>
        <w:sym w:font="Symbol" w:char="F0B3"/>
      </w:r>
      <w:r w:rsidRPr="003220D1">
        <w:rPr>
          <w:rFonts w:ascii="Arial Narrow" w:eastAsia="Times New Roman" w:hAnsi="Arial Narrow" w:cs="Times New Roman"/>
          <w:sz w:val="20"/>
          <w:szCs w:val="20"/>
          <w:lang w:val="x-none" w:eastAsia="x-none"/>
        </w:rPr>
        <w:t xml:space="preserve"> 1,00 wg BN-77/8931-12 [9],</w:t>
      </w:r>
    </w:p>
    <w:p w14:paraId="6931E8C0"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uporządkowanie terenu rozbiórki.</w:t>
      </w:r>
    </w:p>
    <w:p w14:paraId="3ABB009E" w14:textId="23DCCC15" w:rsidR="003220D1" w:rsidRDefault="003220D1"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p w14:paraId="688E0C1B" w14:textId="2C7356C7" w:rsidR="003F26F7" w:rsidRDefault="003F26F7"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p w14:paraId="5FD4EA81" w14:textId="2EC3EF48" w:rsidR="003F26F7" w:rsidRDefault="003F26F7"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p w14:paraId="2DBF574D" w14:textId="64F640CF" w:rsidR="003F26F7" w:rsidRDefault="003F26F7"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p w14:paraId="3E030E50" w14:textId="77777777" w:rsidR="003F26F7" w:rsidRPr="003220D1" w:rsidRDefault="003F26F7" w:rsidP="003220D1">
      <w:pPr>
        <w:numPr>
          <w:ilvl w:val="12"/>
          <w:numId w:val="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p w14:paraId="33137255"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90" w:name="_Toc495829634"/>
      <w:r w:rsidRPr="003220D1">
        <w:rPr>
          <w:rFonts w:ascii="Arial Narrow" w:eastAsia="Times New Roman" w:hAnsi="Arial Narrow" w:cs="Times New Roman"/>
          <w:b/>
          <w:caps/>
          <w:kern w:val="28"/>
          <w:sz w:val="28"/>
          <w:szCs w:val="20"/>
          <w:lang w:val="x-none" w:eastAsia="x-none"/>
        </w:rPr>
        <w:lastRenderedPageBreak/>
        <w:t>10. PRZEPISY ZWIĄZANE</w:t>
      </w:r>
      <w:bookmarkEnd w:id="90"/>
    </w:p>
    <w:p w14:paraId="0C1604E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Normy</w:t>
      </w:r>
    </w:p>
    <w:tbl>
      <w:tblPr>
        <w:tblW w:w="0" w:type="auto"/>
        <w:tblLayout w:type="fixed"/>
        <w:tblCellMar>
          <w:left w:w="70" w:type="dxa"/>
          <w:right w:w="70" w:type="dxa"/>
        </w:tblCellMar>
        <w:tblLook w:val="0000" w:firstRow="0" w:lastRow="0" w:firstColumn="0" w:lastColumn="0" w:noHBand="0" w:noVBand="0"/>
      </w:tblPr>
      <w:tblGrid>
        <w:gridCol w:w="496"/>
        <w:gridCol w:w="2551"/>
        <w:gridCol w:w="4394"/>
      </w:tblGrid>
      <w:tr w:rsidR="003220D1" w:rsidRPr="003220D1" w14:paraId="7EC40994" w14:textId="77777777" w:rsidTr="00855929">
        <w:tc>
          <w:tcPr>
            <w:tcW w:w="496" w:type="dxa"/>
          </w:tcPr>
          <w:p w14:paraId="43C75D4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1.</w:t>
            </w:r>
          </w:p>
        </w:tc>
        <w:tc>
          <w:tcPr>
            <w:tcW w:w="2551" w:type="dxa"/>
          </w:tcPr>
          <w:p w14:paraId="52521F3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PN-D-95017</w:t>
            </w:r>
          </w:p>
        </w:tc>
        <w:tc>
          <w:tcPr>
            <w:tcW w:w="4394" w:type="dxa"/>
          </w:tcPr>
          <w:p w14:paraId="33848A8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Surowiec drzewny. Drewno tartaczne iglaste.</w:t>
            </w:r>
          </w:p>
        </w:tc>
      </w:tr>
      <w:tr w:rsidR="003220D1" w:rsidRPr="003220D1" w14:paraId="5153909A" w14:textId="77777777" w:rsidTr="00855929">
        <w:tc>
          <w:tcPr>
            <w:tcW w:w="496" w:type="dxa"/>
          </w:tcPr>
          <w:p w14:paraId="41B0621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2.</w:t>
            </w:r>
          </w:p>
        </w:tc>
        <w:tc>
          <w:tcPr>
            <w:tcW w:w="2551" w:type="dxa"/>
          </w:tcPr>
          <w:p w14:paraId="26B0A30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PN-D-96000</w:t>
            </w:r>
          </w:p>
        </w:tc>
        <w:tc>
          <w:tcPr>
            <w:tcW w:w="4394" w:type="dxa"/>
          </w:tcPr>
          <w:p w14:paraId="616A97E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Tarcica iglasta ogólnego przeznaczenia</w:t>
            </w:r>
          </w:p>
        </w:tc>
      </w:tr>
      <w:tr w:rsidR="003220D1" w:rsidRPr="003220D1" w14:paraId="6246A85C" w14:textId="77777777" w:rsidTr="00855929">
        <w:tc>
          <w:tcPr>
            <w:tcW w:w="496" w:type="dxa"/>
          </w:tcPr>
          <w:p w14:paraId="0DDF498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3.</w:t>
            </w:r>
          </w:p>
        </w:tc>
        <w:tc>
          <w:tcPr>
            <w:tcW w:w="2551" w:type="dxa"/>
          </w:tcPr>
          <w:p w14:paraId="4A15656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PN-D-96002</w:t>
            </w:r>
          </w:p>
        </w:tc>
        <w:tc>
          <w:tcPr>
            <w:tcW w:w="4394" w:type="dxa"/>
          </w:tcPr>
          <w:p w14:paraId="31DF658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Tarcica liściasta ogólnego przeznaczenia</w:t>
            </w:r>
          </w:p>
        </w:tc>
      </w:tr>
      <w:tr w:rsidR="003220D1" w:rsidRPr="003220D1" w14:paraId="7F6E52D1" w14:textId="77777777" w:rsidTr="00855929">
        <w:tc>
          <w:tcPr>
            <w:tcW w:w="496" w:type="dxa"/>
          </w:tcPr>
          <w:p w14:paraId="4BB5B3B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4.</w:t>
            </w:r>
          </w:p>
        </w:tc>
        <w:tc>
          <w:tcPr>
            <w:tcW w:w="2551" w:type="dxa"/>
          </w:tcPr>
          <w:p w14:paraId="14BCCC6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PN-H-74219</w:t>
            </w:r>
          </w:p>
        </w:tc>
        <w:tc>
          <w:tcPr>
            <w:tcW w:w="4394" w:type="dxa"/>
          </w:tcPr>
          <w:p w14:paraId="29FA392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Rury stalowe bez szwu walcowane na gorąco ogólnego stosowania</w:t>
            </w:r>
          </w:p>
        </w:tc>
      </w:tr>
      <w:tr w:rsidR="003220D1" w:rsidRPr="003220D1" w14:paraId="1E1C3B37" w14:textId="77777777" w:rsidTr="00855929">
        <w:tc>
          <w:tcPr>
            <w:tcW w:w="496" w:type="dxa"/>
          </w:tcPr>
          <w:p w14:paraId="466C261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5.</w:t>
            </w:r>
          </w:p>
        </w:tc>
        <w:tc>
          <w:tcPr>
            <w:tcW w:w="2551" w:type="dxa"/>
          </w:tcPr>
          <w:p w14:paraId="3DFE3E7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PN-H-74220</w:t>
            </w:r>
          </w:p>
        </w:tc>
        <w:tc>
          <w:tcPr>
            <w:tcW w:w="4394" w:type="dxa"/>
          </w:tcPr>
          <w:p w14:paraId="5DAF033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Rury stalowe bez szwu ciągnione i walcowane na zimno ogólnego przeznaczenia</w:t>
            </w:r>
          </w:p>
        </w:tc>
      </w:tr>
      <w:tr w:rsidR="003220D1" w:rsidRPr="003220D1" w14:paraId="562181E2" w14:textId="77777777" w:rsidTr="00855929">
        <w:tc>
          <w:tcPr>
            <w:tcW w:w="496" w:type="dxa"/>
          </w:tcPr>
          <w:p w14:paraId="3C1870B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6.</w:t>
            </w:r>
          </w:p>
        </w:tc>
        <w:tc>
          <w:tcPr>
            <w:tcW w:w="2551" w:type="dxa"/>
          </w:tcPr>
          <w:p w14:paraId="10A8FE1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PN-H-93401</w:t>
            </w:r>
          </w:p>
        </w:tc>
        <w:tc>
          <w:tcPr>
            <w:tcW w:w="4394" w:type="dxa"/>
          </w:tcPr>
          <w:p w14:paraId="3E296C0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Stal walcowana. Kątowniki równoramienne</w:t>
            </w:r>
          </w:p>
        </w:tc>
      </w:tr>
      <w:tr w:rsidR="003220D1" w:rsidRPr="003220D1" w14:paraId="657DC651" w14:textId="77777777" w:rsidTr="00855929">
        <w:tc>
          <w:tcPr>
            <w:tcW w:w="496" w:type="dxa"/>
          </w:tcPr>
          <w:p w14:paraId="5E80B04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7.</w:t>
            </w:r>
          </w:p>
        </w:tc>
        <w:tc>
          <w:tcPr>
            <w:tcW w:w="2551" w:type="dxa"/>
          </w:tcPr>
          <w:p w14:paraId="09F7E40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PN-H-93402</w:t>
            </w:r>
          </w:p>
        </w:tc>
        <w:tc>
          <w:tcPr>
            <w:tcW w:w="4394" w:type="dxa"/>
          </w:tcPr>
          <w:p w14:paraId="05F3653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Kątowniki nierównoramienne stalowe walcowane na gorąco</w:t>
            </w:r>
          </w:p>
        </w:tc>
      </w:tr>
      <w:tr w:rsidR="003220D1" w:rsidRPr="003220D1" w14:paraId="5F4C5142" w14:textId="77777777" w:rsidTr="00855929">
        <w:tc>
          <w:tcPr>
            <w:tcW w:w="496" w:type="dxa"/>
          </w:tcPr>
          <w:p w14:paraId="252DF02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8.</w:t>
            </w:r>
          </w:p>
        </w:tc>
        <w:tc>
          <w:tcPr>
            <w:tcW w:w="2551" w:type="dxa"/>
          </w:tcPr>
          <w:p w14:paraId="6E6238F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BN-87/5028-12</w:t>
            </w:r>
          </w:p>
        </w:tc>
        <w:tc>
          <w:tcPr>
            <w:tcW w:w="4394" w:type="dxa"/>
          </w:tcPr>
          <w:p w14:paraId="49305C2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Gwoździe budowlane. Gwoździe z trzpieniem gładkim, okrągłym i kwadratowym</w:t>
            </w:r>
          </w:p>
        </w:tc>
      </w:tr>
      <w:tr w:rsidR="003220D1" w:rsidRPr="003220D1" w14:paraId="348B0CBA" w14:textId="77777777" w:rsidTr="00855929">
        <w:tc>
          <w:tcPr>
            <w:tcW w:w="496" w:type="dxa"/>
          </w:tcPr>
          <w:p w14:paraId="0DD62BF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551" w:type="dxa"/>
          </w:tcPr>
          <w:p w14:paraId="6C6083A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BN-77/8931-12</w:t>
            </w:r>
          </w:p>
        </w:tc>
        <w:tc>
          <w:tcPr>
            <w:tcW w:w="4394" w:type="dxa"/>
          </w:tcPr>
          <w:p w14:paraId="4DA7AC5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Oznaczenie wskaźnika zagęszczenia gruntu.</w:t>
            </w:r>
          </w:p>
        </w:tc>
      </w:tr>
    </w:tbl>
    <w:p w14:paraId="362DCF38" w14:textId="06EAE058" w:rsidR="003220D1" w:rsidRDefault="003220D1"/>
    <w:p w14:paraId="7BAD5772" w14:textId="4400BB8E" w:rsidR="003220D1" w:rsidRDefault="003220D1"/>
    <w:p w14:paraId="6B281C43" w14:textId="7CD122D5" w:rsidR="003220D1" w:rsidRDefault="003220D1"/>
    <w:p w14:paraId="7E32462D" w14:textId="69BB35D7" w:rsidR="003220D1" w:rsidRDefault="003220D1"/>
    <w:p w14:paraId="4E0D5EEF" w14:textId="71FFCAE4" w:rsidR="003220D1" w:rsidRDefault="003220D1"/>
    <w:p w14:paraId="7D178562" w14:textId="0A650AD9" w:rsidR="003220D1" w:rsidRDefault="003220D1"/>
    <w:p w14:paraId="615DDF40" w14:textId="694A91D5" w:rsidR="003220D1" w:rsidRDefault="003220D1"/>
    <w:p w14:paraId="6CC994AF" w14:textId="0C59E487" w:rsidR="003220D1" w:rsidRDefault="003220D1"/>
    <w:p w14:paraId="6FA0D8B2" w14:textId="08A613B6" w:rsidR="003220D1" w:rsidRDefault="003220D1"/>
    <w:p w14:paraId="664EE815" w14:textId="7C2A6BF4" w:rsidR="003220D1" w:rsidRDefault="003220D1"/>
    <w:p w14:paraId="027C794A" w14:textId="7C45B2EB" w:rsidR="003220D1" w:rsidRDefault="003220D1"/>
    <w:p w14:paraId="18EDD391" w14:textId="76DA2555" w:rsidR="003220D1" w:rsidRDefault="003220D1"/>
    <w:p w14:paraId="29D72EE8" w14:textId="3F2F4C07" w:rsidR="003220D1" w:rsidRDefault="003220D1"/>
    <w:p w14:paraId="148488E7" w14:textId="3B84D006" w:rsidR="003220D1" w:rsidRDefault="003220D1"/>
    <w:p w14:paraId="712D424E" w14:textId="70559927" w:rsidR="003220D1" w:rsidRDefault="003220D1"/>
    <w:p w14:paraId="1EE15FE3" w14:textId="47283E89" w:rsidR="003220D1" w:rsidRDefault="003220D1"/>
    <w:p w14:paraId="6DF3FB03" w14:textId="43F19BD9" w:rsidR="003220D1" w:rsidRDefault="003220D1"/>
    <w:p w14:paraId="26F4B41E" w14:textId="14AEA60A" w:rsidR="003220D1" w:rsidRDefault="003220D1"/>
    <w:p w14:paraId="0B247785" w14:textId="1109F167" w:rsidR="003220D1" w:rsidRDefault="003220D1"/>
    <w:p w14:paraId="457EA5DA" w14:textId="26AD8732" w:rsidR="003220D1" w:rsidRDefault="003220D1"/>
    <w:p w14:paraId="6A284B53" w14:textId="26DE97E7" w:rsidR="003220D1" w:rsidRDefault="003220D1"/>
    <w:p w14:paraId="44765036" w14:textId="515727C5" w:rsidR="003220D1" w:rsidRDefault="003220D1"/>
    <w:p w14:paraId="179DA079" w14:textId="15221355" w:rsidR="00892093" w:rsidRDefault="00892093"/>
    <w:p w14:paraId="574C6165" w14:textId="28413E67" w:rsidR="00892093" w:rsidRDefault="00892093"/>
    <w:p w14:paraId="0F54C7F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bookmarkStart w:id="91" w:name="_Toc58533520"/>
      <w:r w:rsidRPr="003220D1">
        <w:rPr>
          <w:rFonts w:ascii="Arial Narrow" w:eastAsia="Times New Roman" w:hAnsi="Arial Narrow" w:cs="Times New Roman"/>
          <w:b/>
          <w:sz w:val="28"/>
          <w:szCs w:val="20"/>
          <w:lang w:eastAsia="pl-PL"/>
        </w:rPr>
        <w:lastRenderedPageBreak/>
        <w:t>D – 04.01.01 KORYTO WRAZ Z PROFILOWANIEM I ZAGĘSZCZENIEM PODŁOŻA</w:t>
      </w:r>
      <w:bookmarkEnd w:id="91"/>
    </w:p>
    <w:p w14:paraId="42894A8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Kod CPV:45111000-8</w:t>
      </w:r>
    </w:p>
    <w:p w14:paraId="27FD8639"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Roboty w zakresie burzenia, roboty ziemne.</w:t>
      </w:r>
    </w:p>
    <w:p w14:paraId="4412F660" w14:textId="77777777" w:rsidR="003220D1" w:rsidRPr="003220D1" w:rsidRDefault="003220D1" w:rsidP="003220D1">
      <w:pPr>
        <w:spacing w:after="0" w:line="240" w:lineRule="auto"/>
        <w:ind w:firstLine="454"/>
        <w:jc w:val="center"/>
        <w:rPr>
          <w:rFonts w:ascii="Arial Narrow" w:eastAsia="Calibri" w:hAnsi="Arial Narrow" w:cs="Times New Roman"/>
        </w:rPr>
      </w:pPr>
    </w:p>
    <w:p w14:paraId="26828729"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3220D1">
        <w:rPr>
          <w:rFonts w:ascii="Arial Narrow" w:eastAsia="Times New Roman" w:hAnsi="Arial Narrow" w:cs="Times New Roman"/>
          <w:b/>
          <w:caps/>
          <w:kern w:val="28"/>
          <w:sz w:val="28"/>
          <w:szCs w:val="20"/>
          <w:lang w:eastAsia="x-none"/>
        </w:rPr>
        <w:t xml:space="preserve">1. </w:t>
      </w:r>
      <w:r w:rsidRPr="003220D1">
        <w:rPr>
          <w:rFonts w:ascii="Arial Narrow" w:eastAsia="Times New Roman" w:hAnsi="Arial Narrow" w:cs="Times New Roman"/>
          <w:b/>
          <w:caps/>
          <w:kern w:val="28"/>
          <w:sz w:val="28"/>
          <w:szCs w:val="20"/>
          <w:lang w:val="x-none" w:eastAsia="x-none"/>
        </w:rPr>
        <w:t>wstęp</w:t>
      </w:r>
    </w:p>
    <w:p w14:paraId="7887F1E7"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3220D1">
        <w:rPr>
          <w:rFonts w:ascii="Arial Narrow" w:eastAsia="Times New Roman" w:hAnsi="Arial Narrow" w:cs="Times New Roman"/>
          <w:b/>
          <w:sz w:val="28"/>
          <w:szCs w:val="20"/>
          <w:lang w:eastAsia="x-none"/>
        </w:rPr>
        <w:t xml:space="preserve">1.1 </w:t>
      </w:r>
      <w:r w:rsidRPr="003220D1">
        <w:rPr>
          <w:rFonts w:ascii="Arial Narrow" w:eastAsia="Times New Roman" w:hAnsi="Arial Narrow" w:cs="Times New Roman"/>
          <w:b/>
          <w:sz w:val="28"/>
          <w:szCs w:val="20"/>
          <w:lang w:val="x-none" w:eastAsia="x-none"/>
        </w:rPr>
        <w:t>Przedmiot STWiORB</w:t>
      </w:r>
    </w:p>
    <w:p w14:paraId="12582C19" w14:textId="77777777" w:rsidR="003220D1" w:rsidRPr="003220D1" w:rsidRDefault="003220D1" w:rsidP="003220D1">
      <w:pPr>
        <w:spacing w:after="0" w:line="240" w:lineRule="auto"/>
        <w:ind w:firstLine="454"/>
        <w:jc w:val="both"/>
        <w:rPr>
          <w:rFonts w:ascii="Arial Narrow" w:eastAsia="Calibri" w:hAnsi="Arial Narrow" w:cs="Times New Roman"/>
          <w:sz w:val="20"/>
        </w:rPr>
      </w:pPr>
      <w:r w:rsidRPr="003220D1">
        <w:rPr>
          <w:rFonts w:ascii="Arial Narrow" w:eastAsia="Times New Roman" w:hAnsi="Arial Narrow" w:cs="Times New Roman"/>
          <w:sz w:val="20"/>
          <w:szCs w:val="20"/>
          <w:lang w:eastAsia="pl-PL"/>
        </w:rPr>
        <w:t>Przedmiotem niniejszej szczegółowej specyfikacji technicznej (SST) są wymagania dotyczące wykonania i odbioru robót związanych wykonywaniem koryta wraz z profilowaniem i zagęszczaniem podłoża gruntowego</w:t>
      </w:r>
      <w:r w:rsidRPr="003220D1">
        <w:rPr>
          <w:rFonts w:ascii="Arial Narrow" w:eastAsia="Calibri" w:hAnsi="Arial Narrow" w:cs="Times New Roman"/>
          <w:sz w:val="20"/>
        </w:rPr>
        <w:t>.</w:t>
      </w:r>
    </w:p>
    <w:p w14:paraId="5BA07440"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3220D1">
        <w:rPr>
          <w:rFonts w:ascii="Arial Narrow" w:eastAsia="Times New Roman" w:hAnsi="Arial Narrow" w:cs="Times New Roman"/>
          <w:b/>
          <w:sz w:val="28"/>
          <w:szCs w:val="20"/>
          <w:lang w:eastAsia="x-none"/>
        </w:rPr>
        <w:t xml:space="preserve">1.2 </w:t>
      </w:r>
      <w:r w:rsidRPr="003220D1">
        <w:rPr>
          <w:rFonts w:ascii="Arial Narrow" w:eastAsia="Times New Roman" w:hAnsi="Arial Narrow" w:cs="Times New Roman"/>
          <w:b/>
          <w:sz w:val="28"/>
          <w:szCs w:val="20"/>
          <w:lang w:val="x-none" w:eastAsia="x-none"/>
        </w:rPr>
        <w:t>Zakres stosowania STWiORB</w:t>
      </w:r>
    </w:p>
    <w:p w14:paraId="3D035DD8" w14:textId="14C37896" w:rsidR="003220D1" w:rsidRPr="003220D1" w:rsidRDefault="003220D1" w:rsidP="003220D1">
      <w:pPr>
        <w:tabs>
          <w:tab w:val="left" w:pos="-1440"/>
          <w:tab w:val="left" w:pos="-720"/>
          <w:tab w:val="left" w:pos="0"/>
        </w:tabs>
        <w:spacing w:after="0" w:line="240" w:lineRule="auto"/>
        <w:ind w:firstLine="454"/>
        <w:jc w:val="both"/>
        <w:rPr>
          <w:rFonts w:ascii="Arial Narrow" w:eastAsia="Calibri" w:hAnsi="Arial Narrow" w:cs="Arial"/>
          <w:spacing w:val="-3"/>
          <w:sz w:val="20"/>
        </w:rPr>
      </w:pPr>
      <w:r w:rsidRPr="003220D1">
        <w:rPr>
          <w:rFonts w:ascii="Arial Narrow" w:eastAsia="Calibri" w:hAnsi="Arial Narrow" w:cs="Arial"/>
          <w:sz w:val="20"/>
        </w:rPr>
        <w:t xml:space="preserve">Specyfikacje Techniczne Wykonania i Odbioru Robót Budowlanych </w:t>
      </w:r>
      <w:r w:rsidRPr="003220D1">
        <w:rPr>
          <w:rFonts w:ascii="Arial Narrow" w:eastAsia="Calibri" w:hAnsi="Arial Narrow" w:cs="Arial"/>
          <w:spacing w:val="-3"/>
          <w:sz w:val="20"/>
        </w:rPr>
        <w:t xml:space="preserve">stanowią Dokument Przetargowy i Kontraktowy przy zlecaniu i realizacji robót na drogach </w:t>
      </w:r>
    </w:p>
    <w:p w14:paraId="4533EBCE"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92" w:name="_Toc495829808"/>
      <w:r w:rsidRPr="003220D1">
        <w:rPr>
          <w:rFonts w:ascii="Arial Narrow" w:eastAsia="Times New Roman" w:hAnsi="Arial Narrow" w:cs="Times New Roman"/>
          <w:b/>
          <w:sz w:val="28"/>
          <w:szCs w:val="20"/>
          <w:lang w:val="x-none" w:eastAsia="x-none"/>
        </w:rPr>
        <w:t>1.3. Zakres robót objętych SST</w:t>
      </w:r>
      <w:bookmarkEnd w:id="92"/>
    </w:p>
    <w:p w14:paraId="73EA0A7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Ustalenia zawarte w niniejszej specyfikacji dotyczą zasad prowadzenia robót związanych z wykonaniem koryta przeznaczonego do ułożenia konstrukcji nawierzchni. </w:t>
      </w:r>
    </w:p>
    <w:p w14:paraId="74A13047"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93" w:name="_Toc405704476"/>
      <w:bookmarkStart w:id="94" w:name="_Toc405780137"/>
      <w:bookmarkStart w:id="95" w:name="_Toc406913838"/>
      <w:bookmarkStart w:id="96" w:name="_Toc406914083"/>
      <w:bookmarkStart w:id="97" w:name="_Toc406914741"/>
      <w:bookmarkStart w:id="98" w:name="_Toc406915319"/>
      <w:bookmarkStart w:id="99" w:name="_Toc406984012"/>
      <w:bookmarkStart w:id="100" w:name="_Toc406984159"/>
      <w:bookmarkStart w:id="101" w:name="_Toc406984350"/>
      <w:bookmarkStart w:id="102" w:name="_Toc407069558"/>
      <w:bookmarkStart w:id="103" w:name="_Toc407081523"/>
      <w:bookmarkStart w:id="104" w:name="_Toc407083322"/>
      <w:bookmarkStart w:id="105" w:name="_Toc407084156"/>
      <w:bookmarkStart w:id="106" w:name="_Toc407085275"/>
      <w:bookmarkStart w:id="107" w:name="_Toc407085418"/>
      <w:bookmarkStart w:id="108" w:name="_Toc407085561"/>
      <w:bookmarkStart w:id="109" w:name="_Toc407086009"/>
      <w:bookmarkStart w:id="110" w:name="_Toc495829809"/>
      <w:r w:rsidRPr="003220D1">
        <w:rPr>
          <w:rFonts w:ascii="Arial Narrow" w:eastAsia="Times New Roman" w:hAnsi="Arial Narrow" w:cs="Times New Roman"/>
          <w:b/>
          <w:sz w:val="28"/>
          <w:szCs w:val="20"/>
          <w:lang w:val="x-none" w:eastAsia="x-none"/>
        </w:rPr>
        <w:t>1.4. Określenia podstawowe</w:t>
      </w:r>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p>
    <w:p w14:paraId="66C61019"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Określenia podstawowe są zgodne z obowiązującymi, odpowiednimi polskimi normami i definicjami podanymi w SST D-M-00.00.00 „Wymagania ogólne” pkt 1.4.</w:t>
      </w:r>
    </w:p>
    <w:p w14:paraId="5764761B"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111" w:name="_Toc405704477"/>
      <w:bookmarkStart w:id="112" w:name="_Toc405780138"/>
      <w:bookmarkStart w:id="113" w:name="_Toc406913839"/>
      <w:bookmarkStart w:id="114" w:name="_Toc406914084"/>
      <w:bookmarkStart w:id="115" w:name="_Toc406914742"/>
      <w:bookmarkStart w:id="116" w:name="_Toc406915320"/>
      <w:bookmarkStart w:id="117" w:name="_Toc406984013"/>
      <w:bookmarkStart w:id="118" w:name="_Toc406984160"/>
      <w:bookmarkStart w:id="119" w:name="_Toc406984351"/>
      <w:bookmarkStart w:id="120" w:name="_Toc407069559"/>
      <w:bookmarkStart w:id="121" w:name="_Toc407081524"/>
      <w:bookmarkStart w:id="122" w:name="_Toc407083323"/>
      <w:bookmarkStart w:id="123" w:name="_Toc407084157"/>
      <w:bookmarkStart w:id="124" w:name="_Toc407085276"/>
      <w:bookmarkStart w:id="125" w:name="_Toc407085419"/>
      <w:bookmarkStart w:id="126" w:name="_Toc407085562"/>
      <w:bookmarkStart w:id="127" w:name="_Toc407086010"/>
      <w:bookmarkStart w:id="128" w:name="_Toc495829810"/>
      <w:r w:rsidRPr="003220D1">
        <w:rPr>
          <w:rFonts w:ascii="Arial Narrow" w:eastAsia="Times New Roman" w:hAnsi="Arial Narrow" w:cs="Times New Roman"/>
          <w:b/>
          <w:sz w:val="28"/>
          <w:szCs w:val="20"/>
          <w:lang w:val="x-none" w:eastAsia="x-none"/>
        </w:rPr>
        <w:t>1.5. Ogólne wymagania dotyczące robót</w:t>
      </w:r>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p>
    <w:p w14:paraId="4413E0A5"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wymagania dotyczące robót podano w SST D-M-00.00.00 „Wymagania ogólne” pkt 1.5.</w:t>
      </w:r>
    </w:p>
    <w:p w14:paraId="499DF6ED"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129" w:name="_Toc406913840"/>
      <w:bookmarkStart w:id="130" w:name="_Toc406914085"/>
      <w:bookmarkStart w:id="131" w:name="_Toc406914743"/>
      <w:bookmarkStart w:id="132" w:name="_Toc406915321"/>
      <w:bookmarkStart w:id="133" w:name="_Toc406984014"/>
      <w:bookmarkStart w:id="134" w:name="_Toc406984161"/>
      <w:bookmarkStart w:id="135" w:name="_Toc406984352"/>
      <w:bookmarkStart w:id="136" w:name="_Toc407069560"/>
      <w:bookmarkStart w:id="137" w:name="_Toc407081525"/>
      <w:bookmarkStart w:id="138" w:name="_Toc407083324"/>
      <w:bookmarkStart w:id="139" w:name="_Toc407084158"/>
      <w:bookmarkStart w:id="140" w:name="_Toc407085277"/>
      <w:bookmarkStart w:id="141" w:name="_Toc407085420"/>
      <w:bookmarkStart w:id="142" w:name="_Toc407085563"/>
      <w:bookmarkStart w:id="143" w:name="_Toc407086011"/>
      <w:bookmarkStart w:id="144" w:name="_Toc495829811"/>
      <w:r w:rsidRPr="003220D1">
        <w:rPr>
          <w:rFonts w:ascii="Arial Narrow" w:eastAsia="Times New Roman" w:hAnsi="Arial Narrow" w:cs="Times New Roman"/>
          <w:b/>
          <w:caps/>
          <w:kern w:val="28"/>
          <w:sz w:val="28"/>
          <w:szCs w:val="20"/>
          <w:lang w:val="x-none" w:eastAsia="x-none"/>
        </w:rPr>
        <w:t>2. materiały</w:t>
      </w:r>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p>
    <w:p w14:paraId="4C16CBE5"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Nie występują.</w:t>
      </w:r>
    </w:p>
    <w:p w14:paraId="2198FC51"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145" w:name="_Toc406913841"/>
      <w:bookmarkStart w:id="146" w:name="_Toc406914086"/>
      <w:bookmarkStart w:id="147" w:name="_Toc406914744"/>
      <w:bookmarkStart w:id="148" w:name="_Toc406915322"/>
      <w:bookmarkStart w:id="149" w:name="_Toc406984015"/>
      <w:bookmarkStart w:id="150" w:name="_Toc406984162"/>
      <w:bookmarkStart w:id="151" w:name="_Toc406984353"/>
      <w:bookmarkStart w:id="152" w:name="_Toc407069561"/>
      <w:bookmarkStart w:id="153" w:name="_Toc407081526"/>
      <w:bookmarkStart w:id="154" w:name="_Toc407083325"/>
      <w:bookmarkStart w:id="155" w:name="_Toc407084159"/>
      <w:bookmarkStart w:id="156" w:name="_Toc407085278"/>
      <w:bookmarkStart w:id="157" w:name="_Toc407085421"/>
      <w:bookmarkStart w:id="158" w:name="_Toc407085564"/>
      <w:bookmarkStart w:id="159" w:name="_Toc407086012"/>
      <w:bookmarkStart w:id="160" w:name="_Toc495829812"/>
      <w:r w:rsidRPr="003220D1">
        <w:rPr>
          <w:rFonts w:ascii="Arial Narrow" w:eastAsia="Times New Roman" w:hAnsi="Arial Narrow" w:cs="Times New Roman"/>
          <w:b/>
          <w:caps/>
          <w:kern w:val="28"/>
          <w:sz w:val="28"/>
          <w:szCs w:val="20"/>
          <w:lang w:val="x-none" w:eastAsia="x-none"/>
        </w:rPr>
        <w:t>3. sprzęt</w:t>
      </w:r>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p>
    <w:p w14:paraId="05146707"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161" w:name="_Toc406913842"/>
      <w:bookmarkStart w:id="162" w:name="_Toc406914087"/>
      <w:bookmarkStart w:id="163" w:name="_Toc406914745"/>
      <w:bookmarkStart w:id="164" w:name="_Toc406915323"/>
      <w:bookmarkStart w:id="165" w:name="_Toc406984016"/>
      <w:bookmarkStart w:id="166" w:name="_Toc406984163"/>
      <w:bookmarkStart w:id="167" w:name="_Toc406984354"/>
      <w:bookmarkStart w:id="168" w:name="_Toc407069562"/>
      <w:bookmarkStart w:id="169" w:name="_Toc407081527"/>
      <w:bookmarkStart w:id="170" w:name="_Toc407083326"/>
      <w:bookmarkStart w:id="171" w:name="_Toc407084160"/>
      <w:bookmarkStart w:id="172" w:name="_Toc407085279"/>
      <w:bookmarkStart w:id="173" w:name="_Toc407085422"/>
      <w:bookmarkStart w:id="174" w:name="_Toc407085565"/>
      <w:bookmarkStart w:id="175" w:name="_Toc407086013"/>
      <w:bookmarkStart w:id="176" w:name="_Toc495829813"/>
      <w:r w:rsidRPr="003220D1">
        <w:rPr>
          <w:rFonts w:ascii="Arial Narrow" w:eastAsia="Times New Roman" w:hAnsi="Arial Narrow" w:cs="Times New Roman"/>
          <w:b/>
          <w:sz w:val="28"/>
          <w:szCs w:val="20"/>
          <w:lang w:val="x-none" w:eastAsia="x-none"/>
        </w:rPr>
        <w:t>3.1. Ogólne wymagania dotyczące sprzętu</w:t>
      </w:r>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p>
    <w:p w14:paraId="7AC12279"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wymagania dotyczące sprzętu podano w SST D-M-00.00.00 „Wymagania ogólne” pkt 3.</w:t>
      </w:r>
    </w:p>
    <w:p w14:paraId="5E547F3B"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177" w:name="_Toc406913843"/>
      <w:bookmarkStart w:id="178" w:name="_Toc406914088"/>
      <w:bookmarkStart w:id="179" w:name="_Toc406914746"/>
      <w:bookmarkStart w:id="180" w:name="_Toc406915324"/>
      <w:bookmarkStart w:id="181" w:name="_Toc406984017"/>
      <w:bookmarkStart w:id="182" w:name="_Toc406984164"/>
      <w:bookmarkStart w:id="183" w:name="_Toc406984355"/>
      <w:bookmarkStart w:id="184" w:name="_Toc407069563"/>
      <w:bookmarkStart w:id="185" w:name="_Toc407081528"/>
      <w:bookmarkStart w:id="186" w:name="_Toc407083327"/>
      <w:bookmarkStart w:id="187" w:name="_Toc407084161"/>
      <w:bookmarkStart w:id="188" w:name="_Toc407085280"/>
      <w:bookmarkStart w:id="189" w:name="_Toc407085423"/>
      <w:bookmarkStart w:id="190" w:name="_Toc407085566"/>
      <w:bookmarkStart w:id="191" w:name="_Toc407086014"/>
      <w:bookmarkStart w:id="192" w:name="_Toc495829814"/>
      <w:r w:rsidRPr="003220D1">
        <w:rPr>
          <w:rFonts w:ascii="Arial Narrow" w:eastAsia="Times New Roman" w:hAnsi="Arial Narrow" w:cs="Times New Roman"/>
          <w:b/>
          <w:sz w:val="28"/>
          <w:szCs w:val="20"/>
          <w:lang w:val="x-none" w:eastAsia="x-none"/>
        </w:rPr>
        <w:t>3.2. Sprzęt do wykonania robót</w:t>
      </w:r>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p>
    <w:p w14:paraId="6AA1DD43"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Wykonawca przystępujący do wykonania koryta i profilowania podłoża powinien wykazać się możliwością korzystania z następującego sprzętu:</w:t>
      </w:r>
    </w:p>
    <w:p w14:paraId="5EB24395"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równiarek lub spycharek uniwersalnych z ukośnie ustawianym lemieszem; Inżynier może dopuścić wykonanie koryta i profilowanie podłoża z zastosowaniem spycharki z lemieszem ustawionym prostopadle do kierunku pracy maszyny,</w:t>
      </w:r>
    </w:p>
    <w:p w14:paraId="77D788B6"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koparek z czerpakami profilowymi (przy wykonywaniu wąskich koryt),</w:t>
      </w:r>
    </w:p>
    <w:p w14:paraId="22A4A94D"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walców statycznych, wibracyjnych lub płyt wibracyjnych.</w:t>
      </w:r>
    </w:p>
    <w:p w14:paraId="21FFBA21"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Stosowany sprzęt nie może spowodować niekorzystnego wpływu na właściwości gruntu podłoża.</w:t>
      </w:r>
    </w:p>
    <w:p w14:paraId="6A943E94"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193" w:name="_Toc406913844"/>
      <w:bookmarkStart w:id="194" w:name="_Toc406914089"/>
      <w:bookmarkStart w:id="195" w:name="_Toc406914747"/>
      <w:bookmarkStart w:id="196" w:name="_Toc406915325"/>
      <w:bookmarkStart w:id="197" w:name="_Toc406984018"/>
      <w:bookmarkStart w:id="198" w:name="_Toc406984165"/>
      <w:bookmarkStart w:id="199" w:name="_Toc406984356"/>
      <w:bookmarkStart w:id="200" w:name="_Toc407069564"/>
      <w:bookmarkStart w:id="201" w:name="_Toc407081529"/>
      <w:bookmarkStart w:id="202" w:name="_Toc407083328"/>
      <w:bookmarkStart w:id="203" w:name="_Toc407084162"/>
      <w:bookmarkStart w:id="204" w:name="_Toc407085281"/>
      <w:bookmarkStart w:id="205" w:name="_Toc407085424"/>
      <w:bookmarkStart w:id="206" w:name="_Toc407085567"/>
      <w:bookmarkStart w:id="207" w:name="_Toc407086015"/>
      <w:bookmarkStart w:id="208" w:name="_Toc495829815"/>
      <w:r w:rsidRPr="003220D1">
        <w:rPr>
          <w:rFonts w:ascii="Arial Narrow" w:eastAsia="Times New Roman" w:hAnsi="Arial Narrow" w:cs="Times New Roman"/>
          <w:b/>
          <w:caps/>
          <w:kern w:val="28"/>
          <w:sz w:val="28"/>
          <w:szCs w:val="20"/>
          <w:lang w:val="x-none" w:eastAsia="x-none"/>
        </w:rPr>
        <w:t>4. transport</w:t>
      </w:r>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p>
    <w:p w14:paraId="5431B59E"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209" w:name="_Toc406913845"/>
      <w:bookmarkStart w:id="210" w:name="_Toc406914090"/>
      <w:bookmarkStart w:id="211" w:name="_Toc406914748"/>
      <w:bookmarkStart w:id="212" w:name="_Toc406915326"/>
      <w:bookmarkStart w:id="213" w:name="_Toc406984019"/>
      <w:bookmarkStart w:id="214" w:name="_Toc406984166"/>
      <w:bookmarkStart w:id="215" w:name="_Toc406984357"/>
      <w:bookmarkStart w:id="216" w:name="_Toc407069565"/>
      <w:bookmarkStart w:id="217" w:name="_Toc407081530"/>
      <w:bookmarkStart w:id="218" w:name="_Toc407083329"/>
      <w:bookmarkStart w:id="219" w:name="_Toc407084163"/>
      <w:bookmarkStart w:id="220" w:name="_Toc407085282"/>
      <w:bookmarkStart w:id="221" w:name="_Toc407085425"/>
      <w:bookmarkStart w:id="222" w:name="_Toc407085568"/>
      <w:bookmarkStart w:id="223" w:name="_Toc407086016"/>
      <w:bookmarkStart w:id="224" w:name="_Toc495829816"/>
      <w:r w:rsidRPr="003220D1">
        <w:rPr>
          <w:rFonts w:ascii="Arial Narrow" w:eastAsia="Times New Roman" w:hAnsi="Arial Narrow" w:cs="Times New Roman"/>
          <w:b/>
          <w:sz w:val="28"/>
          <w:szCs w:val="20"/>
          <w:lang w:val="x-none" w:eastAsia="x-none"/>
        </w:rPr>
        <w:t>4.1. Ogólne wymagania dotyczące transportu</w:t>
      </w:r>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p>
    <w:p w14:paraId="12113FE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bookmarkStart w:id="225" w:name="_Toc406822326"/>
      <w:bookmarkStart w:id="226" w:name="_Toc406913846"/>
      <w:bookmarkStart w:id="227" w:name="_Toc406914091"/>
      <w:r w:rsidRPr="003220D1">
        <w:rPr>
          <w:rFonts w:ascii="Arial Narrow" w:eastAsia="Times New Roman" w:hAnsi="Arial Narrow" w:cs="Times New Roman"/>
          <w:sz w:val="20"/>
          <w:szCs w:val="20"/>
          <w:lang w:eastAsia="pl-PL"/>
        </w:rPr>
        <w:t>Nie występują.</w:t>
      </w:r>
      <w:bookmarkEnd w:id="225"/>
      <w:bookmarkEnd w:id="226"/>
      <w:bookmarkEnd w:id="227"/>
    </w:p>
    <w:p w14:paraId="3ACE0C30"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228" w:name="_Toc406913847"/>
      <w:bookmarkStart w:id="229" w:name="_Toc406914092"/>
      <w:bookmarkStart w:id="230" w:name="_Toc406914749"/>
      <w:bookmarkStart w:id="231" w:name="_Toc406915327"/>
      <w:bookmarkStart w:id="232" w:name="_Toc406984020"/>
      <w:bookmarkStart w:id="233" w:name="_Toc406984167"/>
      <w:bookmarkStart w:id="234" w:name="_Toc406984358"/>
      <w:bookmarkStart w:id="235" w:name="_Toc407069566"/>
      <w:bookmarkStart w:id="236" w:name="_Toc407081531"/>
      <w:bookmarkStart w:id="237" w:name="_Toc407083330"/>
      <w:bookmarkStart w:id="238" w:name="_Toc407084164"/>
      <w:bookmarkStart w:id="239" w:name="_Toc407085283"/>
      <w:bookmarkStart w:id="240" w:name="_Toc407085426"/>
      <w:bookmarkStart w:id="241" w:name="_Toc407085569"/>
      <w:bookmarkStart w:id="242" w:name="_Toc407086017"/>
      <w:bookmarkStart w:id="243" w:name="_Toc495829817"/>
      <w:r w:rsidRPr="003220D1">
        <w:rPr>
          <w:rFonts w:ascii="Arial Narrow" w:eastAsia="Times New Roman" w:hAnsi="Arial Narrow" w:cs="Times New Roman"/>
          <w:b/>
          <w:sz w:val="28"/>
          <w:szCs w:val="20"/>
          <w:lang w:val="x-none" w:eastAsia="x-none"/>
        </w:rPr>
        <w:t>4.2. Transport materiałów</w:t>
      </w:r>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p>
    <w:p w14:paraId="0DB663E8"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Nie występują.</w:t>
      </w:r>
    </w:p>
    <w:p w14:paraId="29238649"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244" w:name="_Toc406913849"/>
      <w:bookmarkStart w:id="245" w:name="_Toc406914094"/>
      <w:bookmarkStart w:id="246" w:name="_Toc406914750"/>
      <w:bookmarkStart w:id="247" w:name="_Toc406915328"/>
      <w:bookmarkStart w:id="248" w:name="_Toc406984021"/>
      <w:bookmarkStart w:id="249" w:name="_Toc406984168"/>
      <w:bookmarkStart w:id="250" w:name="_Toc406984359"/>
      <w:bookmarkStart w:id="251" w:name="_Toc407069567"/>
      <w:bookmarkStart w:id="252" w:name="_Toc407081532"/>
      <w:bookmarkStart w:id="253" w:name="_Toc407083331"/>
      <w:bookmarkStart w:id="254" w:name="_Toc407084165"/>
      <w:bookmarkStart w:id="255" w:name="_Toc407085284"/>
      <w:bookmarkStart w:id="256" w:name="_Toc407085427"/>
      <w:bookmarkStart w:id="257" w:name="_Toc407085570"/>
      <w:bookmarkStart w:id="258" w:name="_Toc407086018"/>
      <w:bookmarkStart w:id="259" w:name="_Toc495829818"/>
      <w:r w:rsidRPr="003220D1">
        <w:rPr>
          <w:rFonts w:ascii="Arial Narrow" w:eastAsia="Times New Roman" w:hAnsi="Arial Narrow" w:cs="Times New Roman"/>
          <w:b/>
          <w:caps/>
          <w:kern w:val="28"/>
          <w:sz w:val="28"/>
          <w:szCs w:val="20"/>
          <w:lang w:val="x-none" w:eastAsia="x-none"/>
        </w:rPr>
        <w:t>5. wykonanie robót</w:t>
      </w:r>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p>
    <w:p w14:paraId="52E3718A"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260" w:name="_Toc406913850"/>
      <w:bookmarkStart w:id="261" w:name="_Toc406914095"/>
      <w:bookmarkStart w:id="262" w:name="_Toc406914751"/>
      <w:bookmarkStart w:id="263" w:name="_Toc406915329"/>
      <w:bookmarkStart w:id="264" w:name="_Toc406984022"/>
      <w:bookmarkStart w:id="265" w:name="_Toc406984169"/>
      <w:bookmarkStart w:id="266" w:name="_Toc406984360"/>
      <w:bookmarkStart w:id="267" w:name="_Toc407069568"/>
      <w:bookmarkStart w:id="268" w:name="_Toc407081533"/>
      <w:bookmarkStart w:id="269" w:name="_Toc407083332"/>
      <w:bookmarkStart w:id="270" w:name="_Toc407084166"/>
      <w:bookmarkStart w:id="271" w:name="_Toc407085285"/>
      <w:bookmarkStart w:id="272" w:name="_Toc407085428"/>
      <w:bookmarkStart w:id="273" w:name="_Toc407085571"/>
      <w:bookmarkStart w:id="274" w:name="_Toc407086019"/>
      <w:bookmarkStart w:id="275" w:name="_Toc495829819"/>
      <w:r w:rsidRPr="003220D1">
        <w:rPr>
          <w:rFonts w:ascii="Arial Narrow" w:eastAsia="Times New Roman" w:hAnsi="Arial Narrow" w:cs="Times New Roman"/>
          <w:b/>
          <w:sz w:val="28"/>
          <w:szCs w:val="20"/>
          <w:lang w:val="x-none" w:eastAsia="x-none"/>
        </w:rPr>
        <w:t>5.1. Ogólne zasady wykonania robót</w:t>
      </w:r>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p>
    <w:p w14:paraId="7A879ED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bookmarkStart w:id="276" w:name="_Toc406822331"/>
      <w:bookmarkStart w:id="277" w:name="_Toc406913851"/>
      <w:bookmarkStart w:id="278" w:name="_Toc406914096"/>
      <w:r w:rsidRPr="003220D1">
        <w:rPr>
          <w:rFonts w:ascii="Arial Narrow" w:eastAsia="Times New Roman" w:hAnsi="Arial Narrow" w:cs="Times New Roman"/>
          <w:sz w:val="20"/>
          <w:szCs w:val="20"/>
          <w:lang w:eastAsia="pl-PL"/>
        </w:rPr>
        <w:t>Ogólne zasady wykonania robót podano w SST D-M-00.00.00 „Wymagania ogólne” pkt 5.</w:t>
      </w:r>
      <w:bookmarkEnd w:id="276"/>
      <w:bookmarkEnd w:id="277"/>
      <w:bookmarkEnd w:id="278"/>
    </w:p>
    <w:p w14:paraId="3FE6550F"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279" w:name="_Toc495829820"/>
      <w:bookmarkStart w:id="280" w:name="_Toc406913852"/>
      <w:bookmarkStart w:id="281" w:name="_Toc406914097"/>
      <w:bookmarkStart w:id="282" w:name="_Toc406914752"/>
      <w:bookmarkStart w:id="283" w:name="_Toc406915330"/>
      <w:bookmarkStart w:id="284" w:name="_Toc406984023"/>
      <w:bookmarkStart w:id="285" w:name="_Toc406984170"/>
      <w:bookmarkStart w:id="286" w:name="_Toc406984361"/>
      <w:bookmarkStart w:id="287" w:name="_Toc407069569"/>
      <w:bookmarkStart w:id="288" w:name="_Toc407081534"/>
      <w:bookmarkStart w:id="289" w:name="_Toc407083333"/>
      <w:bookmarkStart w:id="290" w:name="_Toc407084167"/>
      <w:bookmarkStart w:id="291" w:name="_Toc407085286"/>
      <w:bookmarkStart w:id="292" w:name="_Toc407085429"/>
      <w:bookmarkStart w:id="293" w:name="_Toc407085572"/>
      <w:bookmarkStart w:id="294" w:name="_Toc407086020"/>
      <w:r w:rsidRPr="003220D1">
        <w:rPr>
          <w:rFonts w:ascii="Arial Narrow" w:eastAsia="Times New Roman" w:hAnsi="Arial Narrow" w:cs="Times New Roman"/>
          <w:b/>
          <w:sz w:val="28"/>
          <w:szCs w:val="20"/>
          <w:lang w:val="x-none" w:eastAsia="x-none"/>
        </w:rPr>
        <w:t>5.2. Zakres wykonywanych robót</w:t>
      </w:r>
      <w:bookmarkEnd w:id="279"/>
    </w:p>
    <w:p w14:paraId="0259F319"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val="x-none" w:eastAsia="x-none"/>
        </w:rPr>
        <w:t>5.2.1. Zasady ogólne</w:t>
      </w:r>
    </w:p>
    <w:p w14:paraId="4FCFC6F8"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Wykonawca może przystąpić do profilowania i zagęszczenia podłoża dopiero po zakończeniu i odebraniu robót związanych z wykonaniem elementów odwodnienia i instalacji urządzeń podziemnych w korpusie ziemnym. Wykonawca powinien przystąpić do wykonywania koryta oraz profilowania i zagęszczenia podłoża bezpośrednio przed rozpoczęciem robot związanych z wykonaniem warstw nawierzchni. Wcześniejsze przystąpienie do wykonania koryta oraz profilowania i zagęszczenia podłoża i wykonywanie tych robót z wyprzedzeniem jest możliwe wyłącznie za zgodą Inspektora Nadzoru Inwestorskiego, w korzystnych warunkach atmosferycznych.</w:t>
      </w:r>
    </w:p>
    <w:p w14:paraId="7110FD79"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 wyprofilowanym i zagęszczonym podłożu nie może odbywać się ruch budowlany, niezwiązany bezpośrednio z wykonaniem pierwszej warstwy nawierzchni.</w:t>
      </w:r>
    </w:p>
    <w:p w14:paraId="33D8F295"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val="x-none" w:eastAsia="x-none"/>
        </w:rPr>
        <w:t>5.2.2. Profilowanie podłoża</w:t>
      </w:r>
    </w:p>
    <w:p w14:paraId="24DF2010"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Przed przystąpieniem do profilowania podłoże powinno być oczyszczone ze wszelkich zanieczyszczeń. Należy usunąć błoto i grunt, który uległ nadmiernemu nawilgoceniu.</w:t>
      </w:r>
    </w:p>
    <w:p w14:paraId="1EDDC8CD"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 xml:space="preserve">Po oczyszczeniu powierzchni podłoża, które ma być profilowane należy sprawdzić, czy istniejące rzędne terenu umożliwiają uzyskanie po profilowaniu zaprojektowanych rzędnych podłoża. Zaleca się, aby rzędne terenu przed profilowaniem </w:t>
      </w:r>
      <w:r w:rsidRPr="003220D1">
        <w:rPr>
          <w:rFonts w:ascii="Arial Narrow" w:eastAsia="Times New Roman" w:hAnsi="Arial Narrow" w:cs="Arial"/>
          <w:sz w:val="20"/>
          <w:szCs w:val="20"/>
          <w:lang w:eastAsia="pl-PL"/>
        </w:rPr>
        <w:lastRenderedPageBreak/>
        <w:t>były, o co najmniej 5 cm wyższe niż projektowane rzędne podłoża. Jeżeli powyższy warunek nie jest spełniony i występują zaniżenia poziomu w podłożu przewidzianym do profilowania Wykonawca powinien spulchnić podłoże na głębokość co najmniej 10 cm, dowieźć dodatkowy grunt spełniający wymagania obowiązujące dla górnej strefy korpusu, w ilości koniecznej do uzyskania wymaganych rzędnych wysokościowych i zagęścić warstwę do uzyskania wartości wskaźnika zagęszczenia, określonych w tablicy w p.5.2.5. Jeżeli rzędne podłoża przed profilowaniem nie wymagają dowiezienia i wbudowania dodatkowego gruntu, to przed przystąpieniem do profilowania oczyszczonego podłoża jego powierzchnię należy dogęścić 3</w:t>
      </w:r>
      <w:r w:rsidRPr="003220D1">
        <w:rPr>
          <w:rFonts w:ascii="Arial Narrow" w:eastAsia="Times New Roman" w:hAnsi="Arial Narrow" w:cs="Arial"/>
          <w:sz w:val="20"/>
          <w:szCs w:val="20"/>
          <w:lang w:eastAsia="pl-PL"/>
        </w:rPr>
        <w:noBreakHyphen/>
        <w:t>4 przejściami średniego walca stalowego, gładkiego lub w inny sposób zaakceptowany przez Inspektora Nadzoru Inwestorskiego. Do profilowania podłoża należy stosować równiarki. Ścięty grunt powinien być wykorzystany w robotach ziemnych lub w inny sposób zaakceptowany przez Inspektora Nadzoru Inwestorskiego.</w:t>
      </w:r>
    </w:p>
    <w:p w14:paraId="3D6D22C9"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val="x-none" w:eastAsia="x-none"/>
        </w:rPr>
        <w:t>5.2.3. Zagęszczanie podłoża</w:t>
      </w:r>
    </w:p>
    <w:p w14:paraId="1EDC4958"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Bezpośrednio po profilowaniu podłoża należy przystąpić do jego dogęszczenia przez wałowanie. Jakiekolwiek nierówności powstałe przy zagęszczaniu powinny być naprawione przez Wykonawcę w sposób zaakceptowany przez Inspektora Nadzoru Inwestorskiego.</w:t>
      </w:r>
    </w:p>
    <w:p w14:paraId="03F68406"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Zagęszczenie podłoża należy kontrolować według normalnej próby Proctora, przeprowadzonej zgodnie z PN</w:t>
      </w:r>
      <w:r w:rsidRPr="003220D1">
        <w:rPr>
          <w:rFonts w:ascii="Arial Narrow" w:eastAsia="Times New Roman" w:hAnsi="Arial Narrow" w:cs="Arial"/>
          <w:sz w:val="20"/>
          <w:szCs w:val="20"/>
          <w:lang w:eastAsia="pl-PL"/>
        </w:rPr>
        <w:noBreakHyphen/>
        <w:t>88/B</w:t>
      </w:r>
      <w:r w:rsidRPr="003220D1">
        <w:rPr>
          <w:rFonts w:ascii="Arial Narrow" w:eastAsia="Times New Roman" w:hAnsi="Arial Narrow" w:cs="Arial"/>
          <w:sz w:val="20"/>
          <w:szCs w:val="20"/>
          <w:lang w:eastAsia="pl-PL"/>
        </w:rPr>
        <w:noBreakHyphen/>
        <w:t>04481 (metoda I). Wskaźnik zagęszczenia należy określić zgodnie z BN</w:t>
      </w:r>
      <w:r w:rsidRPr="003220D1">
        <w:rPr>
          <w:rFonts w:ascii="Arial Narrow" w:eastAsia="Times New Roman" w:hAnsi="Arial Narrow" w:cs="Arial"/>
          <w:sz w:val="20"/>
          <w:szCs w:val="20"/>
          <w:lang w:eastAsia="pl-PL"/>
        </w:rPr>
        <w:noBreakHyphen/>
        <w:t>77/8931</w:t>
      </w:r>
      <w:r w:rsidRPr="003220D1">
        <w:rPr>
          <w:rFonts w:ascii="Arial Narrow" w:eastAsia="Times New Roman" w:hAnsi="Arial Narrow" w:cs="Arial"/>
          <w:sz w:val="20"/>
          <w:szCs w:val="20"/>
          <w:lang w:eastAsia="pl-PL"/>
        </w:rPr>
        <w:noBreakHyphen/>
        <w:t>12. Minimalną wartość wskaźnika zagęszczenia podano w tablicy p.5.2.4.</w:t>
      </w:r>
    </w:p>
    <w:p w14:paraId="23337F7F"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Wilgotność gruntu podłoża przy zagęszczeniu nie powinna różnić się od wilgotności optymalnej o więcej niż (wg [4]):</w:t>
      </w:r>
    </w:p>
    <w:p w14:paraId="09AEF026"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 gruntach niespoistych ±2,0%,</w:t>
      </w:r>
    </w:p>
    <w:p w14:paraId="173FA073"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 gruntach mało i średnio spoistych + 0% i -2%.</w:t>
      </w:r>
    </w:p>
    <w:p w14:paraId="7EFB098E"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val="x-none" w:eastAsia="x-none"/>
        </w:rPr>
        <w:t>5.2.4 Utrzymanie koryta oraz wyprofilowanego i zagęszczonego podłoża</w:t>
      </w:r>
    </w:p>
    <w:p w14:paraId="7FAA8C1C"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 xml:space="preserve">Przed przystąpieniem do profilowania podłoże powinno być oczyszczone ze wszelkich zanieczyszczeń. 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  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 </w:t>
      </w:r>
    </w:p>
    <w:p w14:paraId="4CCE145E"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 xml:space="preserve">Do profilowania podłoża należy stosować równiarki. Ścięty grunt powinien być wykorzystany w robotach ziemnych lub w inny sposób zaakceptowany przez Inżyniera. </w:t>
      </w:r>
    </w:p>
    <w:p w14:paraId="18F04047"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 xml:space="preserve">Bezpośrednio po profilowaniu podłoża należy przystąpić do jego zagęszczania. Zagęszczanie podłoża należy kontynuować do osiągnięcia wskaźnika zagęszczenia nie mniejszego od podanego w tablicy 1. Wskaźnik zagęszczenia należy określać zgodnie z PN-S-02205[3]. </w:t>
      </w:r>
    </w:p>
    <w:p w14:paraId="53DEAD5F"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Na gruncie zakwalifikowanym do:</w:t>
      </w:r>
    </w:p>
    <w:p w14:paraId="20ADFD97"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G2 należy uzyskać wtórny moduł odkształcenia E2 &gt;50MPa,</w:t>
      </w:r>
    </w:p>
    <w:p w14:paraId="4DE648CB"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G3 należy uzyskać wtórny moduł odkształcenia E2 &gt;35MPa,</w:t>
      </w:r>
    </w:p>
    <w:p w14:paraId="168383C4"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G4 należy uzyskać wtórny moduł odkształcenia E2 &gt;25MPa,</w:t>
      </w:r>
    </w:p>
    <w:p w14:paraId="4E62BEE2"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 xml:space="preserve">Wzmocnienie gruntu o mniejszej nośności podlega indywidualnej ocenie a zakres robót określi inżynier kontraktu. </w:t>
      </w:r>
    </w:p>
    <w:p w14:paraId="3D41C549"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 xml:space="preserve">W przypadku nasypów nośność górnej warstwy nasypu (GWN) określona na podstawie pomiaru wtórnego modułu odkształcenia E2 zgodnie z PN-02205:1998 [4] rysunek 3 powinna wynosić 80 MPa i odpowiadać grupie nośności podłoża G1. </w:t>
      </w:r>
    </w:p>
    <w:p w14:paraId="1F3A4B8D"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p>
    <w:p w14:paraId="1A712562"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p>
    <w:p w14:paraId="01B3ED2F"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Tablica 1. Minimalne wartości wskaźnika zagęszczenia podłoża (I</w:t>
      </w:r>
      <w:r w:rsidRPr="003220D1">
        <w:rPr>
          <w:rFonts w:ascii="Arial Narrow" w:eastAsia="Times New Roman" w:hAnsi="Arial Narrow" w:cs="Arial"/>
          <w:position w:val="-7"/>
          <w:sz w:val="20"/>
          <w:szCs w:val="20"/>
          <w:lang w:eastAsia="pl-PL"/>
        </w:rPr>
        <w:t>s</w:t>
      </w:r>
      <w:r w:rsidRPr="003220D1">
        <w:rPr>
          <w:rFonts w:ascii="Arial Narrow" w:eastAsia="Times New Roman" w:hAnsi="Arial Narrow" w:cs="Arial"/>
          <w:sz w:val="20"/>
          <w:szCs w:val="20"/>
          <w:lang w:eastAsia="pl-PL"/>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000" w:firstRow="0" w:lastRow="0" w:firstColumn="0" w:lastColumn="0" w:noHBand="0" w:noVBand="0"/>
      </w:tblPr>
      <w:tblGrid>
        <w:gridCol w:w="6825"/>
        <w:gridCol w:w="851"/>
        <w:gridCol w:w="1154"/>
      </w:tblGrid>
      <w:tr w:rsidR="003220D1" w:rsidRPr="003220D1" w14:paraId="69B90AFE" w14:textId="77777777" w:rsidTr="00855929">
        <w:trPr>
          <w:cantSplit/>
          <w:trHeight w:val="337"/>
          <w:jc w:val="center"/>
        </w:trPr>
        <w:tc>
          <w:tcPr>
            <w:tcW w:w="6825" w:type="dxa"/>
            <w:vMerge w:val="restart"/>
            <w:vAlign w:val="center"/>
          </w:tcPr>
          <w:p w14:paraId="6E9EC99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Strefa korpusu</w:t>
            </w:r>
          </w:p>
        </w:tc>
        <w:tc>
          <w:tcPr>
            <w:tcW w:w="2005" w:type="dxa"/>
            <w:gridSpan w:val="2"/>
          </w:tcPr>
          <w:p w14:paraId="5CA965F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Minimalna wartość I</w:t>
            </w:r>
            <w:r w:rsidRPr="003220D1">
              <w:rPr>
                <w:rFonts w:ascii="Arial Narrow" w:eastAsia="Times New Roman" w:hAnsi="Arial Narrow" w:cs="Times New Roman"/>
                <w:position w:val="-6"/>
                <w:sz w:val="20"/>
              </w:rPr>
              <w:t>s</w:t>
            </w:r>
          </w:p>
        </w:tc>
      </w:tr>
      <w:tr w:rsidR="003220D1" w:rsidRPr="003220D1" w14:paraId="6D2C05CE" w14:textId="77777777" w:rsidTr="00855929">
        <w:trPr>
          <w:cantSplit/>
          <w:trHeight w:val="200"/>
          <w:jc w:val="center"/>
        </w:trPr>
        <w:tc>
          <w:tcPr>
            <w:tcW w:w="6825" w:type="dxa"/>
            <w:vMerge/>
            <w:vAlign w:val="center"/>
          </w:tcPr>
          <w:p w14:paraId="7AE7ABC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851" w:type="dxa"/>
            <w:vAlign w:val="center"/>
          </w:tcPr>
          <w:p w14:paraId="24B6EF8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KR 1- 2</w:t>
            </w:r>
          </w:p>
        </w:tc>
        <w:tc>
          <w:tcPr>
            <w:tcW w:w="1154" w:type="dxa"/>
            <w:vAlign w:val="center"/>
          </w:tcPr>
          <w:p w14:paraId="190EF07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KR 3- 6</w:t>
            </w:r>
          </w:p>
        </w:tc>
      </w:tr>
      <w:tr w:rsidR="003220D1" w:rsidRPr="003220D1" w14:paraId="543F0634" w14:textId="77777777" w:rsidTr="00855929">
        <w:trPr>
          <w:cantSplit/>
          <w:trHeight w:val="176"/>
          <w:jc w:val="center"/>
        </w:trPr>
        <w:tc>
          <w:tcPr>
            <w:tcW w:w="6825" w:type="dxa"/>
            <w:vAlign w:val="center"/>
          </w:tcPr>
          <w:p w14:paraId="4CE7A45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Górna warstwa o grubości 20 cm</w:t>
            </w:r>
          </w:p>
        </w:tc>
        <w:tc>
          <w:tcPr>
            <w:tcW w:w="851" w:type="dxa"/>
            <w:vAlign w:val="center"/>
          </w:tcPr>
          <w:p w14:paraId="6D98D58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1.00</w:t>
            </w:r>
          </w:p>
        </w:tc>
        <w:tc>
          <w:tcPr>
            <w:tcW w:w="1154" w:type="dxa"/>
            <w:vAlign w:val="center"/>
          </w:tcPr>
          <w:p w14:paraId="1B457FA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1.00</w:t>
            </w:r>
          </w:p>
        </w:tc>
      </w:tr>
      <w:tr w:rsidR="003220D1" w:rsidRPr="003220D1" w14:paraId="120DC31E" w14:textId="77777777" w:rsidTr="00855929">
        <w:trPr>
          <w:cantSplit/>
          <w:trHeight w:val="250"/>
          <w:jc w:val="center"/>
        </w:trPr>
        <w:tc>
          <w:tcPr>
            <w:tcW w:w="6825" w:type="dxa"/>
            <w:vAlign w:val="center"/>
          </w:tcPr>
          <w:p w14:paraId="10DDDF3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Na głębokości od 20 do 50 cm od powierzchni robót ziemnych lub terenu</w:t>
            </w:r>
          </w:p>
        </w:tc>
        <w:tc>
          <w:tcPr>
            <w:tcW w:w="851" w:type="dxa"/>
            <w:vAlign w:val="center"/>
          </w:tcPr>
          <w:p w14:paraId="2ACA2C0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0.97</w:t>
            </w:r>
          </w:p>
        </w:tc>
        <w:tc>
          <w:tcPr>
            <w:tcW w:w="1154" w:type="dxa"/>
            <w:vAlign w:val="center"/>
          </w:tcPr>
          <w:p w14:paraId="2907247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1.00</w:t>
            </w:r>
          </w:p>
        </w:tc>
      </w:tr>
    </w:tbl>
    <w:p w14:paraId="350314FD"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p>
    <w:p w14:paraId="52490580"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3220D1">
        <w:rPr>
          <w:rFonts w:ascii="Arial Narrow" w:eastAsia="Times New Roman" w:hAnsi="Arial Narrow" w:cs="Times New Roman"/>
          <w:b/>
          <w:sz w:val="28"/>
          <w:szCs w:val="20"/>
          <w:lang w:val="x-none" w:eastAsia="x-none"/>
        </w:rPr>
        <w:t xml:space="preserve">5.3. Utrzymanie wyprofilowanego i zagęszczonego podłoża </w:t>
      </w:r>
    </w:p>
    <w:p w14:paraId="5664E64D"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 xml:space="preserve"> Podłoże po wyprofilowaniu i zagęszczeniu powinno być utrzymywane w dobrym stanie. Jeżeli po wykonaniu robót związanych z profilowaniem i zagęszczeniem podłoża nastąpi przerwa w robotach i Wykonawca nie przystępuje natychmiast do układania warstw nawierzchni, to powinien on zabezpieczyć podłoże przed nadmiernym zawilgoceniem, na przykład przez rozłożenie folii lub inny sposób zaakceptowany przez Inspektora Nadzoru Inwestorskiego.</w:t>
      </w:r>
    </w:p>
    <w:p w14:paraId="77E3F9E7"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Jeżeli wyprofilowane i zagęszczone podłoże uległo nadmiernemu zawilgoceniu, to przed przystąpieniem do układania podbudowy należy odczekać do czasu jego naturalnego osuszenia.</w:t>
      </w:r>
    </w:p>
    <w:p w14:paraId="7FF6FC43"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Po osuszeniu podłoża Inspektor Nadzoru Inwestorskiego oceni jego stan i ewentualnie zleci wykonanie niezbędnych napraw. Jeżeli zawilgocenie nastąpiło wskutek zaniedbania Wykonawcy, to dodatkowe naprawy wykona on na własny koszt.</w:t>
      </w:r>
    </w:p>
    <w:p w14:paraId="4138A587"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295" w:name="_Toc406913856"/>
      <w:bookmarkStart w:id="296" w:name="_Toc406914101"/>
      <w:bookmarkStart w:id="297" w:name="_Toc406914756"/>
      <w:bookmarkStart w:id="298" w:name="_Toc406915334"/>
      <w:bookmarkStart w:id="299" w:name="_Toc406984027"/>
      <w:bookmarkStart w:id="300" w:name="_Toc406984174"/>
      <w:bookmarkStart w:id="301" w:name="_Toc406984365"/>
      <w:bookmarkStart w:id="302" w:name="_Toc407069573"/>
      <w:bookmarkStart w:id="303" w:name="_Toc407081538"/>
      <w:bookmarkStart w:id="304" w:name="_Toc407083337"/>
      <w:bookmarkStart w:id="305" w:name="_Toc407084171"/>
      <w:bookmarkStart w:id="306" w:name="_Toc407085290"/>
      <w:bookmarkStart w:id="307" w:name="_Toc407085433"/>
      <w:bookmarkStart w:id="308" w:name="_Toc407085576"/>
      <w:bookmarkStart w:id="309" w:name="_Toc407086024"/>
      <w:bookmarkStart w:id="310" w:name="_Toc495829821"/>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r w:rsidRPr="003220D1">
        <w:rPr>
          <w:rFonts w:ascii="Arial Narrow" w:eastAsia="Times New Roman" w:hAnsi="Arial Narrow" w:cs="Times New Roman"/>
          <w:b/>
          <w:caps/>
          <w:kern w:val="28"/>
          <w:sz w:val="28"/>
          <w:szCs w:val="20"/>
          <w:lang w:val="x-none" w:eastAsia="x-none"/>
        </w:rPr>
        <w:t>6. kontrola jakości robót</w:t>
      </w:r>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p>
    <w:p w14:paraId="35330A61"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311" w:name="_Toc406913857"/>
      <w:bookmarkStart w:id="312" w:name="_Toc406914102"/>
      <w:bookmarkStart w:id="313" w:name="_Toc406914757"/>
      <w:bookmarkStart w:id="314" w:name="_Toc406915335"/>
      <w:bookmarkStart w:id="315" w:name="_Toc406984028"/>
      <w:bookmarkStart w:id="316" w:name="_Toc406984175"/>
      <w:bookmarkStart w:id="317" w:name="_Toc406984366"/>
      <w:bookmarkStart w:id="318" w:name="_Toc407069574"/>
      <w:bookmarkStart w:id="319" w:name="_Toc407081539"/>
      <w:bookmarkStart w:id="320" w:name="_Toc407083338"/>
      <w:bookmarkStart w:id="321" w:name="_Toc407084172"/>
      <w:bookmarkStart w:id="322" w:name="_Toc407085291"/>
      <w:bookmarkStart w:id="323" w:name="_Toc407085434"/>
      <w:bookmarkStart w:id="324" w:name="_Toc407085577"/>
      <w:bookmarkStart w:id="325" w:name="_Toc407086025"/>
      <w:bookmarkStart w:id="326" w:name="_Toc495829822"/>
      <w:r w:rsidRPr="003220D1">
        <w:rPr>
          <w:rFonts w:ascii="Arial Narrow" w:eastAsia="Times New Roman" w:hAnsi="Arial Narrow" w:cs="Times New Roman"/>
          <w:b/>
          <w:sz w:val="28"/>
          <w:szCs w:val="20"/>
          <w:lang w:val="x-none" w:eastAsia="x-none"/>
        </w:rPr>
        <w:t>6.1. Ogólne zasady kontroli jakości robót</w:t>
      </w:r>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p>
    <w:p w14:paraId="0221F905"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zasady kontroli jakości robót podano w SST D-M-00.00.00 „Wymagania ogólne” pkt 6.</w:t>
      </w:r>
    </w:p>
    <w:p w14:paraId="6C5AD6C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lastRenderedPageBreak/>
        <w:t>W czasie robót Wykonawca powinien prowadzić systematyczne badania kontrolne w zakresie i z częstotliwością gwarantującą zachowanie wymagań jakości robót, lecz nie rzadziej niż wskazano w odpowiednich punktach niniejszej specyfikacji.</w:t>
      </w:r>
    </w:p>
    <w:p w14:paraId="73EDB52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 przypadku, gdy przeprowadzenie badania zagęszczenia według metody Proctora jest niemożliwe ze względu na gruboziarniste uziarnienie materiału tworzącego podłoże, kontrolę zagęszczenia należy oprzeć na metodzie obciążeń płytowych. Należy określić pierwotny i wtórny moduł odkształcenia podłoża według [4]. Stosunek wtórnego i pierwotnego modułu odkształcenia nie powinien przekraczać 2,2. </w:t>
      </w:r>
    </w:p>
    <w:p w14:paraId="014C9B6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Tablica 2. </w:t>
      </w:r>
    </w:p>
    <w:tbl>
      <w:tblPr>
        <w:tblW w:w="90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401"/>
        <w:gridCol w:w="4135"/>
        <w:gridCol w:w="2268"/>
        <w:gridCol w:w="2218"/>
      </w:tblGrid>
      <w:tr w:rsidR="003220D1" w:rsidRPr="003220D1" w14:paraId="0DFA1D71" w14:textId="77777777" w:rsidTr="00855929">
        <w:trPr>
          <w:cantSplit/>
          <w:trHeight w:val="291"/>
          <w:tblHeader/>
          <w:jc w:val="center"/>
        </w:trPr>
        <w:tc>
          <w:tcPr>
            <w:tcW w:w="401" w:type="dxa"/>
            <w:vMerge w:val="restart"/>
            <w:vAlign w:val="center"/>
          </w:tcPr>
          <w:p w14:paraId="72F365D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Lp</w:t>
            </w:r>
          </w:p>
        </w:tc>
        <w:tc>
          <w:tcPr>
            <w:tcW w:w="4135" w:type="dxa"/>
            <w:vMerge w:val="restart"/>
            <w:vAlign w:val="center"/>
          </w:tcPr>
          <w:p w14:paraId="7E978AC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Wyszczególnienie badań</w:t>
            </w:r>
          </w:p>
        </w:tc>
        <w:tc>
          <w:tcPr>
            <w:tcW w:w="4486" w:type="dxa"/>
            <w:gridSpan w:val="2"/>
            <w:vAlign w:val="center"/>
          </w:tcPr>
          <w:p w14:paraId="16B3E23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Częstotliwość badań</w:t>
            </w:r>
          </w:p>
        </w:tc>
      </w:tr>
      <w:tr w:rsidR="003220D1" w:rsidRPr="003220D1" w14:paraId="4CA735F1" w14:textId="77777777" w:rsidTr="00855929">
        <w:trPr>
          <w:cantSplit/>
          <w:trHeight w:val="612"/>
          <w:tblHeader/>
          <w:jc w:val="center"/>
        </w:trPr>
        <w:tc>
          <w:tcPr>
            <w:tcW w:w="401" w:type="dxa"/>
            <w:vMerge/>
            <w:vAlign w:val="center"/>
          </w:tcPr>
          <w:p w14:paraId="4F483A2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4135" w:type="dxa"/>
            <w:vMerge/>
            <w:vAlign w:val="center"/>
          </w:tcPr>
          <w:p w14:paraId="20EB328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268" w:type="dxa"/>
            <w:vAlign w:val="center"/>
          </w:tcPr>
          <w:p w14:paraId="79FD0D8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Min. liczba badań na dziennej działce roboczej</w:t>
            </w:r>
          </w:p>
        </w:tc>
        <w:tc>
          <w:tcPr>
            <w:tcW w:w="2218" w:type="dxa"/>
            <w:vAlign w:val="center"/>
          </w:tcPr>
          <w:p w14:paraId="7BFDA4C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Max. powierzchnia (m2) przypadająca na jedno badanie</w:t>
            </w:r>
          </w:p>
        </w:tc>
      </w:tr>
      <w:tr w:rsidR="003220D1" w:rsidRPr="003220D1" w14:paraId="42C73E8D" w14:textId="77777777" w:rsidTr="00855929">
        <w:trPr>
          <w:cantSplit/>
          <w:trHeight w:val="450"/>
          <w:jc w:val="center"/>
        </w:trPr>
        <w:tc>
          <w:tcPr>
            <w:tcW w:w="401" w:type="dxa"/>
            <w:vAlign w:val="center"/>
          </w:tcPr>
          <w:p w14:paraId="45CD3BB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1.</w:t>
            </w:r>
          </w:p>
        </w:tc>
        <w:tc>
          <w:tcPr>
            <w:tcW w:w="4135" w:type="dxa"/>
            <w:vAlign w:val="center"/>
          </w:tcPr>
          <w:p w14:paraId="6D77A04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Szerokość, głębokość i położenie koryta</w:t>
            </w:r>
          </w:p>
        </w:tc>
        <w:tc>
          <w:tcPr>
            <w:tcW w:w="4486" w:type="dxa"/>
            <w:gridSpan w:val="2"/>
            <w:vAlign w:val="center"/>
          </w:tcPr>
          <w:p w14:paraId="214DDA9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Z częstotliwością gwarantującą spełnienie wymagań przy odbiorze, określonych w p.6.2.</w:t>
            </w:r>
          </w:p>
        </w:tc>
      </w:tr>
      <w:tr w:rsidR="003220D1" w:rsidRPr="003220D1" w14:paraId="0B821978" w14:textId="77777777" w:rsidTr="00855929">
        <w:trPr>
          <w:cantSplit/>
          <w:trHeight w:val="261"/>
          <w:jc w:val="center"/>
        </w:trPr>
        <w:tc>
          <w:tcPr>
            <w:tcW w:w="401" w:type="dxa"/>
            <w:vAlign w:val="center"/>
          </w:tcPr>
          <w:p w14:paraId="70B7787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2.</w:t>
            </w:r>
          </w:p>
        </w:tc>
        <w:tc>
          <w:tcPr>
            <w:tcW w:w="4135" w:type="dxa"/>
            <w:vAlign w:val="center"/>
          </w:tcPr>
          <w:p w14:paraId="4994835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Ukształtowanie pionowe osi koryta</w:t>
            </w:r>
          </w:p>
        </w:tc>
        <w:tc>
          <w:tcPr>
            <w:tcW w:w="4486" w:type="dxa"/>
            <w:gridSpan w:val="2"/>
            <w:vAlign w:val="center"/>
          </w:tcPr>
          <w:p w14:paraId="6180211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jw.</w:t>
            </w:r>
          </w:p>
        </w:tc>
      </w:tr>
      <w:tr w:rsidR="003220D1" w:rsidRPr="003220D1" w14:paraId="7E41F4E3" w14:textId="77777777" w:rsidTr="00855929">
        <w:trPr>
          <w:cantSplit/>
          <w:trHeight w:val="268"/>
          <w:jc w:val="center"/>
        </w:trPr>
        <w:tc>
          <w:tcPr>
            <w:tcW w:w="401" w:type="dxa"/>
            <w:vAlign w:val="center"/>
          </w:tcPr>
          <w:p w14:paraId="1917C73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3.</w:t>
            </w:r>
          </w:p>
        </w:tc>
        <w:tc>
          <w:tcPr>
            <w:tcW w:w="4135" w:type="dxa"/>
            <w:vAlign w:val="center"/>
          </w:tcPr>
          <w:p w14:paraId="404272C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Zagęszczenie, wilgotność gruntu – badanie Is </w:t>
            </w:r>
          </w:p>
        </w:tc>
        <w:tc>
          <w:tcPr>
            <w:tcW w:w="2268" w:type="dxa"/>
            <w:vAlign w:val="center"/>
          </w:tcPr>
          <w:p w14:paraId="503A286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2</w:t>
            </w:r>
          </w:p>
        </w:tc>
        <w:tc>
          <w:tcPr>
            <w:tcW w:w="2218" w:type="dxa"/>
            <w:vAlign w:val="center"/>
          </w:tcPr>
          <w:p w14:paraId="622D487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600</w:t>
            </w:r>
          </w:p>
        </w:tc>
      </w:tr>
    </w:tbl>
    <w:p w14:paraId="435CABB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5535547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Badania płytą 30cm wykonanego koryta gruntowego należy przeprowadzić nie rzadziej niż 1 raz na 600m2.</w:t>
      </w:r>
    </w:p>
    <w:p w14:paraId="79F72FA6"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1AEBF742"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327" w:name="_Toc406913858"/>
      <w:bookmarkStart w:id="328" w:name="_Toc406914103"/>
      <w:bookmarkStart w:id="329" w:name="_Toc406914758"/>
      <w:bookmarkStart w:id="330" w:name="_Toc406915336"/>
      <w:bookmarkStart w:id="331" w:name="_Toc406984029"/>
      <w:bookmarkStart w:id="332" w:name="_Toc406984176"/>
      <w:bookmarkStart w:id="333" w:name="_Toc406984367"/>
      <w:bookmarkStart w:id="334" w:name="_Toc407069575"/>
      <w:bookmarkStart w:id="335" w:name="_Toc407081540"/>
      <w:bookmarkStart w:id="336" w:name="_Toc407083339"/>
      <w:bookmarkStart w:id="337" w:name="_Toc407084173"/>
      <w:bookmarkStart w:id="338" w:name="_Toc407085292"/>
      <w:bookmarkStart w:id="339" w:name="_Toc407085435"/>
      <w:bookmarkStart w:id="340" w:name="_Toc407085578"/>
      <w:bookmarkStart w:id="341" w:name="_Toc407086026"/>
      <w:bookmarkStart w:id="342" w:name="_Toc495829823"/>
      <w:r w:rsidRPr="003220D1">
        <w:rPr>
          <w:rFonts w:ascii="Arial Narrow" w:eastAsia="Times New Roman" w:hAnsi="Arial Narrow" w:cs="Times New Roman"/>
          <w:b/>
          <w:sz w:val="28"/>
          <w:szCs w:val="20"/>
          <w:lang w:val="x-none" w:eastAsia="x-none"/>
        </w:rPr>
        <w:t>6.2. Badania w czasie robót</w:t>
      </w:r>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p>
    <w:p w14:paraId="69794D81"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val="x-none" w:eastAsia="x-none"/>
        </w:rPr>
        <w:t>6.2.1. Zagęszczenie podłoża</w:t>
      </w:r>
    </w:p>
    <w:p w14:paraId="6D9F4658"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Arial"/>
          <w:sz w:val="20"/>
          <w:szCs w:val="20"/>
          <w:lang w:eastAsia="pl-PL"/>
        </w:rPr>
        <w:t>Zagęszczenie podłoża należy kontrolować wg punktu 5.2.4 i 6.1.</w:t>
      </w:r>
    </w:p>
    <w:p w14:paraId="125AA12C"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val="x-none" w:eastAsia="x-none"/>
        </w:rPr>
        <w:t>6.2.2. Szerokość koryta (profilowanego podłoża)</w:t>
      </w:r>
    </w:p>
    <w:p w14:paraId="39E5CA8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Szerokość koryta i profilowanego podłoża nie może różnić się od szerokości projektowanej o więcej niż +</w:t>
      </w:r>
      <w:smartTag w:uri="urn:schemas-microsoft-com:office:smarttags" w:element="metricconverter">
        <w:smartTagPr>
          <w:attr w:name="ProductID" w:val="10 cm"/>
        </w:smartTagPr>
        <w:r w:rsidRPr="003220D1">
          <w:rPr>
            <w:rFonts w:ascii="Arial Narrow" w:eastAsia="Times New Roman" w:hAnsi="Arial Narrow" w:cs="Times New Roman"/>
            <w:sz w:val="20"/>
            <w:szCs w:val="20"/>
            <w:lang w:eastAsia="pl-PL"/>
          </w:rPr>
          <w:t>10 cm</w:t>
        </w:r>
      </w:smartTag>
      <w:r w:rsidRPr="003220D1">
        <w:rPr>
          <w:rFonts w:ascii="Arial Narrow" w:eastAsia="Times New Roman" w:hAnsi="Arial Narrow" w:cs="Times New Roman"/>
          <w:sz w:val="20"/>
          <w:szCs w:val="20"/>
          <w:lang w:eastAsia="pl-PL"/>
        </w:rPr>
        <w:t xml:space="preserve"> i </w:t>
      </w:r>
      <w:smartTag w:uri="urn:schemas-microsoft-com:office:smarttags" w:element="metricconverter">
        <w:smartTagPr>
          <w:attr w:name="ProductID" w:val="-5 cm"/>
        </w:smartTagPr>
        <w:r w:rsidRPr="003220D1">
          <w:rPr>
            <w:rFonts w:ascii="Arial Narrow" w:eastAsia="Times New Roman" w:hAnsi="Arial Narrow" w:cs="Times New Roman"/>
            <w:sz w:val="20"/>
            <w:szCs w:val="20"/>
            <w:lang w:eastAsia="pl-PL"/>
          </w:rPr>
          <w:t>-5 cm</w:t>
        </w:r>
      </w:smartTag>
      <w:r w:rsidRPr="003220D1">
        <w:rPr>
          <w:rFonts w:ascii="Arial Narrow" w:eastAsia="Times New Roman" w:hAnsi="Arial Narrow" w:cs="Times New Roman"/>
          <w:sz w:val="20"/>
          <w:szCs w:val="20"/>
          <w:lang w:eastAsia="pl-PL"/>
        </w:rPr>
        <w:t>.</w:t>
      </w:r>
    </w:p>
    <w:p w14:paraId="3F98A4EB"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val="x-none" w:eastAsia="x-none"/>
        </w:rPr>
        <w:t>6.2.3. Równość koryta (profilowanego podłoża)</w:t>
      </w:r>
    </w:p>
    <w:p w14:paraId="5DFBA476"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Nierówności profilowanego i zagęszczonego podłoża należy mierzyć łatą co 20m w kierunku podłużnym. Nierówności poprzeczne należy mierzyć łatą co najmniej 10 razy na 1 km. Nierówności nie mogą przekraczać 2cm.</w:t>
      </w:r>
    </w:p>
    <w:p w14:paraId="19E11B96"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val="x-none" w:eastAsia="x-none"/>
        </w:rPr>
        <w:t>6.2.4. Spadki poprzeczne</w:t>
      </w:r>
    </w:p>
    <w:p w14:paraId="6BEBFF5D"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Arial"/>
          <w:sz w:val="20"/>
          <w:szCs w:val="20"/>
          <w:lang w:eastAsia="pl-PL"/>
        </w:rPr>
        <w:t>Spadki poprzeczne należy mierzyć za pomocą 4</w:t>
      </w:r>
      <w:r w:rsidRPr="003220D1">
        <w:rPr>
          <w:rFonts w:ascii="Arial Narrow" w:eastAsia="Times New Roman" w:hAnsi="Arial Narrow" w:cs="Arial"/>
          <w:sz w:val="20"/>
          <w:szCs w:val="20"/>
          <w:lang w:eastAsia="pl-PL"/>
        </w:rPr>
        <w:noBreakHyphen/>
        <w:t>metrowej łaty i poziomicy co najmniej 10 razy na 1 km i dodatkowo we wszystkich punktach głównych łuków poziomych: na początku i końcu każdej krzywej przejściowej oraz na początku, w środku i na końcu każdego łuku kołowego. Spadki poprzeczne podłoża powinny być zgodne z Dokumentacją Projektową z tolerancją ±0.5%.</w:t>
      </w:r>
    </w:p>
    <w:p w14:paraId="57B083A0"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val="x-none" w:eastAsia="x-none"/>
        </w:rPr>
        <w:t xml:space="preserve">6.2.5. Głębokość koryta i rzędne dna </w:t>
      </w:r>
    </w:p>
    <w:p w14:paraId="29B6803F"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Głębokość koryta i rzędne należy sprawdzać co 20 m w osi jezdni i na jej krawędziach, a na odcinkach krzywoliniowych co 10 m.</w:t>
      </w:r>
    </w:p>
    <w:p w14:paraId="5962B2AC"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val="x-none" w:eastAsia="x-none"/>
        </w:rPr>
        <w:t>6.2.6. Ukształtowanie osi w planie</w:t>
      </w:r>
    </w:p>
    <w:p w14:paraId="3A6D5CC2"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Ukształtowanie osi koryta należy sprawdzać w punktach głównych trasy i w innych dodatkowych punktach, rozmieszczonych nie rzadziej niż co 100 m.</w:t>
      </w:r>
    </w:p>
    <w:p w14:paraId="108C4403"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Arial"/>
          <w:sz w:val="20"/>
          <w:szCs w:val="20"/>
          <w:lang w:eastAsia="pl-PL"/>
        </w:rPr>
        <w:t>Oś w planie nie może być przesunięta w stosunku do osi projektowanej o więcej niż 3 cm.</w:t>
      </w:r>
    </w:p>
    <w:p w14:paraId="7019F024"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val="x-none" w:eastAsia="x-none"/>
        </w:rPr>
        <w:t>6.2.7. Szerokość koryta</w:t>
      </w:r>
    </w:p>
    <w:p w14:paraId="2E1E991A" w14:textId="77777777" w:rsidR="003220D1" w:rsidRPr="003220D1" w:rsidRDefault="003220D1" w:rsidP="003220D1">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3220D1">
        <w:rPr>
          <w:rFonts w:ascii="Arial Narrow" w:eastAsia="Times New Roman" w:hAnsi="Arial Narrow" w:cs="Arial"/>
          <w:sz w:val="20"/>
          <w:szCs w:val="20"/>
          <w:lang w:eastAsia="pl-PL"/>
        </w:rPr>
        <w:t>Szerokość koryta należy sprawdzać co najmniej 10 razy na 1 km. Szerokość koryta nie może różnić się od szerokości projektowanej o więcej niż +10 cm oraz -5 cm.</w:t>
      </w:r>
    </w:p>
    <w:p w14:paraId="66E45661"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val="x-none" w:eastAsia="x-none"/>
        </w:rPr>
        <w:t>6.2.8. Zagęszczenie koryta (profilowanego podłoża)</w:t>
      </w:r>
    </w:p>
    <w:p w14:paraId="60D2C29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Jeśli jako kryterium dobrego zagęszczenia stosuje się porównanie wartości modułów odkształcenia, to wartość stosunku wtórnego do pierwotnego modułu odkształcenia, określonych zgodnie z normą [3] nie powinna być większa od 2,2.</w:t>
      </w:r>
    </w:p>
    <w:p w14:paraId="107F342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Wilgotność w czasie zagęszczania należy badać według PN-88/B-04481 p.5.1. Wilgotność gruntu podłoża powinna być równa wilgotności optymalnej z tolerancją +/-10%.</w:t>
      </w:r>
    </w:p>
    <w:p w14:paraId="7AFFAEB3"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Tablica 1. Minimalne wartości wtórnego modułu odkształcenia E</w:t>
      </w:r>
      <w:r w:rsidRPr="003220D1">
        <w:rPr>
          <w:rFonts w:ascii="Arial Narrow" w:eastAsia="Times New Roman" w:hAnsi="Arial Narrow" w:cs="Times New Roman"/>
          <w:sz w:val="20"/>
          <w:szCs w:val="20"/>
          <w:vertAlign w:val="subscript"/>
          <w:lang w:eastAsia="pl-PL"/>
        </w:rPr>
        <w:t>2</w:t>
      </w:r>
      <w:r w:rsidRPr="003220D1">
        <w:rPr>
          <w:rFonts w:ascii="Arial Narrow" w:eastAsia="Times New Roman" w:hAnsi="Arial Narrow" w:cs="Times New Roman"/>
          <w:sz w:val="20"/>
          <w:szCs w:val="20"/>
          <w:lang w:eastAsia="pl-PL"/>
        </w:rPr>
        <w:t xml:space="preserve"> [MPa] [7] dla zagęszczenia koryta i wyprofilowanego podłoża</w:t>
      </w:r>
    </w:p>
    <w:p w14:paraId="3DDE0BA1"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52"/>
        <w:gridCol w:w="2452"/>
        <w:gridCol w:w="2452"/>
      </w:tblGrid>
      <w:tr w:rsidR="003220D1" w:rsidRPr="003220D1" w14:paraId="1C97D0E1" w14:textId="77777777" w:rsidTr="00855929">
        <w:tc>
          <w:tcPr>
            <w:tcW w:w="2452" w:type="dxa"/>
          </w:tcPr>
          <w:p w14:paraId="0A70EA0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Kategoria ruchu</w:t>
            </w:r>
          </w:p>
        </w:tc>
        <w:tc>
          <w:tcPr>
            <w:tcW w:w="2452" w:type="dxa"/>
          </w:tcPr>
          <w:p w14:paraId="28CF779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Grupa nośności podłoża</w:t>
            </w:r>
          </w:p>
        </w:tc>
        <w:tc>
          <w:tcPr>
            <w:tcW w:w="2452" w:type="dxa"/>
          </w:tcPr>
          <w:p w14:paraId="3A2AF22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Wtórny moduł odkształcenia &gt;=E</w:t>
            </w:r>
            <w:r w:rsidRPr="003220D1">
              <w:rPr>
                <w:rFonts w:ascii="Arial Narrow" w:eastAsia="Times New Roman" w:hAnsi="Arial Narrow" w:cs="Times New Roman"/>
                <w:sz w:val="20"/>
                <w:vertAlign w:val="subscript"/>
              </w:rPr>
              <w:t>2</w:t>
            </w:r>
            <w:r w:rsidRPr="003220D1">
              <w:rPr>
                <w:rFonts w:ascii="Arial Narrow" w:eastAsia="Times New Roman" w:hAnsi="Arial Narrow" w:cs="Times New Roman"/>
                <w:sz w:val="20"/>
              </w:rPr>
              <w:t xml:space="preserve"> [MPa]</w:t>
            </w:r>
          </w:p>
        </w:tc>
      </w:tr>
      <w:tr w:rsidR="003220D1" w:rsidRPr="003220D1" w14:paraId="5FA7C0FB" w14:textId="77777777" w:rsidTr="00855929">
        <w:tc>
          <w:tcPr>
            <w:tcW w:w="2452" w:type="dxa"/>
            <w:vMerge w:val="restart"/>
          </w:tcPr>
          <w:p w14:paraId="0735090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KR1-6</w:t>
            </w:r>
          </w:p>
        </w:tc>
        <w:tc>
          <w:tcPr>
            <w:tcW w:w="2452" w:type="dxa"/>
          </w:tcPr>
          <w:p w14:paraId="18A726D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G4</w:t>
            </w:r>
          </w:p>
        </w:tc>
        <w:tc>
          <w:tcPr>
            <w:tcW w:w="2452" w:type="dxa"/>
          </w:tcPr>
          <w:p w14:paraId="5F8A81F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25</w:t>
            </w:r>
          </w:p>
        </w:tc>
      </w:tr>
      <w:tr w:rsidR="003220D1" w:rsidRPr="003220D1" w14:paraId="28930BC5" w14:textId="77777777" w:rsidTr="00855929">
        <w:tc>
          <w:tcPr>
            <w:tcW w:w="2452" w:type="dxa"/>
            <w:vMerge/>
          </w:tcPr>
          <w:p w14:paraId="41A3537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452" w:type="dxa"/>
          </w:tcPr>
          <w:p w14:paraId="31C701B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G3</w:t>
            </w:r>
          </w:p>
        </w:tc>
        <w:tc>
          <w:tcPr>
            <w:tcW w:w="2452" w:type="dxa"/>
          </w:tcPr>
          <w:p w14:paraId="3A995D0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35</w:t>
            </w:r>
          </w:p>
        </w:tc>
      </w:tr>
      <w:tr w:rsidR="003220D1" w:rsidRPr="003220D1" w14:paraId="7E9339AC" w14:textId="77777777" w:rsidTr="00855929">
        <w:tc>
          <w:tcPr>
            <w:tcW w:w="2452" w:type="dxa"/>
            <w:vMerge/>
          </w:tcPr>
          <w:p w14:paraId="2C3754D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452" w:type="dxa"/>
          </w:tcPr>
          <w:p w14:paraId="61BD9E0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G2</w:t>
            </w:r>
          </w:p>
        </w:tc>
        <w:tc>
          <w:tcPr>
            <w:tcW w:w="2452" w:type="dxa"/>
          </w:tcPr>
          <w:p w14:paraId="4263828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50</w:t>
            </w:r>
          </w:p>
        </w:tc>
      </w:tr>
      <w:tr w:rsidR="003220D1" w:rsidRPr="003220D1" w14:paraId="530FD78A" w14:textId="77777777" w:rsidTr="00855929">
        <w:tc>
          <w:tcPr>
            <w:tcW w:w="2452" w:type="dxa"/>
            <w:vMerge/>
          </w:tcPr>
          <w:p w14:paraId="71188A5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452" w:type="dxa"/>
          </w:tcPr>
          <w:p w14:paraId="5581475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G1</w:t>
            </w:r>
          </w:p>
        </w:tc>
        <w:tc>
          <w:tcPr>
            <w:tcW w:w="2452" w:type="dxa"/>
          </w:tcPr>
          <w:p w14:paraId="5B9A8C9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80</w:t>
            </w:r>
          </w:p>
        </w:tc>
      </w:tr>
    </w:tbl>
    <w:p w14:paraId="21CCB7C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45B4182D" w14:textId="77777777" w:rsidR="003220D1" w:rsidRPr="003220D1" w:rsidRDefault="003220D1" w:rsidP="003220D1">
      <w:pPr>
        <w:keepNext/>
        <w:shd w:val="clear" w:color="auto" w:fill="BFBFBF"/>
        <w:overflowPunct w:val="0"/>
        <w:autoSpaceDE w:val="0"/>
        <w:autoSpaceDN w:val="0"/>
        <w:adjustRightInd w:val="0"/>
        <w:spacing w:after="0" w:line="240" w:lineRule="auto"/>
        <w:ind w:left="426" w:hanging="426"/>
        <w:jc w:val="both"/>
        <w:textAlignment w:val="baseline"/>
        <w:outlineLvl w:val="1"/>
        <w:rPr>
          <w:rFonts w:ascii="Arial Narrow" w:eastAsia="Times New Roman" w:hAnsi="Arial Narrow" w:cs="Times New Roman"/>
          <w:sz w:val="28"/>
          <w:szCs w:val="20"/>
          <w:lang w:val="x-none" w:eastAsia="x-none"/>
        </w:rPr>
      </w:pPr>
      <w:bookmarkStart w:id="343" w:name="_Toc406913860"/>
      <w:bookmarkStart w:id="344" w:name="_Toc406914105"/>
      <w:bookmarkStart w:id="345" w:name="_Toc406914759"/>
      <w:bookmarkStart w:id="346" w:name="_Toc406914862"/>
      <w:bookmarkStart w:id="347" w:name="_Toc406915337"/>
      <w:bookmarkStart w:id="348" w:name="_Toc406984030"/>
      <w:bookmarkStart w:id="349" w:name="_Toc406984177"/>
      <w:bookmarkStart w:id="350" w:name="_Toc406984368"/>
      <w:bookmarkStart w:id="351" w:name="_Toc407069576"/>
      <w:bookmarkStart w:id="352" w:name="_Toc407081541"/>
      <w:bookmarkStart w:id="353" w:name="_Toc407083340"/>
      <w:bookmarkStart w:id="354" w:name="_Toc407084174"/>
      <w:bookmarkStart w:id="355" w:name="_Toc407085293"/>
      <w:bookmarkStart w:id="356" w:name="_Toc407085436"/>
      <w:bookmarkStart w:id="357" w:name="_Toc407085579"/>
      <w:bookmarkStart w:id="358" w:name="_Toc407086027"/>
      <w:bookmarkStart w:id="359" w:name="_Toc495829824"/>
      <w:r w:rsidRPr="003220D1">
        <w:rPr>
          <w:rFonts w:ascii="Arial Narrow" w:eastAsia="Times New Roman" w:hAnsi="Arial Narrow" w:cs="Times New Roman"/>
          <w:b/>
          <w:sz w:val="28"/>
          <w:szCs w:val="20"/>
          <w:lang w:val="x-none" w:eastAsia="x-none"/>
        </w:rPr>
        <w:lastRenderedPageBreak/>
        <w:t>6.3. Zasady postępowania z wadliwie wykonanymi odcinkami koryta (profilowanego</w:t>
      </w:r>
      <w:bookmarkEnd w:id="343"/>
      <w:bookmarkEnd w:id="344"/>
      <w:bookmarkEnd w:id="345"/>
      <w:bookmarkEnd w:id="346"/>
      <w:bookmarkEnd w:id="347"/>
      <w:r w:rsidRPr="003220D1">
        <w:rPr>
          <w:rFonts w:ascii="Arial Narrow" w:eastAsia="Times New Roman" w:hAnsi="Arial Narrow" w:cs="Times New Roman"/>
          <w:b/>
          <w:sz w:val="28"/>
          <w:szCs w:val="20"/>
          <w:lang w:val="x-none" w:eastAsia="x-none"/>
        </w:rPr>
        <w:t xml:space="preserve"> podłoża)</w:t>
      </w:r>
      <w:bookmarkEnd w:id="348"/>
      <w:bookmarkEnd w:id="349"/>
      <w:bookmarkEnd w:id="350"/>
      <w:bookmarkEnd w:id="351"/>
      <w:bookmarkEnd w:id="352"/>
      <w:bookmarkEnd w:id="353"/>
      <w:bookmarkEnd w:id="354"/>
      <w:bookmarkEnd w:id="355"/>
      <w:bookmarkEnd w:id="356"/>
      <w:bookmarkEnd w:id="357"/>
      <w:bookmarkEnd w:id="358"/>
      <w:bookmarkEnd w:id="359"/>
    </w:p>
    <w:p w14:paraId="291054F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Wszystkie powierzchnie, które wykazują większe odchylenia cech geometrycznych od określonych w punkcie 6.2 powinny być naprawione przez spulchnienie do głębokości co najmniej </w:t>
      </w:r>
      <w:smartTag w:uri="urn:schemas-microsoft-com:office:smarttags" w:element="metricconverter">
        <w:smartTagPr>
          <w:attr w:name="ProductID" w:val="10 cm"/>
        </w:smartTagPr>
        <w:r w:rsidRPr="003220D1">
          <w:rPr>
            <w:rFonts w:ascii="Arial Narrow" w:eastAsia="Times New Roman" w:hAnsi="Arial Narrow" w:cs="Times New Roman"/>
            <w:sz w:val="20"/>
            <w:szCs w:val="20"/>
            <w:lang w:eastAsia="pl-PL"/>
          </w:rPr>
          <w:t>10 cm</w:t>
        </w:r>
      </w:smartTag>
      <w:r w:rsidRPr="003220D1">
        <w:rPr>
          <w:rFonts w:ascii="Arial Narrow" w:eastAsia="Times New Roman" w:hAnsi="Arial Narrow" w:cs="Times New Roman"/>
          <w:sz w:val="20"/>
          <w:szCs w:val="20"/>
          <w:lang w:eastAsia="pl-PL"/>
        </w:rPr>
        <w:t>, wyrównanie i powtórne zagęszczenie. Dodanie nowego materiału bez spulchnienia wykonanej warstwy jest niedopuszczalne.</w:t>
      </w:r>
    </w:p>
    <w:p w14:paraId="72990AD4"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360" w:name="_Toc406913861"/>
      <w:bookmarkStart w:id="361" w:name="_Toc406914106"/>
      <w:bookmarkStart w:id="362" w:name="_Toc406914760"/>
      <w:bookmarkStart w:id="363" w:name="_Toc406915338"/>
      <w:bookmarkStart w:id="364" w:name="_Toc406984031"/>
      <w:bookmarkStart w:id="365" w:name="_Toc406984178"/>
      <w:bookmarkStart w:id="366" w:name="_Toc406984369"/>
      <w:bookmarkStart w:id="367" w:name="_Toc407069577"/>
      <w:bookmarkStart w:id="368" w:name="_Toc407081542"/>
      <w:bookmarkStart w:id="369" w:name="_Toc407083341"/>
      <w:bookmarkStart w:id="370" w:name="_Toc407084175"/>
      <w:bookmarkStart w:id="371" w:name="_Toc407085294"/>
      <w:bookmarkStart w:id="372" w:name="_Toc407085437"/>
      <w:bookmarkStart w:id="373" w:name="_Toc407085580"/>
      <w:bookmarkStart w:id="374" w:name="_Toc407086028"/>
      <w:bookmarkStart w:id="375" w:name="_Toc495829825"/>
      <w:r w:rsidRPr="003220D1">
        <w:rPr>
          <w:rFonts w:ascii="Arial Narrow" w:eastAsia="Times New Roman" w:hAnsi="Arial Narrow" w:cs="Times New Roman"/>
          <w:b/>
          <w:caps/>
          <w:kern w:val="28"/>
          <w:sz w:val="28"/>
          <w:szCs w:val="20"/>
          <w:lang w:val="x-none" w:eastAsia="x-none"/>
        </w:rPr>
        <w:t>7. obmiar robót</w:t>
      </w:r>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p>
    <w:p w14:paraId="74416B90"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376" w:name="_Toc406913862"/>
      <w:bookmarkStart w:id="377" w:name="_Toc406914107"/>
      <w:bookmarkStart w:id="378" w:name="_Toc406914761"/>
      <w:bookmarkStart w:id="379" w:name="_Toc406915339"/>
      <w:bookmarkStart w:id="380" w:name="_Toc406984032"/>
      <w:bookmarkStart w:id="381" w:name="_Toc406984179"/>
      <w:bookmarkStart w:id="382" w:name="_Toc406984370"/>
      <w:bookmarkStart w:id="383" w:name="_Toc407069578"/>
      <w:bookmarkStart w:id="384" w:name="_Toc407081543"/>
      <w:bookmarkStart w:id="385" w:name="_Toc407083342"/>
      <w:bookmarkStart w:id="386" w:name="_Toc407084176"/>
      <w:bookmarkStart w:id="387" w:name="_Toc407085295"/>
      <w:bookmarkStart w:id="388" w:name="_Toc407085438"/>
      <w:bookmarkStart w:id="389" w:name="_Toc407085581"/>
      <w:bookmarkStart w:id="390" w:name="_Toc407086029"/>
      <w:bookmarkStart w:id="391" w:name="_Toc495829826"/>
      <w:r w:rsidRPr="003220D1">
        <w:rPr>
          <w:rFonts w:ascii="Arial Narrow" w:eastAsia="Times New Roman" w:hAnsi="Arial Narrow" w:cs="Times New Roman"/>
          <w:b/>
          <w:sz w:val="28"/>
          <w:szCs w:val="20"/>
          <w:lang w:val="x-none" w:eastAsia="x-none"/>
        </w:rPr>
        <w:t>7.1. Ogólne zasady obmiaru robót</w:t>
      </w:r>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p>
    <w:p w14:paraId="0CC85998"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zasady obmiaru robót podano w SST D-M-00.00.00 „Wymagania ogólne” pkt 7.</w:t>
      </w:r>
    </w:p>
    <w:p w14:paraId="7D21CD71"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392" w:name="_Toc406913863"/>
      <w:bookmarkStart w:id="393" w:name="_Toc406914108"/>
      <w:bookmarkStart w:id="394" w:name="_Toc406914762"/>
      <w:bookmarkStart w:id="395" w:name="_Toc406915340"/>
      <w:bookmarkStart w:id="396" w:name="_Toc406984033"/>
      <w:bookmarkStart w:id="397" w:name="_Toc406984180"/>
      <w:bookmarkStart w:id="398" w:name="_Toc406984371"/>
      <w:bookmarkStart w:id="399" w:name="_Toc407069579"/>
      <w:bookmarkStart w:id="400" w:name="_Toc407081544"/>
      <w:bookmarkStart w:id="401" w:name="_Toc407083343"/>
      <w:bookmarkStart w:id="402" w:name="_Toc407084177"/>
      <w:bookmarkStart w:id="403" w:name="_Toc407085296"/>
      <w:bookmarkStart w:id="404" w:name="_Toc407085439"/>
      <w:bookmarkStart w:id="405" w:name="_Toc407085582"/>
      <w:bookmarkStart w:id="406" w:name="_Toc407086030"/>
      <w:bookmarkStart w:id="407" w:name="_Toc495829827"/>
      <w:r w:rsidRPr="003220D1">
        <w:rPr>
          <w:rFonts w:ascii="Arial Narrow" w:eastAsia="Times New Roman" w:hAnsi="Arial Narrow" w:cs="Times New Roman"/>
          <w:b/>
          <w:sz w:val="28"/>
          <w:szCs w:val="20"/>
          <w:lang w:val="x-none" w:eastAsia="x-none"/>
        </w:rPr>
        <w:t>7.2. Jednostka obmiarowa</w:t>
      </w:r>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p>
    <w:p w14:paraId="14D37538"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Jednostką obmiarową jest m</w:t>
      </w:r>
      <w:r w:rsidRPr="003220D1">
        <w:rPr>
          <w:rFonts w:ascii="Arial Narrow" w:eastAsia="Times New Roman" w:hAnsi="Arial Narrow" w:cs="Times New Roman"/>
          <w:sz w:val="20"/>
          <w:szCs w:val="20"/>
          <w:vertAlign w:val="superscript"/>
          <w:lang w:eastAsia="pl-PL"/>
        </w:rPr>
        <w:t>2</w:t>
      </w:r>
      <w:r w:rsidRPr="003220D1">
        <w:rPr>
          <w:rFonts w:ascii="Arial Narrow" w:eastAsia="Times New Roman" w:hAnsi="Arial Narrow" w:cs="Times New Roman"/>
          <w:sz w:val="20"/>
          <w:szCs w:val="20"/>
          <w:lang w:eastAsia="pl-PL"/>
        </w:rPr>
        <w:t xml:space="preserve"> (metr kwadratowy) wykonanego i odebranego koryta.</w:t>
      </w:r>
    </w:p>
    <w:p w14:paraId="0F44A0EA"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408" w:name="_Toc406913864"/>
      <w:bookmarkStart w:id="409" w:name="_Toc406914109"/>
      <w:bookmarkStart w:id="410" w:name="_Toc406914763"/>
      <w:bookmarkStart w:id="411" w:name="_Toc406915341"/>
      <w:bookmarkStart w:id="412" w:name="_Toc406984034"/>
      <w:bookmarkStart w:id="413" w:name="_Toc406984181"/>
      <w:bookmarkStart w:id="414" w:name="_Toc406984372"/>
      <w:bookmarkStart w:id="415" w:name="_Toc407069580"/>
      <w:bookmarkStart w:id="416" w:name="_Toc407081545"/>
      <w:bookmarkStart w:id="417" w:name="_Toc407083344"/>
      <w:bookmarkStart w:id="418" w:name="_Toc407084178"/>
      <w:bookmarkStart w:id="419" w:name="_Toc407085297"/>
      <w:bookmarkStart w:id="420" w:name="_Toc407085440"/>
      <w:bookmarkStart w:id="421" w:name="_Toc407085583"/>
      <w:bookmarkStart w:id="422" w:name="_Toc407086031"/>
      <w:bookmarkStart w:id="423" w:name="_Toc495829828"/>
      <w:r w:rsidRPr="003220D1">
        <w:rPr>
          <w:rFonts w:ascii="Arial Narrow" w:eastAsia="Times New Roman" w:hAnsi="Arial Narrow" w:cs="Times New Roman"/>
          <w:b/>
          <w:caps/>
          <w:kern w:val="28"/>
          <w:sz w:val="28"/>
          <w:szCs w:val="20"/>
          <w:lang w:val="x-none" w:eastAsia="x-none"/>
        </w:rPr>
        <w:t>8. odbiór robót</w:t>
      </w:r>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p>
    <w:p w14:paraId="56DDF3F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zasady odbioru robót podano w SST D-M-00.00.00 „Wymagania ogólne” pkt 8.</w:t>
      </w:r>
    </w:p>
    <w:p w14:paraId="1BE63FF3"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Roboty uznaje się za wykonane zgodnie z dokumentacja projektową, SST i wymaganiami Inżyniera, jeżeli wszystkie pomiary i badania z zachowaniem tolerancji wg punktu 6 dały wyniki pozytywne.</w:t>
      </w:r>
    </w:p>
    <w:p w14:paraId="6B301D99"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424" w:name="_Toc406913865"/>
      <w:bookmarkStart w:id="425" w:name="_Toc406914110"/>
      <w:bookmarkStart w:id="426" w:name="_Toc406914764"/>
      <w:bookmarkStart w:id="427" w:name="_Toc406915342"/>
      <w:bookmarkStart w:id="428" w:name="_Toc406984035"/>
      <w:bookmarkStart w:id="429" w:name="_Toc406984182"/>
      <w:bookmarkStart w:id="430" w:name="_Toc406984373"/>
      <w:bookmarkStart w:id="431" w:name="_Toc407069581"/>
      <w:bookmarkStart w:id="432" w:name="_Toc407081546"/>
      <w:bookmarkStart w:id="433" w:name="_Toc407083345"/>
      <w:bookmarkStart w:id="434" w:name="_Toc407084179"/>
      <w:bookmarkStart w:id="435" w:name="_Toc407085298"/>
      <w:bookmarkStart w:id="436" w:name="_Toc407085441"/>
      <w:bookmarkStart w:id="437" w:name="_Toc407085584"/>
      <w:bookmarkStart w:id="438" w:name="_Toc407086032"/>
      <w:bookmarkStart w:id="439" w:name="_Toc495829829"/>
      <w:r w:rsidRPr="003220D1">
        <w:rPr>
          <w:rFonts w:ascii="Arial Narrow" w:eastAsia="Times New Roman" w:hAnsi="Arial Narrow" w:cs="Times New Roman"/>
          <w:b/>
          <w:caps/>
          <w:kern w:val="28"/>
          <w:sz w:val="28"/>
          <w:szCs w:val="20"/>
          <w:lang w:val="x-none" w:eastAsia="x-none"/>
        </w:rPr>
        <w:t>9. podstawa płatności</w:t>
      </w:r>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p>
    <w:p w14:paraId="2FEC6BFF"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440" w:name="_Toc406913866"/>
      <w:bookmarkStart w:id="441" w:name="_Toc406914111"/>
      <w:bookmarkStart w:id="442" w:name="_Toc406914765"/>
      <w:bookmarkStart w:id="443" w:name="_Toc406915343"/>
      <w:bookmarkStart w:id="444" w:name="_Toc406984036"/>
      <w:bookmarkStart w:id="445" w:name="_Toc406984183"/>
      <w:bookmarkStart w:id="446" w:name="_Toc406984374"/>
      <w:bookmarkStart w:id="447" w:name="_Toc407069582"/>
      <w:bookmarkStart w:id="448" w:name="_Toc407081547"/>
      <w:bookmarkStart w:id="449" w:name="_Toc407083346"/>
      <w:bookmarkStart w:id="450" w:name="_Toc407084180"/>
      <w:bookmarkStart w:id="451" w:name="_Toc407085299"/>
      <w:bookmarkStart w:id="452" w:name="_Toc407085442"/>
      <w:bookmarkStart w:id="453" w:name="_Toc407085585"/>
      <w:bookmarkStart w:id="454" w:name="_Toc407086033"/>
      <w:bookmarkStart w:id="455" w:name="_Toc495829830"/>
      <w:r w:rsidRPr="003220D1">
        <w:rPr>
          <w:rFonts w:ascii="Arial Narrow" w:eastAsia="Times New Roman" w:hAnsi="Arial Narrow" w:cs="Times New Roman"/>
          <w:b/>
          <w:sz w:val="28"/>
          <w:szCs w:val="20"/>
          <w:lang w:val="x-none" w:eastAsia="x-none"/>
        </w:rPr>
        <w:t>9.1. Ogólne ustalenia dotyczące podstawy płatności</w:t>
      </w:r>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p>
    <w:p w14:paraId="1BF7E16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ustalenia dotyczące podstawy płatności podano w SST D-M-00.00.00 „Wymagania ogólne” pkt 9.</w:t>
      </w:r>
    </w:p>
    <w:p w14:paraId="0F8E854F"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456" w:name="_Toc406913867"/>
      <w:bookmarkStart w:id="457" w:name="_Toc406914112"/>
      <w:bookmarkStart w:id="458" w:name="_Toc406914766"/>
      <w:bookmarkStart w:id="459" w:name="_Toc406915344"/>
      <w:bookmarkStart w:id="460" w:name="_Toc406984037"/>
      <w:bookmarkStart w:id="461" w:name="_Toc406984184"/>
      <w:bookmarkStart w:id="462" w:name="_Toc406984375"/>
      <w:bookmarkStart w:id="463" w:name="_Toc407069583"/>
      <w:bookmarkStart w:id="464" w:name="_Toc407081548"/>
      <w:bookmarkStart w:id="465" w:name="_Toc407083347"/>
      <w:bookmarkStart w:id="466" w:name="_Toc407084181"/>
      <w:bookmarkStart w:id="467" w:name="_Toc407085300"/>
      <w:bookmarkStart w:id="468" w:name="_Toc407085443"/>
      <w:bookmarkStart w:id="469" w:name="_Toc407085586"/>
      <w:bookmarkStart w:id="470" w:name="_Toc407086034"/>
      <w:bookmarkStart w:id="471" w:name="_Toc495829831"/>
      <w:r w:rsidRPr="003220D1">
        <w:rPr>
          <w:rFonts w:ascii="Arial Narrow" w:eastAsia="Times New Roman" w:hAnsi="Arial Narrow" w:cs="Times New Roman"/>
          <w:b/>
          <w:sz w:val="28"/>
          <w:szCs w:val="20"/>
          <w:lang w:val="x-none" w:eastAsia="x-none"/>
        </w:rPr>
        <w:t>9.2. Cena jednostki obmiarowej</w:t>
      </w:r>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p>
    <w:p w14:paraId="699CE23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Cena wykonania </w:t>
      </w:r>
      <w:smartTag w:uri="urn:schemas-microsoft-com:office:smarttags" w:element="metricconverter">
        <w:smartTagPr>
          <w:attr w:name="ProductID" w:val="1 m2"/>
        </w:smartTagPr>
        <w:r w:rsidRPr="003220D1">
          <w:rPr>
            <w:rFonts w:ascii="Arial Narrow" w:eastAsia="Times New Roman" w:hAnsi="Arial Narrow" w:cs="Times New Roman"/>
            <w:sz w:val="20"/>
            <w:szCs w:val="20"/>
            <w:lang w:eastAsia="pl-PL"/>
          </w:rPr>
          <w:t>1 m</w:t>
        </w:r>
        <w:r w:rsidRPr="003220D1">
          <w:rPr>
            <w:rFonts w:ascii="Arial Narrow" w:eastAsia="Times New Roman" w:hAnsi="Arial Narrow" w:cs="Times New Roman"/>
            <w:sz w:val="20"/>
            <w:szCs w:val="20"/>
            <w:vertAlign w:val="superscript"/>
            <w:lang w:eastAsia="pl-PL"/>
          </w:rPr>
          <w:t>2</w:t>
        </w:r>
      </w:smartTag>
      <w:r w:rsidRPr="003220D1">
        <w:rPr>
          <w:rFonts w:ascii="Arial Narrow" w:eastAsia="Times New Roman" w:hAnsi="Arial Narrow" w:cs="Times New Roman"/>
          <w:sz w:val="20"/>
          <w:szCs w:val="20"/>
          <w:lang w:eastAsia="pl-PL"/>
        </w:rPr>
        <w:t xml:space="preserve"> koryta obejmuje:</w:t>
      </w:r>
    </w:p>
    <w:p w14:paraId="429F52DD"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prace pomiarowe i roboty przygotowawcze,</w:t>
      </w:r>
    </w:p>
    <w:p w14:paraId="753ABDED"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odspojenie gruntu z przerzutem na pobocze i rozplantowaniem,</w:t>
      </w:r>
    </w:p>
    <w:p w14:paraId="69951E89"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załadunek nadmiaru odspojonego gruntu na środki transportowe i odwiezienie na odkład lub nasyp,</w:t>
      </w:r>
    </w:p>
    <w:p w14:paraId="18C16E46"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profilowanie dna koryta lub podłoża,</w:t>
      </w:r>
    </w:p>
    <w:p w14:paraId="4FB03A9C"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zagęszczenie,</w:t>
      </w:r>
    </w:p>
    <w:p w14:paraId="36C561F1"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utrzymanie koryta lub podłoża,</w:t>
      </w:r>
    </w:p>
    <w:p w14:paraId="4D4B2A46"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przeprowadzenie pomiarów i badań laboratoryjnych, wymaganych w specyfikacji technicznej.</w:t>
      </w:r>
    </w:p>
    <w:p w14:paraId="57A1A375"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472" w:name="_Toc406913868"/>
      <w:bookmarkStart w:id="473" w:name="_Toc406914113"/>
      <w:bookmarkStart w:id="474" w:name="_Toc406914767"/>
      <w:bookmarkStart w:id="475" w:name="_Toc406915345"/>
      <w:bookmarkStart w:id="476" w:name="_Toc406984038"/>
      <w:bookmarkStart w:id="477" w:name="_Toc406984185"/>
      <w:bookmarkStart w:id="478" w:name="_Toc406984376"/>
      <w:bookmarkStart w:id="479" w:name="_Toc407069584"/>
      <w:bookmarkStart w:id="480" w:name="_Toc407081549"/>
      <w:bookmarkStart w:id="481" w:name="_Toc407083348"/>
      <w:bookmarkStart w:id="482" w:name="_Toc407084182"/>
      <w:bookmarkStart w:id="483" w:name="_Toc407085301"/>
      <w:bookmarkStart w:id="484" w:name="_Toc407085444"/>
      <w:bookmarkStart w:id="485" w:name="_Toc407085587"/>
      <w:bookmarkStart w:id="486" w:name="_Toc407086035"/>
      <w:bookmarkStart w:id="487" w:name="_Toc495829832"/>
      <w:r w:rsidRPr="003220D1">
        <w:rPr>
          <w:rFonts w:ascii="Arial Narrow" w:eastAsia="Times New Roman" w:hAnsi="Arial Narrow" w:cs="Times New Roman"/>
          <w:b/>
          <w:caps/>
          <w:kern w:val="28"/>
          <w:sz w:val="28"/>
          <w:szCs w:val="20"/>
          <w:lang w:val="x-none" w:eastAsia="x-none"/>
        </w:rPr>
        <w:t>10. przepisy związane</w:t>
      </w:r>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p w14:paraId="6F08AC26"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488" w:name="_Toc406913869"/>
      <w:bookmarkStart w:id="489" w:name="_Toc406914114"/>
      <w:bookmarkStart w:id="490" w:name="_Toc406914768"/>
      <w:bookmarkStart w:id="491" w:name="_Toc406915346"/>
      <w:bookmarkStart w:id="492" w:name="_Toc406984039"/>
      <w:bookmarkStart w:id="493" w:name="_Toc406984186"/>
      <w:bookmarkStart w:id="494" w:name="_Toc406984377"/>
      <w:bookmarkStart w:id="495" w:name="_Toc407069585"/>
      <w:bookmarkStart w:id="496" w:name="_Toc407081550"/>
      <w:bookmarkStart w:id="497" w:name="_Toc407083349"/>
      <w:bookmarkStart w:id="498" w:name="_Toc407084183"/>
      <w:bookmarkStart w:id="499" w:name="_Toc407085302"/>
      <w:bookmarkStart w:id="500" w:name="_Toc407085445"/>
      <w:bookmarkStart w:id="501" w:name="_Toc407085588"/>
      <w:bookmarkStart w:id="502" w:name="_Toc407086036"/>
      <w:bookmarkStart w:id="503" w:name="_Toc495829833"/>
      <w:r w:rsidRPr="003220D1">
        <w:rPr>
          <w:rFonts w:ascii="Arial Narrow" w:eastAsia="Times New Roman" w:hAnsi="Arial Narrow" w:cs="Times New Roman"/>
          <w:b/>
          <w:sz w:val="28"/>
          <w:szCs w:val="20"/>
          <w:lang w:val="x-none" w:eastAsia="x-none"/>
        </w:rPr>
        <w:t>Normy</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p>
    <w:tbl>
      <w:tblPr>
        <w:tblW w:w="0" w:type="auto"/>
        <w:tblLayout w:type="fixed"/>
        <w:tblCellMar>
          <w:left w:w="70" w:type="dxa"/>
          <w:right w:w="70" w:type="dxa"/>
        </w:tblCellMar>
        <w:tblLook w:val="0000" w:firstRow="0" w:lastRow="0" w:firstColumn="0" w:lastColumn="0" w:noHBand="0" w:noVBand="0"/>
      </w:tblPr>
      <w:tblGrid>
        <w:gridCol w:w="496"/>
        <w:gridCol w:w="1701"/>
        <w:gridCol w:w="5313"/>
      </w:tblGrid>
      <w:tr w:rsidR="003220D1" w:rsidRPr="003220D1" w14:paraId="41057B0D" w14:textId="77777777" w:rsidTr="00855929">
        <w:trPr>
          <w:trHeight w:val="341"/>
        </w:trPr>
        <w:tc>
          <w:tcPr>
            <w:tcW w:w="496" w:type="dxa"/>
          </w:tcPr>
          <w:p w14:paraId="3AC1162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1.</w:t>
            </w:r>
          </w:p>
        </w:tc>
        <w:tc>
          <w:tcPr>
            <w:tcW w:w="1701" w:type="dxa"/>
          </w:tcPr>
          <w:p w14:paraId="1C7CBD9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PN-B-04481</w:t>
            </w:r>
          </w:p>
        </w:tc>
        <w:tc>
          <w:tcPr>
            <w:tcW w:w="5313" w:type="dxa"/>
          </w:tcPr>
          <w:p w14:paraId="78827D1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Grunty budowlane. Badania próbek gruntu</w:t>
            </w:r>
          </w:p>
        </w:tc>
      </w:tr>
      <w:tr w:rsidR="003220D1" w:rsidRPr="003220D1" w14:paraId="5CE3D474" w14:textId="77777777" w:rsidTr="00855929">
        <w:tc>
          <w:tcPr>
            <w:tcW w:w="496" w:type="dxa"/>
          </w:tcPr>
          <w:p w14:paraId="0A4E754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2.</w:t>
            </w:r>
          </w:p>
        </w:tc>
        <w:tc>
          <w:tcPr>
            <w:tcW w:w="1701" w:type="dxa"/>
          </w:tcPr>
          <w:p w14:paraId="7EF59FD8" w14:textId="77777777" w:rsidR="003220D1" w:rsidRPr="003220D1" w:rsidRDefault="004C23B9"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hyperlink r:id="rId10" w:history="1">
              <w:r w:rsidR="003220D1" w:rsidRPr="003220D1">
                <w:rPr>
                  <w:rFonts w:ascii="Arial Narrow" w:eastAsia="Times New Roman" w:hAnsi="Arial Narrow" w:cs="Times New Roman"/>
                  <w:sz w:val="20"/>
                </w:rPr>
                <w:t>PN-EN 1097-5:2001</w:t>
              </w:r>
            </w:hyperlink>
          </w:p>
        </w:tc>
        <w:tc>
          <w:tcPr>
            <w:tcW w:w="5313" w:type="dxa"/>
          </w:tcPr>
          <w:p w14:paraId="3002221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Badania mechanicznych i fizycznych właściwości kruszyw -- Część 5: Oznaczanie zawartości wody przez suszenie w suszarce z wentylacją</w:t>
            </w:r>
          </w:p>
        </w:tc>
      </w:tr>
      <w:tr w:rsidR="003220D1" w:rsidRPr="003220D1" w14:paraId="27FDDA0C" w14:textId="77777777" w:rsidTr="00855929">
        <w:tc>
          <w:tcPr>
            <w:tcW w:w="496" w:type="dxa"/>
          </w:tcPr>
          <w:p w14:paraId="2B5A542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4.</w:t>
            </w:r>
          </w:p>
        </w:tc>
        <w:tc>
          <w:tcPr>
            <w:tcW w:w="1701" w:type="dxa"/>
          </w:tcPr>
          <w:p w14:paraId="435A8F1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PN-S-02205</w:t>
            </w:r>
          </w:p>
        </w:tc>
        <w:tc>
          <w:tcPr>
            <w:tcW w:w="5313" w:type="dxa"/>
          </w:tcPr>
          <w:p w14:paraId="042F5C8A" w14:textId="77777777" w:rsidR="003220D1" w:rsidRPr="003220D1" w:rsidRDefault="004C23B9"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hyperlink r:id="rId11" w:history="1">
              <w:r w:rsidR="003220D1" w:rsidRPr="003220D1">
                <w:rPr>
                  <w:rFonts w:ascii="Arial Narrow" w:eastAsia="Times New Roman" w:hAnsi="Arial Narrow" w:cs="Times New Roman"/>
                  <w:sz w:val="20"/>
                </w:rPr>
                <w:t>Drogi samochodowe -- Roboty ziemne -- Wymagania i badania</w:t>
              </w:r>
            </w:hyperlink>
          </w:p>
        </w:tc>
      </w:tr>
      <w:tr w:rsidR="003220D1" w:rsidRPr="003220D1" w14:paraId="520E964F" w14:textId="77777777" w:rsidTr="00855929">
        <w:tc>
          <w:tcPr>
            <w:tcW w:w="496" w:type="dxa"/>
          </w:tcPr>
          <w:p w14:paraId="50A2D5E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5.</w:t>
            </w:r>
          </w:p>
        </w:tc>
        <w:tc>
          <w:tcPr>
            <w:tcW w:w="1701" w:type="dxa"/>
          </w:tcPr>
          <w:p w14:paraId="11F3D23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BN-77/8931-12</w:t>
            </w:r>
          </w:p>
        </w:tc>
        <w:tc>
          <w:tcPr>
            <w:tcW w:w="5313" w:type="dxa"/>
          </w:tcPr>
          <w:p w14:paraId="51D4214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Oznaczanie wskaźnika zagęszczenia gruntu</w:t>
            </w:r>
          </w:p>
        </w:tc>
      </w:tr>
      <w:tr w:rsidR="003220D1" w:rsidRPr="003220D1" w14:paraId="6E5AF0C3" w14:textId="77777777" w:rsidTr="00855929">
        <w:tc>
          <w:tcPr>
            <w:tcW w:w="496" w:type="dxa"/>
          </w:tcPr>
          <w:p w14:paraId="14A940E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6.</w:t>
            </w:r>
          </w:p>
        </w:tc>
        <w:tc>
          <w:tcPr>
            <w:tcW w:w="1701" w:type="dxa"/>
          </w:tcPr>
          <w:p w14:paraId="3C2B761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PN-88/B-04481</w:t>
            </w:r>
          </w:p>
        </w:tc>
        <w:tc>
          <w:tcPr>
            <w:tcW w:w="5313" w:type="dxa"/>
          </w:tcPr>
          <w:p w14:paraId="6A5F507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Grunty budowlane -- Badania próbek gruntu</w:t>
            </w:r>
          </w:p>
          <w:p w14:paraId="659DB5F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r>
      <w:tr w:rsidR="003220D1" w:rsidRPr="003220D1" w14:paraId="4EDDCF92" w14:textId="77777777" w:rsidTr="00855929">
        <w:tc>
          <w:tcPr>
            <w:tcW w:w="496" w:type="dxa"/>
          </w:tcPr>
          <w:p w14:paraId="31D36AD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7</w:t>
            </w:r>
          </w:p>
        </w:tc>
        <w:tc>
          <w:tcPr>
            <w:tcW w:w="1701" w:type="dxa"/>
          </w:tcPr>
          <w:p w14:paraId="16B699A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5313" w:type="dxa"/>
          </w:tcPr>
          <w:p w14:paraId="7630F2C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Katalog Typowych Nawierzchni Podatnych i Półsztywnych 2014</w:t>
            </w:r>
          </w:p>
        </w:tc>
      </w:tr>
    </w:tbl>
    <w:p w14:paraId="2E70FED0" w14:textId="77777777" w:rsidR="003220D1" w:rsidRPr="003220D1" w:rsidRDefault="003220D1" w:rsidP="003220D1">
      <w:pPr>
        <w:tabs>
          <w:tab w:val="left" w:pos="-1440"/>
          <w:tab w:val="left" w:pos="-720"/>
          <w:tab w:val="left" w:pos="0"/>
        </w:tabs>
        <w:spacing w:after="0" w:line="240" w:lineRule="auto"/>
        <w:ind w:firstLine="454"/>
        <w:jc w:val="both"/>
        <w:rPr>
          <w:rFonts w:ascii="Arial Narrow" w:eastAsia="Calibri" w:hAnsi="Arial Narrow" w:cs="Arial"/>
          <w:spacing w:val="-3"/>
          <w:sz w:val="20"/>
        </w:rPr>
      </w:pPr>
    </w:p>
    <w:p w14:paraId="3FEC452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sectPr w:rsidR="003220D1" w:rsidRPr="003220D1" w:rsidSect="003220D1">
          <w:headerReference w:type="default" r:id="rId12"/>
          <w:footerReference w:type="even" r:id="rId13"/>
          <w:footerReference w:type="default" r:id="rId14"/>
          <w:pgSz w:w="11906" w:h="16838" w:code="9"/>
          <w:pgMar w:top="1134" w:right="1134" w:bottom="1134" w:left="1418" w:header="851" w:footer="851" w:gutter="0"/>
          <w:cols w:space="708"/>
          <w:docGrid w:linePitch="360"/>
        </w:sectPr>
      </w:pPr>
    </w:p>
    <w:p w14:paraId="6626EAD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bookmarkStart w:id="504" w:name="_Toc58533521"/>
      <w:r w:rsidRPr="003220D1">
        <w:rPr>
          <w:rFonts w:ascii="Arial Narrow" w:eastAsia="Times New Roman" w:hAnsi="Arial Narrow" w:cs="Times New Roman"/>
          <w:b/>
          <w:sz w:val="28"/>
          <w:szCs w:val="20"/>
          <w:lang w:eastAsia="pl-PL"/>
        </w:rPr>
        <w:lastRenderedPageBreak/>
        <w:t>D – 04.02.01 WARSTWA ODSĄCZAJĄCA</w:t>
      </w:r>
      <w:bookmarkEnd w:id="504"/>
      <w:r w:rsidRPr="003220D1">
        <w:rPr>
          <w:rFonts w:ascii="Arial Narrow" w:eastAsia="Times New Roman" w:hAnsi="Arial Narrow" w:cs="Times New Roman"/>
          <w:b/>
          <w:sz w:val="28"/>
          <w:szCs w:val="20"/>
          <w:lang w:eastAsia="pl-PL"/>
        </w:rPr>
        <w:t xml:space="preserve"> </w:t>
      </w:r>
    </w:p>
    <w:p w14:paraId="7E0B76D1"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Kod CPV: 45233000-9</w:t>
      </w:r>
    </w:p>
    <w:p w14:paraId="18DA2BC9"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Roboty w zakresie konstruowania, fundamentowania oraz wykonywania nawierzchni autostrad, dróg</w:t>
      </w:r>
    </w:p>
    <w:p w14:paraId="04CE7B3D" w14:textId="77777777" w:rsidR="003220D1" w:rsidRPr="003220D1" w:rsidRDefault="003220D1" w:rsidP="003220D1">
      <w:pPr>
        <w:spacing w:after="0" w:line="240" w:lineRule="auto"/>
        <w:ind w:firstLine="454"/>
        <w:jc w:val="center"/>
        <w:rPr>
          <w:rFonts w:ascii="Arial Narrow" w:eastAsia="Calibri" w:hAnsi="Arial Narrow" w:cs="Times New Roman"/>
        </w:rPr>
      </w:pPr>
    </w:p>
    <w:p w14:paraId="005A9600"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3220D1">
        <w:rPr>
          <w:rFonts w:ascii="Arial Narrow" w:eastAsia="Times New Roman" w:hAnsi="Arial Narrow" w:cs="Times New Roman"/>
          <w:b/>
          <w:caps/>
          <w:kern w:val="28"/>
          <w:sz w:val="28"/>
          <w:szCs w:val="20"/>
          <w:lang w:eastAsia="x-none"/>
        </w:rPr>
        <w:t xml:space="preserve">1. </w:t>
      </w:r>
      <w:r w:rsidRPr="003220D1">
        <w:rPr>
          <w:rFonts w:ascii="Arial Narrow" w:eastAsia="Times New Roman" w:hAnsi="Arial Narrow" w:cs="Times New Roman"/>
          <w:b/>
          <w:caps/>
          <w:kern w:val="28"/>
          <w:sz w:val="28"/>
          <w:szCs w:val="20"/>
          <w:lang w:val="x-none" w:eastAsia="x-none"/>
        </w:rPr>
        <w:t>wstęp</w:t>
      </w:r>
    </w:p>
    <w:p w14:paraId="2E393260"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3220D1">
        <w:rPr>
          <w:rFonts w:ascii="Arial Narrow" w:eastAsia="Times New Roman" w:hAnsi="Arial Narrow" w:cs="Times New Roman"/>
          <w:b/>
          <w:sz w:val="28"/>
          <w:szCs w:val="20"/>
          <w:lang w:eastAsia="x-none"/>
        </w:rPr>
        <w:t xml:space="preserve">1.1 </w:t>
      </w:r>
      <w:r w:rsidRPr="003220D1">
        <w:rPr>
          <w:rFonts w:ascii="Arial Narrow" w:eastAsia="Times New Roman" w:hAnsi="Arial Narrow" w:cs="Times New Roman"/>
          <w:b/>
          <w:sz w:val="28"/>
          <w:szCs w:val="20"/>
          <w:lang w:val="x-none" w:eastAsia="x-none"/>
        </w:rPr>
        <w:t>Przedmiot STWiORB</w:t>
      </w:r>
    </w:p>
    <w:p w14:paraId="634E6571" w14:textId="77777777" w:rsidR="003220D1" w:rsidRPr="003220D1" w:rsidRDefault="003220D1" w:rsidP="003220D1">
      <w:pPr>
        <w:spacing w:after="0" w:line="240" w:lineRule="auto"/>
        <w:ind w:firstLine="454"/>
        <w:jc w:val="both"/>
        <w:rPr>
          <w:rFonts w:ascii="Arial Narrow" w:eastAsia="Calibri" w:hAnsi="Arial Narrow" w:cs="Times New Roman"/>
          <w:sz w:val="20"/>
        </w:rPr>
      </w:pPr>
      <w:r w:rsidRPr="003220D1">
        <w:rPr>
          <w:rFonts w:ascii="Arial Narrow" w:eastAsia="Times New Roman" w:hAnsi="Arial Narrow" w:cs="Times New Roman"/>
          <w:sz w:val="20"/>
          <w:szCs w:val="20"/>
          <w:lang w:eastAsia="pl-PL"/>
        </w:rPr>
        <w:t>Przedmiotem niniejszej szczegółowej specyfikacji technicznej (SST) są wymagania dotyczące wykonania i odbioru robót związanych wykonywaniem warstwy odsączającej</w:t>
      </w:r>
      <w:r w:rsidRPr="003220D1">
        <w:rPr>
          <w:rFonts w:ascii="Arial Narrow" w:eastAsia="Calibri" w:hAnsi="Arial Narrow" w:cs="Times New Roman"/>
          <w:sz w:val="20"/>
        </w:rPr>
        <w:t>.</w:t>
      </w:r>
    </w:p>
    <w:p w14:paraId="51967CBD"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3220D1">
        <w:rPr>
          <w:rFonts w:ascii="Arial Narrow" w:eastAsia="Times New Roman" w:hAnsi="Arial Narrow" w:cs="Times New Roman"/>
          <w:b/>
          <w:sz w:val="28"/>
          <w:szCs w:val="20"/>
          <w:lang w:eastAsia="x-none"/>
        </w:rPr>
        <w:t xml:space="preserve">1.2 </w:t>
      </w:r>
      <w:r w:rsidRPr="003220D1">
        <w:rPr>
          <w:rFonts w:ascii="Arial Narrow" w:eastAsia="Times New Roman" w:hAnsi="Arial Narrow" w:cs="Times New Roman"/>
          <w:b/>
          <w:sz w:val="28"/>
          <w:szCs w:val="20"/>
          <w:lang w:val="x-none" w:eastAsia="x-none"/>
        </w:rPr>
        <w:t>Zakres stosowania STWiORB</w:t>
      </w:r>
    </w:p>
    <w:p w14:paraId="40874CBC" w14:textId="11DF4EC1" w:rsidR="003220D1" w:rsidRPr="003220D1" w:rsidRDefault="003220D1" w:rsidP="003220D1">
      <w:pPr>
        <w:tabs>
          <w:tab w:val="left" w:pos="-1440"/>
          <w:tab w:val="left" w:pos="-720"/>
          <w:tab w:val="left" w:pos="0"/>
        </w:tabs>
        <w:spacing w:after="0" w:line="240" w:lineRule="auto"/>
        <w:ind w:firstLine="454"/>
        <w:jc w:val="both"/>
        <w:rPr>
          <w:rFonts w:ascii="Arial Narrow" w:eastAsia="Calibri" w:hAnsi="Arial Narrow" w:cs="Arial"/>
          <w:spacing w:val="-3"/>
          <w:sz w:val="20"/>
        </w:rPr>
      </w:pPr>
      <w:r w:rsidRPr="003220D1">
        <w:rPr>
          <w:rFonts w:ascii="Arial Narrow" w:eastAsia="Calibri" w:hAnsi="Arial Narrow" w:cs="Arial"/>
          <w:sz w:val="20"/>
        </w:rPr>
        <w:t xml:space="preserve">Specyfikacje Techniczne Wykonania i Odbioru Robót Budowlanych </w:t>
      </w:r>
      <w:r w:rsidRPr="003220D1">
        <w:rPr>
          <w:rFonts w:ascii="Arial Narrow" w:eastAsia="Calibri" w:hAnsi="Arial Narrow" w:cs="Arial"/>
          <w:spacing w:val="-3"/>
          <w:sz w:val="20"/>
        </w:rPr>
        <w:t xml:space="preserve">stanowią Dokument Przetargowy i Kontraktowy przy zlecaniu i realizacji robót na drogach </w:t>
      </w:r>
    </w:p>
    <w:p w14:paraId="2197A4C3"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3220D1">
        <w:rPr>
          <w:rFonts w:ascii="Arial Narrow" w:eastAsia="Times New Roman" w:hAnsi="Arial Narrow" w:cs="Times New Roman"/>
          <w:b/>
          <w:sz w:val="28"/>
          <w:szCs w:val="20"/>
          <w:lang w:val="x-none" w:eastAsia="x-none"/>
        </w:rPr>
        <w:t>Zakres robót objętych SST</w:t>
      </w:r>
    </w:p>
    <w:p w14:paraId="519885D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Ustalenia zawarte w niniejszej specyfikacji dotyczą zasad prowadzenia robót związanych z wykonaniem warstwy  odsączającej stosowanej jako część podbudowy pomocniczej.</w:t>
      </w:r>
    </w:p>
    <w:p w14:paraId="63542B8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Zakres stosowania:</w:t>
      </w:r>
    </w:p>
    <w:tbl>
      <w:tblPr>
        <w:tblW w:w="83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5"/>
        <w:gridCol w:w="2672"/>
        <w:gridCol w:w="1925"/>
        <w:gridCol w:w="1702"/>
        <w:gridCol w:w="925"/>
        <w:gridCol w:w="453"/>
      </w:tblGrid>
      <w:tr w:rsidR="003220D1" w:rsidRPr="003220D1" w14:paraId="613B3C67" w14:textId="77777777" w:rsidTr="00855929">
        <w:tc>
          <w:tcPr>
            <w:tcW w:w="625" w:type="dxa"/>
            <w:tcBorders>
              <w:bottom w:val="single" w:sz="4" w:space="0" w:color="auto"/>
            </w:tcBorders>
            <w:shd w:val="clear" w:color="auto" w:fill="auto"/>
          </w:tcPr>
          <w:p w14:paraId="2F16B562" w14:textId="77777777" w:rsidR="003220D1" w:rsidRPr="003220D1" w:rsidRDefault="003220D1" w:rsidP="003220D1">
            <w:pPr>
              <w:overflowPunct w:val="0"/>
              <w:autoSpaceDE w:val="0"/>
              <w:autoSpaceDN w:val="0"/>
              <w:adjustRightInd w:val="0"/>
              <w:spacing w:after="0" w:line="240" w:lineRule="auto"/>
              <w:jc w:val="center"/>
              <w:textAlignment w:val="baseline"/>
              <w:rPr>
                <w:rFonts w:ascii="Arial Narrow" w:eastAsia="Times New Roman" w:hAnsi="Arial Narrow" w:cs="Times New Roman"/>
                <w:b/>
                <w:sz w:val="20"/>
                <w:szCs w:val="20"/>
                <w:lang w:eastAsia="pl-PL"/>
              </w:rPr>
            </w:pPr>
            <w:r w:rsidRPr="003220D1">
              <w:rPr>
                <w:rFonts w:ascii="Arial Narrow" w:eastAsia="Times New Roman" w:hAnsi="Arial Narrow" w:cs="Times New Roman"/>
                <w:b/>
                <w:sz w:val="20"/>
                <w:szCs w:val="20"/>
                <w:lang w:eastAsia="pl-PL"/>
              </w:rPr>
              <w:t>Lp</w:t>
            </w:r>
          </w:p>
        </w:tc>
        <w:tc>
          <w:tcPr>
            <w:tcW w:w="2672" w:type="dxa"/>
            <w:tcBorders>
              <w:bottom w:val="single" w:sz="4" w:space="0" w:color="auto"/>
            </w:tcBorders>
            <w:shd w:val="clear" w:color="auto" w:fill="auto"/>
          </w:tcPr>
          <w:p w14:paraId="15393431" w14:textId="77777777" w:rsidR="003220D1" w:rsidRPr="003220D1" w:rsidRDefault="003220D1" w:rsidP="003220D1">
            <w:pPr>
              <w:overflowPunct w:val="0"/>
              <w:autoSpaceDE w:val="0"/>
              <w:autoSpaceDN w:val="0"/>
              <w:adjustRightInd w:val="0"/>
              <w:spacing w:after="0" w:line="240" w:lineRule="auto"/>
              <w:jc w:val="center"/>
              <w:textAlignment w:val="baseline"/>
              <w:rPr>
                <w:rFonts w:ascii="Arial Narrow" w:eastAsia="Times New Roman" w:hAnsi="Arial Narrow" w:cs="Times New Roman"/>
                <w:b/>
                <w:sz w:val="20"/>
                <w:szCs w:val="20"/>
                <w:lang w:eastAsia="pl-PL"/>
              </w:rPr>
            </w:pPr>
            <w:r w:rsidRPr="003220D1">
              <w:rPr>
                <w:rFonts w:ascii="Arial Narrow" w:eastAsia="Times New Roman" w:hAnsi="Arial Narrow" w:cs="Times New Roman"/>
                <w:b/>
                <w:sz w:val="20"/>
                <w:szCs w:val="20"/>
                <w:lang w:eastAsia="pl-PL"/>
              </w:rPr>
              <w:t>Opis warstwy</w:t>
            </w:r>
          </w:p>
        </w:tc>
        <w:tc>
          <w:tcPr>
            <w:tcW w:w="1925" w:type="dxa"/>
            <w:tcBorders>
              <w:bottom w:val="single" w:sz="4" w:space="0" w:color="auto"/>
            </w:tcBorders>
            <w:shd w:val="clear" w:color="auto" w:fill="auto"/>
          </w:tcPr>
          <w:p w14:paraId="4E93E922" w14:textId="77777777" w:rsidR="003220D1" w:rsidRPr="003220D1" w:rsidRDefault="003220D1" w:rsidP="003220D1">
            <w:pPr>
              <w:overflowPunct w:val="0"/>
              <w:autoSpaceDE w:val="0"/>
              <w:autoSpaceDN w:val="0"/>
              <w:adjustRightInd w:val="0"/>
              <w:spacing w:after="0" w:line="240" w:lineRule="auto"/>
              <w:jc w:val="center"/>
              <w:textAlignment w:val="baseline"/>
              <w:rPr>
                <w:rFonts w:ascii="Arial Narrow" w:eastAsia="Times New Roman" w:hAnsi="Arial Narrow" w:cs="Times New Roman"/>
                <w:b/>
                <w:sz w:val="20"/>
                <w:szCs w:val="20"/>
                <w:lang w:eastAsia="pl-PL"/>
              </w:rPr>
            </w:pPr>
            <w:r w:rsidRPr="003220D1">
              <w:rPr>
                <w:rFonts w:ascii="Arial Narrow" w:eastAsia="Times New Roman" w:hAnsi="Arial Narrow" w:cs="Times New Roman"/>
                <w:b/>
                <w:sz w:val="20"/>
                <w:szCs w:val="20"/>
                <w:lang w:eastAsia="pl-PL"/>
              </w:rPr>
              <w:t>Materiał</w:t>
            </w:r>
          </w:p>
        </w:tc>
        <w:tc>
          <w:tcPr>
            <w:tcW w:w="1702" w:type="dxa"/>
            <w:tcBorders>
              <w:bottom w:val="single" w:sz="4" w:space="0" w:color="auto"/>
            </w:tcBorders>
            <w:shd w:val="clear" w:color="auto" w:fill="auto"/>
          </w:tcPr>
          <w:p w14:paraId="1B639312" w14:textId="77777777" w:rsidR="003220D1" w:rsidRPr="003220D1" w:rsidRDefault="003220D1" w:rsidP="003220D1">
            <w:pPr>
              <w:overflowPunct w:val="0"/>
              <w:autoSpaceDE w:val="0"/>
              <w:autoSpaceDN w:val="0"/>
              <w:adjustRightInd w:val="0"/>
              <w:spacing w:after="0" w:line="240" w:lineRule="auto"/>
              <w:jc w:val="center"/>
              <w:textAlignment w:val="baseline"/>
              <w:rPr>
                <w:rFonts w:ascii="Arial Narrow" w:eastAsia="Times New Roman" w:hAnsi="Arial Narrow" w:cs="Times New Roman"/>
                <w:b/>
                <w:sz w:val="20"/>
                <w:szCs w:val="20"/>
                <w:lang w:eastAsia="pl-PL"/>
              </w:rPr>
            </w:pPr>
            <w:r w:rsidRPr="003220D1">
              <w:rPr>
                <w:rFonts w:ascii="Arial Narrow" w:eastAsia="Times New Roman" w:hAnsi="Arial Narrow" w:cs="Times New Roman"/>
                <w:b/>
                <w:sz w:val="20"/>
                <w:szCs w:val="20"/>
                <w:lang w:eastAsia="pl-PL"/>
              </w:rPr>
              <w:t>Uziarnienie, parametry materiału</w:t>
            </w:r>
          </w:p>
        </w:tc>
        <w:tc>
          <w:tcPr>
            <w:tcW w:w="925" w:type="dxa"/>
            <w:tcBorders>
              <w:bottom w:val="single" w:sz="4" w:space="0" w:color="auto"/>
            </w:tcBorders>
            <w:shd w:val="clear" w:color="auto" w:fill="auto"/>
          </w:tcPr>
          <w:p w14:paraId="560DEB96" w14:textId="77777777" w:rsidR="003220D1" w:rsidRPr="003220D1" w:rsidRDefault="003220D1" w:rsidP="003220D1">
            <w:pPr>
              <w:overflowPunct w:val="0"/>
              <w:autoSpaceDE w:val="0"/>
              <w:autoSpaceDN w:val="0"/>
              <w:adjustRightInd w:val="0"/>
              <w:spacing w:after="0" w:line="240" w:lineRule="auto"/>
              <w:jc w:val="center"/>
              <w:textAlignment w:val="baseline"/>
              <w:rPr>
                <w:rFonts w:ascii="Arial Narrow" w:eastAsia="Times New Roman" w:hAnsi="Arial Narrow" w:cs="Times New Roman"/>
                <w:b/>
                <w:sz w:val="20"/>
                <w:szCs w:val="20"/>
                <w:lang w:eastAsia="pl-PL"/>
              </w:rPr>
            </w:pPr>
            <w:r w:rsidRPr="003220D1">
              <w:rPr>
                <w:rFonts w:ascii="Arial Narrow" w:eastAsia="Times New Roman" w:hAnsi="Arial Narrow" w:cs="Times New Roman"/>
                <w:b/>
                <w:sz w:val="20"/>
                <w:szCs w:val="20"/>
                <w:lang w:eastAsia="pl-PL"/>
              </w:rPr>
              <w:t>grubość</w:t>
            </w:r>
          </w:p>
        </w:tc>
        <w:tc>
          <w:tcPr>
            <w:tcW w:w="453" w:type="dxa"/>
            <w:tcBorders>
              <w:bottom w:val="single" w:sz="4" w:space="0" w:color="auto"/>
            </w:tcBorders>
            <w:shd w:val="clear" w:color="auto" w:fill="auto"/>
          </w:tcPr>
          <w:p w14:paraId="6F13AF5C" w14:textId="77777777" w:rsidR="003220D1" w:rsidRPr="003220D1" w:rsidRDefault="003220D1" w:rsidP="003220D1">
            <w:pPr>
              <w:overflowPunct w:val="0"/>
              <w:autoSpaceDE w:val="0"/>
              <w:autoSpaceDN w:val="0"/>
              <w:adjustRightInd w:val="0"/>
              <w:spacing w:after="0" w:line="240" w:lineRule="auto"/>
              <w:jc w:val="center"/>
              <w:textAlignment w:val="baseline"/>
              <w:rPr>
                <w:rFonts w:ascii="Arial Narrow" w:eastAsia="Times New Roman" w:hAnsi="Arial Narrow" w:cs="Times New Roman"/>
                <w:b/>
                <w:sz w:val="20"/>
                <w:szCs w:val="20"/>
                <w:lang w:eastAsia="pl-PL"/>
              </w:rPr>
            </w:pPr>
            <w:r w:rsidRPr="003220D1">
              <w:rPr>
                <w:rFonts w:ascii="Arial Narrow" w:eastAsia="Times New Roman" w:hAnsi="Arial Narrow" w:cs="Times New Roman"/>
                <w:b/>
                <w:sz w:val="20"/>
                <w:szCs w:val="20"/>
                <w:lang w:eastAsia="pl-PL"/>
              </w:rPr>
              <w:t>KR</w:t>
            </w:r>
          </w:p>
        </w:tc>
      </w:tr>
      <w:tr w:rsidR="003220D1" w:rsidRPr="003220D1" w14:paraId="11B3C307" w14:textId="77777777" w:rsidTr="00855929">
        <w:tc>
          <w:tcPr>
            <w:tcW w:w="625" w:type="dxa"/>
            <w:shd w:val="clear" w:color="auto" w:fill="FFC000"/>
          </w:tcPr>
          <w:p w14:paraId="38892F7C" w14:textId="77777777" w:rsidR="003220D1" w:rsidRPr="003220D1" w:rsidRDefault="003220D1" w:rsidP="003220D1">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1</w:t>
            </w:r>
          </w:p>
        </w:tc>
        <w:tc>
          <w:tcPr>
            <w:tcW w:w="2672" w:type="dxa"/>
            <w:shd w:val="clear" w:color="auto" w:fill="FFC000"/>
          </w:tcPr>
          <w:p w14:paraId="01EF6963" w14:textId="77777777" w:rsidR="003220D1" w:rsidRPr="003220D1" w:rsidRDefault="003220D1" w:rsidP="003220D1">
            <w:pPr>
              <w:overflowPunct w:val="0"/>
              <w:autoSpaceDE w:val="0"/>
              <w:autoSpaceDN w:val="0"/>
              <w:adjustRightInd w:val="0"/>
              <w:spacing w:after="0" w:line="240" w:lineRule="auto"/>
              <w:jc w:val="both"/>
              <w:textAlignment w:val="baseline"/>
              <w:rPr>
                <w:rFonts w:ascii="Arial Narrow" w:eastAsia="Times New Roman" w:hAnsi="Arial Narrow" w:cs="Times New Roman"/>
                <w:color w:val="FF0000"/>
                <w:sz w:val="20"/>
                <w:szCs w:val="20"/>
                <w:lang w:eastAsia="pl-PL"/>
              </w:rPr>
            </w:pPr>
            <w:r w:rsidRPr="003220D1">
              <w:rPr>
                <w:rFonts w:ascii="Arial Narrow" w:eastAsia="Times New Roman" w:hAnsi="Arial Narrow" w:cs="Times New Roman"/>
                <w:color w:val="FF0000"/>
                <w:sz w:val="20"/>
                <w:szCs w:val="20"/>
                <w:lang w:eastAsia="pl-PL"/>
              </w:rPr>
              <w:t>warstwy ulepszonego podłoża (w-wa odsączająca)</w:t>
            </w:r>
          </w:p>
        </w:tc>
        <w:tc>
          <w:tcPr>
            <w:tcW w:w="1925" w:type="dxa"/>
            <w:shd w:val="clear" w:color="auto" w:fill="FFC000"/>
          </w:tcPr>
          <w:p w14:paraId="58AABD6D" w14:textId="77777777" w:rsidR="003220D1" w:rsidRPr="003220D1" w:rsidRDefault="003220D1" w:rsidP="003220D1">
            <w:pPr>
              <w:overflowPunct w:val="0"/>
              <w:autoSpaceDE w:val="0"/>
              <w:autoSpaceDN w:val="0"/>
              <w:adjustRightInd w:val="0"/>
              <w:spacing w:after="0" w:line="240" w:lineRule="auto"/>
              <w:jc w:val="both"/>
              <w:textAlignment w:val="baseline"/>
              <w:rPr>
                <w:rFonts w:ascii="Arial Narrow" w:eastAsia="Times New Roman" w:hAnsi="Arial Narrow" w:cs="Times New Roman"/>
                <w:color w:val="FF0000"/>
                <w:sz w:val="20"/>
                <w:szCs w:val="20"/>
                <w:lang w:eastAsia="pl-PL"/>
              </w:rPr>
            </w:pPr>
            <w:r w:rsidRPr="003220D1">
              <w:rPr>
                <w:rFonts w:ascii="Arial Narrow" w:eastAsia="Times New Roman" w:hAnsi="Arial Narrow" w:cs="Times New Roman"/>
                <w:color w:val="FF0000"/>
                <w:sz w:val="20"/>
                <w:szCs w:val="20"/>
                <w:lang w:eastAsia="pl-PL"/>
              </w:rPr>
              <w:t xml:space="preserve">kruszywo naturalne </w:t>
            </w:r>
          </w:p>
        </w:tc>
        <w:tc>
          <w:tcPr>
            <w:tcW w:w="1702" w:type="dxa"/>
            <w:shd w:val="clear" w:color="auto" w:fill="FFC000"/>
          </w:tcPr>
          <w:p w14:paraId="2931DCDD" w14:textId="521E8429" w:rsidR="003220D1" w:rsidRPr="003220D1" w:rsidRDefault="003220D1" w:rsidP="003220D1">
            <w:pPr>
              <w:overflowPunct w:val="0"/>
              <w:autoSpaceDE w:val="0"/>
              <w:autoSpaceDN w:val="0"/>
              <w:adjustRightInd w:val="0"/>
              <w:spacing w:after="0" w:line="240" w:lineRule="auto"/>
              <w:jc w:val="both"/>
              <w:textAlignment w:val="baseline"/>
              <w:rPr>
                <w:rFonts w:ascii="Arial Narrow" w:eastAsia="Times New Roman" w:hAnsi="Arial Narrow" w:cs="Times New Roman"/>
                <w:color w:val="FF0000"/>
                <w:sz w:val="20"/>
                <w:szCs w:val="20"/>
                <w:lang w:eastAsia="pl-PL"/>
              </w:rPr>
            </w:pPr>
            <w:r w:rsidRPr="003220D1">
              <w:rPr>
                <w:rFonts w:ascii="Arial Narrow" w:eastAsia="Times New Roman" w:hAnsi="Arial Narrow" w:cs="Times New Roman"/>
                <w:color w:val="FF0000"/>
                <w:sz w:val="20"/>
                <w:szCs w:val="20"/>
                <w:lang w:eastAsia="pl-PL"/>
              </w:rPr>
              <w:t xml:space="preserve">CNR </w:t>
            </w:r>
          </w:p>
          <w:p w14:paraId="78F2C1BB" w14:textId="220535C8" w:rsidR="003220D1" w:rsidRPr="003220D1" w:rsidRDefault="003220D1" w:rsidP="003220D1">
            <w:pPr>
              <w:overflowPunct w:val="0"/>
              <w:autoSpaceDE w:val="0"/>
              <w:autoSpaceDN w:val="0"/>
              <w:adjustRightInd w:val="0"/>
              <w:spacing w:after="0" w:line="240" w:lineRule="auto"/>
              <w:jc w:val="both"/>
              <w:textAlignment w:val="baseline"/>
              <w:rPr>
                <w:rFonts w:ascii="Arial Narrow" w:eastAsia="Times New Roman" w:hAnsi="Arial Narrow" w:cs="Times New Roman"/>
                <w:color w:val="FF0000"/>
                <w:sz w:val="20"/>
                <w:szCs w:val="20"/>
                <w:lang w:eastAsia="pl-PL"/>
              </w:rPr>
            </w:pPr>
          </w:p>
        </w:tc>
        <w:tc>
          <w:tcPr>
            <w:tcW w:w="925" w:type="dxa"/>
            <w:shd w:val="clear" w:color="auto" w:fill="FFC000"/>
          </w:tcPr>
          <w:p w14:paraId="13FF0CA9" w14:textId="01929CA9" w:rsidR="003220D1" w:rsidRPr="003220D1" w:rsidRDefault="003220D1" w:rsidP="003220D1">
            <w:pPr>
              <w:overflowPunct w:val="0"/>
              <w:autoSpaceDE w:val="0"/>
              <w:autoSpaceDN w:val="0"/>
              <w:adjustRightInd w:val="0"/>
              <w:spacing w:after="0" w:line="240" w:lineRule="auto"/>
              <w:jc w:val="both"/>
              <w:textAlignment w:val="baseline"/>
              <w:rPr>
                <w:rFonts w:ascii="Arial Narrow" w:eastAsia="Times New Roman" w:hAnsi="Arial Narrow" w:cs="Times New Roman"/>
                <w:color w:val="FF0000"/>
                <w:sz w:val="20"/>
                <w:szCs w:val="20"/>
                <w:lang w:eastAsia="pl-PL"/>
              </w:rPr>
            </w:pPr>
            <w:r w:rsidRPr="003220D1">
              <w:rPr>
                <w:rFonts w:ascii="Arial Narrow" w:eastAsia="Times New Roman" w:hAnsi="Arial Narrow" w:cs="Times New Roman"/>
                <w:color w:val="FF0000"/>
                <w:sz w:val="20"/>
                <w:szCs w:val="20"/>
                <w:lang w:eastAsia="pl-PL"/>
              </w:rPr>
              <w:t>1</w:t>
            </w:r>
            <w:r w:rsidR="00856F3B">
              <w:rPr>
                <w:rFonts w:ascii="Arial Narrow" w:eastAsia="Times New Roman" w:hAnsi="Arial Narrow" w:cs="Times New Roman"/>
                <w:color w:val="FF0000"/>
                <w:sz w:val="20"/>
                <w:szCs w:val="20"/>
                <w:lang w:eastAsia="pl-PL"/>
              </w:rPr>
              <w:t>0</w:t>
            </w:r>
            <w:r w:rsidRPr="003220D1">
              <w:rPr>
                <w:rFonts w:ascii="Arial Narrow" w:eastAsia="Times New Roman" w:hAnsi="Arial Narrow" w:cs="Times New Roman"/>
                <w:color w:val="FF0000"/>
                <w:sz w:val="20"/>
                <w:szCs w:val="20"/>
                <w:lang w:eastAsia="pl-PL"/>
              </w:rPr>
              <w:t>cm</w:t>
            </w:r>
          </w:p>
        </w:tc>
        <w:tc>
          <w:tcPr>
            <w:tcW w:w="453" w:type="dxa"/>
            <w:shd w:val="clear" w:color="auto" w:fill="FFC000"/>
          </w:tcPr>
          <w:p w14:paraId="3A956E43" w14:textId="59439CB2" w:rsidR="003220D1" w:rsidRPr="003220D1" w:rsidRDefault="00B7753A" w:rsidP="003220D1">
            <w:pPr>
              <w:overflowPunct w:val="0"/>
              <w:autoSpaceDE w:val="0"/>
              <w:autoSpaceDN w:val="0"/>
              <w:adjustRightInd w:val="0"/>
              <w:spacing w:after="0" w:line="240" w:lineRule="auto"/>
              <w:jc w:val="both"/>
              <w:textAlignment w:val="baseline"/>
              <w:rPr>
                <w:rFonts w:ascii="Arial Narrow" w:eastAsia="Times New Roman" w:hAnsi="Arial Narrow" w:cs="Times New Roman"/>
                <w:color w:val="FF0000"/>
                <w:sz w:val="20"/>
                <w:szCs w:val="20"/>
                <w:lang w:eastAsia="pl-PL"/>
              </w:rPr>
            </w:pPr>
            <w:r>
              <w:rPr>
                <w:rFonts w:ascii="Arial Narrow" w:eastAsia="Times New Roman" w:hAnsi="Arial Narrow" w:cs="Times New Roman"/>
                <w:color w:val="FF0000"/>
                <w:sz w:val="20"/>
                <w:szCs w:val="20"/>
                <w:lang w:eastAsia="pl-PL"/>
              </w:rPr>
              <w:t>1</w:t>
            </w:r>
          </w:p>
        </w:tc>
      </w:tr>
      <w:tr w:rsidR="003220D1" w:rsidRPr="003220D1" w14:paraId="29198BF1" w14:textId="77777777" w:rsidTr="00855929">
        <w:tc>
          <w:tcPr>
            <w:tcW w:w="625" w:type="dxa"/>
            <w:shd w:val="clear" w:color="auto" w:fill="FFC000"/>
          </w:tcPr>
          <w:p w14:paraId="384DB058" w14:textId="77777777" w:rsidR="003220D1" w:rsidRPr="003220D1" w:rsidRDefault="003220D1" w:rsidP="003220D1">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2</w:t>
            </w:r>
          </w:p>
        </w:tc>
        <w:tc>
          <w:tcPr>
            <w:tcW w:w="2672" w:type="dxa"/>
            <w:shd w:val="clear" w:color="auto" w:fill="FFC000"/>
          </w:tcPr>
          <w:p w14:paraId="177300C7" w14:textId="77777777" w:rsidR="003220D1" w:rsidRPr="003220D1" w:rsidRDefault="003220D1" w:rsidP="003220D1">
            <w:pPr>
              <w:overflowPunct w:val="0"/>
              <w:autoSpaceDE w:val="0"/>
              <w:autoSpaceDN w:val="0"/>
              <w:adjustRightInd w:val="0"/>
              <w:spacing w:after="0" w:line="240" w:lineRule="auto"/>
              <w:jc w:val="both"/>
              <w:textAlignment w:val="baseline"/>
              <w:rPr>
                <w:rFonts w:ascii="Arial Narrow" w:eastAsia="Times New Roman" w:hAnsi="Arial Narrow" w:cs="Times New Roman"/>
                <w:color w:val="FF0000"/>
                <w:sz w:val="20"/>
                <w:szCs w:val="20"/>
                <w:lang w:eastAsia="pl-PL"/>
              </w:rPr>
            </w:pPr>
          </w:p>
        </w:tc>
        <w:tc>
          <w:tcPr>
            <w:tcW w:w="1925" w:type="dxa"/>
            <w:shd w:val="clear" w:color="auto" w:fill="FFC000"/>
          </w:tcPr>
          <w:p w14:paraId="31F19FD8" w14:textId="77777777" w:rsidR="003220D1" w:rsidRPr="003220D1" w:rsidRDefault="003220D1" w:rsidP="003220D1">
            <w:pPr>
              <w:overflowPunct w:val="0"/>
              <w:autoSpaceDE w:val="0"/>
              <w:autoSpaceDN w:val="0"/>
              <w:adjustRightInd w:val="0"/>
              <w:spacing w:after="0" w:line="240" w:lineRule="auto"/>
              <w:jc w:val="both"/>
              <w:textAlignment w:val="baseline"/>
              <w:rPr>
                <w:rFonts w:ascii="Arial Narrow" w:eastAsia="Times New Roman" w:hAnsi="Arial Narrow" w:cs="Times New Roman"/>
                <w:color w:val="FF0000"/>
                <w:sz w:val="20"/>
                <w:szCs w:val="20"/>
                <w:lang w:eastAsia="pl-PL"/>
              </w:rPr>
            </w:pPr>
          </w:p>
        </w:tc>
        <w:tc>
          <w:tcPr>
            <w:tcW w:w="1702" w:type="dxa"/>
            <w:shd w:val="clear" w:color="auto" w:fill="FFC000"/>
          </w:tcPr>
          <w:p w14:paraId="1D8DFB3C" w14:textId="77777777" w:rsidR="003220D1" w:rsidRPr="003220D1" w:rsidRDefault="003220D1" w:rsidP="003220D1">
            <w:pPr>
              <w:overflowPunct w:val="0"/>
              <w:autoSpaceDE w:val="0"/>
              <w:autoSpaceDN w:val="0"/>
              <w:adjustRightInd w:val="0"/>
              <w:spacing w:after="0" w:line="240" w:lineRule="auto"/>
              <w:jc w:val="both"/>
              <w:textAlignment w:val="baseline"/>
              <w:rPr>
                <w:rFonts w:ascii="Arial Narrow" w:eastAsia="Times New Roman" w:hAnsi="Arial Narrow" w:cs="Times New Roman"/>
                <w:color w:val="FF0000"/>
                <w:sz w:val="20"/>
                <w:szCs w:val="20"/>
                <w:lang w:eastAsia="pl-PL"/>
              </w:rPr>
            </w:pPr>
          </w:p>
        </w:tc>
        <w:tc>
          <w:tcPr>
            <w:tcW w:w="925" w:type="dxa"/>
            <w:shd w:val="clear" w:color="auto" w:fill="FFC000"/>
          </w:tcPr>
          <w:p w14:paraId="6AEBF780" w14:textId="77777777" w:rsidR="003220D1" w:rsidRPr="003220D1" w:rsidRDefault="003220D1" w:rsidP="003220D1">
            <w:pPr>
              <w:overflowPunct w:val="0"/>
              <w:autoSpaceDE w:val="0"/>
              <w:autoSpaceDN w:val="0"/>
              <w:adjustRightInd w:val="0"/>
              <w:spacing w:after="0" w:line="240" w:lineRule="auto"/>
              <w:jc w:val="both"/>
              <w:textAlignment w:val="baseline"/>
              <w:rPr>
                <w:rFonts w:ascii="Arial Narrow" w:eastAsia="Times New Roman" w:hAnsi="Arial Narrow" w:cs="Times New Roman"/>
                <w:color w:val="FF0000"/>
                <w:sz w:val="20"/>
                <w:szCs w:val="20"/>
                <w:lang w:eastAsia="pl-PL"/>
              </w:rPr>
            </w:pPr>
          </w:p>
        </w:tc>
        <w:tc>
          <w:tcPr>
            <w:tcW w:w="453" w:type="dxa"/>
            <w:shd w:val="clear" w:color="auto" w:fill="FFC000"/>
          </w:tcPr>
          <w:p w14:paraId="7982C702" w14:textId="77777777" w:rsidR="003220D1" w:rsidRPr="003220D1" w:rsidRDefault="003220D1" w:rsidP="003220D1">
            <w:pPr>
              <w:overflowPunct w:val="0"/>
              <w:autoSpaceDE w:val="0"/>
              <w:autoSpaceDN w:val="0"/>
              <w:adjustRightInd w:val="0"/>
              <w:spacing w:after="0" w:line="240" w:lineRule="auto"/>
              <w:jc w:val="both"/>
              <w:textAlignment w:val="baseline"/>
              <w:rPr>
                <w:rFonts w:ascii="Arial Narrow" w:eastAsia="Times New Roman" w:hAnsi="Arial Narrow" w:cs="Times New Roman"/>
                <w:color w:val="FF0000"/>
                <w:sz w:val="20"/>
                <w:szCs w:val="20"/>
                <w:lang w:eastAsia="pl-PL"/>
              </w:rPr>
            </w:pPr>
          </w:p>
        </w:tc>
      </w:tr>
    </w:tbl>
    <w:p w14:paraId="541A6BE6"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05" w:name="_Toc406984087"/>
      <w:bookmarkStart w:id="506" w:name="_Toc406984234"/>
      <w:bookmarkStart w:id="507" w:name="_Toc406984425"/>
      <w:bookmarkStart w:id="508" w:name="_Toc407069633"/>
      <w:bookmarkStart w:id="509" w:name="_Toc407081598"/>
      <w:bookmarkStart w:id="510" w:name="_Toc407081741"/>
      <w:bookmarkStart w:id="511" w:name="_Toc407084231"/>
      <w:bookmarkStart w:id="512" w:name="_Toc407085350"/>
      <w:bookmarkStart w:id="513" w:name="_Toc407085493"/>
      <w:bookmarkStart w:id="514" w:name="_Toc407085636"/>
      <w:bookmarkStart w:id="515" w:name="_Toc407086084"/>
      <w:r w:rsidRPr="003220D1">
        <w:rPr>
          <w:rFonts w:ascii="Arial Narrow" w:eastAsia="Times New Roman" w:hAnsi="Arial Narrow" w:cs="Times New Roman"/>
          <w:b/>
          <w:sz w:val="28"/>
          <w:szCs w:val="20"/>
          <w:lang w:val="x-none" w:eastAsia="x-none"/>
        </w:rPr>
        <w:t>1.4. Określenia podstawowe</w:t>
      </w:r>
      <w:bookmarkEnd w:id="505"/>
      <w:bookmarkEnd w:id="506"/>
      <w:bookmarkEnd w:id="507"/>
      <w:bookmarkEnd w:id="508"/>
      <w:bookmarkEnd w:id="509"/>
      <w:bookmarkEnd w:id="510"/>
      <w:bookmarkEnd w:id="511"/>
      <w:bookmarkEnd w:id="512"/>
      <w:bookmarkEnd w:id="513"/>
      <w:bookmarkEnd w:id="514"/>
      <w:bookmarkEnd w:id="515"/>
    </w:p>
    <w:p w14:paraId="14AA3E1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Określenia podstawowe są zgodne z obowiązującymi, odpowiednimi polskimi normami i z definicjami podanymi w SST D-M-00.00.00 „Wymagania ogólne” pkt 1.4.</w:t>
      </w:r>
    </w:p>
    <w:p w14:paraId="621D6CB2"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16" w:name="_Toc47972"/>
      <w:r w:rsidRPr="003220D1">
        <w:rPr>
          <w:rFonts w:ascii="Arial Narrow" w:eastAsia="Times New Roman" w:hAnsi="Arial Narrow" w:cs="Times New Roman"/>
          <w:b/>
          <w:sz w:val="28"/>
          <w:szCs w:val="20"/>
          <w:lang w:val="x-none" w:eastAsia="x-none"/>
        </w:rPr>
        <w:t xml:space="preserve">1.5 Określenia podstawowe </w:t>
      </w:r>
      <w:bookmarkEnd w:id="516"/>
    </w:p>
    <w:p w14:paraId="1DDFCF2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Definicje i określenia dotyczące konstrukcji nawierzchni oraz podłoża gruntowego podano w D-M.00.00.00. "Wymagania ogólne" oraz w przepisach związanych wyszczególnionych w pkt. 10 niniejszego STWiORB. </w:t>
      </w:r>
    </w:p>
    <w:p w14:paraId="2E1B6AA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t>Podbudowa</w:t>
      </w:r>
      <w:r w:rsidRPr="003220D1">
        <w:rPr>
          <w:rFonts w:ascii="Arial Narrow" w:eastAsia="Times New Roman" w:hAnsi="Arial Narrow" w:cs="Times New Roman"/>
          <w:sz w:val="20"/>
          <w:szCs w:val="20"/>
          <w:lang w:eastAsia="pl-PL"/>
        </w:rPr>
        <w:t xml:space="preserve"> - dolna część nawierzchni służąca do przenoszenia obciążeń od ruchu na podłoże. Podbudowa może składać się z podbudowy zasadniczej i podbudowy pomocniczej. </w:t>
      </w:r>
    </w:p>
    <w:p w14:paraId="6CD868A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t>Podbudowa zasadnicza</w:t>
      </w:r>
      <w:r w:rsidRPr="003220D1">
        <w:rPr>
          <w:rFonts w:ascii="Arial Narrow" w:eastAsia="Times New Roman" w:hAnsi="Arial Narrow" w:cs="Times New Roman"/>
          <w:sz w:val="20"/>
          <w:szCs w:val="20"/>
          <w:lang w:eastAsia="pl-PL"/>
        </w:rPr>
        <w:t xml:space="preserve"> - warstwa konstrukcji nawierzchni spełniająca podstawową funkcję w rozłożeniu naprężeń od kół pojazdów. Podbudowa zasadnicza może być jednowarstwowa lub dwuwarstwowa.  </w:t>
      </w:r>
    </w:p>
    <w:p w14:paraId="4534C263"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t>Podbudowa pomocnicza</w:t>
      </w:r>
      <w:r w:rsidRPr="003220D1">
        <w:rPr>
          <w:rFonts w:ascii="Arial Narrow" w:eastAsia="Times New Roman" w:hAnsi="Arial Narrow" w:cs="Times New Roman"/>
          <w:sz w:val="20"/>
          <w:szCs w:val="20"/>
          <w:lang w:eastAsia="pl-PL"/>
        </w:rPr>
        <w:t xml:space="preserve"> - warstwa tworząca platformę umożliwiającą prawidłowe wbudowanie podbudowy zasadniczej, a w czasie eksploatacji nawierzchni wspomagająca warstwy górne konstrukcji nawierzchni w rozłożeniu naprężeń od kół pojazdów oraz ochronę nawierzchni przed wysadzinami powodowanymi przez szkodliwe działanie mrozu. </w:t>
      </w:r>
    </w:p>
    <w:p w14:paraId="14122E7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t>Mieszanka niezwiązana</w:t>
      </w:r>
      <w:r w:rsidRPr="003220D1">
        <w:rPr>
          <w:rFonts w:ascii="Arial Narrow" w:eastAsia="Times New Roman" w:hAnsi="Arial Narrow" w:cs="Times New Roman"/>
          <w:sz w:val="20"/>
          <w:szCs w:val="20"/>
          <w:lang w:eastAsia="pl-PL"/>
        </w:rPr>
        <w:t xml:space="preserve"> – ziarnisty materiał, zazwyczaj o określonym składzie ziarnowym, który może być stosowany do wykonania warstw konstrukcji nawierzchni oraz podłoża ulepszonego. Mieszanka niezwiązana może być wytworzona z kruszyw naturalnych, sztucznych, z recyklingu lub mieszanki tych kruszyw. </w:t>
      </w:r>
    </w:p>
    <w:p w14:paraId="188CCD7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t xml:space="preserve">Warstwa odsączająca </w:t>
      </w:r>
      <w:r w:rsidRPr="003220D1">
        <w:rPr>
          <w:rFonts w:ascii="Arial Narrow" w:eastAsia="Times New Roman" w:hAnsi="Arial Narrow" w:cs="Times New Roman"/>
          <w:sz w:val="20"/>
          <w:szCs w:val="20"/>
          <w:lang w:eastAsia="pl-PL"/>
        </w:rPr>
        <w:t xml:space="preserve">– warstwa zapewniająca odprowadzenie wody przedostającej się do spodu nawierzchni. Rolę warstwy odsączającej może pełnić warstwa mrozoochronna albo warstwa ulepszonego podłoża. Aby warstwy te mogły pełnić funkcję warstwy odsączającej muszą być wykonane z materiału ziarnistego (mieszanki niezwiązanej lub z gruntu niewysadzinowego) o odpowiednim uziarnieniu i o współczynniku filtracji.  </w:t>
      </w:r>
    </w:p>
    <w:p w14:paraId="6CB41AD6"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t>Kruszarka</w:t>
      </w:r>
      <w:r w:rsidRPr="003220D1">
        <w:rPr>
          <w:rFonts w:ascii="Arial Narrow" w:eastAsia="Times New Roman" w:hAnsi="Arial Narrow" w:cs="Times New Roman"/>
          <w:sz w:val="20"/>
          <w:szCs w:val="20"/>
          <w:lang w:eastAsia="pl-PL"/>
        </w:rPr>
        <w:t xml:space="preserve"> – maszyna rozdrabniająca, wykorzystująca proces kruszenia</w:t>
      </w:r>
      <w:hyperlink r:id="rId15">
        <w:r w:rsidRPr="003220D1">
          <w:rPr>
            <w:rFonts w:ascii="Arial Narrow" w:eastAsia="Times New Roman" w:hAnsi="Arial Narrow" w:cs="Times New Roman"/>
            <w:color w:val="0563C1"/>
            <w:sz w:val="20"/>
            <w:szCs w:val="20"/>
            <w:u w:val="single"/>
            <w:lang w:eastAsia="pl-PL"/>
          </w:rPr>
          <w:t xml:space="preserve"> </w:t>
        </w:r>
      </w:hyperlink>
      <w:r w:rsidRPr="003220D1">
        <w:rPr>
          <w:rFonts w:ascii="Arial Narrow" w:eastAsia="Times New Roman" w:hAnsi="Arial Narrow" w:cs="Times New Roman"/>
          <w:sz w:val="20"/>
          <w:szCs w:val="20"/>
          <w:lang w:eastAsia="pl-PL"/>
        </w:rPr>
        <w:t>do wytwarzania kruszywa. Ze względu na mobilność całej maszyny można wyróżnić kruszarki stacjonarne, semi-mobilne - na</w:t>
      </w:r>
      <w:hyperlink r:id="rId16">
        <w:r w:rsidRPr="003220D1">
          <w:rPr>
            <w:rFonts w:ascii="Arial Narrow" w:eastAsia="Times New Roman" w:hAnsi="Arial Narrow" w:cs="Times New Roman"/>
            <w:color w:val="0563C1"/>
            <w:sz w:val="20"/>
            <w:szCs w:val="20"/>
            <w:u w:val="single"/>
            <w:lang w:eastAsia="pl-PL"/>
          </w:rPr>
          <w:t xml:space="preserve"> </w:t>
        </w:r>
      </w:hyperlink>
      <w:r w:rsidRPr="003220D1">
        <w:rPr>
          <w:rFonts w:ascii="Arial Narrow" w:eastAsia="Times New Roman" w:hAnsi="Arial Narrow" w:cs="Times New Roman"/>
          <w:sz w:val="20"/>
          <w:szCs w:val="20"/>
          <w:lang w:eastAsia="pl-PL"/>
        </w:rPr>
        <w:t>podwoziu kołowym</w:t>
      </w:r>
      <w:hyperlink r:id="rId17">
        <w:r w:rsidRPr="003220D1">
          <w:rPr>
            <w:rFonts w:ascii="Arial Narrow" w:eastAsia="Times New Roman" w:hAnsi="Arial Narrow" w:cs="Times New Roman"/>
            <w:color w:val="0563C1"/>
            <w:sz w:val="20"/>
            <w:szCs w:val="20"/>
            <w:u w:val="single"/>
            <w:lang w:eastAsia="pl-PL"/>
          </w:rPr>
          <w:t xml:space="preserve"> </w:t>
        </w:r>
      </w:hyperlink>
      <w:r w:rsidRPr="003220D1">
        <w:rPr>
          <w:rFonts w:ascii="Arial Narrow" w:eastAsia="Times New Roman" w:hAnsi="Arial Narrow" w:cs="Times New Roman"/>
          <w:sz w:val="20"/>
          <w:szCs w:val="20"/>
          <w:lang w:eastAsia="pl-PL"/>
        </w:rPr>
        <w:t>i mobilne - na</w:t>
      </w:r>
      <w:hyperlink r:id="rId18">
        <w:r w:rsidRPr="003220D1">
          <w:rPr>
            <w:rFonts w:ascii="Arial Narrow" w:eastAsia="Times New Roman" w:hAnsi="Arial Narrow" w:cs="Times New Roman"/>
            <w:color w:val="0563C1"/>
            <w:sz w:val="20"/>
            <w:szCs w:val="20"/>
            <w:u w:val="single"/>
            <w:lang w:eastAsia="pl-PL"/>
          </w:rPr>
          <w:t xml:space="preserve"> </w:t>
        </w:r>
      </w:hyperlink>
      <w:r w:rsidRPr="003220D1">
        <w:rPr>
          <w:rFonts w:ascii="Arial Narrow" w:eastAsia="Times New Roman" w:hAnsi="Arial Narrow" w:cs="Times New Roman"/>
          <w:sz w:val="20"/>
          <w:szCs w:val="20"/>
          <w:lang w:eastAsia="pl-PL"/>
        </w:rPr>
        <w:t>gąsienicowym</w:t>
      </w:r>
      <w:hyperlink r:id="rId19">
        <w:r w:rsidRPr="003220D1">
          <w:rPr>
            <w:rFonts w:ascii="Arial Narrow" w:eastAsia="Times New Roman" w:hAnsi="Arial Narrow" w:cs="Times New Roman"/>
            <w:color w:val="0563C1"/>
            <w:sz w:val="20"/>
            <w:szCs w:val="20"/>
            <w:u w:val="single"/>
            <w:lang w:eastAsia="pl-PL"/>
          </w:rPr>
          <w:t>.</w:t>
        </w:r>
      </w:hyperlink>
      <w:r w:rsidRPr="003220D1">
        <w:rPr>
          <w:rFonts w:ascii="Arial Narrow" w:eastAsia="Times New Roman" w:hAnsi="Arial Narrow" w:cs="Times New Roman"/>
          <w:sz w:val="20"/>
          <w:szCs w:val="20"/>
          <w:lang w:eastAsia="pl-PL"/>
        </w:rPr>
        <w:t xml:space="preserve"> </w:t>
      </w:r>
    </w:p>
    <w:p w14:paraId="5476693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t>Kruszywo doziarniające</w:t>
      </w:r>
      <w:r w:rsidRPr="003220D1">
        <w:rPr>
          <w:rFonts w:ascii="Arial Narrow" w:eastAsia="Times New Roman" w:hAnsi="Arial Narrow" w:cs="Times New Roman"/>
          <w:sz w:val="20"/>
          <w:szCs w:val="20"/>
          <w:lang w:eastAsia="pl-PL"/>
        </w:rPr>
        <w:t xml:space="preserve"> - kruszywo naturalne, sztuczne lub z recyklingu umożliwiające korektę uziarnienia i zaprojektowanie krzywej uziarnienia mieszanki mineralnej, spełniającej warunki pola dobrego uziarnienia </w:t>
      </w:r>
    </w:p>
    <w:p w14:paraId="5DAE7AE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t>Kruszywo naturalne</w:t>
      </w:r>
      <w:r w:rsidRPr="003220D1">
        <w:rPr>
          <w:rFonts w:ascii="Arial Narrow" w:eastAsia="Times New Roman" w:hAnsi="Arial Narrow" w:cs="Times New Roman"/>
          <w:sz w:val="20"/>
          <w:szCs w:val="20"/>
          <w:lang w:eastAsia="pl-PL"/>
        </w:rPr>
        <w:t xml:space="preserve"> – kruszywo pochodzenia mineralnego, które poza obróbką mechaniczną nie zostało poddane żadnej innej obróbce </w:t>
      </w:r>
    </w:p>
    <w:p w14:paraId="09ADE4A9"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t>Kruszywo z recyklingu</w:t>
      </w:r>
      <w:r w:rsidRPr="003220D1">
        <w:rPr>
          <w:rFonts w:ascii="Arial Narrow" w:eastAsia="Times New Roman" w:hAnsi="Arial Narrow" w:cs="Times New Roman"/>
          <w:sz w:val="20"/>
          <w:szCs w:val="20"/>
          <w:lang w:eastAsia="pl-PL"/>
        </w:rPr>
        <w:t xml:space="preserve"> – kruszywo powstałe w wyniku przeróbki nieorganicznego materiału zastosowanego uprzednio w budownictwie </w:t>
      </w:r>
    </w:p>
    <w:p w14:paraId="6F29DAB8"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t>Deklaracja Właściwości Użytkowych (DWU)</w:t>
      </w:r>
      <w:r w:rsidRPr="003220D1">
        <w:rPr>
          <w:rFonts w:ascii="Arial Narrow" w:eastAsia="Times New Roman" w:hAnsi="Arial Narrow" w:cs="Times New Roman"/>
          <w:sz w:val="20"/>
          <w:szCs w:val="20"/>
          <w:lang w:eastAsia="pl-PL"/>
        </w:rPr>
        <w:t xml:space="preserve"> – dokument wyrażający właściwości użytkowe wyrobów budowlanych w odniesieniu do zasadniczych charakterystyk tych wyrobów zgodnie z odpowiednimi zharmonizowanymi specyfikacjami technicznymi. </w:t>
      </w:r>
    </w:p>
    <w:p w14:paraId="33B8AEF1"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t>Materiał antropogeniczny</w:t>
      </w:r>
      <w:r w:rsidRPr="003220D1">
        <w:rPr>
          <w:rFonts w:ascii="Arial Narrow" w:eastAsia="Times New Roman" w:hAnsi="Arial Narrow" w:cs="Times New Roman"/>
          <w:sz w:val="20"/>
          <w:szCs w:val="20"/>
          <w:lang w:eastAsia="pl-PL"/>
        </w:rPr>
        <w:t xml:space="preserve"> – materiał powstały w wyniku bezpośredniej lub pośredniej działalności człowieka (na przykład grunt ulepszony, odpad przemysłowy, materiał z recy-klingu). </w:t>
      </w:r>
    </w:p>
    <w:p w14:paraId="4F1C352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Pozostałe określenia podstawowe podane w niniejszych STWiORB są zgodne z odpowiednimi polskimi normami i z definicjami podanymi w STWiORB D-M 00.00.00 "Wymagania Ogólne". </w:t>
      </w:r>
    </w:p>
    <w:p w14:paraId="0831198E"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17" w:name="_Toc47973"/>
      <w:r w:rsidRPr="003220D1">
        <w:rPr>
          <w:rFonts w:ascii="Arial Narrow" w:eastAsia="Times New Roman" w:hAnsi="Arial Narrow" w:cs="Times New Roman"/>
          <w:b/>
          <w:caps/>
          <w:kern w:val="28"/>
          <w:sz w:val="28"/>
          <w:szCs w:val="20"/>
          <w:lang w:val="x-none" w:eastAsia="x-none"/>
        </w:rPr>
        <w:t xml:space="preserve">2 MATERIAŁY </w:t>
      </w:r>
      <w:bookmarkEnd w:id="517"/>
    </w:p>
    <w:p w14:paraId="5EAE0904"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18" w:name="_Toc47974"/>
      <w:r w:rsidRPr="003220D1">
        <w:rPr>
          <w:rFonts w:ascii="Arial Narrow" w:eastAsia="Times New Roman" w:hAnsi="Arial Narrow" w:cs="Times New Roman"/>
          <w:b/>
          <w:sz w:val="28"/>
          <w:szCs w:val="20"/>
          <w:lang w:val="x-none" w:eastAsia="x-none"/>
        </w:rPr>
        <w:t xml:space="preserve">2.1 Ogólne wymagania dotyczące materiałów  </w:t>
      </w:r>
      <w:bookmarkEnd w:id="518"/>
    </w:p>
    <w:p w14:paraId="559CD3A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Ogólne wymagania dotyczące materiałów ich pozyskiwania i składowania, podano w STWiORB D-M 00.00.00 „Wymagania ogólne". </w:t>
      </w:r>
    </w:p>
    <w:p w14:paraId="7C7017B6"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19" w:name="_Toc47975"/>
      <w:r w:rsidRPr="003220D1">
        <w:rPr>
          <w:rFonts w:ascii="Arial Narrow" w:eastAsia="Times New Roman" w:hAnsi="Arial Narrow" w:cs="Times New Roman"/>
          <w:b/>
          <w:sz w:val="28"/>
          <w:szCs w:val="20"/>
          <w:lang w:val="x-none" w:eastAsia="x-none"/>
        </w:rPr>
        <w:lastRenderedPageBreak/>
        <w:t xml:space="preserve">2.2 Rodzaje materiałów </w:t>
      </w:r>
      <w:bookmarkEnd w:id="519"/>
    </w:p>
    <w:p w14:paraId="734A98DA"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 </w:t>
      </w:r>
    </w:p>
    <w:p w14:paraId="0FD6C73A"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t>Tablica 2.1</w:t>
      </w:r>
      <w:r w:rsidRPr="003220D1">
        <w:rPr>
          <w:rFonts w:ascii="Arial Narrow" w:eastAsia="Times New Roman" w:hAnsi="Arial Narrow" w:cs="Times New Roman"/>
          <w:sz w:val="20"/>
          <w:szCs w:val="20"/>
          <w:lang w:eastAsia="pl-PL"/>
        </w:rPr>
        <w:t xml:space="preserve"> Zakres stosowania materiałów do warstwy odsączającej  </w:t>
      </w:r>
    </w:p>
    <w:tbl>
      <w:tblPr>
        <w:tblW w:w="9880" w:type="dxa"/>
        <w:tblInd w:w="221" w:type="dxa"/>
        <w:tblCellMar>
          <w:top w:w="54" w:type="dxa"/>
          <w:left w:w="72" w:type="dxa"/>
          <w:right w:w="54" w:type="dxa"/>
        </w:tblCellMar>
        <w:tblLook w:val="04A0" w:firstRow="1" w:lastRow="0" w:firstColumn="1" w:lastColumn="0" w:noHBand="0" w:noVBand="1"/>
      </w:tblPr>
      <w:tblGrid>
        <w:gridCol w:w="532"/>
        <w:gridCol w:w="3678"/>
        <w:gridCol w:w="1990"/>
        <w:gridCol w:w="1995"/>
        <w:gridCol w:w="1685"/>
      </w:tblGrid>
      <w:tr w:rsidR="003220D1" w:rsidRPr="003220D1" w14:paraId="7B11FC6E" w14:textId="77777777" w:rsidTr="00855929">
        <w:trPr>
          <w:trHeight w:val="283"/>
        </w:trPr>
        <w:tc>
          <w:tcPr>
            <w:tcW w:w="532" w:type="dxa"/>
            <w:vMerge w:val="restart"/>
            <w:tcBorders>
              <w:top w:val="single" w:sz="6" w:space="0" w:color="000000"/>
              <w:left w:val="single" w:sz="6" w:space="0" w:color="000000"/>
              <w:bottom w:val="double" w:sz="6" w:space="0" w:color="000000"/>
              <w:right w:val="single" w:sz="6" w:space="0" w:color="000000"/>
            </w:tcBorders>
            <w:shd w:val="clear" w:color="auto" w:fill="auto"/>
            <w:vAlign w:val="center"/>
          </w:tcPr>
          <w:p w14:paraId="3DA5C26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Lp. </w:t>
            </w:r>
          </w:p>
        </w:tc>
        <w:tc>
          <w:tcPr>
            <w:tcW w:w="3678" w:type="dxa"/>
            <w:vMerge w:val="restart"/>
            <w:tcBorders>
              <w:top w:val="single" w:sz="6" w:space="0" w:color="000000"/>
              <w:left w:val="single" w:sz="6" w:space="0" w:color="000000"/>
              <w:bottom w:val="double" w:sz="6" w:space="0" w:color="000000"/>
              <w:right w:val="single" w:sz="6" w:space="0" w:color="000000"/>
            </w:tcBorders>
            <w:shd w:val="clear" w:color="auto" w:fill="auto"/>
            <w:vAlign w:val="center"/>
          </w:tcPr>
          <w:p w14:paraId="1B20BEF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Rodzaj materiału </w:t>
            </w:r>
          </w:p>
        </w:tc>
        <w:tc>
          <w:tcPr>
            <w:tcW w:w="5670" w:type="dxa"/>
            <w:gridSpan w:val="3"/>
            <w:tcBorders>
              <w:top w:val="single" w:sz="6" w:space="0" w:color="000000"/>
              <w:left w:val="single" w:sz="6" w:space="0" w:color="000000"/>
              <w:bottom w:val="single" w:sz="4" w:space="0" w:color="000000"/>
              <w:right w:val="single" w:sz="6" w:space="0" w:color="000000"/>
            </w:tcBorders>
            <w:shd w:val="clear" w:color="auto" w:fill="auto"/>
          </w:tcPr>
          <w:p w14:paraId="5249FA3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Kategoria ruchu </w:t>
            </w:r>
          </w:p>
        </w:tc>
      </w:tr>
      <w:tr w:rsidR="003220D1" w:rsidRPr="003220D1" w14:paraId="5E8E9B69" w14:textId="77777777" w:rsidTr="00855929">
        <w:trPr>
          <w:trHeight w:val="355"/>
        </w:trPr>
        <w:tc>
          <w:tcPr>
            <w:tcW w:w="0" w:type="auto"/>
            <w:vMerge/>
            <w:tcBorders>
              <w:top w:val="nil"/>
              <w:left w:val="single" w:sz="6" w:space="0" w:color="000000"/>
              <w:bottom w:val="double" w:sz="6" w:space="0" w:color="000000"/>
              <w:right w:val="single" w:sz="6" w:space="0" w:color="000000"/>
            </w:tcBorders>
            <w:shd w:val="clear" w:color="auto" w:fill="auto"/>
          </w:tcPr>
          <w:p w14:paraId="7C0DF4F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6" w:space="0" w:color="000000"/>
              <w:bottom w:val="double" w:sz="6" w:space="0" w:color="000000"/>
              <w:right w:val="single" w:sz="6" w:space="0" w:color="000000"/>
            </w:tcBorders>
            <w:shd w:val="clear" w:color="auto" w:fill="auto"/>
          </w:tcPr>
          <w:p w14:paraId="3E7C261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1990" w:type="dxa"/>
            <w:tcBorders>
              <w:top w:val="single" w:sz="4" w:space="0" w:color="000000"/>
              <w:left w:val="single" w:sz="6" w:space="0" w:color="000000"/>
              <w:bottom w:val="double" w:sz="6" w:space="0" w:color="000000"/>
              <w:right w:val="single" w:sz="4" w:space="0" w:color="000000"/>
            </w:tcBorders>
            <w:shd w:val="clear" w:color="auto" w:fill="auto"/>
          </w:tcPr>
          <w:p w14:paraId="3BCEF3C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KR1 - KR2 </w:t>
            </w:r>
          </w:p>
        </w:tc>
        <w:tc>
          <w:tcPr>
            <w:tcW w:w="1995" w:type="dxa"/>
            <w:tcBorders>
              <w:top w:val="single" w:sz="4" w:space="0" w:color="000000"/>
              <w:left w:val="single" w:sz="4" w:space="0" w:color="000000"/>
              <w:bottom w:val="double" w:sz="6" w:space="0" w:color="000000"/>
              <w:right w:val="single" w:sz="4" w:space="0" w:color="000000"/>
            </w:tcBorders>
            <w:shd w:val="clear" w:color="auto" w:fill="auto"/>
          </w:tcPr>
          <w:p w14:paraId="0D6B4A4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KR3 - KR4 </w:t>
            </w:r>
          </w:p>
        </w:tc>
        <w:tc>
          <w:tcPr>
            <w:tcW w:w="1685" w:type="dxa"/>
            <w:tcBorders>
              <w:top w:val="single" w:sz="4" w:space="0" w:color="000000"/>
              <w:left w:val="single" w:sz="4" w:space="0" w:color="000000"/>
              <w:bottom w:val="double" w:sz="6" w:space="0" w:color="000000"/>
              <w:right w:val="single" w:sz="6" w:space="0" w:color="000000"/>
            </w:tcBorders>
            <w:shd w:val="clear" w:color="auto" w:fill="auto"/>
          </w:tcPr>
          <w:p w14:paraId="680D3A9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KR5 - KR7 </w:t>
            </w:r>
          </w:p>
        </w:tc>
      </w:tr>
      <w:tr w:rsidR="003220D1" w:rsidRPr="003220D1" w14:paraId="70BF5A32" w14:textId="77777777" w:rsidTr="00855929">
        <w:trPr>
          <w:trHeight w:val="391"/>
        </w:trPr>
        <w:tc>
          <w:tcPr>
            <w:tcW w:w="532" w:type="dxa"/>
            <w:tcBorders>
              <w:top w:val="double" w:sz="6" w:space="0" w:color="000000"/>
              <w:left w:val="single" w:sz="6" w:space="0" w:color="000000"/>
              <w:bottom w:val="single" w:sz="6" w:space="0" w:color="000000"/>
              <w:right w:val="single" w:sz="6" w:space="0" w:color="000000"/>
            </w:tcBorders>
            <w:shd w:val="clear" w:color="auto" w:fill="auto"/>
          </w:tcPr>
          <w:p w14:paraId="1FECE71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 </w:t>
            </w:r>
          </w:p>
        </w:tc>
        <w:tc>
          <w:tcPr>
            <w:tcW w:w="3678" w:type="dxa"/>
            <w:tcBorders>
              <w:top w:val="double" w:sz="6" w:space="0" w:color="000000"/>
              <w:left w:val="single" w:sz="6" w:space="0" w:color="000000"/>
              <w:bottom w:val="single" w:sz="6" w:space="0" w:color="000000"/>
              <w:right w:val="single" w:sz="6" w:space="0" w:color="000000"/>
            </w:tcBorders>
            <w:shd w:val="clear" w:color="auto" w:fill="auto"/>
          </w:tcPr>
          <w:p w14:paraId="5E69E59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Mieszanki niezwiązane </w:t>
            </w:r>
          </w:p>
        </w:tc>
        <w:tc>
          <w:tcPr>
            <w:tcW w:w="5670" w:type="dxa"/>
            <w:gridSpan w:val="3"/>
            <w:tcBorders>
              <w:top w:val="double" w:sz="6" w:space="0" w:color="000000"/>
              <w:left w:val="single" w:sz="6" w:space="0" w:color="000000"/>
              <w:bottom w:val="single" w:sz="6" w:space="0" w:color="000000"/>
              <w:right w:val="single" w:sz="6" w:space="0" w:color="000000"/>
            </w:tcBorders>
            <w:shd w:val="clear" w:color="auto" w:fill="auto"/>
          </w:tcPr>
          <w:p w14:paraId="1F99F7A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stosuje się </w:t>
            </w:r>
          </w:p>
        </w:tc>
      </w:tr>
      <w:tr w:rsidR="003220D1" w:rsidRPr="003220D1" w14:paraId="1108EDC4" w14:textId="77777777" w:rsidTr="00855929">
        <w:trPr>
          <w:trHeight w:val="466"/>
        </w:trPr>
        <w:tc>
          <w:tcPr>
            <w:tcW w:w="53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7F432C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2</w:t>
            </w:r>
          </w:p>
        </w:tc>
        <w:tc>
          <w:tcPr>
            <w:tcW w:w="367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E4C53C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Grunty niewysadzinowe </w:t>
            </w:r>
          </w:p>
        </w:tc>
        <w:tc>
          <w:tcPr>
            <w:tcW w:w="5670" w:type="dxa"/>
            <w:gridSpan w:val="3"/>
            <w:tcBorders>
              <w:top w:val="single" w:sz="6" w:space="0" w:color="000000"/>
              <w:left w:val="single" w:sz="6" w:space="0" w:color="000000"/>
              <w:bottom w:val="single" w:sz="6" w:space="0" w:color="000000"/>
              <w:right w:val="single" w:sz="6" w:space="0" w:color="000000"/>
            </w:tcBorders>
            <w:shd w:val="clear" w:color="auto" w:fill="auto"/>
            <w:vAlign w:val="center"/>
          </w:tcPr>
          <w:p w14:paraId="0136092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stosuje się </w:t>
            </w:r>
          </w:p>
        </w:tc>
      </w:tr>
    </w:tbl>
    <w:p w14:paraId="1E96233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Mieszanki niezwiązane i mieszanki związane spoiwem hydraulicznym oraz grunty stabilizowane spoiwem hydraulicznym lub wapnem mogą zawierać w swoim składzie materiały antropogeniczne i materiały z recyklingu. Mieszanki stosowane do wykonania warstwy mrozoochronnej/odsączającej powinny być produkowane zgodnie z: </w:t>
      </w:r>
    </w:p>
    <w:p w14:paraId="00D1BE01"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WT-4 2010 Wymagania Techniczne, rozdział: 3. Kontrola produkcji, 4 Opis i oznaczenie, 5 Oznakowanie, w przypadku mieszanek niezwiązanych,</w:t>
      </w:r>
      <w:r w:rsidRPr="003220D1">
        <w:rPr>
          <w:rFonts w:ascii="Arial Narrow" w:eastAsia="Times New Roman" w:hAnsi="Arial Narrow" w:cs="Times New Roman"/>
          <w:b/>
          <w:sz w:val="20"/>
          <w:szCs w:val="20"/>
          <w:lang w:val="x-none" w:eastAsia="x-none"/>
        </w:rPr>
        <w:t xml:space="preserve"> </w:t>
      </w:r>
    </w:p>
    <w:p w14:paraId="0972CD00"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WT-5 2010 Wymagania Techniczne, Część 5. Kontrola produkcji, 6 Ustalenia formalne, w przypadku mieszanek związanych spoiwami hydraulicznymi.</w:t>
      </w:r>
      <w:r w:rsidRPr="003220D1">
        <w:rPr>
          <w:rFonts w:ascii="Arial Narrow" w:eastAsia="Times New Roman" w:hAnsi="Arial Narrow" w:cs="Times New Roman"/>
          <w:b/>
          <w:sz w:val="20"/>
          <w:szCs w:val="20"/>
          <w:lang w:val="x-none" w:eastAsia="x-none"/>
        </w:rPr>
        <w:t xml:space="preserve"> </w:t>
      </w:r>
    </w:p>
    <w:p w14:paraId="142F1D4F"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520" w:name="_Toc47976"/>
      <w:r w:rsidRPr="003220D1">
        <w:rPr>
          <w:rFonts w:ascii="Arial Narrow" w:eastAsia="Times New Roman" w:hAnsi="Arial Narrow" w:cs="Times New Roman"/>
          <w:b/>
          <w:sz w:val="24"/>
          <w:szCs w:val="20"/>
          <w:lang w:val="x-none" w:eastAsia="x-none"/>
        </w:rPr>
        <w:t xml:space="preserve">2.2.1 Mieszanki niezwiązane </w:t>
      </w:r>
      <w:bookmarkEnd w:id="520"/>
    </w:p>
    <w:p w14:paraId="6E840BA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Wymagania wobec kruszyw przeznaczonych do wytwarzania mieszanki należy przyjmować zgodnie z tablicą 2.2. </w:t>
      </w:r>
    </w:p>
    <w:p w14:paraId="5AC103F3"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t>Tablica 2.2</w:t>
      </w:r>
      <w:r w:rsidRPr="003220D1">
        <w:rPr>
          <w:rFonts w:ascii="Arial Narrow" w:eastAsia="Times New Roman" w:hAnsi="Arial Narrow" w:cs="Times New Roman"/>
          <w:sz w:val="20"/>
          <w:szCs w:val="20"/>
          <w:lang w:eastAsia="pl-PL"/>
        </w:rPr>
        <w:t xml:space="preserve">. Wymagania dla kruszywa do mieszanek niezwiązanych </w:t>
      </w:r>
    </w:p>
    <w:tbl>
      <w:tblPr>
        <w:tblW w:w="9915" w:type="dxa"/>
        <w:tblInd w:w="5" w:type="dxa"/>
        <w:tblCellMar>
          <w:top w:w="126" w:type="dxa"/>
          <w:left w:w="72" w:type="dxa"/>
          <w:right w:w="33" w:type="dxa"/>
        </w:tblCellMar>
        <w:tblLook w:val="04A0" w:firstRow="1" w:lastRow="0" w:firstColumn="1" w:lastColumn="0" w:noHBand="0" w:noVBand="1"/>
      </w:tblPr>
      <w:tblGrid>
        <w:gridCol w:w="918"/>
        <w:gridCol w:w="4394"/>
        <w:gridCol w:w="3119"/>
        <w:gridCol w:w="1484"/>
      </w:tblGrid>
      <w:tr w:rsidR="003220D1" w:rsidRPr="003220D1" w14:paraId="493FF514" w14:textId="77777777" w:rsidTr="00855929">
        <w:trPr>
          <w:trHeight w:val="1039"/>
        </w:trPr>
        <w:tc>
          <w:tcPr>
            <w:tcW w:w="918" w:type="dxa"/>
            <w:vMerge w:val="restart"/>
            <w:tcBorders>
              <w:top w:val="single" w:sz="4" w:space="0" w:color="000000"/>
              <w:left w:val="single" w:sz="4" w:space="0" w:color="000000"/>
              <w:right w:val="single" w:sz="4" w:space="0" w:color="000000"/>
            </w:tcBorders>
            <w:shd w:val="clear" w:color="auto" w:fill="auto"/>
          </w:tcPr>
          <w:p w14:paraId="39C1774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Punkt w normie  PN-EN </w:t>
            </w:r>
          </w:p>
          <w:p w14:paraId="4E0A2EF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13242 </w:t>
            </w:r>
          </w:p>
        </w:tc>
        <w:tc>
          <w:tcPr>
            <w:tcW w:w="4394" w:type="dxa"/>
            <w:vMerge w:val="restart"/>
            <w:tcBorders>
              <w:top w:val="single" w:sz="4" w:space="0" w:color="000000"/>
              <w:left w:val="single" w:sz="4" w:space="0" w:color="000000"/>
              <w:right w:val="single" w:sz="4" w:space="0" w:color="000000"/>
            </w:tcBorders>
            <w:shd w:val="clear" w:color="auto" w:fill="auto"/>
            <w:vAlign w:val="center"/>
          </w:tcPr>
          <w:p w14:paraId="77B7C45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Właściwość </w:t>
            </w:r>
          </w:p>
        </w:tc>
        <w:tc>
          <w:tcPr>
            <w:tcW w:w="31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F33F6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Wymagane właściwości kruszywa do mieszanek niezwiązanych  </w:t>
            </w:r>
          </w:p>
          <w:p w14:paraId="11D516E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(kategorie według PN-EN 13242) </w:t>
            </w:r>
          </w:p>
        </w:tc>
        <w:tc>
          <w:tcPr>
            <w:tcW w:w="1484" w:type="dxa"/>
            <w:vMerge w:val="restart"/>
            <w:tcBorders>
              <w:top w:val="single" w:sz="4" w:space="0" w:color="000000"/>
              <w:left w:val="single" w:sz="4" w:space="0" w:color="000000"/>
              <w:right w:val="single" w:sz="4" w:space="0" w:color="000000"/>
            </w:tcBorders>
            <w:shd w:val="clear" w:color="auto" w:fill="auto"/>
          </w:tcPr>
          <w:p w14:paraId="36DD9C9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Odniesienie do tablicy </w:t>
            </w:r>
          </w:p>
          <w:p w14:paraId="6ECD884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w PN-EN </w:t>
            </w:r>
          </w:p>
          <w:p w14:paraId="5DF0E3F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13242 </w:t>
            </w:r>
          </w:p>
          <w:p w14:paraId="7D65E64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w:t>
            </w:r>
          </w:p>
        </w:tc>
      </w:tr>
      <w:tr w:rsidR="003220D1" w:rsidRPr="003220D1" w14:paraId="2D52B5E2" w14:textId="77777777" w:rsidTr="00855929">
        <w:tblPrEx>
          <w:tblCellMar>
            <w:top w:w="45" w:type="dxa"/>
            <w:left w:w="70" w:type="dxa"/>
            <w:right w:w="18" w:type="dxa"/>
          </w:tblCellMar>
        </w:tblPrEx>
        <w:trPr>
          <w:trHeight w:val="375"/>
        </w:trPr>
        <w:tc>
          <w:tcPr>
            <w:tcW w:w="918" w:type="dxa"/>
            <w:vMerge/>
            <w:tcBorders>
              <w:left w:val="single" w:sz="4" w:space="0" w:color="000000"/>
              <w:bottom w:val="single" w:sz="4" w:space="0" w:color="000000"/>
              <w:right w:val="single" w:sz="4" w:space="0" w:color="000000"/>
            </w:tcBorders>
            <w:shd w:val="clear" w:color="auto" w:fill="auto"/>
          </w:tcPr>
          <w:p w14:paraId="35A9DE9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4394" w:type="dxa"/>
            <w:vMerge/>
            <w:tcBorders>
              <w:left w:val="single" w:sz="4" w:space="0" w:color="000000"/>
              <w:bottom w:val="single" w:sz="4" w:space="0" w:color="000000"/>
              <w:right w:val="single" w:sz="4" w:space="0" w:color="000000"/>
            </w:tcBorders>
            <w:shd w:val="clear" w:color="auto" w:fill="auto"/>
          </w:tcPr>
          <w:p w14:paraId="50CD87B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Pr>
          <w:p w14:paraId="77DC8C8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KR 1 - 7 </w:t>
            </w:r>
          </w:p>
        </w:tc>
        <w:tc>
          <w:tcPr>
            <w:tcW w:w="1484" w:type="dxa"/>
            <w:vMerge/>
            <w:tcBorders>
              <w:left w:val="single" w:sz="4" w:space="0" w:color="000000"/>
              <w:bottom w:val="single" w:sz="4" w:space="0" w:color="000000"/>
              <w:right w:val="single" w:sz="4" w:space="0" w:color="000000"/>
            </w:tcBorders>
            <w:shd w:val="clear" w:color="auto" w:fill="auto"/>
          </w:tcPr>
          <w:p w14:paraId="6307624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r>
      <w:tr w:rsidR="003220D1" w:rsidRPr="003220D1" w14:paraId="6B49B949" w14:textId="77777777" w:rsidTr="00855929">
        <w:tblPrEx>
          <w:tblCellMar>
            <w:top w:w="45" w:type="dxa"/>
            <w:left w:w="70" w:type="dxa"/>
            <w:right w:w="18" w:type="dxa"/>
          </w:tblCellMar>
        </w:tblPrEx>
        <w:trPr>
          <w:trHeight w:val="1080"/>
        </w:trPr>
        <w:tc>
          <w:tcPr>
            <w:tcW w:w="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18626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4.3.1 </w:t>
            </w:r>
          </w:p>
        </w:tc>
        <w:tc>
          <w:tcPr>
            <w:tcW w:w="43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834E2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Uziarnienie wg PN-EN 9331, kategoria nie niższa niż </w:t>
            </w:r>
          </w:p>
        </w:tc>
        <w:tc>
          <w:tcPr>
            <w:tcW w:w="3119" w:type="dxa"/>
            <w:tcBorders>
              <w:top w:val="single" w:sz="4" w:space="0" w:color="000000"/>
              <w:left w:val="single" w:sz="4" w:space="0" w:color="000000"/>
              <w:bottom w:val="single" w:sz="4" w:space="0" w:color="000000"/>
              <w:right w:val="single" w:sz="8" w:space="0" w:color="000000"/>
            </w:tcBorders>
            <w:shd w:val="clear" w:color="auto" w:fill="auto"/>
            <w:vAlign w:val="center"/>
          </w:tcPr>
          <w:p w14:paraId="2359EE0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G</w:t>
            </w:r>
            <w:r w:rsidRPr="003220D1">
              <w:rPr>
                <w:rFonts w:ascii="Arial Narrow" w:eastAsia="Times New Roman" w:hAnsi="Arial Narrow" w:cs="Times New Roman"/>
                <w:vertAlign w:val="subscript"/>
              </w:rPr>
              <w:t>C</w:t>
            </w:r>
            <w:r w:rsidRPr="003220D1">
              <w:rPr>
                <w:rFonts w:ascii="Arial Narrow" w:eastAsia="Times New Roman" w:hAnsi="Arial Narrow" w:cs="Times New Roman"/>
              </w:rPr>
              <w:t xml:space="preserve">80/20, </w:t>
            </w:r>
          </w:p>
          <w:p w14:paraId="4C0C934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G</w:t>
            </w:r>
            <w:r w:rsidRPr="003220D1">
              <w:rPr>
                <w:rFonts w:ascii="Arial Narrow" w:eastAsia="Times New Roman" w:hAnsi="Arial Narrow" w:cs="Times New Roman"/>
                <w:vertAlign w:val="subscript"/>
              </w:rPr>
              <w:t>F</w:t>
            </w:r>
            <w:r w:rsidRPr="003220D1">
              <w:rPr>
                <w:rFonts w:ascii="Arial Narrow" w:eastAsia="Times New Roman" w:hAnsi="Arial Narrow" w:cs="Times New Roman"/>
              </w:rPr>
              <w:t xml:space="preserve">80, </w:t>
            </w:r>
          </w:p>
          <w:p w14:paraId="197AC86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G</w:t>
            </w:r>
            <w:r w:rsidRPr="003220D1">
              <w:rPr>
                <w:rFonts w:ascii="Arial Narrow" w:eastAsia="Times New Roman" w:hAnsi="Arial Narrow" w:cs="Times New Roman"/>
                <w:vertAlign w:val="subscript"/>
              </w:rPr>
              <w:t>A</w:t>
            </w:r>
            <w:r w:rsidRPr="003220D1">
              <w:rPr>
                <w:rFonts w:ascii="Arial Narrow" w:eastAsia="Times New Roman" w:hAnsi="Arial Narrow" w:cs="Times New Roman"/>
              </w:rPr>
              <w:t xml:space="preserve">75 </w:t>
            </w:r>
          </w:p>
        </w:tc>
        <w:tc>
          <w:tcPr>
            <w:tcW w:w="1484" w:type="dxa"/>
            <w:tcBorders>
              <w:top w:val="single" w:sz="4" w:space="0" w:color="000000"/>
              <w:left w:val="single" w:sz="8" w:space="0" w:color="000000"/>
              <w:bottom w:val="single" w:sz="4" w:space="0" w:color="000000"/>
              <w:right w:val="single" w:sz="4" w:space="0" w:color="000000"/>
            </w:tcBorders>
            <w:shd w:val="clear" w:color="auto" w:fill="auto"/>
            <w:vAlign w:val="center"/>
          </w:tcPr>
          <w:p w14:paraId="16663D4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Tablica 2 </w:t>
            </w:r>
          </w:p>
        </w:tc>
      </w:tr>
      <w:tr w:rsidR="003220D1" w:rsidRPr="003220D1" w14:paraId="19C994E4" w14:textId="77777777" w:rsidTr="00855929">
        <w:tblPrEx>
          <w:tblCellMar>
            <w:top w:w="45" w:type="dxa"/>
            <w:left w:w="70" w:type="dxa"/>
            <w:right w:w="18" w:type="dxa"/>
          </w:tblCellMar>
        </w:tblPrEx>
        <w:trPr>
          <w:trHeight w:val="528"/>
        </w:trPr>
        <w:tc>
          <w:tcPr>
            <w:tcW w:w="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56265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4.3.2 </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208FAE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Ogólne granice i tolerancje uziarnienia kruszywa grubego na sitach pośrednich wg PN-EN 9331 </w:t>
            </w:r>
          </w:p>
        </w:tc>
        <w:tc>
          <w:tcPr>
            <w:tcW w:w="3119" w:type="dxa"/>
            <w:tcBorders>
              <w:top w:val="single" w:sz="4" w:space="0" w:color="000000"/>
              <w:left w:val="single" w:sz="4" w:space="0" w:color="000000"/>
              <w:bottom w:val="single" w:sz="4" w:space="0" w:color="000000"/>
              <w:right w:val="single" w:sz="8" w:space="0" w:color="000000"/>
            </w:tcBorders>
            <w:shd w:val="clear" w:color="auto" w:fill="auto"/>
            <w:vAlign w:val="center"/>
          </w:tcPr>
          <w:p w14:paraId="1D8EEF2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GT</w:t>
            </w:r>
            <w:r w:rsidRPr="003220D1">
              <w:rPr>
                <w:rFonts w:ascii="Arial Narrow" w:eastAsia="Times New Roman" w:hAnsi="Arial Narrow" w:cs="Times New Roman"/>
                <w:vertAlign w:val="subscript"/>
              </w:rPr>
              <w:t>C</w:t>
            </w:r>
            <w:r w:rsidRPr="003220D1">
              <w:rPr>
                <w:rFonts w:ascii="Arial Narrow" w:eastAsia="Times New Roman" w:hAnsi="Arial Narrow" w:cs="Times New Roman"/>
              </w:rPr>
              <w:t xml:space="preserve">NR </w:t>
            </w:r>
          </w:p>
        </w:tc>
        <w:tc>
          <w:tcPr>
            <w:tcW w:w="1484" w:type="dxa"/>
            <w:tcBorders>
              <w:top w:val="single" w:sz="4" w:space="0" w:color="000000"/>
              <w:left w:val="single" w:sz="8" w:space="0" w:color="000000"/>
              <w:bottom w:val="single" w:sz="4" w:space="0" w:color="000000"/>
              <w:right w:val="single" w:sz="4" w:space="0" w:color="000000"/>
            </w:tcBorders>
            <w:shd w:val="clear" w:color="auto" w:fill="auto"/>
            <w:vAlign w:val="center"/>
          </w:tcPr>
          <w:p w14:paraId="0F786BB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Tablica 3 </w:t>
            </w:r>
          </w:p>
        </w:tc>
      </w:tr>
      <w:tr w:rsidR="003220D1" w:rsidRPr="003220D1" w14:paraId="3E85C17B" w14:textId="77777777" w:rsidTr="00855929">
        <w:tblPrEx>
          <w:tblCellMar>
            <w:top w:w="45" w:type="dxa"/>
            <w:left w:w="70" w:type="dxa"/>
            <w:right w:w="18" w:type="dxa"/>
          </w:tblCellMar>
        </w:tblPrEx>
        <w:trPr>
          <w:trHeight w:val="650"/>
        </w:trPr>
        <w:tc>
          <w:tcPr>
            <w:tcW w:w="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61ABE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4.3.3 </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6F0C4B7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Tolerancje typowego uziarnienia kruszywa drobnego i kruszywa o ciągłym uziarnieniu wg PNEN 933-1 </w:t>
            </w:r>
          </w:p>
        </w:tc>
        <w:tc>
          <w:tcPr>
            <w:tcW w:w="3119" w:type="dxa"/>
            <w:tcBorders>
              <w:top w:val="single" w:sz="4" w:space="0" w:color="000000"/>
              <w:left w:val="single" w:sz="4" w:space="0" w:color="000000"/>
              <w:bottom w:val="single" w:sz="4" w:space="0" w:color="000000"/>
              <w:right w:val="single" w:sz="8" w:space="0" w:color="000000"/>
            </w:tcBorders>
            <w:shd w:val="clear" w:color="auto" w:fill="auto"/>
            <w:vAlign w:val="center"/>
          </w:tcPr>
          <w:p w14:paraId="45B7841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GT</w:t>
            </w:r>
            <w:r w:rsidRPr="003220D1">
              <w:rPr>
                <w:rFonts w:ascii="Arial Narrow" w:eastAsia="Times New Roman" w:hAnsi="Arial Narrow" w:cs="Times New Roman"/>
                <w:vertAlign w:val="subscript"/>
              </w:rPr>
              <w:t>F</w:t>
            </w:r>
            <w:r w:rsidRPr="003220D1">
              <w:rPr>
                <w:rFonts w:ascii="Arial Narrow" w:eastAsia="Times New Roman" w:hAnsi="Arial Narrow" w:cs="Times New Roman"/>
              </w:rPr>
              <w:t>NR, GT</w:t>
            </w:r>
            <w:r w:rsidRPr="003220D1">
              <w:rPr>
                <w:rFonts w:ascii="Arial Narrow" w:eastAsia="Times New Roman" w:hAnsi="Arial Narrow" w:cs="Times New Roman"/>
                <w:vertAlign w:val="subscript"/>
              </w:rPr>
              <w:t>A</w:t>
            </w:r>
            <w:r w:rsidRPr="003220D1">
              <w:rPr>
                <w:rFonts w:ascii="Arial Narrow" w:eastAsia="Times New Roman" w:hAnsi="Arial Narrow" w:cs="Times New Roman"/>
              </w:rPr>
              <w:t xml:space="preserve">NR </w:t>
            </w:r>
          </w:p>
        </w:tc>
        <w:tc>
          <w:tcPr>
            <w:tcW w:w="1484" w:type="dxa"/>
            <w:tcBorders>
              <w:top w:val="single" w:sz="4" w:space="0" w:color="000000"/>
              <w:left w:val="single" w:sz="8" w:space="0" w:color="000000"/>
              <w:bottom w:val="single" w:sz="4" w:space="0" w:color="000000"/>
              <w:right w:val="single" w:sz="4" w:space="0" w:color="000000"/>
            </w:tcBorders>
            <w:shd w:val="clear" w:color="auto" w:fill="auto"/>
            <w:vAlign w:val="center"/>
          </w:tcPr>
          <w:p w14:paraId="2C54712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Tablica 4 </w:t>
            </w:r>
          </w:p>
        </w:tc>
      </w:tr>
      <w:tr w:rsidR="003220D1" w:rsidRPr="003220D1" w14:paraId="12145E4D" w14:textId="77777777" w:rsidTr="00855929">
        <w:tblPrEx>
          <w:tblCellMar>
            <w:top w:w="45" w:type="dxa"/>
            <w:left w:w="70" w:type="dxa"/>
            <w:right w:w="18" w:type="dxa"/>
          </w:tblCellMar>
        </w:tblPrEx>
        <w:trPr>
          <w:trHeight w:val="429"/>
        </w:trPr>
        <w:tc>
          <w:tcPr>
            <w:tcW w:w="91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C5C5D2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4.4 </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6E6DA5D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Kształt kruszywa grubego wg PN-EN 933-4 </w:t>
            </w:r>
          </w:p>
          <w:p w14:paraId="7F7FDD5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a) maksymalne wartości wskaźnika płaskości </w:t>
            </w:r>
          </w:p>
        </w:tc>
        <w:tc>
          <w:tcPr>
            <w:tcW w:w="3119" w:type="dxa"/>
            <w:tcBorders>
              <w:top w:val="single" w:sz="4" w:space="0" w:color="000000"/>
              <w:left w:val="single" w:sz="4" w:space="0" w:color="000000"/>
              <w:bottom w:val="single" w:sz="4" w:space="0" w:color="000000"/>
              <w:right w:val="single" w:sz="8" w:space="0" w:color="000000"/>
            </w:tcBorders>
            <w:shd w:val="clear" w:color="auto" w:fill="auto"/>
            <w:vAlign w:val="center"/>
          </w:tcPr>
          <w:p w14:paraId="675AD09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FI</w:t>
            </w:r>
            <w:r w:rsidRPr="003220D1">
              <w:rPr>
                <w:rFonts w:ascii="Arial Narrow" w:eastAsia="Times New Roman" w:hAnsi="Arial Narrow" w:cs="Times New Roman"/>
                <w:vertAlign w:val="subscript"/>
              </w:rPr>
              <w:t>NR</w:t>
            </w:r>
            <w:r w:rsidRPr="003220D1">
              <w:rPr>
                <w:rFonts w:ascii="Arial Narrow" w:eastAsia="Times New Roman" w:hAnsi="Arial Narrow" w:cs="Times New Roman"/>
              </w:rPr>
              <w:t xml:space="preserve"> </w:t>
            </w:r>
          </w:p>
        </w:tc>
        <w:tc>
          <w:tcPr>
            <w:tcW w:w="1484" w:type="dxa"/>
            <w:tcBorders>
              <w:top w:val="single" w:sz="4" w:space="0" w:color="000000"/>
              <w:left w:val="single" w:sz="8" w:space="0" w:color="000000"/>
              <w:bottom w:val="single" w:sz="4" w:space="0" w:color="000000"/>
              <w:right w:val="single" w:sz="4" w:space="0" w:color="000000"/>
            </w:tcBorders>
            <w:shd w:val="clear" w:color="auto" w:fill="auto"/>
            <w:vAlign w:val="center"/>
          </w:tcPr>
          <w:p w14:paraId="2200C1B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Tablica 5 </w:t>
            </w:r>
          </w:p>
        </w:tc>
      </w:tr>
      <w:tr w:rsidR="003220D1" w:rsidRPr="003220D1" w14:paraId="29F85AAB" w14:textId="77777777" w:rsidTr="00855929">
        <w:tblPrEx>
          <w:tblCellMar>
            <w:top w:w="45" w:type="dxa"/>
            <w:left w:w="70" w:type="dxa"/>
            <w:right w:w="18" w:type="dxa"/>
          </w:tblCellMar>
        </w:tblPrEx>
        <w:trPr>
          <w:trHeight w:val="593"/>
        </w:trPr>
        <w:tc>
          <w:tcPr>
            <w:tcW w:w="0" w:type="auto"/>
            <w:vMerge/>
            <w:tcBorders>
              <w:top w:val="nil"/>
              <w:left w:val="single" w:sz="4" w:space="0" w:color="000000"/>
              <w:bottom w:val="single" w:sz="4" w:space="0" w:color="000000"/>
              <w:right w:val="single" w:sz="4" w:space="0" w:color="000000"/>
            </w:tcBorders>
            <w:shd w:val="clear" w:color="auto" w:fill="auto"/>
          </w:tcPr>
          <w:p w14:paraId="32727B2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6CEA5B9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lub  </w:t>
            </w:r>
          </w:p>
          <w:p w14:paraId="75C83E9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b) maksymalne wartości wskaźnika kształtu </w:t>
            </w:r>
          </w:p>
        </w:tc>
        <w:tc>
          <w:tcPr>
            <w:tcW w:w="3119" w:type="dxa"/>
            <w:tcBorders>
              <w:top w:val="single" w:sz="4" w:space="0" w:color="000000"/>
              <w:left w:val="single" w:sz="4" w:space="0" w:color="000000"/>
              <w:bottom w:val="single" w:sz="4" w:space="0" w:color="000000"/>
              <w:right w:val="single" w:sz="8" w:space="0" w:color="000000"/>
            </w:tcBorders>
            <w:shd w:val="clear" w:color="auto" w:fill="auto"/>
            <w:vAlign w:val="center"/>
          </w:tcPr>
          <w:p w14:paraId="1E1704F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SI</w:t>
            </w:r>
            <w:r w:rsidRPr="003220D1">
              <w:rPr>
                <w:rFonts w:ascii="Arial Narrow" w:eastAsia="Times New Roman" w:hAnsi="Arial Narrow" w:cs="Times New Roman"/>
                <w:vertAlign w:val="subscript"/>
              </w:rPr>
              <w:t>NR</w:t>
            </w:r>
            <w:r w:rsidRPr="003220D1">
              <w:rPr>
                <w:rFonts w:ascii="Arial Narrow" w:eastAsia="Times New Roman" w:hAnsi="Arial Narrow" w:cs="Times New Roman"/>
              </w:rPr>
              <w:t xml:space="preserve"> </w:t>
            </w:r>
          </w:p>
        </w:tc>
        <w:tc>
          <w:tcPr>
            <w:tcW w:w="1484" w:type="dxa"/>
            <w:tcBorders>
              <w:top w:val="single" w:sz="4" w:space="0" w:color="000000"/>
              <w:left w:val="single" w:sz="8" w:space="0" w:color="000000"/>
              <w:bottom w:val="single" w:sz="4" w:space="0" w:color="000000"/>
              <w:right w:val="single" w:sz="4" w:space="0" w:color="000000"/>
            </w:tcBorders>
            <w:shd w:val="clear" w:color="auto" w:fill="auto"/>
            <w:vAlign w:val="center"/>
          </w:tcPr>
          <w:p w14:paraId="74277D2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Tablica 6 </w:t>
            </w:r>
          </w:p>
        </w:tc>
      </w:tr>
      <w:tr w:rsidR="003220D1" w:rsidRPr="003220D1" w14:paraId="0CC28907" w14:textId="77777777" w:rsidTr="00855929">
        <w:tblPrEx>
          <w:tblCellMar>
            <w:top w:w="45" w:type="dxa"/>
            <w:left w:w="70" w:type="dxa"/>
            <w:right w:w="18" w:type="dxa"/>
          </w:tblCellMar>
        </w:tblPrEx>
        <w:trPr>
          <w:trHeight w:val="1204"/>
        </w:trPr>
        <w:tc>
          <w:tcPr>
            <w:tcW w:w="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BB196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4.5 </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1FC96E1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Kategorie procentowych zawartości ziaren o powierzchni przekruszonej lub łamanych oraz ziaren całkowicie zaokrąglonych w kruszywie grubym (≥4mm)wydzielonym z kruszywa o ciągłym uziarnieniu wg. PN-EN 933-5, kategoria nie niższa niż </w:t>
            </w:r>
          </w:p>
        </w:tc>
        <w:tc>
          <w:tcPr>
            <w:tcW w:w="3119" w:type="dxa"/>
            <w:tcBorders>
              <w:top w:val="single" w:sz="4" w:space="0" w:color="000000"/>
              <w:left w:val="single" w:sz="4" w:space="0" w:color="000000"/>
              <w:bottom w:val="single" w:sz="4" w:space="0" w:color="000000"/>
              <w:right w:val="single" w:sz="8" w:space="0" w:color="000000"/>
            </w:tcBorders>
            <w:shd w:val="clear" w:color="auto" w:fill="auto"/>
            <w:vAlign w:val="center"/>
          </w:tcPr>
          <w:p w14:paraId="0D921A2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CNR </w:t>
            </w:r>
          </w:p>
        </w:tc>
        <w:tc>
          <w:tcPr>
            <w:tcW w:w="1484" w:type="dxa"/>
            <w:tcBorders>
              <w:top w:val="single" w:sz="4" w:space="0" w:color="000000"/>
              <w:left w:val="single" w:sz="8" w:space="0" w:color="000000"/>
              <w:bottom w:val="single" w:sz="4" w:space="0" w:color="000000"/>
              <w:right w:val="single" w:sz="4" w:space="0" w:color="000000"/>
            </w:tcBorders>
            <w:shd w:val="clear" w:color="auto" w:fill="auto"/>
            <w:vAlign w:val="center"/>
          </w:tcPr>
          <w:p w14:paraId="3901951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Tablica 7 </w:t>
            </w:r>
          </w:p>
        </w:tc>
      </w:tr>
      <w:tr w:rsidR="003220D1" w:rsidRPr="003220D1" w14:paraId="5D73494C" w14:textId="77777777" w:rsidTr="00855929">
        <w:tblPrEx>
          <w:tblCellMar>
            <w:top w:w="45" w:type="dxa"/>
            <w:left w:w="70" w:type="dxa"/>
            <w:right w:w="18" w:type="dxa"/>
          </w:tblCellMar>
        </w:tblPrEx>
        <w:trPr>
          <w:trHeight w:val="593"/>
        </w:trPr>
        <w:tc>
          <w:tcPr>
            <w:tcW w:w="91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E0F7EF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4.6 </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3860CF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Zawartość pyłów wg PN-EN </w:t>
            </w:r>
          </w:p>
          <w:p w14:paraId="58AC2DA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933-1 </w:t>
            </w:r>
          </w:p>
          <w:p w14:paraId="60605C4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a) w kruszywie grubym* </w:t>
            </w:r>
          </w:p>
        </w:tc>
        <w:tc>
          <w:tcPr>
            <w:tcW w:w="3119" w:type="dxa"/>
            <w:tcBorders>
              <w:top w:val="single" w:sz="4" w:space="0" w:color="000000"/>
              <w:left w:val="single" w:sz="4" w:space="0" w:color="000000"/>
              <w:bottom w:val="single" w:sz="4" w:space="0" w:color="000000"/>
              <w:right w:val="single" w:sz="8" w:space="0" w:color="000000"/>
            </w:tcBorders>
            <w:shd w:val="clear" w:color="auto" w:fill="auto"/>
            <w:vAlign w:val="bottom"/>
          </w:tcPr>
          <w:p w14:paraId="6BC0C5E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fDeklarowana </w:t>
            </w:r>
          </w:p>
        </w:tc>
        <w:tc>
          <w:tcPr>
            <w:tcW w:w="1484" w:type="dxa"/>
            <w:tcBorders>
              <w:top w:val="single" w:sz="4" w:space="0" w:color="000000"/>
              <w:left w:val="single" w:sz="8" w:space="0" w:color="000000"/>
              <w:bottom w:val="single" w:sz="4" w:space="0" w:color="000000"/>
              <w:right w:val="single" w:sz="4" w:space="0" w:color="000000"/>
            </w:tcBorders>
            <w:shd w:val="clear" w:color="auto" w:fill="auto"/>
            <w:vAlign w:val="center"/>
          </w:tcPr>
          <w:p w14:paraId="5D749B3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Tablica 8 </w:t>
            </w:r>
          </w:p>
        </w:tc>
      </w:tr>
      <w:tr w:rsidR="003220D1" w:rsidRPr="003220D1" w14:paraId="680D6FBE" w14:textId="77777777" w:rsidTr="00855929">
        <w:tblPrEx>
          <w:tblCellMar>
            <w:top w:w="45" w:type="dxa"/>
            <w:left w:w="70" w:type="dxa"/>
            <w:right w:w="18" w:type="dxa"/>
          </w:tblCellMar>
        </w:tblPrEx>
        <w:trPr>
          <w:trHeight w:val="228"/>
        </w:trPr>
        <w:tc>
          <w:tcPr>
            <w:tcW w:w="0" w:type="auto"/>
            <w:vMerge/>
            <w:tcBorders>
              <w:top w:val="nil"/>
              <w:left w:val="single" w:sz="4" w:space="0" w:color="000000"/>
              <w:bottom w:val="single" w:sz="4" w:space="0" w:color="000000"/>
              <w:right w:val="single" w:sz="4" w:space="0" w:color="000000"/>
            </w:tcBorders>
            <w:shd w:val="clear" w:color="auto" w:fill="auto"/>
          </w:tcPr>
          <w:p w14:paraId="2ACFCAE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0A858D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b) w kruszywie drobnym* </w:t>
            </w:r>
          </w:p>
        </w:tc>
        <w:tc>
          <w:tcPr>
            <w:tcW w:w="3119" w:type="dxa"/>
            <w:tcBorders>
              <w:top w:val="single" w:sz="4" w:space="0" w:color="000000"/>
              <w:left w:val="single" w:sz="4" w:space="0" w:color="000000"/>
              <w:bottom w:val="single" w:sz="4" w:space="0" w:color="000000"/>
              <w:right w:val="single" w:sz="8" w:space="0" w:color="000000"/>
            </w:tcBorders>
            <w:shd w:val="clear" w:color="auto" w:fill="auto"/>
            <w:vAlign w:val="bottom"/>
          </w:tcPr>
          <w:p w14:paraId="5564DDD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fDeklarowana </w:t>
            </w:r>
          </w:p>
        </w:tc>
        <w:tc>
          <w:tcPr>
            <w:tcW w:w="1484" w:type="dxa"/>
            <w:tcBorders>
              <w:top w:val="single" w:sz="4" w:space="0" w:color="000000"/>
              <w:left w:val="single" w:sz="8" w:space="0" w:color="000000"/>
              <w:bottom w:val="single" w:sz="4" w:space="0" w:color="000000"/>
              <w:right w:val="single" w:sz="4" w:space="0" w:color="000000"/>
            </w:tcBorders>
            <w:shd w:val="clear" w:color="auto" w:fill="auto"/>
          </w:tcPr>
          <w:p w14:paraId="199E46C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Tablica 8 </w:t>
            </w:r>
          </w:p>
        </w:tc>
      </w:tr>
      <w:tr w:rsidR="003220D1" w:rsidRPr="003220D1" w14:paraId="5658CD3C" w14:textId="77777777" w:rsidTr="00855929">
        <w:tblPrEx>
          <w:tblCellMar>
            <w:top w:w="45" w:type="dxa"/>
            <w:left w:w="70" w:type="dxa"/>
            <w:right w:w="18" w:type="dxa"/>
          </w:tblCellMar>
        </w:tblPrEx>
        <w:trPr>
          <w:trHeight w:val="449"/>
        </w:trPr>
        <w:tc>
          <w:tcPr>
            <w:tcW w:w="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84C21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4.7 </w:t>
            </w:r>
          </w:p>
        </w:tc>
        <w:tc>
          <w:tcPr>
            <w:tcW w:w="43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17903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Jakość pyłów </w:t>
            </w:r>
          </w:p>
        </w:tc>
        <w:tc>
          <w:tcPr>
            <w:tcW w:w="3119" w:type="dxa"/>
            <w:tcBorders>
              <w:top w:val="single" w:sz="4" w:space="0" w:color="000000"/>
              <w:left w:val="single" w:sz="4" w:space="0" w:color="000000"/>
              <w:bottom w:val="single" w:sz="4" w:space="0" w:color="000000"/>
              <w:right w:val="single" w:sz="8" w:space="0" w:color="000000"/>
            </w:tcBorders>
            <w:shd w:val="clear" w:color="auto" w:fill="auto"/>
          </w:tcPr>
          <w:p w14:paraId="3903E12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Właściwość niebadana na pojedynczych frakcjach, a tylko w mieszankach </w:t>
            </w:r>
          </w:p>
        </w:tc>
        <w:tc>
          <w:tcPr>
            <w:tcW w:w="1484" w:type="dxa"/>
            <w:tcBorders>
              <w:top w:val="single" w:sz="4" w:space="0" w:color="000000"/>
              <w:left w:val="single" w:sz="8" w:space="0" w:color="000000"/>
              <w:bottom w:val="single" w:sz="4" w:space="0" w:color="000000"/>
              <w:right w:val="single" w:sz="4" w:space="0" w:color="000000"/>
            </w:tcBorders>
            <w:shd w:val="clear" w:color="auto" w:fill="auto"/>
            <w:vAlign w:val="center"/>
          </w:tcPr>
          <w:p w14:paraId="64E23D5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w:t>
            </w:r>
          </w:p>
        </w:tc>
      </w:tr>
      <w:tr w:rsidR="003220D1" w:rsidRPr="003220D1" w14:paraId="095088B1" w14:textId="77777777" w:rsidTr="00855929">
        <w:tblPrEx>
          <w:tblCellMar>
            <w:top w:w="45" w:type="dxa"/>
            <w:left w:w="70" w:type="dxa"/>
            <w:right w:w="18" w:type="dxa"/>
          </w:tblCellMar>
        </w:tblPrEx>
        <w:trPr>
          <w:trHeight w:val="506"/>
        </w:trPr>
        <w:tc>
          <w:tcPr>
            <w:tcW w:w="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C6565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5.2 </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7EEAC50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Odporność na rozdrabnianie wg PN-EN 1097-2, kategoria nie wyższa niż: </w:t>
            </w:r>
          </w:p>
        </w:tc>
        <w:tc>
          <w:tcPr>
            <w:tcW w:w="3119" w:type="dxa"/>
            <w:tcBorders>
              <w:top w:val="single" w:sz="4" w:space="0" w:color="000000"/>
              <w:left w:val="single" w:sz="4" w:space="0" w:color="000000"/>
              <w:bottom w:val="single" w:sz="4" w:space="0" w:color="000000"/>
              <w:right w:val="single" w:sz="8" w:space="0" w:color="000000"/>
            </w:tcBorders>
            <w:shd w:val="clear" w:color="auto" w:fill="auto"/>
            <w:vAlign w:val="center"/>
          </w:tcPr>
          <w:p w14:paraId="0F96A38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LA</w:t>
            </w:r>
            <w:r w:rsidRPr="003220D1">
              <w:rPr>
                <w:rFonts w:ascii="Arial Narrow" w:eastAsia="Times New Roman" w:hAnsi="Arial Narrow" w:cs="Times New Roman"/>
                <w:vertAlign w:val="subscript"/>
              </w:rPr>
              <w:t>NR</w:t>
            </w:r>
            <w:r w:rsidRPr="003220D1">
              <w:rPr>
                <w:rFonts w:ascii="Arial Narrow" w:eastAsia="Times New Roman" w:hAnsi="Arial Narrow" w:cs="Times New Roman"/>
              </w:rPr>
              <w:t xml:space="preserve"> </w:t>
            </w:r>
          </w:p>
        </w:tc>
        <w:tc>
          <w:tcPr>
            <w:tcW w:w="1484" w:type="dxa"/>
            <w:tcBorders>
              <w:top w:val="single" w:sz="4" w:space="0" w:color="000000"/>
              <w:left w:val="single" w:sz="8" w:space="0" w:color="000000"/>
              <w:bottom w:val="single" w:sz="4" w:space="0" w:color="000000"/>
              <w:right w:val="single" w:sz="4" w:space="0" w:color="000000"/>
            </w:tcBorders>
            <w:shd w:val="clear" w:color="auto" w:fill="auto"/>
            <w:vAlign w:val="center"/>
          </w:tcPr>
          <w:p w14:paraId="210CF64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Tablica 9 </w:t>
            </w:r>
          </w:p>
        </w:tc>
      </w:tr>
      <w:tr w:rsidR="003220D1" w:rsidRPr="003220D1" w14:paraId="4633D07D" w14:textId="77777777" w:rsidTr="00855929">
        <w:tblPrEx>
          <w:tblCellMar>
            <w:top w:w="45" w:type="dxa"/>
            <w:left w:w="70" w:type="dxa"/>
            <w:right w:w="18" w:type="dxa"/>
          </w:tblCellMar>
        </w:tblPrEx>
        <w:trPr>
          <w:trHeight w:val="372"/>
        </w:trPr>
        <w:tc>
          <w:tcPr>
            <w:tcW w:w="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9896A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5.3 </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D9B41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Odporność na ścieranie kruszywa grubego wg PN-</w:t>
            </w:r>
          </w:p>
          <w:p w14:paraId="0BDF457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lastRenderedPageBreak/>
              <w:t xml:space="preserve">EN 1097-1 </w:t>
            </w:r>
          </w:p>
        </w:tc>
        <w:tc>
          <w:tcPr>
            <w:tcW w:w="3119" w:type="dxa"/>
            <w:tcBorders>
              <w:top w:val="single" w:sz="4" w:space="0" w:color="000000"/>
              <w:left w:val="single" w:sz="4" w:space="0" w:color="000000"/>
              <w:bottom w:val="single" w:sz="4" w:space="0" w:color="000000"/>
              <w:right w:val="single" w:sz="8" w:space="0" w:color="000000"/>
            </w:tcBorders>
            <w:shd w:val="clear" w:color="auto" w:fill="auto"/>
            <w:vAlign w:val="center"/>
          </w:tcPr>
          <w:p w14:paraId="0F783E3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lastRenderedPageBreak/>
              <w:t>M</w:t>
            </w:r>
            <w:r w:rsidRPr="003220D1">
              <w:rPr>
                <w:rFonts w:ascii="Arial Narrow" w:eastAsia="Times New Roman" w:hAnsi="Arial Narrow" w:cs="Times New Roman"/>
                <w:vertAlign w:val="subscript"/>
              </w:rPr>
              <w:t>DE</w:t>
            </w:r>
            <w:r w:rsidRPr="003220D1">
              <w:rPr>
                <w:rFonts w:ascii="Arial Narrow" w:eastAsia="Times New Roman" w:hAnsi="Arial Narrow" w:cs="Times New Roman"/>
              </w:rPr>
              <w:t xml:space="preserve">Deklarowana </w:t>
            </w:r>
          </w:p>
        </w:tc>
        <w:tc>
          <w:tcPr>
            <w:tcW w:w="1484" w:type="dxa"/>
            <w:tcBorders>
              <w:top w:val="single" w:sz="4" w:space="0" w:color="000000"/>
              <w:left w:val="single" w:sz="8" w:space="0" w:color="000000"/>
              <w:bottom w:val="single" w:sz="4" w:space="0" w:color="000000"/>
              <w:right w:val="single" w:sz="4" w:space="0" w:color="000000"/>
            </w:tcBorders>
            <w:shd w:val="clear" w:color="auto" w:fill="auto"/>
            <w:vAlign w:val="center"/>
          </w:tcPr>
          <w:p w14:paraId="12F7C45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Tablica 11 </w:t>
            </w:r>
          </w:p>
        </w:tc>
      </w:tr>
      <w:tr w:rsidR="003220D1" w:rsidRPr="003220D1" w14:paraId="2BFFE125" w14:textId="77777777" w:rsidTr="00855929">
        <w:tblPrEx>
          <w:tblCellMar>
            <w:top w:w="45" w:type="dxa"/>
            <w:left w:w="70" w:type="dxa"/>
            <w:right w:w="18" w:type="dxa"/>
          </w:tblCellMar>
        </w:tblPrEx>
        <w:trPr>
          <w:trHeight w:val="267"/>
        </w:trPr>
        <w:tc>
          <w:tcPr>
            <w:tcW w:w="918" w:type="dxa"/>
            <w:tcBorders>
              <w:top w:val="single" w:sz="4" w:space="0" w:color="000000"/>
              <w:left w:val="single" w:sz="4" w:space="0" w:color="000000"/>
              <w:bottom w:val="single" w:sz="4" w:space="0" w:color="000000"/>
              <w:right w:val="single" w:sz="4" w:space="0" w:color="000000"/>
            </w:tcBorders>
            <w:shd w:val="clear" w:color="auto" w:fill="auto"/>
          </w:tcPr>
          <w:p w14:paraId="4CD21C8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5.4 </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39E68E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Gęstość wg PN-EN 1097-6, rozdział 7, 8 albo 9 </w:t>
            </w:r>
          </w:p>
        </w:tc>
        <w:tc>
          <w:tcPr>
            <w:tcW w:w="3119" w:type="dxa"/>
            <w:tcBorders>
              <w:top w:val="single" w:sz="4" w:space="0" w:color="000000"/>
              <w:left w:val="single" w:sz="4" w:space="0" w:color="000000"/>
              <w:bottom w:val="single" w:sz="4" w:space="0" w:color="000000"/>
              <w:right w:val="single" w:sz="8" w:space="0" w:color="000000"/>
            </w:tcBorders>
            <w:shd w:val="clear" w:color="auto" w:fill="auto"/>
          </w:tcPr>
          <w:p w14:paraId="5F2C10C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Deklarowana </w:t>
            </w:r>
          </w:p>
        </w:tc>
        <w:tc>
          <w:tcPr>
            <w:tcW w:w="1484" w:type="dxa"/>
            <w:tcBorders>
              <w:top w:val="single" w:sz="4" w:space="0" w:color="000000"/>
              <w:left w:val="single" w:sz="8" w:space="0" w:color="000000"/>
              <w:bottom w:val="single" w:sz="4" w:space="0" w:color="000000"/>
              <w:right w:val="single" w:sz="4" w:space="0" w:color="000000"/>
            </w:tcBorders>
            <w:shd w:val="clear" w:color="auto" w:fill="auto"/>
          </w:tcPr>
          <w:p w14:paraId="388D9E5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w:t>
            </w:r>
          </w:p>
        </w:tc>
      </w:tr>
      <w:tr w:rsidR="003220D1" w:rsidRPr="003220D1" w14:paraId="72EBFD5F" w14:textId="77777777" w:rsidTr="00855929">
        <w:tblPrEx>
          <w:tblCellMar>
            <w:top w:w="45" w:type="dxa"/>
            <w:left w:w="70" w:type="dxa"/>
            <w:right w:w="18" w:type="dxa"/>
          </w:tblCellMar>
        </w:tblPrEx>
        <w:trPr>
          <w:trHeight w:val="526"/>
        </w:trPr>
        <w:tc>
          <w:tcPr>
            <w:tcW w:w="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6D201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5.5 </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7F75999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Nasiąkliwość wg PN-EN </w:t>
            </w:r>
          </w:p>
          <w:p w14:paraId="5D91A09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1097-6, rozdział 7,  8 albo 9 (zależności od frakcji) </w:t>
            </w:r>
          </w:p>
        </w:tc>
        <w:tc>
          <w:tcPr>
            <w:tcW w:w="3119" w:type="dxa"/>
            <w:tcBorders>
              <w:top w:val="single" w:sz="4" w:space="0" w:color="000000"/>
              <w:left w:val="single" w:sz="4" w:space="0" w:color="000000"/>
              <w:bottom w:val="single" w:sz="4" w:space="0" w:color="000000"/>
              <w:right w:val="single" w:sz="8" w:space="0" w:color="000000"/>
            </w:tcBorders>
            <w:shd w:val="clear" w:color="auto" w:fill="auto"/>
            <w:vAlign w:val="center"/>
          </w:tcPr>
          <w:p w14:paraId="36CA112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W</w:t>
            </w:r>
            <w:r w:rsidRPr="003220D1">
              <w:rPr>
                <w:rFonts w:ascii="Arial Narrow" w:eastAsia="Times New Roman" w:hAnsi="Arial Narrow" w:cs="Times New Roman"/>
                <w:vertAlign w:val="subscript"/>
              </w:rPr>
              <w:t>cm</w:t>
            </w:r>
            <w:r w:rsidRPr="003220D1">
              <w:rPr>
                <w:rFonts w:ascii="Arial Narrow" w:eastAsia="Times New Roman" w:hAnsi="Arial Narrow" w:cs="Times New Roman"/>
              </w:rPr>
              <w:t>NR WA</w:t>
            </w:r>
            <w:r w:rsidRPr="003220D1">
              <w:rPr>
                <w:rFonts w:ascii="Arial Narrow" w:eastAsia="Times New Roman" w:hAnsi="Arial Narrow" w:cs="Times New Roman"/>
                <w:vertAlign w:val="subscript"/>
              </w:rPr>
              <w:t>24</w:t>
            </w:r>
            <w:r w:rsidRPr="003220D1">
              <w:rPr>
                <w:rFonts w:ascii="Arial Narrow" w:eastAsia="Times New Roman" w:hAnsi="Arial Narrow" w:cs="Times New Roman"/>
              </w:rPr>
              <w:t xml:space="preserve">2** </w:t>
            </w:r>
          </w:p>
        </w:tc>
        <w:tc>
          <w:tcPr>
            <w:tcW w:w="1484" w:type="dxa"/>
            <w:tcBorders>
              <w:top w:val="single" w:sz="4" w:space="0" w:color="000000"/>
              <w:left w:val="single" w:sz="8" w:space="0" w:color="000000"/>
              <w:bottom w:val="single" w:sz="4" w:space="0" w:color="000000"/>
              <w:right w:val="single" w:sz="4" w:space="0" w:color="000000"/>
            </w:tcBorders>
            <w:shd w:val="clear" w:color="auto" w:fill="auto"/>
            <w:vAlign w:val="center"/>
          </w:tcPr>
          <w:p w14:paraId="00FFDDC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w:t>
            </w:r>
          </w:p>
        </w:tc>
      </w:tr>
      <w:tr w:rsidR="003220D1" w:rsidRPr="003220D1" w14:paraId="60C7DC7D" w14:textId="77777777" w:rsidTr="00855929">
        <w:tblPrEx>
          <w:tblCellMar>
            <w:top w:w="45" w:type="dxa"/>
            <w:left w:w="70" w:type="dxa"/>
            <w:right w:w="18" w:type="dxa"/>
          </w:tblCellMar>
        </w:tblPrEx>
        <w:trPr>
          <w:trHeight w:val="223"/>
        </w:trPr>
        <w:tc>
          <w:tcPr>
            <w:tcW w:w="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641CC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6.2 </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5B1AA1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Siarczany rozpuszczalne w kwasie  wg PN-EN 1744-1 </w:t>
            </w:r>
          </w:p>
        </w:tc>
        <w:tc>
          <w:tcPr>
            <w:tcW w:w="3119" w:type="dxa"/>
            <w:tcBorders>
              <w:top w:val="single" w:sz="4" w:space="0" w:color="000000"/>
              <w:left w:val="single" w:sz="4" w:space="0" w:color="000000"/>
              <w:bottom w:val="single" w:sz="4" w:space="0" w:color="000000"/>
              <w:right w:val="single" w:sz="8" w:space="0" w:color="000000"/>
            </w:tcBorders>
            <w:shd w:val="clear" w:color="auto" w:fill="auto"/>
            <w:vAlign w:val="center"/>
          </w:tcPr>
          <w:p w14:paraId="7BD6B7A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AS</w:t>
            </w:r>
            <w:r w:rsidRPr="003220D1">
              <w:rPr>
                <w:rFonts w:ascii="Arial Narrow" w:eastAsia="Times New Roman" w:hAnsi="Arial Narrow" w:cs="Times New Roman"/>
                <w:vertAlign w:val="subscript"/>
              </w:rPr>
              <w:t>NR</w:t>
            </w:r>
            <w:r w:rsidRPr="003220D1">
              <w:rPr>
                <w:rFonts w:ascii="Arial Narrow" w:eastAsia="Times New Roman" w:hAnsi="Arial Narrow" w:cs="Times New Roman"/>
              </w:rPr>
              <w:t xml:space="preserve"> </w:t>
            </w:r>
          </w:p>
        </w:tc>
        <w:tc>
          <w:tcPr>
            <w:tcW w:w="1484" w:type="dxa"/>
            <w:tcBorders>
              <w:top w:val="single" w:sz="4" w:space="0" w:color="000000"/>
              <w:left w:val="single" w:sz="8" w:space="0" w:color="000000"/>
              <w:bottom w:val="single" w:sz="4" w:space="0" w:color="000000"/>
              <w:right w:val="single" w:sz="4" w:space="0" w:color="000000"/>
            </w:tcBorders>
            <w:shd w:val="clear" w:color="auto" w:fill="auto"/>
            <w:vAlign w:val="center"/>
          </w:tcPr>
          <w:p w14:paraId="77505B3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Tablica 13 </w:t>
            </w:r>
          </w:p>
        </w:tc>
      </w:tr>
      <w:tr w:rsidR="003220D1" w:rsidRPr="003220D1" w14:paraId="7ED08560" w14:textId="77777777" w:rsidTr="00855929">
        <w:tblPrEx>
          <w:tblCellMar>
            <w:top w:w="45" w:type="dxa"/>
            <w:left w:w="70" w:type="dxa"/>
            <w:right w:w="18" w:type="dxa"/>
          </w:tblCellMar>
        </w:tblPrEx>
        <w:trPr>
          <w:trHeight w:val="227"/>
        </w:trPr>
        <w:tc>
          <w:tcPr>
            <w:tcW w:w="918" w:type="dxa"/>
            <w:tcBorders>
              <w:top w:val="single" w:sz="4" w:space="0" w:color="000000"/>
              <w:left w:val="single" w:sz="4" w:space="0" w:color="000000"/>
              <w:bottom w:val="single" w:sz="4" w:space="0" w:color="000000"/>
              <w:right w:val="single" w:sz="4" w:space="0" w:color="000000"/>
            </w:tcBorders>
            <w:shd w:val="clear" w:color="auto" w:fill="auto"/>
          </w:tcPr>
          <w:p w14:paraId="6E62985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6.3 </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77A9E1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Całkowita zawartość siarki wg PN-EN 1744-1 </w:t>
            </w:r>
          </w:p>
        </w:tc>
        <w:tc>
          <w:tcPr>
            <w:tcW w:w="3119" w:type="dxa"/>
            <w:tcBorders>
              <w:top w:val="single" w:sz="4" w:space="0" w:color="000000"/>
              <w:left w:val="single" w:sz="4" w:space="0" w:color="000000"/>
              <w:bottom w:val="single" w:sz="4" w:space="0" w:color="000000"/>
              <w:right w:val="single" w:sz="8" w:space="0" w:color="000000"/>
            </w:tcBorders>
            <w:shd w:val="clear" w:color="auto" w:fill="auto"/>
          </w:tcPr>
          <w:p w14:paraId="160FAE9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SNR </w:t>
            </w:r>
          </w:p>
        </w:tc>
        <w:tc>
          <w:tcPr>
            <w:tcW w:w="1484" w:type="dxa"/>
            <w:tcBorders>
              <w:top w:val="single" w:sz="4" w:space="0" w:color="000000"/>
              <w:left w:val="single" w:sz="8" w:space="0" w:color="000000"/>
              <w:bottom w:val="single" w:sz="4" w:space="0" w:color="000000"/>
              <w:right w:val="single" w:sz="4" w:space="0" w:color="000000"/>
            </w:tcBorders>
            <w:shd w:val="clear" w:color="auto" w:fill="auto"/>
          </w:tcPr>
          <w:p w14:paraId="72AA000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Tablica 14 </w:t>
            </w:r>
          </w:p>
        </w:tc>
      </w:tr>
      <w:tr w:rsidR="003220D1" w:rsidRPr="003220D1" w14:paraId="1333F4D9" w14:textId="77777777" w:rsidTr="00855929">
        <w:tblPrEx>
          <w:tblCellMar>
            <w:top w:w="45" w:type="dxa"/>
            <w:left w:w="70" w:type="dxa"/>
            <w:right w:w="18" w:type="dxa"/>
          </w:tblCellMar>
        </w:tblPrEx>
        <w:trPr>
          <w:trHeight w:val="593"/>
        </w:trPr>
        <w:tc>
          <w:tcPr>
            <w:tcW w:w="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99BCE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6.4.2.1 </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4F165C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Stałość objętości żużla stalowniczego wg PN-EN 1744-1, rozdział 19.3 </w:t>
            </w:r>
          </w:p>
        </w:tc>
        <w:tc>
          <w:tcPr>
            <w:tcW w:w="3119" w:type="dxa"/>
            <w:tcBorders>
              <w:top w:val="single" w:sz="4" w:space="0" w:color="000000"/>
              <w:left w:val="single" w:sz="4" w:space="0" w:color="000000"/>
              <w:bottom w:val="single" w:sz="4" w:space="0" w:color="000000"/>
              <w:right w:val="single" w:sz="8" w:space="0" w:color="000000"/>
            </w:tcBorders>
            <w:shd w:val="clear" w:color="auto" w:fill="auto"/>
            <w:vAlign w:val="center"/>
          </w:tcPr>
          <w:p w14:paraId="7BD9638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V</w:t>
            </w:r>
            <w:r w:rsidRPr="003220D1">
              <w:rPr>
                <w:rFonts w:ascii="Arial Narrow" w:eastAsia="Times New Roman" w:hAnsi="Arial Narrow" w:cs="Times New Roman"/>
                <w:vertAlign w:val="subscript"/>
              </w:rPr>
              <w:t>5</w:t>
            </w:r>
            <w:r w:rsidRPr="003220D1">
              <w:rPr>
                <w:rFonts w:ascii="Arial Narrow" w:eastAsia="Times New Roman" w:hAnsi="Arial Narrow" w:cs="Times New Roman"/>
              </w:rPr>
              <w:t xml:space="preserve"> </w:t>
            </w:r>
          </w:p>
        </w:tc>
        <w:tc>
          <w:tcPr>
            <w:tcW w:w="1484" w:type="dxa"/>
            <w:tcBorders>
              <w:top w:val="single" w:sz="4" w:space="0" w:color="000000"/>
              <w:left w:val="single" w:sz="8" w:space="0" w:color="000000"/>
              <w:bottom w:val="single" w:sz="4" w:space="0" w:color="000000"/>
              <w:right w:val="single" w:sz="4" w:space="0" w:color="000000"/>
            </w:tcBorders>
            <w:shd w:val="clear" w:color="auto" w:fill="auto"/>
            <w:vAlign w:val="center"/>
          </w:tcPr>
          <w:p w14:paraId="5DCCC1C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Tablica 16 </w:t>
            </w:r>
          </w:p>
        </w:tc>
      </w:tr>
      <w:tr w:rsidR="003220D1" w:rsidRPr="003220D1" w14:paraId="04068B40" w14:textId="77777777" w:rsidTr="00855929">
        <w:tblPrEx>
          <w:tblCellMar>
            <w:top w:w="45" w:type="dxa"/>
            <w:left w:w="70" w:type="dxa"/>
            <w:right w:w="18" w:type="dxa"/>
          </w:tblCellMar>
        </w:tblPrEx>
        <w:trPr>
          <w:trHeight w:val="566"/>
        </w:trPr>
        <w:tc>
          <w:tcPr>
            <w:tcW w:w="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44E9B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6.4.2.2 </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2DC71D3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Rozpad krzemianowy w żużlu wielkopiecowym kawałkowym wg PN-EN 1744-1, p.19.1 </w:t>
            </w:r>
          </w:p>
        </w:tc>
        <w:tc>
          <w:tcPr>
            <w:tcW w:w="3119" w:type="dxa"/>
            <w:tcBorders>
              <w:top w:val="single" w:sz="4" w:space="0" w:color="000000"/>
              <w:left w:val="single" w:sz="4" w:space="0" w:color="000000"/>
              <w:bottom w:val="single" w:sz="4" w:space="0" w:color="000000"/>
              <w:right w:val="single" w:sz="8" w:space="0" w:color="000000"/>
            </w:tcBorders>
            <w:shd w:val="clear" w:color="auto" w:fill="auto"/>
            <w:vAlign w:val="center"/>
          </w:tcPr>
          <w:p w14:paraId="4AB8E45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Brak rozpadu </w:t>
            </w:r>
          </w:p>
        </w:tc>
        <w:tc>
          <w:tcPr>
            <w:tcW w:w="1484" w:type="dxa"/>
            <w:tcBorders>
              <w:top w:val="single" w:sz="4" w:space="0" w:color="000000"/>
              <w:left w:val="single" w:sz="8" w:space="0" w:color="000000"/>
              <w:bottom w:val="single" w:sz="4" w:space="0" w:color="000000"/>
              <w:right w:val="single" w:sz="4" w:space="0" w:color="000000"/>
            </w:tcBorders>
            <w:shd w:val="clear" w:color="auto" w:fill="auto"/>
            <w:vAlign w:val="center"/>
          </w:tcPr>
          <w:p w14:paraId="321C557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w:t>
            </w:r>
          </w:p>
        </w:tc>
      </w:tr>
      <w:tr w:rsidR="003220D1" w:rsidRPr="003220D1" w14:paraId="2DE4A838" w14:textId="77777777" w:rsidTr="00855929">
        <w:tblPrEx>
          <w:tblCellMar>
            <w:top w:w="45" w:type="dxa"/>
            <w:left w:w="70" w:type="dxa"/>
            <w:right w:w="18" w:type="dxa"/>
          </w:tblCellMar>
        </w:tblPrEx>
        <w:trPr>
          <w:trHeight w:val="504"/>
        </w:trPr>
        <w:tc>
          <w:tcPr>
            <w:tcW w:w="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18B66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6.4.2.3 </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711A179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Rozpad żelazawy w żużlu wielkopiecowym kawałkowym wg PN-EN 1744-1, p. 19.2 </w:t>
            </w:r>
          </w:p>
        </w:tc>
        <w:tc>
          <w:tcPr>
            <w:tcW w:w="3119" w:type="dxa"/>
            <w:tcBorders>
              <w:top w:val="single" w:sz="4" w:space="0" w:color="000000"/>
              <w:left w:val="single" w:sz="4" w:space="0" w:color="000000"/>
              <w:bottom w:val="single" w:sz="4" w:space="0" w:color="000000"/>
              <w:right w:val="single" w:sz="8" w:space="0" w:color="000000"/>
            </w:tcBorders>
            <w:shd w:val="clear" w:color="auto" w:fill="auto"/>
            <w:vAlign w:val="center"/>
          </w:tcPr>
          <w:p w14:paraId="11088A2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Brak rozpadu </w:t>
            </w:r>
          </w:p>
        </w:tc>
        <w:tc>
          <w:tcPr>
            <w:tcW w:w="1484" w:type="dxa"/>
            <w:tcBorders>
              <w:top w:val="single" w:sz="4" w:space="0" w:color="000000"/>
              <w:left w:val="single" w:sz="8" w:space="0" w:color="000000"/>
              <w:bottom w:val="single" w:sz="4" w:space="0" w:color="000000"/>
              <w:right w:val="single" w:sz="4" w:space="0" w:color="000000"/>
            </w:tcBorders>
            <w:shd w:val="clear" w:color="auto" w:fill="auto"/>
            <w:vAlign w:val="center"/>
          </w:tcPr>
          <w:p w14:paraId="0FA7A7F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w:t>
            </w:r>
          </w:p>
        </w:tc>
      </w:tr>
      <w:tr w:rsidR="003220D1" w:rsidRPr="003220D1" w14:paraId="0C0DF200" w14:textId="77777777" w:rsidTr="00855929">
        <w:tblPrEx>
          <w:tblCellMar>
            <w:top w:w="45" w:type="dxa"/>
            <w:left w:w="70" w:type="dxa"/>
            <w:right w:w="18" w:type="dxa"/>
          </w:tblCellMar>
        </w:tblPrEx>
        <w:trPr>
          <w:trHeight w:val="398"/>
        </w:trPr>
        <w:tc>
          <w:tcPr>
            <w:tcW w:w="918" w:type="dxa"/>
            <w:tcBorders>
              <w:top w:val="single" w:sz="4" w:space="0" w:color="000000"/>
              <w:left w:val="single" w:sz="4" w:space="0" w:color="000000"/>
              <w:bottom w:val="single" w:sz="4" w:space="0" w:color="000000"/>
              <w:right w:val="single" w:sz="4" w:space="0" w:color="000000"/>
            </w:tcBorders>
            <w:shd w:val="clear" w:color="auto" w:fill="auto"/>
          </w:tcPr>
          <w:p w14:paraId="38164A3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6.4.3 </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A2A83C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Składniki rozpuszczalne w wodzie wg PN-EN 1744-3 </w:t>
            </w:r>
          </w:p>
        </w:tc>
        <w:tc>
          <w:tcPr>
            <w:tcW w:w="3119" w:type="dxa"/>
            <w:tcBorders>
              <w:top w:val="single" w:sz="4" w:space="0" w:color="000000"/>
              <w:left w:val="single" w:sz="4" w:space="0" w:color="000000"/>
              <w:bottom w:val="single" w:sz="4" w:space="0" w:color="000000"/>
              <w:right w:val="single" w:sz="8" w:space="0" w:color="000000"/>
            </w:tcBorders>
            <w:shd w:val="clear" w:color="auto" w:fill="auto"/>
          </w:tcPr>
          <w:p w14:paraId="5C0DB0D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Brak substancji szkodliwych w stosunku do środowiska wg odrębnych przepisów </w:t>
            </w:r>
          </w:p>
        </w:tc>
        <w:tc>
          <w:tcPr>
            <w:tcW w:w="1484" w:type="dxa"/>
            <w:tcBorders>
              <w:top w:val="single" w:sz="4" w:space="0" w:color="000000"/>
              <w:left w:val="single" w:sz="8" w:space="0" w:color="000000"/>
              <w:bottom w:val="single" w:sz="4" w:space="0" w:color="000000"/>
              <w:right w:val="single" w:sz="4" w:space="0" w:color="000000"/>
            </w:tcBorders>
            <w:shd w:val="clear" w:color="auto" w:fill="auto"/>
          </w:tcPr>
          <w:p w14:paraId="14473D7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w:t>
            </w:r>
          </w:p>
        </w:tc>
      </w:tr>
      <w:tr w:rsidR="003220D1" w:rsidRPr="003220D1" w14:paraId="794CA34B" w14:textId="77777777" w:rsidTr="00855929">
        <w:tblPrEx>
          <w:tblCellMar>
            <w:top w:w="45" w:type="dxa"/>
            <w:left w:w="70" w:type="dxa"/>
            <w:right w:w="18" w:type="dxa"/>
          </w:tblCellMar>
        </w:tblPrEx>
        <w:trPr>
          <w:trHeight w:val="398"/>
        </w:trPr>
        <w:tc>
          <w:tcPr>
            <w:tcW w:w="918" w:type="dxa"/>
            <w:tcBorders>
              <w:top w:val="single" w:sz="4" w:space="0" w:color="000000"/>
              <w:left w:val="single" w:sz="4" w:space="0" w:color="000000"/>
              <w:bottom w:val="single" w:sz="4" w:space="0" w:color="000000"/>
              <w:right w:val="single" w:sz="4" w:space="0" w:color="000000"/>
            </w:tcBorders>
            <w:shd w:val="clear" w:color="auto" w:fill="auto"/>
          </w:tcPr>
          <w:p w14:paraId="0E098F7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6.4.4 </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1FD19B2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Zanieczyszczenia </w:t>
            </w:r>
          </w:p>
        </w:tc>
        <w:tc>
          <w:tcPr>
            <w:tcW w:w="3119" w:type="dxa"/>
            <w:tcBorders>
              <w:top w:val="single" w:sz="4" w:space="0" w:color="000000"/>
              <w:left w:val="single" w:sz="4" w:space="0" w:color="000000"/>
              <w:bottom w:val="single" w:sz="4" w:space="0" w:color="000000"/>
              <w:right w:val="single" w:sz="8" w:space="0" w:color="000000"/>
            </w:tcBorders>
            <w:shd w:val="clear" w:color="auto" w:fill="auto"/>
          </w:tcPr>
          <w:p w14:paraId="473AEA1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Brak ciał obcych takich jak: drewno, szkło, plastik, mogących pogorszyć wyrób końcowy </w:t>
            </w:r>
          </w:p>
        </w:tc>
        <w:tc>
          <w:tcPr>
            <w:tcW w:w="1484" w:type="dxa"/>
            <w:tcBorders>
              <w:top w:val="single" w:sz="4" w:space="0" w:color="000000"/>
              <w:left w:val="single" w:sz="8" w:space="0" w:color="000000"/>
              <w:bottom w:val="single" w:sz="4" w:space="0" w:color="000000"/>
              <w:right w:val="single" w:sz="4" w:space="0" w:color="000000"/>
            </w:tcBorders>
            <w:shd w:val="clear" w:color="auto" w:fill="auto"/>
          </w:tcPr>
          <w:p w14:paraId="3A34091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w:t>
            </w:r>
          </w:p>
        </w:tc>
      </w:tr>
      <w:tr w:rsidR="003220D1" w:rsidRPr="003220D1" w14:paraId="362E36C0" w14:textId="77777777" w:rsidTr="00855929">
        <w:tblPrEx>
          <w:tblCellMar>
            <w:top w:w="45" w:type="dxa"/>
            <w:left w:w="70" w:type="dxa"/>
            <w:right w:w="18" w:type="dxa"/>
          </w:tblCellMar>
        </w:tblPrEx>
        <w:trPr>
          <w:trHeight w:val="516"/>
        </w:trPr>
        <w:tc>
          <w:tcPr>
            <w:tcW w:w="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21777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7.2 </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7AF02C5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Zgorzel słoneczna bazaltu wg PN-EN 1367-3, wg PN-</w:t>
            </w:r>
          </w:p>
          <w:p w14:paraId="6AE24DA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EN 1097-2 </w:t>
            </w:r>
          </w:p>
        </w:tc>
        <w:tc>
          <w:tcPr>
            <w:tcW w:w="3119" w:type="dxa"/>
            <w:tcBorders>
              <w:top w:val="single" w:sz="4" w:space="0" w:color="000000"/>
              <w:left w:val="single" w:sz="4" w:space="0" w:color="000000"/>
              <w:bottom w:val="single" w:sz="4" w:space="0" w:color="000000"/>
              <w:right w:val="single" w:sz="8" w:space="0" w:color="000000"/>
            </w:tcBorders>
            <w:shd w:val="clear" w:color="auto" w:fill="auto"/>
            <w:vAlign w:val="center"/>
          </w:tcPr>
          <w:p w14:paraId="06CA4C0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SBLADeklarowana </w:t>
            </w:r>
          </w:p>
        </w:tc>
        <w:tc>
          <w:tcPr>
            <w:tcW w:w="1484" w:type="dxa"/>
            <w:tcBorders>
              <w:top w:val="single" w:sz="4" w:space="0" w:color="000000"/>
              <w:left w:val="single" w:sz="8" w:space="0" w:color="000000"/>
              <w:bottom w:val="single" w:sz="4" w:space="0" w:color="000000"/>
              <w:right w:val="single" w:sz="4" w:space="0" w:color="000000"/>
            </w:tcBorders>
            <w:shd w:val="clear" w:color="auto" w:fill="auto"/>
            <w:vAlign w:val="center"/>
          </w:tcPr>
          <w:p w14:paraId="19D25C5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w:t>
            </w:r>
          </w:p>
        </w:tc>
      </w:tr>
      <w:tr w:rsidR="003220D1" w:rsidRPr="003220D1" w14:paraId="64321560" w14:textId="77777777" w:rsidTr="00855929">
        <w:tblPrEx>
          <w:tblCellMar>
            <w:top w:w="45" w:type="dxa"/>
            <w:left w:w="70" w:type="dxa"/>
            <w:right w:w="18" w:type="dxa"/>
          </w:tblCellMar>
        </w:tblPrEx>
        <w:trPr>
          <w:trHeight w:val="814"/>
        </w:trPr>
        <w:tc>
          <w:tcPr>
            <w:tcW w:w="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F72AD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7.3.3 </w:t>
            </w:r>
          </w:p>
        </w:tc>
        <w:tc>
          <w:tcPr>
            <w:tcW w:w="43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33FBD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Mrozoodporność na frakcji kruszywa 8/16 wg PN-EN 1367-1 </w:t>
            </w:r>
          </w:p>
        </w:tc>
        <w:tc>
          <w:tcPr>
            <w:tcW w:w="3119" w:type="dxa"/>
            <w:tcBorders>
              <w:top w:val="single" w:sz="4" w:space="0" w:color="000000"/>
              <w:left w:val="single" w:sz="4" w:space="0" w:color="000000"/>
              <w:bottom w:val="single" w:sz="4" w:space="0" w:color="000000"/>
              <w:right w:val="single" w:sz="8" w:space="0" w:color="000000"/>
            </w:tcBorders>
            <w:shd w:val="clear" w:color="auto" w:fill="auto"/>
          </w:tcPr>
          <w:p w14:paraId="6351FAC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skały magmowe i przeobrażone F</w:t>
            </w:r>
            <w:r w:rsidRPr="003220D1">
              <w:rPr>
                <w:rFonts w:ascii="Arial Narrow" w:eastAsia="Times New Roman" w:hAnsi="Arial Narrow" w:cs="Times New Roman"/>
                <w:vertAlign w:val="subscript"/>
              </w:rPr>
              <w:t xml:space="preserve">4 </w:t>
            </w:r>
            <w:r w:rsidRPr="003220D1">
              <w:rPr>
                <w:rFonts w:ascii="Arial Narrow" w:eastAsia="Times New Roman" w:hAnsi="Arial Narrow" w:cs="Times New Roman"/>
              </w:rPr>
              <w:t xml:space="preserve"> </w:t>
            </w:r>
          </w:p>
          <w:p w14:paraId="5B0E14D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skały osadowe F</w:t>
            </w:r>
            <w:r w:rsidRPr="003220D1">
              <w:rPr>
                <w:rFonts w:ascii="Arial Narrow" w:eastAsia="Times New Roman" w:hAnsi="Arial Narrow" w:cs="Times New Roman"/>
                <w:vertAlign w:val="subscript"/>
              </w:rPr>
              <w:t xml:space="preserve">Deklarowana </w:t>
            </w:r>
            <w:r w:rsidRPr="003220D1">
              <w:rPr>
                <w:rFonts w:ascii="Arial Narrow" w:eastAsia="Times New Roman" w:hAnsi="Arial Narrow" w:cs="Times New Roman"/>
              </w:rPr>
              <w:t xml:space="preserve">(nie więcej niż 10 %) </w:t>
            </w:r>
          </w:p>
          <w:p w14:paraId="464305B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kruszywa z recyklingu F</w:t>
            </w:r>
            <w:r w:rsidRPr="003220D1">
              <w:rPr>
                <w:rFonts w:ascii="Arial Narrow" w:eastAsia="Times New Roman" w:hAnsi="Arial Narrow" w:cs="Times New Roman"/>
                <w:vertAlign w:val="subscript"/>
              </w:rPr>
              <w:t xml:space="preserve">Deklarowana </w:t>
            </w:r>
            <w:r w:rsidRPr="003220D1">
              <w:rPr>
                <w:rFonts w:ascii="Arial Narrow" w:eastAsia="Times New Roman" w:hAnsi="Arial Narrow" w:cs="Times New Roman"/>
              </w:rPr>
              <w:t>(nie więcej niż 10 %)  ( F</w:t>
            </w:r>
            <w:r w:rsidRPr="003220D1">
              <w:rPr>
                <w:rFonts w:ascii="Arial Narrow" w:eastAsia="Times New Roman" w:hAnsi="Arial Narrow" w:cs="Times New Roman"/>
                <w:vertAlign w:val="subscript"/>
              </w:rPr>
              <w:t xml:space="preserve">Deklarowana </w:t>
            </w:r>
            <w:r w:rsidRPr="003220D1">
              <w:rPr>
                <w:rFonts w:ascii="Arial Narrow" w:eastAsia="Times New Roman" w:hAnsi="Arial Narrow" w:cs="Times New Roman"/>
              </w:rPr>
              <w:t xml:space="preserve">nie więcej niż 25 %***) </w:t>
            </w:r>
          </w:p>
        </w:tc>
        <w:tc>
          <w:tcPr>
            <w:tcW w:w="1484" w:type="dxa"/>
            <w:tcBorders>
              <w:top w:val="single" w:sz="4" w:space="0" w:color="000000"/>
              <w:left w:val="single" w:sz="8" w:space="0" w:color="000000"/>
              <w:bottom w:val="single" w:sz="4" w:space="0" w:color="000000"/>
              <w:right w:val="single" w:sz="4" w:space="0" w:color="000000"/>
            </w:tcBorders>
            <w:shd w:val="clear" w:color="auto" w:fill="auto"/>
            <w:vAlign w:val="center"/>
          </w:tcPr>
          <w:p w14:paraId="143F873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Tablica 20 </w:t>
            </w:r>
          </w:p>
        </w:tc>
      </w:tr>
      <w:tr w:rsidR="003220D1" w:rsidRPr="003220D1" w14:paraId="1CD3FFC0" w14:textId="77777777" w:rsidTr="00855929">
        <w:tblPrEx>
          <w:tblCellMar>
            <w:top w:w="45" w:type="dxa"/>
            <w:left w:w="70" w:type="dxa"/>
            <w:right w:w="18" w:type="dxa"/>
          </w:tblCellMar>
        </w:tblPrEx>
        <w:trPr>
          <w:trHeight w:val="228"/>
        </w:trPr>
        <w:tc>
          <w:tcPr>
            <w:tcW w:w="918" w:type="dxa"/>
            <w:tcBorders>
              <w:top w:val="single" w:sz="4" w:space="0" w:color="000000"/>
              <w:left w:val="single" w:sz="4" w:space="0" w:color="000000"/>
              <w:bottom w:val="single" w:sz="4" w:space="0" w:color="000000"/>
              <w:right w:val="single" w:sz="4" w:space="0" w:color="000000"/>
            </w:tcBorders>
            <w:shd w:val="clear" w:color="auto" w:fill="auto"/>
          </w:tcPr>
          <w:p w14:paraId="706AF50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Zał. C </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2467EE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Skład materiałowy </w:t>
            </w:r>
          </w:p>
        </w:tc>
        <w:tc>
          <w:tcPr>
            <w:tcW w:w="3119" w:type="dxa"/>
            <w:tcBorders>
              <w:top w:val="single" w:sz="4" w:space="0" w:color="000000"/>
              <w:left w:val="single" w:sz="4" w:space="0" w:color="000000"/>
              <w:bottom w:val="single" w:sz="4" w:space="0" w:color="000000"/>
              <w:right w:val="single" w:sz="8" w:space="0" w:color="000000"/>
            </w:tcBorders>
            <w:shd w:val="clear" w:color="auto" w:fill="auto"/>
          </w:tcPr>
          <w:p w14:paraId="758060A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Deklarowany </w:t>
            </w:r>
          </w:p>
        </w:tc>
        <w:tc>
          <w:tcPr>
            <w:tcW w:w="1484" w:type="dxa"/>
            <w:tcBorders>
              <w:top w:val="single" w:sz="4" w:space="0" w:color="000000"/>
              <w:left w:val="single" w:sz="8" w:space="0" w:color="000000"/>
              <w:bottom w:val="single" w:sz="4" w:space="0" w:color="000000"/>
              <w:right w:val="single" w:sz="4" w:space="0" w:color="000000"/>
            </w:tcBorders>
            <w:shd w:val="clear" w:color="auto" w:fill="auto"/>
          </w:tcPr>
          <w:p w14:paraId="5907D71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w:t>
            </w:r>
          </w:p>
        </w:tc>
      </w:tr>
      <w:tr w:rsidR="003220D1" w:rsidRPr="003220D1" w14:paraId="69CAE4E7" w14:textId="77777777" w:rsidTr="00855929">
        <w:tblPrEx>
          <w:tblCellMar>
            <w:top w:w="45" w:type="dxa"/>
            <w:left w:w="70" w:type="dxa"/>
            <w:right w:w="18" w:type="dxa"/>
          </w:tblCellMar>
        </w:tblPrEx>
        <w:trPr>
          <w:trHeight w:val="571"/>
        </w:trPr>
        <w:tc>
          <w:tcPr>
            <w:tcW w:w="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07338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Zał.C. </w:t>
            </w:r>
          </w:p>
          <w:p w14:paraId="0B50A68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podrozd ział </w:t>
            </w:r>
          </w:p>
          <w:p w14:paraId="30112C6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C.3.4 </w:t>
            </w:r>
          </w:p>
        </w:tc>
        <w:tc>
          <w:tcPr>
            <w:tcW w:w="43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E187C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Istotne cechy środowiskowe </w:t>
            </w:r>
          </w:p>
        </w:tc>
        <w:tc>
          <w:tcPr>
            <w:tcW w:w="3119" w:type="dxa"/>
            <w:tcBorders>
              <w:top w:val="single" w:sz="4" w:space="0" w:color="000000"/>
              <w:left w:val="single" w:sz="4" w:space="0" w:color="000000"/>
              <w:bottom w:val="single" w:sz="4" w:space="0" w:color="000000"/>
              <w:right w:val="single" w:sz="8" w:space="0" w:color="000000"/>
            </w:tcBorders>
            <w:shd w:val="clear" w:color="auto" w:fill="auto"/>
          </w:tcPr>
          <w:p w14:paraId="702353C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Większość substancji niebezpiecznych określonych w dyrektywie Rady 76/769/EWG zazwyczaj nie występuje </w:t>
            </w:r>
          </w:p>
          <w:p w14:paraId="1652F69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w źródłach kruszywa pochodzenia mineralnego. Jednak w odniesieniu do kruszyw sztucznych i odpadowych </w:t>
            </w:r>
          </w:p>
          <w:p w14:paraId="07CB5A0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należy badać czy zawartość substancji niebezpiecznych </w:t>
            </w:r>
          </w:p>
          <w:p w14:paraId="1F49571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nie przekracza wartości dopuszczalnych wg odrębnych </w:t>
            </w:r>
          </w:p>
          <w:p w14:paraId="5BA009E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przepisów </w:t>
            </w:r>
          </w:p>
        </w:tc>
        <w:tc>
          <w:tcPr>
            <w:tcW w:w="1484" w:type="dxa"/>
            <w:tcBorders>
              <w:top w:val="single" w:sz="4" w:space="0" w:color="000000"/>
              <w:left w:val="single" w:sz="8" w:space="0" w:color="000000"/>
              <w:bottom w:val="single" w:sz="4" w:space="0" w:color="000000"/>
              <w:right w:val="single" w:sz="4" w:space="0" w:color="000000"/>
            </w:tcBorders>
            <w:shd w:val="clear" w:color="auto" w:fill="auto"/>
            <w:vAlign w:val="center"/>
          </w:tcPr>
          <w:p w14:paraId="25A9450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w:t>
            </w:r>
          </w:p>
        </w:tc>
      </w:tr>
    </w:tbl>
    <w:p w14:paraId="27BC6250"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 Łączna zawartość pyłów w mieszance powinna się mieścić w wybranych krzywych granicznych. </w:t>
      </w:r>
    </w:p>
    <w:p w14:paraId="01145C3A"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 w przypadku gdy wymaganie nie jest spełnione, należy sprawdzić mrozoodporność. </w:t>
      </w:r>
    </w:p>
    <w:p w14:paraId="0522C34A"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 pod warunkiem gdy zawartość w mieszance nie przekracza 50% m/m </w:t>
      </w:r>
    </w:p>
    <w:p w14:paraId="21AA936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Mieszanki niezwiązane do warstwy odsączającej powinny spełniać wymagania krajowe, przenoszące zapisy normy PN-EN-13285 Mieszanki niezwiązane Specyfikacje, które zostały określone w dokumentach: WT-4 2010 Wymagania Techniczne, KTKNPiP 2014, KTKNSZ 2014.  </w:t>
      </w:r>
    </w:p>
    <w:p w14:paraId="27E67BA6"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 </w:t>
      </w:r>
    </w:p>
    <w:p w14:paraId="50224896"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Zakres stosowania mieszanek niezwiązanych do warstwy odsączającej oraz wymagania wobec tych mieszanek należy przyjmować zgodnie z tablicą 2.3. </w:t>
      </w:r>
    </w:p>
    <w:p w14:paraId="4E478A4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 </w:t>
      </w:r>
    </w:p>
    <w:p w14:paraId="428BC770" w14:textId="77777777" w:rsidR="00B43C53" w:rsidRDefault="00B43C53"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p>
    <w:p w14:paraId="452DEAA1" w14:textId="77777777" w:rsidR="00B43C53" w:rsidRDefault="00B43C53"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p>
    <w:p w14:paraId="41DA6F88" w14:textId="77777777" w:rsidR="00B43C53" w:rsidRDefault="00B43C53"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p>
    <w:p w14:paraId="2F11108B" w14:textId="77777777" w:rsidR="00B43C53" w:rsidRDefault="00B43C53"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p>
    <w:p w14:paraId="2991B265" w14:textId="73F592E3"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lastRenderedPageBreak/>
        <w:t>Tablica 2.3.</w:t>
      </w:r>
      <w:r w:rsidRPr="003220D1">
        <w:rPr>
          <w:rFonts w:ascii="Arial Narrow" w:eastAsia="Times New Roman" w:hAnsi="Arial Narrow" w:cs="Times New Roman"/>
          <w:sz w:val="20"/>
          <w:szCs w:val="20"/>
          <w:lang w:eastAsia="pl-PL"/>
        </w:rPr>
        <w:t xml:space="preserve"> Podstawowe wymagania dotyczące mieszanek niezwiązanych do warstwy odsączającej </w:t>
      </w:r>
    </w:p>
    <w:tbl>
      <w:tblPr>
        <w:tblW w:w="9639" w:type="dxa"/>
        <w:tblInd w:w="5" w:type="dxa"/>
        <w:tblCellMar>
          <w:top w:w="50" w:type="dxa"/>
          <w:left w:w="0" w:type="dxa"/>
          <w:right w:w="13" w:type="dxa"/>
        </w:tblCellMar>
        <w:tblLook w:val="04A0" w:firstRow="1" w:lastRow="0" w:firstColumn="1" w:lastColumn="0" w:noHBand="0" w:noVBand="1"/>
      </w:tblPr>
      <w:tblGrid>
        <w:gridCol w:w="545"/>
        <w:gridCol w:w="2252"/>
        <w:gridCol w:w="3724"/>
        <w:gridCol w:w="1949"/>
        <w:gridCol w:w="1169"/>
      </w:tblGrid>
      <w:tr w:rsidR="003220D1" w:rsidRPr="003220D1" w14:paraId="26CDCE11" w14:textId="77777777" w:rsidTr="00855929">
        <w:trPr>
          <w:trHeight w:val="336"/>
        </w:trPr>
        <w:tc>
          <w:tcPr>
            <w:tcW w:w="545" w:type="dxa"/>
            <w:vMerge w:val="restart"/>
            <w:tcBorders>
              <w:top w:val="single" w:sz="4" w:space="0" w:color="000000"/>
              <w:left w:val="single" w:sz="4" w:space="0" w:color="000000"/>
              <w:bottom w:val="double" w:sz="4" w:space="0" w:color="000000"/>
              <w:right w:val="single" w:sz="4" w:space="0" w:color="000000"/>
            </w:tcBorders>
            <w:shd w:val="clear" w:color="auto" w:fill="auto"/>
            <w:vAlign w:val="center"/>
          </w:tcPr>
          <w:p w14:paraId="5575A14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Lp. </w:t>
            </w:r>
          </w:p>
        </w:tc>
        <w:tc>
          <w:tcPr>
            <w:tcW w:w="5976" w:type="dxa"/>
            <w:gridSpan w:val="2"/>
            <w:vMerge w:val="restart"/>
            <w:tcBorders>
              <w:top w:val="single" w:sz="4" w:space="0" w:color="000000"/>
              <w:left w:val="single" w:sz="4" w:space="0" w:color="000000"/>
              <w:bottom w:val="double" w:sz="4" w:space="0" w:color="000000"/>
              <w:right w:val="single" w:sz="4" w:space="0" w:color="000000"/>
            </w:tcBorders>
            <w:shd w:val="clear" w:color="auto" w:fill="auto"/>
            <w:vAlign w:val="center"/>
          </w:tcPr>
          <w:p w14:paraId="1CB94A2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Właściwości </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Pr>
          <w:p w14:paraId="0B5DC15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Warstwa odsączająca </w:t>
            </w:r>
          </w:p>
        </w:tc>
      </w:tr>
      <w:tr w:rsidR="003220D1" w:rsidRPr="003220D1" w14:paraId="256C6A1C" w14:textId="77777777" w:rsidTr="00855929">
        <w:trPr>
          <w:trHeight w:val="271"/>
        </w:trPr>
        <w:tc>
          <w:tcPr>
            <w:tcW w:w="0" w:type="auto"/>
            <w:vMerge/>
            <w:tcBorders>
              <w:top w:val="nil"/>
              <w:left w:val="single" w:sz="4" w:space="0" w:color="000000"/>
              <w:bottom w:val="double" w:sz="4" w:space="0" w:color="000000"/>
              <w:right w:val="single" w:sz="4" w:space="0" w:color="000000"/>
            </w:tcBorders>
            <w:shd w:val="clear" w:color="auto" w:fill="auto"/>
          </w:tcPr>
          <w:p w14:paraId="406717E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5976" w:type="dxa"/>
            <w:gridSpan w:val="2"/>
            <w:vMerge/>
            <w:tcBorders>
              <w:top w:val="nil"/>
              <w:left w:val="single" w:sz="4" w:space="0" w:color="000000"/>
              <w:bottom w:val="double" w:sz="4" w:space="0" w:color="000000"/>
              <w:right w:val="single" w:sz="4" w:space="0" w:color="000000"/>
            </w:tcBorders>
            <w:shd w:val="clear" w:color="auto" w:fill="auto"/>
          </w:tcPr>
          <w:p w14:paraId="4E0CB57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1949" w:type="dxa"/>
            <w:tcBorders>
              <w:top w:val="single" w:sz="4" w:space="0" w:color="000000"/>
              <w:left w:val="single" w:sz="4" w:space="0" w:color="000000"/>
              <w:bottom w:val="double" w:sz="4" w:space="0" w:color="000000"/>
              <w:right w:val="single" w:sz="4" w:space="0" w:color="000000"/>
            </w:tcBorders>
            <w:shd w:val="clear" w:color="auto" w:fill="auto"/>
          </w:tcPr>
          <w:p w14:paraId="589A40B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KR1 - KR2 </w:t>
            </w:r>
          </w:p>
        </w:tc>
        <w:tc>
          <w:tcPr>
            <w:tcW w:w="1169" w:type="dxa"/>
            <w:tcBorders>
              <w:top w:val="single" w:sz="4" w:space="0" w:color="000000"/>
              <w:left w:val="single" w:sz="4" w:space="0" w:color="000000"/>
              <w:bottom w:val="double" w:sz="4" w:space="0" w:color="000000"/>
              <w:right w:val="single" w:sz="4" w:space="0" w:color="000000"/>
            </w:tcBorders>
            <w:shd w:val="clear" w:color="auto" w:fill="auto"/>
          </w:tcPr>
          <w:p w14:paraId="30B185F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KR3 – KR7 </w:t>
            </w:r>
          </w:p>
        </w:tc>
      </w:tr>
      <w:tr w:rsidR="003220D1" w:rsidRPr="003220D1" w14:paraId="0416388A" w14:textId="77777777" w:rsidTr="00855929">
        <w:trPr>
          <w:trHeight w:val="319"/>
        </w:trPr>
        <w:tc>
          <w:tcPr>
            <w:tcW w:w="545" w:type="dxa"/>
            <w:tcBorders>
              <w:top w:val="double" w:sz="4" w:space="0" w:color="000000"/>
              <w:left w:val="single" w:sz="4" w:space="0" w:color="000000"/>
              <w:bottom w:val="single" w:sz="4" w:space="0" w:color="000000"/>
              <w:right w:val="single" w:sz="4" w:space="0" w:color="000000"/>
            </w:tcBorders>
            <w:shd w:val="clear" w:color="auto" w:fill="auto"/>
          </w:tcPr>
          <w:p w14:paraId="4B2F7BC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 </w:t>
            </w:r>
          </w:p>
        </w:tc>
        <w:tc>
          <w:tcPr>
            <w:tcW w:w="5976" w:type="dxa"/>
            <w:gridSpan w:val="2"/>
            <w:tcBorders>
              <w:top w:val="double" w:sz="4" w:space="0" w:color="000000"/>
              <w:left w:val="single" w:sz="4" w:space="0" w:color="000000"/>
              <w:bottom w:val="single" w:sz="4" w:space="0" w:color="000000"/>
              <w:right w:val="single" w:sz="4" w:space="0" w:color="000000"/>
            </w:tcBorders>
            <w:shd w:val="clear" w:color="auto" w:fill="auto"/>
          </w:tcPr>
          <w:p w14:paraId="77AD5A2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Uziarnienie, badanie wg PN-EN 933-1: </w:t>
            </w:r>
          </w:p>
        </w:tc>
        <w:tc>
          <w:tcPr>
            <w:tcW w:w="3118" w:type="dxa"/>
            <w:gridSpan w:val="2"/>
            <w:tcBorders>
              <w:top w:val="double" w:sz="4" w:space="0" w:color="000000"/>
              <w:left w:val="single" w:sz="4" w:space="0" w:color="000000"/>
              <w:bottom w:val="single" w:sz="4" w:space="0" w:color="000000"/>
              <w:right w:val="single" w:sz="4" w:space="0" w:color="000000"/>
            </w:tcBorders>
            <w:shd w:val="clear" w:color="auto" w:fill="auto"/>
          </w:tcPr>
          <w:p w14:paraId="5069C0C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od 0/8 do 0/63 </w:t>
            </w:r>
          </w:p>
        </w:tc>
      </w:tr>
      <w:tr w:rsidR="003220D1" w:rsidRPr="003220D1" w14:paraId="7B8A4B13" w14:textId="77777777" w:rsidTr="00855929">
        <w:trPr>
          <w:trHeight w:val="518"/>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83C53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2. </w:t>
            </w:r>
          </w:p>
        </w:tc>
        <w:tc>
          <w:tcPr>
            <w:tcW w:w="5976" w:type="dxa"/>
            <w:gridSpan w:val="2"/>
            <w:tcBorders>
              <w:top w:val="single" w:sz="4" w:space="0" w:color="000000"/>
              <w:left w:val="single" w:sz="4" w:space="0" w:color="000000"/>
              <w:bottom w:val="single" w:sz="4" w:space="0" w:color="000000"/>
              <w:right w:val="single" w:sz="4" w:space="0" w:color="000000"/>
            </w:tcBorders>
            <w:shd w:val="clear" w:color="auto" w:fill="auto"/>
          </w:tcPr>
          <w:p w14:paraId="5131F34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Zawartość ziaren przekruszonych  lub łamanych, badanie wg PN-EN 933-5: </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44F916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CNR </w:t>
            </w:r>
          </w:p>
        </w:tc>
      </w:tr>
      <w:tr w:rsidR="003220D1" w:rsidRPr="003220D1" w14:paraId="43101211" w14:textId="77777777" w:rsidTr="00855929">
        <w:trPr>
          <w:trHeight w:val="516"/>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6F014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3 </w:t>
            </w:r>
          </w:p>
        </w:tc>
        <w:tc>
          <w:tcPr>
            <w:tcW w:w="5976" w:type="dxa"/>
            <w:gridSpan w:val="2"/>
            <w:tcBorders>
              <w:top w:val="single" w:sz="4" w:space="0" w:color="000000"/>
              <w:left w:val="single" w:sz="4" w:space="0" w:color="000000"/>
              <w:bottom w:val="single" w:sz="4" w:space="0" w:color="000000"/>
              <w:right w:val="single" w:sz="4" w:space="0" w:color="000000"/>
            </w:tcBorders>
            <w:shd w:val="clear" w:color="auto" w:fill="auto"/>
          </w:tcPr>
          <w:p w14:paraId="548FDD1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Zawartość nadziarna badanie  wg PN-EN 933-1: </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E21002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OC</w:t>
            </w:r>
            <w:r w:rsidRPr="003220D1">
              <w:rPr>
                <w:rFonts w:ascii="Arial Narrow" w:eastAsia="Times New Roman" w:hAnsi="Arial Narrow" w:cs="Times New Roman"/>
                <w:vertAlign w:val="subscript"/>
              </w:rPr>
              <w:t>90</w:t>
            </w:r>
            <w:r w:rsidRPr="003220D1">
              <w:rPr>
                <w:rFonts w:ascii="Arial Narrow" w:eastAsia="Times New Roman" w:hAnsi="Arial Narrow" w:cs="Times New Roman"/>
              </w:rPr>
              <w:t xml:space="preserve"> </w:t>
            </w:r>
          </w:p>
        </w:tc>
      </w:tr>
      <w:tr w:rsidR="003220D1" w:rsidRPr="003220D1" w14:paraId="5379F762" w14:textId="77777777" w:rsidTr="00855929">
        <w:trPr>
          <w:trHeight w:val="518"/>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91E29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4 </w:t>
            </w:r>
          </w:p>
        </w:tc>
        <w:tc>
          <w:tcPr>
            <w:tcW w:w="5976" w:type="dxa"/>
            <w:gridSpan w:val="2"/>
            <w:tcBorders>
              <w:top w:val="single" w:sz="4" w:space="0" w:color="000000"/>
              <w:left w:val="single" w:sz="4" w:space="0" w:color="000000"/>
              <w:bottom w:val="single" w:sz="4" w:space="0" w:color="000000"/>
              <w:right w:val="single" w:sz="4" w:space="0" w:color="000000"/>
            </w:tcBorders>
            <w:shd w:val="clear" w:color="auto" w:fill="auto"/>
          </w:tcPr>
          <w:p w14:paraId="29AF124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Wymagania wobec uziarnienia  badanie wg PN-EN 933-1: </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Pr>
          <w:p w14:paraId="3C5CE99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Krzywe uziarnienia wg WT-4 2010 wg rys 2-8 (odniesienie do tablicy 5 i 6 w PN-EN 13285) </w:t>
            </w:r>
          </w:p>
        </w:tc>
      </w:tr>
      <w:tr w:rsidR="003220D1" w:rsidRPr="003220D1" w14:paraId="7ECB4C73" w14:textId="77777777" w:rsidTr="00855929">
        <w:trPr>
          <w:trHeight w:val="1035"/>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1446E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5. </w:t>
            </w:r>
          </w:p>
        </w:tc>
        <w:tc>
          <w:tcPr>
            <w:tcW w:w="2252" w:type="dxa"/>
            <w:tcBorders>
              <w:top w:val="single" w:sz="4" w:space="0" w:color="000000"/>
              <w:left w:val="single" w:sz="4" w:space="0" w:color="000000"/>
              <w:bottom w:val="single" w:sz="4" w:space="0" w:color="000000"/>
              <w:right w:val="single" w:sz="4" w:space="0" w:color="000000"/>
            </w:tcBorders>
            <w:shd w:val="clear" w:color="auto" w:fill="auto"/>
          </w:tcPr>
          <w:p w14:paraId="69F1507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Maksymalna zawartość pyłów, badanie  wg PN-EN 933-1: </w:t>
            </w:r>
          </w:p>
        </w:tc>
        <w:tc>
          <w:tcPr>
            <w:tcW w:w="3724" w:type="dxa"/>
            <w:tcBorders>
              <w:top w:val="single" w:sz="4" w:space="0" w:color="000000"/>
              <w:left w:val="single" w:sz="4" w:space="0" w:color="000000"/>
              <w:right w:val="single" w:sz="4" w:space="0" w:color="000000"/>
            </w:tcBorders>
            <w:shd w:val="clear" w:color="auto" w:fill="auto"/>
          </w:tcPr>
          <w:p w14:paraId="69A85CF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p w14:paraId="7B04307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gdy pełni rolę warstwy odsączającej </w:t>
            </w:r>
          </w:p>
        </w:tc>
        <w:tc>
          <w:tcPr>
            <w:tcW w:w="3118" w:type="dxa"/>
            <w:gridSpan w:val="2"/>
            <w:tcBorders>
              <w:top w:val="single" w:sz="4" w:space="0" w:color="000000"/>
              <w:left w:val="single" w:sz="4" w:space="0" w:color="000000"/>
              <w:right w:val="single" w:sz="4" w:space="0" w:color="000000"/>
            </w:tcBorders>
            <w:shd w:val="clear" w:color="auto" w:fill="auto"/>
            <w:vAlign w:val="center"/>
          </w:tcPr>
          <w:p w14:paraId="6AC5692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p w14:paraId="325EED8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UF</w:t>
            </w:r>
            <w:r w:rsidRPr="003220D1">
              <w:rPr>
                <w:rFonts w:ascii="Arial Narrow" w:eastAsia="Times New Roman" w:hAnsi="Arial Narrow" w:cs="Times New Roman"/>
                <w:vertAlign w:val="subscript"/>
              </w:rPr>
              <w:t>6</w:t>
            </w:r>
            <w:r w:rsidRPr="003220D1">
              <w:rPr>
                <w:rFonts w:ascii="Arial Narrow" w:eastAsia="Times New Roman" w:hAnsi="Arial Narrow" w:cs="Times New Roman"/>
              </w:rPr>
              <w:t xml:space="preserve"> </w:t>
            </w:r>
          </w:p>
        </w:tc>
      </w:tr>
      <w:tr w:rsidR="003220D1" w:rsidRPr="003220D1" w14:paraId="2DCEC48A" w14:textId="77777777" w:rsidTr="00855929">
        <w:trPr>
          <w:trHeight w:val="449"/>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40D40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6. </w:t>
            </w:r>
          </w:p>
        </w:tc>
        <w:tc>
          <w:tcPr>
            <w:tcW w:w="5976" w:type="dxa"/>
            <w:gridSpan w:val="2"/>
            <w:tcBorders>
              <w:top w:val="single" w:sz="4" w:space="0" w:color="000000"/>
              <w:left w:val="single" w:sz="4" w:space="0" w:color="000000"/>
              <w:bottom w:val="single" w:sz="4" w:space="0" w:color="000000"/>
              <w:right w:val="single" w:sz="4" w:space="0" w:color="000000"/>
            </w:tcBorders>
            <w:shd w:val="clear" w:color="auto" w:fill="auto"/>
          </w:tcPr>
          <w:p w14:paraId="4A1230D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Odporność na rozdrabnianie, badanie wg PN-EN 1097-2 </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6E9437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LA</w:t>
            </w:r>
            <w:r w:rsidRPr="003220D1">
              <w:rPr>
                <w:rFonts w:ascii="Arial Narrow" w:eastAsia="Times New Roman" w:hAnsi="Arial Narrow" w:cs="Times New Roman"/>
                <w:vertAlign w:val="subscript"/>
              </w:rPr>
              <w:t>NR</w:t>
            </w:r>
            <w:r w:rsidRPr="003220D1">
              <w:rPr>
                <w:rFonts w:ascii="Arial Narrow" w:eastAsia="Times New Roman" w:hAnsi="Arial Narrow" w:cs="Times New Roman"/>
              </w:rPr>
              <w:t xml:space="preserve"> </w:t>
            </w:r>
          </w:p>
        </w:tc>
      </w:tr>
      <w:tr w:rsidR="003220D1" w:rsidRPr="003220D1" w14:paraId="0ED5DABC" w14:textId="77777777" w:rsidTr="00855929">
        <w:trPr>
          <w:trHeight w:val="1404"/>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56A97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7. </w:t>
            </w:r>
          </w:p>
        </w:tc>
        <w:tc>
          <w:tcPr>
            <w:tcW w:w="22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B0111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Wskaźnik piaskowy </w:t>
            </w:r>
          </w:p>
          <w:p w14:paraId="488BCD7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SE</w:t>
            </w:r>
            <w:r w:rsidRPr="003220D1">
              <w:rPr>
                <w:rFonts w:ascii="Arial Narrow" w:eastAsia="Times New Roman" w:hAnsi="Arial Narrow" w:cs="Times New Roman"/>
                <w:vertAlign w:val="subscript"/>
              </w:rPr>
              <w:t>4</w:t>
            </w:r>
            <w:r w:rsidRPr="003220D1">
              <w:rPr>
                <w:rFonts w:ascii="Arial Narrow" w:eastAsia="Times New Roman" w:hAnsi="Arial Narrow" w:cs="Times New Roman"/>
              </w:rPr>
              <w:t xml:space="preserve">*), badanie wg  PN-EN 933-8,  co najmniej </w:t>
            </w:r>
          </w:p>
        </w:tc>
        <w:tc>
          <w:tcPr>
            <w:tcW w:w="3724" w:type="dxa"/>
            <w:tcBorders>
              <w:top w:val="single" w:sz="4" w:space="0" w:color="000000"/>
              <w:left w:val="single" w:sz="4" w:space="0" w:color="000000"/>
              <w:bottom w:val="single" w:sz="4" w:space="0" w:color="000000"/>
              <w:right w:val="single" w:sz="4" w:space="0" w:color="000000"/>
            </w:tcBorders>
            <w:shd w:val="clear" w:color="auto" w:fill="auto"/>
          </w:tcPr>
          <w:p w14:paraId="3655ED4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w:t>
            </w:r>
          </w:p>
          <w:p w14:paraId="197B91B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mieszanki po pięciokrotnym zagęszczeniu metodą Proctora  wg PN-EN 13286-2 </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49298D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w:t>
            </w:r>
          </w:p>
          <w:p w14:paraId="76FE24C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35  </w:t>
            </w:r>
          </w:p>
        </w:tc>
      </w:tr>
      <w:tr w:rsidR="003220D1" w:rsidRPr="003220D1" w14:paraId="3A0720DB" w14:textId="77777777" w:rsidTr="00855929">
        <w:trPr>
          <w:trHeight w:val="446"/>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351C4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8. </w:t>
            </w:r>
          </w:p>
        </w:tc>
        <w:tc>
          <w:tcPr>
            <w:tcW w:w="5976" w:type="dxa"/>
            <w:gridSpan w:val="2"/>
            <w:tcBorders>
              <w:top w:val="single" w:sz="4" w:space="0" w:color="000000"/>
              <w:left w:val="single" w:sz="4" w:space="0" w:color="000000"/>
              <w:bottom w:val="single" w:sz="4" w:space="0" w:color="000000"/>
              <w:right w:val="single" w:sz="4" w:space="0" w:color="000000"/>
            </w:tcBorders>
            <w:shd w:val="clear" w:color="auto" w:fill="auto"/>
          </w:tcPr>
          <w:p w14:paraId="398A187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Mrozoodporność, badanie  wg PN-EN 1367-1 </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1DA980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F</w:t>
            </w:r>
            <w:r w:rsidRPr="003220D1">
              <w:rPr>
                <w:rFonts w:ascii="Arial Narrow" w:eastAsia="Times New Roman" w:hAnsi="Arial Narrow" w:cs="Times New Roman"/>
                <w:vertAlign w:val="subscript"/>
              </w:rPr>
              <w:t xml:space="preserve">Deklarowana </w:t>
            </w:r>
            <w:r w:rsidRPr="003220D1">
              <w:rPr>
                <w:rFonts w:ascii="Arial Narrow" w:eastAsia="Times New Roman" w:hAnsi="Arial Narrow" w:cs="Times New Roman"/>
              </w:rPr>
              <w:t xml:space="preserve">(nie więcej niż 10 %) </w:t>
            </w:r>
          </w:p>
        </w:tc>
      </w:tr>
      <w:tr w:rsidR="003220D1" w:rsidRPr="003220D1" w14:paraId="23CA4A51" w14:textId="77777777" w:rsidTr="00855929">
        <w:trPr>
          <w:trHeight w:val="449"/>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84430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9. </w:t>
            </w:r>
          </w:p>
        </w:tc>
        <w:tc>
          <w:tcPr>
            <w:tcW w:w="5976" w:type="dxa"/>
            <w:gridSpan w:val="2"/>
            <w:tcBorders>
              <w:top w:val="single" w:sz="4" w:space="0" w:color="000000"/>
              <w:left w:val="single" w:sz="4" w:space="0" w:color="000000"/>
              <w:bottom w:val="single" w:sz="4" w:space="0" w:color="000000"/>
              <w:right w:val="single" w:sz="4" w:space="0" w:color="000000"/>
            </w:tcBorders>
            <w:shd w:val="clear" w:color="auto" w:fill="auto"/>
          </w:tcPr>
          <w:p w14:paraId="730B7F3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Wskaźnik CBR po moczeniu w wodzie 96 h, badanie wg PN-EN 13286-47, co najmniej % </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Pr>
          <w:p w14:paraId="1B1C328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Wg pkt. 1.3</w:t>
            </w:r>
          </w:p>
        </w:tc>
      </w:tr>
      <w:tr w:rsidR="003220D1" w:rsidRPr="003220D1" w14:paraId="489BD42B" w14:textId="77777777" w:rsidTr="00855929">
        <w:trPr>
          <w:trHeight w:val="667"/>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91DBE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10. </w:t>
            </w:r>
          </w:p>
        </w:tc>
        <w:tc>
          <w:tcPr>
            <w:tcW w:w="22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ADAB3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Współczynnik filtracji k10**  </w:t>
            </w:r>
          </w:p>
        </w:tc>
        <w:tc>
          <w:tcPr>
            <w:tcW w:w="37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8D703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gdy pełni rolę warstwy odsączającej </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Pr>
          <w:p w14:paraId="1A159EC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0,0093 cm/s, </w:t>
            </w:r>
          </w:p>
          <w:p w14:paraId="4A7A159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(8 m/dobę) </w:t>
            </w:r>
          </w:p>
        </w:tc>
      </w:tr>
      <w:tr w:rsidR="003220D1" w:rsidRPr="003220D1" w14:paraId="368358E7" w14:textId="77777777" w:rsidTr="00855929">
        <w:trPr>
          <w:trHeight w:val="665"/>
        </w:trPr>
        <w:tc>
          <w:tcPr>
            <w:tcW w:w="545" w:type="dxa"/>
            <w:tcBorders>
              <w:top w:val="single" w:sz="4" w:space="0" w:color="000000"/>
              <w:left w:val="single" w:sz="4" w:space="0" w:color="000000"/>
              <w:bottom w:val="single" w:sz="4" w:space="0" w:color="000000"/>
              <w:right w:val="single" w:sz="4" w:space="0" w:color="000000"/>
            </w:tcBorders>
            <w:shd w:val="clear" w:color="auto" w:fill="auto"/>
          </w:tcPr>
          <w:p w14:paraId="1D274EF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11. </w:t>
            </w:r>
          </w:p>
        </w:tc>
        <w:tc>
          <w:tcPr>
            <w:tcW w:w="5976" w:type="dxa"/>
            <w:gridSpan w:val="2"/>
            <w:tcBorders>
              <w:top w:val="single" w:sz="4" w:space="0" w:color="000000"/>
              <w:left w:val="single" w:sz="4" w:space="0" w:color="000000"/>
              <w:bottom w:val="single" w:sz="4" w:space="0" w:color="000000"/>
              <w:right w:val="single" w:sz="4" w:space="0" w:color="000000"/>
            </w:tcBorders>
            <w:shd w:val="clear" w:color="auto" w:fill="auto"/>
          </w:tcPr>
          <w:p w14:paraId="080C147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Zawartość wody w mieszance zagęszczanej,  </w:t>
            </w:r>
          </w:p>
          <w:p w14:paraId="5279294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(m/m) wilgotności optymalnej wg metody </w:t>
            </w:r>
          </w:p>
          <w:p w14:paraId="0D31C77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Proctora wg PN-EN 13286-2 </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9BEC47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70-100 </w:t>
            </w:r>
          </w:p>
        </w:tc>
      </w:tr>
    </w:tbl>
    <w:p w14:paraId="67F669B0"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t>
      </w:r>
      <w:r w:rsidRPr="003220D1">
        <w:rPr>
          <w:rFonts w:ascii="Arial Narrow" w:eastAsia="Times New Roman" w:hAnsi="Arial Narrow" w:cs="Times New Roman"/>
          <w:b/>
          <w:sz w:val="20"/>
          <w:szCs w:val="20"/>
          <w:lang w:eastAsia="pl-PL"/>
        </w:rPr>
        <w:t xml:space="preserve"> </w:t>
      </w:r>
      <w:r w:rsidRPr="003220D1">
        <w:rPr>
          <w:rFonts w:ascii="Arial Narrow" w:eastAsia="Times New Roman" w:hAnsi="Arial Narrow" w:cs="Times New Roman"/>
          <w:sz w:val="20"/>
          <w:szCs w:val="20"/>
          <w:lang w:eastAsia="pl-PL"/>
        </w:rPr>
        <w:t xml:space="preserve">Badanie wskaźnika piaskowego na frakcji </w:t>
      </w:r>
      <w:r w:rsidRPr="003220D1">
        <w:rPr>
          <w:rFonts w:ascii="Arial Narrow" w:eastAsia="Times New Roman" w:hAnsi="Arial Narrow" w:cs="Times New Roman"/>
          <w:b/>
          <w:sz w:val="20"/>
          <w:szCs w:val="20"/>
          <w:lang w:eastAsia="pl-PL"/>
        </w:rPr>
        <w:t>0/4</w:t>
      </w:r>
      <w:r w:rsidRPr="003220D1">
        <w:rPr>
          <w:rFonts w:ascii="Arial Narrow" w:eastAsia="Times New Roman" w:hAnsi="Arial Narrow" w:cs="Times New Roman"/>
          <w:sz w:val="20"/>
          <w:szCs w:val="20"/>
          <w:lang w:eastAsia="pl-PL"/>
        </w:rPr>
        <w:t xml:space="preserve"> mm </w:t>
      </w:r>
      <w:r w:rsidRPr="003220D1">
        <w:rPr>
          <w:rFonts w:ascii="Arial Narrow" w:eastAsia="Times New Roman" w:hAnsi="Arial Narrow" w:cs="Times New Roman"/>
          <w:b/>
          <w:sz w:val="20"/>
          <w:szCs w:val="20"/>
          <w:lang w:eastAsia="pl-PL"/>
        </w:rPr>
        <w:t>(SE</w:t>
      </w:r>
      <w:r w:rsidRPr="003220D1">
        <w:rPr>
          <w:rFonts w:ascii="Arial Narrow" w:eastAsia="Times New Roman" w:hAnsi="Arial Narrow" w:cs="Times New Roman"/>
          <w:b/>
          <w:sz w:val="20"/>
          <w:szCs w:val="20"/>
          <w:vertAlign w:val="subscript"/>
          <w:lang w:eastAsia="pl-PL"/>
        </w:rPr>
        <w:t>4</w:t>
      </w:r>
      <w:r w:rsidRPr="003220D1">
        <w:rPr>
          <w:rFonts w:ascii="Arial Narrow" w:eastAsia="Times New Roman" w:hAnsi="Arial Narrow" w:cs="Times New Roman"/>
          <w:b/>
          <w:sz w:val="20"/>
          <w:szCs w:val="20"/>
          <w:lang w:eastAsia="pl-PL"/>
        </w:rPr>
        <w:t>)</w:t>
      </w:r>
      <w:r w:rsidRPr="003220D1">
        <w:rPr>
          <w:rFonts w:ascii="Arial Narrow" w:eastAsia="Times New Roman" w:hAnsi="Arial Narrow" w:cs="Times New Roman"/>
          <w:sz w:val="20"/>
          <w:szCs w:val="20"/>
          <w:lang w:eastAsia="pl-PL"/>
        </w:rPr>
        <w:t xml:space="preserve"> wg normy wg PN-EN 933-8: 2015-07 </w:t>
      </w:r>
    </w:p>
    <w:p w14:paraId="7341619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 Badanie współczynnika filtracji -  wg według normy BN-76/8950-03 lub wzoru USBSC „amerykańskiego” w zależności od uziarnienia badanego materiału.  </w:t>
      </w:r>
    </w:p>
    <w:p w14:paraId="2E4B050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Ustalenie współczynnika filtracji na podstawie uziarnienia, celem potwierdzenia stałości produkcji mieszanki, należy wykonać przy każdym badaniu uziarnienia zgodnie z częstotliwością podaną w Tablicy 6.8. Dopuszcza się za zgodą Inżyniera/Zamawiającego alternatywne metody określania współczynnika filtracji z zastosowaniem wzorów empirycznych.  </w:t>
      </w:r>
    </w:p>
    <w:p w14:paraId="0F0D99F8"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521" w:name="_Toc47979"/>
      <w:r w:rsidRPr="003220D1">
        <w:rPr>
          <w:rFonts w:ascii="Arial Narrow" w:eastAsia="Times New Roman" w:hAnsi="Arial Narrow" w:cs="Times New Roman"/>
          <w:b/>
          <w:sz w:val="24"/>
          <w:szCs w:val="20"/>
          <w:lang w:val="x-none" w:eastAsia="x-none"/>
        </w:rPr>
        <w:t>2.2.</w:t>
      </w:r>
      <w:r w:rsidRPr="003220D1">
        <w:rPr>
          <w:rFonts w:ascii="Arial Narrow" w:eastAsia="Times New Roman" w:hAnsi="Arial Narrow" w:cs="Times New Roman"/>
          <w:b/>
          <w:sz w:val="24"/>
          <w:szCs w:val="20"/>
          <w:lang w:eastAsia="x-none"/>
        </w:rPr>
        <w:t>3</w:t>
      </w:r>
      <w:r w:rsidRPr="003220D1">
        <w:rPr>
          <w:rFonts w:ascii="Arial Narrow" w:eastAsia="Times New Roman" w:hAnsi="Arial Narrow" w:cs="Times New Roman"/>
          <w:b/>
          <w:sz w:val="24"/>
          <w:szCs w:val="20"/>
          <w:lang w:val="x-none" w:eastAsia="x-none"/>
        </w:rPr>
        <w:t xml:space="preserve"> Grunty niewysadzinowe  </w:t>
      </w:r>
      <w:bookmarkEnd w:id="521"/>
    </w:p>
    <w:p w14:paraId="17D8753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Gruntami niewysadzinowymi do warstwy mrozoochronnej/odsączającej mogą być grunty naturalne lub antropogeniczne, z wyjątkiem piasku drobnego, spełniające wymagania podane w tablicy 2.6.  </w:t>
      </w:r>
    </w:p>
    <w:p w14:paraId="6614B82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 przypadku gruntów antropogenicznych należy zwrócić szczególną uwagę na ich jednorodność. </w:t>
      </w:r>
    </w:p>
    <w:p w14:paraId="43EAC5A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t xml:space="preserve">Tablica 2.6. </w:t>
      </w:r>
      <w:r w:rsidRPr="003220D1">
        <w:rPr>
          <w:rFonts w:ascii="Arial Narrow" w:eastAsia="Times New Roman" w:hAnsi="Arial Narrow" w:cs="Times New Roman"/>
          <w:sz w:val="20"/>
          <w:szCs w:val="20"/>
          <w:lang w:eastAsia="pl-PL"/>
        </w:rPr>
        <w:t xml:space="preserve">Zakres stosowania i podstawowe wymagania dotyczące gruntów niewysadzinowych do warstwy mrozoochronnej/odsączającej </w:t>
      </w:r>
    </w:p>
    <w:tbl>
      <w:tblPr>
        <w:tblW w:w="9940" w:type="dxa"/>
        <w:tblInd w:w="5" w:type="dxa"/>
        <w:tblCellMar>
          <w:top w:w="50" w:type="dxa"/>
          <w:right w:w="6" w:type="dxa"/>
        </w:tblCellMar>
        <w:tblLook w:val="04A0" w:firstRow="1" w:lastRow="0" w:firstColumn="1" w:lastColumn="0" w:noHBand="0" w:noVBand="1"/>
      </w:tblPr>
      <w:tblGrid>
        <w:gridCol w:w="530"/>
        <w:gridCol w:w="2357"/>
        <w:gridCol w:w="2362"/>
        <w:gridCol w:w="2540"/>
        <w:gridCol w:w="2151"/>
      </w:tblGrid>
      <w:tr w:rsidR="003220D1" w:rsidRPr="003220D1" w14:paraId="0EBD1DEA" w14:textId="77777777" w:rsidTr="00855929">
        <w:trPr>
          <w:trHeight w:val="338"/>
        </w:trPr>
        <w:tc>
          <w:tcPr>
            <w:tcW w:w="530" w:type="dxa"/>
            <w:vMerge w:val="restart"/>
            <w:tcBorders>
              <w:top w:val="single" w:sz="4" w:space="0" w:color="000000"/>
              <w:left w:val="single" w:sz="4" w:space="0" w:color="000000"/>
              <w:bottom w:val="double" w:sz="4" w:space="0" w:color="000000"/>
              <w:right w:val="single" w:sz="4" w:space="0" w:color="000000"/>
            </w:tcBorders>
            <w:shd w:val="clear" w:color="auto" w:fill="auto"/>
          </w:tcPr>
          <w:p w14:paraId="20AE7F8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Lp. </w:t>
            </w:r>
          </w:p>
        </w:tc>
        <w:tc>
          <w:tcPr>
            <w:tcW w:w="4719" w:type="dxa"/>
            <w:gridSpan w:val="2"/>
            <w:vMerge w:val="restart"/>
            <w:tcBorders>
              <w:top w:val="single" w:sz="4" w:space="0" w:color="000000"/>
              <w:left w:val="single" w:sz="4" w:space="0" w:color="000000"/>
              <w:bottom w:val="double" w:sz="4" w:space="0" w:color="000000"/>
              <w:right w:val="single" w:sz="4" w:space="0" w:color="000000"/>
            </w:tcBorders>
            <w:shd w:val="clear" w:color="auto" w:fill="auto"/>
          </w:tcPr>
          <w:p w14:paraId="616007C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Właściwości </w:t>
            </w:r>
          </w:p>
        </w:tc>
        <w:tc>
          <w:tcPr>
            <w:tcW w:w="4691" w:type="dxa"/>
            <w:gridSpan w:val="2"/>
            <w:tcBorders>
              <w:top w:val="single" w:sz="4" w:space="0" w:color="000000"/>
              <w:left w:val="single" w:sz="4" w:space="0" w:color="000000"/>
              <w:bottom w:val="single" w:sz="4" w:space="0" w:color="000000"/>
              <w:right w:val="single" w:sz="4" w:space="0" w:color="000000"/>
            </w:tcBorders>
            <w:shd w:val="clear" w:color="auto" w:fill="auto"/>
          </w:tcPr>
          <w:p w14:paraId="3C1863E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Warstwa odsączająca </w:t>
            </w:r>
          </w:p>
        </w:tc>
      </w:tr>
      <w:tr w:rsidR="003220D1" w:rsidRPr="003220D1" w14:paraId="02E9F690" w14:textId="77777777" w:rsidTr="00855929">
        <w:trPr>
          <w:trHeight w:val="271"/>
        </w:trPr>
        <w:tc>
          <w:tcPr>
            <w:tcW w:w="0" w:type="auto"/>
            <w:vMerge/>
            <w:tcBorders>
              <w:top w:val="nil"/>
              <w:left w:val="single" w:sz="4" w:space="0" w:color="000000"/>
              <w:bottom w:val="double" w:sz="4" w:space="0" w:color="000000"/>
              <w:right w:val="single" w:sz="4" w:space="0" w:color="000000"/>
            </w:tcBorders>
            <w:shd w:val="clear" w:color="auto" w:fill="auto"/>
          </w:tcPr>
          <w:p w14:paraId="083145B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gridSpan w:val="2"/>
            <w:vMerge/>
            <w:tcBorders>
              <w:top w:val="nil"/>
              <w:left w:val="single" w:sz="4" w:space="0" w:color="000000"/>
              <w:bottom w:val="double" w:sz="4" w:space="0" w:color="000000"/>
              <w:right w:val="single" w:sz="4" w:space="0" w:color="000000"/>
            </w:tcBorders>
            <w:shd w:val="clear" w:color="auto" w:fill="auto"/>
          </w:tcPr>
          <w:p w14:paraId="654B6D2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2540" w:type="dxa"/>
            <w:tcBorders>
              <w:top w:val="single" w:sz="4" w:space="0" w:color="000000"/>
              <w:left w:val="single" w:sz="4" w:space="0" w:color="000000"/>
              <w:bottom w:val="double" w:sz="4" w:space="0" w:color="000000"/>
              <w:right w:val="single" w:sz="4" w:space="0" w:color="000000"/>
            </w:tcBorders>
            <w:shd w:val="clear" w:color="auto" w:fill="auto"/>
          </w:tcPr>
          <w:p w14:paraId="19A7EA9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KR1 – KR2 </w:t>
            </w:r>
          </w:p>
        </w:tc>
        <w:tc>
          <w:tcPr>
            <w:tcW w:w="2151" w:type="dxa"/>
            <w:tcBorders>
              <w:top w:val="single" w:sz="4" w:space="0" w:color="000000"/>
              <w:left w:val="single" w:sz="4" w:space="0" w:color="000000"/>
              <w:bottom w:val="double" w:sz="4" w:space="0" w:color="000000"/>
              <w:right w:val="single" w:sz="4" w:space="0" w:color="000000"/>
            </w:tcBorders>
            <w:shd w:val="clear" w:color="auto" w:fill="auto"/>
          </w:tcPr>
          <w:p w14:paraId="59E009E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KR3 - KR7 </w:t>
            </w:r>
          </w:p>
        </w:tc>
      </w:tr>
      <w:tr w:rsidR="003220D1" w:rsidRPr="003220D1" w14:paraId="2EACB537" w14:textId="77777777" w:rsidTr="00855929">
        <w:trPr>
          <w:trHeight w:val="471"/>
        </w:trPr>
        <w:tc>
          <w:tcPr>
            <w:tcW w:w="530" w:type="dxa"/>
            <w:tcBorders>
              <w:top w:val="double" w:sz="4" w:space="0" w:color="000000"/>
              <w:left w:val="single" w:sz="4" w:space="0" w:color="000000"/>
              <w:bottom w:val="single" w:sz="4" w:space="0" w:color="000000"/>
              <w:right w:val="single" w:sz="4" w:space="0" w:color="000000"/>
            </w:tcBorders>
            <w:shd w:val="clear" w:color="auto" w:fill="auto"/>
          </w:tcPr>
          <w:p w14:paraId="64A4928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 </w:t>
            </w:r>
          </w:p>
        </w:tc>
        <w:tc>
          <w:tcPr>
            <w:tcW w:w="4719" w:type="dxa"/>
            <w:gridSpan w:val="2"/>
            <w:tcBorders>
              <w:top w:val="double" w:sz="4" w:space="0" w:color="000000"/>
              <w:left w:val="single" w:sz="4" w:space="0" w:color="000000"/>
              <w:bottom w:val="single" w:sz="4" w:space="0" w:color="000000"/>
              <w:right w:val="single" w:sz="4" w:space="0" w:color="000000"/>
            </w:tcBorders>
            <w:shd w:val="clear" w:color="auto" w:fill="auto"/>
          </w:tcPr>
          <w:p w14:paraId="1896494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Zawartość ziaren większych od 5,6 mm, badanie wg PN-EN 933-1, co najmniej %: </w:t>
            </w:r>
          </w:p>
        </w:tc>
        <w:tc>
          <w:tcPr>
            <w:tcW w:w="2540" w:type="dxa"/>
            <w:tcBorders>
              <w:top w:val="double" w:sz="4" w:space="0" w:color="000000"/>
              <w:left w:val="single" w:sz="4" w:space="0" w:color="000000"/>
              <w:bottom w:val="single" w:sz="4" w:space="0" w:color="000000"/>
              <w:right w:val="single" w:sz="4" w:space="0" w:color="000000"/>
            </w:tcBorders>
            <w:shd w:val="clear" w:color="auto" w:fill="auto"/>
            <w:vAlign w:val="center"/>
          </w:tcPr>
          <w:p w14:paraId="5886A39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Brak wymagań </w:t>
            </w:r>
          </w:p>
        </w:tc>
        <w:tc>
          <w:tcPr>
            <w:tcW w:w="2151" w:type="dxa"/>
            <w:tcBorders>
              <w:top w:val="double" w:sz="4" w:space="0" w:color="000000"/>
              <w:left w:val="single" w:sz="4" w:space="0" w:color="000000"/>
              <w:bottom w:val="single" w:sz="4" w:space="0" w:color="000000"/>
              <w:right w:val="single" w:sz="4" w:space="0" w:color="000000"/>
            </w:tcBorders>
            <w:shd w:val="clear" w:color="auto" w:fill="auto"/>
            <w:vAlign w:val="center"/>
          </w:tcPr>
          <w:p w14:paraId="403E3CB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10 </w:t>
            </w:r>
          </w:p>
        </w:tc>
      </w:tr>
      <w:tr w:rsidR="003220D1" w:rsidRPr="003220D1" w14:paraId="0A455186" w14:textId="77777777" w:rsidTr="00855929">
        <w:trPr>
          <w:trHeight w:val="463"/>
        </w:trPr>
        <w:tc>
          <w:tcPr>
            <w:tcW w:w="530" w:type="dxa"/>
            <w:tcBorders>
              <w:top w:val="single" w:sz="4" w:space="0" w:color="000000"/>
              <w:left w:val="single" w:sz="4" w:space="0" w:color="000000"/>
              <w:bottom w:val="single" w:sz="4" w:space="0" w:color="000000"/>
              <w:right w:val="single" w:sz="4" w:space="0" w:color="000000"/>
            </w:tcBorders>
            <w:shd w:val="clear" w:color="auto" w:fill="auto"/>
          </w:tcPr>
          <w:p w14:paraId="32B0CC4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2. </w:t>
            </w:r>
          </w:p>
        </w:tc>
        <w:tc>
          <w:tcPr>
            <w:tcW w:w="4719" w:type="dxa"/>
            <w:gridSpan w:val="2"/>
            <w:tcBorders>
              <w:top w:val="single" w:sz="4" w:space="0" w:color="000000"/>
              <w:left w:val="single" w:sz="4" w:space="0" w:color="000000"/>
              <w:bottom w:val="single" w:sz="4" w:space="0" w:color="000000"/>
              <w:right w:val="single" w:sz="4" w:space="0" w:color="000000"/>
            </w:tcBorders>
            <w:shd w:val="clear" w:color="auto" w:fill="auto"/>
          </w:tcPr>
          <w:p w14:paraId="439AB78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Zawartość ziaren większych od 2 mm, badanie wg PN-EN 933-1, co najmniej %: </w:t>
            </w:r>
          </w:p>
        </w:tc>
        <w:tc>
          <w:tcPr>
            <w:tcW w:w="25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80C00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10 </w:t>
            </w:r>
          </w:p>
        </w:tc>
        <w:tc>
          <w:tcPr>
            <w:tcW w:w="21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5335D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20 </w:t>
            </w:r>
          </w:p>
        </w:tc>
      </w:tr>
      <w:tr w:rsidR="003220D1" w:rsidRPr="003220D1" w14:paraId="509EF764" w14:textId="77777777" w:rsidTr="00855929">
        <w:trPr>
          <w:trHeight w:val="446"/>
        </w:trPr>
        <w:tc>
          <w:tcPr>
            <w:tcW w:w="530"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2055420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3. </w:t>
            </w:r>
          </w:p>
        </w:tc>
        <w:tc>
          <w:tcPr>
            <w:tcW w:w="2357"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01D37AF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Maksymalna zawartość cząstek przechodzących </w:t>
            </w:r>
            <w:r w:rsidRPr="003220D1">
              <w:rPr>
                <w:rFonts w:ascii="Arial Narrow" w:eastAsia="Times New Roman" w:hAnsi="Arial Narrow" w:cs="Times New Roman"/>
              </w:rPr>
              <w:lastRenderedPageBreak/>
              <w:t xml:space="preserve">przez sito 0,063 mm w warstwie, badanie wg PN-EN 933-1, %: </w:t>
            </w:r>
          </w:p>
        </w:tc>
        <w:tc>
          <w:tcPr>
            <w:tcW w:w="2362" w:type="dxa"/>
            <w:tcBorders>
              <w:top w:val="single" w:sz="4" w:space="0" w:color="000000"/>
              <w:left w:val="single" w:sz="4" w:space="0" w:color="000000"/>
              <w:bottom w:val="single" w:sz="4" w:space="0" w:color="000000"/>
              <w:right w:val="single" w:sz="4" w:space="0" w:color="000000"/>
            </w:tcBorders>
            <w:shd w:val="clear" w:color="auto" w:fill="auto"/>
          </w:tcPr>
          <w:p w14:paraId="2920F67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lastRenderedPageBreak/>
              <w:t xml:space="preserve">w typowych zastosowaniach </w:t>
            </w:r>
          </w:p>
        </w:tc>
        <w:tc>
          <w:tcPr>
            <w:tcW w:w="25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9C684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15,0 </w:t>
            </w:r>
          </w:p>
        </w:tc>
        <w:tc>
          <w:tcPr>
            <w:tcW w:w="21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5896D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15,0 </w:t>
            </w:r>
          </w:p>
        </w:tc>
      </w:tr>
      <w:tr w:rsidR="003220D1" w:rsidRPr="003220D1" w14:paraId="735ACC9B" w14:textId="77777777" w:rsidTr="00855929">
        <w:trPr>
          <w:trHeight w:val="876"/>
        </w:trPr>
        <w:tc>
          <w:tcPr>
            <w:tcW w:w="0" w:type="auto"/>
            <w:vMerge/>
            <w:tcBorders>
              <w:top w:val="nil"/>
              <w:left w:val="single" w:sz="4" w:space="0" w:color="000000"/>
              <w:bottom w:val="single" w:sz="4" w:space="0" w:color="000000"/>
              <w:right w:val="single" w:sz="4" w:space="0" w:color="000000"/>
            </w:tcBorders>
            <w:shd w:val="clear" w:color="auto" w:fill="auto"/>
          </w:tcPr>
          <w:p w14:paraId="7D858FE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14:paraId="07EE127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23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483E9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gdy pełni rolę warstwy odsączającej </w:t>
            </w:r>
          </w:p>
        </w:tc>
        <w:tc>
          <w:tcPr>
            <w:tcW w:w="25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9535D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6,0 </w:t>
            </w:r>
          </w:p>
        </w:tc>
        <w:tc>
          <w:tcPr>
            <w:tcW w:w="21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403C6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6,0 </w:t>
            </w:r>
          </w:p>
        </w:tc>
      </w:tr>
      <w:tr w:rsidR="003220D1" w:rsidRPr="003220D1" w14:paraId="4E612146" w14:textId="77777777" w:rsidTr="00855929">
        <w:trPr>
          <w:trHeight w:val="446"/>
        </w:trPr>
        <w:tc>
          <w:tcPr>
            <w:tcW w:w="5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683A2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4. </w:t>
            </w:r>
          </w:p>
        </w:tc>
        <w:tc>
          <w:tcPr>
            <w:tcW w:w="4719" w:type="dxa"/>
            <w:gridSpan w:val="2"/>
            <w:tcBorders>
              <w:top w:val="single" w:sz="4" w:space="0" w:color="000000"/>
              <w:left w:val="single" w:sz="4" w:space="0" w:color="000000"/>
              <w:bottom w:val="single" w:sz="4" w:space="0" w:color="000000"/>
              <w:right w:val="single" w:sz="4" w:space="0" w:color="000000"/>
            </w:tcBorders>
            <w:shd w:val="clear" w:color="auto" w:fill="auto"/>
          </w:tcPr>
          <w:p w14:paraId="228D223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Wskaźnik piaskowy SE</w:t>
            </w:r>
            <w:r w:rsidRPr="003220D1">
              <w:rPr>
                <w:rFonts w:ascii="Arial Narrow" w:eastAsia="Times New Roman" w:hAnsi="Arial Narrow" w:cs="Times New Roman"/>
                <w:vertAlign w:val="subscript"/>
              </w:rPr>
              <w:t>4</w:t>
            </w:r>
            <w:r w:rsidRPr="003220D1">
              <w:rPr>
                <w:rFonts w:ascii="Arial Narrow" w:eastAsia="Times New Roman" w:hAnsi="Arial Narrow" w:cs="Times New Roman"/>
              </w:rPr>
              <w:t xml:space="preserve">*), badanie wg  PN-EN 933-8, co najmniej </w:t>
            </w:r>
          </w:p>
        </w:tc>
        <w:tc>
          <w:tcPr>
            <w:tcW w:w="469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B66B60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35 </w:t>
            </w:r>
          </w:p>
        </w:tc>
      </w:tr>
      <w:tr w:rsidR="003220D1" w:rsidRPr="003220D1" w14:paraId="6FB8A617" w14:textId="77777777" w:rsidTr="00855929">
        <w:trPr>
          <w:trHeight w:val="668"/>
        </w:trPr>
        <w:tc>
          <w:tcPr>
            <w:tcW w:w="530" w:type="dxa"/>
            <w:tcBorders>
              <w:top w:val="single" w:sz="4" w:space="0" w:color="000000"/>
              <w:left w:val="single" w:sz="4" w:space="0" w:color="000000"/>
              <w:bottom w:val="single" w:sz="4" w:space="0" w:color="000000"/>
              <w:right w:val="single" w:sz="4" w:space="0" w:color="000000"/>
            </w:tcBorders>
            <w:shd w:val="clear" w:color="auto" w:fill="auto"/>
          </w:tcPr>
          <w:p w14:paraId="7F465D4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5. </w:t>
            </w:r>
          </w:p>
        </w:tc>
        <w:tc>
          <w:tcPr>
            <w:tcW w:w="4719" w:type="dxa"/>
            <w:gridSpan w:val="2"/>
            <w:tcBorders>
              <w:top w:val="single" w:sz="4" w:space="0" w:color="000000"/>
              <w:left w:val="single" w:sz="4" w:space="0" w:color="000000"/>
              <w:bottom w:val="single" w:sz="4" w:space="0" w:color="000000"/>
              <w:right w:val="single" w:sz="4" w:space="0" w:color="000000"/>
            </w:tcBorders>
            <w:shd w:val="clear" w:color="auto" w:fill="auto"/>
          </w:tcPr>
          <w:p w14:paraId="49749D3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Wskaźnik CBR,  po moczeniu w wodzie 96 h, badanie wg PN-EN 13286-47,co najmniej %: </w:t>
            </w:r>
          </w:p>
        </w:tc>
        <w:tc>
          <w:tcPr>
            <w:tcW w:w="25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C04B1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25 </w:t>
            </w:r>
          </w:p>
        </w:tc>
        <w:tc>
          <w:tcPr>
            <w:tcW w:w="21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0D210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35 </w:t>
            </w:r>
          </w:p>
        </w:tc>
      </w:tr>
      <w:tr w:rsidR="003220D1" w:rsidRPr="003220D1" w14:paraId="3CD90C2B" w14:textId="77777777" w:rsidTr="00855929">
        <w:trPr>
          <w:trHeight w:val="1010"/>
        </w:trPr>
        <w:tc>
          <w:tcPr>
            <w:tcW w:w="5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C8A21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6. </w:t>
            </w:r>
          </w:p>
        </w:tc>
        <w:tc>
          <w:tcPr>
            <w:tcW w:w="23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FE1FC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Współczynnik filtracji k10**: </w:t>
            </w:r>
          </w:p>
        </w:tc>
        <w:tc>
          <w:tcPr>
            <w:tcW w:w="2362" w:type="dxa"/>
            <w:tcBorders>
              <w:top w:val="single" w:sz="4" w:space="0" w:color="000000"/>
              <w:left w:val="single" w:sz="4" w:space="0" w:color="000000"/>
              <w:right w:val="single" w:sz="4" w:space="0" w:color="000000"/>
            </w:tcBorders>
            <w:shd w:val="clear" w:color="auto" w:fill="auto"/>
          </w:tcPr>
          <w:p w14:paraId="7016A2B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p w14:paraId="2F6DE70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gdy pełni rolę warstwy odsączającej </w:t>
            </w:r>
          </w:p>
        </w:tc>
        <w:tc>
          <w:tcPr>
            <w:tcW w:w="2540" w:type="dxa"/>
            <w:tcBorders>
              <w:top w:val="single" w:sz="4" w:space="0" w:color="000000"/>
              <w:left w:val="single" w:sz="4" w:space="0" w:color="000000"/>
              <w:right w:val="single" w:sz="4" w:space="0" w:color="000000"/>
            </w:tcBorders>
            <w:shd w:val="clear" w:color="auto" w:fill="auto"/>
            <w:vAlign w:val="center"/>
          </w:tcPr>
          <w:p w14:paraId="2644E49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p w14:paraId="3C014D2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0,0093 cm/s (8 m/dobę) </w:t>
            </w:r>
          </w:p>
        </w:tc>
        <w:tc>
          <w:tcPr>
            <w:tcW w:w="2151" w:type="dxa"/>
            <w:tcBorders>
              <w:top w:val="single" w:sz="4" w:space="0" w:color="000000"/>
              <w:left w:val="single" w:sz="4" w:space="0" w:color="000000"/>
              <w:right w:val="single" w:sz="4" w:space="0" w:color="000000"/>
            </w:tcBorders>
            <w:shd w:val="clear" w:color="auto" w:fill="auto"/>
            <w:vAlign w:val="center"/>
          </w:tcPr>
          <w:p w14:paraId="18FA30D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p w14:paraId="5130166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0,0093 cm/s (8 m/dobę) </w:t>
            </w:r>
          </w:p>
        </w:tc>
      </w:tr>
    </w:tbl>
    <w:p w14:paraId="6DB4ACC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t>
      </w:r>
      <w:r w:rsidRPr="003220D1">
        <w:rPr>
          <w:rFonts w:ascii="Arial Narrow" w:eastAsia="Times New Roman" w:hAnsi="Arial Narrow" w:cs="Times New Roman"/>
          <w:b/>
          <w:sz w:val="20"/>
          <w:szCs w:val="20"/>
          <w:lang w:eastAsia="pl-PL"/>
        </w:rPr>
        <w:t xml:space="preserve">    </w:t>
      </w:r>
      <w:r w:rsidRPr="003220D1">
        <w:rPr>
          <w:rFonts w:ascii="Arial Narrow" w:eastAsia="Times New Roman" w:hAnsi="Arial Narrow" w:cs="Times New Roman"/>
          <w:sz w:val="20"/>
          <w:szCs w:val="20"/>
          <w:lang w:eastAsia="pl-PL"/>
        </w:rPr>
        <w:t xml:space="preserve">Badanie wskaźnika piaskowego na frakcji </w:t>
      </w:r>
      <w:r w:rsidRPr="003220D1">
        <w:rPr>
          <w:rFonts w:ascii="Arial Narrow" w:eastAsia="Times New Roman" w:hAnsi="Arial Narrow" w:cs="Times New Roman"/>
          <w:b/>
          <w:sz w:val="20"/>
          <w:szCs w:val="20"/>
          <w:lang w:eastAsia="pl-PL"/>
        </w:rPr>
        <w:t>0/4</w:t>
      </w:r>
      <w:r w:rsidRPr="003220D1">
        <w:rPr>
          <w:rFonts w:ascii="Arial Narrow" w:eastAsia="Times New Roman" w:hAnsi="Arial Narrow" w:cs="Times New Roman"/>
          <w:sz w:val="20"/>
          <w:szCs w:val="20"/>
          <w:lang w:eastAsia="pl-PL"/>
        </w:rPr>
        <w:t xml:space="preserve"> mm </w:t>
      </w:r>
      <w:r w:rsidRPr="003220D1">
        <w:rPr>
          <w:rFonts w:ascii="Arial Narrow" w:eastAsia="Times New Roman" w:hAnsi="Arial Narrow" w:cs="Times New Roman"/>
          <w:b/>
          <w:sz w:val="20"/>
          <w:szCs w:val="20"/>
          <w:lang w:eastAsia="pl-PL"/>
        </w:rPr>
        <w:t>(SE</w:t>
      </w:r>
      <w:r w:rsidRPr="003220D1">
        <w:rPr>
          <w:rFonts w:ascii="Arial Narrow" w:eastAsia="Times New Roman" w:hAnsi="Arial Narrow" w:cs="Times New Roman"/>
          <w:b/>
          <w:sz w:val="20"/>
          <w:szCs w:val="20"/>
          <w:vertAlign w:val="subscript"/>
          <w:lang w:eastAsia="pl-PL"/>
        </w:rPr>
        <w:t>4</w:t>
      </w:r>
      <w:r w:rsidRPr="003220D1">
        <w:rPr>
          <w:rFonts w:ascii="Arial Narrow" w:eastAsia="Times New Roman" w:hAnsi="Arial Narrow" w:cs="Times New Roman"/>
          <w:b/>
          <w:sz w:val="20"/>
          <w:szCs w:val="20"/>
          <w:lang w:eastAsia="pl-PL"/>
        </w:rPr>
        <w:t>)</w:t>
      </w:r>
      <w:r w:rsidRPr="003220D1">
        <w:rPr>
          <w:rFonts w:ascii="Arial Narrow" w:eastAsia="Times New Roman" w:hAnsi="Arial Narrow" w:cs="Times New Roman"/>
          <w:sz w:val="20"/>
          <w:szCs w:val="20"/>
          <w:lang w:eastAsia="pl-PL"/>
        </w:rPr>
        <w:t xml:space="preserve"> należy wykonać (po pięciokrotnym zagęszczeniu metodą Proctora wg PN-EN 13286-2) wg normy wg PN-EN 933-8: 2015-07 </w:t>
      </w:r>
    </w:p>
    <w:p w14:paraId="4755425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  Badanie współczynnika filtracji - wg według normy BN-76/8950-03 lub wzoru USBSC „amerykańskiego” w zależności od uziarnienia badanego materiału.  </w:t>
      </w:r>
    </w:p>
    <w:p w14:paraId="2CDF84D6"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 </w:t>
      </w:r>
    </w:p>
    <w:p w14:paraId="15F7CF2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Ustalenie współczynnika filtracji na podstawie uziarnienia, celem potwierdzenia stałości produkcji mieszanki, należy wykonać przy każdym badaniu uziarnienia zgodnie z częstotliwością podaną w Tablicy 6.8. Dopuszcza się za zgodą Inżyniera/Zamawiającego alternatywne metody określania współczynnika filtracji z zastosowaniem wzorów empirycznych. </w:t>
      </w:r>
    </w:p>
    <w:p w14:paraId="5ED3A51F"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522" w:name="_Toc47981"/>
      <w:r w:rsidRPr="003220D1">
        <w:rPr>
          <w:rFonts w:ascii="Arial Narrow" w:eastAsia="Times New Roman" w:hAnsi="Arial Narrow" w:cs="Times New Roman"/>
          <w:b/>
          <w:sz w:val="24"/>
          <w:szCs w:val="20"/>
          <w:lang w:val="x-none" w:eastAsia="x-none"/>
        </w:rPr>
        <w:t>2.2.</w:t>
      </w:r>
      <w:r w:rsidRPr="003220D1">
        <w:rPr>
          <w:rFonts w:ascii="Arial Narrow" w:eastAsia="Times New Roman" w:hAnsi="Arial Narrow" w:cs="Times New Roman"/>
          <w:b/>
          <w:sz w:val="24"/>
          <w:szCs w:val="20"/>
          <w:lang w:eastAsia="x-none"/>
        </w:rPr>
        <w:t>4</w:t>
      </w:r>
      <w:r w:rsidRPr="003220D1">
        <w:rPr>
          <w:rFonts w:ascii="Arial Narrow" w:eastAsia="Times New Roman" w:hAnsi="Arial Narrow" w:cs="Times New Roman"/>
          <w:b/>
          <w:sz w:val="24"/>
          <w:szCs w:val="20"/>
          <w:lang w:val="x-none" w:eastAsia="x-none"/>
        </w:rPr>
        <w:t xml:space="preserve"> Woda </w:t>
      </w:r>
      <w:bookmarkEnd w:id="522"/>
    </w:p>
    <w:p w14:paraId="787283C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Woda powinna być zgodna z PN-EN 1008. </w:t>
      </w:r>
    </w:p>
    <w:p w14:paraId="5C37651A"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23" w:name="_Toc47983"/>
      <w:r w:rsidRPr="003220D1">
        <w:rPr>
          <w:rFonts w:ascii="Arial Narrow" w:eastAsia="Times New Roman" w:hAnsi="Arial Narrow" w:cs="Times New Roman"/>
          <w:b/>
          <w:caps/>
          <w:kern w:val="28"/>
          <w:sz w:val="28"/>
          <w:szCs w:val="20"/>
          <w:lang w:val="x-none" w:eastAsia="x-none"/>
        </w:rPr>
        <w:t xml:space="preserve">3 SPRZĘT </w:t>
      </w:r>
      <w:bookmarkEnd w:id="523"/>
    </w:p>
    <w:p w14:paraId="542E8C9B"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24" w:name="_Toc47984"/>
      <w:r w:rsidRPr="003220D1">
        <w:rPr>
          <w:rFonts w:ascii="Arial Narrow" w:eastAsia="Times New Roman" w:hAnsi="Arial Narrow" w:cs="Times New Roman"/>
          <w:b/>
          <w:sz w:val="28"/>
          <w:szCs w:val="20"/>
          <w:lang w:val="x-none" w:eastAsia="x-none"/>
        </w:rPr>
        <w:t xml:space="preserve">3.1. Ogólne wymagania dotyczące sprzętu </w:t>
      </w:r>
      <w:bookmarkEnd w:id="524"/>
    </w:p>
    <w:p w14:paraId="18D5014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Ogólne wymagania dotyczące sprzętu podano w STWiORB D-M 00.00.00, Wymagania ogólne"  </w:t>
      </w:r>
    </w:p>
    <w:p w14:paraId="3E9FF5DC"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25" w:name="_Toc47985"/>
      <w:r w:rsidRPr="003220D1">
        <w:rPr>
          <w:rFonts w:ascii="Arial Narrow" w:eastAsia="Times New Roman" w:hAnsi="Arial Narrow" w:cs="Times New Roman"/>
          <w:b/>
          <w:sz w:val="28"/>
          <w:szCs w:val="20"/>
          <w:lang w:val="x-none" w:eastAsia="x-none"/>
        </w:rPr>
        <w:t xml:space="preserve">3.2.  Sprzęt do wykonania warstwy </w:t>
      </w:r>
      <w:bookmarkEnd w:id="525"/>
    </w:p>
    <w:p w14:paraId="19A7E1A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Sprzęt do wykonania warstwy powinien być dobrany przez Wykonawcę tak, aby zabezpieczył jakość zgodnie z wymaganiami projektowymi i harmonogramem budowanej drogi.  </w:t>
      </w:r>
    </w:p>
    <w:p w14:paraId="58895AC6"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Mieszanka kruszywa dla warstwy odsączającej powinna być rozkładana za pomocą urządzeń uniemożliwiających segregację.  </w:t>
      </w:r>
    </w:p>
    <w:p w14:paraId="286C4F39"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Wykonawca przystępujący do wykonania robót związanych z wykonaniem warstwy powinien wykazać się możliwością korzystania z następującego sprzętu: </w:t>
      </w:r>
    </w:p>
    <w:p w14:paraId="5E2809C2"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mieszarki stacjonarne do wytwarzania mieszanek wyposażone w urządzenia dozujące. Mieszarki powinny zapewnić wytworzenie jednorodnej mieszanki o wilgotności optymalnej. </w:t>
      </w:r>
    </w:p>
    <w:p w14:paraId="410B3F54"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Wymaganie to jest zbędne w przypadku, gdy producent mieszanek gwarantuje dostawy jednorodnej mieszanki o wymaganym uziarnieniu i odpowiedniej wilgotności. </w:t>
      </w:r>
    </w:p>
    <w:p w14:paraId="678949E9"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samochody wywrotki, samochody skrzyniowe </w:t>
      </w:r>
    </w:p>
    <w:p w14:paraId="18E56C07"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równiarki, spycharki  </w:t>
      </w:r>
    </w:p>
    <w:p w14:paraId="346E101A"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walce ogumione i stalowe wibracyjne lub statyczne, </w:t>
      </w:r>
    </w:p>
    <w:p w14:paraId="7D6C7AD3"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płyty wibracyjne lub ubijaki mechaniczne do zagęszczania w miejscach trudnodostępnych </w:t>
      </w:r>
    </w:p>
    <w:p w14:paraId="45B0F87F"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recyklery i urządzenia do automatycznego dozowania spoiwa – dotyczy stabilizacji gruntów. </w:t>
      </w:r>
    </w:p>
    <w:p w14:paraId="313A061E"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26" w:name="_Toc47986"/>
      <w:r w:rsidRPr="003220D1">
        <w:rPr>
          <w:rFonts w:ascii="Arial Narrow" w:eastAsia="Times New Roman" w:hAnsi="Arial Narrow" w:cs="Times New Roman"/>
          <w:b/>
          <w:caps/>
          <w:kern w:val="28"/>
          <w:sz w:val="28"/>
          <w:szCs w:val="20"/>
          <w:lang w:val="x-none" w:eastAsia="x-none"/>
        </w:rPr>
        <w:t xml:space="preserve">4. TRANSPORT </w:t>
      </w:r>
      <w:bookmarkEnd w:id="526"/>
    </w:p>
    <w:p w14:paraId="1A09688B"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27" w:name="_Toc47987"/>
      <w:r w:rsidRPr="003220D1">
        <w:rPr>
          <w:rFonts w:ascii="Arial Narrow" w:eastAsia="Times New Roman" w:hAnsi="Arial Narrow" w:cs="Times New Roman"/>
          <w:b/>
          <w:caps/>
          <w:kern w:val="28"/>
          <w:sz w:val="28"/>
          <w:szCs w:val="20"/>
          <w:lang w:val="x-none" w:eastAsia="x-none"/>
        </w:rPr>
        <w:t xml:space="preserve">4.1. Ogólne wymagania dotyczące transportu </w:t>
      </w:r>
      <w:bookmarkEnd w:id="527"/>
    </w:p>
    <w:p w14:paraId="75FC6673"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Ogólne wymagania dotyczące transportu podano w STWiORB D-M-00.00.00 „Wymagania ogólne”. </w:t>
      </w:r>
    </w:p>
    <w:p w14:paraId="6EF32E54"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28" w:name="_Toc47988"/>
      <w:r w:rsidRPr="003220D1">
        <w:rPr>
          <w:rFonts w:ascii="Arial Narrow" w:eastAsia="Times New Roman" w:hAnsi="Arial Narrow" w:cs="Times New Roman"/>
          <w:b/>
          <w:sz w:val="28"/>
          <w:szCs w:val="20"/>
          <w:lang w:val="x-none" w:eastAsia="x-none"/>
        </w:rPr>
        <w:t xml:space="preserve">4.2. Transport materiałów </w:t>
      </w:r>
      <w:bookmarkEnd w:id="528"/>
    </w:p>
    <w:p w14:paraId="024543B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Wybór środków transportu oraz metod transportu należy do Wykonawcy. Transport wyrobów oraz materiałów przeznaczonych do wbudowania i wykonania robót nie może powodować zanieczyszczenia (materiałów i wyrobów), ani obniżenia ich jakości lub uszkodzeń. Wybór środków transportowych oraz metod transportu powinien być dostosowany do rodzaju materiału, jego objętości i załadunku oraz do odległości transportu. Wydajność środków transportowych powinna być ponadto dostosowana do wydajności sprzętu stosowanego do urabiania i wbudowywania materiału.</w:t>
      </w:r>
      <w:r w:rsidRPr="003220D1">
        <w:rPr>
          <w:rFonts w:ascii="Arial Narrow" w:eastAsia="Times New Roman" w:hAnsi="Arial Narrow" w:cs="Times New Roman"/>
          <w:b/>
          <w:sz w:val="20"/>
          <w:szCs w:val="20"/>
          <w:lang w:eastAsia="pl-PL"/>
        </w:rPr>
        <w:t xml:space="preserve"> </w:t>
      </w:r>
    </w:p>
    <w:p w14:paraId="3644101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Materiały sypkie należy przewozić w sposób eliminujący możliwość wysypywania, pylenia oraz innego zanieczyszczenia środowiska. </w:t>
      </w:r>
    </w:p>
    <w:p w14:paraId="6C2ADE55"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29" w:name="_Toc47989"/>
      <w:r w:rsidRPr="003220D1">
        <w:rPr>
          <w:rFonts w:ascii="Arial Narrow" w:eastAsia="Times New Roman" w:hAnsi="Arial Narrow" w:cs="Times New Roman"/>
          <w:b/>
          <w:caps/>
          <w:kern w:val="28"/>
          <w:sz w:val="28"/>
          <w:szCs w:val="20"/>
          <w:lang w:val="x-none" w:eastAsia="x-none"/>
        </w:rPr>
        <w:t xml:space="preserve">5. WYKONANIE ROBÓT </w:t>
      </w:r>
      <w:bookmarkEnd w:id="529"/>
    </w:p>
    <w:p w14:paraId="43A063C1"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30" w:name="_Toc47990"/>
      <w:r w:rsidRPr="003220D1">
        <w:rPr>
          <w:rFonts w:ascii="Arial Narrow" w:eastAsia="Times New Roman" w:hAnsi="Arial Narrow" w:cs="Times New Roman"/>
          <w:b/>
          <w:sz w:val="28"/>
          <w:szCs w:val="20"/>
          <w:lang w:val="x-none" w:eastAsia="x-none"/>
        </w:rPr>
        <w:t xml:space="preserve">5.1. Ogólne zasady wykonania robót </w:t>
      </w:r>
      <w:bookmarkEnd w:id="530"/>
    </w:p>
    <w:p w14:paraId="7B1FCD2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Ogólne zasady wykonania robót podano w STWiORB D-M-00.00.00 „Wymagania ogólne” </w:t>
      </w:r>
    </w:p>
    <w:p w14:paraId="0E0D9262"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31" w:name="_Toc47991"/>
      <w:r w:rsidRPr="003220D1">
        <w:rPr>
          <w:rFonts w:ascii="Arial Narrow" w:eastAsia="Times New Roman" w:hAnsi="Arial Narrow" w:cs="Times New Roman"/>
          <w:b/>
          <w:sz w:val="28"/>
          <w:szCs w:val="20"/>
          <w:lang w:val="x-none" w:eastAsia="x-none"/>
        </w:rPr>
        <w:lastRenderedPageBreak/>
        <w:t xml:space="preserve">5.2. Zakres wykonywania robót </w:t>
      </w:r>
      <w:bookmarkEnd w:id="531"/>
    </w:p>
    <w:p w14:paraId="39B564F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Wykonawca może przystąpić do wykonywania warstwy odsączającej dopiero po zakończeniu i odebraniu robót ulegających zakryciu leżących w warstwach niższych łącznie z tymi warstwami.  Mieszankę kruszywa o ściśle określonym uziarnieniu i wilgotności optymalnej należy wytwarzać w mieszarkach stacjonarnych gwarantujących otrzymanie jednorodnej mieszanki. Ze względu na konieczność zapewnienia jednorodności materiału nie dopuszcza się wytwarzania mieszanki przez mieszanie poszczególnych frakcji na drodze. Mieszanka po wyprodukowaniu powinna być od razu transportowana na miejsce wbudowania w sposób przeciwdziałający segregacji i nadmiernemu wysychaniu. </w:t>
      </w:r>
    </w:p>
    <w:p w14:paraId="7EEFF7E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Na wykonanej warstwie odsączającej nie może odbywać się ruch budowlany, niezwiązany bezpośrednio z wykonaniem kolejnej warstwy nawierzchni. </w:t>
      </w:r>
    </w:p>
    <w:p w14:paraId="57064962"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32" w:name="_Toc47992"/>
      <w:r w:rsidRPr="003220D1">
        <w:rPr>
          <w:rFonts w:ascii="Arial Narrow" w:eastAsia="Times New Roman" w:hAnsi="Arial Narrow" w:cs="Times New Roman"/>
          <w:b/>
          <w:sz w:val="28"/>
          <w:szCs w:val="20"/>
          <w:lang w:val="x-none" w:eastAsia="x-none"/>
        </w:rPr>
        <w:t xml:space="preserve">5.3. Przygotowanie podłoża </w:t>
      </w:r>
      <w:bookmarkEnd w:id="532"/>
    </w:p>
    <w:p w14:paraId="273A272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Warstwę odsączającą należy układać na podłożu gruntowym lub warstwie ulepszonego podłoża.  Podłoże gruntowe powinno spełniać wymagania określone w STWiORB D-02.03.01 „Wykonanie nasypów”  STWiORB D-02.01.01 „Wykonanie wykopów”, STWiORB D.04.05.00 ulepszone podłoże.  </w:t>
      </w:r>
    </w:p>
    <w:p w14:paraId="7CFD6C0B"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33" w:name="_Toc47993"/>
      <w:r w:rsidRPr="003220D1">
        <w:rPr>
          <w:rFonts w:ascii="Arial Narrow" w:eastAsia="Times New Roman" w:hAnsi="Arial Narrow" w:cs="Times New Roman"/>
          <w:b/>
          <w:sz w:val="28"/>
          <w:szCs w:val="20"/>
          <w:lang w:val="x-none" w:eastAsia="x-none"/>
        </w:rPr>
        <w:t xml:space="preserve">5.4. Wbudowanie mieszanki  </w:t>
      </w:r>
      <w:bookmarkEnd w:id="533"/>
    </w:p>
    <w:p w14:paraId="2126D08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Warstwa powinna być rozłożona w sposób zapewniający osiągnięcie wymaganych spadków i rzędnych wysokościowych. Jeżeli warstwa składa się z więcej niż jednej warstwy mieszanki, to każda warstwa powinna być wyprofilowana i zagęszczona z zachowaniem wymaganych spadków i rzędnych wysokościowych. Grubość pojedynczo układanej warstwy nie może przekraczać 20 cm po zagęszczeniu. Rozpoczęcie budowy każdej następnej warstwy może nastąpić po odbiorze poprzedniej warstwy przez Inżyniera/Inspektora Nadzoru/Zamawiającego.  W miejscach, gdzie widoczna jest segregacja należy przed zagęszczeniem wymienić materiał na materiał o odpowiednich właściwościach. </w:t>
      </w:r>
    </w:p>
    <w:p w14:paraId="691A2EC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Zawartość wody w mieszance zagęszczanej musi być zgodna z granicami podanymi w tabeli 2.3. Wilgotność mieszanki kruszywa podczas zagęszczania powinna odpowiadać wilgotności optymalnej, określonej według próby Proctora, wg PN-EN 13286-2 oraz PN-EN 1097-6. Materiał nadmiernie nawilgocony, powinien zostać osuszony przez mieszanie i napowietrzanie. Jeżeli wilgotność mieszanki kruszywa jest niższa od ustalonej od wartości podanych w tabeli 2.3, to mieszanka powinna być zwilżona określoną ilością wody i równomiernie wymieszana.  </w:t>
      </w:r>
    </w:p>
    <w:p w14:paraId="2C820F98"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Grubość rozłożonej warstwy luźnego kruszywa powinna być taka, aby po jej zagęszczeniu osiągnęła grubość zgodną z Dokumentacją Projektową.  </w:t>
      </w:r>
    </w:p>
    <w:p w14:paraId="149CF8A3"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34" w:name="_Toc47994"/>
      <w:r w:rsidRPr="003220D1">
        <w:rPr>
          <w:rFonts w:ascii="Arial Narrow" w:eastAsia="Times New Roman" w:hAnsi="Arial Narrow" w:cs="Times New Roman"/>
          <w:b/>
          <w:sz w:val="28"/>
          <w:szCs w:val="20"/>
          <w:lang w:val="x-none" w:eastAsia="x-none"/>
        </w:rPr>
        <w:t xml:space="preserve">5.5. Zagęszczenie mieszanki  </w:t>
      </w:r>
      <w:bookmarkEnd w:id="534"/>
    </w:p>
    <w:p w14:paraId="64FB447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Warstwy z mieszanki należy zagęszczać walcami ogumionymi i wibracyjnymi gładkimi. W ostatniej fazie zagęszczania należy sprawdzić profil szablonem. Zagęszczenie należy wykonywać warstwami przy zachowaniu wilgotności optymalnej. </w:t>
      </w:r>
    </w:p>
    <w:p w14:paraId="167DFBA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Zagęszczenie i nośność warstwy powinny być uzyskiwane równomiernie na całej szerokości. </w:t>
      </w:r>
    </w:p>
    <w:p w14:paraId="7A2CADA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Zagęszczenie i nośność kontroluje się płytą VSS (średnicy 30 cm) przez sprawdzenie modułów odkształcenia, które powinny odpowiadać warunkom podanym w pkt. 6.3 Do obliczenia modułów E należy stosować następujący wzór: </w:t>
      </w:r>
    </w:p>
    <w:p w14:paraId="1F0FCEE5"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E</w:t>
      </w:r>
      <w:r w:rsidRPr="003220D1">
        <w:rPr>
          <w:rFonts w:ascii="Arial Narrow" w:eastAsia="Times New Roman" w:hAnsi="Arial Narrow" w:cs="Times New Roman"/>
          <w:sz w:val="20"/>
          <w:szCs w:val="20"/>
          <w:vertAlign w:val="subscript"/>
          <w:lang w:eastAsia="pl-PL"/>
        </w:rPr>
        <w:t>1,2</w:t>
      </w:r>
      <w:r w:rsidRPr="003220D1">
        <w:rPr>
          <w:rFonts w:ascii="Arial Narrow" w:eastAsia="Times New Roman" w:hAnsi="Arial Narrow" w:cs="Times New Roman"/>
          <w:sz w:val="20"/>
          <w:szCs w:val="20"/>
          <w:lang w:eastAsia="pl-PL"/>
        </w:rPr>
        <w:t xml:space="preserve"> = 3d</w:t>
      </w:r>
      <w:r w:rsidRPr="003220D1">
        <w:rPr>
          <w:rFonts w:ascii="Arial Narrow" w:eastAsia="Times New Roman" w:hAnsi="Arial Narrow" w:cs="Times New Roman"/>
          <w:i/>
          <w:sz w:val="20"/>
          <w:szCs w:val="20"/>
          <w:lang w:eastAsia="pl-PL"/>
        </w:rPr>
        <w:t>p/4ds*D</w:t>
      </w:r>
    </w:p>
    <w:p w14:paraId="3C80E336"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 </w:t>
      </w:r>
    </w:p>
    <w:p w14:paraId="3799550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dp – różnica nacisków z zakresu 0.25 – 0.35 [MPa] </w:t>
      </w:r>
    </w:p>
    <w:p w14:paraId="1060A3A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ds – przyrost osiadania odpowiadający dp [mm] </w:t>
      </w:r>
    </w:p>
    <w:p w14:paraId="6673D00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D – średnica płyty [mm]. </w:t>
      </w:r>
    </w:p>
    <w:p w14:paraId="0401895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Za zgodą Inżyniera/Inspektora Nadzoru/Zamawiającego dopuszcza się alternatywne metody badań. </w:t>
      </w:r>
    </w:p>
    <w:p w14:paraId="49FFC4A6"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35" w:name="_Toc47996"/>
      <w:r w:rsidRPr="003220D1">
        <w:rPr>
          <w:rFonts w:ascii="Arial Narrow" w:eastAsia="Times New Roman" w:hAnsi="Arial Narrow" w:cs="Times New Roman"/>
          <w:b/>
          <w:sz w:val="28"/>
          <w:szCs w:val="20"/>
          <w:lang w:val="x-none" w:eastAsia="x-none"/>
        </w:rPr>
        <w:t>5.</w:t>
      </w:r>
      <w:r w:rsidRPr="003220D1">
        <w:rPr>
          <w:rFonts w:ascii="Arial Narrow" w:eastAsia="Times New Roman" w:hAnsi="Arial Narrow" w:cs="Times New Roman"/>
          <w:b/>
          <w:sz w:val="28"/>
          <w:szCs w:val="20"/>
          <w:lang w:eastAsia="x-none"/>
        </w:rPr>
        <w:t>6</w:t>
      </w:r>
      <w:r w:rsidRPr="003220D1">
        <w:rPr>
          <w:rFonts w:ascii="Arial Narrow" w:eastAsia="Times New Roman" w:hAnsi="Arial Narrow" w:cs="Times New Roman"/>
          <w:b/>
          <w:sz w:val="28"/>
          <w:szCs w:val="20"/>
          <w:lang w:val="x-none" w:eastAsia="x-none"/>
        </w:rPr>
        <w:t xml:space="preserve">. Utrzymanie warstwy </w:t>
      </w:r>
      <w:bookmarkEnd w:id="535"/>
    </w:p>
    <w:p w14:paraId="7427E48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Warstwa po wykonaniu, a przed ułożeniem następnej warstwy powinna być utrzymywana w dobrym stanie. Jeżeli Wykonawca będzie wykorzystywał, za zgodą Inżyniera/Inspektora Nadzoru/Zamawiającego, gotową warstwę do ruchu budowlanego, to jest obowiązany naprawić wszelkie jej uszkodzenia spowodowane przez ten ruch. Koszt napraw wynikłych z niewłaściwego utrzymania warstwy obciąża Wykonawcę robót.  </w:t>
      </w:r>
    </w:p>
    <w:p w14:paraId="3977E3AB"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36" w:name="_Toc47997"/>
      <w:r w:rsidRPr="003220D1">
        <w:rPr>
          <w:rFonts w:ascii="Arial Narrow" w:eastAsia="Times New Roman" w:hAnsi="Arial Narrow" w:cs="Times New Roman"/>
          <w:b/>
          <w:caps/>
          <w:kern w:val="28"/>
          <w:sz w:val="28"/>
          <w:szCs w:val="20"/>
          <w:lang w:val="x-none" w:eastAsia="x-none"/>
        </w:rPr>
        <w:t xml:space="preserve">6. KONTROLA JAKOŚCI ROBÓT </w:t>
      </w:r>
      <w:bookmarkEnd w:id="536"/>
    </w:p>
    <w:p w14:paraId="4765E712"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37" w:name="_Toc47998"/>
      <w:r w:rsidRPr="003220D1">
        <w:rPr>
          <w:rFonts w:ascii="Arial Narrow" w:eastAsia="Times New Roman" w:hAnsi="Arial Narrow" w:cs="Times New Roman"/>
          <w:b/>
          <w:sz w:val="28"/>
          <w:szCs w:val="20"/>
          <w:lang w:val="x-none" w:eastAsia="x-none"/>
        </w:rPr>
        <w:t xml:space="preserve">6.1 Ogólne zasady kontroli jakości robót </w:t>
      </w:r>
      <w:bookmarkEnd w:id="537"/>
    </w:p>
    <w:p w14:paraId="2B5E701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Ogólne zasady kontroli jakości robót podano w D-M-00.00.00 „Wymagania Ogólne”.  </w:t>
      </w:r>
    </w:p>
    <w:p w14:paraId="60FFC27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Badania i pomiary dzielą się na: </w:t>
      </w:r>
    </w:p>
    <w:p w14:paraId="4ED3C5A4"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badania i pomiary Wykonawcy (w ramach własnego nadzoru), </w:t>
      </w:r>
    </w:p>
    <w:p w14:paraId="2D51F4D4"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badania i pomiary kontrolne - w ramach nadzoru Zamawiającego. </w:t>
      </w:r>
    </w:p>
    <w:p w14:paraId="3C2A3119"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 uzasadnionych przypadkach w ramach badań i pomiarów kontrolnych dopuszcza się wykonanie badań i pomiarów kontrolnych dodatkowych i/lub badań i pomiarów arbitrażowych. </w:t>
      </w:r>
    </w:p>
    <w:p w14:paraId="39AA5BE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Badania obejmują: </w:t>
      </w:r>
    </w:p>
    <w:p w14:paraId="5793B1BC"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pobranie próbek, </w:t>
      </w:r>
    </w:p>
    <w:p w14:paraId="581661D2"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zapakowanie próbek do wysyłki, </w:t>
      </w:r>
    </w:p>
    <w:p w14:paraId="6DB39E09"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transport próbek z miejsca pobrania do placówki wykonującej badania, </w:t>
      </w:r>
    </w:p>
    <w:p w14:paraId="1EC2BCED"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 przeprowadzenie badania, </w:t>
      </w:r>
    </w:p>
    <w:p w14:paraId="2FD69B1A"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sprawozdanie z badań.  </w:t>
      </w:r>
    </w:p>
    <w:p w14:paraId="5709077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Pomiary obejmują terenową weryfikację cech warstwy. </w:t>
      </w:r>
    </w:p>
    <w:p w14:paraId="107043F7"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3220D1">
        <w:rPr>
          <w:rFonts w:ascii="Arial Narrow" w:eastAsia="Times New Roman" w:hAnsi="Arial Narrow" w:cs="Times New Roman"/>
          <w:b/>
          <w:sz w:val="24"/>
          <w:szCs w:val="20"/>
          <w:lang w:val="x-none" w:eastAsia="x-none"/>
        </w:rPr>
        <w:lastRenderedPageBreak/>
        <w:t xml:space="preserve"> </w:t>
      </w:r>
      <w:bookmarkStart w:id="538" w:name="_Toc47999"/>
      <w:r w:rsidRPr="003220D1">
        <w:rPr>
          <w:rFonts w:ascii="Arial Narrow" w:eastAsia="Times New Roman" w:hAnsi="Arial Narrow" w:cs="Times New Roman"/>
          <w:b/>
          <w:sz w:val="24"/>
          <w:szCs w:val="20"/>
          <w:lang w:val="x-none" w:eastAsia="x-none"/>
        </w:rPr>
        <w:t xml:space="preserve">6.1.1. Badania i pomiary Wykonawcy </w:t>
      </w:r>
      <w:bookmarkEnd w:id="538"/>
    </w:p>
    <w:p w14:paraId="3DEC052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Wykonawca jest zobowiązany do przeprowadzania na bieżąco badań i pomiarów w celu sprawdzania czy jakość wykonanych Robót jest zgodna z postawionymi wymaganiami.  </w:t>
      </w:r>
    </w:p>
    <w:p w14:paraId="228E089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STWiORB. Wyniki badań będą dokumentowane i archiwizowane przez Wykonawcę. Wyniki badań Wykonawca jest zobowiązany przekazywać do Inżyniera/Inspektora Nadzoru/Zamawiającego. </w:t>
      </w:r>
    </w:p>
    <w:p w14:paraId="3DEBC8B8"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539" w:name="_Toc48000"/>
      <w:r w:rsidRPr="003220D1">
        <w:rPr>
          <w:rFonts w:ascii="Arial Narrow" w:eastAsia="Times New Roman" w:hAnsi="Arial Narrow" w:cs="Times New Roman"/>
          <w:b/>
          <w:sz w:val="24"/>
          <w:szCs w:val="20"/>
          <w:lang w:val="x-none" w:eastAsia="x-none"/>
        </w:rPr>
        <w:t xml:space="preserve">6.1.2. Badania i pomiary kontrolne </w:t>
      </w:r>
      <w:bookmarkEnd w:id="539"/>
    </w:p>
    <w:p w14:paraId="1980021A"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Badania i pomiary kontrolne są zlecane przez Inżyniera/Inspektora Nadzoru/Zamawiającego, a których celem jest sprawdzenie, czy jakość zastosowanych materiałów i wyrobów budowlanych oraz gotowej warstwy spełniają wymagania określone w kontrakcie.   </w:t>
      </w:r>
    </w:p>
    <w:p w14:paraId="5EDD6F51"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Pobieraniem próbek, wykonaniem badań i pomiarów na miejscu budowy zajmuje się Laboratorium Zamawiającego/Inżynier/Inspektor Nadzoru/Zamawiający przy udziale lub po poinformowaniu przedstawicieli Wykonawcy. Zamawiający decyduje o wyborze Laboratorium Zamawiającego. </w:t>
      </w:r>
    </w:p>
    <w:p w14:paraId="70046864"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540" w:name="_Toc48001"/>
      <w:r w:rsidRPr="003220D1">
        <w:rPr>
          <w:rFonts w:ascii="Arial Narrow" w:eastAsia="Times New Roman" w:hAnsi="Arial Narrow" w:cs="Times New Roman"/>
          <w:b/>
          <w:sz w:val="24"/>
          <w:szCs w:val="20"/>
          <w:lang w:val="x-none" w:eastAsia="x-none"/>
        </w:rPr>
        <w:t xml:space="preserve">6.1.3. Badania i pomiary kontrolne dodatkowe </w:t>
      </w:r>
      <w:bookmarkEnd w:id="540"/>
    </w:p>
    <w:p w14:paraId="7425A8B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 wypadku uznania, że jeden z wyników badań lub pomiarów kontrolnych nie jest reprezentatywny dla ocenianego odcinka budowy, strony kontraktu mogą wystąpić o przeprowadzenia badań lub pomiarów kontrolnych dodatkowych. Badania kontrolne dodatkowe są wykonywane przez Laboratorium Zamawiającego. </w:t>
      </w:r>
    </w:p>
    <w:p w14:paraId="63C6F70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Inżynier/Inspektor Nadzoru decydują o miejscach pobierania próbek i wyznaczeniu odcinków częściowych ocenianego odcinka budowy tzn. dziennej działki roboczej. </w:t>
      </w:r>
    </w:p>
    <w:p w14:paraId="6300CE4B"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541" w:name="_Toc48002"/>
      <w:r w:rsidRPr="003220D1">
        <w:rPr>
          <w:rFonts w:ascii="Arial Narrow" w:eastAsia="Times New Roman" w:hAnsi="Arial Narrow" w:cs="Times New Roman"/>
          <w:b/>
          <w:sz w:val="24"/>
          <w:szCs w:val="20"/>
          <w:lang w:val="x-none" w:eastAsia="x-none"/>
        </w:rPr>
        <w:t xml:space="preserve">6.1.4. Badania i pomiary arbitrażowe </w:t>
      </w:r>
      <w:bookmarkEnd w:id="541"/>
    </w:p>
    <w:p w14:paraId="30F6F6E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Badania i pomiary arbitrażowe są powtórzeniem badań lub pomiarów kontrolnych i/lub kontrolnych dodatkowych, co do których istnieją uzasadnione wątpliwości ze strony Inżyniera/Inspektora Nadzoru/Zamawiającego lub Wykonawcy (np. na podstawie własnych badań). </w:t>
      </w:r>
    </w:p>
    <w:p w14:paraId="0D6AC5BA"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Badania i pomiary arbitrażowe wykonuje się na wniosek strony kontraktu. Badania i pomiary arbitrażowe wykonuje bezstronne, akredytowane laboratorium (w tym inne laboratorium), które nie wykonywało badań lub pomiarów kontrolnych, przy udziale lub po poinformowaniu przedstawicieli stron. </w:t>
      </w:r>
    </w:p>
    <w:p w14:paraId="543020D3"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 przypadku wniosku Wykonawcy zgodę na przeprowadzenie badań i pomiarów arbitrażowych wyraża Inżynier/Inspektor Nadzoru/Zamawiający po wcześniejszej analizie zasadności wniosku. Zamawiający akceptuje laboratorium, które przeprowadzi badania lub pomiary arbitrażowe.  </w:t>
      </w:r>
    </w:p>
    <w:p w14:paraId="55681797"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42" w:name="_Toc48003"/>
      <w:r w:rsidRPr="003220D1">
        <w:rPr>
          <w:rFonts w:ascii="Arial Narrow" w:eastAsia="Times New Roman" w:hAnsi="Arial Narrow" w:cs="Times New Roman"/>
          <w:b/>
          <w:sz w:val="28"/>
          <w:szCs w:val="20"/>
          <w:lang w:val="x-none" w:eastAsia="x-none"/>
        </w:rPr>
        <w:t xml:space="preserve">6.2. Badania przed przystąpieniem do robót </w:t>
      </w:r>
      <w:bookmarkEnd w:id="542"/>
    </w:p>
    <w:p w14:paraId="155DED00"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Przed przystąpieniem do robót Wykonawca powinien: </w:t>
      </w:r>
    </w:p>
    <w:p w14:paraId="4F59D71D"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przedstawić Inżynierowi do akceptacji źródła poboru mieszanki oraz wszystkich dodatkowych materiałów, dołączając wszystkie dokumenty potwierdzające jakość materiałów składowych  </w:t>
      </w:r>
    </w:p>
    <w:p w14:paraId="449E63A1"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uzyskać wymagane dokumenty, dopuszczające wyroby budowlane do obrotu i powszechnego stosowania (stwierdzenie o oznakowaniu materiału znakiem CE lub znakiem budowlanym B, certyfikat zgodności, deklarację właściwości użytkowych, ocenę techniczną, ew. badania materiałów wykonane przez dostawców itp.), </w:t>
      </w:r>
    </w:p>
    <w:p w14:paraId="0B60E724"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opracować receptę laboratoryjną dla mieszanki kruszywa oraz przedstawić Inżynierowi wraz z wynikami badań do zatwierdzenia; </w:t>
      </w:r>
    </w:p>
    <w:p w14:paraId="1F9006C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wykonać własne badania właściwości materiałów przeznaczonych do wykonania robót, określone przez Inżyniera. Badania te powinny obejmować wszystkie właściwości materiałów określone w pkt. 2. </w:t>
      </w:r>
    </w:p>
    <w:p w14:paraId="7360CAB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Wszystkie dokumenty oraz wyniki badań Wykonawca przedstawia Inżynierowi do akceptacji. </w:t>
      </w:r>
    </w:p>
    <w:p w14:paraId="634CF6AA"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Ważność wykonanych przez producenta mieszanki pełnych badań materiałów wsadowych, w trakcie złożenia do akceptacji razem z receptą nie może przekroczyć pół roku od  dnia wykonania tych badań. </w:t>
      </w:r>
    </w:p>
    <w:p w14:paraId="1A9FB618"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43" w:name="_Toc48004"/>
      <w:r w:rsidRPr="003220D1">
        <w:rPr>
          <w:rFonts w:ascii="Arial Narrow" w:eastAsia="Times New Roman" w:hAnsi="Arial Narrow" w:cs="Times New Roman"/>
          <w:b/>
          <w:sz w:val="28"/>
          <w:szCs w:val="20"/>
          <w:lang w:val="x-none" w:eastAsia="x-none"/>
        </w:rPr>
        <w:t xml:space="preserve">6.3. Badania w czasie robót </w:t>
      </w:r>
      <w:bookmarkEnd w:id="543"/>
    </w:p>
    <w:p w14:paraId="7C19847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Częstotliwość oraz zakres badań i pomiarów zgodnie z tablicą 6.8. Badania kruszywa należy wykonywać bez dodatku destruktu z frezowania.</w:t>
      </w:r>
    </w:p>
    <w:p w14:paraId="79FCC470"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t xml:space="preserve">Tablica 6.8. </w:t>
      </w:r>
      <w:r w:rsidRPr="003220D1">
        <w:rPr>
          <w:rFonts w:ascii="Arial Narrow" w:eastAsia="Times New Roman" w:hAnsi="Arial Narrow" w:cs="Times New Roman"/>
          <w:sz w:val="20"/>
          <w:szCs w:val="20"/>
          <w:lang w:eastAsia="pl-PL"/>
        </w:rPr>
        <w:t>Częstotliwość oraz zakres badań i pomiarów</w:t>
      </w:r>
      <w:r w:rsidRPr="003220D1">
        <w:rPr>
          <w:rFonts w:ascii="Arial Narrow" w:eastAsia="Times New Roman" w:hAnsi="Arial Narrow" w:cs="Times New Roman"/>
          <w:b/>
          <w:sz w:val="20"/>
          <w:szCs w:val="20"/>
          <w:lang w:eastAsia="pl-PL"/>
        </w:rPr>
        <w:t xml:space="preserve"> </w:t>
      </w:r>
    </w:p>
    <w:tbl>
      <w:tblPr>
        <w:tblW w:w="9636" w:type="dxa"/>
        <w:tblInd w:w="7" w:type="dxa"/>
        <w:tblCellMar>
          <w:left w:w="72" w:type="dxa"/>
          <w:right w:w="7" w:type="dxa"/>
        </w:tblCellMar>
        <w:tblLook w:val="04A0" w:firstRow="1" w:lastRow="0" w:firstColumn="1" w:lastColumn="0" w:noHBand="0" w:noVBand="1"/>
      </w:tblPr>
      <w:tblGrid>
        <w:gridCol w:w="526"/>
        <w:gridCol w:w="3370"/>
        <w:gridCol w:w="2831"/>
        <w:gridCol w:w="2909"/>
      </w:tblGrid>
      <w:tr w:rsidR="003220D1" w:rsidRPr="003220D1" w14:paraId="00A7536D" w14:textId="77777777" w:rsidTr="00855929">
        <w:trPr>
          <w:trHeight w:val="386"/>
        </w:trPr>
        <w:tc>
          <w:tcPr>
            <w:tcW w:w="526" w:type="dxa"/>
            <w:vMerge w:val="restart"/>
            <w:tcBorders>
              <w:top w:val="single" w:sz="6" w:space="0" w:color="000000"/>
              <w:left w:val="single" w:sz="4" w:space="0" w:color="000000"/>
              <w:bottom w:val="double" w:sz="6" w:space="0" w:color="000000"/>
              <w:right w:val="single" w:sz="4" w:space="0" w:color="000000"/>
            </w:tcBorders>
            <w:shd w:val="clear" w:color="auto" w:fill="auto"/>
            <w:vAlign w:val="bottom"/>
          </w:tcPr>
          <w:p w14:paraId="710907D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Lp. </w:t>
            </w:r>
          </w:p>
        </w:tc>
        <w:tc>
          <w:tcPr>
            <w:tcW w:w="3370" w:type="dxa"/>
            <w:vMerge w:val="restart"/>
            <w:tcBorders>
              <w:top w:val="single" w:sz="6" w:space="0" w:color="000000"/>
              <w:left w:val="single" w:sz="4" w:space="0" w:color="000000"/>
              <w:bottom w:val="double" w:sz="6" w:space="0" w:color="000000"/>
              <w:right w:val="single" w:sz="6" w:space="0" w:color="000000"/>
            </w:tcBorders>
            <w:shd w:val="clear" w:color="auto" w:fill="auto"/>
            <w:vAlign w:val="bottom"/>
          </w:tcPr>
          <w:p w14:paraId="027E35B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Wyszczególnienie badań i pomiarów </w:t>
            </w:r>
          </w:p>
        </w:tc>
        <w:tc>
          <w:tcPr>
            <w:tcW w:w="5740" w:type="dxa"/>
            <w:gridSpan w:val="2"/>
            <w:tcBorders>
              <w:top w:val="single" w:sz="6" w:space="0" w:color="000000"/>
              <w:left w:val="single" w:sz="6" w:space="0" w:color="000000"/>
              <w:bottom w:val="single" w:sz="6" w:space="0" w:color="000000"/>
              <w:right w:val="single" w:sz="6" w:space="0" w:color="000000"/>
            </w:tcBorders>
            <w:shd w:val="clear" w:color="auto" w:fill="auto"/>
          </w:tcPr>
          <w:p w14:paraId="3EDEB3D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Częstotliwość badań </w:t>
            </w:r>
          </w:p>
        </w:tc>
      </w:tr>
      <w:tr w:rsidR="003220D1" w:rsidRPr="003220D1" w14:paraId="5E8EFFF0" w14:textId="77777777" w:rsidTr="00855929">
        <w:trPr>
          <w:trHeight w:val="1037"/>
        </w:trPr>
        <w:tc>
          <w:tcPr>
            <w:tcW w:w="0" w:type="auto"/>
            <w:vMerge/>
            <w:tcBorders>
              <w:top w:val="nil"/>
              <w:left w:val="single" w:sz="4" w:space="0" w:color="000000"/>
              <w:bottom w:val="double" w:sz="6" w:space="0" w:color="000000"/>
              <w:right w:val="single" w:sz="4" w:space="0" w:color="000000"/>
            </w:tcBorders>
            <w:shd w:val="clear" w:color="auto" w:fill="auto"/>
          </w:tcPr>
          <w:p w14:paraId="2E3825C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4" w:space="0" w:color="000000"/>
              <w:bottom w:val="double" w:sz="6" w:space="0" w:color="000000"/>
              <w:right w:val="single" w:sz="6" w:space="0" w:color="000000"/>
            </w:tcBorders>
            <w:shd w:val="clear" w:color="auto" w:fill="auto"/>
          </w:tcPr>
          <w:p w14:paraId="3B0F4C4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2831" w:type="dxa"/>
            <w:tcBorders>
              <w:top w:val="single" w:sz="6" w:space="0" w:color="000000"/>
              <w:left w:val="single" w:sz="6" w:space="0" w:color="000000"/>
              <w:bottom w:val="double" w:sz="6" w:space="0" w:color="000000"/>
              <w:right w:val="single" w:sz="6" w:space="0" w:color="000000"/>
            </w:tcBorders>
            <w:shd w:val="clear" w:color="auto" w:fill="auto"/>
            <w:vAlign w:val="center"/>
          </w:tcPr>
          <w:p w14:paraId="54EEB34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Minimalna liczba badań na dziennej działce roboczej </w:t>
            </w:r>
          </w:p>
        </w:tc>
        <w:tc>
          <w:tcPr>
            <w:tcW w:w="2909" w:type="dxa"/>
            <w:tcBorders>
              <w:top w:val="single" w:sz="6" w:space="0" w:color="000000"/>
              <w:left w:val="single" w:sz="6" w:space="0" w:color="000000"/>
              <w:bottom w:val="double" w:sz="6" w:space="0" w:color="000000"/>
              <w:right w:val="single" w:sz="6" w:space="0" w:color="000000"/>
            </w:tcBorders>
            <w:shd w:val="clear" w:color="auto" w:fill="auto"/>
          </w:tcPr>
          <w:p w14:paraId="6460544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Maksymalna powierzchnia warstwy przypadająca na jedno badanie (m</w:t>
            </w:r>
            <w:r w:rsidRPr="003220D1">
              <w:rPr>
                <w:rFonts w:ascii="Arial Narrow" w:eastAsia="Times New Roman" w:hAnsi="Arial Narrow" w:cs="Times New Roman"/>
                <w:vertAlign w:val="superscript"/>
              </w:rPr>
              <w:t>2</w:t>
            </w:r>
            <w:r w:rsidRPr="003220D1">
              <w:rPr>
                <w:rFonts w:ascii="Arial Narrow" w:eastAsia="Times New Roman" w:hAnsi="Arial Narrow" w:cs="Times New Roman"/>
              </w:rPr>
              <w:t>)</w:t>
            </w:r>
            <w:r w:rsidRPr="003220D1">
              <w:rPr>
                <w:rFonts w:ascii="Arial Narrow" w:eastAsia="Times New Roman" w:hAnsi="Arial Narrow" w:cs="Times New Roman"/>
                <w:vertAlign w:val="superscript"/>
              </w:rPr>
              <w:t xml:space="preserve"> </w:t>
            </w:r>
          </w:p>
        </w:tc>
      </w:tr>
      <w:tr w:rsidR="003220D1" w:rsidRPr="003220D1" w14:paraId="49E57871" w14:textId="77777777" w:rsidTr="00855929">
        <w:trPr>
          <w:trHeight w:val="341"/>
        </w:trPr>
        <w:tc>
          <w:tcPr>
            <w:tcW w:w="526" w:type="dxa"/>
            <w:tcBorders>
              <w:top w:val="double" w:sz="6" w:space="0" w:color="000000"/>
              <w:left w:val="single" w:sz="6" w:space="0" w:color="000000"/>
              <w:bottom w:val="single" w:sz="6" w:space="0" w:color="000000"/>
              <w:right w:val="single" w:sz="6" w:space="0" w:color="000000"/>
            </w:tcBorders>
            <w:shd w:val="clear" w:color="auto" w:fill="auto"/>
          </w:tcPr>
          <w:p w14:paraId="2EFD7E9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 </w:t>
            </w:r>
          </w:p>
        </w:tc>
        <w:tc>
          <w:tcPr>
            <w:tcW w:w="3370" w:type="dxa"/>
            <w:tcBorders>
              <w:top w:val="double" w:sz="6" w:space="0" w:color="000000"/>
              <w:left w:val="single" w:sz="6" w:space="0" w:color="000000"/>
              <w:bottom w:val="single" w:sz="6" w:space="0" w:color="000000"/>
              <w:right w:val="single" w:sz="6" w:space="0" w:color="000000"/>
            </w:tcBorders>
            <w:shd w:val="clear" w:color="auto" w:fill="auto"/>
          </w:tcPr>
          <w:p w14:paraId="4DEE4FF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Uziarnienie mieszanki </w:t>
            </w:r>
          </w:p>
        </w:tc>
        <w:tc>
          <w:tcPr>
            <w:tcW w:w="2831" w:type="dxa"/>
            <w:vMerge w:val="restart"/>
            <w:tcBorders>
              <w:top w:val="double" w:sz="6" w:space="0" w:color="000000"/>
              <w:left w:val="single" w:sz="6" w:space="0" w:color="000000"/>
              <w:bottom w:val="nil"/>
              <w:right w:val="single" w:sz="6" w:space="0" w:color="000000"/>
            </w:tcBorders>
            <w:shd w:val="clear" w:color="auto" w:fill="auto"/>
            <w:vAlign w:val="bottom"/>
          </w:tcPr>
          <w:p w14:paraId="4A7F23F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 </w:t>
            </w:r>
          </w:p>
        </w:tc>
        <w:tc>
          <w:tcPr>
            <w:tcW w:w="2909" w:type="dxa"/>
            <w:vMerge w:val="restart"/>
            <w:tcBorders>
              <w:top w:val="double" w:sz="6" w:space="0" w:color="000000"/>
              <w:left w:val="single" w:sz="6" w:space="0" w:color="000000"/>
              <w:bottom w:val="nil"/>
              <w:right w:val="single" w:sz="6" w:space="0" w:color="000000"/>
            </w:tcBorders>
            <w:shd w:val="clear" w:color="auto" w:fill="auto"/>
            <w:vAlign w:val="bottom"/>
          </w:tcPr>
          <w:p w14:paraId="0A93245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3000 </w:t>
            </w:r>
          </w:p>
        </w:tc>
      </w:tr>
      <w:tr w:rsidR="003220D1" w:rsidRPr="003220D1" w14:paraId="70D33B6C" w14:textId="77777777" w:rsidTr="00855929">
        <w:trPr>
          <w:trHeight w:val="89"/>
        </w:trPr>
        <w:tc>
          <w:tcPr>
            <w:tcW w:w="526" w:type="dxa"/>
            <w:tcBorders>
              <w:top w:val="single" w:sz="6" w:space="0" w:color="000000"/>
              <w:left w:val="single" w:sz="6" w:space="0" w:color="000000"/>
              <w:bottom w:val="nil"/>
              <w:right w:val="single" w:sz="6" w:space="0" w:color="000000"/>
            </w:tcBorders>
            <w:shd w:val="clear" w:color="auto" w:fill="auto"/>
          </w:tcPr>
          <w:p w14:paraId="034A5D4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3370" w:type="dxa"/>
            <w:tcBorders>
              <w:top w:val="single" w:sz="6" w:space="0" w:color="000000"/>
              <w:left w:val="single" w:sz="6" w:space="0" w:color="000000"/>
              <w:bottom w:val="nil"/>
              <w:right w:val="single" w:sz="6" w:space="0" w:color="000000"/>
            </w:tcBorders>
            <w:shd w:val="clear" w:color="auto" w:fill="auto"/>
          </w:tcPr>
          <w:p w14:paraId="56E9E2B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6" w:space="0" w:color="000000"/>
              <w:bottom w:val="nil"/>
              <w:right w:val="single" w:sz="6" w:space="0" w:color="000000"/>
            </w:tcBorders>
            <w:shd w:val="clear" w:color="auto" w:fill="auto"/>
          </w:tcPr>
          <w:p w14:paraId="65AB192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6" w:space="0" w:color="000000"/>
              <w:bottom w:val="nil"/>
              <w:right w:val="single" w:sz="6" w:space="0" w:color="000000"/>
            </w:tcBorders>
            <w:shd w:val="clear" w:color="auto" w:fill="auto"/>
          </w:tcPr>
          <w:p w14:paraId="6FF04D5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r>
      <w:tr w:rsidR="003220D1" w:rsidRPr="003220D1" w14:paraId="6B43856F" w14:textId="77777777" w:rsidTr="00855929">
        <w:trPr>
          <w:trHeight w:val="237"/>
        </w:trPr>
        <w:tc>
          <w:tcPr>
            <w:tcW w:w="526" w:type="dxa"/>
            <w:tcBorders>
              <w:top w:val="nil"/>
              <w:left w:val="single" w:sz="6" w:space="0" w:color="000000"/>
              <w:bottom w:val="single" w:sz="6" w:space="0" w:color="000000"/>
              <w:right w:val="single" w:sz="6" w:space="0" w:color="000000"/>
            </w:tcBorders>
            <w:shd w:val="clear" w:color="auto" w:fill="auto"/>
          </w:tcPr>
          <w:p w14:paraId="729B892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2 </w:t>
            </w:r>
          </w:p>
        </w:tc>
        <w:tc>
          <w:tcPr>
            <w:tcW w:w="3370" w:type="dxa"/>
            <w:tcBorders>
              <w:top w:val="nil"/>
              <w:left w:val="single" w:sz="6" w:space="0" w:color="000000"/>
              <w:bottom w:val="single" w:sz="6" w:space="0" w:color="000000"/>
              <w:right w:val="single" w:sz="6" w:space="0" w:color="000000"/>
            </w:tcBorders>
            <w:shd w:val="clear" w:color="auto" w:fill="auto"/>
          </w:tcPr>
          <w:p w14:paraId="53E9A52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Zawartość wody w mieszance </w:t>
            </w:r>
          </w:p>
        </w:tc>
        <w:tc>
          <w:tcPr>
            <w:tcW w:w="2831" w:type="dxa"/>
            <w:tcBorders>
              <w:top w:val="nil"/>
              <w:left w:val="single" w:sz="6" w:space="0" w:color="000000"/>
              <w:bottom w:val="single" w:sz="6" w:space="0" w:color="000000"/>
              <w:right w:val="single" w:sz="6" w:space="0" w:color="000000"/>
            </w:tcBorders>
            <w:shd w:val="clear" w:color="auto" w:fill="auto"/>
          </w:tcPr>
          <w:p w14:paraId="457209C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2909" w:type="dxa"/>
            <w:tcBorders>
              <w:top w:val="nil"/>
              <w:left w:val="single" w:sz="6" w:space="0" w:color="000000"/>
              <w:bottom w:val="single" w:sz="6" w:space="0" w:color="000000"/>
              <w:right w:val="single" w:sz="6" w:space="0" w:color="000000"/>
            </w:tcBorders>
            <w:shd w:val="clear" w:color="auto" w:fill="auto"/>
          </w:tcPr>
          <w:p w14:paraId="42EF23F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p>
        </w:tc>
      </w:tr>
      <w:tr w:rsidR="003220D1" w:rsidRPr="003220D1" w14:paraId="3892ED25" w14:textId="77777777" w:rsidTr="00855929">
        <w:trPr>
          <w:trHeight w:val="579"/>
        </w:trPr>
        <w:tc>
          <w:tcPr>
            <w:tcW w:w="52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862D0D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3 </w:t>
            </w:r>
          </w:p>
        </w:tc>
        <w:tc>
          <w:tcPr>
            <w:tcW w:w="3370" w:type="dxa"/>
            <w:tcBorders>
              <w:top w:val="single" w:sz="6" w:space="0" w:color="000000"/>
              <w:left w:val="single" w:sz="6" w:space="0" w:color="000000"/>
              <w:bottom w:val="single" w:sz="6" w:space="0" w:color="000000"/>
              <w:right w:val="single" w:sz="6" w:space="0" w:color="000000"/>
            </w:tcBorders>
            <w:shd w:val="clear" w:color="auto" w:fill="auto"/>
          </w:tcPr>
          <w:p w14:paraId="21F26F9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Zagęszczenie i nośność warstwy***) </w:t>
            </w:r>
          </w:p>
        </w:tc>
        <w:tc>
          <w:tcPr>
            <w:tcW w:w="283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CAFE97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2 </w:t>
            </w:r>
          </w:p>
        </w:tc>
        <w:tc>
          <w:tcPr>
            <w:tcW w:w="2909"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39D675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6000 </w:t>
            </w:r>
          </w:p>
        </w:tc>
      </w:tr>
      <w:tr w:rsidR="003220D1" w:rsidRPr="003220D1" w14:paraId="3B4EEF2C" w14:textId="77777777" w:rsidTr="00855929">
        <w:trPr>
          <w:trHeight w:val="830"/>
        </w:trPr>
        <w:tc>
          <w:tcPr>
            <w:tcW w:w="52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7A06B2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lastRenderedPageBreak/>
              <w:t xml:space="preserve">4 </w:t>
            </w:r>
          </w:p>
        </w:tc>
        <w:tc>
          <w:tcPr>
            <w:tcW w:w="33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03C62C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Badanie właściwości  mieszanki / gruntu </w:t>
            </w:r>
          </w:p>
        </w:tc>
        <w:tc>
          <w:tcPr>
            <w:tcW w:w="5740" w:type="dxa"/>
            <w:gridSpan w:val="2"/>
            <w:tcBorders>
              <w:top w:val="single" w:sz="6" w:space="0" w:color="000000"/>
              <w:left w:val="single" w:sz="6" w:space="0" w:color="000000"/>
              <w:bottom w:val="single" w:sz="6" w:space="0" w:color="000000"/>
              <w:right w:val="single" w:sz="6" w:space="0" w:color="000000"/>
            </w:tcBorders>
            <w:shd w:val="clear" w:color="auto" w:fill="auto"/>
          </w:tcPr>
          <w:p w14:paraId="07A7615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Przy zatwierdzeniu materiału oraz przy każdej istotnej zmianie jego właściwości, zmianie złoża, zmianie producenta. </w:t>
            </w:r>
          </w:p>
        </w:tc>
      </w:tr>
      <w:tr w:rsidR="003220D1" w:rsidRPr="003220D1" w14:paraId="60DBC4E7" w14:textId="77777777" w:rsidTr="00855929">
        <w:trPr>
          <w:trHeight w:val="348"/>
        </w:trPr>
        <w:tc>
          <w:tcPr>
            <w:tcW w:w="526" w:type="dxa"/>
            <w:tcBorders>
              <w:top w:val="single" w:sz="6" w:space="0" w:color="000000"/>
              <w:left w:val="single" w:sz="6" w:space="0" w:color="000000"/>
              <w:bottom w:val="single" w:sz="6" w:space="0" w:color="000000"/>
              <w:right w:val="single" w:sz="6" w:space="0" w:color="000000"/>
            </w:tcBorders>
            <w:shd w:val="clear" w:color="auto" w:fill="auto"/>
          </w:tcPr>
          <w:p w14:paraId="5E3A424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5 </w:t>
            </w:r>
          </w:p>
        </w:tc>
        <w:tc>
          <w:tcPr>
            <w:tcW w:w="3370" w:type="dxa"/>
            <w:tcBorders>
              <w:top w:val="single" w:sz="6" w:space="0" w:color="000000"/>
              <w:left w:val="single" w:sz="6" w:space="0" w:color="000000"/>
              <w:bottom w:val="single" w:sz="6" w:space="0" w:color="000000"/>
              <w:right w:val="single" w:sz="6" w:space="0" w:color="000000"/>
            </w:tcBorders>
            <w:shd w:val="clear" w:color="auto" w:fill="auto"/>
          </w:tcPr>
          <w:p w14:paraId="7C0D68B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Szerokość warstwy </w:t>
            </w:r>
          </w:p>
        </w:tc>
        <w:tc>
          <w:tcPr>
            <w:tcW w:w="5740" w:type="dxa"/>
            <w:gridSpan w:val="2"/>
            <w:tcBorders>
              <w:top w:val="single" w:sz="6" w:space="0" w:color="000000"/>
              <w:left w:val="single" w:sz="6" w:space="0" w:color="000000"/>
              <w:bottom w:val="single" w:sz="6" w:space="0" w:color="000000"/>
              <w:right w:val="single" w:sz="6" w:space="0" w:color="000000"/>
            </w:tcBorders>
            <w:shd w:val="clear" w:color="auto" w:fill="auto"/>
          </w:tcPr>
          <w:p w14:paraId="29774D4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10 razy na 1km jezdni </w:t>
            </w:r>
          </w:p>
        </w:tc>
      </w:tr>
      <w:tr w:rsidR="003220D1" w:rsidRPr="003220D1" w14:paraId="5300CFB2" w14:textId="77777777" w:rsidTr="00855929">
        <w:trPr>
          <w:trHeight w:val="350"/>
        </w:trPr>
        <w:tc>
          <w:tcPr>
            <w:tcW w:w="526" w:type="dxa"/>
            <w:tcBorders>
              <w:top w:val="single" w:sz="6" w:space="0" w:color="000000"/>
              <w:left w:val="single" w:sz="6" w:space="0" w:color="000000"/>
              <w:bottom w:val="single" w:sz="6" w:space="0" w:color="000000"/>
              <w:right w:val="single" w:sz="6" w:space="0" w:color="000000"/>
            </w:tcBorders>
            <w:shd w:val="clear" w:color="auto" w:fill="auto"/>
          </w:tcPr>
          <w:p w14:paraId="6A1DA948"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6 </w:t>
            </w:r>
          </w:p>
        </w:tc>
        <w:tc>
          <w:tcPr>
            <w:tcW w:w="3370" w:type="dxa"/>
            <w:tcBorders>
              <w:top w:val="single" w:sz="6" w:space="0" w:color="000000"/>
              <w:left w:val="single" w:sz="6" w:space="0" w:color="000000"/>
              <w:bottom w:val="single" w:sz="6" w:space="0" w:color="000000"/>
              <w:right w:val="single" w:sz="6" w:space="0" w:color="000000"/>
            </w:tcBorders>
            <w:shd w:val="clear" w:color="auto" w:fill="auto"/>
          </w:tcPr>
          <w:p w14:paraId="0EF4276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Równość podłużna </w:t>
            </w:r>
          </w:p>
        </w:tc>
        <w:tc>
          <w:tcPr>
            <w:tcW w:w="5740" w:type="dxa"/>
            <w:gridSpan w:val="2"/>
            <w:tcBorders>
              <w:top w:val="single" w:sz="6" w:space="0" w:color="000000"/>
              <w:left w:val="single" w:sz="6" w:space="0" w:color="000000"/>
              <w:bottom w:val="single" w:sz="6" w:space="0" w:color="000000"/>
              <w:right w:val="single" w:sz="6" w:space="0" w:color="000000"/>
            </w:tcBorders>
            <w:shd w:val="clear" w:color="auto" w:fill="auto"/>
          </w:tcPr>
          <w:p w14:paraId="4798FBC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co 20 m na każdym pasie ruchu  </w:t>
            </w:r>
          </w:p>
        </w:tc>
      </w:tr>
      <w:tr w:rsidR="003220D1" w:rsidRPr="003220D1" w14:paraId="7C5AD7DB" w14:textId="77777777" w:rsidTr="00855929">
        <w:trPr>
          <w:trHeight w:val="334"/>
        </w:trPr>
        <w:tc>
          <w:tcPr>
            <w:tcW w:w="526" w:type="dxa"/>
            <w:tcBorders>
              <w:top w:val="single" w:sz="6" w:space="0" w:color="000000"/>
              <w:left w:val="single" w:sz="6" w:space="0" w:color="000000"/>
              <w:bottom w:val="single" w:sz="6" w:space="0" w:color="000000"/>
              <w:right w:val="single" w:sz="6" w:space="0" w:color="000000"/>
            </w:tcBorders>
            <w:shd w:val="clear" w:color="auto" w:fill="auto"/>
          </w:tcPr>
          <w:p w14:paraId="612CD2E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7 </w:t>
            </w:r>
          </w:p>
        </w:tc>
        <w:tc>
          <w:tcPr>
            <w:tcW w:w="3370" w:type="dxa"/>
            <w:tcBorders>
              <w:top w:val="single" w:sz="6" w:space="0" w:color="000000"/>
              <w:left w:val="single" w:sz="6" w:space="0" w:color="000000"/>
              <w:bottom w:val="single" w:sz="6" w:space="0" w:color="000000"/>
              <w:right w:val="single" w:sz="6" w:space="0" w:color="000000"/>
            </w:tcBorders>
            <w:shd w:val="clear" w:color="auto" w:fill="auto"/>
          </w:tcPr>
          <w:p w14:paraId="0FA3CFB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Równość poprzeczna </w:t>
            </w:r>
          </w:p>
        </w:tc>
        <w:tc>
          <w:tcPr>
            <w:tcW w:w="5740" w:type="dxa"/>
            <w:gridSpan w:val="2"/>
            <w:tcBorders>
              <w:top w:val="single" w:sz="6" w:space="0" w:color="000000"/>
              <w:left w:val="single" w:sz="6" w:space="0" w:color="000000"/>
              <w:bottom w:val="single" w:sz="6" w:space="0" w:color="000000"/>
              <w:right w:val="single" w:sz="6" w:space="0" w:color="000000"/>
            </w:tcBorders>
            <w:shd w:val="clear" w:color="auto" w:fill="auto"/>
          </w:tcPr>
          <w:p w14:paraId="1A63A91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10 razy na 1km jezdni </w:t>
            </w:r>
          </w:p>
        </w:tc>
      </w:tr>
      <w:tr w:rsidR="003220D1" w:rsidRPr="003220D1" w14:paraId="4BA904B3" w14:textId="77777777" w:rsidTr="00855929">
        <w:trPr>
          <w:trHeight w:val="350"/>
        </w:trPr>
        <w:tc>
          <w:tcPr>
            <w:tcW w:w="526" w:type="dxa"/>
            <w:tcBorders>
              <w:top w:val="single" w:sz="6" w:space="0" w:color="000000"/>
              <w:left w:val="single" w:sz="6" w:space="0" w:color="000000"/>
              <w:bottom w:val="single" w:sz="6" w:space="0" w:color="000000"/>
              <w:right w:val="single" w:sz="6" w:space="0" w:color="000000"/>
            </w:tcBorders>
            <w:shd w:val="clear" w:color="auto" w:fill="auto"/>
          </w:tcPr>
          <w:p w14:paraId="4417DA1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8 </w:t>
            </w:r>
          </w:p>
        </w:tc>
        <w:tc>
          <w:tcPr>
            <w:tcW w:w="3370" w:type="dxa"/>
            <w:tcBorders>
              <w:top w:val="single" w:sz="6" w:space="0" w:color="000000"/>
              <w:left w:val="single" w:sz="6" w:space="0" w:color="000000"/>
              <w:bottom w:val="single" w:sz="6" w:space="0" w:color="000000"/>
              <w:right w:val="single" w:sz="6" w:space="0" w:color="000000"/>
            </w:tcBorders>
            <w:shd w:val="clear" w:color="auto" w:fill="auto"/>
          </w:tcPr>
          <w:p w14:paraId="621706D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Spadki poprzeczne </w:t>
            </w:r>
            <w:r w:rsidRPr="003220D1">
              <w:rPr>
                <w:rFonts w:ascii="Arial Narrow" w:eastAsia="Times New Roman" w:hAnsi="Arial Narrow" w:cs="Times New Roman"/>
                <w:vertAlign w:val="superscript"/>
              </w:rPr>
              <w:t>*)</w:t>
            </w:r>
            <w:r w:rsidRPr="003220D1">
              <w:rPr>
                <w:rFonts w:ascii="Arial Narrow" w:eastAsia="Times New Roman" w:hAnsi="Arial Narrow" w:cs="Times New Roman"/>
              </w:rPr>
              <w:t xml:space="preserve"> </w:t>
            </w:r>
          </w:p>
        </w:tc>
        <w:tc>
          <w:tcPr>
            <w:tcW w:w="5740" w:type="dxa"/>
            <w:gridSpan w:val="2"/>
            <w:tcBorders>
              <w:top w:val="single" w:sz="6" w:space="0" w:color="000000"/>
              <w:left w:val="single" w:sz="6" w:space="0" w:color="000000"/>
              <w:bottom w:val="single" w:sz="6" w:space="0" w:color="000000"/>
              <w:right w:val="single" w:sz="6" w:space="0" w:color="000000"/>
            </w:tcBorders>
            <w:shd w:val="clear" w:color="auto" w:fill="auto"/>
          </w:tcPr>
          <w:p w14:paraId="286F29F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10 razy na 1km jezdni </w:t>
            </w:r>
          </w:p>
        </w:tc>
      </w:tr>
      <w:tr w:rsidR="003220D1" w:rsidRPr="003220D1" w14:paraId="626114DB" w14:textId="77777777" w:rsidTr="00855929">
        <w:trPr>
          <w:trHeight w:val="1054"/>
        </w:trPr>
        <w:tc>
          <w:tcPr>
            <w:tcW w:w="52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E26346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9 </w:t>
            </w:r>
          </w:p>
        </w:tc>
        <w:tc>
          <w:tcPr>
            <w:tcW w:w="33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AB5F49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Rzędne wysokościowe </w:t>
            </w:r>
          </w:p>
        </w:tc>
        <w:tc>
          <w:tcPr>
            <w:tcW w:w="5740" w:type="dxa"/>
            <w:gridSpan w:val="2"/>
            <w:tcBorders>
              <w:top w:val="single" w:sz="6" w:space="0" w:color="000000"/>
              <w:left w:val="single" w:sz="6" w:space="0" w:color="000000"/>
              <w:bottom w:val="single" w:sz="6" w:space="0" w:color="000000"/>
              <w:right w:val="single" w:sz="6" w:space="0" w:color="000000"/>
            </w:tcBorders>
            <w:shd w:val="clear" w:color="auto" w:fill="auto"/>
          </w:tcPr>
          <w:p w14:paraId="017436A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Co 25 m na odcinkach prostych i co 10m na łukach w osi jezdni i na jej krawędziach dla autostrad i dróg ekspresowych, co 100m na odcinkach prostych i co 10 m na łukach dla pozostałych dróg  </w:t>
            </w:r>
          </w:p>
        </w:tc>
      </w:tr>
      <w:tr w:rsidR="003220D1" w:rsidRPr="003220D1" w14:paraId="5345F7D1" w14:textId="77777777" w:rsidTr="00855929">
        <w:trPr>
          <w:trHeight w:val="336"/>
        </w:trPr>
        <w:tc>
          <w:tcPr>
            <w:tcW w:w="526" w:type="dxa"/>
            <w:tcBorders>
              <w:top w:val="single" w:sz="6" w:space="0" w:color="000000"/>
              <w:left w:val="single" w:sz="6" w:space="0" w:color="000000"/>
              <w:bottom w:val="single" w:sz="6" w:space="0" w:color="000000"/>
              <w:right w:val="single" w:sz="6" w:space="0" w:color="000000"/>
            </w:tcBorders>
            <w:shd w:val="clear" w:color="auto" w:fill="auto"/>
          </w:tcPr>
          <w:p w14:paraId="416A094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10 </w:t>
            </w:r>
          </w:p>
        </w:tc>
        <w:tc>
          <w:tcPr>
            <w:tcW w:w="3370" w:type="dxa"/>
            <w:tcBorders>
              <w:top w:val="single" w:sz="6" w:space="0" w:color="000000"/>
              <w:left w:val="single" w:sz="6" w:space="0" w:color="000000"/>
              <w:bottom w:val="single" w:sz="6" w:space="0" w:color="000000"/>
              <w:right w:val="single" w:sz="6" w:space="0" w:color="000000"/>
            </w:tcBorders>
            <w:shd w:val="clear" w:color="auto" w:fill="auto"/>
          </w:tcPr>
          <w:p w14:paraId="1BF1AC9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Ukształtowanie osi w planie </w:t>
            </w:r>
            <w:r w:rsidRPr="003220D1">
              <w:rPr>
                <w:rFonts w:ascii="Arial Narrow" w:eastAsia="Times New Roman" w:hAnsi="Arial Narrow" w:cs="Times New Roman"/>
                <w:vertAlign w:val="superscript"/>
              </w:rPr>
              <w:t>*)</w:t>
            </w:r>
            <w:r w:rsidRPr="003220D1">
              <w:rPr>
                <w:rFonts w:ascii="Arial Narrow" w:eastAsia="Times New Roman" w:hAnsi="Arial Narrow" w:cs="Times New Roman"/>
              </w:rPr>
              <w:t xml:space="preserve"> </w:t>
            </w:r>
          </w:p>
        </w:tc>
        <w:tc>
          <w:tcPr>
            <w:tcW w:w="5740" w:type="dxa"/>
            <w:gridSpan w:val="2"/>
            <w:tcBorders>
              <w:top w:val="single" w:sz="6" w:space="0" w:color="000000"/>
              <w:left w:val="single" w:sz="6" w:space="0" w:color="000000"/>
              <w:bottom w:val="single" w:sz="6" w:space="0" w:color="000000"/>
              <w:right w:val="single" w:sz="6" w:space="0" w:color="000000"/>
            </w:tcBorders>
            <w:shd w:val="clear" w:color="auto" w:fill="auto"/>
          </w:tcPr>
          <w:p w14:paraId="2176527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Zgodnie z dokumentacją projektową  </w:t>
            </w:r>
          </w:p>
        </w:tc>
      </w:tr>
      <w:tr w:rsidR="003220D1" w:rsidRPr="003220D1" w14:paraId="29082CE1" w14:textId="77777777" w:rsidTr="00855929">
        <w:trPr>
          <w:trHeight w:val="348"/>
        </w:trPr>
        <w:tc>
          <w:tcPr>
            <w:tcW w:w="526" w:type="dxa"/>
            <w:tcBorders>
              <w:top w:val="single" w:sz="6" w:space="0" w:color="000000"/>
              <w:left w:val="single" w:sz="6" w:space="0" w:color="000000"/>
              <w:bottom w:val="single" w:sz="6" w:space="0" w:color="000000"/>
              <w:right w:val="single" w:sz="6" w:space="0" w:color="000000"/>
            </w:tcBorders>
            <w:shd w:val="clear" w:color="auto" w:fill="auto"/>
          </w:tcPr>
          <w:p w14:paraId="3E40F84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11 </w:t>
            </w:r>
          </w:p>
        </w:tc>
        <w:tc>
          <w:tcPr>
            <w:tcW w:w="3370" w:type="dxa"/>
            <w:tcBorders>
              <w:top w:val="single" w:sz="6" w:space="0" w:color="000000"/>
              <w:left w:val="single" w:sz="6" w:space="0" w:color="000000"/>
              <w:bottom w:val="single" w:sz="6" w:space="0" w:color="000000"/>
              <w:right w:val="single" w:sz="6" w:space="0" w:color="000000"/>
            </w:tcBorders>
            <w:shd w:val="clear" w:color="auto" w:fill="auto"/>
          </w:tcPr>
          <w:p w14:paraId="5D82609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Grubość warstwy**) </w:t>
            </w:r>
          </w:p>
        </w:tc>
        <w:tc>
          <w:tcPr>
            <w:tcW w:w="5740" w:type="dxa"/>
            <w:gridSpan w:val="2"/>
            <w:tcBorders>
              <w:top w:val="single" w:sz="6" w:space="0" w:color="000000"/>
              <w:left w:val="single" w:sz="6" w:space="0" w:color="000000"/>
              <w:bottom w:val="single" w:sz="6" w:space="0" w:color="000000"/>
              <w:right w:val="single" w:sz="6" w:space="0" w:color="000000"/>
            </w:tcBorders>
            <w:shd w:val="clear" w:color="auto" w:fill="auto"/>
          </w:tcPr>
          <w:p w14:paraId="6DC13B2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10 razy na 1km jezdni**) </w:t>
            </w:r>
          </w:p>
        </w:tc>
      </w:tr>
    </w:tbl>
    <w:p w14:paraId="39AE6D36"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 dodatkowe pomiary spadków poprzecznych i ukształtowania osi w planie należy wykonać w  punktach głównych łuków poziomych. **) na podstawie operatów geodezyjnych,  </w:t>
      </w:r>
    </w:p>
    <w:p w14:paraId="73A0704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 nośność tylko dla warstw niezwiązanych </w:t>
      </w:r>
    </w:p>
    <w:p w14:paraId="6D01494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 </w:t>
      </w:r>
    </w:p>
    <w:p w14:paraId="656647F8"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544" w:name="_Toc48005"/>
      <w:r w:rsidRPr="003220D1">
        <w:rPr>
          <w:rFonts w:ascii="Arial Narrow" w:eastAsia="Times New Roman" w:hAnsi="Arial Narrow" w:cs="Times New Roman"/>
          <w:b/>
          <w:sz w:val="24"/>
          <w:szCs w:val="20"/>
          <w:lang w:val="x-none" w:eastAsia="x-none"/>
        </w:rPr>
        <w:t xml:space="preserve">6.3.1. Uziarnienie mieszanki </w:t>
      </w:r>
      <w:bookmarkEnd w:id="544"/>
    </w:p>
    <w:p w14:paraId="1FE3E111"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Próbki należy pobierać losowo z rozłożonej warstwy, przed jej zagęszczeniem.  Badanie uziarnienia mieszanki/gruntu należy wykonać wg PN-EN 933-1. </w:t>
      </w:r>
    </w:p>
    <w:p w14:paraId="043E1934"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545" w:name="_Toc48006"/>
      <w:r w:rsidRPr="003220D1">
        <w:rPr>
          <w:rFonts w:ascii="Arial Narrow" w:eastAsia="Times New Roman" w:hAnsi="Arial Narrow" w:cs="Times New Roman"/>
          <w:b/>
          <w:sz w:val="24"/>
          <w:szCs w:val="20"/>
          <w:lang w:val="x-none" w:eastAsia="x-none"/>
        </w:rPr>
        <w:t xml:space="preserve">6.3.2. Zawartość wody  </w:t>
      </w:r>
      <w:bookmarkEnd w:id="545"/>
    </w:p>
    <w:p w14:paraId="5D599311"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Zawartość wody w mieszankach/gruntach powinna odpowiadać wymaganej zawartości wody w trakcie wbudowywania i zagęszczania określonej według PN-EN 13286-2. </w:t>
      </w:r>
    </w:p>
    <w:p w14:paraId="506BCF56"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546" w:name="_Toc48007"/>
      <w:r w:rsidRPr="003220D1">
        <w:rPr>
          <w:rFonts w:ascii="Arial Narrow" w:eastAsia="Times New Roman" w:hAnsi="Arial Narrow" w:cs="Times New Roman"/>
          <w:b/>
          <w:sz w:val="24"/>
          <w:szCs w:val="20"/>
          <w:lang w:val="x-none" w:eastAsia="x-none"/>
        </w:rPr>
        <w:t xml:space="preserve">6.3.3. Zagęszczenie i nośność  </w:t>
      </w:r>
      <w:bookmarkEnd w:id="546"/>
    </w:p>
    <w:p w14:paraId="52FE001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Zagęszczenie każdej warstwy powinno odbywać się aż do osiągnięcia wymaganego wskaźnika zagęszczenia. </w:t>
      </w:r>
    </w:p>
    <w:p w14:paraId="75574B9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Kontrolę zagęszczenia oraz nośności warstwy należy oprzeć na metodzie obciążeń płytowych wg załącznika B do normy PN-S-02205 lub badaniu wskaźnika zagęszczenia wg normy BN-77/8931-12 i nośności E</w:t>
      </w:r>
      <w:r w:rsidRPr="003220D1">
        <w:rPr>
          <w:rFonts w:ascii="Arial Narrow" w:eastAsia="Times New Roman" w:hAnsi="Arial Narrow" w:cs="Times New Roman"/>
          <w:sz w:val="20"/>
          <w:szCs w:val="20"/>
          <w:vertAlign w:val="subscript"/>
          <w:lang w:eastAsia="pl-PL"/>
        </w:rPr>
        <w:t>2</w:t>
      </w:r>
      <w:r w:rsidRPr="003220D1">
        <w:rPr>
          <w:rFonts w:ascii="Arial Narrow" w:eastAsia="Times New Roman" w:hAnsi="Arial Narrow" w:cs="Times New Roman"/>
          <w:sz w:val="20"/>
          <w:szCs w:val="20"/>
          <w:lang w:eastAsia="pl-PL"/>
        </w:rPr>
        <w:t xml:space="preserve"> wg metody obciążeń płytowych. </w:t>
      </w:r>
    </w:p>
    <w:p w14:paraId="30FD12F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Zagęszczenie warstwy należy uznać za prawidłowe, gdy stosunek wtórnego modułu odkształcenia E2 do pierwotnego modułu odkształcenia E1 jest &lt; 2,2, lub wskaźnik zagęszczenia IS i nośność warstwy E2 jest zgodna z tabelą 6.9. </w:t>
      </w:r>
    </w:p>
    <w:p w14:paraId="77CD5F79"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Zagęszczenie podbudowy stabilizowanej mechanicznie należy uznać za prawidłowe, gdy wskaźnik odkształcenia I</w:t>
      </w:r>
      <w:r w:rsidRPr="003220D1">
        <w:rPr>
          <w:rFonts w:ascii="Arial Narrow" w:eastAsia="Times New Roman" w:hAnsi="Arial Narrow" w:cs="Times New Roman"/>
          <w:sz w:val="20"/>
          <w:szCs w:val="20"/>
          <w:vertAlign w:val="subscript"/>
          <w:lang w:eastAsia="pl-PL"/>
        </w:rPr>
        <w:t>o</w:t>
      </w:r>
      <w:r w:rsidRPr="003220D1">
        <w:rPr>
          <w:rFonts w:ascii="Arial Narrow" w:eastAsia="Times New Roman" w:hAnsi="Arial Narrow" w:cs="Times New Roman"/>
          <w:sz w:val="20"/>
          <w:szCs w:val="20"/>
          <w:lang w:eastAsia="pl-PL"/>
        </w:rPr>
        <w:t xml:space="preserve"> tj. stosunek wtórnego modułu </w:t>
      </w:r>
      <w:r w:rsidRPr="003220D1">
        <w:rPr>
          <w:rFonts w:ascii="Arial Narrow" w:eastAsia="Times New Roman" w:hAnsi="Arial Narrow" w:cs="Times New Roman"/>
          <w:i/>
          <w:sz w:val="20"/>
          <w:szCs w:val="20"/>
          <w:lang w:eastAsia="pl-PL"/>
        </w:rPr>
        <w:t>E</w:t>
      </w:r>
      <w:r w:rsidRPr="003220D1">
        <w:rPr>
          <w:rFonts w:ascii="Arial Narrow" w:eastAsia="Times New Roman" w:hAnsi="Arial Narrow" w:cs="Times New Roman"/>
          <w:sz w:val="20"/>
          <w:szCs w:val="20"/>
          <w:vertAlign w:val="subscript"/>
          <w:lang w:eastAsia="pl-PL"/>
        </w:rPr>
        <w:t>2</w:t>
      </w:r>
      <w:r w:rsidRPr="003220D1">
        <w:rPr>
          <w:rFonts w:ascii="Arial Narrow" w:eastAsia="Times New Roman" w:hAnsi="Arial Narrow" w:cs="Times New Roman"/>
          <w:sz w:val="20"/>
          <w:szCs w:val="20"/>
          <w:lang w:eastAsia="pl-PL"/>
        </w:rPr>
        <w:t xml:space="preserve"> do pierwotnego modułu odkształcenia </w:t>
      </w:r>
      <w:r w:rsidRPr="003220D1">
        <w:rPr>
          <w:rFonts w:ascii="Arial Narrow" w:eastAsia="Times New Roman" w:hAnsi="Arial Narrow" w:cs="Times New Roman"/>
          <w:i/>
          <w:sz w:val="20"/>
          <w:szCs w:val="20"/>
          <w:lang w:eastAsia="pl-PL"/>
        </w:rPr>
        <w:t>E</w:t>
      </w:r>
      <w:r w:rsidRPr="003220D1">
        <w:rPr>
          <w:rFonts w:ascii="Arial Narrow" w:eastAsia="Times New Roman" w:hAnsi="Arial Narrow" w:cs="Times New Roman"/>
          <w:sz w:val="20"/>
          <w:szCs w:val="20"/>
          <w:vertAlign w:val="subscript"/>
          <w:lang w:eastAsia="pl-PL"/>
        </w:rPr>
        <w:t>1</w:t>
      </w:r>
      <w:r w:rsidRPr="003220D1">
        <w:rPr>
          <w:rFonts w:ascii="Arial Narrow" w:eastAsia="Times New Roman" w:hAnsi="Arial Narrow" w:cs="Times New Roman"/>
          <w:sz w:val="20"/>
          <w:szCs w:val="20"/>
          <w:lang w:eastAsia="pl-PL"/>
        </w:rPr>
        <w:t xml:space="preserve"> jest nie większy od 2,2 dla każdej warstwy konstrukcyjnej podbudowy. </w:t>
      </w:r>
    </w:p>
    <w:p w14:paraId="1CD4ABAE"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i/>
          <w:sz w:val="20"/>
          <w:szCs w:val="20"/>
          <w:lang w:eastAsia="pl-PL"/>
        </w:rPr>
        <w:t>I</w:t>
      </w:r>
      <w:r w:rsidRPr="003220D1">
        <w:rPr>
          <w:rFonts w:ascii="Arial Narrow" w:eastAsia="Times New Roman" w:hAnsi="Arial Narrow" w:cs="Times New Roman"/>
          <w:i/>
          <w:sz w:val="20"/>
          <w:szCs w:val="20"/>
          <w:vertAlign w:val="subscript"/>
          <w:lang w:eastAsia="pl-PL"/>
        </w:rPr>
        <w:t>0</w:t>
      </w:r>
      <w:r w:rsidRPr="003220D1">
        <w:rPr>
          <w:rFonts w:ascii="Arial Narrow" w:eastAsia="Times New Roman" w:hAnsi="Arial Narrow" w:cs="Times New Roman"/>
          <w:i/>
          <w:sz w:val="20"/>
          <w:szCs w:val="20"/>
          <w:lang w:eastAsia="pl-PL"/>
        </w:rPr>
        <w:t xml:space="preserve"> = E</w:t>
      </w:r>
      <w:r w:rsidRPr="003220D1">
        <w:rPr>
          <w:rFonts w:ascii="Arial Narrow" w:eastAsia="Times New Roman" w:hAnsi="Arial Narrow" w:cs="Times New Roman"/>
          <w:sz w:val="20"/>
          <w:szCs w:val="20"/>
          <w:lang w:eastAsia="pl-PL"/>
        </w:rPr>
        <w:t>2 / E</w:t>
      </w:r>
      <w:r w:rsidRPr="003220D1">
        <w:rPr>
          <w:rFonts w:ascii="Arial Narrow" w:eastAsia="Times New Roman" w:hAnsi="Arial Narrow" w:cs="Times New Roman"/>
          <w:sz w:val="20"/>
          <w:szCs w:val="20"/>
          <w:vertAlign w:val="subscript"/>
          <w:lang w:eastAsia="pl-PL"/>
        </w:rPr>
        <w:t xml:space="preserve">1 </w:t>
      </w:r>
      <w:r w:rsidRPr="003220D1">
        <w:rPr>
          <w:rFonts w:ascii="Arial Narrow" w:eastAsia="Times New Roman" w:hAnsi="Arial Narrow" w:cs="Times New Roman"/>
          <w:sz w:val="20"/>
          <w:szCs w:val="20"/>
          <w:lang w:eastAsia="pl-PL"/>
        </w:rPr>
        <w:t>&lt;=2.2</w:t>
      </w:r>
    </w:p>
    <w:p w14:paraId="25CAFC78"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Moduł odkształcenia należy wyznaczyć dla przyrostu obciążenia od 0,25 MPa do 0,35 MPa przy zastosowaniu płyty VSS o średnicy 300 mm. Końcowe obciążenie powinno wynosić 0,45 MPa. </w:t>
      </w:r>
    </w:p>
    <w:p w14:paraId="77443B4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Obliczenie wyników wg wzoru: </w:t>
      </w:r>
    </w:p>
    <w:p w14:paraId="0FA392D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 </w:t>
      </w:r>
    </w:p>
    <w:p w14:paraId="114475C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i/>
          <w:sz w:val="20"/>
          <w:szCs w:val="20"/>
          <w:lang w:eastAsia="pl-PL"/>
        </w:rPr>
        <w:t>E</w:t>
      </w:r>
      <w:r w:rsidRPr="003220D1">
        <w:rPr>
          <w:rFonts w:ascii="Arial Narrow" w:eastAsia="Times New Roman" w:hAnsi="Arial Narrow" w:cs="Times New Roman"/>
          <w:sz w:val="20"/>
          <w:szCs w:val="20"/>
          <w:lang w:eastAsia="pl-PL"/>
        </w:rPr>
        <w:t xml:space="preserve">=(3*dp/4*ds)*D </w:t>
      </w:r>
    </w:p>
    <w:p w14:paraId="0A66436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i/>
          <w:sz w:val="20"/>
          <w:szCs w:val="20"/>
          <w:lang w:eastAsia="pl-PL"/>
        </w:rPr>
        <w:t xml:space="preserve"> </w:t>
      </w:r>
      <w:r w:rsidRPr="003220D1">
        <w:rPr>
          <w:rFonts w:ascii="Arial Narrow" w:eastAsia="Times New Roman" w:hAnsi="Arial Narrow" w:cs="Times New Roman"/>
          <w:sz w:val="20"/>
          <w:szCs w:val="20"/>
          <w:lang w:eastAsia="pl-PL"/>
        </w:rPr>
        <w:t xml:space="preserve">w którym: </w:t>
      </w:r>
    </w:p>
    <w:p w14:paraId="1035B665"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E – moduł odkształcenia (MPa) </w:t>
      </w:r>
    </w:p>
    <w:p w14:paraId="77A2F596"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dp – różnica nacisków (MPa) </w:t>
      </w:r>
    </w:p>
    <w:p w14:paraId="41B484D6"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ds – przyrost osiadań odpowiadający tej różnicy nacisków (mm) </w:t>
      </w:r>
    </w:p>
    <w:p w14:paraId="4558DDA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D – średnica płyty (mm) </w:t>
      </w:r>
    </w:p>
    <w:p w14:paraId="7D3B6C29"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 </w:t>
      </w:r>
    </w:p>
    <w:p w14:paraId="6BB158B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Wymagania dla wtórnego modułu odkształcenia należy przyjmować w zależności jej umiejscowienia w konstrukcji zgodnie z wymaganiami opisanymi w KTKNPiP 2014 i KTKNS 2014, oraz z Dokumentacją Projektową. Wartość wtórnego modułu odkształcenia E</w:t>
      </w:r>
      <w:r w:rsidRPr="003220D1">
        <w:rPr>
          <w:rFonts w:ascii="Arial Narrow" w:eastAsia="Times New Roman" w:hAnsi="Arial Narrow" w:cs="Times New Roman"/>
          <w:sz w:val="20"/>
          <w:szCs w:val="20"/>
          <w:vertAlign w:val="subscript"/>
          <w:lang w:eastAsia="pl-PL"/>
        </w:rPr>
        <w:t xml:space="preserve">2 </w:t>
      </w:r>
      <w:r w:rsidRPr="003220D1">
        <w:rPr>
          <w:rFonts w:ascii="Arial Narrow" w:eastAsia="Times New Roman" w:hAnsi="Arial Narrow" w:cs="Times New Roman"/>
          <w:sz w:val="20"/>
          <w:szCs w:val="20"/>
          <w:lang w:eastAsia="pl-PL"/>
        </w:rPr>
        <w:t xml:space="preserve">powinny odpowiadać parametrom podanym w tablicy 6.9. </w:t>
      </w:r>
    </w:p>
    <w:p w14:paraId="0DA4DC51"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b/>
          <w:sz w:val="20"/>
          <w:szCs w:val="20"/>
          <w:lang w:eastAsia="pl-PL"/>
        </w:rPr>
        <w:t xml:space="preserve">Tablica 6.9. </w:t>
      </w:r>
      <w:r w:rsidRPr="003220D1">
        <w:rPr>
          <w:rFonts w:ascii="Arial Narrow" w:eastAsia="Times New Roman" w:hAnsi="Arial Narrow" w:cs="Times New Roman"/>
          <w:sz w:val="20"/>
          <w:szCs w:val="20"/>
          <w:lang w:eastAsia="pl-PL"/>
        </w:rPr>
        <w:t xml:space="preserve">Wymagania dla nośności </w:t>
      </w:r>
    </w:p>
    <w:tbl>
      <w:tblPr>
        <w:tblW w:w="9064" w:type="dxa"/>
        <w:tblInd w:w="5" w:type="dxa"/>
        <w:tblCellMar>
          <w:top w:w="50" w:type="dxa"/>
          <w:left w:w="110" w:type="dxa"/>
          <w:right w:w="115" w:type="dxa"/>
        </w:tblCellMar>
        <w:tblLook w:val="04A0" w:firstRow="1" w:lastRow="0" w:firstColumn="1" w:lastColumn="0" w:noHBand="0" w:noVBand="1"/>
      </w:tblPr>
      <w:tblGrid>
        <w:gridCol w:w="4157"/>
        <w:gridCol w:w="1673"/>
        <w:gridCol w:w="1618"/>
        <w:gridCol w:w="1616"/>
      </w:tblGrid>
      <w:tr w:rsidR="003220D1" w:rsidRPr="003220D1" w14:paraId="5877B35B" w14:textId="77777777" w:rsidTr="00855929">
        <w:trPr>
          <w:trHeight w:val="773"/>
        </w:trPr>
        <w:tc>
          <w:tcPr>
            <w:tcW w:w="4158" w:type="dxa"/>
            <w:tcBorders>
              <w:top w:val="single" w:sz="4" w:space="0" w:color="000000"/>
              <w:left w:val="single" w:sz="4" w:space="0" w:color="000000"/>
              <w:bottom w:val="single" w:sz="4" w:space="0" w:color="000000"/>
              <w:right w:val="single" w:sz="4" w:space="0" w:color="000000"/>
            </w:tcBorders>
            <w:shd w:val="clear" w:color="auto" w:fill="auto"/>
          </w:tcPr>
          <w:p w14:paraId="08A4CAB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Badanie </w:t>
            </w:r>
          </w:p>
        </w:tc>
        <w:tc>
          <w:tcPr>
            <w:tcW w:w="1673" w:type="dxa"/>
            <w:tcBorders>
              <w:top w:val="single" w:sz="4" w:space="0" w:color="000000"/>
              <w:left w:val="single" w:sz="4" w:space="0" w:color="000000"/>
              <w:bottom w:val="single" w:sz="4" w:space="0" w:color="000000"/>
              <w:right w:val="single" w:sz="4" w:space="0" w:color="000000"/>
            </w:tcBorders>
            <w:shd w:val="clear" w:color="auto" w:fill="auto"/>
          </w:tcPr>
          <w:p w14:paraId="3500DC2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drogi o ruchu </w:t>
            </w:r>
          </w:p>
          <w:p w14:paraId="7D0A23D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KR1 ÷ KR2 </w:t>
            </w:r>
          </w:p>
        </w:tc>
        <w:tc>
          <w:tcPr>
            <w:tcW w:w="1618" w:type="dxa"/>
            <w:tcBorders>
              <w:top w:val="single" w:sz="4" w:space="0" w:color="000000"/>
              <w:left w:val="single" w:sz="4" w:space="0" w:color="000000"/>
              <w:bottom w:val="single" w:sz="4" w:space="0" w:color="000000"/>
              <w:right w:val="single" w:sz="4" w:space="0" w:color="000000"/>
            </w:tcBorders>
            <w:shd w:val="clear" w:color="auto" w:fill="auto"/>
          </w:tcPr>
          <w:p w14:paraId="090F173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drogi o ruchu </w:t>
            </w:r>
          </w:p>
          <w:p w14:paraId="22F9DCA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KR3 ÷ KR4 </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6693372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drogi o ruchu </w:t>
            </w:r>
          </w:p>
          <w:p w14:paraId="38B6D0D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KR5 ÷ KR7 </w:t>
            </w:r>
          </w:p>
        </w:tc>
      </w:tr>
      <w:tr w:rsidR="003220D1" w:rsidRPr="003220D1" w14:paraId="58036BF5" w14:textId="77777777" w:rsidTr="00855929">
        <w:trPr>
          <w:trHeight w:val="766"/>
        </w:trPr>
        <w:tc>
          <w:tcPr>
            <w:tcW w:w="41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289AA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Wskaźnik zagęszczenia I</w:t>
            </w:r>
            <w:r w:rsidRPr="003220D1">
              <w:rPr>
                <w:rFonts w:ascii="Arial Narrow" w:eastAsia="Times New Roman" w:hAnsi="Arial Narrow" w:cs="Times New Roman"/>
                <w:vertAlign w:val="subscript"/>
              </w:rPr>
              <w:t>s</w:t>
            </w:r>
            <w:r w:rsidRPr="003220D1">
              <w:rPr>
                <w:rFonts w:ascii="Arial Narrow" w:eastAsia="Times New Roman" w:hAnsi="Arial Narrow" w:cs="Times New Roman"/>
              </w:rPr>
              <w:t xml:space="preserve">: </w:t>
            </w:r>
          </w:p>
          <w:p w14:paraId="47C2B8E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w:t>
            </w:r>
          </w:p>
        </w:tc>
        <w:tc>
          <w:tcPr>
            <w:tcW w:w="1673" w:type="dxa"/>
            <w:tcBorders>
              <w:top w:val="single" w:sz="4" w:space="0" w:color="000000"/>
              <w:left w:val="single" w:sz="4" w:space="0" w:color="000000"/>
              <w:bottom w:val="single" w:sz="4" w:space="0" w:color="000000"/>
              <w:right w:val="single" w:sz="4" w:space="0" w:color="000000"/>
            </w:tcBorders>
            <w:shd w:val="clear" w:color="auto" w:fill="auto"/>
          </w:tcPr>
          <w:p w14:paraId="143CA93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w:t>
            </w:r>
          </w:p>
          <w:p w14:paraId="7634D3B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1,00 </w:t>
            </w:r>
          </w:p>
          <w:p w14:paraId="63ABBFF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w:t>
            </w:r>
          </w:p>
        </w:tc>
        <w:tc>
          <w:tcPr>
            <w:tcW w:w="16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EF691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1,00 </w:t>
            </w:r>
          </w:p>
        </w:tc>
        <w:tc>
          <w:tcPr>
            <w:tcW w:w="16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9EE6A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1,03 </w:t>
            </w:r>
          </w:p>
        </w:tc>
      </w:tr>
      <w:tr w:rsidR="003220D1" w:rsidRPr="003220D1" w14:paraId="5E77D89C" w14:textId="77777777" w:rsidTr="00855929">
        <w:trPr>
          <w:trHeight w:val="406"/>
        </w:trPr>
        <w:tc>
          <w:tcPr>
            <w:tcW w:w="41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51874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Wskaźnik odkształcenia I</w:t>
            </w:r>
            <w:r w:rsidRPr="003220D1">
              <w:rPr>
                <w:rFonts w:ascii="Arial Narrow" w:eastAsia="Times New Roman" w:hAnsi="Arial Narrow" w:cs="Times New Roman"/>
                <w:vertAlign w:val="subscript"/>
              </w:rPr>
              <w:t>o</w:t>
            </w:r>
            <w:r w:rsidRPr="003220D1">
              <w:rPr>
                <w:rFonts w:ascii="Arial Narrow" w:eastAsia="Times New Roman" w:hAnsi="Arial Narrow" w:cs="Times New Roman"/>
              </w:rPr>
              <w:t xml:space="preserve"> </w:t>
            </w:r>
          </w:p>
        </w:tc>
        <w:tc>
          <w:tcPr>
            <w:tcW w:w="16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C03AA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2,20 </w:t>
            </w:r>
          </w:p>
        </w:tc>
        <w:tc>
          <w:tcPr>
            <w:tcW w:w="16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974D3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2,20 </w:t>
            </w:r>
          </w:p>
        </w:tc>
        <w:tc>
          <w:tcPr>
            <w:tcW w:w="16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7B3A4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2,20 </w:t>
            </w:r>
          </w:p>
        </w:tc>
      </w:tr>
      <w:tr w:rsidR="003220D1" w:rsidRPr="003220D1" w14:paraId="56B574DA" w14:textId="77777777" w:rsidTr="00855929">
        <w:trPr>
          <w:trHeight w:val="406"/>
        </w:trPr>
        <w:tc>
          <w:tcPr>
            <w:tcW w:w="41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BDCD9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lastRenderedPageBreak/>
              <w:t>Wtórny moduł odkształcenia E</w:t>
            </w:r>
            <w:r w:rsidRPr="003220D1">
              <w:rPr>
                <w:rFonts w:ascii="Arial Narrow" w:eastAsia="Times New Roman" w:hAnsi="Arial Narrow" w:cs="Times New Roman"/>
                <w:vertAlign w:val="subscript"/>
              </w:rPr>
              <w:t xml:space="preserve">2 </w:t>
            </w:r>
            <w:r w:rsidRPr="003220D1">
              <w:rPr>
                <w:rFonts w:ascii="Arial Narrow" w:eastAsia="Times New Roman" w:hAnsi="Arial Narrow" w:cs="Times New Roman"/>
              </w:rPr>
              <w:t xml:space="preserve"> </w:t>
            </w:r>
          </w:p>
        </w:tc>
        <w:tc>
          <w:tcPr>
            <w:tcW w:w="16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83CE9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80 MPa </w:t>
            </w:r>
          </w:p>
        </w:tc>
        <w:tc>
          <w:tcPr>
            <w:tcW w:w="16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98BF43"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100 MPa </w:t>
            </w:r>
          </w:p>
        </w:tc>
        <w:tc>
          <w:tcPr>
            <w:tcW w:w="16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EE295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rPr>
            </w:pPr>
            <w:r w:rsidRPr="003220D1">
              <w:rPr>
                <w:rFonts w:ascii="Arial Narrow" w:eastAsia="Times New Roman" w:hAnsi="Arial Narrow" w:cs="Times New Roman"/>
              </w:rPr>
              <w:t xml:space="preserve">≥  100 MPa </w:t>
            </w:r>
          </w:p>
        </w:tc>
      </w:tr>
    </w:tbl>
    <w:p w14:paraId="0A50C583"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 </w:t>
      </w:r>
    </w:p>
    <w:p w14:paraId="57B5DEC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Minimalna częstość badania zagęszczenia i nośności powinna wynosić 2 badanie na dziennej działce roboczej wg pkt. 6.3. Dopuszcza się alternatywne metody pomiaru nośności i zagęszczenia w uzgodnieniu z Inżynierem/Zamawiającym. Jako metody referencyjne uznaje się badania wskaźnika zagęszczenia wg BN-77/8931-12 oraz wtórnego modułu odkształcenia wg PN-S-02205. </w:t>
      </w:r>
    </w:p>
    <w:p w14:paraId="77311864"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547" w:name="_Toc48008"/>
      <w:r w:rsidRPr="003220D1">
        <w:rPr>
          <w:rFonts w:ascii="Arial Narrow" w:eastAsia="Times New Roman" w:hAnsi="Arial Narrow" w:cs="Times New Roman"/>
          <w:b/>
          <w:sz w:val="24"/>
          <w:szCs w:val="20"/>
          <w:lang w:val="x-none" w:eastAsia="x-none"/>
        </w:rPr>
        <w:t xml:space="preserve">6.3.4. Właściwości kruszywa </w:t>
      </w:r>
      <w:bookmarkEnd w:id="547"/>
    </w:p>
    <w:p w14:paraId="31819DD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Właściwości mieszanki/gruntu obejmujące ocenę wszystkich właściwości określonych w pkt. 2 należy badać z częstotliwością zgodnie z tablicą 6.8. </w:t>
      </w:r>
    </w:p>
    <w:p w14:paraId="54909E43"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548" w:name="_Toc48009"/>
      <w:r w:rsidRPr="003220D1">
        <w:rPr>
          <w:rFonts w:ascii="Arial Narrow" w:eastAsia="Times New Roman" w:hAnsi="Arial Narrow" w:cs="Times New Roman"/>
          <w:b/>
          <w:sz w:val="24"/>
          <w:szCs w:val="20"/>
          <w:lang w:val="x-none" w:eastAsia="x-none"/>
        </w:rPr>
        <w:t xml:space="preserve">6.3.5. Szerokość warstwy </w:t>
      </w:r>
      <w:bookmarkEnd w:id="548"/>
    </w:p>
    <w:p w14:paraId="4B145EC9"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Szerokość warstwy nie może się różnić od szerokości projektowanej o więcej niż +10 cm, -5 cm. </w:t>
      </w:r>
    </w:p>
    <w:p w14:paraId="678514D1"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549" w:name="_Toc48010"/>
      <w:r w:rsidRPr="003220D1">
        <w:rPr>
          <w:rFonts w:ascii="Arial Narrow" w:eastAsia="Times New Roman" w:hAnsi="Arial Narrow" w:cs="Times New Roman"/>
          <w:b/>
          <w:sz w:val="24"/>
          <w:szCs w:val="20"/>
          <w:lang w:val="x-none" w:eastAsia="x-none"/>
        </w:rPr>
        <w:t xml:space="preserve">6.3.6. Równość, spadki warstwy </w:t>
      </w:r>
      <w:bookmarkEnd w:id="549"/>
    </w:p>
    <w:p w14:paraId="777C80E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Nierówności podłużne i poprzeczne należy mierzyć 4 metrową łatą, zgodnie z normą BN-68/8931-04 lub metodą równoważną (planografem). Nierówności nie mogą przekraczać 20 mm.  </w:t>
      </w:r>
    </w:p>
    <w:p w14:paraId="7E6AC64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Spadki poprzeczne warstwy odsączającej na prostych i łukach powinny być zgodne z dokumentacją projektową z tolerancją ± 0,5%. </w:t>
      </w:r>
    </w:p>
    <w:p w14:paraId="6144BACD"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550" w:name="_Toc48011"/>
      <w:r w:rsidRPr="003220D1">
        <w:rPr>
          <w:rFonts w:ascii="Arial Narrow" w:eastAsia="Times New Roman" w:hAnsi="Arial Narrow" w:cs="Times New Roman"/>
          <w:b/>
          <w:sz w:val="24"/>
          <w:szCs w:val="20"/>
          <w:lang w:val="x-none" w:eastAsia="x-none"/>
        </w:rPr>
        <w:t>6.3.7. Rzędne wysokościowe</w:t>
      </w:r>
      <w:r w:rsidRPr="003220D1">
        <w:rPr>
          <w:rFonts w:ascii="Arial Narrow" w:eastAsia="Times New Roman" w:hAnsi="Arial Narrow" w:cs="Times New Roman"/>
          <w:b/>
          <w:i/>
          <w:sz w:val="24"/>
          <w:szCs w:val="20"/>
          <w:lang w:val="x-none" w:eastAsia="x-none"/>
        </w:rPr>
        <w:t xml:space="preserve"> </w:t>
      </w:r>
      <w:bookmarkEnd w:id="550"/>
    </w:p>
    <w:p w14:paraId="24BF28CF"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Różnice pomiędzy rzędnymi wysokościowymi warstwy i rzędnymi projektowanymi nie powinny przekraczać -2 cm i +1 cm </w:t>
      </w:r>
    </w:p>
    <w:p w14:paraId="548D5AF9"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551" w:name="_Toc48012"/>
      <w:r w:rsidRPr="003220D1">
        <w:rPr>
          <w:rFonts w:ascii="Arial Narrow" w:eastAsia="Times New Roman" w:hAnsi="Arial Narrow" w:cs="Times New Roman"/>
          <w:b/>
          <w:sz w:val="24"/>
          <w:szCs w:val="20"/>
          <w:lang w:val="x-none" w:eastAsia="x-none"/>
        </w:rPr>
        <w:t xml:space="preserve">6.3.8. Ukształtowanie osi w planie </w:t>
      </w:r>
      <w:bookmarkEnd w:id="551"/>
    </w:p>
    <w:p w14:paraId="4DE7F120"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Oś w planie nie może być przesunięta w stosunku do osi projektowanej o więcej niż </w:t>
      </w:r>
      <w:r w:rsidRPr="003220D1">
        <w:rPr>
          <w:rFonts w:ascii="Arial Narrow" w:eastAsia="Times New Roman" w:hAnsi="Arial Narrow" w:cs="Times New Roman"/>
          <w:sz w:val="20"/>
          <w:szCs w:val="20"/>
          <w:lang w:eastAsia="pl-PL"/>
        </w:rPr>
        <w:t xml:space="preserve"> 5cm. </w:t>
      </w:r>
    </w:p>
    <w:p w14:paraId="561A3D54"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552" w:name="_Toc48013"/>
      <w:r w:rsidRPr="003220D1">
        <w:rPr>
          <w:rFonts w:ascii="Arial Narrow" w:eastAsia="Times New Roman" w:hAnsi="Arial Narrow" w:cs="Times New Roman"/>
          <w:b/>
          <w:sz w:val="24"/>
          <w:szCs w:val="20"/>
          <w:lang w:val="x-none" w:eastAsia="x-none"/>
        </w:rPr>
        <w:t xml:space="preserve">6.3.9. Grubość warstwy </w:t>
      </w:r>
      <w:bookmarkEnd w:id="552"/>
    </w:p>
    <w:p w14:paraId="47AF9E26"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Grubość warstwy powinna być zgodna z określoną w dokumentacji projektowej. Jeżeli warstwa, ze względów technologicznych, została wykonana w dwóch warstwach, należy mierzyć łączną grubość tych warstw. Wybór metody pomiarów grubości należy przedstawić Inżynierowi do akceptacji. </w:t>
      </w:r>
    </w:p>
    <w:p w14:paraId="3753017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Na wszystkich powierzchniach wadliwych pod względem grubości Wykonawca wykona naprawę warstwy w sposób zaakceptowany przez Inżyniera/Inspektora Nadzoru/Zamawiającego. </w:t>
      </w:r>
    </w:p>
    <w:p w14:paraId="066B9D54" w14:textId="77777777" w:rsidR="003220D1" w:rsidRPr="003220D1" w:rsidRDefault="003220D1" w:rsidP="003220D1">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553" w:name="_Toc48014"/>
      <w:r w:rsidRPr="003220D1">
        <w:rPr>
          <w:rFonts w:ascii="Arial Narrow" w:eastAsia="Times New Roman" w:hAnsi="Arial Narrow" w:cs="Times New Roman"/>
          <w:b/>
          <w:sz w:val="24"/>
          <w:szCs w:val="20"/>
          <w:lang w:val="x-none" w:eastAsia="x-none"/>
        </w:rPr>
        <w:t xml:space="preserve">6.3.10. Wytrzymałość na ściskanie </w:t>
      </w:r>
      <w:bookmarkEnd w:id="553"/>
    </w:p>
    <w:p w14:paraId="697F5F5A"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Wytrzymałość na ściskanie mieszanek związanych i gruntów stabilizowanych  powinna spełniać wymagania określone w pkt. 2 w zależności od zastosowania.  </w:t>
      </w:r>
    </w:p>
    <w:p w14:paraId="5679F69B"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54" w:name="_Toc48015"/>
      <w:r w:rsidRPr="003220D1">
        <w:rPr>
          <w:rFonts w:ascii="Arial Narrow" w:eastAsia="Times New Roman" w:hAnsi="Arial Narrow" w:cs="Times New Roman"/>
          <w:b/>
          <w:caps/>
          <w:kern w:val="28"/>
          <w:sz w:val="28"/>
          <w:szCs w:val="20"/>
          <w:lang w:val="x-none" w:eastAsia="x-none"/>
        </w:rPr>
        <w:t xml:space="preserve">7. OBMIAR ROBÓT </w:t>
      </w:r>
      <w:bookmarkEnd w:id="554"/>
    </w:p>
    <w:p w14:paraId="1FF67C44"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Ogólne zasady obmiaru robót podano w D-M 00.00.00 "Wymagania Ogólne" pkt 7. </w:t>
      </w:r>
    </w:p>
    <w:p w14:paraId="4E09FC04"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55" w:name="_Toc48016"/>
      <w:r w:rsidRPr="003220D1">
        <w:rPr>
          <w:rFonts w:ascii="Arial Narrow" w:eastAsia="Times New Roman" w:hAnsi="Arial Narrow" w:cs="Times New Roman"/>
          <w:b/>
          <w:sz w:val="28"/>
          <w:szCs w:val="20"/>
          <w:lang w:val="x-none" w:eastAsia="x-none"/>
        </w:rPr>
        <w:t xml:space="preserve">7.1. Jednostka obmiarowa </w:t>
      </w:r>
      <w:bookmarkEnd w:id="555"/>
    </w:p>
    <w:p w14:paraId="701611F2"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Jednostką obmiarową jest m</w:t>
      </w:r>
      <w:r w:rsidRPr="003220D1">
        <w:rPr>
          <w:rFonts w:ascii="Arial Narrow" w:eastAsia="Times New Roman" w:hAnsi="Arial Narrow" w:cs="Times New Roman"/>
          <w:sz w:val="20"/>
          <w:szCs w:val="20"/>
          <w:vertAlign w:val="superscript"/>
          <w:lang w:eastAsia="pl-PL"/>
        </w:rPr>
        <w:t>2</w:t>
      </w:r>
      <w:r w:rsidRPr="003220D1">
        <w:rPr>
          <w:rFonts w:ascii="Arial Narrow" w:eastAsia="Times New Roman" w:hAnsi="Arial Narrow" w:cs="Times New Roman"/>
          <w:sz w:val="20"/>
          <w:szCs w:val="20"/>
          <w:lang w:eastAsia="pl-PL"/>
        </w:rPr>
        <w:t xml:space="preserve"> (metr kwadratowy) warstwy  odsączającej. </w:t>
      </w:r>
    </w:p>
    <w:p w14:paraId="19BB71B8"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56" w:name="_Toc48017"/>
      <w:r w:rsidRPr="003220D1">
        <w:rPr>
          <w:rFonts w:ascii="Arial Narrow" w:eastAsia="Times New Roman" w:hAnsi="Arial Narrow" w:cs="Times New Roman"/>
          <w:b/>
          <w:caps/>
          <w:kern w:val="28"/>
          <w:sz w:val="28"/>
          <w:szCs w:val="20"/>
          <w:lang w:val="x-none" w:eastAsia="x-none"/>
        </w:rPr>
        <w:t xml:space="preserve">8. ODBIÓR ROBÓT </w:t>
      </w:r>
      <w:bookmarkEnd w:id="556"/>
    </w:p>
    <w:p w14:paraId="47065C9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Ogólne zasady odbioru robót podano w D-M 00.00.00 „Wymagania Ogólne” pkt 8.</w:t>
      </w:r>
      <w:r w:rsidRPr="003220D1">
        <w:rPr>
          <w:rFonts w:ascii="Arial Narrow" w:eastAsia="Times New Roman" w:hAnsi="Arial Narrow" w:cs="Times New Roman"/>
          <w:b/>
          <w:sz w:val="20"/>
          <w:szCs w:val="20"/>
          <w:lang w:eastAsia="pl-PL"/>
        </w:rPr>
        <w:t xml:space="preserve"> </w:t>
      </w:r>
      <w:r w:rsidRPr="003220D1">
        <w:rPr>
          <w:rFonts w:ascii="Arial Narrow" w:eastAsia="Times New Roman" w:hAnsi="Arial Narrow" w:cs="Times New Roman"/>
          <w:sz w:val="20"/>
          <w:szCs w:val="20"/>
          <w:lang w:eastAsia="pl-PL"/>
        </w:rPr>
        <w:t xml:space="preserve">Roboty uznaje się za wykonane zgodnie z Dokumentacją Projektową, STWiORB i wymaganiami Inżyniera/Zamawiającego, jeżeli wszystkie pomiary i badania z zachowaniem tolerancji wg punktu 6 dały wyniki pozytywne. </w:t>
      </w:r>
    </w:p>
    <w:p w14:paraId="5A1BB26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Do odbioru ostatecznego uwzględniane są wyniki badań i pomiarów kontrolnych, badań i pomiarów kontrolnych dodatkowych oraz badań i pomiarów arbitrażowych do wyznaczonych odcinków częściowych. </w:t>
      </w:r>
    </w:p>
    <w:p w14:paraId="7398CCB2"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57" w:name="_Toc48018"/>
      <w:r w:rsidRPr="003220D1">
        <w:rPr>
          <w:rFonts w:ascii="Arial Narrow" w:eastAsia="Times New Roman" w:hAnsi="Arial Narrow" w:cs="Times New Roman"/>
          <w:b/>
          <w:sz w:val="28"/>
          <w:szCs w:val="20"/>
          <w:lang w:val="x-none" w:eastAsia="x-none"/>
        </w:rPr>
        <w:t xml:space="preserve">8.1. Zasady postępowania z wadliwie wykonanymi robotami </w:t>
      </w:r>
      <w:bookmarkEnd w:id="557"/>
    </w:p>
    <w:p w14:paraId="47F1C558"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Jeżeli wystąpią wyniki negatywne dla materiałów i robót (nie spełniające wymagań określonych w STWiORB i opracowanych na ich podstawie STWiORB), to Inżynier/Inspektor Nadzór/Zamawiający wydaje Wykonawcy polecenie przedstawienia programu naprawczego, chyba że na wniosek jednej ze stron kontraktu zostaną wykonane badania lub pomiary arbitrażowe (zgodnie z pkt. 6.5 niniejszego STWiORB), a ich wyniki będą pozytywne. Wykonawca w programie tym jest zobowiązany dokonać oceny wpływu na trwałość, przedstawić sposób naprawienia wady lub wnioskować o zredukowanie ceny kontraktowej. </w:t>
      </w:r>
    </w:p>
    <w:p w14:paraId="212CA46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Na zastosowanie programu naprawczego wyraża zgodę Inżynier/Inspektor Nadzor/Zamawiający.  </w:t>
      </w:r>
    </w:p>
    <w:p w14:paraId="48ABB851"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 przypadku braku zgody Inżyniera/Inspektora Nadzoru/Zamawiającego na zastosowanie programu naprawczego wszystkie materiały i roboty nie spełniające wymagań podanych w odpowiednich punktach STWiORB zostaną odrzucone. Wykonawca wymieni materiały na właściwe i wykona prawidłowo roboty na własny koszt. </w:t>
      </w:r>
    </w:p>
    <w:p w14:paraId="7ECADE67"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Jeżeli wymiana materiałów niespełniających wymagań lub wadliwie wykonane roboty spowodowują szkodę w innych, prawidłowo wykonanych robotach, to również te roboty powinny być ponownie wykonane przez Wykonawcę na jego koszt. </w:t>
      </w:r>
    </w:p>
    <w:p w14:paraId="47C31399"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58" w:name="_Toc48019"/>
      <w:r w:rsidRPr="003220D1">
        <w:rPr>
          <w:rFonts w:ascii="Arial Narrow" w:eastAsia="Times New Roman" w:hAnsi="Arial Narrow" w:cs="Times New Roman"/>
          <w:b/>
          <w:caps/>
          <w:kern w:val="28"/>
          <w:sz w:val="28"/>
          <w:szCs w:val="20"/>
          <w:lang w:val="x-none" w:eastAsia="x-none"/>
        </w:rPr>
        <w:t xml:space="preserve">9.  PODSTAWA PŁATNOŚCI </w:t>
      </w:r>
      <w:bookmarkEnd w:id="558"/>
    </w:p>
    <w:p w14:paraId="21D3A9E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Ogólne ustalenia dotyczące podstawy płatności podano w STWiORB D-M 00.00.00  „Wymagania Ogólne” . </w:t>
      </w:r>
    </w:p>
    <w:p w14:paraId="502ABEAA"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 </w:t>
      </w:r>
    </w:p>
    <w:p w14:paraId="12E16A3C"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Cena wykonania 1m</w:t>
      </w:r>
      <w:r w:rsidRPr="003220D1">
        <w:rPr>
          <w:rFonts w:ascii="Arial Narrow" w:eastAsia="Times New Roman" w:hAnsi="Arial Narrow" w:cs="Times New Roman"/>
          <w:sz w:val="20"/>
          <w:szCs w:val="20"/>
          <w:vertAlign w:val="superscript"/>
          <w:lang w:eastAsia="pl-PL"/>
        </w:rPr>
        <w:t>2</w:t>
      </w:r>
      <w:r w:rsidRPr="003220D1">
        <w:rPr>
          <w:rFonts w:ascii="Arial Narrow" w:eastAsia="Times New Roman" w:hAnsi="Arial Narrow" w:cs="Times New Roman"/>
          <w:sz w:val="20"/>
          <w:szCs w:val="20"/>
          <w:lang w:eastAsia="pl-PL"/>
        </w:rPr>
        <w:t xml:space="preserve"> warstwy odsączającej obejmuje: </w:t>
      </w:r>
    </w:p>
    <w:p w14:paraId="6CB5378B"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prace pomiarowe, </w:t>
      </w:r>
    </w:p>
    <w:p w14:paraId="7F20AEBA"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dostarczenie i rozłożenie na uprzednio przygotowanym podłożu warstwy materiału o grubości i jakości określonej w dokumentacji projektowej i specyfikacji technicznej, </w:t>
      </w:r>
    </w:p>
    <w:p w14:paraId="23DC10AE"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wyrównanie ułożonej warstwy do wymaganego profilu, </w:t>
      </w:r>
    </w:p>
    <w:p w14:paraId="4C78A778"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lastRenderedPageBreak/>
        <w:t xml:space="preserve">zagęszczenie wyprofilowanej warstwy, </w:t>
      </w:r>
    </w:p>
    <w:p w14:paraId="4BBD92A4"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przeprowadzenie pomiarów i badań laboratoryjnych wymaganych w specyfikacji  technicznej, </w:t>
      </w:r>
    </w:p>
    <w:p w14:paraId="42AF7492"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utrzymanie warstwy, </w:t>
      </w:r>
    </w:p>
    <w:p w14:paraId="6017DA75" w14:textId="77777777" w:rsidR="003220D1" w:rsidRPr="003220D1" w:rsidRDefault="003220D1" w:rsidP="003220D1">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zawiera wszelkie inne czynności związane z prawidłowym wykonaniem warstwy zgodnie z wymaganiami niniejszych STWiORB. </w:t>
      </w:r>
    </w:p>
    <w:p w14:paraId="0E24970B"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Wszystkie roboty powinny być wykonane według wymagań dokumentacji projektowej, STWiORB, specyfikacji technicznej i postanowień Inżyniera/ Inspektora Nadzoru/ Zamawiającego. </w:t>
      </w:r>
    </w:p>
    <w:p w14:paraId="2CC340FD" w14:textId="77777777" w:rsidR="003220D1" w:rsidRPr="003220D1" w:rsidRDefault="003220D1" w:rsidP="003220D1">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59" w:name="_Toc48020"/>
      <w:r w:rsidRPr="003220D1">
        <w:rPr>
          <w:rFonts w:ascii="Arial Narrow" w:eastAsia="Times New Roman" w:hAnsi="Arial Narrow" w:cs="Times New Roman"/>
          <w:b/>
          <w:caps/>
          <w:kern w:val="28"/>
          <w:sz w:val="28"/>
          <w:szCs w:val="20"/>
          <w:lang w:val="x-none" w:eastAsia="x-none"/>
        </w:rPr>
        <w:t xml:space="preserve">10.   PRZEPISY ZWIĄZANE </w:t>
      </w:r>
      <w:bookmarkEnd w:id="559"/>
    </w:p>
    <w:p w14:paraId="59A0E208"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60" w:name="_Toc48021"/>
      <w:r w:rsidRPr="003220D1">
        <w:rPr>
          <w:rFonts w:ascii="Arial Narrow" w:eastAsia="Times New Roman" w:hAnsi="Arial Narrow" w:cs="Times New Roman"/>
          <w:b/>
          <w:sz w:val="28"/>
          <w:szCs w:val="20"/>
          <w:lang w:val="x-none" w:eastAsia="x-none"/>
        </w:rPr>
        <w:t xml:space="preserve">10.1. Normy </w:t>
      </w:r>
      <w:bookmarkEnd w:id="560"/>
    </w:p>
    <w:p w14:paraId="0C0C289F" w14:textId="77777777" w:rsidR="003220D1" w:rsidRPr="003220D1" w:rsidRDefault="003220D1" w:rsidP="00AD6DA2">
      <w:pPr>
        <w:numPr>
          <w:ilvl w:val="0"/>
          <w:numId w:val="48"/>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PN-EN 13242 Kruszywa do niezwiązanych i hydraulicznie związanych materiałów stosowanych w obiektach drogowych i budownictwie drogowym </w:t>
      </w:r>
    </w:p>
    <w:p w14:paraId="497F1BD3"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PN-EN 13285 Mieszanki niezwiązane. Wymagania. </w:t>
      </w:r>
    </w:p>
    <w:p w14:paraId="2C5B531B"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PN-EN 14227-1 Mieszanki związane spoiwem hydraulicznym. Wymagania. Część Mieszanki związane cementem. </w:t>
      </w:r>
    </w:p>
    <w:p w14:paraId="46900A66"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PN-EN 14227-2 Mieszanki związane spoiwem hydraulicznym. Wymagania. Część Mieszanki związane żużlem. </w:t>
      </w:r>
    </w:p>
    <w:p w14:paraId="1EEBD1DC"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PN-EN 14227-3  Mieszanki związane spoiwem hydraulicznym. Wymagania. Część 3. Mieszanki związane popiołem lotnym.  </w:t>
      </w:r>
    </w:p>
    <w:p w14:paraId="57DEA07D"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PN-EN 14227- 4   Mieszanki związane spoiwem hydraulicznym. Wymagania. Część 4. Popioły lotne do mieszanek </w:t>
      </w:r>
    </w:p>
    <w:p w14:paraId="12BFC4C3"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PN-EN 14227-5 Mieszanki związane spoiwem hydraulicznym. Wymagania. Część 5. Mieszanki związane spoiwem drogowym. </w:t>
      </w:r>
    </w:p>
    <w:p w14:paraId="61EC2F26"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PN-EN 14227-10 Mieszanki związane spoiwem hydraulicznym. Wymagania. Część 10. Grunty stabilizowane cementem. </w:t>
      </w:r>
    </w:p>
    <w:p w14:paraId="3CD9BB7E"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PN-EN 14227-12 Mieszanki związane spoiwem hydraulicznym. Wymagania. Część 12. Grunty stabilizowane żużlem. </w:t>
      </w:r>
    </w:p>
    <w:p w14:paraId="07FA9FD4"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PN-EN 14227-13 Mieszanki związane spoiwem hydraulicznym. Wymagania. Część 13. Grunty stabilizowane hydraulicznym spoiwem drogowym. </w:t>
      </w:r>
    </w:p>
    <w:p w14:paraId="34D22D55"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PN-EN 14227-14 Mieszanki związane spoiwem hydraulicznym. Wymagania. Część 14. Grunty stabilizowane popiołami lotnymi.</w:t>
      </w:r>
    </w:p>
    <w:tbl>
      <w:tblPr>
        <w:tblW w:w="8848" w:type="dxa"/>
        <w:tblInd w:w="360" w:type="dxa"/>
        <w:tblCellMar>
          <w:left w:w="0" w:type="dxa"/>
          <w:right w:w="0" w:type="dxa"/>
        </w:tblCellMar>
        <w:tblLook w:val="04A0" w:firstRow="1" w:lastRow="0" w:firstColumn="1" w:lastColumn="0" w:noHBand="0" w:noVBand="1"/>
      </w:tblPr>
      <w:tblGrid>
        <w:gridCol w:w="2038"/>
        <w:gridCol w:w="154"/>
        <w:gridCol w:w="6592"/>
        <w:gridCol w:w="64"/>
      </w:tblGrid>
      <w:tr w:rsidR="003220D1" w:rsidRPr="003220D1" w14:paraId="1E459EBE" w14:textId="77777777" w:rsidTr="00855929">
        <w:trPr>
          <w:trHeight w:val="223"/>
        </w:trPr>
        <w:tc>
          <w:tcPr>
            <w:tcW w:w="2038" w:type="dxa"/>
            <w:tcBorders>
              <w:top w:val="nil"/>
              <w:left w:val="nil"/>
              <w:bottom w:val="nil"/>
              <w:right w:val="nil"/>
            </w:tcBorders>
            <w:shd w:val="clear" w:color="auto" w:fill="auto"/>
          </w:tcPr>
          <w:p w14:paraId="7E21DAE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6810" w:type="dxa"/>
            <w:gridSpan w:val="3"/>
            <w:tcBorders>
              <w:top w:val="nil"/>
              <w:left w:val="nil"/>
              <w:bottom w:val="nil"/>
              <w:right w:val="nil"/>
            </w:tcBorders>
            <w:shd w:val="clear" w:color="auto" w:fill="auto"/>
          </w:tcPr>
          <w:p w14:paraId="73D71B7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r>
      <w:tr w:rsidR="003220D1" w:rsidRPr="003220D1" w14:paraId="051BC467" w14:textId="77777777" w:rsidTr="00855929">
        <w:trPr>
          <w:trHeight w:val="559"/>
        </w:trPr>
        <w:tc>
          <w:tcPr>
            <w:tcW w:w="2038" w:type="dxa"/>
            <w:tcBorders>
              <w:top w:val="nil"/>
              <w:left w:val="nil"/>
              <w:bottom w:val="nil"/>
              <w:right w:val="nil"/>
            </w:tcBorders>
            <w:shd w:val="clear" w:color="auto" w:fill="auto"/>
          </w:tcPr>
          <w:p w14:paraId="6FE791E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12. PN-EN 933-1 </w:t>
            </w:r>
          </w:p>
        </w:tc>
        <w:tc>
          <w:tcPr>
            <w:tcW w:w="6810" w:type="dxa"/>
            <w:gridSpan w:val="3"/>
            <w:tcBorders>
              <w:top w:val="nil"/>
              <w:left w:val="nil"/>
              <w:bottom w:val="nil"/>
              <w:right w:val="nil"/>
            </w:tcBorders>
            <w:shd w:val="clear" w:color="auto" w:fill="auto"/>
          </w:tcPr>
          <w:p w14:paraId="21D50B3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Badanie geometrycznych właściwości kruszyw. Część 1: Oznaczenie składu ziarnowego – Metoda przesiewowa. </w:t>
            </w:r>
          </w:p>
        </w:tc>
      </w:tr>
      <w:tr w:rsidR="003220D1" w:rsidRPr="003220D1" w14:paraId="5CBB1EA8" w14:textId="77777777" w:rsidTr="00855929">
        <w:trPr>
          <w:trHeight w:val="559"/>
        </w:trPr>
        <w:tc>
          <w:tcPr>
            <w:tcW w:w="2038" w:type="dxa"/>
            <w:tcBorders>
              <w:top w:val="nil"/>
              <w:left w:val="nil"/>
              <w:bottom w:val="nil"/>
              <w:right w:val="nil"/>
            </w:tcBorders>
            <w:shd w:val="clear" w:color="auto" w:fill="auto"/>
          </w:tcPr>
          <w:p w14:paraId="154A563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13. PN-EN 933-3 </w:t>
            </w:r>
          </w:p>
        </w:tc>
        <w:tc>
          <w:tcPr>
            <w:tcW w:w="6810" w:type="dxa"/>
            <w:gridSpan w:val="3"/>
            <w:tcBorders>
              <w:top w:val="nil"/>
              <w:left w:val="nil"/>
              <w:bottom w:val="nil"/>
              <w:right w:val="nil"/>
            </w:tcBorders>
            <w:shd w:val="clear" w:color="auto" w:fill="auto"/>
          </w:tcPr>
          <w:p w14:paraId="5FDA8207"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Badanie geometrycznych właściwości kruszyw. Część 2: Oznaczenie kształtu ziaren za pomocą wskaźnika płaskości. </w:t>
            </w:r>
          </w:p>
        </w:tc>
      </w:tr>
      <w:tr w:rsidR="003220D1" w:rsidRPr="003220D1" w14:paraId="540C38DA" w14:textId="77777777" w:rsidTr="00855929">
        <w:trPr>
          <w:trHeight w:val="559"/>
        </w:trPr>
        <w:tc>
          <w:tcPr>
            <w:tcW w:w="2038" w:type="dxa"/>
            <w:tcBorders>
              <w:top w:val="nil"/>
              <w:left w:val="nil"/>
              <w:bottom w:val="nil"/>
              <w:right w:val="nil"/>
            </w:tcBorders>
            <w:shd w:val="clear" w:color="auto" w:fill="auto"/>
          </w:tcPr>
          <w:p w14:paraId="11940440"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14. PN-EN 933-4 </w:t>
            </w:r>
          </w:p>
        </w:tc>
        <w:tc>
          <w:tcPr>
            <w:tcW w:w="6810" w:type="dxa"/>
            <w:gridSpan w:val="3"/>
            <w:tcBorders>
              <w:top w:val="nil"/>
              <w:left w:val="nil"/>
              <w:bottom w:val="nil"/>
              <w:right w:val="nil"/>
            </w:tcBorders>
            <w:shd w:val="clear" w:color="auto" w:fill="auto"/>
          </w:tcPr>
          <w:p w14:paraId="7673D05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Badanie geometrycznych właściwości kruszyw .  Część 4:  Oznaczenie kształtu ziaren- Wskaźnik kształtu. </w:t>
            </w:r>
          </w:p>
        </w:tc>
      </w:tr>
      <w:tr w:rsidR="003220D1" w:rsidRPr="003220D1" w14:paraId="0EBBF828" w14:textId="77777777" w:rsidTr="00855929">
        <w:trPr>
          <w:trHeight w:val="1117"/>
        </w:trPr>
        <w:tc>
          <w:tcPr>
            <w:tcW w:w="2038" w:type="dxa"/>
            <w:tcBorders>
              <w:top w:val="nil"/>
              <w:left w:val="nil"/>
              <w:bottom w:val="nil"/>
              <w:right w:val="nil"/>
            </w:tcBorders>
            <w:shd w:val="clear" w:color="auto" w:fill="auto"/>
          </w:tcPr>
          <w:p w14:paraId="73EDD34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15. PN-EN 933-5 </w:t>
            </w:r>
          </w:p>
        </w:tc>
        <w:tc>
          <w:tcPr>
            <w:tcW w:w="6810" w:type="dxa"/>
            <w:gridSpan w:val="3"/>
            <w:tcBorders>
              <w:top w:val="nil"/>
              <w:left w:val="nil"/>
              <w:bottom w:val="nil"/>
              <w:right w:val="nil"/>
            </w:tcBorders>
            <w:shd w:val="clear" w:color="auto" w:fill="auto"/>
          </w:tcPr>
          <w:p w14:paraId="05CFC4C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Badanie geometrycznych właściwości kruszyw. Część 5: Oznaczenie procentowej zawartości ziarn o powierzchniach powstałych w wyniku przekruszenia lub łamania kruszyw grubych. </w:t>
            </w:r>
          </w:p>
        </w:tc>
      </w:tr>
      <w:tr w:rsidR="003220D1" w:rsidRPr="003220D1" w14:paraId="20143880" w14:textId="77777777" w:rsidTr="00855929">
        <w:trPr>
          <w:trHeight w:val="560"/>
        </w:trPr>
        <w:tc>
          <w:tcPr>
            <w:tcW w:w="2038" w:type="dxa"/>
            <w:tcBorders>
              <w:top w:val="nil"/>
              <w:left w:val="nil"/>
              <w:bottom w:val="nil"/>
              <w:right w:val="nil"/>
            </w:tcBorders>
            <w:shd w:val="clear" w:color="auto" w:fill="auto"/>
          </w:tcPr>
          <w:p w14:paraId="5C2BDA6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16. PN-EN 933-8 </w:t>
            </w:r>
          </w:p>
        </w:tc>
        <w:tc>
          <w:tcPr>
            <w:tcW w:w="6810" w:type="dxa"/>
            <w:gridSpan w:val="3"/>
            <w:tcBorders>
              <w:top w:val="nil"/>
              <w:left w:val="nil"/>
              <w:bottom w:val="nil"/>
              <w:right w:val="nil"/>
            </w:tcBorders>
            <w:shd w:val="clear" w:color="auto" w:fill="auto"/>
          </w:tcPr>
          <w:p w14:paraId="1967041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Badanie geometrycznych właściwości kruszyw. Część 8: Ocena zawartości drobnych cząstek - Badania wskaźnika piaskowego. </w:t>
            </w:r>
          </w:p>
        </w:tc>
      </w:tr>
      <w:tr w:rsidR="003220D1" w:rsidRPr="003220D1" w14:paraId="1916AD5F" w14:textId="77777777" w:rsidTr="00855929">
        <w:trPr>
          <w:trHeight w:val="559"/>
        </w:trPr>
        <w:tc>
          <w:tcPr>
            <w:tcW w:w="2038" w:type="dxa"/>
            <w:tcBorders>
              <w:top w:val="nil"/>
              <w:left w:val="nil"/>
              <w:bottom w:val="nil"/>
              <w:right w:val="nil"/>
            </w:tcBorders>
            <w:shd w:val="clear" w:color="auto" w:fill="auto"/>
          </w:tcPr>
          <w:p w14:paraId="42C85A0C"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17. PN-EN 933-9 </w:t>
            </w:r>
          </w:p>
        </w:tc>
        <w:tc>
          <w:tcPr>
            <w:tcW w:w="6810" w:type="dxa"/>
            <w:gridSpan w:val="3"/>
            <w:tcBorders>
              <w:top w:val="nil"/>
              <w:left w:val="nil"/>
              <w:bottom w:val="nil"/>
              <w:right w:val="nil"/>
            </w:tcBorders>
            <w:shd w:val="clear" w:color="auto" w:fill="auto"/>
          </w:tcPr>
          <w:p w14:paraId="1B33462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Badanie geometrycznych właściwości kruszyw. Część 9: Ocena zawartości drobnych cząstek- Badania błękitem metylenowym. </w:t>
            </w:r>
          </w:p>
        </w:tc>
      </w:tr>
      <w:tr w:rsidR="003220D1" w:rsidRPr="003220D1" w14:paraId="28311569" w14:textId="77777777" w:rsidTr="00855929">
        <w:trPr>
          <w:trHeight w:val="559"/>
        </w:trPr>
        <w:tc>
          <w:tcPr>
            <w:tcW w:w="2038" w:type="dxa"/>
            <w:tcBorders>
              <w:top w:val="nil"/>
              <w:left w:val="nil"/>
              <w:bottom w:val="nil"/>
              <w:right w:val="nil"/>
            </w:tcBorders>
            <w:shd w:val="clear" w:color="auto" w:fill="auto"/>
          </w:tcPr>
          <w:p w14:paraId="1605C44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18. PN-EN 1097-2 </w:t>
            </w:r>
          </w:p>
        </w:tc>
        <w:tc>
          <w:tcPr>
            <w:tcW w:w="6810" w:type="dxa"/>
            <w:gridSpan w:val="3"/>
            <w:tcBorders>
              <w:top w:val="nil"/>
              <w:left w:val="nil"/>
              <w:bottom w:val="nil"/>
              <w:right w:val="nil"/>
            </w:tcBorders>
            <w:shd w:val="clear" w:color="auto" w:fill="auto"/>
          </w:tcPr>
          <w:p w14:paraId="76474BB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Badania mechanicznych i fizycznych właściwości kruszyw. Część 2: Metody oznaczania odporności na rozdrobnienie. </w:t>
            </w:r>
          </w:p>
        </w:tc>
      </w:tr>
      <w:tr w:rsidR="003220D1" w:rsidRPr="003220D1" w14:paraId="64A9300D" w14:textId="77777777" w:rsidTr="00855929">
        <w:trPr>
          <w:trHeight w:val="531"/>
        </w:trPr>
        <w:tc>
          <w:tcPr>
            <w:tcW w:w="2038" w:type="dxa"/>
            <w:tcBorders>
              <w:top w:val="nil"/>
              <w:left w:val="nil"/>
              <w:bottom w:val="nil"/>
              <w:right w:val="nil"/>
            </w:tcBorders>
            <w:shd w:val="clear" w:color="auto" w:fill="auto"/>
          </w:tcPr>
          <w:p w14:paraId="7E0F13EA"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19. PN-EN 1097-6 </w:t>
            </w:r>
          </w:p>
        </w:tc>
        <w:tc>
          <w:tcPr>
            <w:tcW w:w="6810" w:type="dxa"/>
            <w:gridSpan w:val="3"/>
            <w:tcBorders>
              <w:top w:val="nil"/>
              <w:left w:val="nil"/>
              <w:bottom w:val="nil"/>
              <w:right w:val="nil"/>
            </w:tcBorders>
            <w:shd w:val="clear" w:color="auto" w:fill="auto"/>
          </w:tcPr>
          <w:p w14:paraId="237BEFB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Badania mechanicznych i fizycznych właściwości kruszyw- Część 6: Oznaczanie gęstości ziarn i nasiąkliwości. </w:t>
            </w:r>
          </w:p>
        </w:tc>
      </w:tr>
      <w:tr w:rsidR="003220D1" w:rsidRPr="003220D1" w14:paraId="44C13C7E" w14:textId="77777777" w:rsidTr="00855929">
        <w:tblPrEx>
          <w:tblCellMar>
            <w:top w:w="27" w:type="dxa"/>
          </w:tblCellMar>
        </w:tblPrEx>
        <w:trPr>
          <w:gridAfter w:val="1"/>
          <w:wAfter w:w="64" w:type="dxa"/>
          <w:trHeight w:val="811"/>
        </w:trPr>
        <w:tc>
          <w:tcPr>
            <w:tcW w:w="2192" w:type="dxa"/>
            <w:gridSpan w:val="2"/>
            <w:tcBorders>
              <w:top w:val="nil"/>
              <w:left w:val="nil"/>
              <w:bottom w:val="nil"/>
              <w:right w:val="nil"/>
            </w:tcBorders>
            <w:shd w:val="clear" w:color="auto" w:fill="auto"/>
          </w:tcPr>
          <w:p w14:paraId="49A54F5E"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20. PN-EN 1367-1 </w:t>
            </w:r>
          </w:p>
        </w:tc>
        <w:tc>
          <w:tcPr>
            <w:tcW w:w="6592" w:type="dxa"/>
            <w:tcBorders>
              <w:top w:val="nil"/>
              <w:left w:val="nil"/>
              <w:bottom w:val="nil"/>
              <w:right w:val="nil"/>
            </w:tcBorders>
            <w:shd w:val="clear" w:color="auto" w:fill="auto"/>
          </w:tcPr>
          <w:p w14:paraId="65E2B186"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Badanie właściwości cieplnych i odporności kruszyw na działanie czynników atmosferycznych – Część 1: Oznaczenie mrozoodporności. </w:t>
            </w:r>
          </w:p>
        </w:tc>
      </w:tr>
      <w:tr w:rsidR="003220D1" w:rsidRPr="003220D1" w14:paraId="19F25FD6" w14:textId="77777777" w:rsidTr="00855929">
        <w:tblPrEx>
          <w:tblCellMar>
            <w:top w:w="27" w:type="dxa"/>
          </w:tblCellMar>
        </w:tblPrEx>
        <w:trPr>
          <w:gridAfter w:val="1"/>
          <w:wAfter w:w="64" w:type="dxa"/>
          <w:trHeight w:val="839"/>
        </w:trPr>
        <w:tc>
          <w:tcPr>
            <w:tcW w:w="2192" w:type="dxa"/>
            <w:gridSpan w:val="2"/>
            <w:tcBorders>
              <w:top w:val="nil"/>
              <w:left w:val="nil"/>
              <w:bottom w:val="nil"/>
              <w:right w:val="nil"/>
            </w:tcBorders>
            <w:shd w:val="clear" w:color="auto" w:fill="auto"/>
          </w:tcPr>
          <w:p w14:paraId="443A8D4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21. PN-EN 1367-3 </w:t>
            </w:r>
          </w:p>
        </w:tc>
        <w:tc>
          <w:tcPr>
            <w:tcW w:w="6592" w:type="dxa"/>
            <w:tcBorders>
              <w:top w:val="nil"/>
              <w:left w:val="nil"/>
              <w:bottom w:val="nil"/>
              <w:right w:val="nil"/>
            </w:tcBorders>
            <w:shd w:val="clear" w:color="auto" w:fill="auto"/>
          </w:tcPr>
          <w:p w14:paraId="154BD9E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Badanie właściwości cieplnych i odporności kruszyw na działanie czynników atmosferycznych – Część 3: Badanie bazaltowej zgorzeli słonecznej metoda gotowania. </w:t>
            </w:r>
          </w:p>
        </w:tc>
      </w:tr>
      <w:tr w:rsidR="003220D1" w:rsidRPr="003220D1" w14:paraId="0B34AA3F" w14:textId="77777777" w:rsidTr="00855929">
        <w:tblPrEx>
          <w:tblCellMar>
            <w:top w:w="27" w:type="dxa"/>
          </w:tblCellMar>
        </w:tblPrEx>
        <w:trPr>
          <w:gridAfter w:val="1"/>
          <w:wAfter w:w="64" w:type="dxa"/>
          <w:trHeight w:val="1118"/>
        </w:trPr>
        <w:tc>
          <w:tcPr>
            <w:tcW w:w="2192" w:type="dxa"/>
            <w:gridSpan w:val="2"/>
            <w:tcBorders>
              <w:top w:val="nil"/>
              <w:left w:val="nil"/>
              <w:bottom w:val="nil"/>
              <w:right w:val="nil"/>
            </w:tcBorders>
            <w:shd w:val="clear" w:color="auto" w:fill="auto"/>
          </w:tcPr>
          <w:p w14:paraId="0253591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22. PN-EN 13286-1 </w:t>
            </w:r>
          </w:p>
        </w:tc>
        <w:tc>
          <w:tcPr>
            <w:tcW w:w="6592" w:type="dxa"/>
            <w:tcBorders>
              <w:top w:val="nil"/>
              <w:left w:val="nil"/>
              <w:bottom w:val="nil"/>
              <w:right w:val="nil"/>
            </w:tcBorders>
            <w:shd w:val="clear" w:color="auto" w:fill="auto"/>
          </w:tcPr>
          <w:p w14:paraId="528D20E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Mieszanki mineralne niezwiązane i związane spoiwem hydraulicznym- Część 1: Metody badań dla ustalonej laboratoryjnie referencyjnej gęstości i wilgotności - Wprowadzenie i wymagania ogólne. </w:t>
            </w:r>
          </w:p>
        </w:tc>
      </w:tr>
      <w:tr w:rsidR="003220D1" w:rsidRPr="003220D1" w14:paraId="5BE0BB4E" w14:textId="77777777" w:rsidTr="00855929">
        <w:tblPrEx>
          <w:tblCellMar>
            <w:top w:w="27" w:type="dxa"/>
          </w:tblCellMar>
        </w:tblPrEx>
        <w:trPr>
          <w:gridAfter w:val="1"/>
          <w:wAfter w:w="64" w:type="dxa"/>
          <w:trHeight w:val="1090"/>
        </w:trPr>
        <w:tc>
          <w:tcPr>
            <w:tcW w:w="2192" w:type="dxa"/>
            <w:gridSpan w:val="2"/>
            <w:tcBorders>
              <w:top w:val="nil"/>
              <w:left w:val="nil"/>
              <w:bottom w:val="nil"/>
              <w:right w:val="nil"/>
            </w:tcBorders>
            <w:shd w:val="clear" w:color="auto" w:fill="auto"/>
          </w:tcPr>
          <w:p w14:paraId="7E73F951"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23. PN-EN 13286-2 </w:t>
            </w:r>
          </w:p>
        </w:tc>
        <w:tc>
          <w:tcPr>
            <w:tcW w:w="6592" w:type="dxa"/>
            <w:tcBorders>
              <w:top w:val="nil"/>
              <w:left w:val="nil"/>
              <w:bottom w:val="nil"/>
              <w:right w:val="nil"/>
            </w:tcBorders>
            <w:shd w:val="clear" w:color="auto" w:fill="auto"/>
          </w:tcPr>
          <w:p w14:paraId="42308EB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Mieszanki mineralne niezwiązane i związane spoiwem hydraulicznym- Część 1: Metody badań dla ustalonej laboratoryjnie referencyjnej gęstości i wilgotności- Zagęszczanie aparatem Proctora. </w:t>
            </w:r>
          </w:p>
        </w:tc>
      </w:tr>
    </w:tbl>
    <w:p w14:paraId="577E8696"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24. PN-EN 13286-47 Mieszanki mineralne niezwiązane i związane spoiwem </w:t>
      </w:r>
    </w:p>
    <w:tbl>
      <w:tblPr>
        <w:tblW w:w="8783" w:type="dxa"/>
        <w:tblInd w:w="360" w:type="dxa"/>
        <w:tblCellMar>
          <w:left w:w="0" w:type="dxa"/>
          <w:right w:w="0" w:type="dxa"/>
        </w:tblCellMar>
        <w:tblLook w:val="04A0" w:firstRow="1" w:lastRow="0" w:firstColumn="1" w:lastColumn="0" w:noHBand="0" w:noVBand="1"/>
      </w:tblPr>
      <w:tblGrid>
        <w:gridCol w:w="2192"/>
        <w:gridCol w:w="6591"/>
      </w:tblGrid>
      <w:tr w:rsidR="003220D1" w:rsidRPr="003220D1" w14:paraId="24C3D5C7" w14:textId="77777777" w:rsidTr="00855929">
        <w:trPr>
          <w:trHeight w:val="783"/>
        </w:trPr>
        <w:tc>
          <w:tcPr>
            <w:tcW w:w="2192" w:type="dxa"/>
            <w:tcBorders>
              <w:top w:val="nil"/>
              <w:left w:val="nil"/>
              <w:bottom w:val="nil"/>
              <w:right w:val="nil"/>
            </w:tcBorders>
            <w:shd w:val="clear" w:color="auto" w:fill="auto"/>
          </w:tcPr>
          <w:p w14:paraId="2BFE0DD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6591" w:type="dxa"/>
            <w:tcBorders>
              <w:top w:val="nil"/>
              <w:left w:val="nil"/>
              <w:bottom w:val="nil"/>
              <w:right w:val="nil"/>
            </w:tcBorders>
            <w:shd w:val="clear" w:color="auto" w:fill="auto"/>
          </w:tcPr>
          <w:p w14:paraId="4C66F4A2"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hydraulicznym - Część 47: Metody badań dla określenia nośności, kalifornijski wskaźnik nośności CBR, natychmiastowy wskaźnik nośności i pęcznienia liniowego. </w:t>
            </w:r>
          </w:p>
        </w:tc>
      </w:tr>
      <w:tr w:rsidR="003220D1" w:rsidRPr="003220D1" w14:paraId="5984C949" w14:textId="77777777" w:rsidTr="00855929">
        <w:trPr>
          <w:trHeight w:val="559"/>
        </w:trPr>
        <w:tc>
          <w:tcPr>
            <w:tcW w:w="2192" w:type="dxa"/>
            <w:tcBorders>
              <w:top w:val="nil"/>
              <w:left w:val="nil"/>
              <w:bottom w:val="nil"/>
              <w:right w:val="nil"/>
            </w:tcBorders>
            <w:shd w:val="clear" w:color="auto" w:fill="auto"/>
          </w:tcPr>
          <w:p w14:paraId="07ECEE7D"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25. PN-EN 459-1 </w:t>
            </w:r>
          </w:p>
        </w:tc>
        <w:tc>
          <w:tcPr>
            <w:tcW w:w="6591" w:type="dxa"/>
            <w:tcBorders>
              <w:top w:val="nil"/>
              <w:left w:val="nil"/>
              <w:bottom w:val="nil"/>
              <w:right w:val="nil"/>
            </w:tcBorders>
            <w:shd w:val="clear" w:color="auto" w:fill="auto"/>
          </w:tcPr>
          <w:p w14:paraId="2785F7EB"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Wapno budowlane. Część 1. Definicje, wymagania, kryteria zgodności. </w:t>
            </w:r>
          </w:p>
        </w:tc>
      </w:tr>
      <w:tr w:rsidR="003220D1" w:rsidRPr="003220D1" w14:paraId="2D3130C0" w14:textId="77777777" w:rsidTr="00855929">
        <w:trPr>
          <w:trHeight w:val="559"/>
        </w:trPr>
        <w:tc>
          <w:tcPr>
            <w:tcW w:w="2192" w:type="dxa"/>
            <w:tcBorders>
              <w:top w:val="nil"/>
              <w:left w:val="nil"/>
              <w:bottom w:val="nil"/>
              <w:right w:val="nil"/>
            </w:tcBorders>
            <w:shd w:val="clear" w:color="auto" w:fill="auto"/>
          </w:tcPr>
          <w:p w14:paraId="562AEA55"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26. PN-EN 13282-1 </w:t>
            </w:r>
          </w:p>
        </w:tc>
        <w:tc>
          <w:tcPr>
            <w:tcW w:w="6591" w:type="dxa"/>
            <w:tcBorders>
              <w:top w:val="nil"/>
              <w:left w:val="nil"/>
              <w:bottom w:val="nil"/>
              <w:right w:val="nil"/>
            </w:tcBorders>
            <w:shd w:val="clear" w:color="auto" w:fill="auto"/>
          </w:tcPr>
          <w:p w14:paraId="476C9F89"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Hydrauliczne spoiwa drogowe. Część 1. Hydrauliczne spoiwa drogowe szybkowiążące. Skład, wymagania, kryteria zgodności. </w:t>
            </w:r>
          </w:p>
        </w:tc>
      </w:tr>
      <w:tr w:rsidR="003220D1" w:rsidRPr="003220D1" w14:paraId="7E763FD5" w14:textId="77777777" w:rsidTr="00855929">
        <w:trPr>
          <w:trHeight w:val="251"/>
        </w:trPr>
        <w:tc>
          <w:tcPr>
            <w:tcW w:w="2192" w:type="dxa"/>
            <w:tcBorders>
              <w:top w:val="nil"/>
              <w:left w:val="nil"/>
              <w:bottom w:val="nil"/>
              <w:right w:val="nil"/>
            </w:tcBorders>
            <w:shd w:val="clear" w:color="auto" w:fill="auto"/>
          </w:tcPr>
          <w:p w14:paraId="5327F164"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3220D1">
              <w:rPr>
                <w:rFonts w:ascii="Arial Narrow" w:eastAsia="Times New Roman" w:hAnsi="Arial Narrow" w:cs="Times New Roman"/>
                <w:sz w:val="20"/>
              </w:rPr>
              <w:t xml:space="preserve">27. PN-EN 15167-1 </w:t>
            </w:r>
          </w:p>
        </w:tc>
        <w:tc>
          <w:tcPr>
            <w:tcW w:w="6591" w:type="dxa"/>
            <w:tcBorders>
              <w:top w:val="nil"/>
              <w:left w:val="nil"/>
              <w:bottom w:val="nil"/>
              <w:right w:val="nil"/>
            </w:tcBorders>
            <w:shd w:val="clear" w:color="auto" w:fill="auto"/>
          </w:tcPr>
          <w:p w14:paraId="3E6479A5"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Mielony granulowany żużel wielkopiecowy do stosowania w betonie, zaprawie, zaczynie. Część 1. Definicje, specyfikacje i kryteria zgodności </w:t>
            </w:r>
          </w:p>
          <w:p w14:paraId="2F9B937F" w14:textId="77777777" w:rsidR="003220D1" w:rsidRPr="003220D1" w:rsidRDefault="003220D1" w:rsidP="003220D1">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r>
    </w:tbl>
    <w:p w14:paraId="197BC046" w14:textId="77777777" w:rsidR="003220D1" w:rsidRPr="003220D1" w:rsidRDefault="003220D1" w:rsidP="00AD6DA2">
      <w:pPr>
        <w:numPr>
          <w:ilvl w:val="0"/>
          <w:numId w:val="11"/>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PKN-CEN ISO/TS 17892-11 Badania geotechniczne. Badania laboratoryjne gruntów. Część 11. Badanie filtracji przy stałym i zmiennym gradiencie hydraulicznym  </w:t>
      </w:r>
    </w:p>
    <w:p w14:paraId="3B8BF481" w14:textId="77777777" w:rsidR="003220D1" w:rsidRPr="003220D1" w:rsidRDefault="003220D1" w:rsidP="00AD6DA2">
      <w:pPr>
        <w:numPr>
          <w:ilvl w:val="0"/>
          <w:numId w:val="11"/>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PN-S-02205 Drogi samochodowe. Roboty ziemne. Wymagania i badania. </w:t>
      </w:r>
    </w:p>
    <w:p w14:paraId="032FBFC0" w14:textId="77777777" w:rsidR="003220D1" w:rsidRPr="003220D1" w:rsidRDefault="003220D1" w:rsidP="00AD6DA2">
      <w:pPr>
        <w:numPr>
          <w:ilvl w:val="0"/>
          <w:numId w:val="11"/>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BN-77/8931-12  Drogi samochodowe. Oznaczenie wskaźnika zagęszczenia gruntu. </w:t>
      </w:r>
    </w:p>
    <w:p w14:paraId="59DBD5C8" w14:textId="77777777" w:rsidR="003220D1" w:rsidRPr="003220D1" w:rsidRDefault="003220D1" w:rsidP="00AD6DA2">
      <w:pPr>
        <w:numPr>
          <w:ilvl w:val="0"/>
          <w:numId w:val="11"/>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BN-8931-04  Drogi samochodowe. Pomiar równości nawierzchni planografem i </w:t>
      </w:r>
    </w:p>
    <w:p w14:paraId="61A539DD" w14:textId="77777777" w:rsidR="003220D1" w:rsidRPr="003220D1" w:rsidRDefault="003220D1" w:rsidP="003220D1">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3220D1">
        <w:rPr>
          <w:rFonts w:ascii="Arial Narrow" w:eastAsia="Times New Roman" w:hAnsi="Arial Narrow" w:cs="Times New Roman"/>
          <w:sz w:val="20"/>
          <w:szCs w:val="20"/>
          <w:lang w:eastAsia="pl-PL"/>
        </w:rPr>
        <w:t xml:space="preserve">łatą. </w:t>
      </w:r>
    </w:p>
    <w:p w14:paraId="1AA9CCD2" w14:textId="77777777" w:rsidR="003220D1" w:rsidRPr="003220D1" w:rsidRDefault="003220D1" w:rsidP="003220D1">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61" w:name="_Toc48022"/>
      <w:r w:rsidRPr="003220D1">
        <w:rPr>
          <w:rFonts w:ascii="Arial Narrow" w:eastAsia="Times New Roman" w:hAnsi="Arial Narrow" w:cs="Times New Roman"/>
          <w:b/>
          <w:sz w:val="28"/>
          <w:szCs w:val="20"/>
          <w:lang w:val="x-none" w:eastAsia="x-none"/>
        </w:rPr>
        <w:t xml:space="preserve">10.2. Inne Dokumenty </w:t>
      </w:r>
      <w:bookmarkEnd w:id="561"/>
    </w:p>
    <w:p w14:paraId="7F235F97" w14:textId="77777777" w:rsidR="003220D1" w:rsidRPr="003220D1" w:rsidRDefault="003220D1" w:rsidP="00AD6DA2">
      <w:pPr>
        <w:numPr>
          <w:ilvl w:val="0"/>
          <w:numId w:val="47"/>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Ustawa z dnia 16 kwietnia 2004r. o wyrobach budowlanych (jednolity tekst Dz. U. 2016 poz. 1570)  </w:t>
      </w:r>
    </w:p>
    <w:p w14:paraId="0B1712C1"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Rozporządzenie Ministra Infrastruktury z dnia 11 sierpnia 2004r. w sprawie deklarowania zgodności wyrobów budowlanych oraz sposobu znakowania ich znakiem budowlanym (Dz. U. Nr 198, poz. 2041 z późn. zm.) </w:t>
      </w:r>
    </w:p>
    <w:p w14:paraId="0F372300"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Rozporządzenie Parlamentu Europejskiego i Rady (UE) Nr 305/2011 z dnia 9 marca 2011 r. ustanawiające zharmonizowane warunki wprowadzania do obrotu wyrobów budowlanych i uchylające dyrektywę Rady 89/106/EWG (Dz. Urz. UE L 88 z 04.04.2011) </w:t>
      </w:r>
    </w:p>
    <w:p w14:paraId="514662E8"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Sprostowanie do rozporządzenia Parlamentu Europejskiego i Rady (UE) nr 305/2011 z dnia 9 marca 2011 r. ustanawiającego zharmonizowane warunki wprowadzania do obrotu wyrobów budowlanych i uchylającego dyrektywę Rady </w:t>
      </w:r>
    </w:p>
    <w:p w14:paraId="144D490F"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89/106/EWG (Dz. Urz. UE L 103 z dnia 12.04.2013 r.) </w:t>
      </w:r>
    </w:p>
    <w:p w14:paraId="73F871B4"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Rozporządzenie delegowane  Komisji (UE) NR 157/2014 z dnia 30 października 2013 r. w sprawie warunków udostępniania deklaracji właściwości użytkowych wyrobów budowlanych na stronie internetowej (Dz. Urz. UE L 52 z 21.02.2014r.) </w:t>
      </w:r>
    </w:p>
    <w:p w14:paraId="1D2EFB82"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Rozporządzenie delegowane Komisji  (UE) NR 568/2014 z dnia 18 lutego 2014 r. zmieniające załącznik V do rozporządzenia Parlamentu Europejskiego i Rady (UE) nr 305/2011 dotyczący oceny i weryfikacji stałości właściwości użytkowych wyrobów budowlanych  (Dz. Urz. UE L 157 z 27.05.2014r.) </w:t>
      </w:r>
    </w:p>
    <w:p w14:paraId="2E735A1B"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Rozporządzenie delegowane Komisji (UE) Nr 574/2014 z dnia 21 lutego 2014 r. zmieniające załącznik III do rozporządzenia Parlamentu Europejskiego i Rady (UE) nr 305/2001 w odniesieniu do wzoru, który należy stosować przy sporządzaniu deklaracji właściwości użytkowych wyrobów budowlanych ( Dz. Urz. UE L 159 z 28.05.2014)   </w:t>
      </w:r>
    </w:p>
    <w:p w14:paraId="1A549A46"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WT-4 2010 Mieszanki niezwiązane Wymagania Techniczne, załącznik nr 3 do zarządzenia   Nr 102 Generalnego Dyrektora Dróg Krajowych i Autostrad z dnia 19 listopada 2010 r.  </w:t>
      </w:r>
    </w:p>
    <w:p w14:paraId="3AAF2873"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WT-5 2010 Mieszanki związane spoiwem hydraulicznym do dróg krajowych Wymagania Techniczne, załącznik nr 4 do zarządzenia Nr 102 Generalnego Dyrektora Dróg Krajowych i Autostrad z dnia 19 listopada 2010 r.  </w:t>
      </w:r>
    </w:p>
    <w:p w14:paraId="6CAFA661"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Katalog Typowych Konstrukcji Nawierzchni Sztywnych, załącznik do zarządzenia Nr 30 Generalnego Dyrektora Dróg Krajowych i Autostrad z dnia 16.06.2014 r.  </w:t>
      </w:r>
    </w:p>
    <w:p w14:paraId="298ED8F1" w14:textId="77777777" w:rsidR="003220D1" w:rsidRPr="003220D1" w:rsidRDefault="003220D1" w:rsidP="003220D1">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3220D1">
        <w:rPr>
          <w:rFonts w:ascii="Arial Narrow" w:eastAsia="Times New Roman" w:hAnsi="Arial Narrow" w:cs="Times New Roman"/>
          <w:sz w:val="20"/>
          <w:szCs w:val="20"/>
          <w:lang w:val="x-none" w:eastAsia="x-none"/>
        </w:rPr>
        <w:t xml:space="preserve">Katalog Typowych Konstrukcji Nawierzchni Podatnych i Półsztywnych, załącznik do zarządzenia Nr 31 Generalnego Dyrektora Dróg Krajowych i Autostrad z dnia 16.06.2014 r. </w:t>
      </w:r>
    </w:p>
    <w:p w14:paraId="68255935" w14:textId="77777777" w:rsidR="003220D1" w:rsidRPr="003220D1" w:rsidRDefault="003220D1" w:rsidP="003220D1">
      <w:pPr>
        <w:tabs>
          <w:tab w:val="left" w:pos="-1440"/>
          <w:tab w:val="left" w:pos="-720"/>
          <w:tab w:val="left" w:pos="0"/>
        </w:tabs>
        <w:spacing w:after="0" w:line="240" w:lineRule="auto"/>
        <w:ind w:left="357"/>
        <w:rPr>
          <w:rFonts w:ascii="Arial Narrow" w:eastAsia="Calibri" w:hAnsi="Arial Narrow" w:cs="Arial"/>
          <w:spacing w:val="-3"/>
          <w:sz w:val="20"/>
          <w:lang w:val="x-none"/>
        </w:rPr>
      </w:pPr>
      <w:r w:rsidRPr="003220D1">
        <w:rPr>
          <w:rFonts w:ascii="Arial Narrow" w:eastAsia="Times New Roman" w:hAnsi="Arial Narrow" w:cs="Times New Roman"/>
          <w:sz w:val="20"/>
          <w:szCs w:val="20"/>
          <w:lang w:val="x-none" w:eastAsia="x-none"/>
        </w:rPr>
        <w:t xml:space="preserve">Projekt RID I/6 Wykorzystanie materiałów pochodzących z recyklingu. Zadanie 6 Załącznik 9.6 Wytyczne wykorzystania materiałów pochodzących z recyklingu nawierzchni betonowych. </w:t>
      </w:r>
    </w:p>
    <w:p w14:paraId="44433A13" w14:textId="4FBC63E8" w:rsidR="003220D1" w:rsidRDefault="003220D1"/>
    <w:p w14:paraId="09518EC1" w14:textId="18DE42EE" w:rsidR="00AD1E0F" w:rsidRDefault="00AD1E0F"/>
    <w:p w14:paraId="21BA5C82" w14:textId="057BBBF9" w:rsidR="00AD1E0F" w:rsidRDefault="00AD1E0F"/>
    <w:p w14:paraId="76E703A4" w14:textId="17838FA9" w:rsidR="00AD1E0F" w:rsidRDefault="00AD1E0F"/>
    <w:p w14:paraId="2D2AFB38" w14:textId="3EDCFFC8" w:rsidR="00AD1E0F" w:rsidRDefault="00AD1E0F"/>
    <w:p w14:paraId="3F4D61F0" w14:textId="16B31C91" w:rsidR="00B7753A" w:rsidRDefault="00B7753A"/>
    <w:p w14:paraId="705B9B1F" w14:textId="055AFA2A" w:rsidR="00B7753A" w:rsidRDefault="00B7753A"/>
    <w:p w14:paraId="0E3BC127" w14:textId="256DA8DF" w:rsidR="00B7753A" w:rsidRDefault="00B7753A"/>
    <w:p w14:paraId="7AF43339" w14:textId="77777777" w:rsidR="00B7753A" w:rsidRDefault="00B7753A"/>
    <w:p w14:paraId="1724F8B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bookmarkStart w:id="562" w:name="_Toc58533525"/>
      <w:r w:rsidRPr="00AD1E0F">
        <w:rPr>
          <w:rFonts w:ascii="Arial Narrow" w:eastAsia="Times New Roman" w:hAnsi="Arial Narrow" w:cs="Times New Roman"/>
          <w:b/>
          <w:sz w:val="28"/>
          <w:szCs w:val="20"/>
          <w:lang w:eastAsia="pl-PL"/>
        </w:rPr>
        <w:lastRenderedPageBreak/>
        <w:t>D – 04.04.01 PODBUDOWA Z KRUSZYWA NATURALNEGO</w:t>
      </w:r>
      <w:bookmarkEnd w:id="562"/>
    </w:p>
    <w:p w14:paraId="006634F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Kod CPV: 45233000-9</w:t>
      </w:r>
    </w:p>
    <w:p w14:paraId="6C0A88D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Roboty w zakresie konstruowania, fundamentowania oraz wykonywania nawierzchni autostrad, dróg</w:t>
      </w:r>
    </w:p>
    <w:p w14:paraId="6B30D19C" w14:textId="77777777" w:rsidR="00AD1E0F" w:rsidRPr="00AD1E0F" w:rsidRDefault="00AD1E0F" w:rsidP="00AD1E0F">
      <w:pPr>
        <w:spacing w:after="0" w:line="240" w:lineRule="auto"/>
        <w:ind w:firstLine="454"/>
        <w:jc w:val="center"/>
        <w:rPr>
          <w:rFonts w:ascii="Arial Narrow" w:eastAsia="Calibri" w:hAnsi="Arial Narrow" w:cs="Times New Roman"/>
        </w:rPr>
      </w:pPr>
    </w:p>
    <w:p w14:paraId="4AE641BC"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AD1E0F">
        <w:rPr>
          <w:rFonts w:ascii="Arial Narrow" w:eastAsia="Times New Roman" w:hAnsi="Arial Narrow" w:cs="Times New Roman"/>
          <w:b/>
          <w:caps/>
          <w:kern w:val="28"/>
          <w:sz w:val="28"/>
          <w:szCs w:val="20"/>
          <w:lang w:eastAsia="x-none"/>
        </w:rPr>
        <w:t xml:space="preserve">1. </w:t>
      </w:r>
      <w:r w:rsidRPr="00AD1E0F">
        <w:rPr>
          <w:rFonts w:ascii="Arial Narrow" w:eastAsia="Times New Roman" w:hAnsi="Arial Narrow" w:cs="Times New Roman"/>
          <w:b/>
          <w:caps/>
          <w:kern w:val="28"/>
          <w:sz w:val="28"/>
          <w:szCs w:val="20"/>
          <w:lang w:val="x-none" w:eastAsia="x-none"/>
        </w:rPr>
        <w:t>wstęp</w:t>
      </w:r>
    </w:p>
    <w:p w14:paraId="7E74B112"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eastAsia="x-none"/>
        </w:rPr>
        <w:t xml:space="preserve">1.1 </w:t>
      </w:r>
      <w:r w:rsidRPr="00AD1E0F">
        <w:rPr>
          <w:rFonts w:ascii="Arial Narrow" w:eastAsia="Times New Roman" w:hAnsi="Arial Narrow" w:cs="Times New Roman"/>
          <w:b/>
          <w:sz w:val="28"/>
          <w:szCs w:val="20"/>
          <w:lang w:val="x-none" w:eastAsia="x-none"/>
        </w:rPr>
        <w:t>Przedmiot STWiORB</w:t>
      </w:r>
    </w:p>
    <w:p w14:paraId="5DB9EF55" w14:textId="77777777" w:rsidR="00AD1E0F" w:rsidRPr="00AD1E0F" w:rsidRDefault="00AD1E0F" w:rsidP="00AD1E0F">
      <w:pPr>
        <w:spacing w:after="0" w:line="240" w:lineRule="auto"/>
        <w:ind w:firstLine="454"/>
        <w:jc w:val="both"/>
        <w:rPr>
          <w:rFonts w:ascii="Arial Narrow" w:eastAsia="Calibri" w:hAnsi="Arial Narrow" w:cs="Times New Roman"/>
          <w:sz w:val="20"/>
        </w:rPr>
      </w:pPr>
      <w:r w:rsidRPr="00AD1E0F">
        <w:rPr>
          <w:rFonts w:ascii="Arial Narrow" w:eastAsia="Times New Roman" w:hAnsi="Arial Narrow" w:cs="Times New Roman"/>
          <w:sz w:val="20"/>
          <w:szCs w:val="20"/>
          <w:lang w:eastAsia="pl-PL"/>
        </w:rPr>
        <w:t>Przedmiotem niniejszej szczegółowej specyfikacji technicznej (SST) są wymagania dotyczące wykonania i odbioru robót związanych wykonywaniem podbudowy z kruszywa naturalnego</w:t>
      </w:r>
      <w:r w:rsidRPr="00AD1E0F">
        <w:rPr>
          <w:rFonts w:ascii="Arial Narrow" w:eastAsia="Calibri" w:hAnsi="Arial Narrow" w:cs="Times New Roman"/>
          <w:sz w:val="20"/>
        </w:rPr>
        <w:t>.</w:t>
      </w:r>
    </w:p>
    <w:p w14:paraId="411F6A05"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eastAsia="x-none"/>
        </w:rPr>
        <w:t xml:space="preserve">1.2 </w:t>
      </w:r>
      <w:r w:rsidRPr="00AD1E0F">
        <w:rPr>
          <w:rFonts w:ascii="Arial Narrow" w:eastAsia="Times New Roman" w:hAnsi="Arial Narrow" w:cs="Times New Roman"/>
          <w:b/>
          <w:sz w:val="28"/>
          <w:szCs w:val="20"/>
          <w:lang w:val="x-none" w:eastAsia="x-none"/>
        </w:rPr>
        <w:t>Zakres stosowania STWiORB</w:t>
      </w:r>
    </w:p>
    <w:p w14:paraId="6D3308FF" w14:textId="055E051A" w:rsidR="00AD1E0F" w:rsidRPr="00AD1E0F" w:rsidRDefault="00AD1E0F" w:rsidP="00AD1E0F">
      <w:pPr>
        <w:tabs>
          <w:tab w:val="left" w:pos="-1440"/>
          <w:tab w:val="left" w:pos="-720"/>
          <w:tab w:val="left" w:pos="0"/>
        </w:tabs>
        <w:spacing w:after="0" w:line="240" w:lineRule="auto"/>
        <w:ind w:firstLine="454"/>
        <w:jc w:val="both"/>
        <w:rPr>
          <w:rFonts w:ascii="Arial Narrow" w:eastAsia="Calibri" w:hAnsi="Arial Narrow" w:cs="Arial"/>
          <w:spacing w:val="-3"/>
          <w:sz w:val="20"/>
        </w:rPr>
      </w:pPr>
      <w:r w:rsidRPr="00AD1E0F">
        <w:rPr>
          <w:rFonts w:ascii="Arial Narrow" w:eastAsia="Calibri" w:hAnsi="Arial Narrow" w:cs="Arial"/>
          <w:sz w:val="20"/>
        </w:rPr>
        <w:t xml:space="preserve">Specyfikacje Techniczne Wykonania i Odbioru Robót Budowlanych </w:t>
      </w:r>
      <w:r w:rsidRPr="00AD1E0F">
        <w:rPr>
          <w:rFonts w:ascii="Arial Narrow" w:eastAsia="Calibri" w:hAnsi="Arial Narrow" w:cs="Arial"/>
          <w:spacing w:val="-3"/>
          <w:sz w:val="20"/>
        </w:rPr>
        <w:t xml:space="preserve">stanowią Dokument Przetargowy i Kontraktowy przy zlecaniu i realizacji robót na drogach </w:t>
      </w:r>
    </w:p>
    <w:p w14:paraId="59ED0DE7" w14:textId="77777777" w:rsidR="00AD1E0F" w:rsidRPr="00AD1E0F" w:rsidRDefault="00AD1E0F" w:rsidP="00AD1E0F">
      <w:pPr>
        <w:tabs>
          <w:tab w:val="left" w:pos="-1440"/>
          <w:tab w:val="left" w:pos="-720"/>
          <w:tab w:val="left" w:pos="0"/>
        </w:tabs>
        <w:spacing w:after="0" w:line="240" w:lineRule="auto"/>
        <w:ind w:firstLine="454"/>
        <w:jc w:val="both"/>
        <w:rPr>
          <w:rFonts w:ascii="Arial Narrow" w:eastAsia="Calibri" w:hAnsi="Arial Narrow" w:cs="Arial"/>
          <w:spacing w:val="-3"/>
          <w:sz w:val="20"/>
        </w:rPr>
      </w:pPr>
    </w:p>
    <w:p w14:paraId="763B4D14"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63" w:name="_Toc495829910"/>
      <w:r w:rsidRPr="00AD1E0F">
        <w:rPr>
          <w:rFonts w:ascii="Arial Narrow" w:eastAsia="Times New Roman" w:hAnsi="Arial Narrow" w:cs="Times New Roman"/>
          <w:b/>
          <w:sz w:val="28"/>
          <w:szCs w:val="20"/>
          <w:lang w:val="x-none" w:eastAsia="x-none"/>
        </w:rPr>
        <w:t>1.3. Zakres robót objętych SST</w:t>
      </w:r>
      <w:bookmarkEnd w:id="563"/>
    </w:p>
    <w:p w14:paraId="5C08E34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Ustalenia zawarte w niniejszej specyfikacji dotyczą zasad prowadzenia robót związanych z wykonywaniem podbudów z kruszyw stabilizowanych mechanicznie wg [31]  i obejmują:</w:t>
      </w:r>
    </w:p>
    <w:p w14:paraId="5C0369D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2"/>
        <w:gridCol w:w="1497"/>
        <w:gridCol w:w="1493"/>
        <w:gridCol w:w="1461"/>
        <w:gridCol w:w="836"/>
        <w:gridCol w:w="533"/>
        <w:gridCol w:w="1877"/>
      </w:tblGrid>
      <w:tr w:rsidR="00AD1E0F" w:rsidRPr="00AD1E0F" w14:paraId="69C0B082" w14:textId="77777777" w:rsidTr="00855929">
        <w:tc>
          <w:tcPr>
            <w:tcW w:w="1342" w:type="dxa"/>
            <w:shd w:val="clear" w:color="auto" w:fill="auto"/>
          </w:tcPr>
          <w:p w14:paraId="0A012C0A"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Lp</w:t>
            </w:r>
          </w:p>
        </w:tc>
        <w:tc>
          <w:tcPr>
            <w:tcW w:w="1497" w:type="dxa"/>
            <w:tcBorders>
              <w:bottom w:val="single" w:sz="4" w:space="0" w:color="auto"/>
            </w:tcBorders>
            <w:shd w:val="clear" w:color="auto" w:fill="auto"/>
          </w:tcPr>
          <w:p w14:paraId="6A032C8F"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Typ podbudowy</w:t>
            </w:r>
          </w:p>
        </w:tc>
        <w:tc>
          <w:tcPr>
            <w:tcW w:w="1493" w:type="dxa"/>
            <w:tcBorders>
              <w:bottom w:val="single" w:sz="4" w:space="0" w:color="auto"/>
            </w:tcBorders>
            <w:shd w:val="clear" w:color="auto" w:fill="auto"/>
          </w:tcPr>
          <w:p w14:paraId="16D15B3E"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Uziarnienie</w:t>
            </w:r>
          </w:p>
        </w:tc>
        <w:tc>
          <w:tcPr>
            <w:tcW w:w="1461" w:type="dxa"/>
            <w:tcBorders>
              <w:bottom w:val="single" w:sz="4" w:space="0" w:color="auto"/>
            </w:tcBorders>
            <w:shd w:val="clear" w:color="auto" w:fill="auto"/>
          </w:tcPr>
          <w:p w14:paraId="78A62593"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Typ kruszywa</w:t>
            </w:r>
          </w:p>
        </w:tc>
        <w:tc>
          <w:tcPr>
            <w:tcW w:w="836" w:type="dxa"/>
            <w:tcBorders>
              <w:bottom w:val="single" w:sz="4" w:space="0" w:color="auto"/>
            </w:tcBorders>
            <w:shd w:val="clear" w:color="auto" w:fill="auto"/>
          </w:tcPr>
          <w:p w14:paraId="18FC6041"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Grubość [cm]</w:t>
            </w:r>
          </w:p>
        </w:tc>
        <w:tc>
          <w:tcPr>
            <w:tcW w:w="533" w:type="dxa"/>
            <w:tcBorders>
              <w:bottom w:val="single" w:sz="4" w:space="0" w:color="auto"/>
            </w:tcBorders>
            <w:shd w:val="clear" w:color="auto" w:fill="auto"/>
          </w:tcPr>
          <w:p w14:paraId="25056E2A"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KR</w:t>
            </w:r>
          </w:p>
        </w:tc>
        <w:tc>
          <w:tcPr>
            <w:tcW w:w="1877" w:type="dxa"/>
            <w:tcBorders>
              <w:bottom w:val="single" w:sz="4" w:space="0" w:color="auto"/>
            </w:tcBorders>
            <w:shd w:val="clear" w:color="auto" w:fill="auto"/>
          </w:tcPr>
          <w:p w14:paraId="5C5FFED9"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Lokalizacja wbudowania</w:t>
            </w:r>
          </w:p>
        </w:tc>
      </w:tr>
      <w:tr w:rsidR="00AD1E0F" w:rsidRPr="00AD1E0F" w14:paraId="184548A8" w14:textId="77777777" w:rsidTr="00855929">
        <w:tc>
          <w:tcPr>
            <w:tcW w:w="1342" w:type="dxa"/>
            <w:shd w:val="clear" w:color="auto" w:fill="auto"/>
          </w:tcPr>
          <w:p w14:paraId="204057BA"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1</w:t>
            </w:r>
          </w:p>
        </w:tc>
        <w:tc>
          <w:tcPr>
            <w:tcW w:w="1497" w:type="dxa"/>
            <w:shd w:val="clear" w:color="auto" w:fill="FFC000"/>
          </w:tcPr>
          <w:p w14:paraId="5F722EA5"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zasadnicza</w:t>
            </w:r>
          </w:p>
        </w:tc>
        <w:tc>
          <w:tcPr>
            <w:tcW w:w="1493" w:type="dxa"/>
            <w:shd w:val="clear" w:color="auto" w:fill="FFC000"/>
          </w:tcPr>
          <w:p w14:paraId="3A7452FF"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0/31.5</w:t>
            </w:r>
          </w:p>
        </w:tc>
        <w:tc>
          <w:tcPr>
            <w:tcW w:w="1461" w:type="dxa"/>
            <w:shd w:val="clear" w:color="auto" w:fill="FFC000"/>
          </w:tcPr>
          <w:p w14:paraId="1BA0DF6C"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C</w:t>
            </w:r>
            <w:r w:rsidRPr="00AD1E0F">
              <w:rPr>
                <w:rFonts w:ascii="Arial Narrow" w:eastAsia="Times New Roman" w:hAnsi="Arial Narrow" w:cs="Times New Roman"/>
                <w:sz w:val="20"/>
                <w:szCs w:val="20"/>
                <w:vertAlign w:val="subscript"/>
                <w:lang w:eastAsia="pl-PL"/>
              </w:rPr>
              <w:t>90/3</w:t>
            </w:r>
          </w:p>
        </w:tc>
        <w:tc>
          <w:tcPr>
            <w:tcW w:w="836" w:type="dxa"/>
            <w:shd w:val="clear" w:color="auto" w:fill="FFC000"/>
          </w:tcPr>
          <w:p w14:paraId="05A80376"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15</w:t>
            </w:r>
          </w:p>
        </w:tc>
        <w:tc>
          <w:tcPr>
            <w:tcW w:w="533" w:type="dxa"/>
            <w:shd w:val="clear" w:color="auto" w:fill="FFC000"/>
          </w:tcPr>
          <w:p w14:paraId="19997573" w14:textId="0EF05770" w:rsidR="00AD1E0F" w:rsidRPr="00AD1E0F" w:rsidRDefault="00892093"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1</w:t>
            </w:r>
          </w:p>
        </w:tc>
        <w:tc>
          <w:tcPr>
            <w:tcW w:w="1877" w:type="dxa"/>
            <w:shd w:val="clear" w:color="auto" w:fill="FFC000"/>
          </w:tcPr>
          <w:p w14:paraId="2F3B7D5E" w14:textId="051CB037" w:rsidR="00AD1E0F" w:rsidRPr="00AD1E0F" w:rsidRDefault="00892093"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zjazdy</w:t>
            </w:r>
          </w:p>
        </w:tc>
      </w:tr>
      <w:tr w:rsidR="00AD1E0F" w:rsidRPr="00AD1E0F" w14:paraId="0896839D" w14:textId="77777777" w:rsidTr="00855929">
        <w:tc>
          <w:tcPr>
            <w:tcW w:w="1342" w:type="dxa"/>
            <w:shd w:val="clear" w:color="auto" w:fill="auto"/>
          </w:tcPr>
          <w:p w14:paraId="35010FC7"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2</w:t>
            </w:r>
          </w:p>
        </w:tc>
        <w:tc>
          <w:tcPr>
            <w:tcW w:w="1497" w:type="dxa"/>
            <w:shd w:val="clear" w:color="auto" w:fill="FFC000"/>
          </w:tcPr>
          <w:p w14:paraId="04C7085C" w14:textId="3A37DF64" w:rsidR="00AD1E0F" w:rsidRPr="00AD1E0F" w:rsidRDefault="00497CA1"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pomocnicza</w:t>
            </w:r>
          </w:p>
        </w:tc>
        <w:tc>
          <w:tcPr>
            <w:tcW w:w="1493" w:type="dxa"/>
            <w:shd w:val="clear" w:color="auto" w:fill="FFC000"/>
          </w:tcPr>
          <w:p w14:paraId="62985456"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0/31.5</w:t>
            </w:r>
          </w:p>
        </w:tc>
        <w:tc>
          <w:tcPr>
            <w:tcW w:w="1461" w:type="dxa"/>
            <w:shd w:val="clear" w:color="auto" w:fill="FFC000"/>
          </w:tcPr>
          <w:p w14:paraId="08E859D0" w14:textId="0DE286A8" w:rsidR="00AD1E0F" w:rsidRPr="00497CA1"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vertAlign w:val="subscript"/>
                <w:lang w:eastAsia="pl-PL"/>
              </w:rPr>
            </w:pPr>
            <w:r w:rsidRPr="00AD1E0F">
              <w:rPr>
                <w:rFonts w:ascii="Arial Narrow" w:eastAsia="Times New Roman" w:hAnsi="Arial Narrow" w:cs="Times New Roman"/>
                <w:sz w:val="20"/>
                <w:szCs w:val="20"/>
                <w:lang w:eastAsia="pl-PL"/>
              </w:rPr>
              <w:t>C</w:t>
            </w:r>
            <w:r w:rsidR="00497CA1">
              <w:rPr>
                <w:rFonts w:ascii="Arial Narrow" w:eastAsia="Times New Roman" w:hAnsi="Arial Narrow" w:cs="Times New Roman"/>
                <w:sz w:val="20"/>
                <w:szCs w:val="20"/>
                <w:vertAlign w:val="subscript"/>
                <w:lang w:eastAsia="pl-PL"/>
              </w:rPr>
              <w:t>90/3</w:t>
            </w:r>
          </w:p>
        </w:tc>
        <w:tc>
          <w:tcPr>
            <w:tcW w:w="836" w:type="dxa"/>
            <w:shd w:val="clear" w:color="auto" w:fill="FFC000"/>
          </w:tcPr>
          <w:p w14:paraId="54CA299F" w14:textId="26A410EF" w:rsidR="00AD1E0F" w:rsidRPr="00AD1E0F" w:rsidRDefault="00497CA1"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20</w:t>
            </w:r>
          </w:p>
        </w:tc>
        <w:tc>
          <w:tcPr>
            <w:tcW w:w="533" w:type="dxa"/>
            <w:shd w:val="clear" w:color="auto" w:fill="FFC000"/>
          </w:tcPr>
          <w:p w14:paraId="6AABA747" w14:textId="40B7E683" w:rsidR="00AD1E0F" w:rsidRPr="00AD1E0F" w:rsidRDefault="00B7753A"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1</w:t>
            </w:r>
          </w:p>
        </w:tc>
        <w:tc>
          <w:tcPr>
            <w:tcW w:w="1877" w:type="dxa"/>
            <w:shd w:val="clear" w:color="auto" w:fill="FFC000"/>
          </w:tcPr>
          <w:p w14:paraId="563D4BEC" w14:textId="49417745" w:rsidR="00AD1E0F" w:rsidRPr="00AD1E0F" w:rsidRDefault="00497CA1"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jezdnia</w:t>
            </w:r>
          </w:p>
        </w:tc>
      </w:tr>
    </w:tbl>
    <w:p w14:paraId="1143E09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740B2644"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 xml:space="preserve">1.4. Zakres stosowania STWiORB </w:t>
      </w:r>
    </w:p>
    <w:p w14:paraId="6AC7E7C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STWiORB są stosowane, jako dokument przetargowy i kontraktowy przy zlecaniu i realizacji robót na drogach krajowych. STWiORB stanowią podstawę opracowania Specyfikacji Technicznych Wykonania i Odbioru Robót Budowlanych (STWiORB).  </w:t>
      </w:r>
    </w:p>
    <w:p w14:paraId="1212A411"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 xml:space="preserve">1.5. Określenia podstawowe </w:t>
      </w:r>
    </w:p>
    <w:p w14:paraId="702CE8A1"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1.5.1. Podbudowa zasadnicza </w:t>
      </w:r>
    </w:p>
    <w:p w14:paraId="05E55B2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Jedna warstwa lub dwie warstwy konstrukcji nawierzchni spełniająca(e) podstawową funkcję w rozłożeniu naprężeń od kół 20 pojazdów. Podbudowa zasadnicza może być jednowarstwowa lub dwuwarstwowa. Materiałami do podbudowy zasadniczej mogą być: </w:t>
      </w:r>
    </w:p>
    <w:p w14:paraId="4AE5D788"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beton asfaltowy, </w:t>
      </w:r>
    </w:p>
    <w:p w14:paraId="6E8A4E60"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mieszanki niezwiązane, </w:t>
      </w:r>
    </w:p>
    <w:p w14:paraId="4AEDAE23"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mieszanki związane spoiwem hydraulicznym, </w:t>
      </w:r>
    </w:p>
    <w:p w14:paraId="1B3E58E6"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grunty stabilizowane spoiwem hydraulicznym, </w:t>
      </w:r>
    </w:p>
    <w:p w14:paraId="41E51D69"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mieszanki wykonane w technologii recyklingu na zimno (mieszanki mineralnocementowo-emulsyjne, mieszanki mineralne z asfaltem spienionym) o właściwościach odpowiednich do podbudowy zasadniczej. </w:t>
      </w:r>
    </w:p>
    <w:p w14:paraId="0DA62548"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1.5.2. Podbudowa zasadnicza jednowarstwowa </w:t>
      </w:r>
    </w:p>
    <w:p w14:paraId="39F0F05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wg KTKNPiP 2014 r. występuje w następujących przypadkach: </w:t>
      </w:r>
    </w:p>
    <w:p w14:paraId="6B41AB8C"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Typ A1 (tablica 9.1) dla kategorii ruchu KR1-KR2, </w:t>
      </w:r>
    </w:p>
    <w:p w14:paraId="515F078E"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Typ A2 (tablica 9.2) dla kategorii ruchu KR1-KR2, </w:t>
      </w:r>
    </w:p>
    <w:p w14:paraId="45B1A96E"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Typ A3 (tablica 9.3) dla kategorii ruchu KR1-KR2, </w:t>
      </w:r>
    </w:p>
    <w:p w14:paraId="4BBDA871"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Typ B (tablica 9.4) dla kategorii ruchu KR1-KR7, </w:t>
      </w:r>
    </w:p>
    <w:p w14:paraId="45F3DBD4"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Typ C (tablica 9.5) dla kategorii ruchu KR1-KR2, </w:t>
      </w:r>
    </w:p>
    <w:p w14:paraId="3745399F"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Typ D (tablica 9.6) dla kategorii ruchu KR1-KR2, </w:t>
      </w:r>
    </w:p>
    <w:p w14:paraId="75C047EC"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Typ E (tablica 9.7) dla kategorii ruchu KR1-KR3. </w:t>
      </w:r>
    </w:p>
    <w:p w14:paraId="6C942DA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 wymienionych konstrukcjach jednowarstwową podbudowę zasadniczą stanowią: mieszanka niezwiązana (typy A1, A2, A3), beton asfaltowy (typ B), mieszanka związana spoiwem hydraulicznym (typ C), grunt stabilizowany spoiwem hydraulicznym (typ D) lub mieszanki wykonane w technologii recyklingu na zimno (typ E). </w:t>
      </w:r>
    </w:p>
    <w:p w14:paraId="0BA868DD"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1.5.3. Podbudowa zasadnicza dwuwarstwowa </w:t>
      </w:r>
    </w:p>
    <w:p w14:paraId="56CBB03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wg KTKNPiP 2014 r. występuje w następujących przypadkach: </w:t>
      </w:r>
    </w:p>
    <w:p w14:paraId="5F34F8B6"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Typ A1 (tablica 9.1) dla kategorii ruchu KR3-KR7, </w:t>
      </w:r>
    </w:p>
    <w:p w14:paraId="0E36552E"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Typ A2 (tablica 9.2) dla kategorii ruchu KR3-KR7, </w:t>
      </w:r>
    </w:p>
    <w:p w14:paraId="556E913D"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Typ C (tablica 9.5) dla kategorii ruchu KR3-KR7, </w:t>
      </w:r>
    </w:p>
    <w:p w14:paraId="0DC6AE99"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Typ E (tablica 9.7) dla kategorii ruchu KR4. </w:t>
      </w:r>
    </w:p>
    <w:p w14:paraId="1A24EA7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 wymienionych konstrukcjach górną warstwę podbudowy zasadniczej stanowi beton asfaltowy, a dolną warstwę podbudowy zasadniczej stanowią mieszanka niezwiązana (typy A1, A2, A3), mieszanka związana spoiwem hydraulicznym (typ C) lub mieszanki wykonane w technologii recyklingu na zimno (typ E). </w:t>
      </w:r>
    </w:p>
    <w:p w14:paraId="1543AAA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1.5.4. </w:t>
      </w:r>
      <w:r w:rsidRPr="00AD1E0F">
        <w:rPr>
          <w:rFonts w:ascii="Arial Narrow" w:eastAsia="Times New Roman" w:hAnsi="Arial Narrow" w:cs="Times New Roman"/>
          <w:b/>
          <w:sz w:val="20"/>
          <w:szCs w:val="20"/>
          <w:lang w:eastAsia="x-none"/>
        </w:rPr>
        <w:t>Podbudowa pomocnicza</w:t>
      </w:r>
      <w:r w:rsidRPr="00AD1E0F">
        <w:rPr>
          <w:rFonts w:ascii="Arial Narrow" w:eastAsia="Times New Roman" w:hAnsi="Arial Narrow" w:cs="Times New Roman"/>
          <w:sz w:val="20"/>
          <w:szCs w:val="20"/>
          <w:lang w:eastAsia="x-none"/>
        </w:rPr>
        <w:t xml:space="preserve"> – warstwa tworząca platformę umożliwiającą prawidłowe wbudowanie podbudowy zasadniczej, a w czasie eksploatacji nawierzchni wspomagająca warstwy górne konstrukcji nawierzchni w rozłożeniu naprężeń od kół </w:t>
      </w:r>
      <w:r w:rsidRPr="00AD1E0F">
        <w:rPr>
          <w:rFonts w:ascii="Arial Narrow" w:eastAsia="Times New Roman" w:hAnsi="Arial Narrow" w:cs="Times New Roman"/>
          <w:sz w:val="20"/>
          <w:szCs w:val="20"/>
          <w:lang w:eastAsia="x-none"/>
        </w:rPr>
        <w:lastRenderedPageBreak/>
        <w:t xml:space="preserve">pojazdów oraz ochronę nawierzchni przed wysadzinami powodowanymi przez szkodliwe działanie mrozu. Materiałami używanymi do podbudowy pomocniczej mogą być: </w:t>
      </w:r>
    </w:p>
    <w:p w14:paraId="5FF59C55"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mieszanki niezwiązane, </w:t>
      </w:r>
    </w:p>
    <w:p w14:paraId="6C7B4B68"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mieszanki związane spoiwami hydraulicznymi, </w:t>
      </w:r>
    </w:p>
    <w:p w14:paraId="5108CF83"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grunty stabilizowane spoiwami hydraulicznymi, o właściwościach odpowiednich do podbudowy pomocniczej.  </w:t>
      </w:r>
    </w:p>
    <w:p w14:paraId="5A0DC2C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1.5.5. </w:t>
      </w:r>
      <w:r w:rsidRPr="00AD1E0F">
        <w:rPr>
          <w:rFonts w:ascii="Arial Narrow" w:eastAsia="Times New Roman" w:hAnsi="Arial Narrow" w:cs="Times New Roman"/>
          <w:b/>
          <w:sz w:val="20"/>
          <w:szCs w:val="20"/>
          <w:lang w:eastAsia="x-none"/>
        </w:rPr>
        <w:t xml:space="preserve">Mieszanka niezwiązana – </w:t>
      </w:r>
      <w:r w:rsidRPr="00AD1E0F">
        <w:rPr>
          <w:rFonts w:ascii="Arial Narrow" w:eastAsia="Times New Roman" w:hAnsi="Arial Narrow" w:cs="Times New Roman"/>
          <w:sz w:val="20"/>
          <w:szCs w:val="20"/>
          <w:lang w:eastAsia="x-none"/>
        </w:rPr>
        <w:t xml:space="preserve">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 </w:t>
      </w:r>
    </w:p>
    <w:p w14:paraId="5CF7607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1.5.6. </w:t>
      </w:r>
      <w:r w:rsidRPr="00AD1E0F">
        <w:rPr>
          <w:rFonts w:ascii="Arial Narrow" w:eastAsia="Times New Roman" w:hAnsi="Arial Narrow" w:cs="Times New Roman"/>
          <w:b/>
          <w:sz w:val="20"/>
          <w:szCs w:val="20"/>
          <w:lang w:eastAsia="x-none"/>
        </w:rPr>
        <w:t xml:space="preserve">Kategoria – </w:t>
      </w:r>
      <w:r w:rsidRPr="00AD1E0F">
        <w:rPr>
          <w:rFonts w:ascii="Arial Narrow" w:eastAsia="Times New Roman" w:hAnsi="Arial Narrow" w:cs="Times New Roman"/>
          <w:sz w:val="20"/>
          <w:szCs w:val="20"/>
          <w:lang w:eastAsia="x-none"/>
        </w:rPr>
        <w:t xml:space="preserve">charakterystyczny poziom właściwości kruszywa lub mieszanki niezwiązanej, wyrażony, jako przedział wartości lub wartość graniczna. Nie ma zależności pomiędzy kategoriami różnych właściwości. </w:t>
      </w:r>
    </w:p>
    <w:p w14:paraId="193C398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1.5.7. </w:t>
      </w:r>
      <w:r w:rsidRPr="00AD1E0F">
        <w:rPr>
          <w:rFonts w:ascii="Arial Narrow" w:eastAsia="Times New Roman" w:hAnsi="Arial Narrow" w:cs="Times New Roman"/>
          <w:b/>
          <w:sz w:val="20"/>
          <w:szCs w:val="20"/>
          <w:lang w:eastAsia="x-none"/>
        </w:rPr>
        <w:t xml:space="preserve">Kruszywo – </w:t>
      </w:r>
      <w:r w:rsidRPr="00AD1E0F">
        <w:rPr>
          <w:rFonts w:ascii="Arial Narrow" w:eastAsia="Times New Roman" w:hAnsi="Arial Narrow" w:cs="Times New Roman"/>
          <w:sz w:val="20"/>
          <w:szCs w:val="20"/>
          <w:lang w:eastAsia="x-none"/>
        </w:rPr>
        <w:t xml:space="preserve">materiał ziarnisty stosowany w budownictwie, który może być naturalny, sztuczny lub z recyklingu. </w:t>
      </w:r>
    </w:p>
    <w:p w14:paraId="3676CAE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1.5.8. </w:t>
      </w:r>
      <w:r w:rsidRPr="00AD1E0F">
        <w:rPr>
          <w:rFonts w:ascii="Arial Narrow" w:eastAsia="Times New Roman" w:hAnsi="Arial Narrow" w:cs="Times New Roman"/>
          <w:b/>
          <w:sz w:val="20"/>
          <w:szCs w:val="20"/>
          <w:lang w:eastAsia="x-none"/>
        </w:rPr>
        <w:t xml:space="preserve">Kruszywo naturalne – </w:t>
      </w:r>
      <w:r w:rsidRPr="00AD1E0F">
        <w:rPr>
          <w:rFonts w:ascii="Arial Narrow" w:eastAsia="Times New Roman" w:hAnsi="Arial Narrow" w:cs="Times New Roman"/>
          <w:sz w:val="20"/>
          <w:szCs w:val="20"/>
          <w:lang w:eastAsia="x-none"/>
        </w:rPr>
        <w:t xml:space="preserve">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 </w:t>
      </w:r>
    </w:p>
    <w:p w14:paraId="0652CCE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1.5.9. </w:t>
      </w:r>
      <w:r w:rsidRPr="00AD1E0F">
        <w:rPr>
          <w:rFonts w:ascii="Arial Narrow" w:eastAsia="Times New Roman" w:hAnsi="Arial Narrow" w:cs="Times New Roman"/>
          <w:b/>
          <w:sz w:val="20"/>
          <w:szCs w:val="20"/>
          <w:lang w:eastAsia="x-none"/>
        </w:rPr>
        <w:t xml:space="preserve">Kruszywo sztuczne – </w:t>
      </w:r>
      <w:r w:rsidRPr="00AD1E0F">
        <w:rPr>
          <w:rFonts w:ascii="Arial Narrow" w:eastAsia="Times New Roman" w:hAnsi="Arial Narrow" w:cs="Times New Roman"/>
          <w:sz w:val="20"/>
          <w:szCs w:val="20"/>
          <w:lang w:eastAsia="x-none"/>
        </w:rPr>
        <w:t xml:space="preserve">kruszywo pochodzenia mineralnego, uzyskiwane w wyniku procesu przemysłowego obejmującego obróbkę termiczną lub inną modyfikację. Do kruszywa sztucznego zalicza się w szczególności kruszywo z żużli: wielkopiecowych, stalowniczych i pomiedziowych. </w:t>
      </w:r>
    </w:p>
    <w:p w14:paraId="318A4F6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1.5.10.</w:t>
      </w:r>
      <w:r w:rsidRPr="00AD1E0F">
        <w:rPr>
          <w:rFonts w:ascii="Arial Narrow" w:eastAsia="Times New Roman" w:hAnsi="Arial Narrow" w:cs="Times New Roman"/>
          <w:b/>
          <w:sz w:val="20"/>
          <w:szCs w:val="20"/>
          <w:lang w:eastAsia="x-none"/>
        </w:rPr>
        <w:t xml:space="preserve">Kruszywo z recyklingu – </w:t>
      </w:r>
      <w:r w:rsidRPr="00AD1E0F">
        <w:rPr>
          <w:rFonts w:ascii="Arial Narrow" w:eastAsia="Times New Roman" w:hAnsi="Arial Narrow" w:cs="Times New Roman"/>
          <w:sz w:val="20"/>
          <w:szCs w:val="20"/>
          <w:lang w:eastAsia="x-none"/>
        </w:rPr>
        <w:t xml:space="preserve">kruszywo powstałe w wyniku przeróbki materiału zastosowanego uprzednio w budownictwie. </w:t>
      </w:r>
    </w:p>
    <w:p w14:paraId="22149B0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1.5.11.</w:t>
      </w:r>
      <w:r w:rsidRPr="00AD1E0F">
        <w:rPr>
          <w:rFonts w:ascii="Arial Narrow" w:eastAsia="Times New Roman" w:hAnsi="Arial Narrow" w:cs="Times New Roman"/>
          <w:b/>
          <w:sz w:val="20"/>
          <w:szCs w:val="20"/>
          <w:lang w:eastAsia="x-none"/>
        </w:rPr>
        <w:t xml:space="preserve">Kruszywo kamienne – </w:t>
      </w:r>
      <w:r w:rsidRPr="00AD1E0F">
        <w:rPr>
          <w:rFonts w:ascii="Arial Narrow" w:eastAsia="Times New Roman" w:hAnsi="Arial Narrow" w:cs="Times New Roman"/>
          <w:sz w:val="20"/>
          <w:szCs w:val="20"/>
          <w:lang w:eastAsia="x-none"/>
        </w:rPr>
        <w:t xml:space="preserve">kruszywo z mineralnych surowców jak żwir kruszony, mechanicznie rozdrobnione skały, nadziarno żwirowe. </w:t>
      </w:r>
    </w:p>
    <w:p w14:paraId="0B8B298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1.5.12.</w:t>
      </w:r>
      <w:r w:rsidRPr="00AD1E0F">
        <w:rPr>
          <w:rFonts w:ascii="Arial Narrow" w:eastAsia="Times New Roman" w:hAnsi="Arial Narrow" w:cs="Times New Roman"/>
          <w:b/>
          <w:sz w:val="20"/>
          <w:szCs w:val="20"/>
          <w:lang w:eastAsia="x-none"/>
        </w:rPr>
        <w:t xml:space="preserve">Kruszywo żużlowe z żużla wielkopiecowego – </w:t>
      </w:r>
      <w:r w:rsidRPr="00AD1E0F">
        <w:rPr>
          <w:rFonts w:ascii="Arial Narrow" w:eastAsia="Times New Roman" w:hAnsi="Arial Narrow" w:cs="Times New Roman"/>
          <w:sz w:val="20"/>
          <w:szCs w:val="20"/>
          <w:lang w:eastAsia="x-none"/>
        </w:rPr>
        <w:t xml:space="preserve">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 </w:t>
      </w:r>
    </w:p>
    <w:p w14:paraId="74C4709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1.5.13.</w:t>
      </w:r>
      <w:r w:rsidRPr="00AD1E0F">
        <w:rPr>
          <w:rFonts w:ascii="Arial Narrow" w:eastAsia="Times New Roman" w:hAnsi="Arial Narrow" w:cs="Times New Roman"/>
          <w:b/>
          <w:sz w:val="20"/>
          <w:szCs w:val="20"/>
          <w:lang w:eastAsia="x-none"/>
        </w:rPr>
        <w:t xml:space="preserve">Kruszywo żużlowe z żużla stalowniczego – </w:t>
      </w:r>
      <w:r w:rsidRPr="00AD1E0F">
        <w:rPr>
          <w:rFonts w:ascii="Arial Narrow" w:eastAsia="Times New Roman" w:hAnsi="Arial Narrow" w:cs="Times New Roman"/>
          <w:sz w:val="20"/>
          <w:szCs w:val="20"/>
          <w:lang w:eastAsia="x-none"/>
        </w:rPr>
        <w:t xml:space="preserve">kruszywo składające się głównie ze skrystalizowanego krzemianu wapnia i ferrytu zawierającego CaO, SiO2, MgO oraz tlenek żelaza. Kruszywo otrzymuje się przez powolne schładzanie powietrzem ciekłego żużla stalowniczego. Proces chłodzenia może odbywać się przy kontrolowanym dodawaniu wody. </w:t>
      </w:r>
    </w:p>
    <w:p w14:paraId="2F2111B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1.5.14.</w:t>
      </w:r>
      <w:r w:rsidRPr="00AD1E0F">
        <w:rPr>
          <w:rFonts w:ascii="Arial Narrow" w:eastAsia="Times New Roman" w:hAnsi="Arial Narrow" w:cs="Times New Roman"/>
          <w:b/>
          <w:sz w:val="20"/>
          <w:szCs w:val="20"/>
          <w:lang w:eastAsia="x-none"/>
        </w:rPr>
        <w:t xml:space="preserve">Kategoria ruchu (KR1 ÷ KR7) – </w:t>
      </w:r>
      <w:r w:rsidRPr="00AD1E0F">
        <w:rPr>
          <w:rFonts w:ascii="Arial Narrow" w:eastAsia="Times New Roman" w:hAnsi="Arial Narrow" w:cs="Times New Roman"/>
          <w:sz w:val="20"/>
          <w:szCs w:val="20"/>
          <w:lang w:eastAsia="x-none"/>
        </w:rPr>
        <w:t xml:space="preserve">obciążenie drogi ruchem samochodowym, wyrażone w osiach obliczeniowych (100 kN) według „Katalogu typowych konstrukcji nawierzchni podatnych i półsztywnych”. Politechnika Gdańska, Warszawa 2014 </w:t>
      </w:r>
    </w:p>
    <w:p w14:paraId="22B0D1C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1.5.15.</w:t>
      </w:r>
      <w:r w:rsidRPr="00AD1E0F">
        <w:rPr>
          <w:rFonts w:ascii="Arial Narrow" w:eastAsia="Times New Roman" w:hAnsi="Arial Narrow" w:cs="Times New Roman"/>
          <w:b/>
          <w:sz w:val="20"/>
          <w:szCs w:val="20"/>
          <w:lang w:eastAsia="x-none"/>
        </w:rPr>
        <w:t xml:space="preserve">Kruszywo grube (wg PN-EN 13242) – </w:t>
      </w:r>
      <w:r w:rsidRPr="00AD1E0F">
        <w:rPr>
          <w:rFonts w:ascii="Arial Narrow" w:eastAsia="Times New Roman" w:hAnsi="Arial Narrow" w:cs="Times New Roman"/>
          <w:sz w:val="20"/>
          <w:szCs w:val="20"/>
          <w:lang w:eastAsia="x-none"/>
        </w:rPr>
        <w:t xml:space="preserve">oznaczenie kruszywa o wymiarach ziaren d (dolnego) równym lub większym niż 1 mm oraz D (górnego) większym niż 2 mm. </w:t>
      </w:r>
    </w:p>
    <w:p w14:paraId="746C794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1.5.16.</w:t>
      </w:r>
      <w:r w:rsidRPr="00AD1E0F">
        <w:rPr>
          <w:rFonts w:ascii="Arial Narrow" w:eastAsia="Times New Roman" w:hAnsi="Arial Narrow" w:cs="Times New Roman"/>
          <w:b/>
          <w:sz w:val="20"/>
          <w:szCs w:val="20"/>
          <w:lang w:eastAsia="x-none"/>
        </w:rPr>
        <w:t xml:space="preserve">Kruszywo drobne (wg PN-EN 13242) – </w:t>
      </w:r>
      <w:r w:rsidRPr="00AD1E0F">
        <w:rPr>
          <w:rFonts w:ascii="Arial Narrow" w:eastAsia="Times New Roman" w:hAnsi="Arial Narrow" w:cs="Times New Roman"/>
          <w:sz w:val="20"/>
          <w:szCs w:val="20"/>
          <w:lang w:eastAsia="x-none"/>
        </w:rPr>
        <w:t xml:space="preserve">oznaczenie kruszywa o wymiarach ziaren d równym 0 oraz D równym 6,3 mm lub mniejszym. </w:t>
      </w:r>
    </w:p>
    <w:p w14:paraId="0075D5F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1.5.17.</w:t>
      </w:r>
      <w:r w:rsidRPr="00AD1E0F">
        <w:rPr>
          <w:rFonts w:ascii="Arial Narrow" w:eastAsia="Times New Roman" w:hAnsi="Arial Narrow" w:cs="Times New Roman"/>
          <w:b/>
          <w:sz w:val="20"/>
          <w:szCs w:val="20"/>
          <w:lang w:eastAsia="x-none"/>
        </w:rPr>
        <w:t xml:space="preserve">Kruszywo o ciągłym uziarnieniu (wg PN-EN 13242) – </w:t>
      </w:r>
      <w:r w:rsidRPr="00AD1E0F">
        <w:rPr>
          <w:rFonts w:ascii="Arial Narrow" w:eastAsia="Times New Roman" w:hAnsi="Arial Narrow" w:cs="Times New Roman"/>
          <w:sz w:val="20"/>
          <w:szCs w:val="20"/>
          <w:lang w:eastAsia="x-none"/>
        </w:rPr>
        <w:t xml:space="preserve">kruszywo stanowiące mieszankę kruszyw grubych i drobnych, w której D jest większe niż 6,3 mm. </w:t>
      </w:r>
    </w:p>
    <w:p w14:paraId="439F171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1.5.18.</w:t>
      </w:r>
      <w:r w:rsidRPr="00AD1E0F">
        <w:rPr>
          <w:rFonts w:ascii="Arial Narrow" w:eastAsia="Times New Roman" w:hAnsi="Arial Narrow" w:cs="Times New Roman"/>
          <w:b/>
          <w:sz w:val="20"/>
          <w:szCs w:val="20"/>
          <w:lang w:eastAsia="x-none"/>
        </w:rPr>
        <w:t xml:space="preserve">Destrukt asfaltowy – </w:t>
      </w:r>
      <w:r w:rsidRPr="00AD1E0F">
        <w:rPr>
          <w:rFonts w:ascii="Arial Narrow" w:eastAsia="Times New Roman" w:hAnsi="Arial Narrow" w:cs="Times New Roman"/>
          <w:sz w:val="20"/>
          <w:szCs w:val="20"/>
          <w:lang w:eastAsia="x-none"/>
        </w:rPr>
        <w:t xml:space="preserve">materiał drogowy pochodzący z frezowania istniejących warstw z mieszanek mineralno-asfaltowych (mma) lub z przekruszenia kawałków warstw nawierzchni asfaltowych oraz niewbudowanych partii mma, który został ujednorodniony pod względem składu oraz co najmniej przesiany, w celu odrzucenia dużych kawałków mma (nadziarno nie większe od 1,4 D mieszanki </w:t>
      </w:r>
    </w:p>
    <w:p w14:paraId="494682F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1.5.19.</w:t>
      </w:r>
      <w:r w:rsidRPr="00AD1E0F">
        <w:rPr>
          <w:rFonts w:ascii="Arial Narrow" w:eastAsia="Times New Roman" w:hAnsi="Arial Narrow" w:cs="Times New Roman"/>
          <w:b/>
          <w:sz w:val="20"/>
          <w:szCs w:val="20"/>
          <w:lang w:eastAsia="x-none"/>
        </w:rPr>
        <w:t>Destrukt betonowy</w:t>
      </w:r>
      <w:r w:rsidRPr="00AD1E0F">
        <w:rPr>
          <w:rFonts w:ascii="Arial Narrow" w:eastAsia="Times New Roman" w:hAnsi="Arial Narrow" w:cs="Times New Roman"/>
          <w:sz w:val="20"/>
          <w:szCs w:val="20"/>
          <w:lang w:eastAsia="x-none"/>
        </w:rPr>
        <w:t xml:space="preserve"> – materiał mineralno-cementowy powstały w wyniku kruszenia warstw konstrukcyjnych z betonu cementowego nawierzchni drogowych. </w:t>
      </w:r>
    </w:p>
    <w:p w14:paraId="311AEAF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1.5.20.</w:t>
      </w:r>
      <w:r w:rsidRPr="00AD1E0F">
        <w:rPr>
          <w:rFonts w:ascii="Arial Narrow" w:eastAsia="Times New Roman" w:hAnsi="Arial Narrow" w:cs="Times New Roman"/>
          <w:b/>
          <w:sz w:val="20"/>
          <w:szCs w:val="20"/>
          <w:lang w:eastAsia="x-none"/>
        </w:rPr>
        <w:t xml:space="preserve">Kruszywa słabe – </w:t>
      </w:r>
      <w:r w:rsidRPr="00AD1E0F">
        <w:rPr>
          <w:rFonts w:ascii="Arial Narrow" w:eastAsia="Times New Roman" w:hAnsi="Arial Narrow" w:cs="Times New Roman"/>
          <w:sz w:val="20"/>
          <w:szCs w:val="20"/>
          <w:lang w:eastAsia="x-none"/>
        </w:rPr>
        <w:t xml:space="preserve">kruszywo przewidziane do zastosowania w mieszance przeznaczonej do wykonywania warstw nawierzchni drogowej lub podłoża ulepszonego, które charakteryzuje się różnicami w uziarnieniu przed i po 5-krotnym zagęszczeniu metodą Proctora, przekraczającymi ± 8%. Uziarnienie kruszywa należy sprawdzać na sitach przewidzianych do kontroli uziarnienia wg PN-EN 13285 i niniejszej STWiORB. O zakwalifikowaniu kruszywa do kruszyw słabych decyduje największa różnica wartości przesiewów na jednym z sit kontrolnych. </w:t>
      </w:r>
    </w:p>
    <w:p w14:paraId="70B5BAA8"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 xml:space="preserve">1.6. Ogólne wymagania dotyczące robót </w:t>
      </w:r>
    </w:p>
    <w:p w14:paraId="06C6BB9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Ogólne wymagania dotyczące robót podano w STWiORB D-M 00.00.00 "Wymagania Ogólne". </w:t>
      </w:r>
    </w:p>
    <w:p w14:paraId="111658F5"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AD1E0F">
        <w:rPr>
          <w:rFonts w:ascii="Arial Narrow" w:eastAsia="Times New Roman" w:hAnsi="Arial Narrow" w:cs="Times New Roman"/>
          <w:b/>
          <w:caps/>
          <w:kern w:val="28"/>
          <w:sz w:val="28"/>
          <w:szCs w:val="20"/>
          <w:lang w:val="x-none" w:eastAsia="x-none"/>
        </w:rPr>
        <w:t xml:space="preserve">2. MATERIAŁY </w:t>
      </w:r>
    </w:p>
    <w:p w14:paraId="215F7A16"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 xml:space="preserve">2.1. Ogólne wymagania dotyczące materiałów </w:t>
      </w:r>
    </w:p>
    <w:p w14:paraId="66DB519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2.1.1. Ogólne wymagania dotyczące materiałów podano w STWiORB D-M 00.00.00, Wymagania ogólne" punkt 2. </w:t>
      </w:r>
    </w:p>
    <w:p w14:paraId="06D6FA0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2.1.2. Podstawowe wymagania dotyczące materiałów </w:t>
      </w:r>
    </w:p>
    <w:p w14:paraId="0041EFE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Wszystkie materiały użyte do budowy powinny pochodzić tylko ze źródeł uzgodnionych i zatwierdzonych przez Inżyniera/ Inspektora Nadzoru/Zamawiającego. </w:t>
      </w:r>
    </w:p>
    <w:p w14:paraId="7C9C335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Mieszanka kruszywa niezwiązanego przeznaczona do podbudowy powinny spełniać wymagania krajowe, przenoszące zapisy normy PN-EN-13285 Mieszanki niezwiązane Wymagania, które zostały określone w dokumentach: WT-4 2010, KTKNPiP 2014, KTKNS 2014.  </w:t>
      </w:r>
    </w:p>
    <w:p w14:paraId="0F6AC86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Materiałami stosowanymi do wytwarzania mieszanek z kruszywa niezwiązanego są: </w:t>
      </w:r>
    </w:p>
    <w:p w14:paraId="0E971560"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kruszywo, </w:t>
      </w:r>
    </w:p>
    <w:p w14:paraId="551BC450"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woda do zraszania kruszywa. </w:t>
      </w:r>
    </w:p>
    <w:p w14:paraId="254712F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lastRenderedPageBreak/>
        <w:t xml:space="preserve">Mieszanki kruszywa powinny być tak produkowane i składowane, aby miały jednakowe właściwości i spełniały wymagania podane w Tablicy 2.1 i 2.6. Wyprodukowane mieszanki kruszywa powinny być jednorodnie wymieszane i charakteryzować się równomierną wilgotnością. </w:t>
      </w:r>
    </w:p>
    <w:p w14:paraId="32B083A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Kruszywo powinno być składowane w pryzmach, na utwardzonym i dobrze odwodnionym placu, w warunkach zabezpieczających przed zanieczyszczeniem i przed wymieszaniem różnych rodzajów kruszyw </w:t>
      </w:r>
    </w:p>
    <w:p w14:paraId="38B6537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Zawartość wody w mieszance kruszywa w trakcie wbudowywania i zagęszczania, określona według PN-EN 13286-2, powinna odpowiadać wymaganiom Tablicy 2.6. </w:t>
      </w:r>
    </w:p>
    <w:p w14:paraId="45ABC003"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 xml:space="preserve">2.2. Właściwości kruszywa </w:t>
      </w:r>
    </w:p>
    <w:p w14:paraId="68F2022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Do mieszanek można stosować następujące rodzaje kruszyw: </w:t>
      </w:r>
    </w:p>
    <w:p w14:paraId="2748EAC2"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kruszywo naturalne lub sztuczne, </w:t>
      </w:r>
    </w:p>
    <w:p w14:paraId="3362D97D"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kruszywo z recyklingu, </w:t>
      </w:r>
    </w:p>
    <w:p w14:paraId="723E4F0C"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połączenie kruszyw wymienionych w punktach a) i b) z określeniem proporcji kruszyw z a) i b) </w:t>
      </w:r>
    </w:p>
    <w:p w14:paraId="5B6B79DE"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z dokładnością ± 5% m/m. </w:t>
      </w:r>
    </w:p>
    <w:p w14:paraId="452F12E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Należy zastosować kruszywa spełniające wymagania podane w Tablicy 2.1. </w:t>
      </w:r>
    </w:p>
    <w:p w14:paraId="39F4751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sz w:val="20"/>
          <w:szCs w:val="20"/>
          <w:lang w:eastAsia="x-none"/>
        </w:rPr>
        <w:t>Tablica 2.1</w:t>
      </w:r>
      <w:r w:rsidRPr="00AD1E0F">
        <w:rPr>
          <w:rFonts w:ascii="Arial Narrow" w:eastAsia="Times New Roman" w:hAnsi="Arial Narrow" w:cs="Times New Roman"/>
          <w:sz w:val="20"/>
          <w:szCs w:val="20"/>
          <w:lang w:eastAsia="x-none"/>
        </w:rPr>
        <w:t xml:space="preserve">. Wymagania dla kruszywa do mieszanek niezwiązanych </w:t>
      </w:r>
    </w:p>
    <w:tbl>
      <w:tblPr>
        <w:tblW w:w="9362" w:type="dxa"/>
        <w:tblInd w:w="252" w:type="dxa"/>
        <w:tblCellMar>
          <w:top w:w="45" w:type="dxa"/>
          <w:left w:w="67" w:type="dxa"/>
          <w:right w:w="20" w:type="dxa"/>
        </w:tblCellMar>
        <w:tblLook w:val="04A0" w:firstRow="1" w:lastRow="0" w:firstColumn="1" w:lastColumn="0" w:noHBand="0" w:noVBand="1"/>
      </w:tblPr>
      <w:tblGrid>
        <w:gridCol w:w="902"/>
        <w:gridCol w:w="2222"/>
        <w:gridCol w:w="1199"/>
        <w:gridCol w:w="1190"/>
        <w:gridCol w:w="1190"/>
        <w:gridCol w:w="1279"/>
        <w:gridCol w:w="1380"/>
      </w:tblGrid>
      <w:tr w:rsidR="00AD1E0F" w:rsidRPr="00AD1E0F" w14:paraId="13EDACFC" w14:textId="77777777" w:rsidTr="00855929">
        <w:trPr>
          <w:trHeight w:val="667"/>
        </w:trPr>
        <w:tc>
          <w:tcPr>
            <w:tcW w:w="91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23DD3E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Punkt w normie  PN-EN </w:t>
            </w:r>
          </w:p>
          <w:p w14:paraId="48F6C36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13242 </w:t>
            </w:r>
          </w:p>
        </w:tc>
        <w:tc>
          <w:tcPr>
            <w:tcW w:w="22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DB3C7C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Właściwość </w:t>
            </w:r>
          </w:p>
        </w:tc>
        <w:tc>
          <w:tcPr>
            <w:tcW w:w="4755" w:type="dxa"/>
            <w:gridSpan w:val="4"/>
            <w:tcBorders>
              <w:top w:val="single" w:sz="4" w:space="0" w:color="000000"/>
              <w:left w:val="single" w:sz="4" w:space="0" w:color="000000"/>
              <w:bottom w:val="single" w:sz="4" w:space="0" w:color="000000"/>
              <w:right w:val="single" w:sz="8" w:space="0" w:color="000000"/>
            </w:tcBorders>
            <w:shd w:val="clear" w:color="auto" w:fill="auto"/>
          </w:tcPr>
          <w:p w14:paraId="3504B47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Wymagane właściwości kruszywa do mieszanek niezwiązanych  </w:t>
            </w:r>
          </w:p>
          <w:p w14:paraId="108C7E3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(kategorie według PN-EN 13242) </w:t>
            </w:r>
          </w:p>
        </w:tc>
        <w:tc>
          <w:tcPr>
            <w:tcW w:w="1416" w:type="dxa"/>
            <w:vMerge w:val="restart"/>
            <w:tcBorders>
              <w:top w:val="single" w:sz="4" w:space="0" w:color="000000"/>
              <w:left w:val="single" w:sz="8" w:space="0" w:color="000000"/>
              <w:bottom w:val="single" w:sz="4" w:space="0" w:color="000000"/>
              <w:right w:val="single" w:sz="8" w:space="0" w:color="000000"/>
            </w:tcBorders>
            <w:shd w:val="clear" w:color="auto" w:fill="auto"/>
            <w:vAlign w:val="center"/>
          </w:tcPr>
          <w:p w14:paraId="78D2F24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Odniesienie do tablicy w PN-EN </w:t>
            </w:r>
          </w:p>
          <w:p w14:paraId="4FA54FA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13242 </w:t>
            </w:r>
          </w:p>
        </w:tc>
      </w:tr>
      <w:tr w:rsidR="00AD1E0F" w:rsidRPr="00AD1E0F" w14:paraId="10C40EEE" w14:textId="77777777" w:rsidTr="00855929">
        <w:trPr>
          <w:trHeight w:val="446"/>
        </w:trPr>
        <w:tc>
          <w:tcPr>
            <w:tcW w:w="0" w:type="auto"/>
            <w:vMerge/>
            <w:tcBorders>
              <w:top w:val="nil"/>
              <w:left w:val="single" w:sz="4" w:space="0" w:color="000000"/>
              <w:bottom w:val="nil"/>
              <w:right w:val="single" w:sz="4" w:space="0" w:color="000000"/>
            </w:tcBorders>
            <w:shd w:val="clear" w:color="auto" w:fill="auto"/>
          </w:tcPr>
          <w:p w14:paraId="201207E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4" w:space="0" w:color="000000"/>
              <w:bottom w:val="nil"/>
              <w:right w:val="single" w:sz="4" w:space="0" w:color="000000"/>
            </w:tcBorders>
            <w:shd w:val="clear" w:color="auto" w:fill="auto"/>
          </w:tcPr>
          <w:p w14:paraId="6EC6FAC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tcPr>
          <w:p w14:paraId="628F321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podbudowa pomocnicza </w:t>
            </w:r>
          </w:p>
        </w:tc>
        <w:tc>
          <w:tcPr>
            <w:tcW w:w="2273" w:type="dxa"/>
            <w:gridSpan w:val="2"/>
            <w:tcBorders>
              <w:top w:val="single" w:sz="4" w:space="0" w:color="000000"/>
              <w:left w:val="single" w:sz="4" w:space="0" w:color="000000"/>
              <w:bottom w:val="single" w:sz="4" w:space="0" w:color="000000"/>
              <w:right w:val="single" w:sz="8" w:space="0" w:color="000000"/>
            </w:tcBorders>
            <w:shd w:val="clear" w:color="auto" w:fill="auto"/>
            <w:vAlign w:val="center"/>
          </w:tcPr>
          <w:p w14:paraId="2A81134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podbudowa zasadnicza </w:t>
            </w:r>
          </w:p>
        </w:tc>
        <w:tc>
          <w:tcPr>
            <w:tcW w:w="1282" w:type="dxa"/>
            <w:tcBorders>
              <w:top w:val="single" w:sz="4" w:space="0" w:color="000000"/>
              <w:left w:val="single" w:sz="8" w:space="0" w:color="000000"/>
              <w:bottom w:val="single" w:sz="4" w:space="0" w:color="000000"/>
              <w:right w:val="single" w:sz="8" w:space="0" w:color="000000"/>
            </w:tcBorders>
            <w:shd w:val="clear" w:color="auto" w:fill="auto"/>
            <w:vAlign w:val="center"/>
          </w:tcPr>
          <w:p w14:paraId="34CDD88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Nawierzchnia </w:t>
            </w:r>
          </w:p>
        </w:tc>
        <w:tc>
          <w:tcPr>
            <w:tcW w:w="0" w:type="auto"/>
            <w:vMerge/>
            <w:tcBorders>
              <w:top w:val="nil"/>
              <w:left w:val="single" w:sz="8" w:space="0" w:color="000000"/>
              <w:bottom w:val="single" w:sz="4" w:space="0" w:color="000000"/>
              <w:right w:val="single" w:sz="8" w:space="0" w:color="000000"/>
            </w:tcBorders>
            <w:shd w:val="clear" w:color="auto" w:fill="auto"/>
          </w:tcPr>
          <w:p w14:paraId="57F9447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r>
      <w:tr w:rsidR="00AD1E0F" w:rsidRPr="00AD1E0F" w14:paraId="616941E7" w14:textId="77777777" w:rsidTr="00855929">
        <w:trPr>
          <w:trHeight w:val="375"/>
        </w:trPr>
        <w:tc>
          <w:tcPr>
            <w:tcW w:w="0" w:type="auto"/>
            <w:vMerge/>
            <w:tcBorders>
              <w:top w:val="nil"/>
              <w:left w:val="single" w:sz="4" w:space="0" w:color="000000"/>
              <w:bottom w:val="single" w:sz="4" w:space="0" w:color="000000"/>
              <w:right w:val="single" w:sz="4" w:space="0" w:color="000000"/>
            </w:tcBorders>
            <w:shd w:val="clear" w:color="auto" w:fill="auto"/>
          </w:tcPr>
          <w:p w14:paraId="4C7D6C7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14:paraId="02B61CC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1200" w:type="dxa"/>
            <w:tcBorders>
              <w:top w:val="single" w:sz="4" w:space="0" w:color="000000"/>
              <w:left w:val="single" w:sz="4" w:space="0" w:color="000000"/>
              <w:bottom w:val="single" w:sz="4" w:space="0" w:color="000000"/>
              <w:right w:val="single" w:sz="4" w:space="0" w:color="000000"/>
            </w:tcBorders>
            <w:shd w:val="clear" w:color="auto" w:fill="auto"/>
          </w:tcPr>
          <w:p w14:paraId="1F7B673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KR 3 - 7 </w:t>
            </w:r>
          </w:p>
        </w:tc>
        <w:tc>
          <w:tcPr>
            <w:tcW w:w="1135" w:type="dxa"/>
            <w:tcBorders>
              <w:top w:val="single" w:sz="4" w:space="0" w:color="000000"/>
              <w:left w:val="single" w:sz="4" w:space="0" w:color="000000"/>
              <w:bottom w:val="single" w:sz="4" w:space="0" w:color="000000"/>
              <w:right w:val="single" w:sz="4" w:space="0" w:color="000000"/>
            </w:tcBorders>
            <w:shd w:val="clear" w:color="auto" w:fill="auto"/>
          </w:tcPr>
          <w:p w14:paraId="5C34AB0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KR 1 - 2 </w:t>
            </w:r>
          </w:p>
        </w:tc>
        <w:tc>
          <w:tcPr>
            <w:tcW w:w="1138" w:type="dxa"/>
            <w:tcBorders>
              <w:top w:val="single" w:sz="4" w:space="0" w:color="000000"/>
              <w:left w:val="single" w:sz="4" w:space="0" w:color="000000"/>
              <w:bottom w:val="single" w:sz="4" w:space="0" w:color="000000"/>
              <w:right w:val="single" w:sz="8" w:space="0" w:color="000000"/>
            </w:tcBorders>
            <w:shd w:val="clear" w:color="auto" w:fill="auto"/>
          </w:tcPr>
          <w:p w14:paraId="6B917BB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KR 3 - 7 </w:t>
            </w:r>
          </w:p>
        </w:tc>
        <w:tc>
          <w:tcPr>
            <w:tcW w:w="1282" w:type="dxa"/>
            <w:tcBorders>
              <w:top w:val="single" w:sz="4" w:space="0" w:color="000000"/>
              <w:left w:val="single" w:sz="8" w:space="0" w:color="000000"/>
              <w:bottom w:val="single" w:sz="4" w:space="0" w:color="000000"/>
              <w:right w:val="single" w:sz="8" w:space="0" w:color="000000"/>
            </w:tcBorders>
            <w:shd w:val="clear" w:color="auto" w:fill="auto"/>
          </w:tcPr>
          <w:p w14:paraId="4744DFD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KR 1 - 2 </w:t>
            </w:r>
          </w:p>
        </w:tc>
        <w:tc>
          <w:tcPr>
            <w:tcW w:w="1416" w:type="dxa"/>
            <w:tcBorders>
              <w:top w:val="single" w:sz="4" w:space="0" w:color="000000"/>
              <w:left w:val="single" w:sz="8" w:space="0" w:color="000000"/>
              <w:bottom w:val="single" w:sz="4" w:space="0" w:color="000000"/>
              <w:right w:val="single" w:sz="8" w:space="0" w:color="000000"/>
            </w:tcBorders>
            <w:shd w:val="clear" w:color="auto" w:fill="auto"/>
          </w:tcPr>
          <w:p w14:paraId="384C47B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r>
      <w:tr w:rsidR="00AD1E0F" w:rsidRPr="00AD1E0F" w14:paraId="16798FF2" w14:textId="77777777" w:rsidTr="00855929">
        <w:trPr>
          <w:trHeight w:val="1080"/>
        </w:trPr>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121AC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4.3.1 </w:t>
            </w:r>
          </w:p>
        </w:tc>
        <w:tc>
          <w:tcPr>
            <w:tcW w:w="227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991DC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Uziarnienie wg PN-EN 9331, kategoria nie niższa niż </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192A7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w:t>
            </w:r>
            <w:r w:rsidRPr="00AD1E0F">
              <w:rPr>
                <w:rFonts w:ascii="Arial Narrow" w:eastAsia="Times New Roman" w:hAnsi="Arial Narrow" w:cs="Times New Roman"/>
                <w:vertAlign w:val="subscript"/>
              </w:rPr>
              <w:t>C</w:t>
            </w:r>
            <w:r w:rsidRPr="00AD1E0F">
              <w:rPr>
                <w:rFonts w:ascii="Arial Narrow" w:eastAsia="Times New Roman" w:hAnsi="Arial Narrow" w:cs="Times New Roman"/>
              </w:rPr>
              <w:t xml:space="preserve">80/20, </w:t>
            </w:r>
          </w:p>
          <w:p w14:paraId="487E439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w:t>
            </w:r>
            <w:r w:rsidRPr="00AD1E0F">
              <w:rPr>
                <w:rFonts w:ascii="Arial Narrow" w:eastAsia="Times New Roman" w:hAnsi="Arial Narrow" w:cs="Times New Roman"/>
                <w:vertAlign w:val="subscript"/>
              </w:rPr>
              <w:t>F</w:t>
            </w:r>
            <w:r w:rsidRPr="00AD1E0F">
              <w:rPr>
                <w:rFonts w:ascii="Arial Narrow" w:eastAsia="Times New Roman" w:hAnsi="Arial Narrow" w:cs="Times New Roman"/>
              </w:rPr>
              <w:t xml:space="preserve">80, </w:t>
            </w:r>
          </w:p>
          <w:p w14:paraId="2EF49C9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w:t>
            </w:r>
            <w:r w:rsidRPr="00AD1E0F">
              <w:rPr>
                <w:rFonts w:ascii="Arial Narrow" w:eastAsia="Times New Roman" w:hAnsi="Arial Narrow" w:cs="Times New Roman"/>
                <w:vertAlign w:val="subscript"/>
              </w:rPr>
              <w:t>A</w:t>
            </w:r>
            <w:r w:rsidRPr="00AD1E0F">
              <w:rPr>
                <w:rFonts w:ascii="Arial Narrow" w:eastAsia="Times New Roman" w:hAnsi="Arial Narrow" w:cs="Times New Roman"/>
              </w:rPr>
              <w:t xml:space="preserve">75 </w:t>
            </w:r>
          </w:p>
        </w:tc>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288D1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w:t>
            </w:r>
            <w:r w:rsidRPr="00AD1E0F">
              <w:rPr>
                <w:rFonts w:ascii="Arial Narrow" w:eastAsia="Times New Roman" w:hAnsi="Arial Narrow" w:cs="Times New Roman"/>
                <w:vertAlign w:val="subscript"/>
              </w:rPr>
              <w:t>C</w:t>
            </w:r>
            <w:r w:rsidRPr="00AD1E0F">
              <w:rPr>
                <w:rFonts w:ascii="Arial Narrow" w:eastAsia="Times New Roman" w:hAnsi="Arial Narrow" w:cs="Times New Roman"/>
              </w:rPr>
              <w:t xml:space="preserve">85/15, </w:t>
            </w:r>
          </w:p>
          <w:p w14:paraId="23BABB8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w:t>
            </w:r>
            <w:r w:rsidRPr="00AD1E0F">
              <w:rPr>
                <w:rFonts w:ascii="Arial Narrow" w:eastAsia="Times New Roman" w:hAnsi="Arial Narrow" w:cs="Times New Roman"/>
                <w:vertAlign w:val="subscript"/>
              </w:rPr>
              <w:t>F</w:t>
            </w:r>
            <w:r w:rsidRPr="00AD1E0F">
              <w:rPr>
                <w:rFonts w:ascii="Arial Narrow" w:eastAsia="Times New Roman" w:hAnsi="Arial Narrow" w:cs="Times New Roman"/>
              </w:rPr>
              <w:t xml:space="preserve">85, </w:t>
            </w:r>
          </w:p>
          <w:p w14:paraId="4DB9C93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w:t>
            </w:r>
            <w:r w:rsidRPr="00AD1E0F">
              <w:rPr>
                <w:rFonts w:ascii="Arial Narrow" w:eastAsia="Times New Roman" w:hAnsi="Arial Narrow" w:cs="Times New Roman"/>
                <w:vertAlign w:val="subscript"/>
              </w:rPr>
              <w:t>A</w:t>
            </w:r>
            <w:r w:rsidRPr="00AD1E0F">
              <w:rPr>
                <w:rFonts w:ascii="Arial Narrow" w:eastAsia="Times New Roman" w:hAnsi="Arial Narrow" w:cs="Times New Roman"/>
              </w:rPr>
              <w:t xml:space="preserve">85 </w:t>
            </w:r>
          </w:p>
        </w:tc>
        <w:tc>
          <w:tcPr>
            <w:tcW w:w="1138" w:type="dxa"/>
            <w:tcBorders>
              <w:top w:val="single" w:sz="4" w:space="0" w:color="000000"/>
              <w:left w:val="single" w:sz="4" w:space="0" w:color="000000"/>
              <w:bottom w:val="single" w:sz="4" w:space="0" w:color="000000"/>
              <w:right w:val="single" w:sz="8" w:space="0" w:color="000000"/>
            </w:tcBorders>
            <w:shd w:val="clear" w:color="auto" w:fill="auto"/>
            <w:vAlign w:val="center"/>
          </w:tcPr>
          <w:p w14:paraId="6B6A322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w:t>
            </w:r>
            <w:r w:rsidRPr="00AD1E0F">
              <w:rPr>
                <w:rFonts w:ascii="Arial Narrow" w:eastAsia="Times New Roman" w:hAnsi="Arial Narrow" w:cs="Times New Roman"/>
                <w:vertAlign w:val="subscript"/>
              </w:rPr>
              <w:t>C</w:t>
            </w:r>
            <w:r w:rsidRPr="00AD1E0F">
              <w:rPr>
                <w:rFonts w:ascii="Arial Narrow" w:eastAsia="Times New Roman" w:hAnsi="Arial Narrow" w:cs="Times New Roman"/>
              </w:rPr>
              <w:t xml:space="preserve">85/15, </w:t>
            </w:r>
          </w:p>
          <w:p w14:paraId="6411F75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w:t>
            </w:r>
            <w:r w:rsidRPr="00AD1E0F">
              <w:rPr>
                <w:rFonts w:ascii="Arial Narrow" w:eastAsia="Times New Roman" w:hAnsi="Arial Narrow" w:cs="Times New Roman"/>
                <w:vertAlign w:val="subscript"/>
              </w:rPr>
              <w:t>F</w:t>
            </w:r>
            <w:r w:rsidRPr="00AD1E0F">
              <w:rPr>
                <w:rFonts w:ascii="Arial Narrow" w:eastAsia="Times New Roman" w:hAnsi="Arial Narrow" w:cs="Times New Roman"/>
              </w:rPr>
              <w:t xml:space="preserve">85, </w:t>
            </w:r>
          </w:p>
          <w:p w14:paraId="204A152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w:t>
            </w:r>
            <w:r w:rsidRPr="00AD1E0F">
              <w:rPr>
                <w:rFonts w:ascii="Arial Narrow" w:eastAsia="Times New Roman" w:hAnsi="Arial Narrow" w:cs="Times New Roman"/>
                <w:vertAlign w:val="subscript"/>
              </w:rPr>
              <w:t>A</w:t>
            </w:r>
            <w:r w:rsidRPr="00AD1E0F">
              <w:rPr>
                <w:rFonts w:ascii="Arial Narrow" w:eastAsia="Times New Roman" w:hAnsi="Arial Narrow" w:cs="Times New Roman"/>
              </w:rPr>
              <w:t xml:space="preserve">85 </w:t>
            </w:r>
          </w:p>
        </w:tc>
        <w:tc>
          <w:tcPr>
            <w:tcW w:w="1282" w:type="dxa"/>
            <w:tcBorders>
              <w:top w:val="single" w:sz="4" w:space="0" w:color="000000"/>
              <w:left w:val="single" w:sz="8" w:space="0" w:color="000000"/>
              <w:bottom w:val="single" w:sz="4" w:space="0" w:color="000000"/>
              <w:right w:val="single" w:sz="8" w:space="0" w:color="000000"/>
            </w:tcBorders>
            <w:shd w:val="clear" w:color="auto" w:fill="auto"/>
            <w:vAlign w:val="center"/>
          </w:tcPr>
          <w:p w14:paraId="551B3A0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w:t>
            </w:r>
            <w:r w:rsidRPr="00AD1E0F">
              <w:rPr>
                <w:rFonts w:ascii="Arial Narrow" w:eastAsia="Times New Roman" w:hAnsi="Arial Narrow" w:cs="Times New Roman"/>
                <w:vertAlign w:val="subscript"/>
              </w:rPr>
              <w:t>C</w:t>
            </w:r>
            <w:r w:rsidRPr="00AD1E0F">
              <w:rPr>
                <w:rFonts w:ascii="Arial Narrow" w:eastAsia="Times New Roman" w:hAnsi="Arial Narrow" w:cs="Times New Roman"/>
              </w:rPr>
              <w:t xml:space="preserve">80/20, </w:t>
            </w:r>
          </w:p>
          <w:p w14:paraId="108D56B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w:t>
            </w:r>
            <w:r w:rsidRPr="00AD1E0F">
              <w:rPr>
                <w:rFonts w:ascii="Arial Narrow" w:eastAsia="Times New Roman" w:hAnsi="Arial Narrow" w:cs="Times New Roman"/>
                <w:vertAlign w:val="subscript"/>
              </w:rPr>
              <w:t>F</w:t>
            </w:r>
            <w:r w:rsidRPr="00AD1E0F">
              <w:rPr>
                <w:rFonts w:ascii="Arial Narrow" w:eastAsia="Times New Roman" w:hAnsi="Arial Narrow" w:cs="Times New Roman"/>
              </w:rPr>
              <w:t xml:space="preserve">80, </w:t>
            </w:r>
          </w:p>
          <w:p w14:paraId="1943705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w:t>
            </w:r>
            <w:r w:rsidRPr="00AD1E0F">
              <w:rPr>
                <w:rFonts w:ascii="Arial Narrow" w:eastAsia="Times New Roman" w:hAnsi="Arial Narrow" w:cs="Times New Roman"/>
                <w:vertAlign w:val="subscript"/>
              </w:rPr>
              <w:t>A</w:t>
            </w:r>
            <w:r w:rsidRPr="00AD1E0F">
              <w:rPr>
                <w:rFonts w:ascii="Arial Narrow" w:eastAsia="Times New Roman" w:hAnsi="Arial Narrow" w:cs="Times New Roman"/>
              </w:rPr>
              <w:t xml:space="preserve">75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4B3A4BC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Tablica 2 </w:t>
            </w:r>
          </w:p>
        </w:tc>
      </w:tr>
      <w:tr w:rsidR="00AD1E0F" w:rsidRPr="00AD1E0F" w14:paraId="7A4DE4D9" w14:textId="77777777" w:rsidTr="00855929">
        <w:trPr>
          <w:trHeight w:val="982"/>
        </w:trPr>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94066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4.3.2 </w:t>
            </w: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59C6DFA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Ogólne granice i tolerancje uziarnienia kruszywa grubego na sitach pośrednich wg PN-EN 9331 </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7E1C7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GT</w:t>
            </w:r>
            <w:r w:rsidRPr="00AD1E0F">
              <w:rPr>
                <w:rFonts w:ascii="Arial Narrow" w:eastAsia="Times New Roman" w:hAnsi="Arial Narrow" w:cs="Times New Roman"/>
                <w:vertAlign w:val="subscript"/>
              </w:rPr>
              <w:t>C</w:t>
            </w:r>
            <w:r w:rsidRPr="00AD1E0F">
              <w:rPr>
                <w:rFonts w:ascii="Arial Narrow" w:eastAsia="Times New Roman" w:hAnsi="Arial Narrow" w:cs="Times New Roman"/>
              </w:rPr>
              <w:t xml:space="preserve">NR </w:t>
            </w:r>
          </w:p>
        </w:tc>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181B6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GT</w:t>
            </w:r>
            <w:r w:rsidRPr="00AD1E0F">
              <w:rPr>
                <w:rFonts w:ascii="Arial Narrow" w:eastAsia="Times New Roman" w:hAnsi="Arial Narrow" w:cs="Times New Roman"/>
                <w:vertAlign w:val="subscript"/>
              </w:rPr>
              <w:t>C</w:t>
            </w:r>
            <w:r w:rsidRPr="00AD1E0F">
              <w:rPr>
                <w:rFonts w:ascii="Arial Narrow" w:eastAsia="Times New Roman" w:hAnsi="Arial Narrow" w:cs="Times New Roman"/>
              </w:rPr>
              <w:t xml:space="preserve">20/15 </w:t>
            </w:r>
          </w:p>
        </w:tc>
        <w:tc>
          <w:tcPr>
            <w:tcW w:w="1138" w:type="dxa"/>
            <w:tcBorders>
              <w:top w:val="single" w:sz="4" w:space="0" w:color="000000"/>
              <w:left w:val="single" w:sz="4" w:space="0" w:color="000000"/>
              <w:bottom w:val="single" w:sz="4" w:space="0" w:color="000000"/>
              <w:right w:val="single" w:sz="8" w:space="0" w:color="000000"/>
            </w:tcBorders>
            <w:shd w:val="clear" w:color="auto" w:fill="auto"/>
            <w:vAlign w:val="center"/>
          </w:tcPr>
          <w:p w14:paraId="79DF8A5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GT</w:t>
            </w:r>
            <w:r w:rsidRPr="00AD1E0F">
              <w:rPr>
                <w:rFonts w:ascii="Arial Narrow" w:eastAsia="Times New Roman" w:hAnsi="Arial Narrow" w:cs="Times New Roman"/>
                <w:vertAlign w:val="subscript"/>
              </w:rPr>
              <w:t>C</w:t>
            </w:r>
            <w:r w:rsidRPr="00AD1E0F">
              <w:rPr>
                <w:rFonts w:ascii="Arial Narrow" w:eastAsia="Times New Roman" w:hAnsi="Arial Narrow" w:cs="Times New Roman"/>
              </w:rPr>
              <w:t xml:space="preserve">20/15 </w:t>
            </w:r>
          </w:p>
        </w:tc>
        <w:tc>
          <w:tcPr>
            <w:tcW w:w="1282" w:type="dxa"/>
            <w:tcBorders>
              <w:top w:val="single" w:sz="4" w:space="0" w:color="000000"/>
              <w:left w:val="single" w:sz="8" w:space="0" w:color="000000"/>
              <w:bottom w:val="single" w:sz="4" w:space="0" w:color="000000"/>
              <w:right w:val="single" w:sz="8" w:space="0" w:color="000000"/>
            </w:tcBorders>
            <w:shd w:val="clear" w:color="auto" w:fill="auto"/>
            <w:vAlign w:val="center"/>
          </w:tcPr>
          <w:p w14:paraId="0FCB229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GT</w:t>
            </w:r>
            <w:r w:rsidRPr="00AD1E0F">
              <w:rPr>
                <w:rFonts w:ascii="Arial Narrow" w:eastAsia="Times New Roman" w:hAnsi="Arial Narrow" w:cs="Times New Roman"/>
                <w:vertAlign w:val="subscript"/>
              </w:rPr>
              <w:t>C</w:t>
            </w:r>
            <w:r w:rsidRPr="00AD1E0F">
              <w:rPr>
                <w:rFonts w:ascii="Arial Narrow" w:eastAsia="Times New Roman" w:hAnsi="Arial Narrow" w:cs="Times New Roman"/>
              </w:rPr>
              <w:t xml:space="preserve">20/15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7EFAE5C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Tablica 3 </w:t>
            </w:r>
          </w:p>
        </w:tc>
      </w:tr>
      <w:tr w:rsidR="00AD1E0F" w:rsidRPr="00AD1E0F" w14:paraId="68FE1622" w14:textId="77777777" w:rsidTr="00855929">
        <w:trPr>
          <w:trHeight w:val="984"/>
        </w:trPr>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5145D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4.3.3 </w:t>
            </w: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5DF1A11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Tolerancje typowego uziarnienia kruszywa drobnego i kruszywa o ciągłym uziarnieniu wg PNEN 933-1 </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BF15C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GT</w:t>
            </w:r>
            <w:r w:rsidRPr="00AD1E0F">
              <w:rPr>
                <w:rFonts w:ascii="Arial Narrow" w:eastAsia="Times New Roman" w:hAnsi="Arial Narrow" w:cs="Times New Roman"/>
                <w:vertAlign w:val="subscript"/>
              </w:rPr>
              <w:t>F</w:t>
            </w:r>
            <w:r w:rsidRPr="00AD1E0F">
              <w:rPr>
                <w:rFonts w:ascii="Arial Narrow" w:eastAsia="Times New Roman" w:hAnsi="Arial Narrow" w:cs="Times New Roman"/>
              </w:rPr>
              <w:t>NR, GT</w:t>
            </w:r>
            <w:r w:rsidRPr="00AD1E0F">
              <w:rPr>
                <w:rFonts w:ascii="Arial Narrow" w:eastAsia="Times New Roman" w:hAnsi="Arial Narrow" w:cs="Times New Roman"/>
                <w:vertAlign w:val="subscript"/>
              </w:rPr>
              <w:t>A</w:t>
            </w:r>
            <w:r w:rsidRPr="00AD1E0F">
              <w:rPr>
                <w:rFonts w:ascii="Arial Narrow" w:eastAsia="Times New Roman" w:hAnsi="Arial Narrow" w:cs="Times New Roman"/>
              </w:rPr>
              <w:t xml:space="preserve">NR </w:t>
            </w:r>
          </w:p>
        </w:tc>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B436C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GT</w:t>
            </w:r>
            <w:r w:rsidRPr="00AD1E0F">
              <w:rPr>
                <w:rFonts w:ascii="Arial Narrow" w:eastAsia="Times New Roman" w:hAnsi="Arial Narrow" w:cs="Times New Roman"/>
                <w:vertAlign w:val="subscript"/>
              </w:rPr>
              <w:t>F</w:t>
            </w:r>
            <w:r w:rsidRPr="00AD1E0F">
              <w:rPr>
                <w:rFonts w:ascii="Arial Narrow" w:eastAsia="Times New Roman" w:hAnsi="Arial Narrow" w:cs="Times New Roman"/>
              </w:rPr>
              <w:t>10, GT</w:t>
            </w:r>
            <w:r w:rsidRPr="00AD1E0F">
              <w:rPr>
                <w:rFonts w:ascii="Arial Narrow" w:eastAsia="Times New Roman" w:hAnsi="Arial Narrow" w:cs="Times New Roman"/>
                <w:vertAlign w:val="subscript"/>
              </w:rPr>
              <w:t>A</w:t>
            </w:r>
            <w:r w:rsidRPr="00AD1E0F">
              <w:rPr>
                <w:rFonts w:ascii="Arial Narrow" w:eastAsia="Times New Roman" w:hAnsi="Arial Narrow" w:cs="Times New Roman"/>
              </w:rPr>
              <w:t xml:space="preserve">20 </w:t>
            </w:r>
          </w:p>
        </w:tc>
        <w:tc>
          <w:tcPr>
            <w:tcW w:w="1138" w:type="dxa"/>
            <w:tcBorders>
              <w:top w:val="single" w:sz="4" w:space="0" w:color="000000"/>
              <w:left w:val="single" w:sz="4" w:space="0" w:color="000000"/>
              <w:bottom w:val="single" w:sz="4" w:space="0" w:color="000000"/>
              <w:right w:val="single" w:sz="8" w:space="0" w:color="000000"/>
            </w:tcBorders>
            <w:shd w:val="clear" w:color="auto" w:fill="auto"/>
            <w:vAlign w:val="center"/>
          </w:tcPr>
          <w:p w14:paraId="66A58FC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GT</w:t>
            </w:r>
            <w:r w:rsidRPr="00AD1E0F">
              <w:rPr>
                <w:rFonts w:ascii="Arial Narrow" w:eastAsia="Times New Roman" w:hAnsi="Arial Narrow" w:cs="Times New Roman"/>
                <w:vertAlign w:val="subscript"/>
              </w:rPr>
              <w:t>F</w:t>
            </w:r>
            <w:r w:rsidRPr="00AD1E0F">
              <w:rPr>
                <w:rFonts w:ascii="Arial Narrow" w:eastAsia="Times New Roman" w:hAnsi="Arial Narrow" w:cs="Times New Roman"/>
              </w:rPr>
              <w:t>10, GT</w:t>
            </w:r>
            <w:r w:rsidRPr="00AD1E0F">
              <w:rPr>
                <w:rFonts w:ascii="Arial Narrow" w:eastAsia="Times New Roman" w:hAnsi="Arial Narrow" w:cs="Times New Roman"/>
                <w:vertAlign w:val="subscript"/>
              </w:rPr>
              <w:t>A</w:t>
            </w:r>
            <w:r w:rsidRPr="00AD1E0F">
              <w:rPr>
                <w:rFonts w:ascii="Arial Narrow" w:eastAsia="Times New Roman" w:hAnsi="Arial Narrow" w:cs="Times New Roman"/>
              </w:rPr>
              <w:t xml:space="preserve">20 </w:t>
            </w:r>
          </w:p>
        </w:tc>
        <w:tc>
          <w:tcPr>
            <w:tcW w:w="1282" w:type="dxa"/>
            <w:tcBorders>
              <w:top w:val="single" w:sz="4" w:space="0" w:color="000000"/>
              <w:left w:val="single" w:sz="8" w:space="0" w:color="000000"/>
              <w:bottom w:val="single" w:sz="4" w:space="0" w:color="000000"/>
              <w:right w:val="single" w:sz="8" w:space="0" w:color="000000"/>
            </w:tcBorders>
            <w:shd w:val="clear" w:color="auto" w:fill="auto"/>
            <w:vAlign w:val="center"/>
          </w:tcPr>
          <w:p w14:paraId="7889EDA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GT</w:t>
            </w:r>
            <w:r w:rsidRPr="00AD1E0F">
              <w:rPr>
                <w:rFonts w:ascii="Arial Narrow" w:eastAsia="Times New Roman" w:hAnsi="Arial Narrow" w:cs="Times New Roman"/>
                <w:vertAlign w:val="subscript"/>
              </w:rPr>
              <w:t>F</w:t>
            </w:r>
            <w:r w:rsidRPr="00AD1E0F">
              <w:rPr>
                <w:rFonts w:ascii="Arial Narrow" w:eastAsia="Times New Roman" w:hAnsi="Arial Narrow" w:cs="Times New Roman"/>
              </w:rPr>
              <w:t>10, GT</w:t>
            </w:r>
            <w:r w:rsidRPr="00AD1E0F">
              <w:rPr>
                <w:rFonts w:ascii="Arial Narrow" w:eastAsia="Times New Roman" w:hAnsi="Arial Narrow" w:cs="Times New Roman"/>
                <w:vertAlign w:val="subscript"/>
              </w:rPr>
              <w:t>A</w:t>
            </w:r>
            <w:r w:rsidRPr="00AD1E0F">
              <w:rPr>
                <w:rFonts w:ascii="Arial Narrow" w:eastAsia="Times New Roman" w:hAnsi="Arial Narrow" w:cs="Times New Roman"/>
              </w:rPr>
              <w:t xml:space="preserve">20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5E6F257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Tablica 4 </w:t>
            </w:r>
          </w:p>
        </w:tc>
      </w:tr>
      <w:tr w:rsidR="00AD1E0F" w:rsidRPr="00AD1E0F" w14:paraId="194A3C6D" w14:textId="77777777" w:rsidTr="00855929">
        <w:trPr>
          <w:trHeight w:val="788"/>
        </w:trPr>
        <w:tc>
          <w:tcPr>
            <w:tcW w:w="91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6A3FB8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4.4 </w:t>
            </w: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0BF465F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Kształt kruszywa grubego wg PN-EN 933-4 </w:t>
            </w:r>
          </w:p>
          <w:p w14:paraId="39F7C5E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a) maksymalne wartości wskaźnika płaskości </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70630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FI</w:t>
            </w:r>
            <w:r w:rsidRPr="00AD1E0F">
              <w:rPr>
                <w:rFonts w:ascii="Arial Narrow" w:eastAsia="Times New Roman" w:hAnsi="Arial Narrow" w:cs="Times New Roman"/>
                <w:vertAlign w:val="subscript"/>
              </w:rPr>
              <w:t>NR</w:t>
            </w:r>
            <w:r w:rsidRPr="00AD1E0F">
              <w:rPr>
                <w:rFonts w:ascii="Arial Narrow" w:eastAsia="Times New Roman" w:hAnsi="Arial Narrow" w:cs="Times New Roman"/>
              </w:rPr>
              <w:t xml:space="preserve"> </w:t>
            </w:r>
          </w:p>
        </w:tc>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4904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FI</w:t>
            </w:r>
            <w:r w:rsidRPr="00AD1E0F">
              <w:rPr>
                <w:rFonts w:ascii="Arial Narrow" w:eastAsia="Times New Roman" w:hAnsi="Arial Narrow" w:cs="Times New Roman"/>
                <w:vertAlign w:val="subscript"/>
              </w:rPr>
              <w:t>50</w:t>
            </w:r>
            <w:r w:rsidRPr="00AD1E0F">
              <w:rPr>
                <w:rFonts w:ascii="Arial Narrow" w:eastAsia="Times New Roman" w:hAnsi="Arial Narrow" w:cs="Times New Roman"/>
              </w:rPr>
              <w:t xml:space="preserve"> </w:t>
            </w:r>
          </w:p>
        </w:tc>
        <w:tc>
          <w:tcPr>
            <w:tcW w:w="1138" w:type="dxa"/>
            <w:tcBorders>
              <w:top w:val="single" w:sz="4" w:space="0" w:color="000000"/>
              <w:left w:val="single" w:sz="4" w:space="0" w:color="000000"/>
              <w:bottom w:val="single" w:sz="4" w:space="0" w:color="000000"/>
              <w:right w:val="single" w:sz="8" w:space="0" w:color="000000"/>
            </w:tcBorders>
            <w:shd w:val="clear" w:color="auto" w:fill="auto"/>
            <w:vAlign w:val="center"/>
          </w:tcPr>
          <w:p w14:paraId="0171158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FI</w:t>
            </w:r>
            <w:r w:rsidRPr="00AD1E0F">
              <w:rPr>
                <w:rFonts w:ascii="Arial Narrow" w:eastAsia="Times New Roman" w:hAnsi="Arial Narrow" w:cs="Times New Roman"/>
                <w:vertAlign w:val="subscript"/>
              </w:rPr>
              <w:t>50</w:t>
            </w:r>
            <w:r w:rsidRPr="00AD1E0F">
              <w:rPr>
                <w:rFonts w:ascii="Arial Narrow" w:eastAsia="Times New Roman" w:hAnsi="Arial Narrow" w:cs="Times New Roman"/>
              </w:rPr>
              <w:t xml:space="preserve"> </w:t>
            </w:r>
          </w:p>
        </w:tc>
        <w:tc>
          <w:tcPr>
            <w:tcW w:w="1282" w:type="dxa"/>
            <w:tcBorders>
              <w:top w:val="single" w:sz="4" w:space="0" w:color="000000"/>
              <w:left w:val="single" w:sz="8" w:space="0" w:color="000000"/>
              <w:bottom w:val="single" w:sz="4" w:space="0" w:color="000000"/>
              <w:right w:val="single" w:sz="8" w:space="0" w:color="000000"/>
            </w:tcBorders>
            <w:shd w:val="clear" w:color="auto" w:fill="auto"/>
            <w:vAlign w:val="center"/>
          </w:tcPr>
          <w:p w14:paraId="6A535BA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FI</w:t>
            </w:r>
            <w:r w:rsidRPr="00AD1E0F">
              <w:rPr>
                <w:rFonts w:ascii="Arial Narrow" w:eastAsia="Times New Roman" w:hAnsi="Arial Narrow" w:cs="Times New Roman"/>
                <w:vertAlign w:val="subscript"/>
              </w:rPr>
              <w:t>50</w:t>
            </w:r>
            <w:r w:rsidRPr="00AD1E0F">
              <w:rPr>
                <w:rFonts w:ascii="Arial Narrow" w:eastAsia="Times New Roman" w:hAnsi="Arial Narrow" w:cs="Times New Roman"/>
              </w:rPr>
              <w:t xml:space="preserve">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1AF08C7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Tablica 5 </w:t>
            </w:r>
          </w:p>
        </w:tc>
      </w:tr>
      <w:tr w:rsidR="00AD1E0F" w:rsidRPr="00AD1E0F" w14:paraId="08279CC5" w14:textId="77777777" w:rsidTr="00855929">
        <w:trPr>
          <w:trHeight w:val="593"/>
        </w:trPr>
        <w:tc>
          <w:tcPr>
            <w:tcW w:w="0" w:type="auto"/>
            <w:vMerge/>
            <w:tcBorders>
              <w:top w:val="nil"/>
              <w:left w:val="single" w:sz="4" w:space="0" w:color="000000"/>
              <w:bottom w:val="single" w:sz="4" w:space="0" w:color="000000"/>
              <w:right w:val="single" w:sz="4" w:space="0" w:color="000000"/>
            </w:tcBorders>
            <w:shd w:val="clear" w:color="auto" w:fill="auto"/>
          </w:tcPr>
          <w:p w14:paraId="4FFCF11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35BA1B3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lub  </w:t>
            </w:r>
          </w:p>
          <w:p w14:paraId="3FB292E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b) maksymalne wartości wskaźnika kształtu </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BA68C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SI</w:t>
            </w:r>
            <w:r w:rsidRPr="00AD1E0F">
              <w:rPr>
                <w:rFonts w:ascii="Arial Narrow" w:eastAsia="Times New Roman" w:hAnsi="Arial Narrow" w:cs="Times New Roman"/>
                <w:vertAlign w:val="subscript"/>
              </w:rPr>
              <w:t>NR</w:t>
            </w:r>
            <w:r w:rsidRPr="00AD1E0F">
              <w:rPr>
                <w:rFonts w:ascii="Arial Narrow" w:eastAsia="Times New Roman" w:hAnsi="Arial Narrow" w:cs="Times New Roman"/>
              </w:rPr>
              <w:t xml:space="preserve"> </w:t>
            </w:r>
          </w:p>
        </w:tc>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538C3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SI</w:t>
            </w:r>
            <w:r w:rsidRPr="00AD1E0F">
              <w:rPr>
                <w:rFonts w:ascii="Arial Narrow" w:eastAsia="Times New Roman" w:hAnsi="Arial Narrow" w:cs="Times New Roman"/>
                <w:vertAlign w:val="subscript"/>
              </w:rPr>
              <w:t>55</w:t>
            </w:r>
            <w:r w:rsidRPr="00AD1E0F">
              <w:rPr>
                <w:rFonts w:ascii="Arial Narrow" w:eastAsia="Times New Roman" w:hAnsi="Arial Narrow" w:cs="Times New Roman"/>
              </w:rPr>
              <w:t xml:space="preserve"> </w:t>
            </w:r>
          </w:p>
        </w:tc>
        <w:tc>
          <w:tcPr>
            <w:tcW w:w="1138" w:type="dxa"/>
            <w:tcBorders>
              <w:top w:val="single" w:sz="4" w:space="0" w:color="000000"/>
              <w:left w:val="single" w:sz="4" w:space="0" w:color="000000"/>
              <w:bottom w:val="single" w:sz="4" w:space="0" w:color="000000"/>
              <w:right w:val="single" w:sz="8" w:space="0" w:color="000000"/>
            </w:tcBorders>
            <w:shd w:val="clear" w:color="auto" w:fill="auto"/>
            <w:vAlign w:val="center"/>
          </w:tcPr>
          <w:p w14:paraId="0236EA9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SI</w:t>
            </w:r>
            <w:r w:rsidRPr="00AD1E0F">
              <w:rPr>
                <w:rFonts w:ascii="Arial Narrow" w:eastAsia="Times New Roman" w:hAnsi="Arial Narrow" w:cs="Times New Roman"/>
                <w:vertAlign w:val="subscript"/>
              </w:rPr>
              <w:t>55</w:t>
            </w:r>
            <w:r w:rsidRPr="00AD1E0F">
              <w:rPr>
                <w:rFonts w:ascii="Arial Narrow" w:eastAsia="Times New Roman" w:hAnsi="Arial Narrow" w:cs="Times New Roman"/>
              </w:rPr>
              <w:t xml:space="preserve"> </w:t>
            </w:r>
          </w:p>
        </w:tc>
        <w:tc>
          <w:tcPr>
            <w:tcW w:w="1282" w:type="dxa"/>
            <w:tcBorders>
              <w:top w:val="single" w:sz="4" w:space="0" w:color="000000"/>
              <w:left w:val="single" w:sz="8" w:space="0" w:color="000000"/>
              <w:bottom w:val="single" w:sz="4" w:space="0" w:color="000000"/>
              <w:right w:val="single" w:sz="8" w:space="0" w:color="000000"/>
            </w:tcBorders>
            <w:shd w:val="clear" w:color="auto" w:fill="auto"/>
            <w:vAlign w:val="center"/>
          </w:tcPr>
          <w:p w14:paraId="0FD300D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SI</w:t>
            </w:r>
            <w:r w:rsidRPr="00AD1E0F">
              <w:rPr>
                <w:rFonts w:ascii="Arial Narrow" w:eastAsia="Times New Roman" w:hAnsi="Arial Narrow" w:cs="Times New Roman"/>
                <w:vertAlign w:val="subscript"/>
              </w:rPr>
              <w:t>55</w:t>
            </w:r>
            <w:r w:rsidRPr="00AD1E0F">
              <w:rPr>
                <w:rFonts w:ascii="Arial Narrow" w:eastAsia="Times New Roman" w:hAnsi="Arial Narrow" w:cs="Times New Roman"/>
              </w:rPr>
              <w:t xml:space="preserve">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2CD5263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Tablica 6 </w:t>
            </w:r>
          </w:p>
        </w:tc>
      </w:tr>
      <w:tr w:rsidR="00AD1E0F" w:rsidRPr="00AD1E0F" w14:paraId="42513851" w14:textId="77777777" w:rsidTr="00855929">
        <w:trPr>
          <w:trHeight w:val="2148"/>
        </w:trPr>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B5D90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4.5 </w:t>
            </w: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4554BD5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Kategorie procentowych zawartości ziaren o powierzchni przekruszonej lub łamanych oraz ziaren całkowicie zaokrąglonych w kruszywie grubym (≥4mm)wydzielonym z kruszywa o ciągłym uziarnieniu wg. PN-EN 933-5, kategoria nie niższa niż </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F1532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CNR </w:t>
            </w:r>
          </w:p>
        </w:tc>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0FEC1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C90/3 C50/30 </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1F26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C90/3 C50/30 </w:t>
            </w:r>
          </w:p>
        </w:tc>
        <w:tc>
          <w:tcPr>
            <w:tcW w:w="1282" w:type="dxa"/>
            <w:tcBorders>
              <w:top w:val="single" w:sz="4" w:space="0" w:color="000000"/>
              <w:left w:val="single" w:sz="4" w:space="0" w:color="000000"/>
              <w:bottom w:val="single" w:sz="4" w:space="0" w:color="000000"/>
              <w:right w:val="single" w:sz="8" w:space="0" w:color="000000"/>
            </w:tcBorders>
            <w:shd w:val="clear" w:color="auto" w:fill="auto"/>
            <w:vAlign w:val="center"/>
          </w:tcPr>
          <w:p w14:paraId="631DE3A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C90/3 C50/30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0CB2CC3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Tablica 7 </w:t>
            </w:r>
          </w:p>
        </w:tc>
      </w:tr>
      <w:tr w:rsidR="00AD1E0F" w:rsidRPr="00AD1E0F" w14:paraId="36DD9E36" w14:textId="77777777" w:rsidTr="00855929">
        <w:trPr>
          <w:trHeight w:val="593"/>
        </w:trPr>
        <w:tc>
          <w:tcPr>
            <w:tcW w:w="91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0EA493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4.6 </w:t>
            </w: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7707183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Zawartość pyłów wg PN-EN </w:t>
            </w:r>
          </w:p>
          <w:p w14:paraId="66381AD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lastRenderedPageBreak/>
              <w:t xml:space="preserve">933-1 </w:t>
            </w:r>
          </w:p>
          <w:p w14:paraId="116B954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a) w kruszywie grubym* </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74AD4C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lastRenderedPageBreak/>
              <w:t xml:space="preserve">fDeklarowana </w:t>
            </w:r>
          </w:p>
        </w:tc>
        <w:tc>
          <w:tcPr>
            <w:tcW w:w="113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CD2C10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fDeklarowana </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C43C30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fDeklarowana </w:t>
            </w:r>
          </w:p>
        </w:tc>
        <w:tc>
          <w:tcPr>
            <w:tcW w:w="1282" w:type="dxa"/>
            <w:tcBorders>
              <w:top w:val="single" w:sz="4" w:space="0" w:color="000000"/>
              <w:left w:val="single" w:sz="4" w:space="0" w:color="000000"/>
              <w:bottom w:val="single" w:sz="4" w:space="0" w:color="000000"/>
              <w:right w:val="single" w:sz="8" w:space="0" w:color="000000"/>
            </w:tcBorders>
            <w:shd w:val="clear" w:color="auto" w:fill="auto"/>
            <w:vAlign w:val="bottom"/>
          </w:tcPr>
          <w:p w14:paraId="4E9D675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fDeklarowana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07933ED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Tablica 8 </w:t>
            </w:r>
          </w:p>
        </w:tc>
      </w:tr>
      <w:tr w:rsidR="00AD1E0F" w:rsidRPr="00AD1E0F" w14:paraId="367B47DD" w14:textId="77777777" w:rsidTr="00855929">
        <w:trPr>
          <w:trHeight w:val="230"/>
        </w:trPr>
        <w:tc>
          <w:tcPr>
            <w:tcW w:w="0" w:type="auto"/>
            <w:vMerge/>
            <w:tcBorders>
              <w:top w:val="nil"/>
              <w:left w:val="single" w:sz="4" w:space="0" w:color="000000"/>
              <w:bottom w:val="single" w:sz="4" w:space="0" w:color="000000"/>
              <w:right w:val="single" w:sz="4" w:space="0" w:color="000000"/>
            </w:tcBorders>
            <w:shd w:val="clear" w:color="auto" w:fill="auto"/>
          </w:tcPr>
          <w:p w14:paraId="6F0B3FA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1D94DE4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b) w kruszywie drobnym* </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3210F8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fDeklarowana </w:t>
            </w:r>
          </w:p>
        </w:tc>
        <w:tc>
          <w:tcPr>
            <w:tcW w:w="113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65CB86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fDeklarowana </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E1B410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fDeklarowana </w:t>
            </w:r>
          </w:p>
        </w:tc>
        <w:tc>
          <w:tcPr>
            <w:tcW w:w="1282" w:type="dxa"/>
            <w:tcBorders>
              <w:top w:val="single" w:sz="4" w:space="0" w:color="000000"/>
              <w:left w:val="single" w:sz="4" w:space="0" w:color="000000"/>
              <w:bottom w:val="single" w:sz="4" w:space="0" w:color="000000"/>
              <w:right w:val="single" w:sz="8" w:space="0" w:color="000000"/>
            </w:tcBorders>
            <w:shd w:val="clear" w:color="auto" w:fill="auto"/>
            <w:vAlign w:val="bottom"/>
          </w:tcPr>
          <w:p w14:paraId="369A7BD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fDeklarowana </w:t>
            </w:r>
          </w:p>
        </w:tc>
        <w:tc>
          <w:tcPr>
            <w:tcW w:w="1416" w:type="dxa"/>
            <w:tcBorders>
              <w:top w:val="single" w:sz="4" w:space="0" w:color="000000"/>
              <w:left w:val="single" w:sz="8" w:space="0" w:color="000000"/>
              <w:bottom w:val="single" w:sz="4" w:space="0" w:color="000000"/>
              <w:right w:val="single" w:sz="8" w:space="0" w:color="000000"/>
            </w:tcBorders>
            <w:shd w:val="clear" w:color="auto" w:fill="auto"/>
          </w:tcPr>
          <w:p w14:paraId="5F8CC55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Tablica 8 </w:t>
            </w:r>
          </w:p>
        </w:tc>
      </w:tr>
      <w:tr w:rsidR="00AD1E0F" w:rsidRPr="00AD1E0F" w14:paraId="48F8F936" w14:textId="77777777" w:rsidTr="00855929">
        <w:trPr>
          <w:trHeight w:val="446"/>
        </w:trPr>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80B80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4.7 </w:t>
            </w:r>
          </w:p>
        </w:tc>
        <w:tc>
          <w:tcPr>
            <w:tcW w:w="227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21077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Jakość pyłów </w:t>
            </w:r>
          </w:p>
        </w:tc>
        <w:tc>
          <w:tcPr>
            <w:tcW w:w="4755" w:type="dxa"/>
            <w:gridSpan w:val="4"/>
            <w:tcBorders>
              <w:top w:val="single" w:sz="4" w:space="0" w:color="000000"/>
              <w:left w:val="single" w:sz="4" w:space="0" w:color="000000"/>
              <w:bottom w:val="single" w:sz="4" w:space="0" w:color="000000"/>
              <w:right w:val="single" w:sz="8" w:space="0" w:color="000000"/>
            </w:tcBorders>
            <w:shd w:val="clear" w:color="auto" w:fill="auto"/>
          </w:tcPr>
          <w:p w14:paraId="0127292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Właściwość niebadana na pojedynczych frakcjach, a tylko w mieszankach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5663AD3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r>
      <w:tr w:rsidR="00AD1E0F" w:rsidRPr="00AD1E0F" w14:paraId="0203DC8E" w14:textId="77777777" w:rsidTr="00855929">
        <w:trPr>
          <w:trHeight w:val="790"/>
        </w:trPr>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7D76F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5.2 </w:t>
            </w: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7248CBB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Odporność na rozdrabnianie wg PN-EN 1097-2, kategoria nie wyższa niż: </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BC5FA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LA40 </w:t>
            </w:r>
          </w:p>
        </w:tc>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AF909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LA</w:t>
            </w:r>
            <w:r w:rsidRPr="00AD1E0F">
              <w:rPr>
                <w:rFonts w:ascii="Arial Narrow" w:eastAsia="Times New Roman" w:hAnsi="Arial Narrow" w:cs="Times New Roman"/>
                <w:vertAlign w:val="subscript"/>
              </w:rPr>
              <w:t>35</w:t>
            </w:r>
            <w:r w:rsidRPr="00AD1E0F">
              <w:rPr>
                <w:rFonts w:ascii="Arial Narrow" w:eastAsia="Times New Roman" w:hAnsi="Arial Narrow" w:cs="Times New Roman"/>
              </w:rPr>
              <w:t xml:space="preserve"> </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49FC5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LA</w:t>
            </w:r>
            <w:r w:rsidRPr="00AD1E0F">
              <w:rPr>
                <w:rFonts w:ascii="Arial Narrow" w:eastAsia="Times New Roman" w:hAnsi="Arial Narrow" w:cs="Times New Roman"/>
                <w:vertAlign w:val="subscript"/>
              </w:rPr>
              <w:t>35</w:t>
            </w:r>
            <w:r w:rsidRPr="00AD1E0F">
              <w:rPr>
                <w:rFonts w:ascii="Arial Narrow" w:eastAsia="Times New Roman" w:hAnsi="Arial Narrow" w:cs="Times New Roman"/>
              </w:rPr>
              <w:t xml:space="preserve"> </w:t>
            </w:r>
          </w:p>
        </w:tc>
        <w:tc>
          <w:tcPr>
            <w:tcW w:w="1282" w:type="dxa"/>
            <w:tcBorders>
              <w:top w:val="single" w:sz="4" w:space="0" w:color="000000"/>
              <w:left w:val="single" w:sz="4" w:space="0" w:color="000000"/>
              <w:bottom w:val="single" w:sz="4" w:space="0" w:color="000000"/>
              <w:right w:val="single" w:sz="8" w:space="0" w:color="000000"/>
            </w:tcBorders>
            <w:shd w:val="clear" w:color="auto" w:fill="auto"/>
            <w:vAlign w:val="center"/>
          </w:tcPr>
          <w:p w14:paraId="1162849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LA</w:t>
            </w:r>
            <w:r w:rsidRPr="00AD1E0F">
              <w:rPr>
                <w:rFonts w:ascii="Arial Narrow" w:eastAsia="Times New Roman" w:hAnsi="Arial Narrow" w:cs="Times New Roman"/>
                <w:vertAlign w:val="subscript"/>
              </w:rPr>
              <w:t>40</w:t>
            </w:r>
            <w:r w:rsidRPr="00AD1E0F">
              <w:rPr>
                <w:rFonts w:ascii="Arial Narrow" w:eastAsia="Times New Roman" w:hAnsi="Arial Narrow" w:cs="Times New Roman"/>
              </w:rPr>
              <w:t xml:space="preserve">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0B84D59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Tablica 9 </w:t>
            </w:r>
          </w:p>
        </w:tc>
      </w:tr>
      <w:tr w:rsidR="00AD1E0F" w:rsidRPr="00AD1E0F" w14:paraId="793BC7B6" w14:textId="77777777" w:rsidTr="00855929">
        <w:trPr>
          <w:trHeight w:val="593"/>
        </w:trPr>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30D20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5.3 </w:t>
            </w: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10F566D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Odporność na ścieranie kruszywa grubego wg PN-</w:t>
            </w:r>
          </w:p>
          <w:p w14:paraId="3176A42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EN 1097-1 </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84AE3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M</w:t>
            </w:r>
            <w:r w:rsidRPr="00AD1E0F">
              <w:rPr>
                <w:rFonts w:ascii="Arial Narrow" w:eastAsia="Times New Roman" w:hAnsi="Arial Narrow" w:cs="Times New Roman"/>
                <w:vertAlign w:val="subscript"/>
              </w:rPr>
              <w:t>DE</w:t>
            </w:r>
            <w:r w:rsidRPr="00AD1E0F">
              <w:rPr>
                <w:rFonts w:ascii="Arial Narrow" w:eastAsia="Times New Roman" w:hAnsi="Arial Narrow" w:cs="Times New Roman"/>
              </w:rPr>
              <w:t xml:space="preserve">Deklarow ana </w:t>
            </w:r>
          </w:p>
        </w:tc>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1CF88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M</w:t>
            </w:r>
            <w:r w:rsidRPr="00AD1E0F">
              <w:rPr>
                <w:rFonts w:ascii="Arial Narrow" w:eastAsia="Times New Roman" w:hAnsi="Arial Narrow" w:cs="Times New Roman"/>
                <w:vertAlign w:val="subscript"/>
              </w:rPr>
              <w:t>DE</w:t>
            </w:r>
            <w:r w:rsidRPr="00AD1E0F">
              <w:rPr>
                <w:rFonts w:ascii="Arial Narrow" w:eastAsia="Times New Roman" w:hAnsi="Arial Narrow" w:cs="Times New Roman"/>
              </w:rPr>
              <w:t xml:space="preserve">Deklarow ana </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765C5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M</w:t>
            </w:r>
            <w:r w:rsidRPr="00AD1E0F">
              <w:rPr>
                <w:rFonts w:ascii="Arial Narrow" w:eastAsia="Times New Roman" w:hAnsi="Arial Narrow" w:cs="Times New Roman"/>
                <w:vertAlign w:val="subscript"/>
              </w:rPr>
              <w:t>DE</w:t>
            </w:r>
            <w:r w:rsidRPr="00AD1E0F">
              <w:rPr>
                <w:rFonts w:ascii="Arial Narrow" w:eastAsia="Times New Roman" w:hAnsi="Arial Narrow" w:cs="Times New Roman"/>
              </w:rPr>
              <w:t xml:space="preserve">Deklarow ana </w:t>
            </w:r>
          </w:p>
        </w:tc>
        <w:tc>
          <w:tcPr>
            <w:tcW w:w="1282" w:type="dxa"/>
            <w:tcBorders>
              <w:top w:val="single" w:sz="4" w:space="0" w:color="000000"/>
              <w:left w:val="single" w:sz="4" w:space="0" w:color="000000"/>
              <w:bottom w:val="single" w:sz="4" w:space="0" w:color="000000"/>
              <w:right w:val="single" w:sz="8" w:space="0" w:color="000000"/>
            </w:tcBorders>
            <w:shd w:val="clear" w:color="auto" w:fill="auto"/>
            <w:vAlign w:val="center"/>
          </w:tcPr>
          <w:p w14:paraId="51C1F3B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M</w:t>
            </w:r>
            <w:r w:rsidRPr="00AD1E0F">
              <w:rPr>
                <w:rFonts w:ascii="Arial Narrow" w:eastAsia="Times New Roman" w:hAnsi="Arial Narrow" w:cs="Times New Roman"/>
                <w:vertAlign w:val="subscript"/>
              </w:rPr>
              <w:t>DE</w:t>
            </w:r>
            <w:r w:rsidRPr="00AD1E0F">
              <w:rPr>
                <w:rFonts w:ascii="Arial Narrow" w:eastAsia="Times New Roman" w:hAnsi="Arial Narrow" w:cs="Times New Roman"/>
              </w:rPr>
              <w:t xml:space="preserve">Deklarowa na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18AE7E9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Tablica 11 </w:t>
            </w:r>
          </w:p>
        </w:tc>
      </w:tr>
      <w:tr w:rsidR="00AD1E0F" w:rsidRPr="00AD1E0F" w14:paraId="480722B1" w14:textId="77777777" w:rsidTr="00855929">
        <w:trPr>
          <w:trHeight w:val="398"/>
        </w:trPr>
        <w:tc>
          <w:tcPr>
            <w:tcW w:w="919" w:type="dxa"/>
            <w:tcBorders>
              <w:top w:val="single" w:sz="4" w:space="0" w:color="000000"/>
              <w:left w:val="single" w:sz="4" w:space="0" w:color="000000"/>
              <w:bottom w:val="single" w:sz="4" w:space="0" w:color="000000"/>
              <w:right w:val="single" w:sz="4" w:space="0" w:color="000000"/>
            </w:tcBorders>
            <w:shd w:val="clear" w:color="auto" w:fill="auto"/>
          </w:tcPr>
          <w:p w14:paraId="0569954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5.4 </w:t>
            </w: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3E91219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Gęstość wg PN-EN 1097-6, rozdział 7, 8 albo 9 </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C31C7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Deklarowana </w:t>
            </w:r>
          </w:p>
        </w:tc>
        <w:tc>
          <w:tcPr>
            <w:tcW w:w="1135" w:type="dxa"/>
            <w:tcBorders>
              <w:top w:val="single" w:sz="4" w:space="0" w:color="000000"/>
              <w:left w:val="single" w:sz="4" w:space="0" w:color="000000"/>
              <w:bottom w:val="single" w:sz="4" w:space="0" w:color="000000"/>
              <w:right w:val="single" w:sz="4" w:space="0" w:color="000000"/>
            </w:tcBorders>
            <w:shd w:val="clear" w:color="auto" w:fill="auto"/>
          </w:tcPr>
          <w:p w14:paraId="3827BCF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Deklarowan</w:t>
            </w:r>
          </w:p>
          <w:p w14:paraId="6788873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a </w:t>
            </w:r>
          </w:p>
        </w:tc>
        <w:tc>
          <w:tcPr>
            <w:tcW w:w="1138" w:type="dxa"/>
            <w:tcBorders>
              <w:top w:val="single" w:sz="4" w:space="0" w:color="000000"/>
              <w:left w:val="single" w:sz="4" w:space="0" w:color="000000"/>
              <w:bottom w:val="single" w:sz="4" w:space="0" w:color="000000"/>
              <w:right w:val="single" w:sz="4" w:space="0" w:color="000000"/>
            </w:tcBorders>
            <w:shd w:val="clear" w:color="auto" w:fill="auto"/>
          </w:tcPr>
          <w:p w14:paraId="7BB78FF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Deklarowan</w:t>
            </w:r>
          </w:p>
          <w:p w14:paraId="4C1AA17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a </w:t>
            </w:r>
          </w:p>
        </w:tc>
        <w:tc>
          <w:tcPr>
            <w:tcW w:w="1282" w:type="dxa"/>
            <w:tcBorders>
              <w:top w:val="single" w:sz="4" w:space="0" w:color="000000"/>
              <w:left w:val="single" w:sz="4" w:space="0" w:color="000000"/>
              <w:bottom w:val="single" w:sz="4" w:space="0" w:color="000000"/>
              <w:right w:val="single" w:sz="8" w:space="0" w:color="000000"/>
            </w:tcBorders>
            <w:shd w:val="clear" w:color="auto" w:fill="auto"/>
            <w:vAlign w:val="center"/>
          </w:tcPr>
          <w:p w14:paraId="34B0343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Deklarowana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66CFAC0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r>
      <w:tr w:rsidR="00AD1E0F" w:rsidRPr="00AD1E0F" w14:paraId="74EEE8B5" w14:textId="77777777" w:rsidTr="00855929">
        <w:trPr>
          <w:trHeight w:val="787"/>
        </w:trPr>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CAC93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5.5 </w:t>
            </w: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02958EC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Nasiąkliwość wg PN-EN </w:t>
            </w:r>
          </w:p>
          <w:p w14:paraId="3E926B2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1097-6, rozdział 7,  8 albo 9 (zależności od frakcji) </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25F71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W</w:t>
            </w:r>
            <w:r w:rsidRPr="00AD1E0F">
              <w:rPr>
                <w:rFonts w:ascii="Arial Narrow" w:eastAsia="Times New Roman" w:hAnsi="Arial Narrow" w:cs="Times New Roman"/>
                <w:vertAlign w:val="subscript"/>
              </w:rPr>
              <w:t>cm</w:t>
            </w:r>
            <w:r w:rsidRPr="00AD1E0F">
              <w:rPr>
                <w:rFonts w:ascii="Arial Narrow" w:eastAsia="Times New Roman" w:hAnsi="Arial Narrow" w:cs="Times New Roman"/>
              </w:rPr>
              <w:t>NR WA</w:t>
            </w:r>
            <w:r w:rsidRPr="00AD1E0F">
              <w:rPr>
                <w:rFonts w:ascii="Arial Narrow" w:eastAsia="Times New Roman" w:hAnsi="Arial Narrow" w:cs="Times New Roman"/>
                <w:vertAlign w:val="subscript"/>
              </w:rPr>
              <w:t>24</w:t>
            </w:r>
            <w:r w:rsidRPr="00AD1E0F">
              <w:rPr>
                <w:rFonts w:ascii="Arial Narrow" w:eastAsia="Times New Roman" w:hAnsi="Arial Narrow" w:cs="Times New Roman"/>
              </w:rPr>
              <w:t xml:space="preserve">2** </w:t>
            </w:r>
          </w:p>
        </w:tc>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83F24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W</w:t>
            </w:r>
            <w:r w:rsidRPr="00AD1E0F">
              <w:rPr>
                <w:rFonts w:ascii="Arial Narrow" w:eastAsia="Times New Roman" w:hAnsi="Arial Narrow" w:cs="Times New Roman"/>
                <w:vertAlign w:val="subscript"/>
              </w:rPr>
              <w:t>cm</w:t>
            </w:r>
            <w:r w:rsidRPr="00AD1E0F">
              <w:rPr>
                <w:rFonts w:ascii="Arial Narrow" w:eastAsia="Times New Roman" w:hAnsi="Arial Narrow" w:cs="Times New Roman"/>
              </w:rPr>
              <w:t>NR WA</w:t>
            </w:r>
            <w:r w:rsidRPr="00AD1E0F">
              <w:rPr>
                <w:rFonts w:ascii="Arial Narrow" w:eastAsia="Times New Roman" w:hAnsi="Arial Narrow" w:cs="Times New Roman"/>
                <w:vertAlign w:val="subscript"/>
              </w:rPr>
              <w:t>24</w:t>
            </w:r>
            <w:r w:rsidRPr="00AD1E0F">
              <w:rPr>
                <w:rFonts w:ascii="Arial Narrow" w:eastAsia="Times New Roman" w:hAnsi="Arial Narrow" w:cs="Times New Roman"/>
              </w:rPr>
              <w:t xml:space="preserve">2** </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F1B8D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W</w:t>
            </w:r>
            <w:r w:rsidRPr="00AD1E0F">
              <w:rPr>
                <w:rFonts w:ascii="Arial Narrow" w:eastAsia="Times New Roman" w:hAnsi="Arial Narrow" w:cs="Times New Roman"/>
                <w:vertAlign w:val="subscript"/>
              </w:rPr>
              <w:t>cm</w:t>
            </w:r>
            <w:r w:rsidRPr="00AD1E0F">
              <w:rPr>
                <w:rFonts w:ascii="Arial Narrow" w:eastAsia="Times New Roman" w:hAnsi="Arial Narrow" w:cs="Times New Roman"/>
              </w:rPr>
              <w:t>NR WA</w:t>
            </w:r>
            <w:r w:rsidRPr="00AD1E0F">
              <w:rPr>
                <w:rFonts w:ascii="Arial Narrow" w:eastAsia="Times New Roman" w:hAnsi="Arial Narrow" w:cs="Times New Roman"/>
                <w:vertAlign w:val="subscript"/>
              </w:rPr>
              <w:t>24</w:t>
            </w:r>
            <w:r w:rsidRPr="00AD1E0F">
              <w:rPr>
                <w:rFonts w:ascii="Arial Narrow" w:eastAsia="Times New Roman" w:hAnsi="Arial Narrow" w:cs="Times New Roman"/>
              </w:rPr>
              <w:t xml:space="preserve">2** </w:t>
            </w:r>
          </w:p>
        </w:tc>
        <w:tc>
          <w:tcPr>
            <w:tcW w:w="1282" w:type="dxa"/>
            <w:tcBorders>
              <w:top w:val="single" w:sz="4" w:space="0" w:color="000000"/>
              <w:left w:val="single" w:sz="4" w:space="0" w:color="000000"/>
              <w:bottom w:val="single" w:sz="4" w:space="0" w:color="000000"/>
              <w:right w:val="single" w:sz="8" w:space="0" w:color="000000"/>
            </w:tcBorders>
            <w:shd w:val="clear" w:color="auto" w:fill="auto"/>
            <w:vAlign w:val="center"/>
          </w:tcPr>
          <w:p w14:paraId="714C513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W</w:t>
            </w:r>
            <w:r w:rsidRPr="00AD1E0F">
              <w:rPr>
                <w:rFonts w:ascii="Arial Narrow" w:eastAsia="Times New Roman" w:hAnsi="Arial Narrow" w:cs="Times New Roman"/>
                <w:vertAlign w:val="subscript"/>
              </w:rPr>
              <w:t>cm</w:t>
            </w:r>
            <w:r w:rsidRPr="00AD1E0F">
              <w:rPr>
                <w:rFonts w:ascii="Arial Narrow" w:eastAsia="Times New Roman" w:hAnsi="Arial Narrow" w:cs="Times New Roman"/>
              </w:rPr>
              <w:t>NR WA</w:t>
            </w:r>
            <w:r w:rsidRPr="00AD1E0F">
              <w:rPr>
                <w:rFonts w:ascii="Arial Narrow" w:eastAsia="Times New Roman" w:hAnsi="Arial Narrow" w:cs="Times New Roman"/>
                <w:vertAlign w:val="subscript"/>
              </w:rPr>
              <w:t>24</w:t>
            </w:r>
            <w:r w:rsidRPr="00AD1E0F">
              <w:rPr>
                <w:rFonts w:ascii="Arial Narrow" w:eastAsia="Times New Roman" w:hAnsi="Arial Narrow" w:cs="Times New Roman"/>
              </w:rPr>
              <w:t xml:space="preserve">2**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17D5822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r>
      <w:tr w:rsidR="00AD1E0F" w:rsidRPr="00AD1E0F" w14:paraId="2052E2E4" w14:textId="77777777" w:rsidTr="00855929">
        <w:trPr>
          <w:trHeight w:val="593"/>
        </w:trPr>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62601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6.2 </w:t>
            </w: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350D216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Siarczany rozpuszczalne w kwasie  wg PN-EN 1744-1 </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75E7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AS</w:t>
            </w:r>
            <w:r w:rsidRPr="00AD1E0F">
              <w:rPr>
                <w:rFonts w:ascii="Arial Narrow" w:eastAsia="Times New Roman" w:hAnsi="Arial Narrow" w:cs="Times New Roman"/>
                <w:vertAlign w:val="subscript"/>
              </w:rPr>
              <w:t>NR</w:t>
            </w:r>
            <w:r w:rsidRPr="00AD1E0F">
              <w:rPr>
                <w:rFonts w:ascii="Arial Narrow" w:eastAsia="Times New Roman" w:hAnsi="Arial Narrow" w:cs="Times New Roman"/>
              </w:rPr>
              <w:t xml:space="preserve"> </w:t>
            </w:r>
          </w:p>
        </w:tc>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7F99E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AS</w:t>
            </w:r>
            <w:r w:rsidRPr="00AD1E0F">
              <w:rPr>
                <w:rFonts w:ascii="Arial Narrow" w:eastAsia="Times New Roman" w:hAnsi="Arial Narrow" w:cs="Times New Roman"/>
                <w:vertAlign w:val="subscript"/>
              </w:rPr>
              <w:t>NR</w:t>
            </w:r>
            <w:r w:rsidRPr="00AD1E0F">
              <w:rPr>
                <w:rFonts w:ascii="Arial Narrow" w:eastAsia="Times New Roman" w:hAnsi="Arial Narrow" w:cs="Times New Roman"/>
              </w:rPr>
              <w:t xml:space="preserve"> </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3F0B6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AS</w:t>
            </w:r>
            <w:r w:rsidRPr="00AD1E0F">
              <w:rPr>
                <w:rFonts w:ascii="Arial Narrow" w:eastAsia="Times New Roman" w:hAnsi="Arial Narrow" w:cs="Times New Roman"/>
                <w:vertAlign w:val="subscript"/>
              </w:rPr>
              <w:t>NR</w:t>
            </w:r>
            <w:r w:rsidRPr="00AD1E0F">
              <w:rPr>
                <w:rFonts w:ascii="Arial Narrow" w:eastAsia="Times New Roman" w:hAnsi="Arial Narrow" w:cs="Times New Roman"/>
              </w:rPr>
              <w:t xml:space="preserve"> </w:t>
            </w:r>
          </w:p>
        </w:tc>
        <w:tc>
          <w:tcPr>
            <w:tcW w:w="1282" w:type="dxa"/>
            <w:tcBorders>
              <w:top w:val="single" w:sz="4" w:space="0" w:color="000000"/>
              <w:left w:val="single" w:sz="4" w:space="0" w:color="000000"/>
              <w:bottom w:val="single" w:sz="4" w:space="0" w:color="000000"/>
              <w:right w:val="single" w:sz="8" w:space="0" w:color="000000"/>
            </w:tcBorders>
            <w:shd w:val="clear" w:color="auto" w:fill="auto"/>
            <w:vAlign w:val="center"/>
          </w:tcPr>
          <w:p w14:paraId="51A45C6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AS</w:t>
            </w:r>
            <w:r w:rsidRPr="00AD1E0F">
              <w:rPr>
                <w:rFonts w:ascii="Arial Narrow" w:eastAsia="Times New Roman" w:hAnsi="Arial Narrow" w:cs="Times New Roman"/>
                <w:vertAlign w:val="subscript"/>
              </w:rPr>
              <w:t>NR</w:t>
            </w:r>
            <w:r w:rsidRPr="00AD1E0F">
              <w:rPr>
                <w:rFonts w:ascii="Arial Narrow" w:eastAsia="Times New Roman" w:hAnsi="Arial Narrow" w:cs="Times New Roman"/>
              </w:rPr>
              <w:t xml:space="preserve">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2978F4C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Tablica 13 </w:t>
            </w:r>
          </w:p>
        </w:tc>
      </w:tr>
      <w:tr w:rsidR="00AD1E0F" w:rsidRPr="00AD1E0F" w14:paraId="46CA1493" w14:textId="77777777" w:rsidTr="00855929">
        <w:trPr>
          <w:trHeight w:val="401"/>
        </w:trPr>
        <w:tc>
          <w:tcPr>
            <w:tcW w:w="919" w:type="dxa"/>
            <w:tcBorders>
              <w:top w:val="single" w:sz="4" w:space="0" w:color="000000"/>
              <w:left w:val="single" w:sz="4" w:space="0" w:color="000000"/>
              <w:bottom w:val="single" w:sz="4" w:space="0" w:color="000000"/>
              <w:right w:val="single" w:sz="4" w:space="0" w:color="000000"/>
            </w:tcBorders>
            <w:shd w:val="clear" w:color="auto" w:fill="auto"/>
          </w:tcPr>
          <w:p w14:paraId="26D6F69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6.3 </w:t>
            </w: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1FBE7CF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Całkowita zawartość siarki wg PN-EN 1744-1 </w:t>
            </w:r>
          </w:p>
        </w:tc>
        <w:tc>
          <w:tcPr>
            <w:tcW w:w="1200" w:type="dxa"/>
            <w:tcBorders>
              <w:top w:val="single" w:sz="4" w:space="0" w:color="000000"/>
              <w:left w:val="single" w:sz="4" w:space="0" w:color="000000"/>
              <w:bottom w:val="single" w:sz="4" w:space="0" w:color="000000"/>
              <w:right w:val="single" w:sz="4" w:space="0" w:color="000000"/>
            </w:tcBorders>
            <w:shd w:val="clear" w:color="auto" w:fill="auto"/>
          </w:tcPr>
          <w:p w14:paraId="69CD94A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SNR </w:t>
            </w:r>
          </w:p>
        </w:tc>
        <w:tc>
          <w:tcPr>
            <w:tcW w:w="1135" w:type="dxa"/>
            <w:tcBorders>
              <w:top w:val="single" w:sz="4" w:space="0" w:color="000000"/>
              <w:left w:val="single" w:sz="4" w:space="0" w:color="000000"/>
              <w:bottom w:val="single" w:sz="4" w:space="0" w:color="000000"/>
              <w:right w:val="single" w:sz="4" w:space="0" w:color="000000"/>
            </w:tcBorders>
            <w:shd w:val="clear" w:color="auto" w:fill="auto"/>
          </w:tcPr>
          <w:p w14:paraId="0ECBD07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SNR </w:t>
            </w:r>
          </w:p>
        </w:tc>
        <w:tc>
          <w:tcPr>
            <w:tcW w:w="1138" w:type="dxa"/>
            <w:tcBorders>
              <w:top w:val="single" w:sz="4" w:space="0" w:color="000000"/>
              <w:left w:val="single" w:sz="4" w:space="0" w:color="000000"/>
              <w:bottom w:val="single" w:sz="4" w:space="0" w:color="000000"/>
              <w:right w:val="single" w:sz="4" w:space="0" w:color="000000"/>
            </w:tcBorders>
            <w:shd w:val="clear" w:color="auto" w:fill="auto"/>
          </w:tcPr>
          <w:p w14:paraId="3C090EE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SNR </w:t>
            </w:r>
          </w:p>
        </w:tc>
        <w:tc>
          <w:tcPr>
            <w:tcW w:w="1282" w:type="dxa"/>
            <w:tcBorders>
              <w:top w:val="single" w:sz="4" w:space="0" w:color="000000"/>
              <w:left w:val="single" w:sz="4" w:space="0" w:color="000000"/>
              <w:bottom w:val="single" w:sz="4" w:space="0" w:color="000000"/>
              <w:right w:val="single" w:sz="8" w:space="0" w:color="000000"/>
            </w:tcBorders>
            <w:shd w:val="clear" w:color="auto" w:fill="auto"/>
          </w:tcPr>
          <w:p w14:paraId="428D1A5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SNR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3A39645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Tablica 14 </w:t>
            </w:r>
          </w:p>
        </w:tc>
      </w:tr>
      <w:tr w:rsidR="00AD1E0F" w:rsidRPr="00AD1E0F" w14:paraId="3F354345" w14:textId="77777777" w:rsidTr="00855929">
        <w:trPr>
          <w:trHeight w:val="593"/>
        </w:trPr>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84182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6.5.2.1 </w:t>
            </w: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539E83D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Stałość objętości żużla stalowniczego wg PN-EN 1744-1, rozdział 19.3 </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342DB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V</w:t>
            </w:r>
            <w:r w:rsidRPr="00AD1E0F">
              <w:rPr>
                <w:rFonts w:ascii="Arial Narrow" w:eastAsia="Times New Roman" w:hAnsi="Arial Narrow" w:cs="Times New Roman"/>
                <w:vertAlign w:val="subscript"/>
              </w:rPr>
              <w:t>5</w:t>
            </w:r>
            <w:r w:rsidRPr="00AD1E0F">
              <w:rPr>
                <w:rFonts w:ascii="Arial Narrow" w:eastAsia="Times New Roman" w:hAnsi="Arial Narrow" w:cs="Times New Roman"/>
              </w:rPr>
              <w:t xml:space="preserve"> </w:t>
            </w:r>
          </w:p>
        </w:tc>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9925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V</w:t>
            </w:r>
            <w:r w:rsidRPr="00AD1E0F">
              <w:rPr>
                <w:rFonts w:ascii="Arial Narrow" w:eastAsia="Times New Roman" w:hAnsi="Arial Narrow" w:cs="Times New Roman"/>
                <w:vertAlign w:val="subscript"/>
              </w:rPr>
              <w:t>5</w:t>
            </w:r>
            <w:r w:rsidRPr="00AD1E0F">
              <w:rPr>
                <w:rFonts w:ascii="Arial Narrow" w:eastAsia="Times New Roman" w:hAnsi="Arial Narrow" w:cs="Times New Roman"/>
              </w:rPr>
              <w:t xml:space="preserve"> </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6EB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V</w:t>
            </w:r>
            <w:r w:rsidRPr="00AD1E0F">
              <w:rPr>
                <w:rFonts w:ascii="Arial Narrow" w:eastAsia="Times New Roman" w:hAnsi="Arial Narrow" w:cs="Times New Roman"/>
                <w:vertAlign w:val="subscript"/>
              </w:rPr>
              <w:t>5</w:t>
            </w:r>
            <w:r w:rsidRPr="00AD1E0F">
              <w:rPr>
                <w:rFonts w:ascii="Arial Narrow" w:eastAsia="Times New Roman" w:hAnsi="Arial Narrow" w:cs="Times New Roman"/>
              </w:rPr>
              <w:t xml:space="preserve"> </w:t>
            </w:r>
          </w:p>
        </w:tc>
        <w:tc>
          <w:tcPr>
            <w:tcW w:w="1282" w:type="dxa"/>
            <w:tcBorders>
              <w:top w:val="single" w:sz="4" w:space="0" w:color="000000"/>
              <w:left w:val="single" w:sz="4" w:space="0" w:color="000000"/>
              <w:bottom w:val="single" w:sz="4" w:space="0" w:color="000000"/>
              <w:right w:val="single" w:sz="8" w:space="0" w:color="000000"/>
            </w:tcBorders>
            <w:shd w:val="clear" w:color="auto" w:fill="auto"/>
            <w:vAlign w:val="center"/>
          </w:tcPr>
          <w:p w14:paraId="704851C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V</w:t>
            </w:r>
            <w:r w:rsidRPr="00AD1E0F">
              <w:rPr>
                <w:rFonts w:ascii="Arial Narrow" w:eastAsia="Times New Roman" w:hAnsi="Arial Narrow" w:cs="Times New Roman"/>
                <w:vertAlign w:val="subscript"/>
              </w:rPr>
              <w:t>5</w:t>
            </w:r>
            <w:r w:rsidRPr="00AD1E0F">
              <w:rPr>
                <w:rFonts w:ascii="Arial Narrow" w:eastAsia="Times New Roman" w:hAnsi="Arial Narrow" w:cs="Times New Roman"/>
              </w:rPr>
              <w:t xml:space="preserve">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2175CC8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Tablica 16 </w:t>
            </w:r>
          </w:p>
        </w:tc>
      </w:tr>
      <w:tr w:rsidR="00AD1E0F" w:rsidRPr="00AD1E0F" w14:paraId="5CF3A51C" w14:textId="77777777" w:rsidTr="00855929">
        <w:trPr>
          <w:trHeight w:val="787"/>
        </w:trPr>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62862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6.5.2.2 </w:t>
            </w: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53C283E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Rozpad krzemianowy w żużlu wielkopiecowym kawałkowym wg PN-EN 1744-1, p.19.1 </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4C069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Brak rozpadu </w:t>
            </w:r>
          </w:p>
        </w:tc>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A6CE5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Brak rozpadu </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46AB8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Brak rozpadu </w:t>
            </w:r>
          </w:p>
        </w:tc>
        <w:tc>
          <w:tcPr>
            <w:tcW w:w="1282" w:type="dxa"/>
            <w:tcBorders>
              <w:top w:val="single" w:sz="4" w:space="0" w:color="000000"/>
              <w:left w:val="single" w:sz="4" w:space="0" w:color="000000"/>
              <w:bottom w:val="single" w:sz="4" w:space="0" w:color="000000"/>
              <w:right w:val="single" w:sz="8" w:space="0" w:color="000000"/>
            </w:tcBorders>
            <w:shd w:val="clear" w:color="auto" w:fill="auto"/>
            <w:vAlign w:val="center"/>
          </w:tcPr>
          <w:p w14:paraId="632E742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Brak rozpadu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082A61B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r>
      <w:tr w:rsidR="00AD1E0F" w:rsidRPr="00AD1E0F" w14:paraId="3E560D1E" w14:textId="77777777" w:rsidTr="00855929">
        <w:trPr>
          <w:trHeight w:val="787"/>
        </w:trPr>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12182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6.5.2.3 </w:t>
            </w: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7334BEF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Rozpad żelazawy w żużlu wielkopiecowym kawałkowym wg PN-EN 1744-1, p. 19.2 </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8E27A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Brak rozpadu </w:t>
            </w:r>
          </w:p>
        </w:tc>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93EE2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Brak rozpadu </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237E9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Brak rozpadu </w:t>
            </w:r>
          </w:p>
        </w:tc>
        <w:tc>
          <w:tcPr>
            <w:tcW w:w="1282" w:type="dxa"/>
            <w:tcBorders>
              <w:top w:val="single" w:sz="4" w:space="0" w:color="000000"/>
              <w:left w:val="single" w:sz="4" w:space="0" w:color="000000"/>
              <w:bottom w:val="single" w:sz="4" w:space="0" w:color="000000"/>
              <w:right w:val="single" w:sz="8" w:space="0" w:color="000000"/>
            </w:tcBorders>
            <w:shd w:val="clear" w:color="auto" w:fill="auto"/>
            <w:vAlign w:val="center"/>
          </w:tcPr>
          <w:p w14:paraId="6FBC6AF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Brak rozpadu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2A5FF56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r>
      <w:tr w:rsidR="00AD1E0F" w:rsidRPr="00AD1E0F" w14:paraId="66ADE873" w14:textId="77777777" w:rsidTr="00855929">
        <w:trPr>
          <w:trHeight w:val="401"/>
        </w:trPr>
        <w:tc>
          <w:tcPr>
            <w:tcW w:w="919" w:type="dxa"/>
            <w:tcBorders>
              <w:top w:val="single" w:sz="4" w:space="0" w:color="000000"/>
              <w:left w:val="single" w:sz="4" w:space="0" w:color="000000"/>
              <w:bottom w:val="single" w:sz="4" w:space="0" w:color="000000"/>
              <w:right w:val="single" w:sz="4" w:space="0" w:color="000000"/>
            </w:tcBorders>
            <w:shd w:val="clear" w:color="auto" w:fill="auto"/>
          </w:tcPr>
          <w:p w14:paraId="0642012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6.5.3 </w:t>
            </w: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2D340DE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Składniki rozpuszczalne w wodzie wg PN-EN 1744-3 </w:t>
            </w:r>
          </w:p>
        </w:tc>
        <w:tc>
          <w:tcPr>
            <w:tcW w:w="4755" w:type="dxa"/>
            <w:gridSpan w:val="4"/>
            <w:tcBorders>
              <w:top w:val="single" w:sz="4" w:space="0" w:color="000000"/>
              <w:left w:val="single" w:sz="4" w:space="0" w:color="000000"/>
              <w:bottom w:val="single" w:sz="4" w:space="0" w:color="000000"/>
              <w:right w:val="single" w:sz="8" w:space="0" w:color="000000"/>
            </w:tcBorders>
            <w:shd w:val="clear" w:color="auto" w:fill="auto"/>
          </w:tcPr>
          <w:p w14:paraId="4106996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Brak substancji szkodliwych w stosunku do środowiska wg odrębnych przepisów </w:t>
            </w:r>
          </w:p>
        </w:tc>
        <w:tc>
          <w:tcPr>
            <w:tcW w:w="1416" w:type="dxa"/>
            <w:tcBorders>
              <w:top w:val="single" w:sz="4" w:space="0" w:color="000000"/>
              <w:left w:val="single" w:sz="8" w:space="0" w:color="000000"/>
              <w:bottom w:val="single" w:sz="4" w:space="0" w:color="000000"/>
              <w:right w:val="single" w:sz="8" w:space="0" w:color="000000"/>
            </w:tcBorders>
            <w:shd w:val="clear" w:color="auto" w:fill="auto"/>
          </w:tcPr>
          <w:p w14:paraId="3538FF7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r>
      <w:tr w:rsidR="00AD1E0F" w:rsidRPr="00AD1E0F" w14:paraId="2808B0E6" w14:textId="77777777" w:rsidTr="00855929">
        <w:trPr>
          <w:trHeight w:val="398"/>
        </w:trPr>
        <w:tc>
          <w:tcPr>
            <w:tcW w:w="919" w:type="dxa"/>
            <w:tcBorders>
              <w:top w:val="single" w:sz="4" w:space="0" w:color="000000"/>
              <w:left w:val="single" w:sz="4" w:space="0" w:color="000000"/>
              <w:bottom w:val="single" w:sz="4" w:space="0" w:color="000000"/>
              <w:right w:val="single" w:sz="4" w:space="0" w:color="000000"/>
            </w:tcBorders>
            <w:shd w:val="clear" w:color="auto" w:fill="auto"/>
          </w:tcPr>
          <w:p w14:paraId="38BB6AA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6.5.4 </w:t>
            </w:r>
          </w:p>
        </w:tc>
        <w:tc>
          <w:tcPr>
            <w:tcW w:w="227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F7719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Zanieczyszczenia </w:t>
            </w:r>
          </w:p>
        </w:tc>
        <w:tc>
          <w:tcPr>
            <w:tcW w:w="4755" w:type="dxa"/>
            <w:gridSpan w:val="4"/>
            <w:tcBorders>
              <w:top w:val="single" w:sz="4" w:space="0" w:color="000000"/>
              <w:left w:val="single" w:sz="4" w:space="0" w:color="000000"/>
              <w:bottom w:val="single" w:sz="4" w:space="0" w:color="000000"/>
              <w:right w:val="single" w:sz="8" w:space="0" w:color="000000"/>
            </w:tcBorders>
            <w:shd w:val="clear" w:color="auto" w:fill="auto"/>
          </w:tcPr>
          <w:p w14:paraId="17CCACE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Brak ciał obcych takich jak: drewno, szkło, plastik, mogących pogorszyć wyrób końcowy </w:t>
            </w:r>
          </w:p>
        </w:tc>
        <w:tc>
          <w:tcPr>
            <w:tcW w:w="1416" w:type="dxa"/>
            <w:tcBorders>
              <w:top w:val="single" w:sz="4" w:space="0" w:color="000000"/>
              <w:left w:val="single" w:sz="8" w:space="0" w:color="000000"/>
              <w:bottom w:val="single" w:sz="4" w:space="0" w:color="000000"/>
              <w:right w:val="single" w:sz="8" w:space="0" w:color="000000"/>
            </w:tcBorders>
            <w:shd w:val="clear" w:color="auto" w:fill="auto"/>
          </w:tcPr>
          <w:p w14:paraId="221202F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r>
      <w:tr w:rsidR="00AD1E0F" w:rsidRPr="00AD1E0F" w14:paraId="6AEBBED2" w14:textId="77777777" w:rsidTr="00855929">
        <w:trPr>
          <w:trHeight w:val="593"/>
        </w:trPr>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7721F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7.2 </w:t>
            </w: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2560278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Zgorzel słoneczna bazaltu wg PN-EN 1367-3, wg PN-</w:t>
            </w:r>
          </w:p>
          <w:p w14:paraId="74DA260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EN 1097-2 </w:t>
            </w:r>
          </w:p>
        </w:tc>
        <w:tc>
          <w:tcPr>
            <w:tcW w:w="12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F3057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SB</w:t>
            </w:r>
            <w:r w:rsidRPr="00AD1E0F">
              <w:rPr>
                <w:rFonts w:ascii="Arial Narrow" w:eastAsia="Times New Roman" w:hAnsi="Arial Narrow" w:cs="Times New Roman"/>
                <w:vertAlign w:val="subscript"/>
              </w:rPr>
              <w:t>LA</w:t>
            </w:r>
            <w:r w:rsidRPr="00AD1E0F">
              <w:rPr>
                <w:rFonts w:ascii="Arial Narrow" w:eastAsia="Times New Roman" w:hAnsi="Arial Narrow" w:cs="Times New Roman"/>
              </w:rPr>
              <w:t xml:space="preserve"> </w:t>
            </w:r>
          </w:p>
        </w:tc>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263F9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SB</w:t>
            </w:r>
            <w:r w:rsidRPr="00AD1E0F">
              <w:rPr>
                <w:rFonts w:ascii="Arial Narrow" w:eastAsia="Times New Roman" w:hAnsi="Arial Narrow" w:cs="Times New Roman"/>
                <w:vertAlign w:val="subscript"/>
              </w:rPr>
              <w:t>LA</w:t>
            </w:r>
            <w:r w:rsidRPr="00AD1E0F">
              <w:rPr>
                <w:rFonts w:ascii="Arial Narrow" w:eastAsia="Times New Roman" w:hAnsi="Arial Narrow" w:cs="Times New Roman"/>
              </w:rPr>
              <w:t xml:space="preserve"> </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6239B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SB</w:t>
            </w:r>
            <w:r w:rsidRPr="00AD1E0F">
              <w:rPr>
                <w:rFonts w:ascii="Arial Narrow" w:eastAsia="Times New Roman" w:hAnsi="Arial Narrow" w:cs="Times New Roman"/>
                <w:vertAlign w:val="subscript"/>
              </w:rPr>
              <w:t>LA</w:t>
            </w:r>
            <w:r w:rsidRPr="00AD1E0F">
              <w:rPr>
                <w:rFonts w:ascii="Arial Narrow" w:eastAsia="Times New Roman" w:hAnsi="Arial Narrow" w:cs="Times New Roman"/>
              </w:rPr>
              <w:t xml:space="preserve"> </w:t>
            </w:r>
          </w:p>
        </w:tc>
        <w:tc>
          <w:tcPr>
            <w:tcW w:w="1282" w:type="dxa"/>
            <w:tcBorders>
              <w:top w:val="single" w:sz="4" w:space="0" w:color="000000"/>
              <w:left w:val="single" w:sz="4" w:space="0" w:color="000000"/>
              <w:bottom w:val="single" w:sz="4" w:space="0" w:color="000000"/>
              <w:right w:val="single" w:sz="8" w:space="0" w:color="000000"/>
            </w:tcBorders>
            <w:shd w:val="clear" w:color="auto" w:fill="auto"/>
            <w:vAlign w:val="center"/>
          </w:tcPr>
          <w:p w14:paraId="724D856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SB</w:t>
            </w:r>
            <w:r w:rsidRPr="00AD1E0F">
              <w:rPr>
                <w:rFonts w:ascii="Arial Narrow" w:eastAsia="Times New Roman" w:hAnsi="Arial Narrow" w:cs="Times New Roman"/>
                <w:vertAlign w:val="subscript"/>
              </w:rPr>
              <w:t>LA</w:t>
            </w:r>
            <w:r w:rsidRPr="00AD1E0F">
              <w:rPr>
                <w:rFonts w:ascii="Arial Narrow" w:eastAsia="Times New Roman" w:hAnsi="Arial Narrow" w:cs="Times New Roman"/>
              </w:rPr>
              <w:t xml:space="preserve">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2303FC1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r>
      <w:tr w:rsidR="00AD1E0F" w:rsidRPr="00AD1E0F" w14:paraId="3EE22491" w14:textId="77777777" w:rsidTr="00855929">
        <w:trPr>
          <w:trHeight w:val="593"/>
        </w:trPr>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0479C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7.3.3 </w:t>
            </w: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53C0619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Mrozoodporność na frakcji kruszywa 8/16 wg PN-EN 1367-1 </w:t>
            </w:r>
          </w:p>
        </w:tc>
        <w:tc>
          <w:tcPr>
            <w:tcW w:w="1200" w:type="dxa"/>
            <w:tcBorders>
              <w:top w:val="single" w:sz="4" w:space="0" w:color="000000"/>
              <w:left w:val="single" w:sz="4" w:space="0" w:color="000000"/>
              <w:bottom w:val="single" w:sz="4" w:space="0" w:color="000000"/>
              <w:right w:val="single" w:sz="4" w:space="0" w:color="000000"/>
            </w:tcBorders>
            <w:shd w:val="clear" w:color="auto" w:fill="auto"/>
          </w:tcPr>
          <w:p w14:paraId="166CD4C5" w14:textId="6AF870E6"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F</w:t>
            </w:r>
            <w:r w:rsidRPr="00AD1E0F">
              <w:rPr>
                <w:rFonts w:ascii="Arial Narrow" w:eastAsia="Times New Roman" w:hAnsi="Arial Narrow" w:cs="Times New Roman"/>
                <w:noProof/>
                <w:lang w:eastAsia="pl-PL"/>
              </w:rPr>
              <w:drawing>
                <wp:inline distT="0" distB="0" distL="0" distR="0" wp14:anchorId="71C8F15F" wp14:editId="651B7F88">
                  <wp:extent cx="381000" cy="19050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4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r w:rsidRPr="00AD1E0F">
              <w:rPr>
                <w:rFonts w:ascii="Arial Narrow" w:eastAsia="Times New Roman" w:hAnsi="Arial Narrow" w:cs="Times New Roman"/>
                <w:vertAlign w:val="subscript"/>
              </w:rPr>
              <w:t xml:space="preserve"> </w:t>
            </w:r>
          </w:p>
        </w:tc>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2B472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F</w:t>
            </w:r>
            <w:r w:rsidRPr="00AD1E0F">
              <w:rPr>
                <w:rFonts w:ascii="Arial Narrow" w:eastAsia="Times New Roman" w:hAnsi="Arial Narrow" w:cs="Times New Roman"/>
                <w:vertAlign w:val="subscript"/>
              </w:rPr>
              <w:t>4</w:t>
            </w:r>
            <w:r w:rsidRPr="00AD1E0F">
              <w:rPr>
                <w:rFonts w:ascii="Arial Narrow" w:eastAsia="Times New Roman" w:hAnsi="Arial Narrow" w:cs="Times New Roman"/>
              </w:rPr>
              <w:t xml:space="preserve"> </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55AF3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F</w:t>
            </w:r>
            <w:r w:rsidRPr="00AD1E0F">
              <w:rPr>
                <w:rFonts w:ascii="Arial Narrow" w:eastAsia="Times New Roman" w:hAnsi="Arial Narrow" w:cs="Times New Roman"/>
                <w:vertAlign w:val="subscript"/>
              </w:rPr>
              <w:t>4</w:t>
            </w:r>
            <w:r w:rsidRPr="00AD1E0F">
              <w:rPr>
                <w:rFonts w:ascii="Arial Narrow" w:eastAsia="Times New Roman" w:hAnsi="Arial Narrow" w:cs="Times New Roman"/>
              </w:rPr>
              <w:t xml:space="preserve"> </w:t>
            </w:r>
          </w:p>
        </w:tc>
        <w:tc>
          <w:tcPr>
            <w:tcW w:w="1282" w:type="dxa"/>
            <w:tcBorders>
              <w:top w:val="single" w:sz="4" w:space="0" w:color="000000"/>
              <w:left w:val="single" w:sz="4" w:space="0" w:color="000000"/>
              <w:bottom w:val="single" w:sz="4" w:space="0" w:color="000000"/>
              <w:right w:val="single" w:sz="8" w:space="0" w:color="000000"/>
            </w:tcBorders>
            <w:shd w:val="clear" w:color="auto" w:fill="auto"/>
            <w:vAlign w:val="center"/>
          </w:tcPr>
          <w:p w14:paraId="752F70B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F</w:t>
            </w:r>
            <w:r w:rsidRPr="00AD1E0F">
              <w:rPr>
                <w:rFonts w:ascii="Arial Narrow" w:eastAsia="Times New Roman" w:hAnsi="Arial Narrow" w:cs="Times New Roman"/>
                <w:vertAlign w:val="subscript"/>
              </w:rPr>
              <w:t>4</w:t>
            </w:r>
            <w:r w:rsidRPr="00AD1E0F">
              <w:rPr>
                <w:rFonts w:ascii="Arial Narrow" w:eastAsia="Times New Roman" w:hAnsi="Arial Narrow" w:cs="Times New Roman"/>
              </w:rPr>
              <w:t xml:space="preserve">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3805503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Tablica20 </w:t>
            </w:r>
          </w:p>
        </w:tc>
      </w:tr>
      <w:tr w:rsidR="00AD1E0F" w:rsidRPr="00AD1E0F" w14:paraId="22F02302" w14:textId="77777777" w:rsidTr="00855929">
        <w:trPr>
          <w:trHeight w:val="230"/>
        </w:trPr>
        <w:tc>
          <w:tcPr>
            <w:tcW w:w="919" w:type="dxa"/>
            <w:tcBorders>
              <w:top w:val="single" w:sz="4" w:space="0" w:color="000000"/>
              <w:left w:val="single" w:sz="4" w:space="0" w:color="000000"/>
              <w:bottom w:val="single" w:sz="4" w:space="0" w:color="000000"/>
              <w:right w:val="single" w:sz="4" w:space="0" w:color="000000"/>
            </w:tcBorders>
            <w:shd w:val="clear" w:color="auto" w:fill="auto"/>
          </w:tcPr>
          <w:p w14:paraId="04A1B46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Zał. C </w:t>
            </w:r>
          </w:p>
        </w:tc>
        <w:tc>
          <w:tcPr>
            <w:tcW w:w="2271" w:type="dxa"/>
            <w:tcBorders>
              <w:top w:val="single" w:sz="4" w:space="0" w:color="000000"/>
              <w:left w:val="single" w:sz="4" w:space="0" w:color="000000"/>
              <w:bottom w:val="single" w:sz="4" w:space="0" w:color="000000"/>
              <w:right w:val="single" w:sz="4" w:space="0" w:color="000000"/>
            </w:tcBorders>
            <w:shd w:val="clear" w:color="auto" w:fill="auto"/>
          </w:tcPr>
          <w:p w14:paraId="4A93AD1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Skład materiałowy </w:t>
            </w:r>
          </w:p>
        </w:tc>
        <w:tc>
          <w:tcPr>
            <w:tcW w:w="1200" w:type="dxa"/>
            <w:tcBorders>
              <w:top w:val="single" w:sz="4" w:space="0" w:color="000000"/>
              <w:left w:val="single" w:sz="4" w:space="0" w:color="000000"/>
              <w:bottom w:val="single" w:sz="4" w:space="0" w:color="000000"/>
              <w:right w:val="single" w:sz="4" w:space="0" w:color="000000"/>
            </w:tcBorders>
            <w:shd w:val="clear" w:color="auto" w:fill="auto"/>
          </w:tcPr>
          <w:p w14:paraId="1E63152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Deklarowany </w:t>
            </w:r>
          </w:p>
        </w:tc>
        <w:tc>
          <w:tcPr>
            <w:tcW w:w="1135" w:type="dxa"/>
            <w:tcBorders>
              <w:top w:val="single" w:sz="4" w:space="0" w:color="000000"/>
              <w:left w:val="single" w:sz="4" w:space="0" w:color="000000"/>
              <w:bottom w:val="single" w:sz="4" w:space="0" w:color="000000"/>
              <w:right w:val="single" w:sz="4" w:space="0" w:color="000000"/>
            </w:tcBorders>
            <w:shd w:val="clear" w:color="auto" w:fill="auto"/>
          </w:tcPr>
          <w:p w14:paraId="5A2E766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Deklarowany </w:t>
            </w:r>
          </w:p>
        </w:tc>
        <w:tc>
          <w:tcPr>
            <w:tcW w:w="1138" w:type="dxa"/>
            <w:tcBorders>
              <w:top w:val="single" w:sz="4" w:space="0" w:color="000000"/>
              <w:left w:val="single" w:sz="4" w:space="0" w:color="000000"/>
              <w:bottom w:val="single" w:sz="4" w:space="0" w:color="000000"/>
              <w:right w:val="single" w:sz="4" w:space="0" w:color="000000"/>
            </w:tcBorders>
            <w:shd w:val="clear" w:color="auto" w:fill="auto"/>
          </w:tcPr>
          <w:p w14:paraId="4381C22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Deklarowany </w:t>
            </w:r>
          </w:p>
        </w:tc>
        <w:tc>
          <w:tcPr>
            <w:tcW w:w="1282" w:type="dxa"/>
            <w:tcBorders>
              <w:top w:val="single" w:sz="4" w:space="0" w:color="000000"/>
              <w:left w:val="single" w:sz="4" w:space="0" w:color="000000"/>
              <w:bottom w:val="single" w:sz="4" w:space="0" w:color="000000"/>
              <w:right w:val="single" w:sz="8" w:space="0" w:color="000000"/>
            </w:tcBorders>
            <w:shd w:val="clear" w:color="auto" w:fill="auto"/>
          </w:tcPr>
          <w:p w14:paraId="6401755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Deklarowany </w:t>
            </w:r>
          </w:p>
        </w:tc>
        <w:tc>
          <w:tcPr>
            <w:tcW w:w="1416" w:type="dxa"/>
            <w:tcBorders>
              <w:top w:val="single" w:sz="4" w:space="0" w:color="000000"/>
              <w:left w:val="single" w:sz="8" w:space="0" w:color="000000"/>
              <w:bottom w:val="single" w:sz="4" w:space="0" w:color="000000"/>
              <w:right w:val="single" w:sz="8" w:space="0" w:color="000000"/>
            </w:tcBorders>
            <w:shd w:val="clear" w:color="auto" w:fill="auto"/>
          </w:tcPr>
          <w:p w14:paraId="26FF15B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r>
      <w:tr w:rsidR="00AD1E0F" w:rsidRPr="00AD1E0F" w14:paraId="083D55B5" w14:textId="77777777" w:rsidTr="00855929">
        <w:trPr>
          <w:trHeight w:val="1370"/>
        </w:trPr>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7BD94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Zał.C. </w:t>
            </w:r>
          </w:p>
          <w:p w14:paraId="374BFCB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podrozd ział </w:t>
            </w:r>
          </w:p>
          <w:p w14:paraId="792AFD0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C.3.4 </w:t>
            </w:r>
          </w:p>
        </w:tc>
        <w:tc>
          <w:tcPr>
            <w:tcW w:w="227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39DBC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Istotne cechy środowiskowe </w:t>
            </w:r>
          </w:p>
        </w:tc>
        <w:tc>
          <w:tcPr>
            <w:tcW w:w="4755" w:type="dxa"/>
            <w:gridSpan w:val="4"/>
            <w:tcBorders>
              <w:top w:val="single" w:sz="4" w:space="0" w:color="000000"/>
              <w:left w:val="single" w:sz="4" w:space="0" w:color="000000"/>
              <w:bottom w:val="single" w:sz="4" w:space="0" w:color="000000"/>
              <w:right w:val="single" w:sz="8" w:space="0" w:color="000000"/>
            </w:tcBorders>
            <w:shd w:val="clear" w:color="auto" w:fill="auto"/>
          </w:tcPr>
          <w:p w14:paraId="23AFFEF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Większość substancji niebezpiecznych określonych w dyrektywie Rady 76/769/EWG zazwyczaj nie występuje </w:t>
            </w:r>
          </w:p>
          <w:p w14:paraId="31D3FAC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w źródłach kruszywa pochodzenia mineralnego. Jednak w odniesieniu do kruszyw sztucznych i odpadowych </w:t>
            </w:r>
          </w:p>
          <w:p w14:paraId="2C48957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należy badać czy zawartość substancji niebezpiecznych </w:t>
            </w:r>
          </w:p>
          <w:p w14:paraId="779B17B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nie przekracza wartości dopuszczalnych wg odrębnych </w:t>
            </w:r>
          </w:p>
          <w:p w14:paraId="13EA888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przepisów </w:t>
            </w:r>
          </w:p>
        </w:tc>
        <w:tc>
          <w:tcPr>
            <w:tcW w:w="1416" w:type="dxa"/>
            <w:tcBorders>
              <w:top w:val="single" w:sz="4" w:space="0" w:color="000000"/>
              <w:left w:val="single" w:sz="8" w:space="0" w:color="000000"/>
              <w:bottom w:val="single" w:sz="4" w:space="0" w:color="000000"/>
              <w:right w:val="single" w:sz="8" w:space="0" w:color="000000"/>
            </w:tcBorders>
            <w:shd w:val="clear" w:color="auto" w:fill="auto"/>
            <w:vAlign w:val="center"/>
          </w:tcPr>
          <w:p w14:paraId="2783D98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r>
    </w:tbl>
    <w:p w14:paraId="340DBAA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 Łączna zawartość pyłów w mieszance powinna się mieścić w wybranych krzywych granicznych. </w:t>
      </w:r>
    </w:p>
    <w:p w14:paraId="0DBF41F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lastRenderedPageBreak/>
        <w:t xml:space="preserve">**) w przypadku gdy wymaganie nie jest spełnione, należy sprawdzić mrozoodporność. </w:t>
      </w:r>
    </w:p>
    <w:p w14:paraId="7D5330C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Zgodnie z KTKNPiP i KTKNS warstwa podbudowy pomocniczej nie występuje w rozwiązaniach zaproponowanych w Katalogach dla kategorii ruchu KR1-KR2. </w:t>
      </w:r>
    </w:p>
    <w:p w14:paraId="7B83CA30"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 xml:space="preserve">2.3. Wymagania wobec mieszanek </w:t>
      </w:r>
    </w:p>
    <w:p w14:paraId="09F089C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 warstwach podbudowy zasadniczej i pomocniczej można stosować następujące mieszanki kruszyw: </w:t>
      </w:r>
    </w:p>
    <w:p w14:paraId="6BE15D65"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0/31,5 mm, </w:t>
      </w:r>
    </w:p>
    <w:p w14:paraId="3FC8D2F1"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 xml:space="preserve">2.4. Wymagane właściwości mieszanki niezwiązanej do podbudowy pomocniczej </w:t>
      </w:r>
    </w:p>
    <w:p w14:paraId="16514D15"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2.4.1. Zawartość pyłu </w:t>
      </w:r>
    </w:p>
    <w:p w14:paraId="4806D6D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Maksymalna zawartość pyłów &lt; 0,063 mm w mieszankach kruszyw do podbudowy pomocniczej powinna spełniać wymagania kategorii podanej w Tablicy 2.6. Zawartość pyłów należy oznaczać według PN-EN 933-1. </w:t>
      </w:r>
    </w:p>
    <w:p w14:paraId="496C3F5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 przypadku słabych kruszyw zawartość pyłów w mieszance kruszyw należy badać i deklarować po, pięciokrotnym zagęszczeniu metodą Proctora. Zawartość pyłów w takiej mieszance ,po pięciokrotnym zagęszczeniu metodą Proctora, powinna również spełniać wymagania podane w Tablicy 2.6. </w:t>
      </w:r>
    </w:p>
    <w:p w14:paraId="58C6822F"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2.4.2. Zawartość nadziarna </w:t>
      </w:r>
    </w:p>
    <w:p w14:paraId="527D2AE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Określona według PN-EN 933-1 zawartość nadziarna w mieszankach kruszyw powinna spełniać wymagania podane w Tablicy 2.6. W przypadku słabych kruszyw decyduje zawartość nadziarna w mieszance kruszyw po pięciokrotnym zagęszczeniu metodą Proctora. </w:t>
      </w:r>
    </w:p>
    <w:p w14:paraId="26E3B3FD"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2.4.3. Uziarnienie </w:t>
      </w:r>
    </w:p>
    <w:p w14:paraId="087CC31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Określone według PN-EN 933-1 uziarnienia mieszanek kruszyw przeznaczonych do warstw podbudowy pomocniczej powinny spełniać wymagania przedstawione na rysunkach 2.1, 2.2 i 2.3. </w:t>
      </w:r>
    </w:p>
    <w:p w14:paraId="3555C69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Jako wymagane obowiązują tylko wymienione wartości liczbowe na rysunkach. </w:t>
      </w:r>
    </w:p>
    <w:p w14:paraId="36B14CC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 przypadku słabych kruszyw uziarnienie mieszanki kruszyw należy również badać i deklarować, po 5 krotnym zagęszczeniu metodą Proctora. Kryterium przydatności takiej mieszanki, pod względem uziarnienia, jest spełnione, jeżeli uziarnienie mieszanki po pięciokrotnym zagęszczeniu metodą Proctora, mieści się w krzywych granicznych podanych na rysunku 2.1 . </w:t>
      </w:r>
    </w:p>
    <w:p w14:paraId="4ADB3CA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 </w:t>
      </w:r>
    </w:p>
    <w:p w14:paraId="57B345C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sz w:val="20"/>
          <w:szCs w:val="20"/>
          <w:lang w:eastAsia="x-none"/>
        </w:rPr>
        <w:t>Rys. 2.1</w:t>
      </w:r>
      <w:r w:rsidRPr="00AD1E0F">
        <w:rPr>
          <w:rFonts w:ascii="Arial Narrow" w:eastAsia="Times New Roman" w:hAnsi="Arial Narrow" w:cs="Times New Roman"/>
          <w:sz w:val="20"/>
          <w:szCs w:val="20"/>
          <w:lang w:eastAsia="x-none"/>
        </w:rPr>
        <w:t xml:space="preserve"> Krzywe graniczne uziarnienia mieszanki niezwiązanej 0/31,5 mm do podbudowy pomocniczej  </w:t>
      </w:r>
    </w:p>
    <w:p w14:paraId="138A004D" w14:textId="09EE8D98"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noProof/>
          <w:sz w:val="20"/>
          <w:szCs w:val="20"/>
          <w:lang w:eastAsia="pl-PL"/>
        </w:rPr>
        <w:drawing>
          <wp:inline distT="0" distB="0" distL="0" distR="0" wp14:anchorId="44E0CC43" wp14:editId="54D1A688">
            <wp:extent cx="3152775" cy="1866900"/>
            <wp:effectExtent l="0" t="0" r="952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152775" cy="1866900"/>
                    </a:xfrm>
                    <a:prstGeom prst="rect">
                      <a:avLst/>
                    </a:prstGeom>
                    <a:noFill/>
                    <a:ln>
                      <a:noFill/>
                    </a:ln>
                  </pic:spPr>
                </pic:pic>
              </a:graphicData>
            </a:graphic>
          </wp:inline>
        </w:drawing>
      </w:r>
      <w:r w:rsidRPr="00AD1E0F">
        <w:rPr>
          <w:rFonts w:ascii="Arial Narrow" w:eastAsia="Times New Roman" w:hAnsi="Arial Narrow" w:cs="Times New Roman"/>
          <w:sz w:val="20"/>
          <w:szCs w:val="20"/>
          <w:lang w:eastAsia="x-none"/>
        </w:rPr>
        <w:t xml:space="preserve"> </w:t>
      </w:r>
    </w:p>
    <w:p w14:paraId="303A453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sz w:val="20"/>
          <w:szCs w:val="20"/>
          <w:lang w:eastAsia="x-none"/>
        </w:rPr>
        <w:t xml:space="preserve"> </w:t>
      </w:r>
    </w:p>
    <w:p w14:paraId="467F290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sz w:val="20"/>
          <w:szCs w:val="20"/>
          <w:lang w:eastAsia="x-none"/>
        </w:rPr>
        <w:t xml:space="preserve"> </w:t>
      </w:r>
    </w:p>
    <w:p w14:paraId="1754B7C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 </w:t>
      </w:r>
    </w:p>
    <w:p w14:paraId="281BDBF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Oprócz wymagań podanych na rysunku 2.1, 2.2 i 2.3, wymaga się aby 90% uziarnień mieszanek zbadanych w ramach ZKP w okresie 6 miesięcy spełniało wymagania kategorii podanych w tablicach 2.2 i 2.3, aby zapewnić jednorodność i ciągłość uziarnienia mieszanek. </w:t>
      </w:r>
    </w:p>
    <w:p w14:paraId="4FD13CF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sz w:val="20"/>
          <w:szCs w:val="20"/>
          <w:lang w:eastAsia="x-none"/>
        </w:rPr>
        <w:t>Tablica 2.2</w:t>
      </w:r>
      <w:r w:rsidRPr="00AD1E0F">
        <w:rPr>
          <w:rFonts w:ascii="Arial Narrow" w:eastAsia="Times New Roman" w:hAnsi="Arial Narrow" w:cs="Times New Roman"/>
          <w:sz w:val="20"/>
          <w:szCs w:val="20"/>
          <w:lang w:eastAsia="x-none"/>
        </w:rPr>
        <w:t xml:space="preserve">. Wymagania wobec jednorodności uziarnienia na sitach kontrolnych – porównanie z deklarowaną przez producenta wartością (S). Wymagania dotyczą produkowanej i dostarczanej mieszanki. Jeśli mieszanka zawiera nadmierną zawartość ziarn słabych, wymaganie dotyczy deklarowanego przez producenta uziarnienia mieszanki po pięciokrotnym zagęszczeniu metodą Proctora. </w:t>
      </w:r>
    </w:p>
    <w:tbl>
      <w:tblPr>
        <w:tblW w:w="9429" w:type="dxa"/>
        <w:tblInd w:w="252" w:type="dxa"/>
        <w:tblCellMar>
          <w:top w:w="54" w:type="dxa"/>
          <w:left w:w="151" w:type="dxa"/>
          <w:right w:w="83" w:type="dxa"/>
        </w:tblCellMar>
        <w:tblLook w:val="04A0" w:firstRow="1" w:lastRow="0" w:firstColumn="1" w:lastColumn="0" w:noHBand="0" w:noVBand="1"/>
      </w:tblPr>
      <w:tblGrid>
        <w:gridCol w:w="1488"/>
        <w:gridCol w:w="795"/>
        <w:gridCol w:w="792"/>
        <w:gridCol w:w="794"/>
        <w:gridCol w:w="795"/>
        <w:gridCol w:w="794"/>
        <w:gridCol w:w="792"/>
        <w:gridCol w:w="795"/>
        <w:gridCol w:w="794"/>
        <w:gridCol w:w="795"/>
        <w:gridCol w:w="795"/>
      </w:tblGrid>
      <w:tr w:rsidR="00AD1E0F" w:rsidRPr="00AD1E0F" w14:paraId="3586AF46" w14:textId="77777777" w:rsidTr="00855929">
        <w:trPr>
          <w:trHeight w:val="497"/>
        </w:trPr>
        <w:tc>
          <w:tcPr>
            <w:tcW w:w="148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91C7AB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Mieszanka niezwiązana </w:t>
            </w:r>
          </w:p>
        </w:tc>
        <w:tc>
          <w:tcPr>
            <w:tcW w:w="795" w:type="dxa"/>
            <w:tcBorders>
              <w:top w:val="single" w:sz="4" w:space="0" w:color="000000"/>
              <w:left w:val="single" w:sz="4" w:space="0" w:color="000000"/>
              <w:bottom w:val="single" w:sz="4" w:space="0" w:color="000000"/>
              <w:right w:val="nil"/>
            </w:tcBorders>
            <w:shd w:val="clear" w:color="auto" w:fill="auto"/>
          </w:tcPr>
          <w:p w14:paraId="449D888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6351" w:type="dxa"/>
            <w:gridSpan w:val="8"/>
            <w:tcBorders>
              <w:top w:val="single" w:sz="4" w:space="0" w:color="000000"/>
              <w:left w:val="nil"/>
              <w:bottom w:val="single" w:sz="4" w:space="0" w:color="000000"/>
              <w:right w:val="nil"/>
            </w:tcBorders>
            <w:shd w:val="clear" w:color="auto" w:fill="auto"/>
          </w:tcPr>
          <w:p w14:paraId="6A8BF4D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Porównanie z deklarowaną przez producenta wartością (S) Tolerancje przesiewu przez sito (mm), % (M/m) </w:t>
            </w:r>
          </w:p>
        </w:tc>
        <w:tc>
          <w:tcPr>
            <w:tcW w:w="795" w:type="dxa"/>
            <w:tcBorders>
              <w:top w:val="single" w:sz="4" w:space="0" w:color="000000"/>
              <w:left w:val="nil"/>
              <w:bottom w:val="single" w:sz="4" w:space="0" w:color="000000"/>
              <w:right w:val="single" w:sz="4" w:space="0" w:color="000000"/>
            </w:tcBorders>
            <w:shd w:val="clear" w:color="auto" w:fill="auto"/>
          </w:tcPr>
          <w:p w14:paraId="163CCCB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r>
      <w:tr w:rsidR="00AD1E0F" w:rsidRPr="00AD1E0F" w14:paraId="487DAE48" w14:textId="77777777" w:rsidTr="00855929">
        <w:trPr>
          <w:trHeight w:val="252"/>
        </w:trPr>
        <w:tc>
          <w:tcPr>
            <w:tcW w:w="0" w:type="auto"/>
            <w:vMerge/>
            <w:tcBorders>
              <w:top w:val="nil"/>
              <w:left w:val="single" w:sz="4" w:space="0" w:color="000000"/>
              <w:bottom w:val="single" w:sz="4" w:space="0" w:color="000000"/>
              <w:right w:val="single" w:sz="4" w:space="0" w:color="000000"/>
            </w:tcBorders>
            <w:shd w:val="clear" w:color="auto" w:fill="auto"/>
          </w:tcPr>
          <w:p w14:paraId="0AFED0A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6C9716F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0,5 </w:t>
            </w:r>
          </w:p>
        </w:tc>
        <w:tc>
          <w:tcPr>
            <w:tcW w:w="792" w:type="dxa"/>
            <w:tcBorders>
              <w:top w:val="single" w:sz="4" w:space="0" w:color="000000"/>
              <w:left w:val="single" w:sz="4" w:space="0" w:color="000000"/>
              <w:bottom w:val="single" w:sz="4" w:space="0" w:color="000000"/>
              <w:right w:val="single" w:sz="4" w:space="0" w:color="000000"/>
            </w:tcBorders>
            <w:shd w:val="clear" w:color="auto" w:fill="auto"/>
          </w:tcPr>
          <w:p w14:paraId="7B58F77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 </w:t>
            </w:r>
          </w:p>
        </w:tc>
        <w:tc>
          <w:tcPr>
            <w:tcW w:w="794" w:type="dxa"/>
            <w:tcBorders>
              <w:top w:val="single" w:sz="4" w:space="0" w:color="000000"/>
              <w:left w:val="single" w:sz="4" w:space="0" w:color="000000"/>
              <w:bottom w:val="single" w:sz="4" w:space="0" w:color="000000"/>
              <w:right w:val="single" w:sz="4" w:space="0" w:color="000000"/>
            </w:tcBorders>
            <w:shd w:val="clear" w:color="auto" w:fill="auto"/>
          </w:tcPr>
          <w:p w14:paraId="1F1991A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2 </w:t>
            </w: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32F67BC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4 </w:t>
            </w:r>
          </w:p>
        </w:tc>
        <w:tc>
          <w:tcPr>
            <w:tcW w:w="794" w:type="dxa"/>
            <w:tcBorders>
              <w:top w:val="single" w:sz="4" w:space="0" w:color="000000"/>
              <w:left w:val="single" w:sz="4" w:space="0" w:color="000000"/>
              <w:bottom w:val="single" w:sz="4" w:space="0" w:color="000000"/>
              <w:right w:val="single" w:sz="4" w:space="0" w:color="000000"/>
            </w:tcBorders>
            <w:shd w:val="clear" w:color="auto" w:fill="auto"/>
          </w:tcPr>
          <w:p w14:paraId="34F76AA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5,6 </w:t>
            </w:r>
          </w:p>
        </w:tc>
        <w:tc>
          <w:tcPr>
            <w:tcW w:w="792" w:type="dxa"/>
            <w:tcBorders>
              <w:top w:val="single" w:sz="4" w:space="0" w:color="000000"/>
              <w:left w:val="single" w:sz="4" w:space="0" w:color="000000"/>
              <w:bottom w:val="single" w:sz="4" w:space="0" w:color="000000"/>
              <w:right w:val="single" w:sz="4" w:space="0" w:color="000000"/>
            </w:tcBorders>
            <w:shd w:val="clear" w:color="auto" w:fill="auto"/>
          </w:tcPr>
          <w:p w14:paraId="12C2FE4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8 </w:t>
            </w: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5DA0D3E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11,2 </w:t>
            </w:r>
          </w:p>
        </w:tc>
        <w:tc>
          <w:tcPr>
            <w:tcW w:w="794" w:type="dxa"/>
            <w:tcBorders>
              <w:top w:val="single" w:sz="4" w:space="0" w:color="000000"/>
              <w:left w:val="single" w:sz="4" w:space="0" w:color="000000"/>
              <w:bottom w:val="single" w:sz="4" w:space="0" w:color="000000"/>
              <w:right w:val="single" w:sz="4" w:space="0" w:color="000000"/>
            </w:tcBorders>
            <w:shd w:val="clear" w:color="auto" w:fill="auto"/>
          </w:tcPr>
          <w:p w14:paraId="7DEF6D3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16 </w:t>
            </w: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653E88D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22,4 </w:t>
            </w: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2B14654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31,5 </w:t>
            </w:r>
          </w:p>
        </w:tc>
      </w:tr>
      <w:tr w:rsidR="00AD1E0F" w:rsidRPr="00AD1E0F" w14:paraId="1516A2FF" w14:textId="77777777" w:rsidTr="00855929">
        <w:trPr>
          <w:trHeight w:val="254"/>
        </w:trPr>
        <w:tc>
          <w:tcPr>
            <w:tcW w:w="1488" w:type="dxa"/>
            <w:tcBorders>
              <w:top w:val="single" w:sz="4" w:space="0" w:color="000000"/>
              <w:left w:val="single" w:sz="4" w:space="0" w:color="000000"/>
              <w:bottom w:val="single" w:sz="4" w:space="0" w:color="000000"/>
              <w:right w:val="single" w:sz="4" w:space="0" w:color="000000"/>
            </w:tcBorders>
            <w:shd w:val="clear" w:color="auto" w:fill="auto"/>
          </w:tcPr>
          <w:p w14:paraId="1893CC1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0/31,5 </w:t>
            </w: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7908355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±5 </w:t>
            </w:r>
          </w:p>
        </w:tc>
        <w:tc>
          <w:tcPr>
            <w:tcW w:w="792" w:type="dxa"/>
            <w:tcBorders>
              <w:top w:val="single" w:sz="4" w:space="0" w:color="000000"/>
              <w:left w:val="single" w:sz="4" w:space="0" w:color="000000"/>
              <w:bottom w:val="single" w:sz="4" w:space="0" w:color="000000"/>
              <w:right w:val="single" w:sz="4" w:space="0" w:color="000000"/>
            </w:tcBorders>
            <w:shd w:val="clear" w:color="auto" w:fill="auto"/>
          </w:tcPr>
          <w:p w14:paraId="4AF4096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±5 </w:t>
            </w:r>
          </w:p>
        </w:tc>
        <w:tc>
          <w:tcPr>
            <w:tcW w:w="794" w:type="dxa"/>
            <w:tcBorders>
              <w:top w:val="single" w:sz="4" w:space="0" w:color="000000"/>
              <w:left w:val="single" w:sz="4" w:space="0" w:color="000000"/>
              <w:bottom w:val="single" w:sz="4" w:space="0" w:color="000000"/>
              <w:right w:val="single" w:sz="4" w:space="0" w:color="000000"/>
            </w:tcBorders>
            <w:shd w:val="clear" w:color="auto" w:fill="auto"/>
          </w:tcPr>
          <w:p w14:paraId="0F1A6FF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±7 </w:t>
            </w: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0445461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±8 </w:t>
            </w:r>
          </w:p>
        </w:tc>
        <w:tc>
          <w:tcPr>
            <w:tcW w:w="794" w:type="dxa"/>
            <w:tcBorders>
              <w:top w:val="single" w:sz="4" w:space="0" w:color="000000"/>
              <w:left w:val="single" w:sz="4" w:space="0" w:color="000000"/>
              <w:bottom w:val="single" w:sz="4" w:space="0" w:color="000000"/>
              <w:right w:val="single" w:sz="4" w:space="0" w:color="000000"/>
            </w:tcBorders>
            <w:shd w:val="clear" w:color="auto" w:fill="auto"/>
          </w:tcPr>
          <w:p w14:paraId="709FD75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792" w:type="dxa"/>
            <w:tcBorders>
              <w:top w:val="single" w:sz="4" w:space="0" w:color="000000"/>
              <w:left w:val="single" w:sz="4" w:space="0" w:color="000000"/>
              <w:bottom w:val="single" w:sz="4" w:space="0" w:color="000000"/>
              <w:right w:val="single" w:sz="4" w:space="0" w:color="000000"/>
            </w:tcBorders>
            <w:shd w:val="clear" w:color="auto" w:fill="auto"/>
          </w:tcPr>
          <w:p w14:paraId="3F16359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±8 </w:t>
            </w: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5213F3F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794" w:type="dxa"/>
            <w:tcBorders>
              <w:top w:val="single" w:sz="4" w:space="0" w:color="000000"/>
              <w:left w:val="single" w:sz="4" w:space="0" w:color="000000"/>
              <w:bottom w:val="single" w:sz="4" w:space="0" w:color="000000"/>
              <w:right w:val="single" w:sz="4" w:space="0" w:color="000000"/>
            </w:tcBorders>
            <w:shd w:val="clear" w:color="auto" w:fill="auto"/>
          </w:tcPr>
          <w:p w14:paraId="6284524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±8 </w:t>
            </w: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09565DE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515DC33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r>
    </w:tbl>
    <w:p w14:paraId="2077C2D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Krzywa uziarnienia (S) deklarowana przez producenta mieszanek powinna nie tylko mieścić się w odpowiednich krzywych uziarnienia ograniczonych przerywanymi liniami (SVD) z uwzględnieniem dopuszczalnych tolerancji podanych w Tablicy 2.2, ale powinna spełniać także wymagania ciągłości uziarnienia zawarte w Tablicy 2.3. </w:t>
      </w:r>
    </w:p>
    <w:p w14:paraId="2D7A806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sz w:val="20"/>
          <w:szCs w:val="20"/>
          <w:lang w:eastAsia="x-none"/>
        </w:rPr>
        <w:t xml:space="preserve">Tablica 2.3. </w:t>
      </w:r>
      <w:r w:rsidRPr="00AD1E0F">
        <w:rPr>
          <w:rFonts w:ascii="Arial Narrow" w:eastAsia="Times New Roman" w:hAnsi="Arial Narrow" w:cs="Times New Roman"/>
          <w:sz w:val="20"/>
          <w:szCs w:val="20"/>
          <w:lang w:eastAsia="x-none"/>
        </w:rPr>
        <w:t xml:space="preserve">Wymagania wobec ciągłości uziarnienia na sitach kontrolnych – różnice w przesiewach podczas badań kontrolnych produkowanych mieszanek </w:t>
      </w:r>
    </w:p>
    <w:tbl>
      <w:tblPr>
        <w:tblW w:w="9489" w:type="dxa"/>
        <w:tblInd w:w="252" w:type="dxa"/>
        <w:tblCellMar>
          <w:top w:w="45" w:type="dxa"/>
          <w:left w:w="67" w:type="dxa"/>
          <w:right w:w="2" w:type="dxa"/>
        </w:tblCellMar>
        <w:tblLook w:val="04A0" w:firstRow="1" w:lastRow="0" w:firstColumn="1" w:lastColumn="0" w:noHBand="0" w:noVBand="1"/>
      </w:tblPr>
      <w:tblGrid>
        <w:gridCol w:w="1233"/>
        <w:gridCol w:w="486"/>
        <w:gridCol w:w="534"/>
        <w:gridCol w:w="487"/>
        <w:gridCol w:w="533"/>
        <w:gridCol w:w="487"/>
        <w:gridCol w:w="533"/>
        <w:gridCol w:w="487"/>
        <w:gridCol w:w="533"/>
        <w:gridCol w:w="487"/>
        <w:gridCol w:w="533"/>
        <w:gridCol w:w="488"/>
        <w:gridCol w:w="533"/>
        <w:gridCol w:w="557"/>
        <w:gridCol w:w="557"/>
        <w:gridCol w:w="488"/>
        <w:gridCol w:w="533"/>
      </w:tblGrid>
      <w:tr w:rsidR="00AD1E0F" w:rsidRPr="00AD1E0F" w14:paraId="3A2D5E72" w14:textId="77777777" w:rsidTr="00855929">
        <w:trPr>
          <w:trHeight w:val="494"/>
        </w:trPr>
        <w:tc>
          <w:tcPr>
            <w:tcW w:w="12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F9CE88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Mieszanka </w:t>
            </w:r>
          </w:p>
          <w:p w14:paraId="519064B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8256" w:type="dxa"/>
            <w:gridSpan w:val="16"/>
            <w:tcBorders>
              <w:top w:val="single" w:sz="4" w:space="0" w:color="000000"/>
              <w:left w:val="single" w:sz="4" w:space="0" w:color="000000"/>
              <w:bottom w:val="single" w:sz="4" w:space="0" w:color="000000"/>
              <w:right w:val="single" w:sz="4" w:space="0" w:color="000000"/>
            </w:tcBorders>
            <w:shd w:val="clear" w:color="auto" w:fill="auto"/>
          </w:tcPr>
          <w:p w14:paraId="2B74C81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Minimalna i maksymalna zawartość frakcji w mieszankach  [różnice przesiewów w % (m/m) przez sito (mm)] </w:t>
            </w:r>
          </w:p>
        </w:tc>
      </w:tr>
      <w:tr w:rsidR="00AD1E0F" w:rsidRPr="00AD1E0F" w14:paraId="1ED61ECB" w14:textId="77777777" w:rsidTr="00855929">
        <w:trPr>
          <w:trHeight w:val="254"/>
        </w:trPr>
        <w:tc>
          <w:tcPr>
            <w:tcW w:w="0" w:type="auto"/>
            <w:vMerge/>
            <w:tcBorders>
              <w:top w:val="nil"/>
              <w:left w:val="single" w:sz="4" w:space="0" w:color="000000"/>
              <w:bottom w:val="single" w:sz="4" w:space="0" w:color="000000"/>
              <w:right w:val="single" w:sz="4" w:space="0" w:color="000000"/>
            </w:tcBorders>
            <w:shd w:val="clear" w:color="auto" w:fill="auto"/>
          </w:tcPr>
          <w:p w14:paraId="798CFC7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1020" w:type="dxa"/>
            <w:gridSpan w:val="2"/>
            <w:tcBorders>
              <w:top w:val="single" w:sz="4" w:space="0" w:color="000000"/>
              <w:left w:val="single" w:sz="4" w:space="0" w:color="000000"/>
              <w:bottom w:val="single" w:sz="4" w:space="0" w:color="000000"/>
              <w:right w:val="single" w:sz="4" w:space="0" w:color="000000"/>
            </w:tcBorders>
            <w:shd w:val="clear" w:color="auto" w:fill="auto"/>
          </w:tcPr>
          <w:p w14:paraId="30BDBB1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1/2 </w:t>
            </w:r>
          </w:p>
        </w:tc>
        <w:tc>
          <w:tcPr>
            <w:tcW w:w="1020" w:type="dxa"/>
            <w:gridSpan w:val="2"/>
            <w:tcBorders>
              <w:top w:val="single" w:sz="4" w:space="0" w:color="000000"/>
              <w:left w:val="single" w:sz="4" w:space="0" w:color="000000"/>
              <w:bottom w:val="single" w:sz="4" w:space="0" w:color="000000"/>
              <w:right w:val="single" w:sz="4" w:space="0" w:color="000000"/>
            </w:tcBorders>
            <w:shd w:val="clear" w:color="auto" w:fill="auto"/>
          </w:tcPr>
          <w:p w14:paraId="79BF502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2/4 </w:t>
            </w:r>
          </w:p>
        </w:tc>
        <w:tc>
          <w:tcPr>
            <w:tcW w:w="1020" w:type="dxa"/>
            <w:gridSpan w:val="2"/>
            <w:tcBorders>
              <w:top w:val="single" w:sz="4" w:space="0" w:color="000000"/>
              <w:left w:val="single" w:sz="4" w:space="0" w:color="000000"/>
              <w:bottom w:val="single" w:sz="4" w:space="0" w:color="000000"/>
              <w:right w:val="single" w:sz="4" w:space="0" w:color="000000"/>
            </w:tcBorders>
            <w:shd w:val="clear" w:color="auto" w:fill="auto"/>
          </w:tcPr>
          <w:p w14:paraId="3B739AA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2/5,6 </w:t>
            </w:r>
          </w:p>
        </w:tc>
        <w:tc>
          <w:tcPr>
            <w:tcW w:w="1020" w:type="dxa"/>
            <w:gridSpan w:val="2"/>
            <w:tcBorders>
              <w:top w:val="single" w:sz="4" w:space="0" w:color="000000"/>
              <w:left w:val="single" w:sz="4" w:space="0" w:color="000000"/>
              <w:bottom w:val="single" w:sz="4" w:space="0" w:color="000000"/>
              <w:right w:val="single" w:sz="4" w:space="0" w:color="000000"/>
            </w:tcBorders>
            <w:shd w:val="clear" w:color="auto" w:fill="auto"/>
          </w:tcPr>
          <w:p w14:paraId="5CFFC2A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4/8 </w:t>
            </w:r>
          </w:p>
        </w:tc>
        <w:tc>
          <w:tcPr>
            <w:tcW w:w="1020" w:type="dxa"/>
            <w:gridSpan w:val="2"/>
            <w:tcBorders>
              <w:top w:val="single" w:sz="4" w:space="0" w:color="000000"/>
              <w:left w:val="single" w:sz="4" w:space="0" w:color="000000"/>
              <w:bottom w:val="single" w:sz="4" w:space="0" w:color="000000"/>
              <w:right w:val="single" w:sz="4" w:space="0" w:color="000000"/>
            </w:tcBorders>
            <w:shd w:val="clear" w:color="auto" w:fill="auto"/>
          </w:tcPr>
          <w:p w14:paraId="5ADBEC1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5,6/11/2 </w:t>
            </w:r>
          </w:p>
        </w:tc>
        <w:tc>
          <w:tcPr>
            <w:tcW w:w="1021" w:type="dxa"/>
            <w:gridSpan w:val="2"/>
            <w:tcBorders>
              <w:top w:val="single" w:sz="4" w:space="0" w:color="000000"/>
              <w:left w:val="single" w:sz="4" w:space="0" w:color="000000"/>
              <w:bottom w:val="single" w:sz="4" w:space="0" w:color="000000"/>
              <w:right w:val="single" w:sz="4" w:space="0" w:color="000000"/>
            </w:tcBorders>
            <w:shd w:val="clear" w:color="auto" w:fill="auto"/>
          </w:tcPr>
          <w:p w14:paraId="41FD239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8/16 </w:t>
            </w:r>
          </w:p>
        </w:tc>
        <w:tc>
          <w:tcPr>
            <w:tcW w:w="1114" w:type="dxa"/>
            <w:gridSpan w:val="2"/>
            <w:tcBorders>
              <w:top w:val="single" w:sz="4" w:space="0" w:color="000000"/>
              <w:left w:val="single" w:sz="4" w:space="0" w:color="000000"/>
              <w:bottom w:val="single" w:sz="4" w:space="0" w:color="000000"/>
              <w:right w:val="single" w:sz="4" w:space="0" w:color="000000"/>
            </w:tcBorders>
            <w:shd w:val="clear" w:color="auto" w:fill="auto"/>
          </w:tcPr>
          <w:p w14:paraId="274C488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11,2/22,4 </w:t>
            </w:r>
          </w:p>
        </w:tc>
        <w:tc>
          <w:tcPr>
            <w:tcW w:w="1021" w:type="dxa"/>
            <w:gridSpan w:val="2"/>
            <w:tcBorders>
              <w:top w:val="single" w:sz="4" w:space="0" w:color="000000"/>
              <w:left w:val="single" w:sz="4" w:space="0" w:color="000000"/>
              <w:bottom w:val="single" w:sz="4" w:space="0" w:color="000000"/>
              <w:right w:val="single" w:sz="4" w:space="0" w:color="000000"/>
            </w:tcBorders>
            <w:shd w:val="clear" w:color="auto" w:fill="auto"/>
          </w:tcPr>
          <w:p w14:paraId="34864A1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16/31/5 </w:t>
            </w:r>
          </w:p>
        </w:tc>
      </w:tr>
      <w:tr w:rsidR="00AD1E0F" w:rsidRPr="00AD1E0F" w14:paraId="15AF78F9" w14:textId="77777777" w:rsidTr="00855929">
        <w:trPr>
          <w:trHeight w:val="204"/>
        </w:trPr>
        <w:tc>
          <w:tcPr>
            <w:tcW w:w="12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768069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0/31,5 </w:t>
            </w:r>
          </w:p>
        </w:tc>
        <w:tc>
          <w:tcPr>
            <w:tcW w:w="486" w:type="dxa"/>
            <w:tcBorders>
              <w:top w:val="single" w:sz="4" w:space="0" w:color="000000"/>
              <w:left w:val="single" w:sz="4" w:space="0" w:color="000000"/>
              <w:bottom w:val="single" w:sz="4" w:space="0" w:color="000000"/>
              <w:right w:val="single" w:sz="4" w:space="0" w:color="000000"/>
            </w:tcBorders>
            <w:shd w:val="clear" w:color="auto" w:fill="auto"/>
          </w:tcPr>
          <w:p w14:paraId="0CD0EB0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14:paraId="45D62DA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max.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44A2815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2949A5E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max.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096D5B1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34C5D9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max.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63AF5AB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9374DA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max.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39AA1A1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DB6CC5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max. </w:t>
            </w:r>
          </w:p>
        </w:tc>
        <w:tc>
          <w:tcPr>
            <w:tcW w:w="488" w:type="dxa"/>
            <w:tcBorders>
              <w:top w:val="single" w:sz="4" w:space="0" w:color="000000"/>
              <w:left w:val="single" w:sz="4" w:space="0" w:color="000000"/>
              <w:bottom w:val="single" w:sz="4" w:space="0" w:color="000000"/>
              <w:right w:val="single" w:sz="4" w:space="0" w:color="000000"/>
            </w:tcBorders>
            <w:shd w:val="clear" w:color="auto" w:fill="auto"/>
          </w:tcPr>
          <w:p w14:paraId="78C9774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63F2951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max. </w:t>
            </w:r>
          </w:p>
        </w:tc>
        <w:tc>
          <w:tcPr>
            <w:tcW w:w="557" w:type="dxa"/>
            <w:tcBorders>
              <w:top w:val="single" w:sz="4" w:space="0" w:color="000000"/>
              <w:left w:val="single" w:sz="4" w:space="0" w:color="000000"/>
              <w:bottom w:val="single" w:sz="4" w:space="0" w:color="000000"/>
              <w:right w:val="single" w:sz="4" w:space="0" w:color="000000"/>
            </w:tcBorders>
            <w:shd w:val="clear" w:color="auto" w:fill="auto"/>
          </w:tcPr>
          <w:p w14:paraId="6C4DB41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 </w:t>
            </w:r>
          </w:p>
        </w:tc>
        <w:tc>
          <w:tcPr>
            <w:tcW w:w="557" w:type="dxa"/>
            <w:tcBorders>
              <w:top w:val="single" w:sz="4" w:space="0" w:color="000000"/>
              <w:left w:val="single" w:sz="4" w:space="0" w:color="000000"/>
              <w:bottom w:val="single" w:sz="4" w:space="0" w:color="000000"/>
              <w:right w:val="single" w:sz="4" w:space="0" w:color="000000"/>
            </w:tcBorders>
            <w:shd w:val="clear" w:color="auto" w:fill="auto"/>
          </w:tcPr>
          <w:p w14:paraId="7C03E84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max. </w:t>
            </w:r>
          </w:p>
        </w:tc>
        <w:tc>
          <w:tcPr>
            <w:tcW w:w="488" w:type="dxa"/>
            <w:tcBorders>
              <w:top w:val="single" w:sz="4" w:space="0" w:color="000000"/>
              <w:left w:val="single" w:sz="4" w:space="0" w:color="000000"/>
              <w:bottom w:val="single" w:sz="4" w:space="0" w:color="000000"/>
              <w:right w:val="single" w:sz="4" w:space="0" w:color="000000"/>
            </w:tcBorders>
            <w:shd w:val="clear" w:color="auto" w:fill="auto"/>
          </w:tcPr>
          <w:p w14:paraId="3CF2853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3EEC98D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max. </w:t>
            </w:r>
          </w:p>
        </w:tc>
      </w:tr>
      <w:tr w:rsidR="00AD1E0F" w:rsidRPr="00AD1E0F" w14:paraId="74C1DE7F" w14:textId="77777777" w:rsidTr="00855929">
        <w:trPr>
          <w:trHeight w:val="252"/>
        </w:trPr>
        <w:tc>
          <w:tcPr>
            <w:tcW w:w="0" w:type="auto"/>
            <w:vMerge/>
            <w:tcBorders>
              <w:top w:val="nil"/>
              <w:left w:val="single" w:sz="4" w:space="0" w:color="000000"/>
              <w:bottom w:val="single" w:sz="4" w:space="0" w:color="000000"/>
              <w:right w:val="single" w:sz="4" w:space="0" w:color="000000"/>
            </w:tcBorders>
            <w:shd w:val="clear" w:color="auto" w:fill="auto"/>
          </w:tcPr>
          <w:p w14:paraId="07C0A34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486" w:type="dxa"/>
            <w:tcBorders>
              <w:top w:val="single" w:sz="4" w:space="0" w:color="000000"/>
              <w:left w:val="single" w:sz="4" w:space="0" w:color="000000"/>
              <w:bottom w:val="single" w:sz="4" w:space="0" w:color="000000"/>
              <w:right w:val="single" w:sz="4" w:space="0" w:color="000000"/>
            </w:tcBorders>
            <w:shd w:val="clear" w:color="auto" w:fill="auto"/>
          </w:tcPr>
          <w:p w14:paraId="0444A4D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4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14:paraId="5873F7C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15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73F6B32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7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A4337F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20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5FC7722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0173E19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55A2555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10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FB1C62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25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720A89C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19553E9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488" w:type="dxa"/>
            <w:tcBorders>
              <w:top w:val="single" w:sz="4" w:space="0" w:color="000000"/>
              <w:left w:val="single" w:sz="4" w:space="0" w:color="000000"/>
              <w:bottom w:val="single" w:sz="4" w:space="0" w:color="000000"/>
              <w:right w:val="single" w:sz="4" w:space="0" w:color="000000"/>
            </w:tcBorders>
            <w:shd w:val="clear" w:color="auto" w:fill="auto"/>
          </w:tcPr>
          <w:p w14:paraId="764ED47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10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93A8AA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25 </w:t>
            </w:r>
          </w:p>
        </w:tc>
        <w:tc>
          <w:tcPr>
            <w:tcW w:w="557" w:type="dxa"/>
            <w:tcBorders>
              <w:top w:val="single" w:sz="4" w:space="0" w:color="000000"/>
              <w:left w:val="single" w:sz="4" w:space="0" w:color="000000"/>
              <w:bottom w:val="single" w:sz="4" w:space="0" w:color="000000"/>
              <w:right w:val="single" w:sz="4" w:space="0" w:color="000000"/>
            </w:tcBorders>
            <w:shd w:val="clear" w:color="auto" w:fill="auto"/>
          </w:tcPr>
          <w:p w14:paraId="65E5772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557" w:type="dxa"/>
            <w:tcBorders>
              <w:top w:val="single" w:sz="4" w:space="0" w:color="000000"/>
              <w:left w:val="single" w:sz="4" w:space="0" w:color="000000"/>
              <w:bottom w:val="single" w:sz="4" w:space="0" w:color="000000"/>
              <w:right w:val="single" w:sz="4" w:space="0" w:color="000000"/>
            </w:tcBorders>
            <w:shd w:val="clear" w:color="auto" w:fill="auto"/>
          </w:tcPr>
          <w:p w14:paraId="2F18777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488" w:type="dxa"/>
            <w:tcBorders>
              <w:top w:val="single" w:sz="4" w:space="0" w:color="000000"/>
              <w:left w:val="single" w:sz="4" w:space="0" w:color="000000"/>
              <w:bottom w:val="single" w:sz="4" w:space="0" w:color="000000"/>
              <w:right w:val="single" w:sz="4" w:space="0" w:color="000000"/>
            </w:tcBorders>
            <w:shd w:val="clear" w:color="auto" w:fill="auto"/>
          </w:tcPr>
          <w:p w14:paraId="58AB224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38501EF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r>
    </w:tbl>
    <w:p w14:paraId="4C81A16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sz w:val="20"/>
          <w:szCs w:val="20"/>
          <w:lang w:eastAsia="x-none"/>
        </w:rPr>
        <w:t xml:space="preserve"> </w:t>
      </w:r>
    </w:p>
    <w:p w14:paraId="2418C7C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x-none"/>
        </w:rPr>
      </w:pPr>
      <w:r w:rsidRPr="00AD1E0F">
        <w:rPr>
          <w:rFonts w:ascii="Arial Narrow" w:eastAsia="Times New Roman" w:hAnsi="Arial Narrow" w:cs="Times New Roman"/>
          <w:sz w:val="20"/>
          <w:szCs w:val="20"/>
          <w:lang w:eastAsia="x-none"/>
        </w:rPr>
        <w:t xml:space="preserve">2.4.4. </w:t>
      </w:r>
      <w:r w:rsidRPr="00AD1E0F">
        <w:rPr>
          <w:rFonts w:ascii="Arial Narrow" w:eastAsia="Times New Roman" w:hAnsi="Arial Narrow" w:cs="Times New Roman"/>
          <w:b/>
          <w:sz w:val="20"/>
          <w:szCs w:val="20"/>
          <w:lang w:eastAsia="x-none"/>
        </w:rPr>
        <w:t xml:space="preserve">Wrażliwość na mróz, wodoprzepuszczalność </w:t>
      </w:r>
    </w:p>
    <w:p w14:paraId="65B5DAD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Mieszanki kruszyw stosowane do warstw podbudów pomocniczych powinny spełniać wymagania wg Tablicy 2.6. </w:t>
      </w:r>
    </w:p>
    <w:p w14:paraId="0C993C0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Wymagania wobec mieszanek przeznaczonych do warstw podbudowy pomocniczej odnośnie wrażliwości na mróz (wskaźnik SE4), dotyczą badania materiału po pięciokrotnym zagęszczeniu metodą Proctora według PN EN 13286-2. </w:t>
      </w:r>
    </w:p>
    <w:p w14:paraId="6D9FBA4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Nie stawia się wymagań wobec wodoprzepuszczalności zagęszczonej mieszanki niezwiązanej do podbudowy pomocniczej. </w:t>
      </w:r>
    </w:p>
    <w:p w14:paraId="23BAB779"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2.4.5. Zawartość wody </w:t>
      </w:r>
    </w:p>
    <w:p w14:paraId="4D1D69E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Zawartość wody w mieszankach kruszyw powinna odpowiadać wymaganej zawartości wody w trakcie wbudowywania i zagęszczania określonej według PN-EN 13286-2, w granicach podanych w Tablicy 2.6. </w:t>
      </w:r>
    </w:p>
    <w:p w14:paraId="7C74D806"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2.4.6. Wskaźnik CBR </w:t>
      </w:r>
    </w:p>
    <w:p w14:paraId="299049D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Badanie CBR mieszanek do podbudowy pomocniczej należy wykonać na mieszance zagęszczonej do wskaźnika zagęszczenia I</w:t>
      </w:r>
      <w:r w:rsidRPr="00AD1E0F">
        <w:rPr>
          <w:rFonts w:ascii="Arial Narrow" w:eastAsia="Times New Roman" w:hAnsi="Arial Narrow" w:cs="Times New Roman"/>
          <w:sz w:val="20"/>
          <w:szCs w:val="20"/>
          <w:vertAlign w:val="subscript"/>
          <w:lang w:eastAsia="x-none"/>
        </w:rPr>
        <w:t>S</w:t>
      </w:r>
      <w:r w:rsidRPr="00AD1E0F">
        <w:rPr>
          <w:rFonts w:ascii="Arial Narrow" w:eastAsia="Times New Roman" w:hAnsi="Arial Narrow" w:cs="Times New Roman"/>
          <w:sz w:val="20"/>
          <w:szCs w:val="20"/>
          <w:lang w:eastAsia="x-none"/>
        </w:rPr>
        <w:t xml:space="preserve">=1,0 i po 96 godzinach przechowywania jej w wodzie. CBR oznaczyć wg PN-EN 13286-47. Wymaganie wg Tablicy 2.6. </w:t>
      </w:r>
    </w:p>
    <w:p w14:paraId="1F6E0AC9"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 xml:space="preserve">2.5. Wymagane właściwości mieszanki niezwiązanej do podbudowy zasadniczej </w:t>
      </w:r>
    </w:p>
    <w:p w14:paraId="5BA08BA6"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2.5.1. Zawartość pyłu </w:t>
      </w:r>
    </w:p>
    <w:p w14:paraId="391A35D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Maksymalna zawartość pyłów &lt; 0,063 mm w mieszankach kruszyw przeznaczonych do warstwy podbudowy zasadniczej, powinna spełniać wymagania kategorii podanej w Tablicy 2.6. </w:t>
      </w:r>
    </w:p>
    <w:p w14:paraId="3D9097C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Zawartość pyłów należy oznaczać wg PN-EN 933-1. </w:t>
      </w:r>
    </w:p>
    <w:p w14:paraId="6F1C88B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 przypadku słabych kruszyw zawartość pyłów w mieszance kruszyw należy również badać i deklarować, po 5 krotnym zagęszczeniu metodą Proctora. Zawartość pyłów w takiej mieszance, po pięciokrotnym zagęszczeniu metodą Proctora, powinna również spełniać wymagania podane w Tablicy 2.4. </w:t>
      </w:r>
    </w:p>
    <w:p w14:paraId="34B6786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Nie określa się wymagania wobec minimalnej zawartości pyłów &lt; 0,063 mm w mieszankach kruszyw do warstwy podbudowy zasadniczej. </w:t>
      </w:r>
    </w:p>
    <w:p w14:paraId="5735D4AB"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2.5.2. Zawartość nadziarna </w:t>
      </w:r>
    </w:p>
    <w:p w14:paraId="472C886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Określona według PN-EN 933-1 zawartość nadziarna w mieszankach kruszyw powinna spełniać wymagania podane w Tablicy 2.6. W przypadku słabych kruszyw decyduje zawartość nadziarna w mieszance kruszyw po pięciokrotnym zagęszczeniu metodą Proctora. </w:t>
      </w:r>
    </w:p>
    <w:p w14:paraId="1278A611"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2.5.3. Uziarnienie </w:t>
      </w:r>
    </w:p>
    <w:p w14:paraId="39878FD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Określone według PN-EN 933-1 uziarnienia mieszanek kruszyw, przeznaczonych do warstw podbudowy zasadniczej muszą spełniać wymagania przedstawione na rysunkach 2.4, 2.5 i 2.6. </w:t>
      </w:r>
    </w:p>
    <w:p w14:paraId="20A56D9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 przypadku słabych kruszyw uziarnienie mieszanki kruszyw należy również badać i deklarować, po 5 krotnym zagęszczeniu metodą Proctora. Kryterium przydatności takiej mieszanki, pod względem uziarnienia, jest spełnione, jeżeli uziarnienie mieszanki po pięciokrotnym zagęszczeniu metodą Proctora, mieści się w krzywych granicznych podanych na rysunku 2.4. </w:t>
      </w:r>
    </w:p>
    <w:p w14:paraId="056A0ED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Jako wymagane obowiązują tylko wymienione wartości liczbowe na rysunku. </w:t>
      </w:r>
    </w:p>
    <w:p w14:paraId="50C78DB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 </w:t>
      </w:r>
    </w:p>
    <w:p w14:paraId="12958AB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sz w:val="20"/>
          <w:szCs w:val="20"/>
          <w:lang w:eastAsia="x-none"/>
        </w:rPr>
        <w:t>Rys. 2.4</w:t>
      </w:r>
      <w:r w:rsidRPr="00AD1E0F">
        <w:rPr>
          <w:rFonts w:ascii="Arial Narrow" w:eastAsia="Times New Roman" w:hAnsi="Arial Narrow" w:cs="Times New Roman"/>
          <w:sz w:val="20"/>
          <w:szCs w:val="20"/>
          <w:lang w:eastAsia="x-none"/>
        </w:rPr>
        <w:t xml:space="preserve"> Krzywe graniczne uziarnienia mieszanki niezwiązanej 0/31,5 do warstw podbudowy zasadniczej </w:t>
      </w:r>
    </w:p>
    <w:p w14:paraId="0DF850E6" w14:textId="0F4247CE"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noProof/>
          <w:sz w:val="20"/>
          <w:szCs w:val="20"/>
          <w:lang w:eastAsia="pl-PL"/>
        </w:rPr>
        <w:drawing>
          <wp:inline distT="0" distB="0" distL="0" distR="0" wp14:anchorId="7F08FED4" wp14:editId="66ACD3B2">
            <wp:extent cx="3143250" cy="2162175"/>
            <wp:effectExtent l="0" t="0" r="0"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43250" cy="2162175"/>
                    </a:xfrm>
                    <a:prstGeom prst="rect">
                      <a:avLst/>
                    </a:prstGeom>
                    <a:noFill/>
                    <a:ln>
                      <a:noFill/>
                    </a:ln>
                  </pic:spPr>
                </pic:pic>
              </a:graphicData>
            </a:graphic>
          </wp:inline>
        </w:drawing>
      </w:r>
      <w:r w:rsidRPr="00AD1E0F">
        <w:rPr>
          <w:rFonts w:ascii="Arial Narrow" w:eastAsia="Times New Roman" w:hAnsi="Arial Narrow" w:cs="Times New Roman"/>
          <w:sz w:val="20"/>
          <w:szCs w:val="20"/>
          <w:lang w:eastAsia="x-none"/>
        </w:rPr>
        <w:t xml:space="preserve"> </w:t>
      </w:r>
    </w:p>
    <w:p w14:paraId="0A44520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sz w:val="20"/>
          <w:szCs w:val="20"/>
          <w:lang w:eastAsia="x-none"/>
        </w:rPr>
        <w:t xml:space="preserve"> </w:t>
      </w:r>
    </w:p>
    <w:p w14:paraId="7A0BEBD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Oprócz wymagań podanych na rysunku, wymaga się aby 90% uziarnień mieszanek zbadanych w ramach ZKP w okresie 6 miesięcy spełniało wymagania kategorii podanych  w tablicach 2.4 i 2.5, aby zapewnić jednorodność i ciągłość uziarnienia mieszanek. </w:t>
      </w:r>
    </w:p>
    <w:p w14:paraId="3664CA9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sz w:val="20"/>
          <w:szCs w:val="20"/>
          <w:lang w:eastAsia="x-none"/>
        </w:rPr>
        <w:t>Tablica 2.4.</w:t>
      </w:r>
      <w:r w:rsidRPr="00AD1E0F">
        <w:rPr>
          <w:rFonts w:ascii="Arial Narrow" w:eastAsia="Times New Roman" w:hAnsi="Arial Narrow" w:cs="Times New Roman"/>
          <w:sz w:val="20"/>
          <w:szCs w:val="20"/>
          <w:lang w:eastAsia="x-none"/>
        </w:rPr>
        <w:t xml:space="preserve"> Wymagania wobec jednorodności uziarnienia na sitach kontrolnych – porównanie z deklarowaną przez producenta wartością (S). Wymagania dotyczą produkowanej i dostarczanej mieszanki. Jeśli mieszanka zawiera nadmierną zawartość </w:t>
      </w:r>
      <w:r w:rsidRPr="00AD1E0F">
        <w:rPr>
          <w:rFonts w:ascii="Arial Narrow" w:eastAsia="Times New Roman" w:hAnsi="Arial Narrow" w:cs="Times New Roman"/>
          <w:sz w:val="20"/>
          <w:szCs w:val="20"/>
          <w:lang w:eastAsia="x-none"/>
        </w:rPr>
        <w:lastRenderedPageBreak/>
        <w:t xml:space="preserve">ziarn słabych, wymaganie dotyczy deklarowanego przez producenta uziarnienia mieszanki po pięciokrotnym zagęszczeniu metodą Proctora. </w:t>
      </w:r>
    </w:p>
    <w:tbl>
      <w:tblPr>
        <w:tblW w:w="9429" w:type="dxa"/>
        <w:tblInd w:w="252" w:type="dxa"/>
        <w:tblCellMar>
          <w:top w:w="50" w:type="dxa"/>
          <w:left w:w="115" w:type="dxa"/>
          <w:right w:w="115" w:type="dxa"/>
        </w:tblCellMar>
        <w:tblLook w:val="04A0" w:firstRow="1" w:lastRow="0" w:firstColumn="1" w:lastColumn="0" w:noHBand="0" w:noVBand="1"/>
      </w:tblPr>
      <w:tblGrid>
        <w:gridCol w:w="1488"/>
        <w:gridCol w:w="795"/>
        <w:gridCol w:w="792"/>
        <w:gridCol w:w="794"/>
        <w:gridCol w:w="795"/>
        <w:gridCol w:w="794"/>
        <w:gridCol w:w="792"/>
        <w:gridCol w:w="795"/>
        <w:gridCol w:w="794"/>
        <w:gridCol w:w="795"/>
        <w:gridCol w:w="795"/>
      </w:tblGrid>
      <w:tr w:rsidR="00AD1E0F" w:rsidRPr="00AD1E0F" w14:paraId="0F8CDC75" w14:textId="77777777" w:rsidTr="00855929">
        <w:trPr>
          <w:trHeight w:val="449"/>
        </w:trPr>
        <w:tc>
          <w:tcPr>
            <w:tcW w:w="148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3BCD10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Mieszanka niezwiązana </w:t>
            </w:r>
          </w:p>
        </w:tc>
        <w:tc>
          <w:tcPr>
            <w:tcW w:w="795" w:type="dxa"/>
            <w:tcBorders>
              <w:top w:val="single" w:sz="4" w:space="0" w:color="000000"/>
              <w:left w:val="single" w:sz="4" w:space="0" w:color="000000"/>
              <w:bottom w:val="single" w:sz="4" w:space="0" w:color="000000"/>
              <w:right w:val="nil"/>
            </w:tcBorders>
            <w:shd w:val="clear" w:color="auto" w:fill="auto"/>
          </w:tcPr>
          <w:p w14:paraId="0DAAFE8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6351" w:type="dxa"/>
            <w:gridSpan w:val="8"/>
            <w:tcBorders>
              <w:top w:val="single" w:sz="4" w:space="0" w:color="000000"/>
              <w:left w:val="nil"/>
              <w:bottom w:val="single" w:sz="4" w:space="0" w:color="000000"/>
              <w:right w:val="nil"/>
            </w:tcBorders>
            <w:shd w:val="clear" w:color="auto" w:fill="auto"/>
          </w:tcPr>
          <w:p w14:paraId="73F2B7A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Porównanie z deklarowaną przez producenta wartością (S) Tolerancje przesiewu przez sito (mm), % (M/m) </w:t>
            </w:r>
          </w:p>
        </w:tc>
        <w:tc>
          <w:tcPr>
            <w:tcW w:w="795" w:type="dxa"/>
            <w:tcBorders>
              <w:top w:val="single" w:sz="4" w:space="0" w:color="000000"/>
              <w:left w:val="nil"/>
              <w:bottom w:val="single" w:sz="4" w:space="0" w:color="000000"/>
              <w:right w:val="single" w:sz="4" w:space="0" w:color="000000"/>
            </w:tcBorders>
            <w:shd w:val="clear" w:color="auto" w:fill="auto"/>
            <w:vAlign w:val="center"/>
          </w:tcPr>
          <w:p w14:paraId="417DBB7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r>
      <w:tr w:rsidR="00AD1E0F" w:rsidRPr="00AD1E0F" w14:paraId="5CB088E8" w14:textId="77777777" w:rsidTr="00855929">
        <w:trPr>
          <w:trHeight w:val="228"/>
        </w:trPr>
        <w:tc>
          <w:tcPr>
            <w:tcW w:w="0" w:type="auto"/>
            <w:vMerge/>
            <w:tcBorders>
              <w:top w:val="nil"/>
              <w:left w:val="single" w:sz="4" w:space="0" w:color="000000"/>
              <w:bottom w:val="single" w:sz="4" w:space="0" w:color="000000"/>
              <w:right w:val="single" w:sz="4" w:space="0" w:color="000000"/>
            </w:tcBorders>
            <w:shd w:val="clear" w:color="auto" w:fill="auto"/>
          </w:tcPr>
          <w:p w14:paraId="29F2386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4C6A1D8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0,5 </w:t>
            </w:r>
          </w:p>
        </w:tc>
        <w:tc>
          <w:tcPr>
            <w:tcW w:w="792" w:type="dxa"/>
            <w:tcBorders>
              <w:top w:val="single" w:sz="4" w:space="0" w:color="000000"/>
              <w:left w:val="single" w:sz="4" w:space="0" w:color="000000"/>
              <w:bottom w:val="single" w:sz="4" w:space="0" w:color="000000"/>
              <w:right w:val="single" w:sz="4" w:space="0" w:color="000000"/>
            </w:tcBorders>
            <w:shd w:val="clear" w:color="auto" w:fill="auto"/>
          </w:tcPr>
          <w:p w14:paraId="1DFBD60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 </w:t>
            </w:r>
          </w:p>
        </w:tc>
        <w:tc>
          <w:tcPr>
            <w:tcW w:w="794" w:type="dxa"/>
            <w:tcBorders>
              <w:top w:val="single" w:sz="4" w:space="0" w:color="000000"/>
              <w:left w:val="single" w:sz="4" w:space="0" w:color="000000"/>
              <w:bottom w:val="single" w:sz="4" w:space="0" w:color="000000"/>
              <w:right w:val="single" w:sz="4" w:space="0" w:color="000000"/>
            </w:tcBorders>
            <w:shd w:val="clear" w:color="auto" w:fill="auto"/>
          </w:tcPr>
          <w:p w14:paraId="614DB7E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2 </w:t>
            </w: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7D952D6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4 </w:t>
            </w:r>
          </w:p>
        </w:tc>
        <w:tc>
          <w:tcPr>
            <w:tcW w:w="794" w:type="dxa"/>
            <w:tcBorders>
              <w:top w:val="single" w:sz="4" w:space="0" w:color="000000"/>
              <w:left w:val="single" w:sz="4" w:space="0" w:color="000000"/>
              <w:bottom w:val="single" w:sz="4" w:space="0" w:color="000000"/>
              <w:right w:val="single" w:sz="4" w:space="0" w:color="000000"/>
            </w:tcBorders>
            <w:shd w:val="clear" w:color="auto" w:fill="auto"/>
          </w:tcPr>
          <w:p w14:paraId="5EFC88E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5,6 </w:t>
            </w:r>
          </w:p>
        </w:tc>
        <w:tc>
          <w:tcPr>
            <w:tcW w:w="792" w:type="dxa"/>
            <w:tcBorders>
              <w:top w:val="single" w:sz="4" w:space="0" w:color="000000"/>
              <w:left w:val="single" w:sz="4" w:space="0" w:color="000000"/>
              <w:bottom w:val="single" w:sz="4" w:space="0" w:color="000000"/>
              <w:right w:val="single" w:sz="4" w:space="0" w:color="000000"/>
            </w:tcBorders>
            <w:shd w:val="clear" w:color="auto" w:fill="auto"/>
          </w:tcPr>
          <w:p w14:paraId="191C41A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8 </w:t>
            </w: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6C0FB80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11,2 </w:t>
            </w:r>
          </w:p>
        </w:tc>
        <w:tc>
          <w:tcPr>
            <w:tcW w:w="794" w:type="dxa"/>
            <w:tcBorders>
              <w:top w:val="single" w:sz="4" w:space="0" w:color="000000"/>
              <w:left w:val="single" w:sz="4" w:space="0" w:color="000000"/>
              <w:bottom w:val="single" w:sz="4" w:space="0" w:color="000000"/>
              <w:right w:val="single" w:sz="4" w:space="0" w:color="000000"/>
            </w:tcBorders>
            <w:shd w:val="clear" w:color="auto" w:fill="auto"/>
          </w:tcPr>
          <w:p w14:paraId="3213B0E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16 </w:t>
            </w: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38761EA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22,4 </w:t>
            </w: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2681CD5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31,5 </w:t>
            </w:r>
          </w:p>
        </w:tc>
      </w:tr>
      <w:tr w:rsidR="00AD1E0F" w:rsidRPr="00AD1E0F" w14:paraId="712E1F46" w14:textId="77777777" w:rsidTr="00855929">
        <w:trPr>
          <w:trHeight w:val="228"/>
        </w:trPr>
        <w:tc>
          <w:tcPr>
            <w:tcW w:w="1488" w:type="dxa"/>
            <w:tcBorders>
              <w:top w:val="single" w:sz="4" w:space="0" w:color="000000"/>
              <w:left w:val="single" w:sz="4" w:space="0" w:color="000000"/>
              <w:bottom w:val="single" w:sz="4" w:space="0" w:color="000000"/>
              <w:right w:val="single" w:sz="4" w:space="0" w:color="000000"/>
            </w:tcBorders>
            <w:shd w:val="clear" w:color="auto" w:fill="auto"/>
          </w:tcPr>
          <w:p w14:paraId="7B810C7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0/31,5 </w:t>
            </w: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20C8F9F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±5 </w:t>
            </w:r>
          </w:p>
        </w:tc>
        <w:tc>
          <w:tcPr>
            <w:tcW w:w="792" w:type="dxa"/>
            <w:tcBorders>
              <w:top w:val="single" w:sz="4" w:space="0" w:color="000000"/>
              <w:left w:val="single" w:sz="4" w:space="0" w:color="000000"/>
              <w:bottom w:val="single" w:sz="4" w:space="0" w:color="000000"/>
              <w:right w:val="single" w:sz="4" w:space="0" w:color="000000"/>
            </w:tcBorders>
            <w:shd w:val="clear" w:color="auto" w:fill="auto"/>
          </w:tcPr>
          <w:p w14:paraId="592966F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±5 </w:t>
            </w:r>
          </w:p>
        </w:tc>
        <w:tc>
          <w:tcPr>
            <w:tcW w:w="794" w:type="dxa"/>
            <w:tcBorders>
              <w:top w:val="single" w:sz="4" w:space="0" w:color="000000"/>
              <w:left w:val="single" w:sz="4" w:space="0" w:color="000000"/>
              <w:bottom w:val="single" w:sz="4" w:space="0" w:color="000000"/>
              <w:right w:val="single" w:sz="4" w:space="0" w:color="000000"/>
            </w:tcBorders>
            <w:shd w:val="clear" w:color="auto" w:fill="auto"/>
          </w:tcPr>
          <w:p w14:paraId="2461135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±7 </w:t>
            </w: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3B2EB34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±8 </w:t>
            </w:r>
          </w:p>
        </w:tc>
        <w:tc>
          <w:tcPr>
            <w:tcW w:w="794" w:type="dxa"/>
            <w:tcBorders>
              <w:top w:val="single" w:sz="4" w:space="0" w:color="000000"/>
              <w:left w:val="single" w:sz="4" w:space="0" w:color="000000"/>
              <w:bottom w:val="single" w:sz="4" w:space="0" w:color="000000"/>
              <w:right w:val="single" w:sz="4" w:space="0" w:color="000000"/>
            </w:tcBorders>
            <w:shd w:val="clear" w:color="auto" w:fill="auto"/>
          </w:tcPr>
          <w:p w14:paraId="099FEAF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792" w:type="dxa"/>
            <w:tcBorders>
              <w:top w:val="single" w:sz="4" w:space="0" w:color="000000"/>
              <w:left w:val="single" w:sz="4" w:space="0" w:color="000000"/>
              <w:bottom w:val="single" w:sz="4" w:space="0" w:color="000000"/>
              <w:right w:val="single" w:sz="4" w:space="0" w:color="000000"/>
            </w:tcBorders>
            <w:shd w:val="clear" w:color="auto" w:fill="auto"/>
          </w:tcPr>
          <w:p w14:paraId="570575C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±8 </w:t>
            </w: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0783EC5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794" w:type="dxa"/>
            <w:tcBorders>
              <w:top w:val="single" w:sz="4" w:space="0" w:color="000000"/>
              <w:left w:val="single" w:sz="4" w:space="0" w:color="000000"/>
              <w:bottom w:val="single" w:sz="4" w:space="0" w:color="000000"/>
              <w:right w:val="single" w:sz="4" w:space="0" w:color="000000"/>
            </w:tcBorders>
            <w:shd w:val="clear" w:color="auto" w:fill="auto"/>
          </w:tcPr>
          <w:p w14:paraId="6B0DD2E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±8 </w:t>
            </w: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0C604B2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795" w:type="dxa"/>
            <w:tcBorders>
              <w:top w:val="single" w:sz="4" w:space="0" w:color="000000"/>
              <w:left w:val="single" w:sz="4" w:space="0" w:color="000000"/>
              <w:bottom w:val="single" w:sz="4" w:space="0" w:color="000000"/>
              <w:right w:val="single" w:sz="4" w:space="0" w:color="000000"/>
            </w:tcBorders>
            <w:shd w:val="clear" w:color="auto" w:fill="auto"/>
          </w:tcPr>
          <w:p w14:paraId="652FADD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r>
    </w:tbl>
    <w:p w14:paraId="1172A36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Krzywa uziarnienia (S) deklarowana przez producenta mieszanek powinna nie tylko mieścić się w odpowiednich krzywych uziarnienia ograniczonych przerywanymi liniami (SVD) z uwzględnieniem dopuszczalnych tolerancji podanych w Tablicy 2.4, ale powinna spełniać także wymagania ciągłości uziarnienia zawarte w Tablicy 2.5. </w:t>
      </w:r>
    </w:p>
    <w:p w14:paraId="75F3CB0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sz w:val="20"/>
          <w:szCs w:val="20"/>
          <w:lang w:eastAsia="x-none"/>
        </w:rPr>
        <w:t>Tablica 2.5.</w:t>
      </w:r>
      <w:r w:rsidRPr="00AD1E0F">
        <w:rPr>
          <w:rFonts w:ascii="Arial Narrow" w:eastAsia="Times New Roman" w:hAnsi="Arial Narrow" w:cs="Times New Roman"/>
          <w:sz w:val="20"/>
          <w:szCs w:val="20"/>
          <w:lang w:eastAsia="x-none"/>
        </w:rPr>
        <w:t xml:space="preserve"> Wymagania wobec ciągłości uziarnienia na sitach kontrolnych – różnice w przesiewach podczas badań kontrolnych produkowanych mieszanek </w:t>
      </w:r>
    </w:p>
    <w:tbl>
      <w:tblPr>
        <w:tblW w:w="9489" w:type="dxa"/>
        <w:tblInd w:w="252" w:type="dxa"/>
        <w:tblCellMar>
          <w:top w:w="45" w:type="dxa"/>
          <w:left w:w="67" w:type="dxa"/>
          <w:right w:w="13" w:type="dxa"/>
        </w:tblCellMar>
        <w:tblLook w:val="04A0" w:firstRow="1" w:lastRow="0" w:firstColumn="1" w:lastColumn="0" w:noHBand="0" w:noVBand="1"/>
      </w:tblPr>
      <w:tblGrid>
        <w:gridCol w:w="1326"/>
        <w:gridCol w:w="487"/>
        <w:gridCol w:w="534"/>
        <w:gridCol w:w="487"/>
        <w:gridCol w:w="533"/>
        <w:gridCol w:w="487"/>
        <w:gridCol w:w="533"/>
        <w:gridCol w:w="487"/>
        <w:gridCol w:w="533"/>
        <w:gridCol w:w="487"/>
        <w:gridCol w:w="533"/>
        <w:gridCol w:w="488"/>
        <w:gridCol w:w="533"/>
        <w:gridCol w:w="487"/>
        <w:gridCol w:w="533"/>
        <w:gridCol w:w="488"/>
        <w:gridCol w:w="533"/>
      </w:tblGrid>
      <w:tr w:rsidR="00AD1E0F" w:rsidRPr="00AD1E0F" w14:paraId="0A08F741" w14:textId="77777777" w:rsidTr="00855929">
        <w:trPr>
          <w:trHeight w:val="449"/>
        </w:trPr>
        <w:tc>
          <w:tcPr>
            <w:tcW w:w="132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4C0F49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Mieszanka </w:t>
            </w:r>
          </w:p>
        </w:tc>
        <w:tc>
          <w:tcPr>
            <w:tcW w:w="8163" w:type="dxa"/>
            <w:gridSpan w:val="16"/>
            <w:tcBorders>
              <w:top w:val="single" w:sz="4" w:space="0" w:color="000000"/>
              <w:left w:val="single" w:sz="4" w:space="0" w:color="000000"/>
              <w:bottom w:val="single" w:sz="4" w:space="0" w:color="000000"/>
              <w:right w:val="single" w:sz="4" w:space="0" w:color="000000"/>
            </w:tcBorders>
            <w:shd w:val="clear" w:color="auto" w:fill="auto"/>
          </w:tcPr>
          <w:p w14:paraId="1973C99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Minimalna i maksymalna zawartość frakcji w mieszankach, [różnice przesiewów w % (m/m) przez sito (mm)] </w:t>
            </w:r>
          </w:p>
        </w:tc>
      </w:tr>
      <w:tr w:rsidR="00AD1E0F" w:rsidRPr="00AD1E0F" w14:paraId="3CCF5808" w14:textId="77777777" w:rsidTr="00855929">
        <w:trPr>
          <w:trHeight w:val="229"/>
        </w:trPr>
        <w:tc>
          <w:tcPr>
            <w:tcW w:w="0" w:type="auto"/>
            <w:vMerge/>
            <w:tcBorders>
              <w:top w:val="nil"/>
              <w:left w:val="single" w:sz="4" w:space="0" w:color="000000"/>
              <w:bottom w:val="single" w:sz="4" w:space="0" w:color="000000"/>
              <w:right w:val="single" w:sz="4" w:space="0" w:color="000000"/>
            </w:tcBorders>
            <w:shd w:val="clear" w:color="auto" w:fill="auto"/>
          </w:tcPr>
          <w:p w14:paraId="15022CD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1021" w:type="dxa"/>
            <w:gridSpan w:val="2"/>
            <w:tcBorders>
              <w:top w:val="single" w:sz="4" w:space="0" w:color="000000"/>
              <w:left w:val="single" w:sz="4" w:space="0" w:color="000000"/>
              <w:bottom w:val="single" w:sz="4" w:space="0" w:color="000000"/>
              <w:right w:val="single" w:sz="4" w:space="0" w:color="000000"/>
            </w:tcBorders>
            <w:shd w:val="clear" w:color="auto" w:fill="auto"/>
          </w:tcPr>
          <w:p w14:paraId="0F7EFEB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1/2 </w:t>
            </w:r>
          </w:p>
        </w:tc>
        <w:tc>
          <w:tcPr>
            <w:tcW w:w="1020" w:type="dxa"/>
            <w:gridSpan w:val="2"/>
            <w:tcBorders>
              <w:top w:val="single" w:sz="4" w:space="0" w:color="000000"/>
              <w:left w:val="single" w:sz="4" w:space="0" w:color="000000"/>
              <w:bottom w:val="single" w:sz="4" w:space="0" w:color="000000"/>
              <w:right w:val="single" w:sz="4" w:space="0" w:color="000000"/>
            </w:tcBorders>
            <w:shd w:val="clear" w:color="auto" w:fill="auto"/>
          </w:tcPr>
          <w:p w14:paraId="15FF48D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2/4 </w:t>
            </w:r>
          </w:p>
        </w:tc>
        <w:tc>
          <w:tcPr>
            <w:tcW w:w="1020" w:type="dxa"/>
            <w:gridSpan w:val="2"/>
            <w:tcBorders>
              <w:top w:val="single" w:sz="4" w:space="0" w:color="000000"/>
              <w:left w:val="single" w:sz="4" w:space="0" w:color="000000"/>
              <w:bottom w:val="single" w:sz="4" w:space="0" w:color="000000"/>
              <w:right w:val="single" w:sz="4" w:space="0" w:color="000000"/>
            </w:tcBorders>
            <w:shd w:val="clear" w:color="auto" w:fill="auto"/>
          </w:tcPr>
          <w:p w14:paraId="7D9A321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2/5,6 </w:t>
            </w:r>
          </w:p>
        </w:tc>
        <w:tc>
          <w:tcPr>
            <w:tcW w:w="1020" w:type="dxa"/>
            <w:gridSpan w:val="2"/>
            <w:tcBorders>
              <w:top w:val="single" w:sz="4" w:space="0" w:color="000000"/>
              <w:left w:val="single" w:sz="4" w:space="0" w:color="000000"/>
              <w:bottom w:val="single" w:sz="4" w:space="0" w:color="000000"/>
              <w:right w:val="single" w:sz="4" w:space="0" w:color="000000"/>
            </w:tcBorders>
            <w:shd w:val="clear" w:color="auto" w:fill="auto"/>
          </w:tcPr>
          <w:p w14:paraId="1F7FF82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4/8 </w:t>
            </w:r>
          </w:p>
        </w:tc>
        <w:tc>
          <w:tcPr>
            <w:tcW w:w="1020" w:type="dxa"/>
            <w:gridSpan w:val="2"/>
            <w:tcBorders>
              <w:top w:val="single" w:sz="4" w:space="0" w:color="000000"/>
              <w:left w:val="single" w:sz="4" w:space="0" w:color="000000"/>
              <w:bottom w:val="single" w:sz="4" w:space="0" w:color="000000"/>
              <w:right w:val="single" w:sz="4" w:space="0" w:color="000000"/>
            </w:tcBorders>
            <w:shd w:val="clear" w:color="auto" w:fill="auto"/>
          </w:tcPr>
          <w:p w14:paraId="0B60477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5,6/11/2 </w:t>
            </w:r>
          </w:p>
        </w:tc>
        <w:tc>
          <w:tcPr>
            <w:tcW w:w="1021" w:type="dxa"/>
            <w:gridSpan w:val="2"/>
            <w:tcBorders>
              <w:top w:val="single" w:sz="4" w:space="0" w:color="000000"/>
              <w:left w:val="single" w:sz="4" w:space="0" w:color="000000"/>
              <w:bottom w:val="single" w:sz="4" w:space="0" w:color="000000"/>
              <w:right w:val="single" w:sz="4" w:space="0" w:color="000000"/>
            </w:tcBorders>
            <w:shd w:val="clear" w:color="auto" w:fill="auto"/>
          </w:tcPr>
          <w:p w14:paraId="07A167E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8/16 </w:t>
            </w:r>
          </w:p>
        </w:tc>
        <w:tc>
          <w:tcPr>
            <w:tcW w:w="1020" w:type="dxa"/>
            <w:gridSpan w:val="2"/>
            <w:tcBorders>
              <w:top w:val="single" w:sz="4" w:space="0" w:color="000000"/>
              <w:left w:val="single" w:sz="4" w:space="0" w:color="000000"/>
              <w:bottom w:val="single" w:sz="4" w:space="0" w:color="000000"/>
              <w:right w:val="single" w:sz="4" w:space="0" w:color="000000"/>
            </w:tcBorders>
            <w:shd w:val="clear" w:color="auto" w:fill="auto"/>
          </w:tcPr>
          <w:p w14:paraId="561C0F6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11,2/22,4 </w:t>
            </w:r>
          </w:p>
        </w:tc>
        <w:tc>
          <w:tcPr>
            <w:tcW w:w="1021" w:type="dxa"/>
            <w:gridSpan w:val="2"/>
            <w:tcBorders>
              <w:top w:val="single" w:sz="4" w:space="0" w:color="000000"/>
              <w:left w:val="single" w:sz="4" w:space="0" w:color="000000"/>
              <w:bottom w:val="single" w:sz="4" w:space="0" w:color="000000"/>
              <w:right w:val="single" w:sz="4" w:space="0" w:color="000000"/>
            </w:tcBorders>
            <w:shd w:val="clear" w:color="auto" w:fill="auto"/>
          </w:tcPr>
          <w:p w14:paraId="0D88311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16/31/5 </w:t>
            </w:r>
          </w:p>
        </w:tc>
      </w:tr>
      <w:tr w:rsidR="00AD1E0F" w:rsidRPr="00AD1E0F" w14:paraId="5247B49A" w14:textId="77777777" w:rsidTr="00855929">
        <w:trPr>
          <w:trHeight w:val="204"/>
        </w:trPr>
        <w:tc>
          <w:tcPr>
            <w:tcW w:w="132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970F23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0/31,5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7D09E50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14:paraId="7FA31EE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max.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2FE6093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26FB855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max.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1A36A9E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3E20DA3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max.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0D60148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3A010AE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max.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550C747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9DDFC8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max. </w:t>
            </w:r>
          </w:p>
        </w:tc>
        <w:tc>
          <w:tcPr>
            <w:tcW w:w="488" w:type="dxa"/>
            <w:tcBorders>
              <w:top w:val="single" w:sz="4" w:space="0" w:color="000000"/>
              <w:left w:val="single" w:sz="4" w:space="0" w:color="000000"/>
              <w:bottom w:val="single" w:sz="4" w:space="0" w:color="000000"/>
              <w:right w:val="single" w:sz="4" w:space="0" w:color="000000"/>
            </w:tcBorders>
            <w:shd w:val="clear" w:color="auto" w:fill="auto"/>
          </w:tcPr>
          <w:p w14:paraId="342DE9C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606EB1F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max.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11AD2FF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3C14C54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max. </w:t>
            </w:r>
          </w:p>
        </w:tc>
        <w:tc>
          <w:tcPr>
            <w:tcW w:w="488" w:type="dxa"/>
            <w:tcBorders>
              <w:top w:val="single" w:sz="4" w:space="0" w:color="000000"/>
              <w:left w:val="single" w:sz="4" w:space="0" w:color="000000"/>
              <w:bottom w:val="single" w:sz="4" w:space="0" w:color="000000"/>
              <w:right w:val="single" w:sz="4" w:space="0" w:color="000000"/>
            </w:tcBorders>
            <w:shd w:val="clear" w:color="auto" w:fill="auto"/>
          </w:tcPr>
          <w:p w14:paraId="03E2273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16082A3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max. </w:t>
            </w:r>
          </w:p>
        </w:tc>
      </w:tr>
      <w:tr w:rsidR="00AD1E0F" w:rsidRPr="00AD1E0F" w14:paraId="1E218550" w14:textId="77777777" w:rsidTr="00855929">
        <w:trPr>
          <w:trHeight w:val="230"/>
        </w:trPr>
        <w:tc>
          <w:tcPr>
            <w:tcW w:w="0" w:type="auto"/>
            <w:vMerge/>
            <w:tcBorders>
              <w:top w:val="nil"/>
              <w:left w:val="single" w:sz="4" w:space="0" w:color="000000"/>
              <w:bottom w:val="single" w:sz="4" w:space="0" w:color="000000"/>
              <w:right w:val="single" w:sz="4" w:space="0" w:color="000000"/>
            </w:tcBorders>
            <w:shd w:val="clear" w:color="auto" w:fill="auto"/>
            <w:vAlign w:val="center"/>
          </w:tcPr>
          <w:p w14:paraId="23E85C2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24230BD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4 </w:t>
            </w:r>
          </w:p>
        </w:tc>
        <w:tc>
          <w:tcPr>
            <w:tcW w:w="534" w:type="dxa"/>
            <w:tcBorders>
              <w:top w:val="single" w:sz="4" w:space="0" w:color="000000"/>
              <w:left w:val="single" w:sz="4" w:space="0" w:color="000000"/>
              <w:bottom w:val="single" w:sz="4" w:space="0" w:color="000000"/>
              <w:right w:val="single" w:sz="4" w:space="0" w:color="000000"/>
            </w:tcBorders>
            <w:shd w:val="clear" w:color="auto" w:fill="auto"/>
          </w:tcPr>
          <w:p w14:paraId="6F8A3D9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15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256A188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7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23B0BD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20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5E4318E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F1FBE1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0FCD816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10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9EB2E7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25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2E61FBA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FFFCB2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488" w:type="dxa"/>
            <w:tcBorders>
              <w:top w:val="single" w:sz="4" w:space="0" w:color="000000"/>
              <w:left w:val="single" w:sz="4" w:space="0" w:color="000000"/>
              <w:bottom w:val="single" w:sz="4" w:space="0" w:color="000000"/>
              <w:right w:val="single" w:sz="4" w:space="0" w:color="000000"/>
            </w:tcBorders>
            <w:shd w:val="clear" w:color="auto" w:fill="auto"/>
          </w:tcPr>
          <w:p w14:paraId="132235D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10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227877D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25 </w:t>
            </w:r>
          </w:p>
        </w:tc>
        <w:tc>
          <w:tcPr>
            <w:tcW w:w="487" w:type="dxa"/>
            <w:tcBorders>
              <w:top w:val="single" w:sz="4" w:space="0" w:color="000000"/>
              <w:left w:val="single" w:sz="4" w:space="0" w:color="000000"/>
              <w:bottom w:val="single" w:sz="4" w:space="0" w:color="000000"/>
              <w:right w:val="single" w:sz="4" w:space="0" w:color="000000"/>
            </w:tcBorders>
            <w:shd w:val="clear" w:color="auto" w:fill="auto"/>
          </w:tcPr>
          <w:p w14:paraId="02991FF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76BD91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488" w:type="dxa"/>
            <w:tcBorders>
              <w:top w:val="single" w:sz="4" w:space="0" w:color="000000"/>
              <w:left w:val="single" w:sz="4" w:space="0" w:color="000000"/>
              <w:bottom w:val="single" w:sz="4" w:space="0" w:color="000000"/>
              <w:right w:val="single" w:sz="4" w:space="0" w:color="000000"/>
            </w:tcBorders>
            <w:shd w:val="clear" w:color="auto" w:fill="auto"/>
          </w:tcPr>
          <w:p w14:paraId="0F740E1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24D64D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r>
    </w:tbl>
    <w:p w14:paraId="07040A62"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2.5.4. Wrażliwość na mróz, wodoprzepuszczalność </w:t>
      </w:r>
    </w:p>
    <w:p w14:paraId="410F0D8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Mieszanki kruszyw stosowane do warstw podbudów zasadniczych powinny spełniać wymagania Tablicy 2.6. </w:t>
      </w:r>
    </w:p>
    <w:p w14:paraId="7987735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Wymagania wobec mieszanek przeznaczonych do warstw podbudowy zasadniczej odnośnie wrażliwości na mróz (wskaźnik SE4), dotyczą badania materiału po pięciokrotnym zagęszczeniu metodą Proctora według PN EN 13286-2. </w:t>
      </w:r>
    </w:p>
    <w:p w14:paraId="5C600B3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Nie stawia się wymagań wobec wodoprzepuszczalności zagęszczonej mieszanki niezwiązanej do podbudowy zasadniczej. </w:t>
      </w:r>
    </w:p>
    <w:p w14:paraId="6B9B5C0D"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2.5.5. Zawartość wody </w:t>
      </w:r>
    </w:p>
    <w:p w14:paraId="4227507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Zawartość wody w mieszankach kruszyw powinna odpowiadać wymaganej zawartości wody w trakcie wbudowywania i zagęszczania określonej według PN-EN 13286-2, w granicach podanych w Tablicy 2.6. </w:t>
      </w:r>
    </w:p>
    <w:p w14:paraId="7946B4E0"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2.5.6. Wskaźnik nośności CBR </w:t>
      </w:r>
    </w:p>
    <w:p w14:paraId="2895F8C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Badanie CBR mieszanek do podbudowy zasadniczej należy wykonać na mieszance zagęszczonej metodą Proctora do wskaźnika zagęszczenia I</w:t>
      </w:r>
      <w:r w:rsidRPr="00AD1E0F">
        <w:rPr>
          <w:rFonts w:ascii="Arial Narrow" w:eastAsia="Times New Roman" w:hAnsi="Arial Narrow" w:cs="Times New Roman"/>
          <w:sz w:val="20"/>
          <w:szCs w:val="20"/>
          <w:vertAlign w:val="subscript"/>
          <w:lang w:eastAsia="x-none"/>
        </w:rPr>
        <w:t>S</w:t>
      </w:r>
      <w:r w:rsidRPr="00AD1E0F">
        <w:rPr>
          <w:rFonts w:ascii="Arial Narrow" w:eastAsia="Times New Roman" w:hAnsi="Arial Narrow" w:cs="Times New Roman"/>
          <w:sz w:val="20"/>
          <w:szCs w:val="20"/>
          <w:lang w:eastAsia="x-none"/>
        </w:rPr>
        <w:t xml:space="preserve">=1,0 i po 96 godzinach przechowywania jej w wodzie. CBR oznaczyć wg PN-EN 13286-47. Wymaganie wg Tablicy 2.6. </w:t>
      </w:r>
    </w:p>
    <w:p w14:paraId="1C769B07"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2.</w:t>
      </w:r>
      <w:r w:rsidRPr="00AD1E0F">
        <w:rPr>
          <w:rFonts w:ascii="Arial Narrow" w:eastAsia="Times New Roman" w:hAnsi="Arial Narrow" w:cs="Times New Roman"/>
          <w:b/>
          <w:sz w:val="28"/>
          <w:szCs w:val="20"/>
          <w:lang w:eastAsia="x-none"/>
        </w:rPr>
        <w:t>6</w:t>
      </w:r>
      <w:r w:rsidRPr="00AD1E0F">
        <w:rPr>
          <w:rFonts w:ascii="Arial Narrow" w:eastAsia="Times New Roman" w:hAnsi="Arial Narrow" w:cs="Times New Roman"/>
          <w:b/>
          <w:sz w:val="28"/>
          <w:szCs w:val="20"/>
          <w:lang w:val="x-none" w:eastAsia="x-none"/>
        </w:rPr>
        <w:t xml:space="preserve">. Woda </w:t>
      </w:r>
    </w:p>
    <w:p w14:paraId="0D262B1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Do zwilżania kruszywa stosuje się wodę spełniającą wymagania PN-EN 1008. </w:t>
      </w:r>
    </w:p>
    <w:p w14:paraId="0C50F3FF"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2.</w:t>
      </w:r>
      <w:r w:rsidRPr="00AD1E0F">
        <w:rPr>
          <w:rFonts w:ascii="Arial Narrow" w:eastAsia="Times New Roman" w:hAnsi="Arial Narrow" w:cs="Times New Roman"/>
          <w:b/>
          <w:sz w:val="28"/>
          <w:szCs w:val="20"/>
          <w:lang w:eastAsia="x-none"/>
        </w:rPr>
        <w:t>7</w:t>
      </w:r>
      <w:r w:rsidRPr="00AD1E0F">
        <w:rPr>
          <w:rFonts w:ascii="Arial Narrow" w:eastAsia="Times New Roman" w:hAnsi="Arial Narrow" w:cs="Times New Roman"/>
          <w:b/>
          <w:sz w:val="28"/>
          <w:szCs w:val="20"/>
          <w:lang w:val="x-none" w:eastAsia="x-none"/>
        </w:rPr>
        <w:t xml:space="preserve">. Kontrola jakości materiałów w okresie dostaw </w:t>
      </w:r>
    </w:p>
    <w:p w14:paraId="18AD25C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Kontrola jakości materiałów polega na przeprowadzeniu badań cech fizycznych materiałów na reprezentatywnych próbkach dla partii kruszywa i porównaniu wyników z wymaganiami określonymi w p.2.3. </w:t>
      </w:r>
    </w:p>
    <w:p w14:paraId="458FEABC"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2.</w:t>
      </w:r>
      <w:r w:rsidRPr="00AD1E0F">
        <w:rPr>
          <w:rFonts w:ascii="Arial Narrow" w:eastAsia="Times New Roman" w:hAnsi="Arial Narrow" w:cs="Times New Roman"/>
          <w:b/>
          <w:sz w:val="28"/>
          <w:szCs w:val="20"/>
          <w:lang w:eastAsia="x-none"/>
        </w:rPr>
        <w:t>8</w:t>
      </w:r>
      <w:r w:rsidRPr="00AD1E0F">
        <w:rPr>
          <w:rFonts w:ascii="Arial Narrow" w:eastAsia="Times New Roman" w:hAnsi="Arial Narrow" w:cs="Times New Roman"/>
          <w:b/>
          <w:sz w:val="28"/>
          <w:szCs w:val="20"/>
          <w:lang w:val="x-none" w:eastAsia="x-none"/>
        </w:rPr>
        <w:t xml:space="preserve">. Dodatkowe wymagania </w:t>
      </w:r>
    </w:p>
    <w:p w14:paraId="3D2D102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Podbudowa wykonywana bezpośrednio na podłożu gruntowym powinna spełniać warunek szczelności warstwy (nieprzenikania cząstek): </w:t>
      </w:r>
    </w:p>
    <w:p w14:paraId="04D18A8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Cambria Math" w:eastAsia="Times New Roman" w:hAnsi="Cambria Math" w:cs="Cambria Math"/>
          <w:sz w:val="20"/>
          <w:szCs w:val="20"/>
          <w:lang w:eastAsia="x-none"/>
        </w:rPr>
        <w:t>𝐷</w:t>
      </w:r>
      <w:r w:rsidRPr="00AD1E0F">
        <w:rPr>
          <w:rFonts w:ascii="Arial Narrow" w:eastAsia="Times New Roman" w:hAnsi="Arial Narrow" w:cs="Times New Roman"/>
          <w:sz w:val="20"/>
          <w:szCs w:val="20"/>
          <w:vertAlign w:val="subscript"/>
          <w:lang w:eastAsia="x-none"/>
        </w:rPr>
        <w:t>15</w:t>
      </w:r>
      <w:r w:rsidRPr="00AD1E0F">
        <w:rPr>
          <w:rFonts w:ascii="Arial Narrow" w:eastAsia="Times New Roman" w:hAnsi="Arial Narrow" w:cs="Times New Roman"/>
          <w:sz w:val="20"/>
          <w:szCs w:val="20"/>
          <w:lang w:eastAsia="x-none"/>
        </w:rPr>
        <w:t xml:space="preserve"> / D</w:t>
      </w:r>
      <w:r w:rsidRPr="00AD1E0F">
        <w:rPr>
          <w:rFonts w:ascii="Arial Narrow" w:eastAsia="Times New Roman" w:hAnsi="Arial Narrow" w:cs="Times New Roman"/>
          <w:sz w:val="20"/>
          <w:szCs w:val="20"/>
          <w:vertAlign w:val="subscript"/>
          <w:lang w:eastAsia="x-none"/>
        </w:rPr>
        <w:t xml:space="preserve">85 </w:t>
      </w:r>
      <w:r w:rsidRPr="00AD1E0F">
        <w:rPr>
          <w:rFonts w:ascii="Arial Narrow" w:eastAsia="Times New Roman" w:hAnsi="Arial Narrow" w:cs="Times New Roman"/>
          <w:sz w:val="20"/>
          <w:szCs w:val="20"/>
          <w:lang w:eastAsia="x-none"/>
        </w:rPr>
        <w:t xml:space="preserve">&lt;=5 </w:t>
      </w:r>
    </w:p>
    <w:p w14:paraId="75BD09A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 którym: </w:t>
      </w:r>
    </w:p>
    <w:p w14:paraId="702841F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D</w:t>
      </w:r>
      <w:r w:rsidRPr="00AD1E0F">
        <w:rPr>
          <w:rFonts w:ascii="Arial Narrow" w:eastAsia="Times New Roman" w:hAnsi="Arial Narrow" w:cs="Times New Roman"/>
          <w:sz w:val="20"/>
          <w:szCs w:val="20"/>
          <w:vertAlign w:val="subscript"/>
          <w:lang w:eastAsia="x-none"/>
        </w:rPr>
        <w:t>15</w:t>
      </w:r>
      <w:r w:rsidRPr="00AD1E0F">
        <w:rPr>
          <w:rFonts w:ascii="Arial Narrow" w:eastAsia="Times New Roman" w:hAnsi="Arial Narrow" w:cs="Times New Roman"/>
          <w:sz w:val="20"/>
          <w:szCs w:val="20"/>
          <w:lang w:eastAsia="x-none"/>
        </w:rPr>
        <w:t xml:space="preserve"> – wymiar sita, przez które przechodzi 15% ziaren warstwy podbudowy, D</w:t>
      </w:r>
      <w:r w:rsidRPr="00AD1E0F">
        <w:rPr>
          <w:rFonts w:ascii="Arial Narrow" w:eastAsia="Times New Roman" w:hAnsi="Arial Narrow" w:cs="Times New Roman"/>
          <w:sz w:val="20"/>
          <w:szCs w:val="20"/>
          <w:vertAlign w:val="subscript"/>
          <w:lang w:eastAsia="x-none"/>
        </w:rPr>
        <w:t>85</w:t>
      </w:r>
      <w:r w:rsidRPr="00AD1E0F">
        <w:rPr>
          <w:rFonts w:ascii="Arial Narrow" w:eastAsia="Times New Roman" w:hAnsi="Arial Narrow" w:cs="Times New Roman"/>
          <w:sz w:val="20"/>
          <w:szCs w:val="20"/>
          <w:lang w:eastAsia="x-none"/>
        </w:rPr>
        <w:t xml:space="preserve"> – wymiar sita, przez które przechodzi 85% ziaren gruntu podłoża. </w:t>
      </w:r>
    </w:p>
    <w:p w14:paraId="53780CD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Warunek ten zostaje automatycznie spełniony w przypadku zastosowania stabilizacji podłoża spoiwami hydraulicznymi lub przy zastosowaniu warstwy geowłókniny separującej. </w:t>
      </w:r>
    </w:p>
    <w:p w14:paraId="3F910858"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AD1E0F">
        <w:rPr>
          <w:rFonts w:ascii="Arial Narrow" w:eastAsia="Times New Roman" w:hAnsi="Arial Narrow" w:cs="Times New Roman"/>
          <w:b/>
          <w:caps/>
          <w:kern w:val="28"/>
          <w:sz w:val="28"/>
          <w:szCs w:val="20"/>
          <w:lang w:val="x-none" w:eastAsia="x-none"/>
        </w:rPr>
        <w:t xml:space="preserve">3. SPRZĘT </w:t>
      </w:r>
    </w:p>
    <w:p w14:paraId="39F9DDF4"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 xml:space="preserve">3.1. Ogólne wymagania dotyczące sprzętu </w:t>
      </w:r>
    </w:p>
    <w:p w14:paraId="41C4A62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Ogólne wymagania dotyczące sprzętu podano w STWiORB D-M 00.00.00, Wymagania ogólne" punkt 3. </w:t>
      </w:r>
    </w:p>
    <w:p w14:paraId="30269E60"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 xml:space="preserve">3.2. Sprzęt do robót  </w:t>
      </w:r>
    </w:p>
    <w:p w14:paraId="5496A6E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Sprzęt do wykonania podbudów powinien być dobrany przez Wykonawcę tak, aby zabezpieczył jakość zgodnie z Dokumentacją Projektową w ilości i rodzaju gwarantującym wykonanie robót zgodnie z harmonogramem i terminem zakończenia inwestycji. </w:t>
      </w:r>
    </w:p>
    <w:p w14:paraId="328E10E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Mieszanka kruszywa dla warstwy z mieszanki niezwiązanej winna być rozkładana za pomocą urządzeń uniemożliwiających segregację. Na ciągu głównym należy podbudowę zasadniczą z mieszanki niezwiązanej rozkładać układarkami.  </w:t>
      </w:r>
    </w:p>
    <w:p w14:paraId="0F2B937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Wykonawca przystępujący do wykonania warstwy z mieszanek kruszyw niezwiązanych powinien wykazać się możliwością korzystania z następującego sprzętu: </w:t>
      </w:r>
    </w:p>
    <w:p w14:paraId="15C3EC88"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mieszarek stacjonarnych (zlokalizowanych w pobliżu palcu budowy) do wytwarzania mieszanki kruszyw, wyposażone w urządzenia dozujące wodę. Mieszarki powinny zapewnić wytworzenie jednorodnej mieszanki o wilgotności optymalnej. Wymaganie to jest zbędne w przypadku, gdy producent kruszywa gwarantuje dostawy jednorodnej mieszanki o wymaganym uziarnieniu i odpowiedniej wilgotności. </w:t>
      </w:r>
    </w:p>
    <w:p w14:paraId="1855E3C4"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lastRenderedPageBreak/>
        <w:t xml:space="preserve">układarek na ciągu głównym (obowiązkowo podbudowa zasadnicza) </w:t>
      </w:r>
    </w:p>
    <w:p w14:paraId="320F9F2F"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równiarek lub układarek na pozostałych drogach (podbudowa pomocnicza i zasadnicza) i pozostałych warstwach (podbudowa pomocnicza) dla ciągów głównych. Za zgodą Inżyniera/Inspektora Nadzoru/Zamawiającego do rozkładania mieszanki na drogach o ruchu mniejszym od KR3 można dopuścić spycharki, </w:t>
      </w:r>
    </w:p>
    <w:p w14:paraId="1C5AA4C5"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walcy ogumionych i stalowych wibracyjnych lub statycznych do zagęszczania, </w:t>
      </w:r>
    </w:p>
    <w:p w14:paraId="5C6FD31C"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płyt wibracyjnych lub ubijaków mechanicznych do zagęszczania w miejscach trudnodostępnych, </w:t>
      </w:r>
    </w:p>
    <w:p w14:paraId="4902C631"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innego sprzętu zaakceptowanego przez Inżyniera/ Inspektora Nadzoru/ Zamawiającego. </w:t>
      </w:r>
    </w:p>
    <w:p w14:paraId="0A7A2AA8"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AD1E0F">
        <w:rPr>
          <w:rFonts w:ascii="Arial Narrow" w:eastAsia="Times New Roman" w:hAnsi="Arial Narrow" w:cs="Times New Roman"/>
          <w:b/>
          <w:caps/>
          <w:kern w:val="28"/>
          <w:sz w:val="28"/>
          <w:szCs w:val="20"/>
          <w:lang w:val="x-none" w:eastAsia="x-none"/>
        </w:rPr>
        <w:t xml:space="preserve">4. TRANSPORT </w:t>
      </w:r>
    </w:p>
    <w:p w14:paraId="0BC3353E"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 xml:space="preserve">4.1. Ogólne wymagania dotyczące transportu </w:t>
      </w:r>
    </w:p>
    <w:p w14:paraId="5ADE469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4.1.1. Ogólne wymagania dotyczące transportu podano w STWiORB D-M 00.00.00, Wymagania ogólne" punkt 4. </w:t>
      </w:r>
    </w:p>
    <w:p w14:paraId="1C46079D"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 xml:space="preserve">4.2. Transport kruszyw </w:t>
      </w:r>
    </w:p>
    <w:p w14:paraId="459ECAD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4.2.1. Wybór środków transportowych oraz metod transportu powinien być dostosowany do materiału, jego objętości, technologii odspajania i załadunku oraz do odległości transportu. Wydajność środków transportowych powinna być ponadto dostosowana do wydajności sprzętu stosowanego do wbudowania gruntu materiału. </w:t>
      </w:r>
    </w:p>
    <w:p w14:paraId="77D81B1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4.2.2. Wykonawca powinien zapewnić minimalizację odległości transportowych przy zachowaniu wymagań projektowych. Organizację transportu należy przeprowadzić  z uwzględnieniem zmienności w dostępności dróg i powierzchni do prowadzenia transportu (przemieszczania materiałów do wykonania nasypu). </w:t>
      </w:r>
    </w:p>
    <w:p w14:paraId="3893B5F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4.2.3. W organizacji transportu Wykonawca uwzględni: typowe warunki klimatyczne i pogodowe, wymagania wynikające z harmonogramu prac, ograniczenia dotyczące ładunku przez czynniki zewnętrzne (instalacje, konstrukcje, dopuszczalne obciążenia), wymagania ochrony środowiska oraz rodzaj maszyn stosowanych do załadunku, w przypadku samochodów.  </w:t>
      </w:r>
    </w:p>
    <w:p w14:paraId="15B8AD8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4.2.4. Należy przestrzegać ograniczeń dotyczących ruchu budowlanego, podanych w punkcie 5.7. STWiORB D-02.01.01. „Roboty ziemne. Wykonanie wykopów” i w punkcie 5.16 STWiORB D-02.03.01. „Roboty ziemne. Wykonywanie nasypów”. </w:t>
      </w:r>
    </w:p>
    <w:p w14:paraId="68E6FED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4.2.5. Zwiększenie odległości transportu ponad odległości zatwierdzone nie może być podstawą roszczeń Wykonawcy, dotyczących dodatkowej zapłaty za transport. </w:t>
      </w:r>
    </w:p>
    <w:p w14:paraId="00CB91A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4.2.6. Transport i wyładunek mieszanki niezwiązanej powinien zapewnić niezmienność składu mieszanki oraz nie powinien powodować segregacji składników oraz zanieczyszczenia mieszanki. Transport kruszywa może odbywać się samochodami samowyładowczymi w sposób zabezpieczający je przed segregacją ,zanieczyszczeniem, zmieszaniem z innymi materiałami, nadmiernym wysuszeniem lub zawilgoceniem. </w:t>
      </w:r>
    </w:p>
    <w:p w14:paraId="1C9F0D0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4.2.7. Materiały sypkie należy przewozić w sposób eliminujący możliwość wysypywania, pylenia oraz innego zanieczyszczenia środowiska. </w:t>
      </w:r>
    </w:p>
    <w:p w14:paraId="1CC2C3B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4.2.8. Transport pozostałych wyrobów powinien odbywać się zgodnie z wymaganiami norm przedmiotowych. </w:t>
      </w:r>
    </w:p>
    <w:p w14:paraId="76DA4AF5"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AD1E0F">
        <w:rPr>
          <w:rFonts w:ascii="Arial Narrow" w:eastAsia="Times New Roman" w:hAnsi="Arial Narrow" w:cs="Times New Roman"/>
          <w:b/>
          <w:caps/>
          <w:kern w:val="28"/>
          <w:sz w:val="28"/>
          <w:szCs w:val="20"/>
          <w:lang w:val="x-none" w:eastAsia="x-none"/>
        </w:rPr>
        <w:t xml:space="preserve">5. WYKONANIE ROBÓT </w:t>
      </w:r>
    </w:p>
    <w:p w14:paraId="2F7A7F8B"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 xml:space="preserve">5.1. Ogólne zasady dotyczące wykonania robót </w:t>
      </w:r>
    </w:p>
    <w:p w14:paraId="097BD45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5.1.1. Ogólne zasady prowadzenia robót podano w STWiORB D-M 00.00.00 "Wymagania ogólne” punkt 5. </w:t>
      </w:r>
    </w:p>
    <w:p w14:paraId="6E8D9CBD"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 xml:space="preserve">5.2. Zasady wykonywania robót </w:t>
      </w:r>
    </w:p>
    <w:p w14:paraId="49C2F30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5.2.1. Wykonawca przedstawi Inżynierowi/Zamawiającemu do akceptacji Projekt Technologii i Organizacji Robót oraz Program Zapewnienia Jakości uwzględniający wszystkie warunki, w jakich będą wykonywane roboty. </w:t>
      </w:r>
    </w:p>
    <w:p w14:paraId="56F20A7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5.2.2. Sposób wykonania robót powinien być zgodny z dokumentacją projektową i STWiORB. W przypadku braku wystarczających danych można korzystać z ustaleń podanych w niniejszych STWiORB. </w:t>
      </w:r>
    </w:p>
    <w:p w14:paraId="1E88568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Podstawowe czynności przy wykonaniu robót obejmują: </w:t>
      </w:r>
    </w:p>
    <w:p w14:paraId="6F6CC7C4"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roboty przygotowawcze,  </w:t>
      </w:r>
    </w:p>
    <w:p w14:paraId="3B38B007"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przygotowanie podłoża, </w:t>
      </w:r>
    </w:p>
    <w:p w14:paraId="08C5BFE8"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wytwarzanie mieszanki kruszywa, </w:t>
      </w:r>
    </w:p>
    <w:p w14:paraId="255FE613"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odcinek próbny, </w:t>
      </w:r>
    </w:p>
    <w:p w14:paraId="6B0A229E"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wbudowanie mieszanki, </w:t>
      </w:r>
    </w:p>
    <w:p w14:paraId="7EDEFEAE"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zagęszczanie mieszanki, </w:t>
      </w:r>
    </w:p>
    <w:p w14:paraId="4BDD6002"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utrzymanie wykonanej warstwy, </w:t>
      </w:r>
      <w:r w:rsidRPr="00AD1E0F">
        <w:rPr>
          <w:rFonts w:ascii="Arial Narrow" w:eastAsia="Times New Roman" w:hAnsi="Arial Narrow" w:cs="Times New Roman"/>
          <w:sz w:val="20"/>
          <w:szCs w:val="20"/>
          <w:lang w:val="x-none" w:eastAsia="x-none"/>
        </w:rPr>
        <w:t xml:space="preserve"> roboty wykończeniowe. </w:t>
      </w:r>
    </w:p>
    <w:p w14:paraId="06B8FDE1"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 xml:space="preserve">5.3. Roboty przygotowawcze  </w:t>
      </w:r>
    </w:p>
    <w:p w14:paraId="01F0495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5.3.1. Przed przystąpieniem do robót należy, na podstawie dokumentacji projektowej, STWiORB lub wskazań Inżyniera/ Inspektora Nadzoru /Zamawiającego: </w:t>
      </w:r>
    </w:p>
    <w:p w14:paraId="7A3AC667"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ustalić lokalizację robót, </w:t>
      </w:r>
    </w:p>
    <w:p w14:paraId="3BDA4CEA"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przeprowadzić obliczenia i pomiary niezbędne do szczegółowego wytyczenia robót oraz ustalenia danych wysokościowych, </w:t>
      </w:r>
    </w:p>
    <w:p w14:paraId="40C5825A"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usunąć przeszkody utrudniające wykonanie robót, </w:t>
      </w:r>
    </w:p>
    <w:p w14:paraId="74268C43"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wprowadzić oznakowanie drogi na okres robót, </w:t>
      </w:r>
    </w:p>
    <w:p w14:paraId="05DFD0D1"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zgromadzić materiały i sprzęt potrzebne do rozpoczęcia robót. </w:t>
      </w:r>
    </w:p>
    <w:p w14:paraId="765A99B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5.3.2. Prace pomiarowe powinny być prowadzone w sposób umożliwiający wykonanie warstwy podbudowy zgodnie z Dokumentacją Projektową, z tolerancjami określonymi w niniejszej specyfikacji. Paliki lub szpilki do kontroli ukształtowania podbudowy powinny być wcześniej przygotowane, odpowiednio zamocowane i utrzymywane w czasie robót przez Wykonawcę. Powinny być one ustawione w osi drogi i w rzędach równoległych do osi drogi, lub w inny sposób zaakceptowany przez Inżyniera/ Inspektora Nadzoru </w:t>
      </w:r>
      <w:r w:rsidRPr="00AD1E0F">
        <w:rPr>
          <w:rFonts w:ascii="Arial Narrow" w:eastAsia="Times New Roman" w:hAnsi="Arial Narrow" w:cs="Times New Roman"/>
          <w:sz w:val="20"/>
          <w:szCs w:val="20"/>
          <w:lang w:eastAsia="x-none"/>
        </w:rPr>
        <w:lastRenderedPageBreak/>
        <w:t xml:space="preserve">/Zamawiającego. Rozmieszczenie palików lub szpilek powinno umożliwiać naciągnięcie sznurków lub linek do wytyczenia robót i nie powinno być rzadsze, niż co 10m. Jeżeli warstwa mieszanki kruszywa stabilizowanego mechanicznie będzie układana w prowadnicach, to po wytyczeniu podbudowy należy ustawić na podłożu prowadnice w taki sposób, aby wyznaczały one ściśle linie krawędzi układanej warstwy według Dokumentacji Projektowej. Wysokość prowadnic powinna odpowiadać grubości warstwy mieszanki kruszywa stabilizowanego mechanicznie, w stanie niezagęszczonym. Prowadnice powinny być ustawione stabilnie, w sposób wykluczający ich przesuwanie się pod wpływem oddziaływania maszyn użytych do wykonania warstwy. </w:t>
      </w:r>
    </w:p>
    <w:p w14:paraId="0CC91A9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Zamiennie można zastosować wytyczenie sytuacyjne i wysokościowe przez jednoznaczne zdefiniowanie w pamięci elektronicznej maszyn wyposażonych w system sterowania 3D wszystkich elementów geometrii warstwy podbudowy. </w:t>
      </w:r>
    </w:p>
    <w:p w14:paraId="1A0DE368"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64" w:name="_Toc66274"/>
      <w:r w:rsidRPr="00AD1E0F">
        <w:rPr>
          <w:rFonts w:ascii="Arial Narrow" w:eastAsia="Times New Roman" w:hAnsi="Arial Narrow" w:cs="Times New Roman"/>
          <w:b/>
          <w:sz w:val="28"/>
          <w:szCs w:val="20"/>
          <w:lang w:val="x-none" w:eastAsia="x-none"/>
        </w:rPr>
        <w:t xml:space="preserve">5.4. Przygotowanie podłoża </w:t>
      </w:r>
      <w:bookmarkEnd w:id="564"/>
    </w:p>
    <w:p w14:paraId="21D9CA6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5.4.1. Przed wykonaniem podbudowy podłoże należy oczyścić ze wszelkich zanieczyszczeń oraz sprawdzić jego cechy geometryczne i zagęszczenie. Wszelkie uszkodzenia lub powierzchnie wykazujące odchylenia od wymaganej równości, spadków poprzecznych lub rzędnych powinny być naprawione. </w:t>
      </w:r>
    </w:p>
    <w:p w14:paraId="3B35843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Podłoże pod podbudowę stanowi warstwa stabilizowana cementem lub warstwa mrozoochronna bądź też inna warstwa zgodnie z projektem. </w:t>
      </w:r>
    </w:p>
    <w:p w14:paraId="0F1D11F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5.4.2. Podbudowa powinna być wytyczona w sposób umożliwiający jej wykonanie zgodnie z Dokumentacją Projektową lub wg zaleceń Inżyniera/ Inspektora Nadzoru /Zamawiającego z tolerancjami określonymi w niniejszych STWiORB. </w:t>
      </w:r>
    </w:p>
    <w:p w14:paraId="6945D84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5.4.3. Podbudowę z kruszywa łamanego stabilizowanego mechanicznie należy układać na odpowiednio przygotowanej warstwie, zgodnie z właściwymi STWiORB. Jeżeli podłoże wykazuje jakiekolwiek wady, to powinny być one usunięte wg zasad zaakceptowanych przez Inżyniera/ Inspektora Nadzoru /Zamawiającego. </w:t>
      </w:r>
    </w:p>
    <w:p w14:paraId="3786656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5.4.4. Dla pobocza nie jest wymagane wykonanie badań modułów odkształceń metodą VSS. </w:t>
      </w:r>
    </w:p>
    <w:p w14:paraId="39ECB27A"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65" w:name="_Toc66275"/>
      <w:r w:rsidRPr="00AD1E0F">
        <w:rPr>
          <w:rFonts w:ascii="Arial Narrow" w:eastAsia="Times New Roman" w:hAnsi="Arial Narrow" w:cs="Times New Roman"/>
          <w:b/>
          <w:sz w:val="28"/>
          <w:szCs w:val="20"/>
          <w:lang w:val="x-none" w:eastAsia="x-none"/>
        </w:rPr>
        <w:t xml:space="preserve">5.5. Wytwarzanie mieszanki kruszywa </w:t>
      </w:r>
      <w:bookmarkEnd w:id="565"/>
    </w:p>
    <w:p w14:paraId="4887C38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5.5.1. Przed przystąpieniem do robót w terminie uzgodnionym z Inżynierem/ Zamawiającym, Wykonawca dostarczy Inżynierowi/ Zamawiającemu do akceptacji projekt składu mieszanki kruszywa niezwiązanego oraz wyniki badań laboratoryjnych poszczególnych składników i próbki materiałów pobrane w obecności Inżyniera/ Inspektora Nadzoru /Zamawiającego do wykonania badań kontrolnych. Projektowanie polega na doborze kruszywa do mieszanki oraz zawartości wody. Procedura projektowania powinna być oparta na próbkach laboratoryjnych i/lub polowych przeprowadzonych na tych samych składnikach, z tych samych źródeł i o takich samych właściwościach, jak te które będą stosowane do wykonania podbudowy. </w:t>
      </w:r>
    </w:p>
    <w:p w14:paraId="1B65817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5.5.2. Mieszankę kruszywa o ściśle określonym uziarnieniu i wilgotności optymalnej należy wytwarzać w mieszarkach stacjonarnych gwarantujących otrzymanie jednorodnej mieszanki. Ze względu na konieczność zapewnienia jednorodności materiału nie dopuszcza się wytwarzania mieszanki przez mieszanie poszczególnych frakcji na drodze. Mieszankę kruszywa o ściśle określonym uziarnieniu i wilgotności optymalnej należy wytwarzać w mieszarkach, gwarantujących otrzymanie jednorodnej mieszanki. </w:t>
      </w:r>
    </w:p>
    <w:p w14:paraId="20238CA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5.5.3. Mieszarki (wytwórnie mieszanek kruszywa) stacjonarne lub mobilne powinny zapewnić ciągłość produkcji zgodną z receptą laboratoryjną. Mieszanka po wyprodukowaniu powinna być od razu transportowana na miejsce wbudowania w sposób przeciwdziałający segregacji i nadmiernemu wysychaniu.</w:t>
      </w:r>
      <w:r w:rsidRPr="00AD1E0F">
        <w:rPr>
          <w:rFonts w:ascii="Arial Narrow" w:eastAsia="Times New Roman" w:hAnsi="Arial Narrow" w:cs="Times New Roman"/>
          <w:b/>
          <w:sz w:val="20"/>
          <w:szCs w:val="20"/>
          <w:lang w:eastAsia="x-none"/>
        </w:rPr>
        <w:t xml:space="preserve">  </w:t>
      </w:r>
    </w:p>
    <w:p w14:paraId="0ED73916"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66" w:name="_Toc66277"/>
      <w:r w:rsidRPr="00AD1E0F">
        <w:rPr>
          <w:rFonts w:ascii="Arial Narrow" w:eastAsia="Times New Roman" w:hAnsi="Arial Narrow" w:cs="Times New Roman"/>
          <w:b/>
          <w:sz w:val="28"/>
          <w:szCs w:val="20"/>
          <w:lang w:val="x-none" w:eastAsia="x-none"/>
        </w:rPr>
        <w:t>5.</w:t>
      </w:r>
      <w:r w:rsidRPr="00AD1E0F">
        <w:rPr>
          <w:rFonts w:ascii="Arial Narrow" w:eastAsia="Times New Roman" w:hAnsi="Arial Narrow" w:cs="Times New Roman"/>
          <w:b/>
          <w:sz w:val="28"/>
          <w:szCs w:val="20"/>
          <w:lang w:eastAsia="x-none"/>
        </w:rPr>
        <w:t>6</w:t>
      </w:r>
      <w:r w:rsidRPr="00AD1E0F">
        <w:rPr>
          <w:rFonts w:ascii="Arial Narrow" w:eastAsia="Times New Roman" w:hAnsi="Arial Narrow" w:cs="Times New Roman"/>
          <w:b/>
          <w:sz w:val="28"/>
          <w:szCs w:val="20"/>
          <w:lang w:val="x-none" w:eastAsia="x-none"/>
        </w:rPr>
        <w:t xml:space="preserve">. Wbudowanie mieszanki </w:t>
      </w:r>
      <w:bookmarkEnd w:id="566"/>
    </w:p>
    <w:p w14:paraId="71B5BBB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5.7.1. Rozpoczęcie budowy każdej następnej warstwy może nastąpić po odbiorze poprzedniej warstwy przez Inżyniera/ Inspektora Nadzoru /Zamawiającego </w:t>
      </w:r>
    </w:p>
    <w:p w14:paraId="63F004B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5.7.2. 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 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w:t>
      </w:r>
    </w:p>
    <w:p w14:paraId="09F1F69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po zagęszczeniu była równa grubości projektowanej. Jeżeli układana konstrukcja składa się z więcej niż jednej warstwy kruszywa, to każda warstwa powinna być wyprofilowana i zagęszczona z zachowaniem wymaganych spadków i rzędnych wysokościowych.  </w:t>
      </w:r>
    </w:p>
    <w:p w14:paraId="228CC57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5.7.3. Zawartość wody w mieszance zagęszczonej musi być zgodna z granicami podanymi w tablicy 2.6. Wilgotność mieszanki kruszywa podczas zagęszczania powinna odpowiadać wilgotności optymalnej, określonej według próby Proctora, wg PN-EN 13286-2 oraz PNEN 1097-6. Mieszanka o większej wilgotności powinna zostać osuszona przez mieszanie i napowietrzanie. Jeżeli wilgotność mieszanki kruszywa jest niższa od wartości podanej w tablicy 2.6, mieszanka powinna być zwilżona określoną ilością wody i równomiernie wymieszana.  </w:t>
      </w:r>
    </w:p>
    <w:p w14:paraId="0D80F15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Rozścieloną mieszankę kruszywa należy sprofilować równiarką lub ciężkim szablonem, do spadków poprzecznych i pochyleń podłużnych ustalonych w dokumentacji projektowej. W czasie profilowania należy wyrównać lokalne wgłębienia. W miejscach, gdzie widoczna jest segregacja kruszywa należy przed zagęszczeniem wymienić kruszywo na materiał o odpowiednich właściwościach. </w:t>
      </w:r>
    </w:p>
    <w:p w14:paraId="26B7D23A"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67" w:name="_Toc66278"/>
      <w:r w:rsidRPr="00AD1E0F">
        <w:rPr>
          <w:rFonts w:ascii="Arial Narrow" w:eastAsia="Times New Roman" w:hAnsi="Arial Narrow" w:cs="Times New Roman"/>
          <w:b/>
          <w:sz w:val="28"/>
          <w:szCs w:val="20"/>
          <w:lang w:val="x-none" w:eastAsia="x-none"/>
        </w:rPr>
        <w:t>5.</w:t>
      </w:r>
      <w:r w:rsidRPr="00AD1E0F">
        <w:rPr>
          <w:rFonts w:ascii="Arial Narrow" w:eastAsia="Times New Roman" w:hAnsi="Arial Narrow" w:cs="Times New Roman"/>
          <w:b/>
          <w:sz w:val="28"/>
          <w:szCs w:val="20"/>
          <w:lang w:eastAsia="x-none"/>
        </w:rPr>
        <w:t>7</w:t>
      </w:r>
      <w:r w:rsidRPr="00AD1E0F">
        <w:rPr>
          <w:rFonts w:ascii="Arial Narrow" w:eastAsia="Times New Roman" w:hAnsi="Arial Narrow" w:cs="Times New Roman"/>
          <w:b/>
          <w:sz w:val="28"/>
          <w:szCs w:val="20"/>
          <w:lang w:val="x-none" w:eastAsia="x-none"/>
        </w:rPr>
        <w:t xml:space="preserve">. Zagęszczenie mieszanki </w:t>
      </w:r>
      <w:bookmarkEnd w:id="567"/>
    </w:p>
    <w:p w14:paraId="7508CE5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5.8.1. Po wyprofilowaniu mieszanki kruszywa należy rozpocząć jej zagęszczanie, które należy kontynuować aż do osiągnięcia wymaganego w STWiORB wskaźnika zagęszczenia. 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  </w:t>
      </w:r>
    </w:p>
    <w:p w14:paraId="6DDFCBB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lastRenderedPageBreak/>
        <w:t xml:space="preserve">Zagęszczanie walcami na podbudowach o przekroju daszkowym powinno rozpocząć się od krawędzi i przesuwać się pasami podłużnymi w stronę osi jezdni. Zagęszczanie na podbudowach o jednostronnym spadku poprzecznym powinno rozpocząć się od dolnej krawędzi i przesuwać się pasami podłużnymi w stronę górnej krawędzi podbudowy. </w:t>
      </w:r>
    </w:p>
    <w:p w14:paraId="3D96569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5.8.2. Zagęszczenie powinno być równomierne na całej szerokości warstwy. Zaleca się, aby grubość zagęszczanej warstwy nie przekraczała przy walcach statycznych gładkich 15 cm, a przy walcach ogumionych lub wibracyjnych 20 cm. </w:t>
      </w:r>
    </w:p>
    <w:p w14:paraId="4B849A2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5.8.3. Zagęszczenie podbudowy należy wykonywać warstwami przy zachowaniu wilgotności optymalnej. W ostatniej fazie zagęszczania należy sprawdzić profil szablonem. Zagęszczenie podbudowy powinno być równomierne na całej szerokości. </w:t>
      </w:r>
    </w:p>
    <w:p w14:paraId="39198B1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5.8.4. Wskaźnik zagęszczenia dróg i zatok autobusowych nie powinien być mniejszy od 1,03 (KR 3 -KR 7) oraz 1,00 dla pozostałych dróg, zjazdów, chodników, ścieżek rowerowych, zatok postojowych. Zagęszczenie kontroluje się płytą VSS przez sprawdzenie modułu odkształcenia. Zagęszczenie podbudowy stabilizowanej mechanicznie należy uznać za prawidłowe, gdy stosunek wtórnego modułu E</w:t>
      </w:r>
      <w:r w:rsidRPr="00AD1E0F">
        <w:rPr>
          <w:rFonts w:ascii="Arial Narrow" w:eastAsia="Times New Roman" w:hAnsi="Arial Narrow" w:cs="Times New Roman"/>
          <w:sz w:val="20"/>
          <w:szCs w:val="20"/>
          <w:vertAlign w:val="subscript"/>
          <w:lang w:eastAsia="x-none"/>
        </w:rPr>
        <w:t>2</w:t>
      </w:r>
      <w:r w:rsidRPr="00AD1E0F">
        <w:rPr>
          <w:rFonts w:ascii="Arial Narrow" w:eastAsia="Times New Roman" w:hAnsi="Arial Narrow" w:cs="Times New Roman"/>
          <w:sz w:val="20"/>
          <w:szCs w:val="20"/>
          <w:lang w:eastAsia="x-none"/>
        </w:rPr>
        <w:t xml:space="preserve"> do pierwotnego modułu odkształcenia E</w:t>
      </w:r>
      <w:r w:rsidRPr="00AD1E0F">
        <w:rPr>
          <w:rFonts w:ascii="Arial Narrow" w:eastAsia="Times New Roman" w:hAnsi="Arial Narrow" w:cs="Times New Roman"/>
          <w:sz w:val="20"/>
          <w:szCs w:val="20"/>
          <w:vertAlign w:val="subscript"/>
          <w:lang w:eastAsia="x-none"/>
        </w:rPr>
        <w:t>1</w:t>
      </w:r>
      <w:r w:rsidRPr="00AD1E0F">
        <w:rPr>
          <w:rFonts w:ascii="Arial Narrow" w:eastAsia="Times New Roman" w:hAnsi="Arial Narrow" w:cs="Times New Roman"/>
          <w:sz w:val="20"/>
          <w:szCs w:val="20"/>
          <w:lang w:eastAsia="x-none"/>
        </w:rPr>
        <w:t xml:space="preserve"> jest nie większy od 2,2 dla każdej warstwy konstrukcyjnej podbudowy. Wskaźnik zagęszczenia podbudowy powinien odpowiadać przyjętemu poziomowi wskaźnika nośności podbudowy wg tablicy 6.8. </w:t>
      </w:r>
    </w:p>
    <w:p w14:paraId="23FA373E"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68" w:name="_Toc66279"/>
      <w:r w:rsidRPr="00AD1E0F">
        <w:rPr>
          <w:rFonts w:ascii="Arial Narrow" w:eastAsia="Times New Roman" w:hAnsi="Arial Narrow" w:cs="Times New Roman"/>
          <w:b/>
          <w:sz w:val="28"/>
          <w:szCs w:val="20"/>
          <w:lang w:val="x-none" w:eastAsia="x-none"/>
        </w:rPr>
        <w:t>5.</w:t>
      </w:r>
      <w:r w:rsidRPr="00AD1E0F">
        <w:rPr>
          <w:rFonts w:ascii="Arial Narrow" w:eastAsia="Times New Roman" w:hAnsi="Arial Narrow" w:cs="Times New Roman"/>
          <w:b/>
          <w:sz w:val="28"/>
          <w:szCs w:val="20"/>
          <w:lang w:eastAsia="x-none"/>
        </w:rPr>
        <w:t>8</w:t>
      </w:r>
      <w:r w:rsidRPr="00AD1E0F">
        <w:rPr>
          <w:rFonts w:ascii="Arial Narrow" w:eastAsia="Times New Roman" w:hAnsi="Arial Narrow" w:cs="Times New Roman"/>
          <w:b/>
          <w:sz w:val="28"/>
          <w:szCs w:val="20"/>
          <w:lang w:val="x-none" w:eastAsia="x-none"/>
        </w:rPr>
        <w:t xml:space="preserve">. Utrzymanie wykonanej warstwy </w:t>
      </w:r>
      <w:bookmarkEnd w:id="568"/>
    </w:p>
    <w:p w14:paraId="5126145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5.9.1. Warstwa po wykonaniu, a przed ułożeniem następnej warstwy powinna być utrzymywana w dobrym stanie. Jeżeli Wykonawca będzie wykorzystywał, gotową warstwę do ruchu budowlanego, to jest obowiązany naprawić wszelkie jej uszkodzenia spowodowane przez ten ruch.  </w:t>
      </w:r>
    </w:p>
    <w:p w14:paraId="3CE77778"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5.</w:t>
      </w:r>
      <w:r w:rsidRPr="00AD1E0F">
        <w:rPr>
          <w:rFonts w:ascii="Arial Narrow" w:eastAsia="Times New Roman" w:hAnsi="Arial Narrow" w:cs="Times New Roman"/>
          <w:b/>
          <w:sz w:val="28"/>
          <w:szCs w:val="20"/>
          <w:lang w:eastAsia="x-none"/>
        </w:rPr>
        <w:t>9</w:t>
      </w:r>
      <w:r w:rsidRPr="00AD1E0F">
        <w:rPr>
          <w:rFonts w:ascii="Arial Narrow" w:eastAsia="Times New Roman" w:hAnsi="Arial Narrow" w:cs="Times New Roman"/>
          <w:b/>
          <w:sz w:val="28"/>
          <w:szCs w:val="20"/>
          <w:lang w:val="x-none" w:eastAsia="x-none"/>
        </w:rPr>
        <w:t xml:space="preserve">. Roboty wykończeniowe </w:t>
      </w:r>
    </w:p>
    <w:p w14:paraId="16DF07F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5.10.1.Roboty wykończeniowe, zgodne z dokumentacją projektową, STWiORB lub wskazaniami Inżyniera/Inspektora Nadzoru/Zamawiającego dotyczą prac związanych z dostosowaniem wykonanych robót do istniejących warunków terenowych, takie jak: </w:t>
      </w:r>
    </w:p>
    <w:p w14:paraId="0541729D"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odtworzenie przeszkód czasowo usuniętych, </w:t>
      </w:r>
    </w:p>
    <w:p w14:paraId="3AD6A962"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uzupełnienie zniszczonych w czasie robót istniejących elementów drogowych lub terenowych, </w:t>
      </w:r>
    </w:p>
    <w:p w14:paraId="582CDEDB"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roboty porządkujące otoczenie terenu robót, </w:t>
      </w:r>
    </w:p>
    <w:p w14:paraId="4C6E519F"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usunięcie oznakowania drogi wprowadzonego na okres robót. </w:t>
      </w:r>
    </w:p>
    <w:p w14:paraId="3F3E2757"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69" w:name="_Toc66280"/>
      <w:r w:rsidRPr="00AD1E0F">
        <w:rPr>
          <w:rFonts w:ascii="Arial Narrow" w:eastAsia="Times New Roman" w:hAnsi="Arial Narrow" w:cs="Times New Roman"/>
          <w:b/>
          <w:caps/>
          <w:kern w:val="28"/>
          <w:sz w:val="28"/>
          <w:szCs w:val="20"/>
          <w:lang w:val="x-none" w:eastAsia="x-none"/>
        </w:rPr>
        <w:t xml:space="preserve">6. KONTROLA JAKOŚCI ROBÓT </w:t>
      </w:r>
      <w:bookmarkEnd w:id="569"/>
    </w:p>
    <w:p w14:paraId="4E7801A2"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70" w:name="_Toc66281"/>
      <w:r w:rsidRPr="00AD1E0F">
        <w:rPr>
          <w:rFonts w:ascii="Arial Narrow" w:eastAsia="Times New Roman" w:hAnsi="Arial Narrow" w:cs="Times New Roman"/>
          <w:b/>
          <w:sz w:val="28"/>
          <w:szCs w:val="20"/>
          <w:lang w:val="x-none" w:eastAsia="x-none"/>
        </w:rPr>
        <w:t xml:space="preserve">6.1. Ogólne wymagania dotyczące kontroli jakości robót </w:t>
      </w:r>
      <w:bookmarkEnd w:id="570"/>
    </w:p>
    <w:p w14:paraId="6CE3733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6.1.1. Ogólne wymagania dotyczące kontroli jakości robót podano w STWiORB D-M 00.00.00, Wymagania ogólne" punkt 6. </w:t>
      </w:r>
    </w:p>
    <w:p w14:paraId="6CC7531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6.1.2. Badania i pomiary dzielą się na: </w:t>
      </w:r>
    </w:p>
    <w:p w14:paraId="35CB014E"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badania i pomiary Wykonawcy (w ramach własnego nadzoru), </w:t>
      </w:r>
    </w:p>
    <w:p w14:paraId="47FDDB7C"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badania i pomiary kontrolne, wykonywane na zlecenie Inżyniera/Inspektora Nadzoru/Zamawiającego przez Laboratorium Zamawiającego.  </w:t>
      </w:r>
    </w:p>
    <w:p w14:paraId="70DA0F3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Badania i pomiary kontrolne dzielą się na podstawowe, dodatkowe i arbitrażowe. </w:t>
      </w:r>
    </w:p>
    <w:p w14:paraId="7885C14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 uzasadnionych przypadkach w ramach badań i pomiarów kontrolnych dopuszcza się wykonanie badań i pomiarów kontrolnych dodatkowych i/lub badań i pomiarów arbitrażowych. </w:t>
      </w:r>
    </w:p>
    <w:p w14:paraId="3E5407E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Badania obejmują: </w:t>
      </w:r>
    </w:p>
    <w:p w14:paraId="38C0C7D2"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pobranie próbek, </w:t>
      </w:r>
    </w:p>
    <w:p w14:paraId="56BE8A05"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zapakowanie próbek do wysyłki, </w:t>
      </w:r>
    </w:p>
    <w:p w14:paraId="66C1CDA3"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transport próbek z miejsca pobrania do placówki wykonującej badania, </w:t>
      </w:r>
      <w:r w:rsidRPr="00AD1E0F">
        <w:rPr>
          <w:rFonts w:ascii="Arial Narrow" w:eastAsia="Times New Roman" w:hAnsi="Arial Narrow" w:cs="Times New Roman"/>
          <w:sz w:val="20"/>
          <w:szCs w:val="20"/>
          <w:lang w:val="x-none" w:eastAsia="x-none"/>
        </w:rPr>
        <w:t xml:space="preserve"> przeprowadzenie badania, </w:t>
      </w:r>
      <w:r w:rsidRPr="00AD1E0F">
        <w:rPr>
          <w:rFonts w:ascii="Arial Narrow" w:eastAsia="Times New Roman" w:hAnsi="Arial Narrow" w:cs="Times New Roman"/>
          <w:sz w:val="20"/>
          <w:szCs w:val="20"/>
          <w:lang w:val="x-none" w:eastAsia="x-none"/>
        </w:rPr>
        <w:t xml:space="preserve"> sprawozdanie z badań.  </w:t>
      </w:r>
    </w:p>
    <w:p w14:paraId="33FACEA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Pomiary obejmują terenową weryfikację cech warstwy. </w:t>
      </w:r>
    </w:p>
    <w:p w14:paraId="37D7318A"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71" w:name="_Toc66282"/>
      <w:r w:rsidRPr="00AD1E0F">
        <w:rPr>
          <w:rFonts w:ascii="Arial Narrow" w:eastAsia="Times New Roman" w:hAnsi="Arial Narrow" w:cs="Times New Roman"/>
          <w:b/>
          <w:sz w:val="28"/>
          <w:szCs w:val="20"/>
          <w:lang w:val="x-none" w:eastAsia="x-none"/>
        </w:rPr>
        <w:t xml:space="preserve">6.2. Badania i pomiary Wykonawcy </w:t>
      </w:r>
      <w:bookmarkEnd w:id="571"/>
    </w:p>
    <w:p w14:paraId="5594568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Wykonawca jest zobowiązany do przeprowadzania na bieżąco badań i pomiarów w celu sprawdzania czy jakość wykonanych Robót jest zgodna z postawionymi wymaganiami.  </w:t>
      </w:r>
    </w:p>
    <w:p w14:paraId="36C9036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STWiORB. Wyniki badań będą dokumentowane i archiwizowane przez Wykonawcę. Wyniki badań Wykonawca jest zobowiązany przekazywać Inżynierowi/Inspektorowi Nadzoru/Zamawiającemu. </w:t>
      </w:r>
    </w:p>
    <w:p w14:paraId="5894C915"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72" w:name="_Toc66283"/>
      <w:r w:rsidRPr="00AD1E0F">
        <w:rPr>
          <w:rFonts w:ascii="Arial Narrow" w:eastAsia="Times New Roman" w:hAnsi="Arial Narrow" w:cs="Times New Roman"/>
          <w:b/>
          <w:sz w:val="28"/>
          <w:szCs w:val="20"/>
          <w:lang w:val="x-none" w:eastAsia="x-none"/>
        </w:rPr>
        <w:t xml:space="preserve">6.3. Badania i pomiary kontrolne  </w:t>
      </w:r>
      <w:bookmarkEnd w:id="572"/>
    </w:p>
    <w:p w14:paraId="5EF300B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Badania i pomiary kontrolne są zlecane przez Inżyniera/Inspektora Nadzoru, a których celem jest sprawdzenie, czy jakość zastosowanych materiałów i wyrobów budowlanych oraz gotowej warstwy spełniają wymagania określone w kontrakcie.   </w:t>
      </w:r>
    </w:p>
    <w:p w14:paraId="2B6F87B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Pobieraniem próbek, wykonaniem badań i pomiarów na miejscu budowy zajmuje się Laboratorium Zamawiającego/Inżynier/Inspektor Nadzoru przy udziale lub po poinformowaniu przedstawicieli Wykonawcy. Zamawiający decyduje o wyborze Laboratorium Zamawiającego. </w:t>
      </w:r>
    </w:p>
    <w:p w14:paraId="70B6F88F"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73" w:name="_Toc66284"/>
      <w:r w:rsidRPr="00AD1E0F">
        <w:rPr>
          <w:rFonts w:ascii="Arial Narrow" w:eastAsia="Times New Roman" w:hAnsi="Arial Narrow" w:cs="Times New Roman"/>
          <w:b/>
          <w:sz w:val="28"/>
          <w:szCs w:val="20"/>
          <w:lang w:val="x-none" w:eastAsia="x-none"/>
        </w:rPr>
        <w:t xml:space="preserve">6.4. Badania i pomiary kontrolne dodatkowe </w:t>
      </w:r>
      <w:bookmarkEnd w:id="573"/>
    </w:p>
    <w:p w14:paraId="366A67C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 wypadku uznania, że jeden z wyników badań lub pomiarów kontrolnych nie jest reprezentatywny dla ocenianego odcinka budowy, strony kontraktu mogą wystąpić o przeprowadzenia badań lub pomiarów kontrolnych dodatkowych. Badania kontrolne dodatkowe są wykonywane przez Laboratorium Zamawiającego. </w:t>
      </w:r>
    </w:p>
    <w:p w14:paraId="2B1D2C5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 Inżynier/Inspektor Nadzoru decydują o miejscach pobierania próbek i wyznaczeniu odcinków częściowych ocenianego odcinka budowy tzn. dziennej działki roboczej.  </w:t>
      </w:r>
    </w:p>
    <w:p w14:paraId="193BE685"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74" w:name="_Toc66285"/>
      <w:r w:rsidRPr="00AD1E0F">
        <w:rPr>
          <w:rFonts w:ascii="Arial Narrow" w:eastAsia="Times New Roman" w:hAnsi="Arial Narrow" w:cs="Times New Roman"/>
          <w:b/>
          <w:sz w:val="28"/>
          <w:szCs w:val="20"/>
          <w:lang w:val="x-none" w:eastAsia="x-none"/>
        </w:rPr>
        <w:lastRenderedPageBreak/>
        <w:t xml:space="preserve">6.5. Badania i pomiary arbitrażowe </w:t>
      </w:r>
      <w:bookmarkEnd w:id="574"/>
    </w:p>
    <w:p w14:paraId="2A07440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Badania i pomiary arbitrażowe są powtórzeniem badań lub pomiarów kontrolnych i/lub kontrolnych dodatkowych, co do których istnieją uzasadnione wątpliwości ze strony Inżyniera/Inspektora Nadzoru, Zamawiającego lub Wykonawcy (np. na podstawie własnych badań). </w:t>
      </w:r>
    </w:p>
    <w:p w14:paraId="73C96D7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Badania i pomiary arbitrażowe wykonuje się na wniosek strony kontraktu. Badania i pomiary arbitrażowe wykonuje bezstronne, akredytowane laboratorium (w tym inne laboratorium), które nie wykonywało badań lub pomiarów kontrolnych, przy udziale lub po poinformowaniu przedstawicieli stron. </w:t>
      </w:r>
    </w:p>
    <w:p w14:paraId="117AA0B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 przypadku wniosku Wykonawcy zgodę na przeprowadzenie badań i pomiarów arbitrażowych wyraża Inżynier/Inspektor Nadzoru po wcześniejszej analizie zasadności wniosku. Zamawiający akceptuje laboratorium, które przeprowadzi badania lub pomiary arbitrażowe.  </w:t>
      </w:r>
    </w:p>
    <w:p w14:paraId="28755963"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 xml:space="preserve">6.6. Przed przystąpieniem do robót Wykonawca powinien: </w:t>
      </w:r>
    </w:p>
    <w:p w14:paraId="38F305EE"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przedstawić Inżynierowi/Inspektorowi Nadzoru/Zamawiającemu do akceptacji źródła poboru mieszanki oraz wszystkich dodatkowych materiałów, dołączając wszystkie dokumenty potwierdzające jakość materiałów składowych.  </w:t>
      </w:r>
    </w:p>
    <w:p w14:paraId="5E374291"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uzyskać wymagane dokumenty, dopuszczające wyroby budowlane do obrotu i powszechnego stosowania (stwierdzenie o oznakowaniu materiału znakiem CE lub znakiem budowlanym B, certyfikat zgodności, deklarację właściwości użytkowych, aprobatę techniczną, ew. badania materiałów wykonane przez dostawców itp.), </w:t>
      </w:r>
    </w:p>
    <w:p w14:paraId="09019CFB"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opracować receptę laboratoryjną dla mieszanki kruszywa oraz przedstawić Inżynierowi/ Inspektorowi Nadzoru/ Zamawiającemu wraz z wynikami badań do zatwierdzenia; </w:t>
      </w:r>
    </w:p>
    <w:p w14:paraId="1DEFF6AB"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wykonać własne badania właściwości materiałów przeznaczonych do wykonania robót, określone przez Inżyniera/ Inspektora Nadzoru /Zamawiającego. Badania te powinny obejmować wszystkie właściwości kruszywa określone w pkt. 2. </w:t>
      </w:r>
    </w:p>
    <w:p w14:paraId="19D6BB6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6.6.1. Wszystkie dokumenty oraz wyniki badań Wykonawca przedstawia Inżynierowi/ Inspektorowi Nadzoru/Zamawiającemu do akceptacji. </w:t>
      </w:r>
    </w:p>
    <w:p w14:paraId="5DE09B5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6.6.2. Ważność wykonanych przez producenta mieszanki niezwiązanej pełnych badań materiałów wsadowych, w trakcie złożenia do akceptacji razem z receptą nie może przekroczyć pół roku od dnia wykonania tych badań. Badania materiałów wsadowych w ramach badań własnych Wykonawcy należy powtarzać jeden raz na rok. </w:t>
      </w:r>
    </w:p>
    <w:p w14:paraId="0CB322AF"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75" w:name="_Toc66286"/>
      <w:r w:rsidRPr="00AD1E0F">
        <w:rPr>
          <w:rFonts w:ascii="Arial Narrow" w:eastAsia="Times New Roman" w:hAnsi="Arial Narrow" w:cs="Times New Roman"/>
          <w:b/>
          <w:caps/>
          <w:kern w:val="28"/>
          <w:sz w:val="28"/>
          <w:szCs w:val="20"/>
          <w:lang w:val="x-none" w:eastAsia="x-none"/>
        </w:rPr>
        <w:t xml:space="preserve">6.7. Badania i pomiary w czasie realizacji robót  </w:t>
      </w:r>
      <w:bookmarkEnd w:id="575"/>
    </w:p>
    <w:p w14:paraId="4F46462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6.7.1. Wykonawca powinien wykonywać badania i pomiary z częstotliwością gwarantującą zachowanie wymagań dotyczących jakości robót, lecz nie rzadziej niż wskazano to w tablicy 6.7  </w:t>
      </w:r>
    </w:p>
    <w:p w14:paraId="55FE10F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 </w:t>
      </w:r>
    </w:p>
    <w:p w14:paraId="0EDCF86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 </w:t>
      </w:r>
    </w:p>
    <w:p w14:paraId="4E32046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sz w:val="20"/>
          <w:szCs w:val="20"/>
          <w:lang w:eastAsia="x-none"/>
        </w:rPr>
        <w:t>Tablica 6.7.</w:t>
      </w:r>
      <w:r w:rsidRPr="00AD1E0F">
        <w:rPr>
          <w:rFonts w:ascii="Arial Narrow" w:eastAsia="Times New Roman" w:hAnsi="Arial Narrow" w:cs="Times New Roman"/>
          <w:sz w:val="20"/>
          <w:szCs w:val="20"/>
          <w:lang w:eastAsia="x-none"/>
        </w:rPr>
        <w:t xml:space="preserve"> Częstotliwość oraz zakres badań przy wykonywaniu podbudowy z mieszanki kruszywa niezwiązanej  </w:t>
      </w:r>
    </w:p>
    <w:tbl>
      <w:tblPr>
        <w:tblW w:w="9004" w:type="dxa"/>
        <w:tblInd w:w="255" w:type="dxa"/>
        <w:tblCellMar>
          <w:top w:w="1" w:type="dxa"/>
          <w:left w:w="70" w:type="dxa"/>
          <w:bottom w:w="1" w:type="dxa"/>
          <w:right w:w="9" w:type="dxa"/>
        </w:tblCellMar>
        <w:tblLook w:val="04A0" w:firstRow="1" w:lastRow="0" w:firstColumn="1" w:lastColumn="0" w:noHBand="0" w:noVBand="1"/>
      </w:tblPr>
      <w:tblGrid>
        <w:gridCol w:w="497"/>
        <w:gridCol w:w="4394"/>
        <w:gridCol w:w="1558"/>
        <w:gridCol w:w="2555"/>
      </w:tblGrid>
      <w:tr w:rsidR="00AD1E0F" w:rsidRPr="00AD1E0F" w14:paraId="216AA923" w14:textId="77777777" w:rsidTr="00855929">
        <w:trPr>
          <w:trHeight w:val="233"/>
        </w:trPr>
        <w:tc>
          <w:tcPr>
            <w:tcW w:w="497" w:type="dxa"/>
            <w:vMerge w:val="restart"/>
            <w:tcBorders>
              <w:top w:val="single" w:sz="6" w:space="0" w:color="000000"/>
              <w:left w:val="single" w:sz="6" w:space="0" w:color="000000"/>
              <w:bottom w:val="double" w:sz="6" w:space="0" w:color="000000"/>
              <w:right w:val="single" w:sz="4" w:space="0" w:color="000000"/>
            </w:tcBorders>
            <w:shd w:val="clear" w:color="auto" w:fill="auto"/>
            <w:vAlign w:val="bottom"/>
          </w:tcPr>
          <w:p w14:paraId="6FE072E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Lp. </w:t>
            </w:r>
          </w:p>
        </w:tc>
        <w:tc>
          <w:tcPr>
            <w:tcW w:w="4395" w:type="dxa"/>
            <w:vMerge w:val="restart"/>
            <w:tcBorders>
              <w:top w:val="single" w:sz="6" w:space="0" w:color="000000"/>
              <w:left w:val="single" w:sz="4" w:space="0" w:color="000000"/>
              <w:bottom w:val="double" w:sz="6" w:space="0" w:color="000000"/>
              <w:right w:val="single" w:sz="6" w:space="0" w:color="000000"/>
            </w:tcBorders>
            <w:shd w:val="clear" w:color="auto" w:fill="auto"/>
            <w:vAlign w:val="bottom"/>
          </w:tcPr>
          <w:p w14:paraId="10A4252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Wyszczególnienie badań </w:t>
            </w:r>
          </w:p>
        </w:tc>
        <w:tc>
          <w:tcPr>
            <w:tcW w:w="4112" w:type="dxa"/>
            <w:gridSpan w:val="2"/>
            <w:tcBorders>
              <w:top w:val="single" w:sz="6" w:space="0" w:color="000000"/>
              <w:left w:val="single" w:sz="6" w:space="0" w:color="000000"/>
              <w:bottom w:val="single" w:sz="6" w:space="0" w:color="000000"/>
              <w:right w:val="single" w:sz="6" w:space="0" w:color="000000"/>
            </w:tcBorders>
            <w:shd w:val="clear" w:color="auto" w:fill="auto"/>
          </w:tcPr>
          <w:p w14:paraId="043286D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Częstotliwość badań </w:t>
            </w:r>
          </w:p>
        </w:tc>
      </w:tr>
      <w:tr w:rsidR="00AD1E0F" w:rsidRPr="00AD1E0F" w14:paraId="012BE12F" w14:textId="77777777" w:rsidTr="00855929">
        <w:trPr>
          <w:trHeight w:val="1155"/>
        </w:trPr>
        <w:tc>
          <w:tcPr>
            <w:tcW w:w="0" w:type="auto"/>
            <w:vMerge/>
            <w:tcBorders>
              <w:top w:val="nil"/>
              <w:left w:val="single" w:sz="6" w:space="0" w:color="000000"/>
              <w:bottom w:val="double" w:sz="6" w:space="0" w:color="000000"/>
              <w:right w:val="single" w:sz="4" w:space="0" w:color="000000"/>
            </w:tcBorders>
            <w:shd w:val="clear" w:color="auto" w:fill="auto"/>
          </w:tcPr>
          <w:p w14:paraId="13E779C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4" w:space="0" w:color="000000"/>
              <w:bottom w:val="double" w:sz="6" w:space="0" w:color="000000"/>
              <w:right w:val="single" w:sz="6" w:space="0" w:color="000000"/>
            </w:tcBorders>
            <w:shd w:val="clear" w:color="auto" w:fill="auto"/>
          </w:tcPr>
          <w:p w14:paraId="3238C8B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1558" w:type="dxa"/>
            <w:tcBorders>
              <w:top w:val="single" w:sz="6" w:space="0" w:color="000000"/>
              <w:left w:val="single" w:sz="6" w:space="0" w:color="000000"/>
              <w:bottom w:val="double" w:sz="6" w:space="0" w:color="000000"/>
              <w:right w:val="single" w:sz="6" w:space="0" w:color="000000"/>
            </w:tcBorders>
            <w:shd w:val="clear" w:color="auto" w:fill="auto"/>
          </w:tcPr>
          <w:p w14:paraId="477948D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Minimalna liczba badań na dziennej działce roboczej </w:t>
            </w:r>
          </w:p>
        </w:tc>
        <w:tc>
          <w:tcPr>
            <w:tcW w:w="2555" w:type="dxa"/>
            <w:tcBorders>
              <w:top w:val="single" w:sz="6" w:space="0" w:color="000000"/>
              <w:left w:val="single" w:sz="6" w:space="0" w:color="000000"/>
              <w:bottom w:val="double" w:sz="6" w:space="0" w:color="000000"/>
              <w:right w:val="single" w:sz="6" w:space="0" w:color="000000"/>
            </w:tcBorders>
            <w:shd w:val="clear" w:color="auto" w:fill="auto"/>
            <w:vAlign w:val="center"/>
          </w:tcPr>
          <w:p w14:paraId="12EBF53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Maksymalna powierzchnia podbudowy przypadająca na jedno badanie (m</w:t>
            </w:r>
            <w:r w:rsidRPr="00AD1E0F">
              <w:rPr>
                <w:rFonts w:ascii="Arial Narrow" w:eastAsia="Times New Roman" w:hAnsi="Arial Narrow" w:cs="Times New Roman"/>
                <w:vertAlign w:val="superscript"/>
              </w:rPr>
              <w:t>2</w:t>
            </w:r>
            <w:r w:rsidRPr="00AD1E0F">
              <w:rPr>
                <w:rFonts w:ascii="Arial Narrow" w:eastAsia="Times New Roman" w:hAnsi="Arial Narrow" w:cs="Times New Roman"/>
              </w:rPr>
              <w:t>)</w:t>
            </w:r>
            <w:r w:rsidRPr="00AD1E0F">
              <w:rPr>
                <w:rFonts w:ascii="Arial Narrow" w:eastAsia="Times New Roman" w:hAnsi="Arial Narrow" w:cs="Times New Roman"/>
                <w:vertAlign w:val="superscript"/>
              </w:rPr>
              <w:t xml:space="preserve">1) </w:t>
            </w:r>
          </w:p>
        </w:tc>
      </w:tr>
      <w:tr w:rsidR="00AD1E0F" w:rsidRPr="00AD1E0F" w14:paraId="2497817F" w14:textId="77777777" w:rsidTr="00855929">
        <w:trPr>
          <w:trHeight w:val="370"/>
        </w:trPr>
        <w:tc>
          <w:tcPr>
            <w:tcW w:w="497" w:type="dxa"/>
            <w:tcBorders>
              <w:top w:val="double" w:sz="6" w:space="0" w:color="000000"/>
              <w:left w:val="single" w:sz="6" w:space="0" w:color="000000"/>
              <w:bottom w:val="single" w:sz="6" w:space="0" w:color="000000"/>
              <w:right w:val="single" w:sz="6" w:space="0" w:color="000000"/>
            </w:tcBorders>
            <w:shd w:val="clear" w:color="auto" w:fill="auto"/>
          </w:tcPr>
          <w:p w14:paraId="0B6A682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 </w:t>
            </w:r>
          </w:p>
        </w:tc>
        <w:tc>
          <w:tcPr>
            <w:tcW w:w="4395" w:type="dxa"/>
            <w:tcBorders>
              <w:top w:val="double" w:sz="6" w:space="0" w:color="000000"/>
              <w:left w:val="single" w:sz="6" w:space="0" w:color="000000"/>
              <w:bottom w:val="single" w:sz="6" w:space="0" w:color="000000"/>
              <w:right w:val="single" w:sz="6" w:space="0" w:color="000000"/>
            </w:tcBorders>
            <w:shd w:val="clear" w:color="auto" w:fill="auto"/>
          </w:tcPr>
          <w:p w14:paraId="0C2A236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Uziarnienie mieszanki   </w:t>
            </w:r>
          </w:p>
        </w:tc>
        <w:tc>
          <w:tcPr>
            <w:tcW w:w="1558" w:type="dxa"/>
            <w:vMerge w:val="restart"/>
            <w:tcBorders>
              <w:top w:val="double" w:sz="6" w:space="0" w:color="000000"/>
              <w:left w:val="single" w:sz="6" w:space="0" w:color="000000"/>
              <w:bottom w:val="nil"/>
              <w:right w:val="single" w:sz="6" w:space="0" w:color="000000"/>
            </w:tcBorders>
            <w:shd w:val="clear" w:color="auto" w:fill="auto"/>
            <w:vAlign w:val="bottom"/>
          </w:tcPr>
          <w:p w14:paraId="479C916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 </w:t>
            </w:r>
          </w:p>
        </w:tc>
        <w:tc>
          <w:tcPr>
            <w:tcW w:w="2555" w:type="dxa"/>
            <w:vMerge w:val="restart"/>
            <w:tcBorders>
              <w:top w:val="double" w:sz="6" w:space="0" w:color="000000"/>
              <w:left w:val="single" w:sz="6" w:space="0" w:color="000000"/>
              <w:bottom w:val="nil"/>
              <w:right w:val="single" w:sz="6" w:space="0" w:color="000000"/>
            </w:tcBorders>
            <w:shd w:val="clear" w:color="auto" w:fill="auto"/>
            <w:vAlign w:val="bottom"/>
          </w:tcPr>
          <w:p w14:paraId="5C82E4F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3000 </w:t>
            </w:r>
          </w:p>
        </w:tc>
      </w:tr>
      <w:tr w:rsidR="00AD1E0F" w:rsidRPr="00AD1E0F" w14:paraId="7700D28A" w14:textId="77777777" w:rsidTr="00855929">
        <w:trPr>
          <w:trHeight w:val="111"/>
        </w:trPr>
        <w:tc>
          <w:tcPr>
            <w:tcW w:w="497" w:type="dxa"/>
            <w:tcBorders>
              <w:top w:val="single" w:sz="6" w:space="0" w:color="000000"/>
              <w:left w:val="single" w:sz="6" w:space="0" w:color="000000"/>
              <w:bottom w:val="nil"/>
              <w:right w:val="single" w:sz="6" w:space="0" w:color="000000"/>
            </w:tcBorders>
            <w:shd w:val="clear" w:color="auto" w:fill="auto"/>
          </w:tcPr>
          <w:p w14:paraId="634FB8D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4395" w:type="dxa"/>
            <w:tcBorders>
              <w:top w:val="single" w:sz="6" w:space="0" w:color="000000"/>
              <w:left w:val="single" w:sz="6" w:space="0" w:color="000000"/>
              <w:bottom w:val="nil"/>
              <w:right w:val="single" w:sz="6" w:space="0" w:color="000000"/>
            </w:tcBorders>
            <w:shd w:val="clear" w:color="auto" w:fill="auto"/>
          </w:tcPr>
          <w:p w14:paraId="0472991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6" w:space="0" w:color="000000"/>
              <w:bottom w:val="nil"/>
              <w:right w:val="single" w:sz="6" w:space="0" w:color="000000"/>
            </w:tcBorders>
            <w:shd w:val="clear" w:color="auto" w:fill="auto"/>
          </w:tcPr>
          <w:p w14:paraId="3B68262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6" w:space="0" w:color="000000"/>
              <w:bottom w:val="nil"/>
              <w:right w:val="single" w:sz="6" w:space="0" w:color="000000"/>
            </w:tcBorders>
            <w:shd w:val="clear" w:color="auto" w:fill="auto"/>
          </w:tcPr>
          <w:p w14:paraId="258B95D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r>
      <w:tr w:rsidR="00AD1E0F" w:rsidRPr="00AD1E0F" w14:paraId="118FEFA8" w14:textId="77777777" w:rsidTr="00855929">
        <w:trPr>
          <w:trHeight w:val="242"/>
        </w:trPr>
        <w:tc>
          <w:tcPr>
            <w:tcW w:w="497" w:type="dxa"/>
            <w:tcBorders>
              <w:top w:val="nil"/>
              <w:left w:val="single" w:sz="6" w:space="0" w:color="000000"/>
              <w:bottom w:val="single" w:sz="6" w:space="0" w:color="000000"/>
              <w:right w:val="single" w:sz="6" w:space="0" w:color="000000"/>
            </w:tcBorders>
            <w:shd w:val="clear" w:color="auto" w:fill="auto"/>
          </w:tcPr>
          <w:p w14:paraId="7599EC1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2 </w:t>
            </w:r>
          </w:p>
        </w:tc>
        <w:tc>
          <w:tcPr>
            <w:tcW w:w="4395" w:type="dxa"/>
            <w:tcBorders>
              <w:top w:val="nil"/>
              <w:left w:val="single" w:sz="6" w:space="0" w:color="000000"/>
              <w:bottom w:val="single" w:sz="6" w:space="0" w:color="000000"/>
              <w:right w:val="single" w:sz="6" w:space="0" w:color="000000"/>
            </w:tcBorders>
            <w:shd w:val="clear" w:color="auto" w:fill="auto"/>
          </w:tcPr>
          <w:p w14:paraId="2D0441F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Zawartość wody w mieszance  </w:t>
            </w:r>
          </w:p>
        </w:tc>
        <w:tc>
          <w:tcPr>
            <w:tcW w:w="1558" w:type="dxa"/>
            <w:tcBorders>
              <w:top w:val="nil"/>
              <w:left w:val="single" w:sz="6" w:space="0" w:color="000000"/>
              <w:bottom w:val="single" w:sz="6" w:space="0" w:color="000000"/>
              <w:right w:val="single" w:sz="6" w:space="0" w:color="000000"/>
            </w:tcBorders>
            <w:shd w:val="clear" w:color="auto" w:fill="auto"/>
          </w:tcPr>
          <w:p w14:paraId="17649A4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2555" w:type="dxa"/>
            <w:tcBorders>
              <w:top w:val="nil"/>
              <w:left w:val="single" w:sz="6" w:space="0" w:color="000000"/>
              <w:bottom w:val="single" w:sz="6" w:space="0" w:color="000000"/>
              <w:right w:val="single" w:sz="6" w:space="0" w:color="000000"/>
            </w:tcBorders>
            <w:shd w:val="clear" w:color="auto" w:fill="auto"/>
          </w:tcPr>
          <w:p w14:paraId="0980141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tc>
      </w:tr>
      <w:tr w:rsidR="00AD1E0F" w:rsidRPr="00AD1E0F" w14:paraId="0E13E1EB" w14:textId="77777777" w:rsidTr="00855929">
        <w:trPr>
          <w:trHeight w:val="353"/>
        </w:trPr>
        <w:tc>
          <w:tcPr>
            <w:tcW w:w="497" w:type="dxa"/>
            <w:tcBorders>
              <w:top w:val="single" w:sz="6" w:space="0" w:color="000000"/>
              <w:left w:val="single" w:sz="6" w:space="0" w:color="000000"/>
              <w:bottom w:val="single" w:sz="6" w:space="0" w:color="000000"/>
              <w:right w:val="single" w:sz="6" w:space="0" w:color="000000"/>
            </w:tcBorders>
            <w:shd w:val="clear" w:color="auto" w:fill="auto"/>
          </w:tcPr>
          <w:p w14:paraId="59E9BB1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3 </w:t>
            </w:r>
          </w:p>
        </w:tc>
        <w:tc>
          <w:tcPr>
            <w:tcW w:w="4395" w:type="dxa"/>
            <w:tcBorders>
              <w:top w:val="single" w:sz="6" w:space="0" w:color="000000"/>
              <w:left w:val="single" w:sz="6" w:space="0" w:color="000000"/>
              <w:bottom w:val="single" w:sz="6" w:space="0" w:color="000000"/>
              <w:right w:val="single" w:sz="6" w:space="0" w:color="000000"/>
            </w:tcBorders>
            <w:shd w:val="clear" w:color="auto" w:fill="auto"/>
          </w:tcPr>
          <w:p w14:paraId="76BAA6D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Zagęszczenie i nośność podbudowy  </w:t>
            </w:r>
          </w:p>
        </w:tc>
        <w:tc>
          <w:tcPr>
            <w:tcW w:w="1558" w:type="dxa"/>
            <w:tcBorders>
              <w:top w:val="single" w:sz="6" w:space="0" w:color="000000"/>
              <w:left w:val="single" w:sz="6" w:space="0" w:color="000000"/>
              <w:bottom w:val="single" w:sz="6" w:space="0" w:color="000000"/>
              <w:right w:val="single" w:sz="6" w:space="0" w:color="000000"/>
            </w:tcBorders>
            <w:shd w:val="clear" w:color="auto" w:fill="auto"/>
          </w:tcPr>
          <w:p w14:paraId="719F3EE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2 </w:t>
            </w:r>
          </w:p>
        </w:tc>
        <w:tc>
          <w:tcPr>
            <w:tcW w:w="2555" w:type="dxa"/>
            <w:tcBorders>
              <w:top w:val="single" w:sz="6" w:space="0" w:color="000000"/>
              <w:left w:val="single" w:sz="6" w:space="0" w:color="000000"/>
              <w:bottom w:val="single" w:sz="6" w:space="0" w:color="000000"/>
              <w:right w:val="single" w:sz="6" w:space="0" w:color="000000"/>
            </w:tcBorders>
            <w:shd w:val="clear" w:color="auto" w:fill="auto"/>
          </w:tcPr>
          <w:p w14:paraId="053CF1C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6000 </w:t>
            </w:r>
          </w:p>
        </w:tc>
      </w:tr>
      <w:tr w:rsidR="00AD1E0F" w:rsidRPr="00AD1E0F" w14:paraId="03C05FF3" w14:textId="77777777" w:rsidTr="00855929">
        <w:trPr>
          <w:trHeight w:val="1049"/>
        </w:trPr>
        <w:tc>
          <w:tcPr>
            <w:tcW w:w="497"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BCEB58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4 </w:t>
            </w:r>
          </w:p>
        </w:tc>
        <w:tc>
          <w:tcPr>
            <w:tcW w:w="439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41809D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Badanie właściwości innych niż uziarnienie mieszanki  </w:t>
            </w:r>
          </w:p>
        </w:tc>
        <w:tc>
          <w:tcPr>
            <w:tcW w:w="4112" w:type="dxa"/>
            <w:gridSpan w:val="2"/>
            <w:tcBorders>
              <w:top w:val="single" w:sz="6" w:space="0" w:color="000000"/>
              <w:left w:val="single" w:sz="6" w:space="0" w:color="000000"/>
              <w:bottom w:val="single" w:sz="6" w:space="0" w:color="000000"/>
              <w:right w:val="single" w:sz="6" w:space="0" w:color="000000"/>
            </w:tcBorders>
            <w:shd w:val="clear" w:color="auto" w:fill="auto"/>
          </w:tcPr>
          <w:p w14:paraId="193E3D3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przy zatwierdzeniu materiału i przy każdej istotnej zmianie jego właściwości, zmianie złoża, zmianie producenta oraz w razie wątpliwości co do jakości wbudowywanej mieszanki. </w:t>
            </w:r>
          </w:p>
        </w:tc>
      </w:tr>
    </w:tbl>
    <w:p w14:paraId="062D9A6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 </w:t>
      </w:r>
    </w:p>
    <w:p w14:paraId="1E8888C8"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6.7.2. Uziarnienie mieszanki </w:t>
      </w:r>
    </w:p>
    <w:p w14:paraId="76F418B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Kontrola uziarnienia rozłożonego kruszywa powinna być przeprowadzana minimum 1 raz na każdej dziennej działce roboczej za pomocą analizy sitowej. Próbki należy pobierać losowo z rozłożonej warstwy, przed jej zagęszczeniem. Uziarnienie mieszanki powinno mieścić się pomiędzy odpowiednimi krzywymi granicznymi wg WT-4 2010 dla zaprojektowanego uziarnienia mieszanki kruszyw. </w:t>
      </w:r>
    </w:p>
    <w:p w14:paraId="0D648623"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6.7.3. Zawartość wody w mieszance </w:t>
      </w:r>
    </w:p>
    <w:p w14:paraId="647AB0F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Zawartość wody w mieszance kruszyw w czasie wbudowania i zagęszczania badana według PN-EN 13286-2 powinna odpowiadać wymaganej w granicach określonych w WT-4 2010.  </w:t>
      </w:r>
    </w:p>
    <w:p w14:paraId="51E42C81"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6.7.4. Zagęszczenie i nośność podbudowy </w:t>
      </w:r>
    </w:p>
    <w:p w14:paraId="398C27D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6.7.4.1. Kontrolę zagęszczenia i nośności podbudowy należy oprzeć na metodzie obciążeń płytowych za pomocą płyty VSS o średnicy 30 cm.  </w:t>
      </w:r>
    </w:p>
    <w:p w14:paraId="50E1D1F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lastRenderedPageBreak/>
        <w:t xml:space="preserve">6.7.4.2. Nośność podbudowy należy uznać za prawidłową, gdy wtórny moduł odkształcenia E2 oznaczony za pomocą płyty VSS jest nie mniejszy niż wymagana wartość, określona w KTKNPiP 2014 lub KTKNS 2014, odpowiednia dla danej podbudowy i określona w Dokumentacji Projektowej.  </w:t>
      </w:r>
    </w:p>
    <w:p w14:paraId="0241405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sz w:val="20"/>
          <w:szCs w:val="20"/>
          <w:lang w:eastAsia="x-none"/>
        </w:rPr>
        <w:t>Tablica 6.8</w:t>
      </w:r>
      <w:r w:rsidRPr="00AD1E0F">
        <w:rPr>
          <w:rFonts w:ascii="Arial Narrow" w:eastAsia="Times New Roman" w:hAnsi="Arial Narrow" w:cs="Times New Roman"/>
          <w:sz w:val="20"/>
          <w:szCs w:val="20"/>
          <w:lang w:eastAsia="x-none"/>
        </w:rPr>
        <w:t xml:space="preserve"> Wymagania dla nośności podbudowy  </w:t>
      </w:r>
    </w:p>
    <w:tbl>
      <w:tblPr>
        <w:tblW w:w="8786" w:type="dxa"/>
        <w:tblInd w:w="603" w:type="dxa"/>
        <w:tblCellMar>
          <w:top w:w="52" w:type="dxa"/>
          <w:bottom w:w="3" w:type="dxa"/>
          <w:right w:w="115" w:type="dxa"/>
        </w:tblCellMar>
        <w:tblLook w:val="04A0" w:firstRow="1" w:lastRow="0" w:firstColumn="1" w:lastColumn="0" w:noHBand="0" w:noVBand="1"/>
      </w:tblPr>
      <w:tblGrid>
        <w:gridCol w:w="4047"/>
        <w:gridCol w:w="1620"/>
        <w:gridCol w:w="1561"/>
        <w:gridCol w:w="1558"/>
      </w:tblGrid>
      <w:tr w:rsidR="00AD1E0F" w:rsidRPr="00AD1E0F" w14:paraId="1BBA8B88" w14:textId="77777777" w:rsidTr="00855929">
        <w:trPr>
          <w:trHeight w:val="506"/>
        </w:trPr>
        <w:tc>
          <w:tcPr>
            <w:tcW w:w="40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4EC96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Badanie </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5919FA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drogi o ruchu KR1 ÷ KR2 </w:t>
            </w:r>
          </w:p>
        </w:tc>
        <w:tc>
          <w:tcPr>
            <w:tcW w:w="1561"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EA5D63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drogi o ruchu KR3 ÷ KR4 </w:t>
            </w:r>
          </w:p>
        </w:tc>
        <w:tc>
          <w:tcPr>
            <w:tcW w:w="15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B17664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drogi o ruchu KR5 ÷ KR7 </w:t>
            </w:r>
          </w:p>
        </w:tc>
      </w:tr>
      <w:tr w:rsidR="00AD1E0F" w:rsidRPr="00AD1E0F" w14:paraId="7DCC1C53" w14:textId="77777777" w:rsidTr="00855929">
        <w:trPr>
          <w:trHeight w:val="667"/>
        </w:trPr>
        <w:tc>
          <w:tcPr>
            <w:tcW w:w="4047" w:type="dxa"/>
            <w:tcBorders>
              <w:top w:val="single" w:sz="4" w:space="0" w:color="000000"/>
              <w:left w:val="single" w:sz="4" w:space="0" w:color="000000"/>
              <w:bottom w:val="single" w:sz="4" w:space="0" w:color="000000"/>
              <w:right w:val="single" w:sz="4" w:space="0" w:color="000000"/>
            </w:tcBorders>
            <w:shd w:val="clear" w:color="auto" w:fill="auto"/>
          </w:tcPr>
          <w:p w14:paraId="5E87918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Wskaźnik zagęszczenia I</w:t>
            </w:r>
            <w:r w:rsidRPr="00AD1E0F">
              <w:rPr>
                <w:rFonts w:ascii="Arial Narrow" w:eastAsia="Times New Roman" w:hAnsi="Arial Narrow" w:cs="Times New Roman"/>
                <w:vertAlign w:val="subscript"/>
              </w:rPr>
              <w:t>s</w:t>
            </w:r>
            <w:r w:rsidRPr="00AD1E0F">
              <w:rPr>
                <w:rFonts w:ascii="Arial Narrow" w:eastAsia="Times New Roman" w:hAnsi="Arial Narrow" w:cs="Times New Roman"/>
              </w:rPr>
              <w:t xml:space="preserve"> dla podbudowy zasadniczej i pomocniczej </w:t>
            </w:r>
          </w:p>
          <w:p w14:paraId="11E7FAC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1620" w:type="dxa"/>
            <w:tcBorders>
              <w:top w:val="single" w:sz="4" w:space="0" w:color="000000"/>
              <w:left w:val="single" w:sz="4" w:space="0" w:color="000000"/>
              <w:bottom w:val="single" w:sz="4" w:space="0" w:color="000000"/>
              <w:right w:val="single" w:sz="4" w:space="0" w:color="000000"/>
            </w:tcBorders>
            <w:shd w:val="clear" w:color="auto" w:fill="auto"/>
          </w:tcPr>
          <w:p w14:paraId="0B8CB0B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p w14:paraId="2F63F8B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1,00 </w:t>
            </w:r>
          </w:p>
          <w:p w14:paraId="2949E3C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w:t>
            </w:r>
          </w:p>
        </w:tc>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B3BB2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1,00 </w:t>
            </w:r>
          </w:p>
        </w:tc>
        <w:tc>
          <w:tcPr>
            <w:tcW w:w="15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1ED48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1,03 </w:t>
            </w:r>
          </w:p>
        </w:tc>
      </w:tr>
      <w:tr w:rsidR="00AD1E0F" w:rsidRPr="00AD1E0F" w14:paraId="0390FC02" w14:textId="77777777" w:rsidTr="00855929">
        <w:trPr>
          <w:trHeight w:val="464"/>
        </w:trPr>
        <w:tc>
          <w:tcPr>
            <w:tcW w:w="4047" w:type="dxa"/>
            <w:tcBorders>
              <w:top w:val="single" w:sz="4" w:space="0" w:color="000000"/>
              <w:left w:val="single" w:sz="4" w:space="0" w:color="000000"/>
              <w:bottom w:val="single" w:sz="4" w:space="0" w:color="000000"/>
              <w:right w:val="single" w:sz="4" w:space="0" w:color="000000"/>
            </w:tcBorders>
            <w:shd w:val="clear" w:color="auto" w:fill="auto"/>
          </w:tcPr>
          <w:p w14:paraId="1A67A1D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Wskaźnik odkształcenia I</w:t>
            </w:r>
            <w:r w:rsidRPr="00AD1E0F">
              <w:rPr>
                <w:rFonts w:ascii="Arial Narrow" w:eastAsia="Times New Roman" w:hAnsi="Arial Narrow" w:cs="Times New Roman"/>
                <w:vertAlign w:val="subscript"/>
              </w:rPr>
              <w:t xml:space="preserve">o </w:t>
            </w:r>
            <w:r w:rsidRPr="00AD1E0F">
              <w:rPr>
                <w:rFonts w:ascii="Arial Narrow" w:eastAsia="Times New Roman" w:hAnsi="Arial Narrow" w:cs="Times New Roman"/>
              </w:rPr>
              <w:t xml:space="preserve">dla podbudowy pomocniczej i zasadniczej </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B7F74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2,20 </w:t>
            </w:r>
          </w:p>
        </w:tc>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96B15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2,20 </w:t>
            </w:r>
          </w:p>
        </w:tc>
        <w:tc>
          <w:tcPr>
            <w:tcW w:w="15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1E402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2,20 </w:t>
            </w:r>
          </w:p>
        </w:tc>
      </w:tr>
      <w:tr w:rsidR="00AD1E0F" w:rsidRPr="00AD1E0F" w14:paraId="470EB09D" w14:textId="77777777" w:rsidTr="00855929">
        <w:trPr>
          <w:trHeight w:val="466"/>
        </w:trPr>
        <w:tc>
          <w:tcPr>
            <w:tcW w:w="4047" w:type="dxa"/>
            <w:tcBorders>
              <w:top w:val="single" w:sz="4" w:space="0" w:color="000000"/>
              <w:left w:val="single" w:sz="4" w:space="0" w:color="000000"/>
              <w:bottom w:val="single" w:sz="4" w:space="0" w:color="000000"/>
              <w:right w:val="single" w:sz="4" w:space="0" w:color="000000"/>
            </w:tcBorders>
            <w:shd w:val="clear" w:color="auto" w:fill="auto"/>
          </w:tcPr>
          <w:p w14:paraId="6C207D4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Wtórny moduł odkształcenia E</w:t>
            </w:r>
            <w:r w:rsidRPr="00AD1E0F">
              <w:rPr>
                <w:rFonts w:ascii="Arial Narrow" w:eastAsia="Times New Roman" w:hAnsi="Arial Narrow" w:cs="Times New Roman"/>
                <w:vertAlign w:val="subscript"/>
              </w:rPr>
              <w:t xml:space="preserve">2 </w:t>
            </w:r>
            <w:r w:rsidRPr="00AD1E0F">
              <w:rPr>
                <w:rFonts w:ascii="Arial Narrow" w:eastAsia="Times New Roman" w:hAnsi="Arial Narrow" w:cs="Times New Roman"/>
              </w:rPr>
              <w:t xml:space="preserve">dla podbudowy zasadniczej </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73724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130 MPa </w:t>
            </w:r>
          </w:p>
        </w:tc>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F4B58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160 MPa </w:t>
            </w:r>
          </w:p>
        </w:tc>
        <w:tc>
          <w:tcPr>
            <w:tcW w:w="15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E5202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180 MPa </w:t>
            </w:r>
          </w:p>
        </w:tc>
      </w:tr>
      <w:tr w:rsidR="00AD1E0F" w:rsidRPr="00AD1E0F" w14:paraId="79B16461" w14:textId="77777777" w:rsidTr="00855929">
        <w:trPr>
          <w:trHeight w:val="463"/>
        </w:trPr>
        <w:tc>
          <w:tcPr>
            <w:tcW w:w="4047" w:type="dxa"/>
            <w:tcBorders>
              <w:top w:val="single" w:sz="4" w:space="0" w:color="000000"/>
              <w:left w:val="single" w:sz="4" w:space="0" w:color="000000"/>
              <w:bottom w:val="single" w:sz="4" w:space="0" w:color="000000"/>
              <w:right w:val="single" w:sz="4" w:space="0" w:color="000000"/>
            </w:tcBorders>
            <w:shd w:val="clear" w:color="auto" w:fill="auto"/>
          </w:tcPr>
          <w:p w14:paraId="199A3EF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Wtórny moduł odkształcenia E</w:t>
            </w:r>
            <w:r w:rsidRPr="00AD1E0F">
              <w:rPr>
                <w:rFonts w:ascii="Arial Narrow" w:eastAsia="Times New Roman" w:hAnsi="Arial Narrow" w:cs="Times New Roman"/>
                <w:vertAlign w:val="subscript"/>
              </w:rPr>
              <w:t xml:space="preserve">2 </w:t>
            </w:r>
            <w:r w:rsidRPr="00AD1E0F">
              <w:rPr>
                <w:rFonts w:ascii="Arial Narrow" w:eastAsia="Times New Roman" w:hAnsi="Arial Narrow" w:cs="Times New Roman"/>
              </w:rPr>
              <w:t xml:space="preserve">dla podbudowy pomocniczej </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6E71F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80 MPa </w:t>
            </w:r>
          </w:p>
        </w:tc>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1690E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100 MPa </w:t>
            </w:r>
          </w:p>
        </w:tc>
        <w:tc>
          <w:tcPr>
            <w:tcW w:w="15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C0EF8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120 MPa </w:t>
            </w:r>
          </w:p>
        </w:tc>
      </w:tr>
    </w:tbl>
    <w:p w14:paraId="2564DDB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 </w:t>
      </w:r>
    </w:p>
    <w:p w14:paraId="299B894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6.7.4.3.Zagęszczenie podbudowy należy uznać za prawidłowe, gdy wskaźnik odkształcenia Io, określony stosunkiem wtórnego modułu E2 do pierwotnego modułu E1, jest nie większy niż 2,2.  </w:t>
      </w:r>
    </w:p>
    <w:p w14:paraId="4EEE5F0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6.7.4.4.Zagęszczenie warstwy podbudowy możemy sprawdzić na dwa sposoby:  </w:t>
      </w:r>
    </w:p>
    <w:p w14:paraId="29C08183" w14:textId="77777777" w:rsidR="00AD1E0F" w:rsidRPr="00AD1E0F" w:rsidRDefault="00AD1E0F" w:rsidP="00AD6DA2">
      <w:pPr>
        <w:numPr>
          <w:ilvl w:val="0"/>
          <w:numId w:val="14"/>
        </w:num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Metodą obciążeń płytowych wg załącznika B do normy PN-S-02205. Moduły odkształcenia należy wyznaczyć dla przyrostu obciążenia od 0,25 MPa do 0,35 MPa przy zastosowaniu płyty VSS o średnicy 300 mm. Końcowe obciążenie powinno wynosić 0,45 MPa. </w:t>
      </w:r>
    </w:p>
    <w:p w14:paraId="59353CA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Obliczenie wyników wg wzoru: </w:t>
      </w:r>
    </w:p>
    <w:p w14:paraId="6A63D59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i/>
          <w:sz w:val="20"/>
          <w:szCs w:val="20"/>
          <w:lang w:eastAsia="x-none"/>
        </w:rPr>
        <w:t>E=</w:t>
      </w:r>
      <w:r w:rsidRPr="00AD1E0F">
        <w:rPr>
          <w:rFonts w:ascii="Arial Narrow" w:eastAsia="Times New Roman" w:hAnsi="Arial Narrow" w:cs="Times New Roman"/>
          <w:sz w:val="20"/>
          <w:szCs w:val="20"/>
          <w:lang w:eastAsia="x-none"/>
        </w:rPr>
        <w:t xml:space="preserve">¾ D (Δp/Δs)       </w:t>
      </w:r>
    </w:p>
    <w:p w14:paraId="1306BBC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 którym: </w:t>
      </w:r>
    </w:p>
    <w:p w14:paraId="045FAA8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E – moduł odkształcenia (MPa) </w:t>
      </w:r>
    </w:p>
    <w:p w14:paraId="651DA49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dp – różnica nacisków (MPa) </w:t>
      </w:r>
    </w:p>
    <w:p w14:paraId="3D40A48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ds – przyrost osiadań odpowiadający tej różnicy nacisków (mm) </w:t>
      </w:r>
    </w:p>
    <w:p w14:paraId="73F591A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D – średnica płyty (mm) </w:t>
      </w:r>
    </w:p>
    <w:p w14:paraId="2EE2C5F6" w14:textId="77777777" w:rsidR="00AD1E0F" w:rsidRPr="00AD1E0F" w:rsidRDefault="00AD1E0F" w:rsidP="00AD6DA2">
      <w:pPr>
        <w:numPr>
          <w:ilvl w:val="0"/>
          <w:numId w:val="14"/>
        </w:num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 drugim sposobie pomiar płytą statyczną VSS na podbudowie z kruszywa łamanego stabilizowanego mechanicznie, należy przeprowadzać z zastosowaniem metodyki zgodnej z wytycznymi GDDKiA (pismo DODP -22/4100/215/98). </w:t>
      </w:r>
    </w:p>
    <w:p w14:paraId="4CD12AAF" w14:textId="77777777" w:rsidR="00AD1E0F" w:rsidRPr="00AD1E0F" w:rsidRDefault="00AD1E0F" w:rsidP="00AD1E0F">
      <w:pPr>
        <w:overflowPunct w:val="0"/>
        <w:autoSpaceDE w:val="0"/>
        <w:autoSpaceDN w:val="0"/>
        <w:adjustRightInd w:val="0"/>
        <w:spacing w:after="0" w:line="240" w:lineRule="auto"/>
        <w:ind w:left="1052"/>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i/>
          <w:sz w:val="20"/>
          <w:szCs w:val="20"/>
          <w:u w:val="single"/>
          <w:lang w:eastAsia="x-none"/>
        </w:rPr>
        <w:t>I CYKL</w:t>
      </w:r>
      <w:r w:rsidRPr="00AD1E0F">
        <w:rPr>
          <w:rFonts w:ascii="Arial Narrow" w:eastAsia="Times New Roman" w:hAnsi="Arial Narrow" w:cs="Times New Roman"/>
          <w:b/>
          <w:i/>
          <w:sz w:val="20"/>
          <w:szCs w:val="20"/>
          <w:lang w:eastAsia="x-none"/>
        </w:rPr>
        <w:t xml:space="preserve"> </w:t>
      </w:r>
    </w:p>
    <w:p w14:paraId="0F5F5DE2" w14:textId="77777777" w:rsidR="00AD1E0F" w:rsidRPr="00AD1E0F" w:rsidRDefault="00AD1E0F" w:rsidP="00AD6DA2">
      <w:pPr>
        <w:numPr>
          <w:ilvl w:val="1"/>
          <w:numId w:val="15"/>
        </w:num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obciążanie pierwotne od 0,00 do 0,55 MPa, stopniami w sposób następujący: </w:t>
      </w:r>
    </w:p>
    <w:p w14:paraId="58A1669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0,00 MPa - 0,05 MPa - 0,15 MPa - 0,25 MPa - 0,35 MPa - 0,45 MPa - 0,55 MPa Czas trwania poszczególnych stopni obciążenia wynosi 1min. Jeżeli różnica dwóch kolejnych odczytów na czujnikach nie przekroczy 0,02mm, można przejść do następnego (wyższego) stopnia obciążenia jednostkowego. </w:t>
      </w:r>
    </w:p>
    <w:p w14:paraId="42E89CBF" w14:textId="77777777" w:rsidR="00AD1E0F" w:rsidRPr="00AD1E0F" w:rsidRDefault="00AD1E0F" w:rsidP="00AD6DA2">
      <w:pPr>
        <w:numPr>
          <w:ilvl w:val="1"/>
          <w:numId w:val="15"/>
        </w:num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odciążanie pierwotne od 0,55 do 0,00 MPa, stopniami w sposób następujący: </w:t>
      </w:r>
    </w:p>
    <w:p w14:paraId="70D21D9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0,55 MPa - 0,15 MPa – 0,05 MPa – 0,00 MPa. </w:t>
      </w:r>
    </w:p>
    <w:p w14:paraId="47C5C0E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Czas trwania poszczególnych stopni odciążania wynosi 1min. Jeżeli różnica dwóch kolejnych odczytów na czujnikach nie przekroczy 0,02mm, można przejść do następnego (wtórnego) stopnia obciążania jednostkowego. Czas trwania ostatniego stopnia odciążenia wynosi 5min. </w:t>
      </w:r>
    </w:p>
    <w:p w14:paraId="08876892" w14:textId="77777777" w:rsidR="00AD1E0F" w:rsidRPr="00AD1E0F" w:rsidRDefault="00AD1E0F" w:rsidP="00AD1E0F">
      <w:pPr>
        <w:overflowPunct w:val="0"/>
        <w:autoSpaceDE w:val="0"/>
        <w:autoSpaceDN w:val="0"/>
        <w:adjustRightInd w:val="0"/>
        <w:spacing w:after="0" w:line="240" w:lineRule="auto"/>
        <w:ind w:left="709"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i/>
          <w:sz w:val="20"/>
          <w:szCs w:val="20"/>
          <w:u w:val="single"/>
          <w:lang w:eastAsia="x-none"/>
        </w:rPr>
        <w:t>II CYKL</w:t>
      </w:r>
      <w:r w:rsidRPr="00AD1E0F">
        <w:rPr>
          <w:rFonts w:ascii="Arial Narrow" w:eastAsia="Times New Roman" w:hAnsi="Arial Narrow" w:cs="Times New Roman"/>
          <w:b/>
          <w:i/>
          <w:sz w:val="20"/>
          <w:szCs w:val="20"/>
          <w:lang w:eastAsia="x-none"/>
        </w:rPr>
        <w:t xml:space="preserve"> </w:t>
      </w:r>
    </w:p>
    <w:p w14:paraId="4DC3510D" w14:textId="77777777" w:rsidR="00AD1E0F" w:rsidRPr="00AD1E0F" w:rsidRDefault="00AD1E0F" w:rsidP="00AD6DA2">
      <w:pPr>
        <w:numPr>
          <w:ilvl w:val="1"/>
          <w:numId w:val="15"/>
        </w:num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obciążanie wtórne od 0,00 do 0,55 MPa, stopniami jak w I cyklu, </w:t>
      </w:r>
      <w:r w:rsidRPr="00AD1E0F">
        <w:rPr>
          <w:rFonts w:ascii="Arial Narrow" w:eastAsia="Times New Roman" w:hAnsi="Arial Narrow" w:cs="Times New Roman"/>
          <w:sz w:val="20"/>
          <w:szCs w:val="20"/>
          <w:lang w:eastAsia="x-none"/>
        </w:rPr>
        <w:t xml:space="preserve"> odciążanie wtórne od 0,55 do 0,00 MPa, stopniami jak w I cyklu. </w:t>
      </w:r>
    </w:p>
    <w:p w14:paraId="5909396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Moduły odkształcenia pierwotny E1 i wtórny E2, obliczamy na podstawie wzoru: </w:t>
      </w:r>
    </w:p>
    <w:p w14:paraId="51EC5B3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E1, E2 = ¾ D (Δp/Δs)      [MPa] </w:t>
      </w:r>
    </w:p>
    <w:p w14:paraId="73753B2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gdzie: </w:t>
      </w:r>
    </w:p>
    <w:p w14:paraId="736B3B0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D - średnica płyty (D=300), mm </w:t>
      </w:r>
    </w:p>
    <w:p w14:paraId="73C38EA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Δp- przyrost obciążenia jednostkowego w I cyklu od 0,25 do 0,35 MPa  oraz w II cyklu od 0,25 do 0,45 MPa </w:t>
      </w:r>
    </w:p>
    <w:p w14:paraId="3045395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Δs - przyrost odkształcenia odpowiadający przyjętemu zakresowi obciążenia, mm </w:t>
      </w:r>
    </w:p>
    <w:p w14:paraId="6AB4DAB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6.7.4.5.Bieżące badania kontrolne nośności warstwy podbudowy Wykonawca może przeprowadzać metodami alternatywnymi, np. lekką płytą do obciążeń dynamicznych. Metodą referencyjną jest metoda obciążeń płytowych wg załącznika B do normy PN-S02205. </w:t>
      </w:r>
    </w:p>
    <w:p w14:paraId="3737E68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6.7.4.6.Alternatywnie dopuszcza się kontrolę i ocenę nośności na powierzchni warstwy materiału na podstawie oznaczenia wartości modułu dynamicznego E</w:t>
      </w:r>
      <w:r w:rsidRPr="00AD1E0F">
        <w:rPr>
          <w:rFonts w:ascii="Arial Narrow" w:eastAsia="Times New Roman" w:hAnsi="Arial Narrow" w:cs="Times New Roman"/>
          <w:sz w:val="20"/>
          <w:szCs w:val="20"/>
          <w:vertAlign w:val="subscript"/>
          <w:lang w:eastAsia="x-none"/>
        </w:rPr>
        <w:t>vd</w:t>
      </w:r>
      <w:r w:rsidRPr="00AD1E0F">
        <w:rPr>
          <w:rFonts w:ascii="Arial Narrow" w:eastAsia="Times New Roman" w:hAnsi="Arial Narrow" w:cs="Times New Roman"/>
          <w:sz w:val="20"/>
          <w:szCs w:val="20"/>
          <w:lang w:eastAsia="x-none"/>
        </w:rPr>
        <w:t xml:space="preserve"> z zastosowaniem lekkiej płyty dynamicznej LPD. Dopuszczenie tej metody wymaga potwierdzenia na odcinku próbnym i akceptacji przez Inżyniera/ Inspektora Nadzoru /Zamawiającego korelacji wartości wtórnego modułu odkształcenia E</w:t>
      </w:r>
      <w:r w:rsidRPr="00AD1E0F">
        <w:rPr>
          <w:rFonts w:ascii="Arial Narrow" w:eastAsia="Times New Roman" w:hAnsi="Arial Narrow" w:cs="Times New Roman"/>
          <w:sz w:val="20"/>
          <w:szCs w:val="20"/>
          <w:vertAlign w:val="subscript"/>
          <w:lang w:eastAsia="x-none"/>
        </w:rPr>
        <w:t>2</w:t>
      </w:r>
      <w:r w:rsidRPr="00AD1E0F">
        <w:rPr>
          <w:rFonts w:ascii="Arial Narrow" w:eastAsia="Times New Roman" w:hAnsi="Arial Narrow" w:cs="Times New Roman"/>
          <w:sz w:val="20"/>
          <w:szCs w:val="20"/>
          <w:lang w:eastAsia="x-none"/>
        </w:rPr>
        <w:t>, stanowiących kryterium akceptacji nośności, z wartościami modułu dynamicznego E</w:t>
      </w:r>
      <w:r w:rsidRPr="00AD1E0F">
        <w:rPr>
          <w:rFonts w:ascii="Arial Narrow" w:eastAsia="Times New Roman" w:hAnsi="Arial Narrow" w:cs="Times New Roman"/>
          <w:sz w:val="20"/>
          <w:szCs w:val="20"/>
          <w:vertAlign w:val="subscript"/>
          <w:lang w:eastAsia="x-none"/>
        </w:rPr>
        <w:t>vd</w:t>
      </w:r>
      <w:r w:rsidRPr="00AD1E0F">
        <w:rPr>
          <w:rFonts w:ascii="Arial Narrow" w:eastAsia="Times New Roman" w:hAnsi="Arial Narrow" w:cs="Times New Roman"/>
          <w:sz w:val="20"/>
          <w:szCs w:val="20"/>
          <w:lang w:eastAsia="x-none"/>
        </w:rPr>
        <w:t xml:space="preserve"> w odniesieniu do gruntów i materiałów stosowanych w konkretnym przypadku i określonych z zastosowaniem wybranego typu (konstrukcji) LPD.W przypadku </w:t>
      </w:r>
      <w:r w:rsidRPr="00AD1E0F">
        <w:rPr>
          <w:rFonts w:ascii="Arial Narrow" w:eastAsia="Times New Roman" w:hAnsi="Arial Narrow" w:cs="Times New Roman"/>
          <w:sz w:val="20"/>
          <w:szCs w:val="20"/>
          <w:lang w:eastAsia="x-none"/>
        </w:rPr>
        <w:lastRenderedPageBreak/>
        <w:t xml:space="preserve">stosowania płyt LPD o różnych konstrukcjach korelację należy ustalić dla każdego typu urządzenia. Metodą referencyjną jest metoda obciążeń płytowych wg załącznika B do normy PN-S-02205. </w:t>
      </w:r>
    </w:p>
    <w:p w14:paraId="7694153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6.7.4.7. W przypadku stosowania płyty LPD należy uwzględnić właściwe dla tej metody ograniczenia w zakresie jej stosowalności. Metody tej nie należy jednak wykorzystywać do badań odbiorowych warstwy. </w:t>
      </w:r>
    </w:p>
    <w:p w14:paraId="29FF046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6.7.4.8. Wykonawca zobowiązany jest zapewniać laboratorium Inżyniera/ Inspektora Nadzoru /Zamawiającego na swój koszt pojazdy ciężarowe stanowiące przeciwwagę do oznaczania modułu odkształcenia i badania nośności przez obciążenie płyta statyczną (badanie aparatem VSS) w miejscu i terminie wyznaczonym przez Inżyniera/ Inspektora Nadzoru /Zamawiającego. </w:t>
      </w:r>
    </w:p>
    <w:p w14:paraId="37597F79"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6.7.5. Właściwości kruszywa </w:t>
      </w:r>
    </w:p>
    <w:p w14:paraId="7F7C0F6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Właściwości mieszanki kruszywa inne niż uziarnienie powinny być badane okresowe na polecenie Inżyniera/ Inspektora Nadzoru /Zamawiającego oraz w razie wątpliwości co do jakości mieszanki. Próbki do badań powinny być pobierane losowo w obecności Inżyniera/ Inspektora Nadzoru /Zamawiającego. </w:t>
      </w:r>
    </w:p>
    <w:p w14:paraId="5569044B"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76" w:name="_Toc66287"/>
      <w:r w:rsidRPr="00AD1E0F">
        <w:rPr>
          <w:rFonts w:ascii="Arial Narrow" w:eastAsia="Times New Roman" w:hAnsi="Arial Narrow" w:cs="Times New Roman"/>
          <w:b/>
          <w:sz w:val="28"/>
          <w:szCs w:val="20"/>
          <w:lang w:val="x-none" w:eastAsia="x-none"/>
        </w:rPr>
        <w:t xml:space="preserve">6.8. Wymagania dotyczące cech geometrycznych podbudowy </w:t>
      </w:r>
      <w:bookmarkEnd w:id="576"/>
    </w:p>
    <w:p w14:paraId="38D68B8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sz w:val="20"/>
          <w:szCs w:val="20"/>
          <w:lang w:eastAsia="x-none"/>
        </w:rPr>
        <w:t>Tablica 6.8</w:t>
      </w:r>
      <w:r w:rsidRPr="00AD1E0F">
        <w:rPr>
          <w:rFonts w:ascii="Arial Narrow" w:eastAsia="Times New Roman" w:hAnsi="Arial Narrow" w:cs="Times New Roman"/>
          <w:sz w:val="20"/>
          <w:szCs w:val="20"/>
          <w:lang w:eastAsia="x-none"/>
        </w:rPr>
        <w:t xml:space="preserve"> Częstotliwość oraz zakres pomiarów wykonanej podbudowy pomocniczej i zasadniczej </w:t>
      </w:r>
    </w:p>
    <w:tbl>
      <w:tblPr>
        <w:tblW w:w="9491" w:type="dxa"/>
        <w:tblInd w:w="255" w:type="dxa"/>
        <w:tblCellMar>
          <w:top w:w="56" w:type="dxa"/>
          <w:left w:w="70" w:type="dxa"/>
          <w:right w:w="0" w:type="dxa"/>
        </w:tblCellMar>
        <w:tblLook w:val="04A0" w:firstRow="1" w:lastRow="0" w:firstColumn="1" w:lastColumn="0" w:noHBand="0" w:noVBand="1"/>
      </w:tblPr>
      <w:tblGrid>
        <w:gridCol w:w="501"/>
        <w:gridCol w:w="2304"/>
        <w:gridCol w:w="3583"/>
        <w:gridCol w:w="3103"/>
      </w:tblGrid>
      <w:tr w:rsidR="00AD1E0F" w:rsidRPr="00AD1E0F" w14:paraId="5B7871CF" w14:textId="77777777" w:rsidTr="00855929">
        <w:trPr>
          <w:trHeight w:val="514"/>
        </w:trPr>
        <w:tc>
          <w:tcPr>
            <w:tcW w:w="501" w:type="dxa"/>
            <w:tcBorders>
              <w:top w:val="single" w:sz="6" w:space="0" w:color="000000"/>
              <w:left w:val="single" w:sz="6" w:space="0" w:color="000000"/>
              <w:bottom w:val="double" w:sz="6" w:space="0" w:color="000000"/>
              <w:right w:val="single" w:sz="6" w:space="0" w:color="000000"/>
            </w:tcBorders>
            <w:shd w:val="clear" w:color="auto" w:fill="auto"/>
            <w:vAlign w:val="center"/>
          </w:tcPr>
          <w:p w14:paraId="19B3DBE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Lp.</w:t>
            </w:r>
            <w:r w:rsidRPr="00AD1E0F">
              <w:rPr>
                <w:rFonts w:ascii="Arial Narrow" w:eastAsia="Times New Roman" w:hAnsi="Arial Narrow" w:cs="Times New Roman"/>
                <w:b/>
              </w:rPr>
              <w:t xml:space="preserve"> </w:t>
            </w:r>
          </w:p>
        </w:tc>
        <w:tc>
          <w:tcPr>
            <w:tcW w:w="2304" w:type="dxa"/>
            <w:tcBorders>
              <w:top w:val="single" w:sz="6" w:space="0" w:color="000000"/>
              <w:left w:val="single" w:sz="6" w:space="0" w:color="000000"/>
              <w:bottom w:val="double" w:sz="6" w:space="0" w:color="000000"/>
              <w:right w:val="single" w:sz="6" w:space="0" w:color="000000"/>
            </w:tcBorders>
            <w:shd w:val="clear" w:color="auto" w:fill="auto"/>
          </w:tcPr>
          <w:p w14:paraId="24077A7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Wyszczególnienie badań i pomiarów</w:t>
            </w:r>
            <w:r w:rsidRPr="00AD1E0F">
              <w:rPr>
                <w:rFonts w:ascii="Arial Narrow" w:eastAsia="Times New Roman" w:hAnsi="Arial Narrow" w:cs="Times New Roman"/>
                <w:b/>
              </w:rPr>
              <w:t xml:space="preserve"> </w:t>
            </w:r>
          </w:p>
        </w:tc>
        <w:tc>
          <w:tcPr>
            <w:tcW w:w="3583" w:type="dxa"/>
            <w:tcBorders>
              <w:top w:val="single" w:sz="6" w:space="0" w:color="000000"/>
              <w:left w:val="single" w:sz="6" w:space="0" w:color="000000"/>
              <w:bottom w:val="double" w:sz="6" w:space="0" w:color="000000"/>
              <w:right w:val="single" w:sz="6" w:space="0" w:color="000000"/>
            </w:tcBorders>
            <w:shd w:val="clear" w:color="auto" w:fill="auto"/>
            <w:vAlign w:val="center"/>
          </w:tcPr>
          <w:p w14:paraId="4DF3043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Minimalna częstotliwość pomiarów  dla drogi</w:t>
            </w:r>
          </w:p>
        </w:tc>
        <w:tc>
          <w:tcPr>
            <w:tcW w:w="3103" w:type="dxa"/>
            <w:tcBorders>
              <w:top w:val="single" w:sz="6" w:space="0" w:color="000000"/>
              <w:left w:val="single" w:sz="6" w:space="0" w:color="000000"/>
              <w:bottom w:val="double" w:sz="6" w:space="0" w:color="000000"/>
              <w:right w:val="single" w:sz="6" w:space="0" w:color="000000"/>
            </w:tcBorders>
          </w:tcPr>
          <w:p w14:paraId="7EF6C1D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Minimalna częstotliwość pomiarów  dla zjazdów, chodników, ścieżek rowerowych, zatok</w:t>
            </w:r>
          </w:p>
        </w:tc>
      </w:tr>
      <w:tr w:rsidR="00AD1E0F" w:rsidRPr="00AD1E0F" w14:paraId="0CEC4EE6" w14:textId="77777777" w:rsidTr="00855929">
        <w:trPr>
          <w:trHeight w:val="274"/>
        </w:trPr>
        <w:tc>
          <w:tcPr>
            <w:tcW w:w="501" w:type="dxa"/>
            <w:tcBorders>
              <w:top w:val="double" w:sz="6" w:space="0" w:color="000000"/>
              <w:left w:val="single" w:sz="6" w:space="0" w:color="000000"/>
              <w:bottom w:val="single" w:sz="6" w:space="0" w:color="000000"/>
              <w:right w:val="single" w:sz="6" w:space="0" w:color="000000"/>
            </w:tcBorders>
            <w:shd w:val="clear" w:color="auto" w:fill="auto"/>
          </w:tcPr>
          <w:p w14:paraId="36B2FE5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1</w:t>
            </w:r>
            <w:r w:rsidRPr="00AD1E0F">
              <w:rPr>
                <w:rFonts w:ascii="Arial Narrow" w:eastAsia="Times New Roman" w:hAnsi="Arial Narrow" w:cs="Times New Roman"/>
                <w:b/>
              </w:rPr>
              <w:t xml:space="preserve"> </w:t>
            </w:r>
          </w:p>
        </w:tc>
        <w:tc>
          <w:tcPr>
            <w:tcW w:w="2304" w:type="dxa"/>
            <w:tcBorders>
              <w:top w:val="double" w:sz="6" w:space="0" w:color="000000"/>
              <w:left w:val="single" w:sz="6" w:space="0" w:color="000000"/>
              <w:bottom w:val="single" w:sz="6" w:space="0" w:color="000000"/>
              <w:right w:val="single" w:sz="6" w:space="0" w:color="000000"/>
            </w:tcBorders>
            <w:shd w:val="clear" w:color="auto" w:fill="auto"/>
          </w:tcPr>
          <w:p w14:paraId="0BD36DC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Szerokość  </w:t>
            </w:r>
            <w:r w:rsidRPr="00AD1E0F">
              <w:rPr>
                <w:rFonts w:ascii="Arial Narrow" w:eastAsia="Times New Roman" w:hAnsi="Arial Narrow" w:cs="Times New Roman"/>
                <w:b/>
              </w:rPr>
              <w:t xml:space="preserve"> </w:t>
            </w:r>
          </w:p>
        </w:tc>
        <w:tc>
          <w:tcPr>
            <w:tcW w:w="3583" w:type="dxa"/>
            <w:tcBorders>
              <w:top w:val="double" w:sz="6" w:space="0" w:color="000000"/>
              <w:left w:val="single" w:sz="6" w:space="0" w:color="000000"/>
              <w:bottom w:val="single" w:sz="6" w:space="0" w:color="000000"/>
              <w:right w:val="single" w:sz="6" w:space="0" w:color="000000"/>
            </w:tcBorders>
            <w:shd w:val="clear" w:color="auto" w:fill="auto"/>
          </w:tcPr>
          <w:p w14:paraId="4926300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10 razy na 1 km</w:t>
            </w:r>
            <w:r w:rsidRPr="00AD1E0F">
              <w:rPr>
                <w:rFonts w:ascii="Arial Narrow" w:eastAsia="Times New Roman" w:hAnsi="Arial Narrow" w:cs="Times New Roman"/>
                <w:b/>
              </w:rPr>
              <w:t xml:space="preserve"> </w:t>
            </w:r>
          </w:p>
        </w:tc>
        <w:tc>
          <w:tcPr>
            <w:tcW w:w="3103" w:type="dxa"/>
            <w:tcBorders>
              <w:top w:val="double" w:sz="6" w:space="0" w:color="000000"/>
              <w:left w:val="single" w:sz="6" w:space="0" w:color="000000"/>
              <w:bottom w:val="single" w:sz="6" w:space="0" w:color="000000"/>
              <w:right w:val="single" w:sz="6" w:space="0" w:color="000000"/>
            </w:tcBorders>
          </w:tcPr>
          <w:p w14:paraId="590E194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2 razy</w:t>
            </w:r>
          </w:p>
        </w:tc>
      </w:tr>
      <w:tr w:rsidR="00AD1E0F" w:rsidRPr="00AD1E0F" w14:paraId="330E698F" w14:textId="77777777" w:rsidTr="00855929">
        <w:trPr>
          <w:trHeight w:val="502"/>
        </w:trPr>
        <w:tc>
          <w:tcPr>
            <w:tcW w:w="501" w:type="dxa"/>
            <w:tcBorders>
              <w:top w:val="single" w:sz="6" w:space="0" w:color="000000"/>
              <w:left w:val="single" w:sz="6" w:space="0" w:color="000000"/>
              <w:bottom w:val="single" w:sz="6" w:space="0" w:color="000000"/>
              <w:right w:val="single" w:sz="6" w:space="0" w:color="000000"/>
            </w:tcBorders>
            <w:shd w:val="clear" w:color="auto" w:fill="auto"/>
          </w:tcPr>
          <w:p w14:paraId="609B976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2</w:t>
            </w:r>
            <w:r w:rsidRPr="00AD1E0F">
              <w:rPr>
                <w:rFonts w:ascii="Arial Narrow" w:eastAsia="Times New Roman" w:hAnsi="Arial Narrow" w:cs="Times New Roman"/>
                <w:b/>
              </w:rPr>
              <w:t xml:space="preserve"> </w:t>
            </w:r>
          </w:p>
        </w:tc>
        <w:tc>
          <w:tcPr>
            <w:tcW w:w="2304" w:type="dxa"/>
            <w:tcBorders>
              <w:top w:val="single" w:sz="6" w:space="0" w:color="000000"/>
              <w:left w:val="single" w:sz="6" w:space="0" w:color="000000"/>
              <w:bottom w:val="single" w:sz="6" w:space="0" w:color="000000"/>
              <w:right w:val="single" w:sz="6" w:space="0" w:color="000000"/>
            </w:tcBorders>
            <w:shd w:val="clear" w:color="auto" w:fill="auto"/>
          </w:tcPr>
          <w:p w14:paraId="4C0D5AE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Równość podłużna</w:t>
            </w:r>
            <w:r w:rsidRPr="00AD1E0F">
              <w:rPr>
                <w:rFonts w:ascii="Arial Narrow" w:eastAsia="Times New Roman" w:hAnsi="Arial Narrow" w:cs="Times New Roman"/>
                <w:b/>
              </w:rPr>
              <w:t xml:space="preserve"> </w:t>
            </w:r>
          </w:p>
        </w:tc>
        <w:tc>
          <w:tcPr>
            <w:tcW w:w="3583" w:type="dxa"/>
            <w:tcBorders>
              <w:top w:val="single" w:sz="6" w:space="0" w:color="000000"/>
              <w:left w:val="single" w:sz="6" w:space="0" w:color="000000"/>
              <w:bottom w:val="single" w:sz="6" w:space="0" w:color="000000"/>
              <w:right w:val="single" w:sz="6" w:space="0" w:color="000000"/>
            </w:tcBorders>
            <w:shd w:val="clear" w:color="auto" w:fill="auto"/>
          </w:tcPr>
          <w:p w14:paraId="3765717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w sposób ciągły na każdym pasie ruchu łatą długości 4m lub metodą równoważną (planografem)</w:t>
            </w:r>
            <w:r w:rsidRPr="00AD1E0F">
              <w:rPr>
                <w:rFonts w:ascii="Arial Narrow" w:eastAsia="Times New Roman" w:hAnsi="Arial Narrow" w:cs="Times New Roman"/>
                <w:b/>
              </w:rPr>
              <w:t xml:space="preserve"> </w:t>
            </w:r>
          </w:p>
        </w:tc>
        <w:tc>
          <w:tcPr>
            <w:tcW w:w="3103" w:type="dxa"/>
            <w:tcBorders>
              <w:top w:val="single" w:sz="6" w:space="0" w:color="000000"/>
              <w:left w:val="single" w:sz="6" w:space="0" w:color="000000"/>
              <w:bottom w:val="single" w:sz="6" w:space="0" w:color="000000"/>
              <w:right w:val="single" w:sz="6" w:space="0" w:color="000000"/>
            </w:tcBorders>
          </w:tcPr>
          <w:p w14:paraId="49BEAD6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2 razy łatą długości 4m</w:t>
            </w:r>
          </w:p>
        </w:tc>
      </w:tr>
      <w:tr w:rsidR="00AD1E0F" w:rsidRPr="00AD1E0F" w14:paraId="29B8E7BB" w14:textId="77777777" w:rsidTr="00855929">
        <w:trPr>
          <w:trHeight w:val="259"/>
        </w:trPr>
        <w:tc>
          <w:tcPr>
            <w:tcW w:w="501" w:type="dxa"/>
            <w:tcBorders>
              <w:top w:val="single" w:sz="6" w:space="0" w:color="000000"/>
              <w:left w:val="single" w:sz="6" w:space="0" w:color="000000"/>
              <w:bottom w:val="single" w:sz="6" w:space="0" w:color="000000"/>
              <w:right w:val="single" w:sz="6" w:space="0" w:color="000000"/>
            </w:tcBorders>
            <w:shd w:val="clear" w:color="auto" w:fill="auto"/>
          </w:tcPr>
          <w:p w14:paraId="4AF46E7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3</w:t>
            </w:r>
            <w:r w:rsidRPr="00AD1E0F">
              <w:rPr>
                <w:rFonts w:ascii="Arial Narrow" w:eastAsia="Times New Roman" w:hAnsi="Arial Narrow" w:cs="Times New Roman"/>
                <w:b/>
              </w:rPr>
              <w:t xml:space="preserve"> </w:t>
            </w:r>
          </w:p>
        </w:tc>
        <w:tc>
          <w:tcPr>
            <w:tcW w:w="2304" w:type="dxa"/>
            <w:tcBorders>
              <w:top w:val="single" w:sz="6" w:space="0" w:color="000000"/>
              <w:left w:val="single" w:sz="6" w:space="0" w:color="000000"/>
              <w:bottom w:val="single" w:sz="6" w:space="0" w:color="000000"/>
              <w:right w:val="single" w:sz="6" w:space="0" w:color="000000"/>
            </w:tcBorders>
            <w:shd w:val="clear" w:color="auto" w:fill="auto"/>
          </w:tcPr>
          <w:p w14:paraId="1E3D903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Równość poprzeczna</w:t>
            </w:r>
            <w:r w:rsidRPr="00AD1E0F">
              <w:rPr>
                <w:rFonts w:ascii="Arial Narrow" w:eastAsia="Times New Roman" w:hAnsi="Arial Narrow" w:cs="Times New Roman"/>
                <w:b/>
              </w:rPr>
              <w:t xml:space="preserve"> </w:t>
            </w:r>
          </w:p>
        </w:tc>
        <w:tc>
          <w:tcPr>
            <w:tcW w:w="3583" w:type="dxa"/>
            <w:tcBorders>
              <w:top w:val="single" w:sz="6" w:space="0" w:color="000000"/>
              <w:left w:val="single" w:sz="6" w:space="0" w:color="000000"/>
              <w:bottom w:val="single" w:sz="6" w:space="0" w:color="000000"/>
              <w:right w:val="single" w:sz="6" w:space="0" w:color="000000"/>
            </w:tcBorders>
            <w:shd w:val="clear" w:color="auto" w:fill="auto"/>
          </w:tcPr>
          <w:p w14:paraId="3AD2331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10 razy na 1 km łatą długości 2m</w:t>
            </w:r>
            <w:r w:rsidRPr="00AD1E0F">
              <w:rPr>
                <w:rFonts w:ascii="Arial Narrow" w:eastAsia="Times New Roman" w:hAnsi="Arial Narrow" w:cs="Times New Roman"/>
                <w:b/>
              </w:rPr>
              <w:t xml:space="preserve"> </w:t>
            </w:r>
          </w:p>
        </w:tc>
        <w:tc>
          <w:tcPr>
            <w:tcW w:w="3103" w:type="dxa"/>
            <w:tcBorders>
              <w:top w:val="single" w:sz="6" w:space="0" w:color="000000"/>
              <w:left w:val="single" w:sz="6" w:space="0" w:color="000000"/>
              <w:bottom w:val="single" w:sz="6" w:space="0" w:color="000000"/>
              <w:right w:val="single" w:sz="6" w:space="0" w:color="000000"/>
            </w:tcBorders>
          </w:tcPr>
          <w:p w14:paraId="2CFE100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2 razy łatą długości 2m</w:t>
            </w:r>
          </w:p>
        </w:tc>
      </w:tr>
      <w:tr w:rsidR="00AD1E0F" w:rsidRPr="00AD1E0F" w14:paraId="3B20F5C5" w14:textId="77777777" w:rsidTr="00855929">
        <w:trPr>
          <w:trHeight w:val="257"/>
        </w:trPr>
        <w:tc>
          <w:tcPr>
            <w:tcW w:w="501" w:type="dxa"/>
            <w:tcBorders>
              <w:top w:val="single" w:sz="6" w:space="0" w:color="000000"/>
              <w:left w:val="single" w:sz="6" w:space="0" w:color="000000"/>
              <w:bottom w:val="single" w:sz="6" w:space="0" w:color="000000"/>
              <w:right w:val="single" w:sz="6" w:space="0" w:color="000000"/>
            </w:tcBorders>
            <w:shd w:val="clear" w:color="auto" w:fill="auto"/>
          </w:tcPr>
          <w:p w14:paraId="359EC3F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4</w:t>
            </w:r>
            <w:r w:rsidRPr="00AD1E0F">
              <w:rPr>
                <w:rFonts w:ascii="Arial Narrow" w:eastAsia="Times New Roman" w:hAnsi="Arial Narrow" w:cs="Times New Roman"/>
                <w:b/>
              </w:rPr>
              <w:t xml:space="preserve"> </w:t>
            </w:r>
          </w:p>
        </w:tc>
        <w:tc>
          <w:tcPr>
            <w:tcW w:w="2304" w:type="dxa"/>
            <w:tcBorders>
              <w:top w:val="single" w:sz="6" w:space="0" w:color="000000"/>
              <w:left w:val="single" w:sz="6" w:space="0" w:color="000000"/>
              <w:bottom w:val="single" w:sz="6" w:space="0" w:color="000000"/>
              <w:right w:val="single" w:sz="6" w:space="0" w:color="000000"/>
            </w:tcBorders>
            <w:shd w:val="clear" w:color="auto" w:fill="auto"/>
          </w:tcPr>
          <w:p w14:paraId="26D04B5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Spadki poprzeczne*</w:t>
            </w:r>
            <w:r w:rsidRPr="00AD1E0F">
              <w:rPr>
                <w:rFonts w:ascii="Arial Narrow" w:eastAsia="Times New Roman" w:hAnsi="Arial Narrow" w:cs="Times New Roman"/>
                <w:vertAlign w:val="superscript"/>
              </w:rPr>
              <w:t>)</w:t>
            </w:r>
            <w:r w:rsidRPr="00AD1E0F">
              <w:rPr>
                <w:rFonts w:ascii="Arial Narrow" w:eastAsia="Times New Roman" w:hAnsi="Arial Narrow" w:cs="Times New Roman"/>
                <w:b/>
              </w:rPr>
              <w:t xml:space="preserve"> </w:t>
            </w:r>
          </w:p>
        </w:tc>
        <w:tc>
          <w:tcPr>
            <w:tcW w:w="3583" w:type="dxa"/>
            <w:tcBorders>
              <w:top w:val="single" w:sz="6" w:space="0" w:color="000000"/>
              <w:left w:val="single" w:sz="6" w:space="0" w:color="000000"/>
              <w:bottom w:val="single" w:sz="6" w:space="0" w:color="000000"/>
              <w:right w:val="single" w:sz="6" w:space="0" w:color="000000"/>
            </w:tcBorders>
            <w:shd w:val="clear" w:color="auto" w:fill="auto"/>
          </w:tcPr>
          <w:p w14:paraId="1FE84C4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10 razy na 1 km</w:t>
            </w:r>
            <w:r w:rsidRPr="00AD1E0F">
              <w:rPr>
                <w:rFonts w:ascii="Arial Narrow" w:eastAsia="Times New Roman" w:hAnsi="Arial Narrow" w:cs="Times New Roman"/>
                <w:b/>
              </w:rPr>
              <w:t xml:space="preserve"> </w:t>
            </w:r>
          </w:p>
        </w:tc>
        <w:tc>
          <w:tcPr>
            <w:tcW w:w="3103" w:type="dxa"/>
            <w:tcBorders>
              <w:top w:val="single" w:sz="6" w:space="0" w:color="000000"/>
              <w:left w:val="single" w:sz="6" w:space="0" w:color="000000"/>
              <w:bottom w:val="single" w:sz="6" w:space="0" w:color="000000"/>
              <w:right w:val="single" w:sz="6" w:space="0" w:color="000000"/>
            </w:tcBorders>
          </w:tcPr>
          <w:p w14:paraId="2DC35F0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2 razy</w:t>
            </w:r>
          </w:p>
        </w:tc>
      </w:tr>
      <w:tr w:rsidR="00AD1E0F" w:rsidRPr="00AD1E0F" w14:paraId="237A0BE0" w14:textId="77777777" w:rsidTr="00855929">
        <w:trPr>
          <w:trHeight w:val="502"/>
        </w:trPr>
        <w:tc>
          <w:tcPr>
            <w:tcW w:w="501" w:type="dxa"/>
            <w:tcBorders>
              <w:top w:val="single" w:sz="6" w:space="0" w:color="000000"/>
              <w:left w:val="single" w:sz="6" w:space="0" w:color="000000"/>
              <w:bottom w:val="single" w:sz="6" w:space="0" w:color="000000"/>
              <w:right w:val="single" w:sz="6" w:space="0" w:color="000000"/>
            </w:tcBorders>
            <w:shd w:val="clear" w:color="auto" w:fill="auto"/>
          </w:tcPr>
          <w:p w14:paraId="7A814DD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5</w:t>
            </w:r>
            <w:r w:rsidRPr="00AD1E0F">
              <w:rPr>
                <w:rFonts w:ascii="Arial Narrow" w:eastAsia="Times New Roman" w:hAnsi="Arial Narrow" w:cs="Times New Roman"/>
                <w:b/>
              </w:rPr>
              <w:t xml:space="preserve"> </w:t>
            </w:r>
          </w:p>
        </w:tc>
        <w:tc>
          <w:tcPr>
            <w:tcW w:w="2304" w:type="dxa"/>
            <w:tcBorders>
              <w:top w:val="single" w:sz="6" w:space="0" w:color="000000"/>
              <w:left w:val="single" w:sz="6" w:space="0" w:color="000000"/>
              <w:bottom w:val="single" w:sz="6" w:space="0" w:color="000000"/>
              <w:right w:val="single" w:sz="6" w:space="0" w:color="000000"/>
            </w:tcBorders>
            <w:shd w:val="clear" w:color="auto" w:fill="auto"/>
          </w:tcPr>
          <w:p w14:paraId="4D93678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Rzędne wysokościowe**)</w:t>
            </w:r>
            <w:r w:rsidRPr="00AD1E0F">
              <w:rPr>
                <w:rFonts w:ascii="Arial Narrow" w:eastAsia="Times New Roman" w:hAnsi="Arial Narrow" w:cs="Times New Roman"/>
                <w:b/>
              </w:rPr>
              <w:t xml:space="preserve"> </w:t>
            </w:r>
          </w:p>
        </w:tc>
        <w:tc>
          <w:tcPr>
            <w:tcW w:w="3583" w:type="dxa"/>
            <w:tcBorders>
              <w:top w:val="single" w:sz="6" w:space="0" w:color="000000"/>
              <w:left w:val="single" w:sz="6" w:space="0" w:color="000000"/>
              <w:bottom w:val="single" w:sz="6" w:space="0" w:color="000000"/>
              <w:right w:val="single" w:sz="6" w:space="0" w:color="000000"/>
            </w:tcBorders>
            <w:shd w:val="clear" w:color="auto" w:fill="auto"/>
          </w:tcPr>
          <w:p w14:paraId="2AF771C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dla każdej jezdni  co 20m na odcinkach prostych i co 10m na łukach; w osi jezdni i na jej krawędziach </w:t>
            </w:r>
          </w:p>
        </w:tc>
        <w:tc>
          <w:tcPr>
            <w:tcW w:w="3103" w:type="dxa"/>
            <w:tcBorders>
              <w:top w:val="single" w:sz="6" w:space="0" w:color="000000"/>
              <w:left w:val="single" w:sz="6" w:space="0" w:color="000000"/>
              <w:bottom w:val="single" w:sz="6" w:space="0" w:color="000000"/>
              <w:right w:val="single" w:sz="6" w:space="0" w:color="000000"/>
            </w:tcBorders>
          </w:tcPr>
          <w:p w14:paraId="71D56B1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2 razy</w:t>
            </w:r>
          </w:p>
        </w:tc>
      </w:tr>
      <w:tr w:rsidR="00AD1E0F" w:rsidRPr="00AD1E0F" w14:paraId="4AD242EC" w14:textId="77777777" w:rsidTr="00855929">
        <w:trPr>
          <w:trHeight w:val="502"/>
        </w:trPr>
        <w:tc>
          <w:tcPr>
            <w:tcW w:w="501" w:type="dxa"/>
            <w:tcBorders>
              <w:top w:val="single" w:sz="6" w:space="0" w:color="000000"/>
              <w:left w:val="single" w:sz="6" w:space="0" w:color="000000"/>
              <w:bottom w:val="single" w:sz="6" w:space="0" w:color="000000"/>
              <w:right w:val="single" w:sz="6" w:space="0" w:color="000000"/>
            </w:tcBorders>
            <w:shd w:val="clear" w:color="auto" w:fill="auto"/>
          </w:tcPr>
          <w:p w14:paraId="1C2664F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6</w:t>
            </w:r>
            <w:r w:rsidRPr="00AD1E0F">
              <w:rPr>
                <w:rFonts w:ascii="Arial Narrow" w:eastAsia="Times New Roman" w:hAnsi="Arial Narrow" w:cs="Times New Roman"/>
                <w:b/>
              </w:rPr>
              <w:t xml:space="preserve"> </w:t>
            </w:r>
          </w:p>
        </w:tc>
        <w:tc>
          <w:tcPr>
            <w:tcW w:w="2304" w:type="dxa"/>
            <w:tcBorders>
              <w:top w:val="single" w:sz="6" w:space="0" w:color="000000"/>
              <w:left w:val="single" w:sz="6" w:space="0" w:color="000000"/>
              <w:bottom w:val="single" w:sz="6" w:space="0" w:color="000000"/>
              <w:right w:val="single" w:sz="6" w:space="0" w:color="000000"/>
            </w:tcBorders>
            <w:shd w:val="clear" w:color="auto" w:fill="auto"/>
          </w:tcPr>
          <w:p w14:paraId="07FC5AB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Ukształtowanie osi w planie*</w:t>
            </w:r>
            <w:r w:rsidRPr="00AD1E0F">
              <w:rPr>
                <w:rFonts w:ascii="Arial Narrow" w:eastAsia="Times New Roman" w:hAnsi="Arial Narrow" w:cs="Times New Roman"/>
                <w:vertAlign w:val="superscript"/>
              </w:rPr>
              <w:t>)</w:t>
            </w:r>
            <w:r w:rsidRPr="00AD1E0F">
              <w:rPr>
                <w:rFonts w:ascii="Arial Narrow" w:eastAsia="Times New Roman" w:hAnsi="Arial Narrow" w:cs="Times New Roman"/>
                <w:b/>
              </w:rPr>
              <w:t xml:space="preserve"> </w:t>
            </w:r>
          </w:p>
        </w:tc>
        <w:tc>
          <w:tcPr>
            <w:tcW w:w="3583" w:type="dxa"/>
            <w:tcBorders>
              <w:top w:val="single" w:sz="6" w:space="0" w:color="000000"/>
              <w:left w:val="single" w:sz="6" w:space="0" w:color="000000"/>
              <w:bottom w:val="single" w:sz="6" w:space="0" w:color="000000"/>
              <w:right w:val="single" w:sz="6" w:space="0" w:color="000000"/>
            </w:tcBorders>
            <w:shd w:val="clear" w:color="auto" w:fill="auto"/>
          </w:tcPr>
          <w:p w14:paraId="773098B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10 razy na 1 km</w:t>
            </w:r>
            <w:r w:rsidRPr="00AD1E0F">
              <w:rPr>
                <w:rFonts w:ascii="Arial Narrow" w:eastAsia="Times New Roman" w:hAnsi="Arial Narrow" w:cs="Times New Roman"/>
                <w:b/>
              </w:rPr>
              <w:t xml:space="preserve"> </w:t>
            </w:r>
          </w:p>
        </w:tc>
        <w:tc>
          <w:tcPr>
            <w:tcW w:w="3103" w:type="dxa"/>
            <w:tcBorders>
              <w:top w:val="single" w:sz="6" w:space="0" w:color="000000"/>
              <w:left w:val="single" w:sz="6" w:space="0" w:color="000000"/>
              <w:bottom w:val="single" w:sz="6" w:space="0" w:color="000000"/>
              <w:right w:val="single" w:sz="6" w:space="0" w:color="000000"/>
            </w:tcBorders>
          </w:tcPr>
          <w:p w14:paraId="1E5F587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2 razy</w:t>
            </w:r>
          </w:p>
        </w:tc>
      </w:tr>
      <w:tr w:rsidR="00AD1E0F" w:rsidRPr="00AD1E0F" w14:paraId="6586DFF4" w14:textId="77777777" w:rsidTr="00855929">
        <w:trPr>
          <w:trHeight w:val="259"/>
        </w:trPr>
        <w:tc>
          <w:tcPr>
            <w:tcW w:w="501" w:type="dxa"/>
            <w:tcBorders>
              <w:top w:val="single" w:sz="6" w:space="0" w:color="000000"/>
              <w:left w:val="single" w:sz="6" w:space="0" w:color="000000"/>
              <w:bottom w:val="single" w:sz="6" w:space="0" w:color="000000"/>
              <w:right w:val="single" w:sz="6" w:space="0" w:color="000000"/>
            </w:tcBorders>
            <w:shd w:val="clear" w:color="auto" w:fill="auto"/>
          </w:tcPr>
          <w:p w14:paraId="7F5E223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7 </w:t>
            </w:r>
          </w:p>
        </w:tc>
        <w:tc>
          <w:tcPr>
            <w:tcW w:w="2304" w:type="dxa"/>
            <w:tcBorders>
              <w:top w:val="single" w:sz="6" w:space="0" w:color="000000"/>
              <w:left w:val="single" w:sz="6" w:space="0" w:color="000000"/>
              <w:bottom w:val="single" w:sz="6" w:space="0" w:color="000000"/>
              <w:right w:val="single" w:sz="6" w:space="0" w:color="000000"/>
            </w:tcBorders>
            <w:shd w:val="clear" w:color="auto" w:fill="auto"/>
          </w:tcPr>
          <w:p w14:paraId="5953609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Grubość  </w:t>
            </w:r>
          </w:p>
        </w:tc>
        <w:tc>
          <w:tcPr>
            <w:tcW w:w="3583" w:type="dxa"/>
            <w:tcBorders>
              <w:top w:val="single" w:sz="6" w:space="0" w:color="000000"/>
              <w:left w:val="single" w:sz="6" w:space="0" w:color="000000"/>
              <w:bottom w:val="single" w:sz="6" w:space="0" w:color="000000"/>
              <w:right w:val="single" w:sz="6" w:space="0" w:color="000000"/>
            </w:tcBorders>
            <w:shd w:val="clear" w:color="auto" w:fill="auto"/>
          </w:tcPr>
          <w:p w14:paraId="6EAD34C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10 razy na 1 km </w:t>
            </w:r>
          </w:p>
        </w:tc>
        <w:tc>
          <w:tcPr>
            <w:tcW w:w="3103" w:type="dxa"/>
            <w:tcBorders>
              <w:top w:val="single" w:sz="6" w:space="0" w:color="000000"/>
              <w:left w:val="single" w:sz="6" w:space="0" w:color="000000"/>
              <w:bottom w:val="single" w:sz="6" w:space="0" w:color="000000"/>
              <w:right w:val="single" w:sz="6" w:space="0" w:color="000000"/>
            </w:tcBorders>
          </w:tcPr>
          <w:p w14:paraId="05CEB1C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1 raz</w:t>
            </w:r>
          </w:p>
        </w:tc>
      </w:tr>
    </w:tbl>
    <w:p w14:paraId="024A8A7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 Dodatkowe pomiary spadków poprzecznych i ukształtowania osi w planie należy wykonać w punktach głównych łuków poziomych. </w:t>
      </w:r>
    </w:p>
    <w:p w14:paraId="00AF474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 Przed przystąpieniem do robót Wykonawca przedstawi Inżynierowi/Inspektorowi Nadzoru/ Zamawiającemu do akceptacji propozycję miejsc pomiarowych.  </w:t>
      </w:r>
    </w:p>
    <w:p w14:paraId="5F4F652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x-none"/>
        </w:rPr>
      </w:pPr>
      <w:bookmarkStart w:id="577" w:name="_Toc66288"/>
      <w:r w:rsidRPr="00AD1E0F">
        <w:rPr>
          <w:rFonts w:ascii="Arial Narrow" w:eastAsia="Times New Roman" w:hAnsi="Arial Narrow" w:cs="Times New Roman"/>
          <w:b/>
          <w:sz w:val="20"/>
          <w:szCs w:val="20"/>
          <w:lang w:eastAsia="x-none"/>
        </w:rPr>
        <w:t xml:space="preserve">6.9. Dopuszczalne tolerancje dotyczące cech geometrycznych </w:t>
      </w:r>
      <w:bookmarkEnd w:id="577"/>
    </w:p>
    <w:p w14:paraId="03E7CC7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sz w:val="20"/>
          <w:szCs w:val="20"/>
          <w:lang w:eastAsia="x-none"/>
        </w:rPr>
        <w:t>Tablica 6.9</w:t>
      </w:r>
      <w:r w:rsidRPr="00AD1E0F">
        <w:rPr>
          <w:rFonts w:ascii="Arial Narrow" w:eastAsia="Times New Roman" w:hAnsi="Arial Narrow" w:cs="Times New Roman"/>
          <w:sz w:val="20"/>
          <w:szCs w:val="20"/>
          <w:lang w:eastAsia="x-none"/>
        </w:rPr>
        <w:t xml:space="preserve">. Dopuszczalne tolerancje dla wymaganych cech geometrycznych podbudowy zasadniczej i pomocniczej </w:t>
      </w:r>
    </w:p>
    <w:tbl>
      <w:tblPr>
        <w:tblW w:w="8928" w:type="dxa"/>
        <w:tblInd w:w="252" w:type="dxa"/>
        <w:tblCellMar>
          <w:top w:w="50" w:type="dxa"/>
          <w:left w:w="106" w:type="dxa"/>
          <w:right w:w="46" w:type="dxa"/>
        </w:tblCellMar>
        <w:tblLook w:val="04A0" w:firstRow="1" w:lastRow="0" w:firstColumn="1" w:lastColumn="0" w:noHBand="0" w:noVBand="1"/>
      </w:tblPr>
      <w:tblGrid>
        <w:gridCol w:w="535"/>
        <w:gridCol w:w="3005"/>
        <w:gridCol w:w="5388"/>
      </w:tblGrid>
      <w:tr w:rsidR="00AD1E0F" w:rsidRPr="00AD1E0F" w14:paraId="7C476170" w14:textId="77777777" w:rsidTr="00855929">
        <w:trPr>
          <w:trHeight w:val="228"/>
        </w:trPr>
        <w:tc>
          <w:tcPr>
            <w:tcW w:w="535" w:type="dxa"/>
            <w:tcBorders>
              <w:top w:val="single" w:sz="4" w:space="0" w:color="000000"/>
              <w:left w:val="single" w:sz="4" w:space="0" w:color="000000"/>
              <w:bottom w:val="single" w:sz="4" w:space="0" w:color="000000"/>
              <w:right w:val="single" w:sz="4" w:space="0" w:color="000000"/>
            </w:tcBorders>
            <w:shd w:val="clear" w:color="auto" w:fill="auto"/>
          </w:tcPr>
          <w:p w14:paraId="6E9BFFB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Lp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Pr>
          <w:p w14:paraId="71AF084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Cecha mierzona </w:t>
            </w:r>
          </w:p>
        </w:tc>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62DE113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Tolerancja </w:t>
            </w:r>
          </w:p>
        </w:tc>
      </w:tr>
      <w:tr w:rsidR="00AD1E0F" w:rsidRPr="00AD1E0F" w14:paraId="6334B9C1" w14:textId="77777777" w:rsidTr="00855929">
        <w:trPr>
          <w:trHeight w:val="886"/>
        </w:trPr>
        <w:tc>
          <w:tcPr>
            <w:tcW w:w="535" w:type="dxa"/>
            <w:tcBorders>
              <w:top w:val="single" w:sz="4" w:space="0" w:color="000000"/>
              <w:left w:val="single" w:sz="4" w:space="0" w:color="000000"/>
              <w:bottom w:val="single" w:sz="4" w:space="0" w:color="000000"/>
              <w:right w:val="single" w:sz="4" w:space="0" w:color="000000"/>
            </w:tcBorders>
            <w:shd w:val="clear" w:color="auto" w:fill="auto"/>
          </w:tcPr>
          <w:p w14:paraId="59720C8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Pr>
          <w:p w14:paraId="0758A1F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Szerokość warstwy </w:t>
            </w:r>
          </w:p>
        </w:tc>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6E4B512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Tolerancja dla pojedynczego wyniku +10 cm, -5 cm od szerokości projektowanej. </w:t>
            </w:r>
          </w:p>
          <w:p w14:paraId="5A755B1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Dla wartości średniej elementu podlegającego odbiorowi od 0,0 do +10,0 cm. </w:t>
            </w:r>
          </w:p>
        </w:tc>
      </w:tr>
      <w:tr w:rsidR="00AD1E0F" w:rsidRPr="00AD1E0F" w14:paraId="2AD4369E" w14:textId="77777777" w:rsidTr="00855929">
        <w:trPr>
          <w:trHeight w:val="886"/>
        </w:trPr>
        <w:tc>
          <w:tcPr>
            <w:tcW w:w="535" w:type="dxa"/>
            <w:tcBorders>
              <w:top w:val="single" w:sz="4" w:space="0" w:color="000000"/>
              <w:left w:val="single" w:sz="4" w:space="0" w:color="000000"/>
              <w:bottom w:val="single" w:sz="4" w:space="0" w:color="000000"/>
              <w:right w:val="single" w:sz="4" w:space="0" w:color="000000"/>
            </w:tcBorders>
            <w:shd w:val="clear" w:color="auto" w:fill="auto"/>
          </w:tcPr>
          <w:p w14:paraId="78C6FBA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2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Pr>
          <w:p w14:paraId="04B0132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Równość podłużna  </w:t>
            </w:r>
          </w:p>
        </w:tc>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71DB738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Zgodnie z zał. nr 1 do rozporządzenia Ministra </w:t>
            </w:r>
          </w:p>
          <w:p w14:paraId="0AEC741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Infrastruktury z dnia 1 sierpnia 2019 r. (Dz. U. poz. 1643) </w:t>
            </w:r>
          </w:p>
          <w:p w14:paraId="2C2D584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podbudowa zasadnicza </w:t>
            </w:r>
          </w:p>
          <w:p w14:paraId="629FE2F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±15mm – podbudowa pomocnicza </w:t>
            </w:r>
          </w:p>
        </w:tc>
      </w:tr>
      <w:tr w:rsidR="00AD1E0F" w:rsidRPr="00AD1E0F" w14:paraId="23F75D70" w14:textId="77777777" w:rsidTr="00855929">
        <w:trPr>
          <w:trHeight w:val="886"/>
        </w:trPr>
        <w:tc>
          <w:tcPr>
            <w:tcW w:w="535" w:type="dxa"/>
            <w:tcBorders>
              <w:top w:val="single" w:sz="4" w:space="0" w:color="000000"/>
              <w:left w:val="single" w:sz="4" w:space="0" w:color="000000"/>
              <w:bottom w:val="single" w:sz="4" w:space="0" w:color="000000"/>
              <w:right w:val="single" w:sz="4" w:space="0" w:color="000000"/>
            </w:tcBorders>
            <w:shd w:val="clear" w:color="auto" w:fill="auto"/>
          </w:tcPr>
          <w:p w14:paraId="2A40070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3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Pr>
          <w:p w14:paraId="755AFAF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Równość poprzeczna </w:t>
            </w:r>
          </w:p>
        </w:tc>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3E5A20D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Zgodnie z zał. nr 1 do rozporządzenia Ministra </w:t>
            </w:r>
          </w:p>
          <w:p w14:paraId="22AA5C3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Infrastruktury z dnia 1 sierpnia 2019 r. (Dz. U. poz. 1643) </w:t>
            </w:r>
          </w:p>
          <w:p w14:paraId="7CA0F68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 podbudowa zasadnicza </w:t>
            </w:r>
          </w:p>
          <w:p w14:paraId="461EBAF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±15mm – podbudowa pomocnicza </w:t>
            </w:r>
          </w:p>
        </w:tc>
      </w:tr>
      <w:tr w:rsidR="00AD1E0F" w:rsidRPr="00AD1E0F" w14:paraId="326E8B99" w14:textId="77777777" w:rsidTr="00855929">
        <w:trPr>
          <w:trHeight w:val="228"/>
        </w:trPr>
        <w:tc>
          <w:tcPr>
            <w:tcW w:w="535" w:type="dxa"/>
            <w:tcBorders>
              <w:top w:val="single" w:sz="4" w:space="0" w:color="000000"/>
              <w:left w:val="single" w:sz="4" w:space="0" w:color="000000"/>
              <w:bottom w:val="single" w:sz="4" w:space="0" w:color="000000"/>
              <w:right w:val="single" w:sz="4" w:space="0" w:color="000000"/>
            </w:tcBorders>
            <w:shd w:val="clear" w:color="auto" w:fill="auto"/>
          </w:tcPr>
          <w:p w14:paraId="63C8650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4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Pr>
          <w:p w14:paraId="19D7D6F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Spadki poprzeczne </w:t>
            </w:r>
          </w:p>
        </w:tc>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085EA86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±0,5% - podbudowa pomocnicza/zasadnicza </w:t>
            </w:r>
          </w:p>
        </w:tc>
      </w:tr>
      <w:tr w:rsidR="00AD1E0F" w:rsidRPr="00AD1E0F" w14:paraId="3D2D33EB" w14:textId="77777777" w:rsidTr="00855929">
        <w:trPr>
          <w:trHeight w:val="447"/>
        </w:trPr>
        <w:tc>
          <w:tcPr>
            <w:tcW w:w="535" w:type="dxa"/>
            <w:tcBorders>
              <w:top w:val="single" w:sz="4" w:space="0" w:color="000000"/>
              <w:left w:val="single" w:sz="4" w:space="0" w:color="000000"/>
              <w:bottom w:val="single" w:sz="4" w:space="0" w:color="000000"/>
              <w:right w:val="single" w:sz="4" w:space="0" w:color="000000"/>
            </w:tcBorders>
            <w:shd w:val="clear" w:color="auto" w:fill="auto"/>
          </w:tcPr>
          <w:p w14:paraId="55EE37C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5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Pr>
          <w:p w14:paraId="2EDFE82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Rzędne wysokościowe </w:t>
            </w:r>
          </w:p>
        </w:tc>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5ED8EAF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-2 cm / +1 cm – podbudowa pomocnicza </w:t>
            </w:r>
          </w:p>
          <w:p w14:paraId="42BBE42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 cm / +0 cm – podbudowa zasadnicza </w:t>
            </w:r>
          </w:p>
        </w:tc>
      </w:tr>
      <w:tr w:rsidR="00AD1E0F" w:rsidRPr="00AD1E0F" w14:paraId="051923C6" w14:textId="77777777" w:rsidTr="00855929">
        <w:trPr>
          <w:trHeight w:val="230"/>
        </w:trPr>
        <w:tc>
          <w:tcPr>
            <w:tcW w:w="535" w:type="dxa"/>
            <w:tcBorders>
              <w:top w:val="single" w:sz="4" w:space="0" w:color="000000"/>
              <w:left w:val="single" w:sz="4" w:space="0" w:color="000000"/>
              <w:bottom w:val="single" w:sz="4" w:space="0" w:color="000000"/>
              <w:right w:val="single" w:sz="4" w:space="0" w:color="000000"/>
            </w:tcBorders>
            <w:shd w:val="clear" w:color="auto" w:fill="auto"/>
          </w:tcPr>
          <w:p w14:paraId="0A2D803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6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Pr>
          <w:p w14:paraId="0E9D4AA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Ukształtowanie osi w planie </w:t>
            </w:r>
          </w:p>
        </w:tc>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4346904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±5cm - podbudowa pomocnicza/zasadnicza </w:t>
            </w:r>
          </w:p>
        </w:tc>
      </w:tr>
      <w:tr w:rsidR="00AD1E0F" w:rsidRPr="00AD1E0F" w14:paraId="2F0E2C85" w14:textId="77777777" w:rsidTr="00855929">
        <w:trPr>
          <w:trHeight w:val="228"/>
        </w:trPr>
        <w:tc>
          <w:tcPr>
            <w:tcW w:w="535" w:type="dxa"/>
            <w:tcBorders>
              <w:top w:val="single" w:sz="4" w:space="0" w:color="000000"/>
              <w:left w:val="single" w:sz="4" w:space="0" w:color="000000"/>
              <w:bottom w:val="single" w:sz="4" w:space="0" w:color="000000"/>
              <w:right w:val="single" w:sz="4" w:space="0" w:color="000000"/>
            </w:tcBorders>
            <w:shd w:val="clear" w:color="auto" w:fill="auto"/>
          </w:tcPr>
          <w:p w14:paraId="307E16B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7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Pr>
          <w:p w14:paraId="7039E4E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Grubość warstwy </w:t>
            </w:r>
          </w:p>
        </w:tc>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7810941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rPr>
              <w:t xml:space="preserve">±10% - podbudowa pomocnicza/zasadnicza </w:t>
            </w:r>
          </w:p>
        </w:tc>
      </w:tr>
    </w:tbl>
    <w:p w14:paraId="4DCEAF0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 </w:t>
      </w:r>
    </w:p>
    <w:p w14:paraId="0D1D68AD"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78" w:name="_Toc66289"/>
      <w:r w:rsidRPr="00AD1E0F">
        <w:rPr>
          <w:rFonts w:ascii="Arial Narrow" w:eastAsia="Times New Roman" w:hAnsi="Arial Narrow" w:cs="Times New Roman"/>
          <w:b/>
          <w:caps/>
          <w:kern w:val="28"/>
          <w:sz w:val="28"/>
          <w:szCs w:val="20"/>
          <w:lang w:val="x-none" w:eastAsia="x-none"/>
        </w:rPr>
        <w:lastRenderedPageBreak/>
        <w:t xml:space="preserve">7. OBMIAR ROBÓT </w:t>
      </w:r>
      <w:bookmarkEnd w:id="578"/>
    </w:p>
    <w:p w14:paraId="3C45731D"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79" w:name="_Toc66290"/>
      <w:r w:rsidRPr="00AD1E0F">
        <w:rPr>
          <w:rFonts w:ascii="Arial Narrow" w:eastAsia="Times New Roman" w:hAnsi="Arial Narrow" w:cs="Times New Roman"/>
          <w:b/>
          <w:sz w:val="28"/>
          <w:szCs w:val="20"/>
          <w:lang w:val="x-none" w:eastAsia="x-none"/>
        </w:rPr>
        <w:t xml:space="preserve">7.1 Ogólne zasady obmiaru robót </w:t>
      </w:r>
      <w:bookmarkEnd w:id="579"/>
    </w:p>
    <w:p w14:paraId="4F5DF73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Ogólne zasady obmiaru robót podano w STWiORB D-M 00.00.00 "Wymagania Ogólne" punkt 7. </w:t>
      </w:r>
    </w:p>
    <w:p w14:paraId="62E14D4C"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80" w:name="_Toc66291"/>
      <w:r w:rsidRPr="00AD1E0F">
        <w:rPr>
          <w:rFonts w:ascii="Arial Narrow" w:eastAsia="Times New Roman" w:hAnsi="Arial Narrow" w:cs="Times New Roman"/>
          <w:b/>
          <w:sz w:val="28"/>
          <w:szCs w:val="20"/>
          <w:lang w:val="x-none" w:eastAsia="x-none"/>
        </w:rPr>
        <w:t xml:space="preserve">7.2 Jednostka obmiarowa </w:t>
      </w:r>
      <w:bookmarkEnd w:id="580"/>
    </w:p>
    <w:p w14:paraId="785F3A6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7.1.1. Jednostką obmiarową jest m</w:t>
      </w:r>
      <w:r w:rsidRPr="00AD1E0F">
        <w:rPr>
          <w:rFonts w:ascii="Arial Narrow" w:eastAsia="Times New Roman" w:hAnsi="Arial Narrow" w:cs="Times New Roman"/>
          <w:sz w:val="20"/>
          <w:szCs w:val="20"/>
          <w:vertAlign w:val="superscript"/>
          <w:lang w:eastAsia="x-none"/>
        </w:rPr>
        <w:t>2</w:t>
      </w:r>
      <w:r w:rsidRPr="00AD1E0F">
        <w:rPr>
          <w:rFonts w:ascii="Arial Narrow" w:eastAsia="Times New Roman" w:hAnsi="Arial Narrow" w:cs="Times New Roman"/>
          <w:sz w:val="20"/>
          <w:szCs w:val="20"/>
          <w:lang w:eastAsia="x-none"/>
        </w:rPr>
        <w:t xml:space="preserve"> (metr kwadratowy) wykonanej warstwy. </w:t>
      </w:r>
    </w:p>
    <w:p w14:paraId="7851049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 </w:t>
      </w:r>
    </w:p>
    <w:p w14:paraId="572A2072"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81" w:name="_Toc66292"/>
      <w:r w:rsidRPr="00AD1E0F">
        <w:rPr>
          <w:rFonts w:ascii="Arial Narrow" w:eastAsia="Times New Roman" w:hAnsi="Arial Narrow" w:cs="Times New Roman"/>
          <w:b/>
          <w:caps/>
          <w:kern w:val="28"/>
          <w:sz w:val="28"/>
          <w:szCs w:val="20"/>
          <w:lang w:val="x-none" w:eastAsia="x-none"/>
        </w:rPr>
        <w:t xml:space="preserve">8. ODBIÓR ROBÓT </w:t>
      </w:r>
      <w:bookmarkEnd w:id="581"/>
    </w:p>
    <w:p w14:paraId="062B9E8B"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82" w:name="_Toc66293"/>
      <w:r w:rsidRPr="00AD1E0F">
        <w:rPr>
          <w:rFonts w:ascii="Arial Narrow" w:eastAsia="Times New Roman" w:hAnsi="Arial Narrow" w:cs="Times New Roman"/>
          <w:b/>
          <w:sz w:val="28"/>
          <w:szCs w:val="20"/>
          <w:lang w:val="x-none" w:eastAsia="x-none"/>
        </w:rPr>
        <w:t xml:space="preserve">8.1. Ogólne zasady odbioru robót </w:t>
      </w:r>
      <w:bookmarkEnd w:id="582"/>
    </w:p>
    <w:p w14:paraId="526DE7E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8.1.1. Ogólne zasady odbioru robót podano w STWiORB D-M 00.00.00 „Wymagania Ogólne” punkt 8.  </w:t>
      </w:r>
    </w:p>
    <w:p w14:paraId="5D66659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8.1.2. Roboty uznaje się za wykonane zgodnie z Dokumentacją Projektową, STWiORB  i wymaganiami Inżyniera/ Inspektora Nadzoru /Zamawiającego, jeżeli wszystkie pomiary i badania z zachowaniem tolerancji wg punktu 6 dały wyniki pozytywne. </w:t>
      </w:r>
    </w:p>
    <w:p w14:paraId="3C54B93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8.1.3. Do odbioru ostatecznego uwzględniane są wyniki badań i pomiarów kontrolnych, badań i pomiarów kontrolnych dodatkowych oraz badań i pomiarów arbitrażowych do wyznaczonych odcinków częściowych. </w:t>
      </w:r>
    </w:p>
    <w:p w14:paraId="1953090B"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83" w:name="_Toc66294"/>
      <w:r w:rsidRPr="00AD1E0F">
        <w:rPr>
          <w:rFonts w:ascii="Arial Narrow" w:eastAsia="Times New Roman" w:hAnsi="Arial Narrow" w:cs="Times New Roman"/>
          <w:b/>
          <w:sz w:val="28"/>
          <w:szCs w:val="20"/>
          <w:lang w:val="x-none" w:eastAsia="x-none"/>
        </w:rPr>
        <w:t xml:space="preserve">8.2. Zasady postępowania z wadliwie wykonanymi robotami </w:t>
      </w:r>
      <w:bookmarkEnd w:id="583"/>
    </w:p>
    <w:p w14:paraId="218EA11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Jeżeli wystąpią wyniki negatywne dla materiałów i robót (nie spełniające wymagań określonych w STWiORB i opracowanych na ich podstawie STWiORB), to Inżynier/Inspektor Nadzoru/Zamawiający wydaje Wykonawcy polecenie przedstawienia programu naprawczego, chyba że na wniosek jednej ze stron kontraktu zostaną wykonane badania lub pomiary arbitrażowe (zgodnie z pkt. 6.5 niniejszego STWiORB), a ich wyniki będą pozytywne. Wykonawca w programie tym jest zobowiązany dokonać oceny wpływu na trwałość, przedstawić sposób naprawienia wady lub wnioskować o zredukowanie ceny kontraktowej naliczenie potrąceń. </w:t>
      </w:r>
    </w:p>
    <w:p w14:paraId="77C6F51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Na zastosowanie programu naprawczego wyraża zgodę Inżynier/Inspektor Nadzoru/Zamawiający.  </w:t>
      </w:r>
    </w:p>
    <w:p w14:paraId="26B5C90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 przypadku braku zgody Inżyniera/Inspektora Nadzoru/Zamawiającego na zastosowanie programu naprawczego wszystkie materiały i roboty nie spełniające wymagań podanych w odpowiednich punktach STWiORB zostaną odrzucone. Wykonawca wymieni materiały na właściwe i wykona prawidłowo roboty na własny koszt. </w:t>
      </w:r>
    </w:p>
    <w:p w14:paraId="26EED31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Jeżeli wymiana materiałów niespełniających wymagań lub wadliwie wykonane roboty spowodowują szkodę w innych, prawidłowo wykonanych robotach, to również te roboty powinny być ponownie wykonane przez Wykonawcę na jego koszt. </w:t>
      </w:r>
    </w:p>
    <w:p w14:paraId="3323D066"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84" w:name="_Toc66295"/>
      <w:r w:rsidRPr="00AD1E0F">
        <w:rPr>
          <w:rFonts w:ascii="Arial Narrow" w:eastAsia="Times New Roman" w:hAnsi="Arial Narrow" w:cs="Times New Roman"/>
          <w:b/>
          <w:caps/>
          <w:kern w:val="28"/>
          <w:sz w:val="28"/>
          <w:szCs w:val="20"/>
          <w:lang w:val="x-none" w:eastAsia="x-none"/>
        </w:rPr>
        <w:t xml:space="preserve">9. PODSTAWA PŁATNOŚCI </w:t>
      </w:r>
      <w:bookmarkEnd w:id="584"/>
    </w:p>
    <w:p w14:paraId="7FFEACBF"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85" w:name="_Toc66296"/>
      <w:r w:rsidRPr="00AD1E0F">
        <w:rPr>
          <w:rFonts w:ascii="Arial Narrow" w:eastAsia="Times New Roman" w:hAnsi="Arial Narrow" w:cs="Times New Roman"/>
          <w:b/>
          <w:sz w:val="28"/>
          <w:szCs w:val="20"/>
          <w:lang w:val="x-none" w:eastAsia="x-none"/>
        </w:rPr>
        <w:t xml:space="preserve">9.1. Ogólne ustalenia dotyczące podstawy płatności </w:t>
      </w:r>
      <w:bookmarkEnd w:id="585"/>
    </w:p>
    <w:p w14:paraId="6836177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Ogólne ustalenia dotyczące podstawy płatności podano w STWiORB D-M 00.00.00  „Wymagania Ogólne” w punkcie 9. </w:t>
      </w:r>
    </w:p>
    <w:p w14:paraId="7E2F28A3"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86" w:name="_Toc66297"/>
      <w:r w:rsidRPr="00AD1E0F">
        <w:rPr>
          <w:rFonts w:ascii="Arial Narrow" w:eastAsia="Times New Roman" w:hAnsi="Arial Narrow" w:cs="Times New Roman"/>
          <w:b/>
          <w:sz w:val="28"/>
          <w:szCs w:val="20"/>
          <w:lang w:val="x-none" w:eastAsia="x-none"/>
        </w:rPr>
        <w:t>9.2. Cena jednostki obmiarowej (1 m</w:t>
      </w:r>
      <w:r w:rsidRPr="00AD1E0F">
        <w:rPr>
          <w:rFonts w:ascii="Arial Narrow" w:eastAsia="Times New Roman" w:hAnsi="Arial Narrow" w:cs="Times New Roman"/>
          <w:b/>
          <w:sz w:val="28"/>
          <w:szCs w:val="20"/>
          <w:vertAlign w:val="superscript"/>
          <w:lang w:val="x-none" w:eastAsia="x-none"/>
        </w:rPr>
        <w:t>2</w:t>
      </w:r>
      <w:r w:rsidRPr="00AD1E0F">
        <w:rPr>
          <w:rFonts w:ascii="Arial Narrow" w:eastAsia="Times New Roman" w:hAnsi="Arial Narrow" w:cs="Times New Roman"/>
          <w:b/>
          <w:sz w:val="28"/>
          <w:szCs w:val="20"/>
          <w:lang w:val="x-none" w:eastAsia="x-none"/>
        </w:rPr>
        <w:t xml:space="preserve">) obejmuje: </w:t>
      </w:r>
      <w:bookmarkEnd w:id="586"/>
    </w:p>
    <w:p w14:paraId="7236F171"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prace pomiarowe i roboty przygotowawcze, </w:t>
      </w:r>
    </w:p>
    <w:p w14:paraId="40D9828C"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oznakowanie robót, </w:t>
      </w:r>
    </w:p>
    <w:p w14:paraId="7372107E"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dostarczenie materiałów i sprzętu, </w:t>
      </w:r>
    </w:p>
    <w:p w14:paraId="79EFB798"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przygotowanie mieszanki z kruszywa, zgodnie z receptą, </w:t>
      </w:r>
    </w:p>
    <w:p w14:paraId="7C632BF0"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dostarczenie mieszanki na miejsce wbudowania, </w:t>
      </w:r>
    </w:p>
    <w:p w14:paraId="0399A1C8"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rozłożenie mieszanki, </w:t>
      </w:r>
    </w:p>
    <w:p w14:paraId="37E0386B"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zagęszczenie mieszanki, </w:t>
      </w:r>
    </w:p>
    <w:p w14:paraId="2FE134A4"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utrzymanie warstwy w czasie robót, </w:t>
      </w:r>
    </w:p>
    <w:p w14:paraId="6DAD5443"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przeprowadzenie wymaganych pomiarów i badań, </w:t>
      </w:r>
    </w:p>
    <w:p w14:paraId="2D8682A1"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uporządkowanie terenu robót i jego otoczenia, </w:t>
      </w:r>
    </w:p>
    <w:p w14:paraId="1C4E30BC"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roboty wykończeniowe, </w:t>
      </w:r>
    </w:p>
    <w:p w14:paraId="7EB05264"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odwiezienie sprzętu, </w:t>
      </w:r>
    </w:p>
    <w:p w14:paraId="4D55CC13"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zawiera wszelkie inne czynności związane z prawidłowym wykonaniem warstwy zgodnie z wymaganiami niniejszych STWiORB. </w:t>
      </w:r>
    </w:p>
    <w:p w14:paraId="6F82D79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Wszystkie roboty powinny być wykonane według wymagań dokumentacji projektowej, STWiORB, specyfikacji technicznej i postanowień Inżyniera/ Inspektora Nadzoru /Zamawiającego. </w:t>
      </w:r>
    </w:p>
    <w:p w14:paraId="09955170"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87" w:name="_Toc66298"/>
      <w:r w:rsidRPr="00AD1E0F">
        <w:rPr>
          <w:rFonts w:ascii="Arial Narrow" w:eastAsia="Times New Roman" w:hAnsi="Arial Narrow" w:cs="Times New Roman"/>
          <w:b/>
          <w:sz w:val="28"/>
          <w:szCs w:val="20"/>
          <w:lang w:val="x-none" w:eastAsia="x-none"/>
        </w:rPr>
        <w:t xml:space="preserve">9.3. Sposób rozliczenia robót tymczasowych i prac towarzyszących </w:t>
      </w:r>
      <w:bookmarkEnd w:id="587"/>
    </w:p>
    <w:p w14:paraId="4061F52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sz w:val="20"/>
          <w:szCs w:val="20"/>
          <w:lang w:eastAsia="x-none"/>
        </w:rPr>
        <w:t xml:space="preserve">Cena wykonania robót określonych niniejszymi STWiORB obejmuje: </w:t>
      </w:r>
    </w:p>
    <w:p w14:paraId="0906AD3E"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roboty tymczasowe, które są potrzebne do wykonania robót podstawowych, ale nie są przekazywane Inżynierowi/Zamawiającemu i są usuwane po wykonaniu robót podstawowych, </w:t>
      </w:r>
    </w:p>
    <w:p w14:paraId="6030CF5B"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prace towarzyszące, które są niezbędne do wykonania robót podstawowych, niezaliczane do robót tymczasowych, jak geodezyjne wytyczenie robót itd. </w:t>
      </w:r>
    </w:p>
    <w:p w14:paraId="4B8FB9D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sz w:val="20"/>
          <w:szCs w:val="20"/>
          <w:lang w:eastAsia="x-none"/>
        </w:rPr>
        <w:t xml:space="preserve"> </w:t>
      </w:r>
    </w:p>
    <w:p w14:paraId="63DA2B06"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588" w:name="_Toc66299"/>
      <w:r w:rsidRPr="00AD1E0F">
        <w:rPr>
          <w:rFonts w:ascii="Arial Narrow" w:eastAsia="Times New Roman" w:hAnsi="Arial Narrow" w:cs="Times New Roman"/>
          <w:b/>
          <w:caps/>
          <w:kern w:val="28"/>
          <w:sz w:val="28"/>
          <w:szCs w:val="20"/>
          <w:lang w:val="x-none" w:eastAsia="x-none"/>
        </w:rPr>
        <w:t xml:space="preserve">10. PRZEPISY ZWIĄZANE </w:t>
      </w:r>
      <w:bookmarkEnd w:id="588"/>
    </w:p>
    <w:p w14:paraId="43B179EB"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89" w:name="_Toc66300"/>
      <w:r w:rsidRPr="00AD1E0F">
        <w:rPr>
          <w:rFonts w:ascii="Arial Narrow" w:eastAsia="Times New Roman" w:hAnsi="Arial Narrow" w:cs="Times New Roman"/>
          <w:b/>
          <w:sz w:val="28"/>
          <w:szCs w:val="20"/>
          <w:lang w:val="x-none" w:eastAsia="x-none"/>
        </w:rPr>
        <w:t xml:space="preserve">10.1 Normy </w:t>
      </w:r>
      <w:bookmarkEnd w:id="589"/>
    </w:p>
    <w:p w14:paraId="0A9F0610" w14:textId="77777777" w:rsidR="00AD1E0F" w:rsidRPr="00AD1E0F" w:rsidRDefault="00AD1E0F" w:rsidP="00AD1E0F">
      <w:pPr>
        <w:numPr>
          <w:ilvl w:val="0"/>
          <w:numId w:val="5"/>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13242 Kruszywa do niezwiązanych i hydraulicznie związanych materiałów stosowanych w obiektach drogowych i budownictwie drogowym </w:t>
      </w:r>
    </w:p>
    <w:p w14:paraId="11B8578D"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13285 Mieszanki niezwiązane. Wymagania. </w:t>
      </w:r>
    </w:p>
    <w:p w14:paraId="6803777D"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lastRenderedPageBreak/>
        <w:t xml:space="preserve">PN-EN 1008 Woda zarobowa do betonu. Specyfikacja pobierania próbek, badanie i ocena przydatności wody zarobowej do betonu, w tym wody odzyskanej z procesów produkcji betonu </w:t>
      </w:r>
    </w:p>
    <w:p w14:paraId="680BEA3F"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933-1 Badanie geometrycznych właściwości kruszyw. Część 1: Oznaczenie składu ziarnowego – Metoda przesiewowa. </w:t>
      </w:r>
    </w:p>
    <w:p w14:paraId="2C266C0C"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933-3 Badanie geometrycznych właściwości kruszyw. Część 2: Oznaczenie kształtu ziaren za pomocą wskaźnika płaskości. </w:t>
      </w:r>
    </w:p>
    <w:p w14:paraId="590BD72F"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933-4 Badanie geometrycznych właściwości kruszyw. Część 4: Oznaczenie kształtu ziaren- Wskaźnik kształtu. </w:t>
      </w:r>
    </w:p>
    <w:p w14:paraId="364B0336"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933-5 Badanie geometrycznych właściwości kruszyw. Część 5: Oznaczenie procentowej zawartości ziarn o powierzchniach powstałych w wyniku przekruszenia lub łamania kruszyw grubych. </w:t>
      </w:r>
    </w:p>
    <w:p w14:paraId="76C6FFFC"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933-8 Badanie geometrycznych właściwości kruszyw. Część 8: Ocena zawartości drobnych cząstek - Badania wskaźnika piaskowego. </w:t>
      </w:r>
    </w:p>
    <w:p w14:paraId="4B5770CA"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933-9 Badanie geometrycznych właściwości kruszyw. Część 9: Ocena zawartości drobnych cząstek- Badania błękitem metylenowym. </w:t>
      </w:r>
    </w:p>
    <w:p w14:paraId="748ED42A"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1097-2 Badania mechanicznych i fizycznych właściwości kruszyw. Część 2: Metody oznaczania odporności na rozdrobnienie. </w:t>
      </w:r>
    </w:p>
    <w:p w14:paraId="266E46D8"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1097-6 Badania mechanicznych i fizycznych właściwości kruszyw- Część 6: Oznaczanie gęstości ziarn i nasiąkliwości. </w:t>
      </w:r>
    </w:p>
    <w:p w14:paraId="6FA0A269"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1367-1 Badanie właściwości cieplnych i odporności kruszyw na działanie czynników atmosferycznych – Część 1: Oznaczenie mrozoodporności. </w:t>
      </w:r>
    </w:p>
    <w:p w14:paraId="00837D1A"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1367-3 Badanie właściwości cieplnych i odporności kruszyw na działanie czynników atmosferycznych – Część 3: Badanie bazaltowej zgorzeli słonecznej metoda gotowania. </w:t>
      </w:r>
    </w:p>
    <w:p w14:paraId="4F62F1BC"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13286-1 Mieszanki mineralne niezwiązane i związane spoiwem hydraulicznym- Część 1: Metody badań dla ustalonej laboratoryjnie referencyjnej gęstości i wilgotności - Wprowadzenie i wymagania ogólne. </w:t>
      </w:r>
    </w:p>
    <w:p w14:paraId="21E0A858"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13286-2 Mieszanki mineralne niezwiązane i związane spoiwem hydraulicznym- Część 1: Metody badań dla ustalonej laboratoryjnie referencyjnej gęstości i wilgotności- Zagęszczanie aparatem Proctora. </w:t>
      </w:r>
    </w:p>
    <w:p w14:paraId="42A6FE40"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13286-47 Mieszanki mineralne niezwiązane i związane spoiwem hydraulicznym - Część 47: Metody badań dla określenia nośności, kalifornijski wskaźnik nośności CBR, natychmiastowy wskaźnik nośności i pęcznienia liniowego. </w:t>
      </w:r>
    </w:p>
    <w:p w14:paraId="1B74C5A1"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BN-77/8931-12  Drogi samochodowe. Oznaczenie wskaźnika zagęszczenia gruntu. </w:t>
      </w:r>
    </w:p>
    <w:p w14:paraId="69CE65F0"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BN-8931-04  Drogi samochodowe. Pomiar równości nawierzchni planografem i łatą. </w:t>
      </w:r>
    </w:p>
    <w:p w14:paraId="2E2987B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x-none"/>
        </w:rPr>
      </w:pPr>
      <w:r w:rsidRPr="00AD1E0F">
        <w:rPr>
          <w:rFonts w:ascii="Arial Narrow" w:eastAsia="Times New Roman" w:hAnsi="Arial Narrow" w:cs="Times New Roman"/>
          <w:b/>
          <w:sz w:val="20"/>
          <w:szCs w:val="20"/>
          <w:lang w:eastAsia="x-none"/>
        </w:rPr>
        <w:t xml:space="preserve"> </w:t>
      </w:r>
    </w:p>
    <w:p w14:paraId="0A488E64"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90" w:name="_Toc66301"/>
      <w:r w:rsidRPr="00AD1E0F">
        <w:rPr>
          <w:rFonts w:ascii="Arial Narrow" w:eastAsia="Times New Roman" w:hAnsi="Arial Narrow" w:cs="Times New Roman"/>
          <w:b/>
          <w:sz w:val="28"/>
          <w:szCs w:val="20"/>
          <w:lang w:val="x-none" w:eastAsia="x-none"/>
        </w:rPr>
        <w:t xml:space="preserve">10.1. Inne dokumenty </w:t>
      </w:r>
      <w:bookmarkEnd w:id="590"/>
    </w:p>
    <w:p w14:paraId="1C8B3F1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x-none"/>
        </w:rPr>
      </w:pPr>
      <w:r w:rsidRPr="00AD1E0F">
        <w:rPr>
          <w:rFonts w:ascii="Arial Narrow" w:eastAsia="Times New Roman" w:hAnsi="Arial Narrow" w:cs="Times New Roman"/>
          <w:b/>
          <w:sz w:val="20"/>
          <w:szCs w:val="20"/>
          <w:lang w:eastAsia="x-none"/>
        </w:rPr>
        <w:t xml:space="preserve">L.p. Tytuł  </w:t>
      </w:r>
    </w:p>
    <w:p w14:paraId="24FF0D26" w14:textId="77777777" w:rsidR="00AD1E0F" w:rsidRPr="00AD1E0F" w:rsidRDefault="00AD1E0F" w:rsidP="00AD1E0F">
      <w:pPr>
        <w:numPr>
          <w:ilvl w:val="0"/>
          <w:numId w:val="5"/>
        </w:numPr>
        <w:overflowPunct w:val="0"/>
        <w:autoSpaceDE w:val="0"/>
        <w:autoSpaceDN w:val="0"/>
        <w:adjustRightInd w:val="0"/>
        <w:spacing w:after="0" w:line="240" w:lineRule="auto"/>
        <w:ind w:left="1429"/>
        <w:jc w:val="both"/>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„Instrukcja Badań Podłoża Gruntowego Budowli Drogowych i Mostowych – Część 2. Załącznik” GDDP, Warszawa 1998r. </w:t>
      </w:r>
    </w:p>
    <w:p w14:paraId="67A83774"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Katalog typowych konstrukcji nawierzchni podatnych i półsztywnych Politechnika Gdańska 2014 r. </w:t>
      </w:r>
    </w:p>
    <w:p w14:paraId="3B645660"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Rozporządzenie Ministra Transportu i Gospodarki Morskiej w sprawie warunków technicznych, jakim powinny odpowiadać drogi publiczne i ich usytuowanie. Dz. U. Nr 43 z dnia 14 maja 1999 r z późniejszymi zmianami. </w:t>
      </w:r>
    </w:p>
    <w:p w14:paraId="135276AC"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WT-4 2010. Mieszanki niezwiązane do dróg krajowych. Wymagania techniczne. Załącznik Nr 3 do Zarządzenia nr 102 Generalnego Dyrektora Dróg Krajowych i Autostrad z dnia 19 listopada 2010r. </w:t>
      </w:r>
    </w:p>
    <w:p w14:paraId="5D9F5722"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Załącznik B3 do KPRNPP-2013 Procedura wykonania badania modułu odkształcenia warstw konstrukcyjnych podatnych i podłoża przez obciążenie płytą VSS. </w:t>
      </w:r>
    </w:p>
    <w:p w14:paraId="44DEAB76"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„Instrukcja Badań Podłoża Gruntowego Budowli Drogowych i Mostowych – Część 2.  Załącznik” GDDP, Warszawa 1998r. </w:t>
      </w:r>
    </w:p>
    <w:p w14:paraId="2D64AE3A" w14:textId="77777777" w:rsidR="00AD1E0F" w:rsidRPr="00AD1E0F" w:rsidRDefault="00AD1E0F" w:rsidP="00AD1E0F">
      <w:pPr>
        <w:overflowPunct w:val="0"/>
        <w:autoSpaceDE w:val="0"/>
        <w:autoSpaceDN w:val="0"/>
        <w:adjustRightInd w:val="0"/>
        <w:spacing w:after="0" w:line="240" w:lineRule="auto"/>
        <w:ind w:left="1429" w:hanging="360"/>
        <w:textAlignment w:val="baseline"/>
        <w:rPr>
          <w:rFonts w:ascii="Arial Narrow" w:eastAsia="Calibri" w:hAnsi="Arial Narrow" w:cs="Arial"/>
          <w:spacing w:val="-3"/>
          <w:sz w:val="20"/>
          <w:lang w:val="x-none"/>
        </w:rPr>
      </w:pPr>
      <w:r w:rsidRPr="00AD1E0F">
        <w:rPr>
          <w:rFonts w:ascii="Arial Narrow" w:eastAsia="Times New Roman" w:hAnsi="Arial Narrow" w:cs="Times New Roman"/>
          <w:sz w:val="20"/>
          <w:szCs w:val="20"/>
          <w:lang w:val="x-none" w:eastAsia="x-none"/>
        </w:rPr>
        <w:t xml:space="preserve">Projekt RID I/6 Wykorzystanie materiałów pochodzących z recyklingu Zadanie 6 Załącznik 9.6 „Wytyczne wykorzystania materiałów pochodzących z recyklingu nawierzchni betonowych”, Warszawa 2019 r.  </w:t>
      </w:r>
    </w:p>
    <w:p w14:paraId="0B33AA28" w14:textId="5E2825A7" w:rsidR="00AD1E0F" w:rsidRDefault="00AD1E0F"/>
    <w:p w14:paraId="453951F5" w14:textId="4309F91F" w:rsidR="00AD1E0F" w:rsidRDefault="00AD1E0F"/>
    <w:p w14:paraId="70A70149" w14:textId="27A2A595" w:rsidR="00AD1E0F" w:rsidRDefault="00AD1E0F"/>
    <w:p w14:paraId="25B70EEF" w14:textId="7AC4BD70" w:rsidR="00A01C08" w:rsidRDefault="00A01C08"/>
    <w:p w14:paraId="68A470FD" w14:textId="2FFC3C83" w:rsidR="00A01C08" w:rsidRDefault="00A01C08"/>
    <w:p w14:paraId="7AAA3D9C" w14:textId="1AEE6622" w:rsidR="00A01C08" w:rsidRDefault="00A01C08"/>
    <w:p w14:paraId="46D0F5ED" w14:textId="30F498C8" w:rsidR="00A01C08" w:rsidRDefault="00A01C08"/>
    <w:p w14:paraId="3295EC27" w14:textId="6E40C5F5" w:rsidR="00A01C08" w:rsidRDefault="00A01C08"/>
    <w:p w14:paraId="45F740F0" w14:textId="00BC7CC1" w:rsidR="00A01C08" w:rsidRDefault="00A01C08"/>
    <w:p w14:paraId="0D64386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bookmarkStart w:id="591" w:name="_Toc58533524"/>
      <w:r w:rsidRPr="00AD1E0F">
        <w:rPr>
          <w:rFonts w:ascii="Arial Narrow" w:eastAsia="Times New Roman" w:hAnsi="Arial Narrow" w:cs="Times New Roman"/>
          <w:b/>
          <w:sz w:val="28"/>
          <w:szCs w:val="20"/>
          <w:lang w:eastAsia="pl-PL"/>
        </w:rPr>
        <w:lastRenderedPageBreak/>
        <w:t>D – 04.03.01 OCZYSZCZENIE I SKROPIENIE WARSTW KONSTRUKCYJNYCH</w:t>
      </w:r>
      <w:bookmarkEnd w:id="591"/>
    </w:p>
    <w:p w14:paraId="58D4D20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Kod CPV:45111000-8</w:t>
      </w:r>
    </w:p>
    <w:p w14:paraId="778A7E7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Roboty w zakresie burzenia, roboty ziemne.</w:t>
      </w:r>
    </w:p>
    <w:p w14:paraId="17222A85" w14:textId="77777777" w:rsidR="00AD1E0F" w:rsidRPr="00AD1E0F" w:rsidRDefault="00AD1E0F" w:rsidP="00AD1E0F">
      <w:pPr>
        <w:spacing w:after="0" w:line="240" w:lineRule="auto"/>
        <w:ind w:firstLine="454"/>
        <w:jc w:val="center"/>
        <w:rPr>
          <w:rFonts w:ascii="Arial Narrow" w:eastAsia="Calibri" w:hAnsi="Arial Narrow" w:cs="Times New Roman"/>
        </w:rPr>
      </w:pPr>
    </w:p>
    <w:p w14:paraId="14C5E5E5"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AD1E0F">
        <w:rPr>
          <w:rFonts w:ascii="Arial Narrow" w:eastAsia="Times New Roman" w:hAnsi="Arial Narrow" w:cs="Times New Roman"/>
          <w:b/>
          <w:caps/>
          <w:kern w:val="28"/>
          <w:sz w:val="28"/>
          <w:szCs w:val="20"/>
          <w:lang w:eastAsia="x-none"/>
        </w:rPr>
        <w:t xml:space="preserve">1. </w:t>
      </w:r>
      <w:r w:rsidRPr="00AD1E0F">
        <w:rPr>
          <w:rFonts w:ascii="Arial Narrow" w:eastAsia="Times New Roman" w:hAnsi="Arial Narrow" w:cs="Times New Roman"/>
          <w:b/>
          <w:caps/>
          <w:kern w:val="28"/>
          <w:sz w:val="28"/>
          <w:szCs w:val="20"/>
          <w:lang w:val="x-none" w:eastAsia="x-none"/>
        </w:rPr>
        <w:t>wstęp</w:t>
      </w:r>
    </w:p>
    <w:p w14:paraId="071130CD"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eastAsia="x-none"/>
        </w:rPr>
        <w:t xml:space="preserve">1.1 </w:t>
      </w:r>
      <w:r w:rsidRPr="00AD1E0F">
        <w:rPr>
          <w:rFonts w:ascii="Arial Narrow" w:eastAsia="Times New Roman" w:hAnsi="Arial Narrow" w:cs="Times New Roman"/>
          <w:b/>
          <w:sz w:val="28"/>
          <w:szCs w:val="20"/>
          <w:lang w:val="x-none" w:eastAsia="x-none"/>
        </w:rPr>
        <w:t>Przedmiot STWiORB</w:t>
      </w:r>
    </w:p>
    <w:p w14:paraId="3989DB33" w14:textId="77777777" w:rsidR="00AD1E0F" w:rsidRPr="00AD1E0F" w:rsidRDefault="00AD1E0F" w:rsidP="00AD1E0F">
      <w:pPr>
        <w:spacing w:after="0" w:line="240" w:lineRule="auto"/>
        <w:ind w:firstLine="454"/>
        <w:jc w:val="both"/>
        <w:rPr>
          <w:rFonts w:ascii="Arial Narrow" w:eastAsia="Calibri" w:hAnsi="Arial Narrow" w:cs="Times New Roman"/>
          <w:sz w:val="20"/>
        </w:rPr>
      </w:pPr>
      <w:r w:rsidRPr="00AD1E0F">
        <w:rPr>
          <w:rFonts w:ascii="Arial Narrow" w:eastAsia="Times New Roman" w:hAnsi="Arial Narrow" w:cs="Times New Roman"/>
          <w:sz w:val="20"/>
          <w:szCs w:val="20"/>
          <w:lang w:eastAsia="pl-PL"/>
        </w:rPr>
        <w:t>Przedmiotem niniejszej szczegółowej specyfikacji technicznej (SST) są wymagania dotyczące wykonania i odbioru robót związanych wykonywaniem oczyszczenia i skropienia warstw konstrukcyjnych</w:t>
      </w:r>
      <w:r w:rsidRPr="00AD1E0F">
        <w:rPr>
          <w:rFonts w:ascii="Arial Narrow" w:eastAsia="Calibri" w:hAnsi="Arial Narrow" w:cs="Times New Roman"/>
          <w:sz w:val="20"/>
        </w:rPr>
        <w:t>.</w:t>
      </w:r>
    </w:p>
    <w:p w14:paraId="78AB0C3D"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eastAsia="x-none"/>
        </w:rPr>
        <w:t xml:space="preserve">1.2 </w:t>
      </w:r>
      <w:r w:rsidRPr="00AD1E0F">
        <w:rPr>
          <w:rFonts w:ascii="Arial Narrow" w:eastAsia="Times New Roman" w:hAnsi="Arial Narrow" w:cs="Times New Roman"/>
          <w:b/>
          <w:sz w:val="28"/>
          <w:szCs w:val="20"/>
          <w:lang w:val="x-none" w:eastAsia="x-none"/>
        </w:rPr>
        <w:t>Zakres stosowania STWiORB</w:t>
      </w:r>
    </w:p>
    <w:p w14:paraId="36023D65" w14:textId="6A130A7A" w:rsidR="00AD1E0F" w:rsidRPr="00AD1E0F" w:rsidRDefault="00AD1E0F" w:rsidP="00AD1E0F">
      <w:pPr>
        <w:tabs>
          <w:tab w:val="left" w:pos="-1440"/>
          <w:tab w:val="left" w:pos="-720"/>
          <w:tab w:val="left" w:pos="0"/>
        </w:tabs>
        <w:spacing w:after="0" w:line="240" w:lineRule="auto"/>
        <w:ind w:firstLine="454"/>
        <w:jc w:val="both"/>
        <w:rPr>
          <w:rFonts w:ascii="Arial Narrow" w:eastAsia="Calibri" w:hAnsi="Arial Narrow" w:cs="Arial"/>
          <w:spacing w:val="-3"/>
          <w:sz w:val="20"/>
        </w:rPr>
      </w:pPr>
      <w:r w:rsidRPr="00AD1E0F">
        <w:rPr>
          <w:rFonts w:ascii="Arial Narrow" w:eastAsia="Calibri" w:hAnsi="Arial Narrow" w:cs="Arial"/>
          <w:sz w:val="20"/>
        </w:rPr>
        <w:t xml:space="preserve">Specyfikacje Techniczne Wykonania i Odbioru Robót Budowlanych </w:t>
      </w:r>
      <w:r w:rsidRPr="00AD1E0F">
        <w:rPr>
          <w:rFonts w:ascii="Arial Narrow" w:eastAsia="Calibri" w:hAnsi="Arial Narrow" w:cs="Arial"/>
          <w:spacing w:val="-3"/>
          <w:sz w:val="20"/>
        </w:rPr>
        <w:t xml:space="preserve">stanowią Dokument Przetargowy i Kontraktowy przy zlecaniu i realizacji robót na drogach </w:t>
      </w:r>
    </w:p>
    <w:p w14:paraId="0EFA1B45"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92" w:name="_Toc495829872"/>
      <w:r w:rsidRPr="00AD1E0F">
        <w:rPr>
          <w:rFonts w:ascii="Arial Narrow" w:eastAsia="Times New Roman" w:hAnsi="Arial Narrow" w:cs="Times New Roman"/>
          <w:b/>
          <w:sz w:val="28"/>
          <w:szCs w:val="20"/>
          <w:lang w:val="x-none" w:eastAsia="x-none"/>
        </w:rPr>
        <w:t>1.3. Zakres robót objętych SST</w:t>
      </w:r>
      <w:bookmarkEnd w:id="592"/>
    </w:p>
    <w:p w14:paraId="2BF4D5C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Ustalenia zawarte w niniejszej specyfikacji dotyczą zasad prowadzenia robót związanych z oczyszczeniem i skropieniem warstw konstrukcyjnych przed ułożeniem następnej warstwy nawierzchni. </w:t>
      </w:r>
    </w:p>
    <w:p w14:paraId="6ABAC1A2"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93" w:name="_Toc495829873"/>
      <w:r w:rsidRPr="00AD1E0F">
        <w:rPr>
          <w:rFonts w:ascii="Arial Narrow" w:eastAsia="Times New Roman" w:hAnsi="Arial Narrow" w:cs="Times New Roman"/>
          <w:b/>
          <w:sz w:val="28"/>
          <w:szCs w:val="20"/>
          <w:lang w:val="x-none" w:eastAsia="x-none"/>
        </w:rPr>
        <w:t>1.4. Określenia podstawowe</w:t>
      </w:r>
      <w:bookmarkEnd w:id="593"/>
    </w:p>
    <w:p w14:paraId="19A34B7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Określenia podstawowe są zgodne z obowiązującymi, odpowiednimi polskimi normami i z definicjami podanymi w SST D-M-00.00.00 „Wymagania ogólne” pkt 1.4.</w:t>
      </w:r>
    </w:p>
    <w:p w14:paraId="2893692E"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94" w:name="_Toc495829874"/>
      <w:r w:rsidRPr="00AD1E0F">
        <w:rPr>
          <w:rFonts w:ascii="Arial Narrow" w:eastAsia="Times New Roman" w:hAnsi="Arial Narrow" w:cs="Times New Roman"/>
          <w:b/>
          <w:sz w:val="28"/>
          <w:szCs w:val="20"/>
          <w:lang w:val="x-none" w:eastAsia="x-none"/>
        </w:rPr>
        <w:t>1.5. Ogólne wymagania dotyczące robót</w:t>
      </w:r>
      <w:bookmarkEnd w:id="594"/>
    </w:p>
    <w:p w14:paraId="3A36C5B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Ogólne wymagania dotyczące robót podano w SST D-M-00.00.00 „Wymagania ogólne” pkt 1.5.</w:t>
      </w:r>
    </w:p>
    <w:p w14:paraId="624C5D5D"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AD1E0F">
        <w:rPr>
          <w:rFonts w:ascii="Arial Narrow" w:eastAsia="Times New Roman" w:hAnsi="Arial Narrow" w:cs="Times New Roman"/>
          <w:b/>
          <w:caps/>
          <w:kern w:val="28"/>
          <w:sz w:val="28"/>
          <w:szCs w:val="20"/>
          <w:lang w:val="x-none" w:eastAsia="x-none"/>
        </w:rPr>
        <w:t xml:space="preserve">2. </w:t>
      </w:r>
      <w:bookmarkStart w:id="595" w:name="_Toc16729"/>
      <w:r w:rsidRPr="00AD1E0F">
        <w:rPr>
          <w:rFonts w:ascii="Arial Narrow" w:eastAsia="Times New Roman" w:hAnsi="Arial Narrow" w:cs="Times New Roman"/>
          <w:b/>
          <w:caps/>
          <w:kern w:val="28"/>
          <w:sz w:val="28"/>
          <w:szCs w:val="20"/>
          <w:lang w:val="x-none" w:eastAsia="x-none"/>
        </w:rPr>
        <w:t xml:space="preserve">MATERIAŁY </w:t>
      </w:r>
      <w:bookmarkEnd w:id="595"/>
    </w:p>
    <w:p w14:paraId="26A6AF1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Ogólne wymagania dotyczące materiałów, ich pozyskiwania i składowania podano w D-M-00.00.00 "Wymagania ogólne" oraz w przepisach związanych wyszczególnionych w pkt. 10 niniejszego STWiORB. </w:t>
      </w:r>
    </w:p>
    <w:p w14:paraId="639824A7"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596" w:name="_Toc16730"/>
      <w:r w:rsidRPr="00AD1E0F">
        <w:rPr>
          <w:rFonts w:ascii="Arial Narrow" w:eastAsia="Times New Roman" w:hAnsi="Arial Narrow" w:cs="Times New Roman"/>
          <w:b/>
          <w:sz w:val="28"/>
          <w:szCs w:val="20"/>
          <w:lang w:val="x-none" w:eastAsia="x-none"/>
        </w:rPr>
        <w:t xml:space="preserve">2.1 Rodzaje materiałów do wykonania skropienia </w:t>
      </w:r>
      <w:bookmarkEnd w:id="596"/>
    </w:p>
    <w:p w14:paraId="5EC2FAF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AD1E0F">
        <w:rPr>
          <w:rFonts w:ascii="Arial Narrow" w:eastAsia="Times New Roman" w:hAnsi="Arial Narrow" w:cs="Times New Roman"/>
          <w:b/>
          <w:sz w:val="20"/>
          <w:szCs w:val="20"/>
          <w:lang w:eastAsia="pl-PL"/>
        </w:rPr>
        <w:t xml:space="preserve"> Do połączeń międzywarstwowych należy stosować następujące materiały: </w:t>
      </w:r>
    </w:p>
    <w:p w14:paraId="792225C6"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b/>
          <w:sz w:val="20"/>
          <w:szCs w:val="20"/>
          <w:lang w:val="x-none" w:eastAsia="x-none"/>
        </w:rPr>
      </w:pPr>
      <w:r w:rsidRPr="00AD1E0F">
        <w:rPr>
          <w:rFonts w:ascii="Arial Narrow" w:eastAsia="Times New Roman" w:hAnsi="Arial Narrow" w:cs="Times New Roman"/>
          <w:b/>
          <w:sz w:val="20"/>
          <w:szCs w:val="20"/>
          <w:lang w:val="x-none" w:eastAsia="x-none"/>
        </w:rPr>
        <w:t xml:space="preserve">kationowe emulsje asfaltowe niemodyfikowane wg Załącznika Krajowego NA do PNEN 13808 – do warstw asfaltowych dróg kategorii KR 1-2 i do podbudów z mieszanek niezwiązanych i związanych hydraulicznie, </w:t>
      </w:r>
    </w:p>
    <w:p w14:paraId="2E10138B"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b/>
          <w:sz w:val="20"/>
          <w:szCs w:val="20"/>
          <w:lang w:val="x-none" w:eastAsia="x-none"/>
        </w:rPr>
      </w:pPr>
      <w:r w:rsidRPr="00AD1E0F">
        <w:rPr>
          <w:rFonts w:ascii="Arial Narrow" w:eastAsia="Times New Roman" w:hAnsi="Arial Narrow" w:cs="Times New Roman"/>
          <w:b/>
          <w:sz w:val="20"/>
          <w:szCs w:val="20"/>
          <w:lang w:val="x-none" w:eastAsia="x-none"/>
        </w:rPr>
        <w:t xml:space="preserve">kationowe emulsje asfaltowe modyfikowane polimerami wg Załącznika Krajowego NA do PN-EN 13808 – do warstw asfaltowych dróg kategorii KR 3-7. </w:t>
      </w:r>
    </w:p>
    <w:p w14:paraId="39CA83A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Spośród rodzajów emulsji wymienionych w Załączniku Krajowym NA do normy PN-EN 13808, należy stosować emulsje oznaczone kodem ZM. Należy stosować emulsje według aktualnego wydania Załącznika Krajowego. </w:t>
      </w:r>
    </w:p>
    <w:p w14:paraId="29297470"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AD1E0F">
        <w:rPr>
          <w:rFonts w:ascii="Arial Narrow" w:eastAsia="Times New Roman" w:hAnsi="Arial Narrow" w:cs="Times New Roman"/>
          <w:b/>
          <w:caps/>
          <w:kern w:val="28"/>
          <w:sz w:val="28"/>
          <w:szCs w:val="20"/>
          <w:lang w:val="x-none" w:eastAsia="x-none"/>
        </w:rPr>
        <w:t xml:space="preserve">3. </w:t>
      </w:r>
      <w:bookmarkStart w:id="597" w:name="_Toc16731"/>
      <w:r w:rsidRPr="00AD1E0F">
        <w:rPr>
          <w:rFonts w:ascii="Arial Narrow" w:eastAsia="Times New Roman" w:hAnsi="Arial Narrow" w:cs="Times New Roman"/>
          <w:b/>
          <w:caps/>
          <w:kern w:val="28"/>
          <w:sz w:val="28"/>
          <w:szCs w:val="20"/>
          <w:lang w:val="x-none" w:eastAsia="x-none"/>
        </w:rPr>
        <w:t xml:space="preserve">SPRZĘT </w:t>
      </w:r>
      <w:bookmarkEnd w:id="597"/>
    </w:p>
    <w:p w14:paraId="3664AD3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Ogólne wymagania dotyczące sprzętu podano w D-M-00.00.00 "Wymagania ogólne". </w:t>
      </w:r>
    </w:p>
    <w:p w14:paraId="4F55666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Do oczyszczania warstw nawierzchni należy stosować szczotki mechaniczne.  Do skrapiania warstw nawierzchni należy używać skrapiarkę lepiszcza.  Wykonawca jest zobowiązany do przedstawienia protokołów kalibracji skrapiarek  w zakresie równomierności skrapiania i wydatku asfaltu na m</w:t>
      </w:r>
      <w:r w:rsidRPr="00AD1E0F">
        <w:rPr>
          <w:rFonts w:ascii="Arial Narrow" w:eastAsia="Times New Roman" w:hAnsi="Arial Narrow" w:cs="Times New Roman"/>
          <w:sz w:val="20"/>
          <w:szCs w:val="20"/>
          <w:vertAlign w:val="superscript"/>
          <w:lang w:eastAsia="pl-PL"/>
        </w:rPr>
        <w:t>2</w:t>
      </w:r>
      <w:r w:rsidRPr="00AD1E0F">
        <w:rPr>
          <w:rFonts w:ascii="Arial Narrow" w:eastAsia="Times New Roman" w:hAnsi="Arial Narrow" w:cs="Times New Roman"/>
          <w:sz w:val="20"/>
          <w:szCs w:val="20"/>
          <w:lang w:eastAsia="pl-PL"/>
        </w:rPr>
        <w:t xml:space="preserve"> powierzchni wg PN-EN 12272-1 i PN-EN 12271-3. </w:t>
      </w:r>
    </w:p>
    <w:p w14:paraId="1A4748D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Skrapiarka powinna zapewnić rozkładanie lepiszcza z tolerancją ±10% od ilości założonej.  Dopuszcza się skrapianie ręczne lancą w miejscach trudno dostępnych oraz przy urządzeniach usytuowanych w nawierzchni lub ją ograniczających. </w:t>
      </w:r>
    </w:p>
    <w:p w14:paraId="3BC1AFB4"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AD1E0F">
        <w:rPr>
          <w:rFonts w:ascii="Arial Narrow" w:eastAsia="Times New Roman" w:hAnsi="Arial Narrow" w:cs="Times New Roman"/>
          <w:b/>
          <w:caps/>
          <w:kern w:val="28"/>
          <w:sz w:val="28"/>
          <w:szCs w:val="20"/>
          <w:lang w:val="x-none" w:eastAsia="x-none"/>
        </w:rPr>
        <w:t xml:space="preserve">4. </w:t>
      </w:r>
      <w:bookmarkStart w:id="598" w:name="_Toc16732"/>
      <w:r w:rsidRPr="00AD1E0F">
        <w:rPr>
          <w:rFonts w:ascii="Arial Narrow" w:eastAsia="Times New Roman" w:hAnsi="Arial Narrow" w:cs="Times New Roman"/>
          <w:b/>
          <w:caps/>
          <w:kern w:val="28"/>
          <w:sz w:val="28"/>
          <w:szCs w:val="20"/>
          <w:lang w:val="x-none" w:eastAsia="x-none"/>
        </w:rPr>
        <w:t xml:space="preserve">TRANSPORT </w:t>
      </w:r>
      <w:bookmarkEnd w:id="598"/>
    </w:p>
    <w:p w14:paraId="107E593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Ogólne wymagania dotyczące transportu podano w D-M-00.00.00. "Wymagania ogólne". Emulsja może być transportowana w cysternach, autocysternach, skrapiarkach, beczkach i innych opakowaniach pod warunkiem, że nie będą korodowały pod wpływem emulsji i nie będą powodowały jej rozpadu. Cysterny, pojemniki i zbiorniki przeznaczone do transportu lub składowania emulsji powinny być czyste i nie powinny zawierać resztek innych lepiszczy.  </w:t>
      </w:r>
    </w:p>
    <w:p w14:paraId="5A308D9B"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AD1E0F">
        <w:rPr>
          <w:rFonts w:ascii="Arial Narrow" w:eastAsia="Times New Roman" w:hAnsi="Arial Narrow" w:cs="Times New Roman"/>
          <w:b/>
          <w:caps/>
          <w:kern w:val="28"/>
          <w:sz w:val="28"/>
          <w:szCs w:val="20"/>
          <w:lang w:val="x-none" w:eastAsia="x-none"/>
        </w:rPr>
        <w:t xml:space="preserve">5. </w:t>
      </w:r>
      <w:bookmarkStart w:id="599" w:name="_Toc16733"/>
      <w:r w:rsidRPr="00AD1E0F">
        <w:rPr>
          <w:rFonts w:ascii="Arial Narrow" w:eastAsia="Times New Roman" w:hAnsi="Arial Narrow" w:cs="Times New Roman"/>
          <w:b/>
          <w:caps/>
          <w:kern w:val="28"/>
          <w:sz w:val="28"/>
          <w:szCs w:val="20"/>
          <w:lang w:val="x-none" w:eastAsia="x-none"/>
        </w:rPr>
        <w:t xml:space="preserve">WYKONANIE ROBÓT </w:t>
      </w:r>
      <w:bookmarkEnd w:id="599"/>
    </w:p>
    <w:p w14:paraId="13B5673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Ogólne zasady wykonania robót podano w D-M-00.00.00. "Wymagania ogólne". </w:t>
      </w:r>
    </w:p>
    <w:p w14:paraId="3145CF7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Uzyskanie wymaganej trwałości nawierzchni jest uzależnione od zapewnienia połączenia między warstwami oraz ich współpracy w przenoszeniu obciążeń nawierzchni wywołanych ruchem pojazdów.  </w:t>
      </w:r>
    </w:p>
    <w:p w14:paraId="5E351FA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Zapewnienie połączenia międzywarstwowego wymaga starannego przygotowania podłoża, na którym będą układane kolejne warstwy asfaltowe, zastosowania odpowiedniej emulsji asfaltowej oraz właściwego wykonania skropienia. </w:t>
      </w:r>
    </w:p>
    <w:p w14:paraId="370C73E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Skropienie emulsją asfaltową ma na celu zwiększenie siły połączenia pomiędzy warstwami konstrukcyjnymi oraz zabezpieczenie przed wnikaniem i zaleganiem wody pomiędzy warstwami. </w:t>
      </w:r>
    </w:p>
    <w:p w14:paraId="73C75921"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00" w:name="_Toc16734"/>
      <w:r w:rsidRPr="00AD1E0F">
        <w:rPr>
          <w:rFonts w:ascii="Arial Narrow" w:eastAsia="Times New Roman" w:hAnsi="Arial Narrow" w:cs="Times New Roman"/>
          <w:b/>
          <w:sz w:val="28"/>
          <w:szCs w:val="20"/>
          <w:lang w:val="x-none" w:eastAsia="x-none"/>
        </w:rPr>
        <w:t xml:space="preserve">5.1 Odstępstwa </w:t>
      </w:r>
      <w:bookmarkEnd w:id="600"/>
    </w:p>
    <w:p w14:paraId="41B33CA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Można odstąpić od wykonania skropienia w następujących przypadkach: </w:t>
      </w:r>
    </w:p>
    <w:p w14:paraId="1429A6DC"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przy rozkładaniu dwóch warstw asfaltowych w jednym cyklu technologicznym nie wykonuje się skropienia lepiszczem (tzw. połączenie gorące na gorące – technologia asfaltowych warstw kompaktowych), </w:t>
      </w:r>
    </w:p>
    <w:p w14:paraId="1CF30C82"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nie stosuje się skropienia przed ułożeniem mieszanki asfaltu lanego, chyba że technologia w sposób jednoznaczny tego wymaga lub z przyczyn technologicznych jest to zalecane.  </w:t>
      </w:r>
    </w:p>
    <w:p w14:paraId="33338EC0"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01" w:name="_Toc16735"/>
      <w:r w:rsidRPr="00AD1E0F">
        <w:rPr>
          <w:rFonts w:ascii="Arial Narrow" w:eastAsia="Times New Roman" w:hAnsi="Arial Narrow" w:cs="Times New Roman"/>
          <w:b/>
          <w:sz w:val="28"/>
          <w:szCs w:val="20"/>
          <w:lang w:val="x-none" w:eastAsia="x-none"/>
        </w:rPr>
        <w:lastRenderedPageBreak/>
        <w:t xml:space="preserve">5.2 Przygotowanie podłoża </w:t>
      </w:r>
      <w:bookmarkEnd w:id="601"/>
    </w:p>
    <w:p w14:paraId="5BF82614"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5.2.1 Przygotowanie podłoża z mieszanki mineralno-asfaltowej </w:t>
      </w:r>
    </w:p>
    <w:p w14:paraId="59D9AE4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Przed wykonaniem skropienia, podłoże należy odpowiednio wcześniej przygotować poprzez: </w:t>
      </w:r>
    </w:p>
    <w:p w14:paraId="0F007C12"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oznakowanie poziome na warstwie stanowiącej podłoże warstwy asfaltowej należy usunąć, </w:t>
      </w:r>
    </w:p>
    <w:p w14:paraId="20A46594"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wykonane w podłożu wypełnienia (łaty) z materiału o mniejszej sztywności np. łaty z asfaltu lanego w betonie asfaltowym należy usunąć, a powstałe w ten sposób ubytki wypełnić materiałem o właściwościach zbliżonych do materiału podstawowego np. wypełnić betonem asfaltowym. Nie dotyczy to przypadku, gdy układana na podłożu warstwa będzie miała sztywność zbliżoną do materiału występującego w łatach (np. łaty z asfaltu lanego i warstwa ścieralna z asfaltu lanego),  </w:t>
      </w:r>
    </w:p>
    <w:p w14:paraId="5DD9AA97"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na podłożu wykazującym uszkodzenia w postaci siatki spękań zmęczeniowych należy stosować warstwy (membrany) przeciwspękaniowe lub inne rozwiązania techniczne. </w:t>
      </w:r>
    </w:p>
    <w:p w14:paraId="02725C2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Przed skropieniem podłoże z mieszanki mineralno-asfaltowej należy oczyścić. W przypadku zanieczyszczonej warstwy dodatkowo oczyścić poprzez zabieg szczotkowania i mycie pod ciśnieniem. Przy używaniu szczotek mechanicznych należy zwrócić uwagę, aby nie została uszkodzona warstwa błonki asfaltowej na powierzchni ziaren kruszyw stanowiących górną powierzchnię warstwy. W przypadku zanieczyszczenia podłoża olejami, paliwem lub chemikaliami należy użyć specjalnych absorbentów do zebrania zanieczyszczeń a następnie zmyć powierzchnię wodą pod ciśnieniem. Oczyszczona nawierzchnia bezpośrednio przed skropieniem powinna być sucha bez zawilgoceń. </w:t>
      </w:r>
    </w:p>
    <w:p w14:paraId="78469404"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5.2.2 Przygotowanie podłoża z mieszanki mineralnej niezwiązanej i związanej hydraulicznie </w:t>
      </w:r>
    </w:p>
    <w:p w14:paraId="46A958B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Powierzchnia podłoża musi być oczyszczona z wszelkiego obcego materiału innego niż mieszanka mineralna, z której została wykonana warstwa.  </w:t>
      </w:r>
    </w:p>
    <w:p w14:paraId="69BD273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przypadku podbudowy bardzo suchej, bezpośrednio przed wykonaniem skropienia emulsją asfaltową podłoże należy zwilżyć wodą, tak aby powierzchnię podłoża doprowadzić do stanu matowo-wilgotnego, bez zastoisk wodnych i bez zjawiska nasączenia warstwy wodą. </w:t>
      </w:r>
    </w:p>
    <w:p w14:paraId="1897494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przypadku skrapiania warstwy niezwiązanej nasiąkniętej wodą po opadach atmosferycznych należy opóźnić skropienie do momentu częściowego przesuszenia powierzchniowego warstwy (do stanu matowo-wilgotnego). </w:t>
      </w:r>
    </w:p>
    <w:p w14:paraId="7EE39EEE"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5.2.3 Przygotowanie podłoża na obiektach inżynierskich </w:t>
      </w:r>
    </w:p>
    <w:p w14:paraId="7D5504B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przypadku podłoża, które stanowi izolacja przeciwwodna na obiektach mostowych, należy postępować według wskazań producenta lub zapisów w normach albo ocenach technicznych producentów izolacji.  </w:t>
      </w:r>
    </w:p>
    <w:p w14:paraId="41A40FFE"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602" w:name="_Toc16736"/>
      <w:r w:rsidRPr="00AD1E0F">
        <w:rPr>
          <w:rFonts w:ascii="Arial Narrow" w:eastAsia="Times New Roman" w:hAnsi="Arial Narrow" w:cs="Times New Roman"/>
          <w:b/>
          <w:sz w:val="24"/>
          <w:szCs w:val="20"/>
          <w:lang w:val="x-none" w:eastAsia="x-none"/>
        </w:rPr>
        <w:t xml:space="preserve">5.2.4 Odcinek próbny </w:t>
      </w:r>
      <w:bookmarkEnd w:id="602"/>
    </w:p>
    <w:p w14:paraId="4E065FC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Przed przystąpieniem do robót Wykonawca na odcinku próbnym przeprowadzi próbne skropienie warstwy w celu określenia optymalnych parametrów pracy skrapiarki  i określenia wymaganej ilości emulsji na m</w:t>
      </w:r>
      <w:r w:rsidRPr="00AD1E0F">
        <w:rPr>
          <w:rFonts w:ascii="Arial Narrow" w:eastAsia="Times New Roman" w:hAnsi="Arial Narrow" w:cs="Times New Roman"/>
          <w:sz w:val="20"/>
          <w:szCs w:val="20"/>
          <w:vertAlign w:val="superscript"/>
          <w:lang w:eastAsia="pl-PL"/>
        </w:rPr>
        <w:t>2</w:t>
      </w:r>
      <w:r w:rsidRPr="00AD1E0F">
        <w:rPr>
          <w:rFonts w:ascii="Arial Narrow" w:eastAsia="Times New Roman" w:hAnsi="Arial Narrow" w:cs="Times New Roman"/>
          <w:sz w:val="20"/>
          <w:szCs w:val="20"/>
          <w:lang w:eastAsia="pl-PL"/>
        </w:rPr>
        <w:t xml:space="preserve"> w zależności od rodzaju i stanu warstwy przewidzianej do skropienia. Oceną należy dokonać na podstawie wytrzymałości na ścinanie – wymagania pkt. 6.2.2. Lokalizacja odcinka próbnego zostanie zaakceptowana przez Inżyniera. Do wykonania odcinka próbnego, Wykonawca powinien zastosować takie same materiały oraz sprzęt, jakie będą stosowane do wykonania skropienia warstw konstrukcyjnych podczas robót. </w:t>
      </w:r>
    </w:p>
    <w:p w14:paraId="65966E8D"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603" w:name="_Toc16737"/>
      <w:r w:rsidRPr="00AD1E0F">
        <w:rPr>
          <w:rFonts w:ascii="Arial Narrow" w:eastAsia="Times New Roman" w:hAnsi="Arial Narrow" w:cs="Times New Roman"/>
          <w:b/>
          <w:sz w:val="24"/>
          <w:szCs w:val="20"/>
          <w:lang w:val="x-none" w:eastAsia="x-none"/>
        </w:rPr>
        <w:t xml:space="preserve">5.2.5 Wykonanie skropienia  </w:t>
      </w:r>
      <w:bookmarkEnd w:id="603"/>
    </w:p>
    <w:p w14:paraId="571BF5B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Temperatura podłoża w czasie skrapiania powinna wynosić nie mniej niż +5°C. Nie dopuszcza się wykonywania skrapiania podczas opadów atmosferycznych lub tuż przed spodziewanymi opadami. Czasookres skropienia należy tak zaplanować, aby nie wystąpiły opady atmosferyczne wcześniej niż po całkowitym rozpadzie emulsji.  </w:t>
      </w:r>
    </w:p>
    <w:p w14:paraId="66ADFC7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Wykonawca przekaże Inspektorowi Nadzoru kopię protokołu kalibracji skrapiarki (równomierności skrapiania oraz wydatku emulsji przy ustalonej prędkości przejazdu). Skrapiarka powinna zapewniać rozkładanie lepiszcza z tolerancją ±10 % w stosunku do ilości założonej. Skrapiarka, dla której nie wykonano kalibracji nie może zostać dopuszczona do wykonana skropienia. </w:t>
      </w:r>
    </w:p>
    <w:p w14:paraId="3BBB47A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Skrapianie należy wykonywać równomiernie na całej powierzchni przeznaczonej do skropienia, przy użyciu skrapiarek samochodowych, ewentualnie ciągnionych - wyposażonych w rampy spryskujące oraz automatyczne systemy kontroli wydatku skropienia. Dopuszcza się skrapianie ręczne lancą tylko w miejscach trudno dostępnych (np. ścieki uliczne) oraz przy urządzeniach usytuowanych w nawierzchni lub ją ograniczających. Skropione podłoże należy wyłączyć z ruchu publicznego  i technologicznego przez zmianę organizacji ruchu. Po wykonanej warstwie skropienia powinien odbywać się wyłącznie ruch pojazdów związanych z układaniem następnej warstwy z mieszanki mineralno-asfaltowej.  </w:t>
      </w:r>
    </w:p>
    <w:p w14:paraId="1AB8DD7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Przed rozpoczęciem skrapiania należy strefy przyległe do skrapianych powierzchni jak np.: krawężniki, ścieki, wpusty itp. odpowiednio osłonić, zabezpieczając przed zabrudzeniem lub zalaniem emulsją. </w:t>
      </w:r>
    </w:p>
    <w:p w14:paraId="4115B5A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Podłoże powinno być skropione z odpowiednim wyprzedzeniem przed układaniem następnej warstwy asfaltowej w celu rozpadu emulsji z wydzieleniem asfaltu i odparowania wody. O rozpadzie emulsji świadczy zmiana koloru skropionej powierzchni z brązowego na czarny. </w:t>
      </w:r>
    </w:p>
    <w:p w14:paraId="78E6150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Przed wykonaniem następnego zabiegu technologicznego należy odczekać minimum 30 minut od momentu zmiany koloru pokrytej lepiszczem warstwy na czarny. </w:t>
      </w:r>
    </w:p>
    <w:p w14:paraId="2DC11C6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Temperatura emulsji asfaltowej podczas wykonywania skropienia podłoża musi mieścić się w granicach podanych w tabeli 1. </w:t>
      </w:r>
    </w:p>
    <w:p w14:paraId="646AC50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Tabela 1. Temperatura użycia emulsji asfaltowych </w:t>
      </w:r>
    </w:p>
    <w:tbl>
      <w:tblPr>
        <w:tblW w:w="7658" w:type="dxa"/>
        <w:tblInd w:w="722" w:type="dxa"/>
        <w:tblCellMar>
          <w:right w:w="115" w:type="dxa"/>
        </w:tblCellMar>
        <w:tblLook w:val="04A0" w:firstRow="1" w:lastRow="0" w:firstColumn="1" w:lastColumn="0" w:noHBand="0" w:noVBand="1"/>
      </w:tblPr>
      <w:tblGrid>
        <w:gridCol w:w="3687"/>
        <w:gridCol w:w="2127"/>
        <w:gridCol w:w="1844"/>
      </w:tblGrid>
      <w:tr w:rsidR="00AD1E0F" w:rsidRPr="00AD1E0F" w14:paraId="3027390F" w14:textId="77777777" w:rsidTr="00855929">
        <w:trPr>
          <w:trHeight w:val="205"/>
        </w:trPr>
        <w:tc>
          <w:tcPr>
            <w:tcW w:w="3687" w:type="dxa"/>
            <w:vMerge w:val="restart"/>
            <w:tcBorders>
              <w:top w:val="single" w:sz="4" w:space="0" w:color="000000"/>
              <w:left w:val="single" w:sz="4" w:space="0" w:color="000000"/>
              <w:bottom w:val="single" w:sz="4" w:space="0" w:color="000000"/>
              <w:right w:val="single" w:sz="4" w:space="0" w:color="000000"/>
            </w:tcBorders>
            <w:vAlign w:val="center"/>
          </w:tcPr>
          <w:p w14:paraId="6F1566D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Rodzaj lepiszcza </w:t>
            </w:r>
          </w:p>
        </w:tc>
        <w:tc>
          <w:tcPr>
            <w:tcW w:w="3971" w:type="dxa"/>
            <w:gridSpan w:val="2"/>
            <w:tcBorders>
              <w:top w:val="single" w:sz="4" w:space="0" w:color="000000"/>
              <w:left w:val="single" w:sz="4" w:space="0" w:color="000000"/>
              <w:bottom w:val="single" w:sz="4" w:space="0" w:color="000000"/>
              <w:right w:val="single" w:sz="4" w:space="0" w:color="000000"/>
            </w:tcBorders>
            <w:vAlign w:val="center"/>
          </w:tcPr>
          <w:p w14:paraId="231678D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temperatura użycia [°C] </w:t>
            </w:r>
          </w:p>
        </w:tc>
      </w:tr>
      <w:tr w:rsidR="00AD1E0F" w:rsidRPr="00AD1E0F" w14:paraId="598F25FF" w14:textId="77777777" w:rsidTr="00855929">
        <w:trPr>
          <w:trHeight w:val="56"/>
        </w:trPr>
        <w:tc>
          <w:tcPr>
            <w:tcW w:w="0" w:type="auto"/>
            <w:vMerge/>
            <w:tcBorders>
              <w:top w:val="nil"/>
              <w:left w:val="single" w:sz="4" w:space="0" w:color="000000"/>
              <w:bottom w:val="single" w:sz="4" w:space="0" w:color="000000"/>
              <w:right w:val="single" w:sz="4" w:space="0" w:color="000000"/>
            </w:tcBorders>
          </w:tcPr>
          <w:p w14:paraId="6BC4C39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768FB10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min. </w:t>
            </w:r>
          </w:p>
        </w:tc>
        <w:tc>
          <w:tcPr>
            <w:tcW w:w="1844" w:type="dxa"/>
            <w:tcBorders>
              <w:top w:val="single" w:sz="4" w:space="0" w:color="000000"/>
              <w:left w:val="single" w:sz="4" w:space="0" w:color="000000"/>
              <w:bottom w:val="single" w:sz="4" w:space="0" w:color="000000"/>
              <w:right w:val="single" w:sz="4" w:space="0" w:color="000000"/>
            </w:tcBorders>
            <w:vAlign w:val="center"/>
          </w:tcPr>
          <w:p w14:paraId="018800B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maks. </w:t>
            </w:r>
          </w:p>
        </w:tc>
      </w:tr>
      <w:tr w:rsidR="00AD1E0F" w:rsidRPr="00AD1E0F" w14:paraId="3518BB05" w14:textId="77777777" w:rsidTr="00855929">
        <w:trPr>
          <w:trHeight w:val="106"/>
        </w:trPr>
        <w:tc>
          <w:tcPr>
            <w:tcW w:w="3687" w:type="dxa"/>
            <w:tcBorders>
              <w:top w:val="single" w:sz="4" w:space="0" w:color="000000"/>
              <w:left w:val="single" w:sz="4" w:space="0" w:color="000000"/>
              <w:bottom w:val="single" w:sz="4" w:space="0" w:color="000000"/>
              <w:right w:val="single" w:sz="4" w:space="0" w:color="000000"/>
            </w:tcBorders>
            <w:vAlign w:val="center"/>
          </w:tcPr>
          <w:p w14:paraId="63B17B1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Emulsja asfaltowa </w:t>
            </w:r>
          </w:p>
        </w:tc>
        <w:tc>
          <w:tcPr>
            <w:tcW w:w="2127" w:type="dxa"/>
            <w:tcBorders>
              <w:top w:val="single" w:sz="4" w:space="0" w:color="000000"/>
              <w:left w:val="single" w:sz="4" w:space="0" w:color="000000"/>
              <w:bottom w:val="single" w:sz="4" w:space="0" w:color="000000"/>
              <w:right w:val="single" w:sz="4" w:space="0" w:color="000000"/>
            </w:tcBorders>
            <w:vAlign w:val="center"/>
          </w:tcPr>
          <w:p w14:paraId="2ACCAD7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50 </w:t>
            </w:r>
          </w:p>
        </w:tc>
        <w:tc>
          <w:tcPr>
            <w:tcW w:w="1844" w:type="dxa"/>
            <w:tcBorders>
              <w:top w:val="single" w:sz="4" w:space="0" w:color="000000"/>
              <w:left w:val="single" w:sz="4" w:space="0" w:color="000000"/>
              <w:bottom w:val="single" w:sz="4" w:space="0" w:color="000000"/>
              <w:right w:val="single" w:sz="4" w:space="0" w:color="000000"/>
            </w:tcBorders>
            <w:vAlign w:val="center"/>
          </w:tcPr>
          <w:p w14:paraId="0926EB2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85 </w:t>
            </w:r>
          </w:p>
        </w:tc>
      </w:tr>
      <w:tr w:rsidR="00AD1E0F" w:rsidRPr="00AD1E0F" w14:paraId="38A6DFA8" w14:textId="77777777" w:rsidTr="00855929">
        <w:trPr>
          <w:trHeight w:val="304"/>
        </w:trPr>
        <w:tc>
          <w:tcPr>
            <w:tcW w:w="3687" w:type="dxa"/>
            <w:tcBorders>
              <w:top w:val="single" w:sz="4" w:space="0" w:color="000000"/>
              <w:left w:val="single" w:sz="4" w:space="0" w:color="000000"/>
              <w:bottom w:val="single" w:sz="4" w:space="0" w:color="000000"/>
              <w:right w:val="single" w:sz="4" w:space="0" w:color="000000"/>
            </w:tcBorders>
            <w:vAlign w:val="center"/>
          </w:tcPr>
          <w:p w14:paraId="10CB85F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Emulsja asfaltowa modyfikowana polimerem </w:t>
            </w:r>
          </w:p>
        </w:tc>
        <w:tc>
          <w:tcPr>
            <w:tcW w:w="2127" w:type="dxa"/>
            <w:tcBorders>
              <w:top w:val="single" w:sz="4" w:space="0" w:color="000000"/>
              <w:left w:val="single" w:sz="4" w:space="0" w:color="000000"/>
              <w:bottom w:val="single" w:sz="4" w:space="0" w:color="000000"/>
              <w:right w:val="single" w:sz="4" w:space="0" w:color="000000"/>
            </w:tcBorders>
            <w:vAlign w:val="center"/>
          </w:tcPr>
          <w:p w14:paraId="6ADEEB5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60 </w:t>
            </w:r>
          </w:p>
        </w:tc>
        <w:tc>
          <w:tcPr>
            <w:tcW w:w="1844" w:type="dxa"/>
            <w:tcBorders>
              <w:top w:val="single" w:sz="4" w:space="0" w:color="000000"/>
              <w:left w:val="single" w:sz="4" w:space="0" w:color="000000"/>
              <w:bottom w:val="single" w:sz="4" w:space="0" w:color="000000"/>
              <w:right w:val="single" w:sz="4" w:space="0" w:color="000000"/>
            </w:tcBorders>
            <w:vAlign w:val="center"/>
          </w:tcPr>
          <w:p w14:paraId="04F7FCB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85 </w:t>
            </w:r>
          </w:p>
        </w:tc>
      </w:tr>
    </w:tbl>
    <w:p w14:paraId="74DF0E7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t>
      </w:r>
    </w:p>
    <w:p w14:paraId="2C39D9CC"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lastRenderedPageBreak/>
        <w:t xml:space="preserve">5.2.6 Skropienie warstwy z mieszanki mineralno-asfaltowej </w:t>
      </w:r>
    </w:p>
    <w:p w14:paraId="42652B5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Skropienie lepiszczem powinno być wykonane w ilości podanej w tabeli 2.  </w:t>
      </w:r>
    </w:p>
    <w:p w14:paraId="3E3DA13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Tabela 2. Zalecane ilości emulsji asfaltowej do skropienia podłoża z mieszanki mineralno-asfaltowej [kg/m²]</w:t>
      </w:r>
      <w:r w:rsidRPr="00AD1E0F">
        <w:rPr>
          <w:rFonts w:ascii="Arial Narrow" w:eastAsia="Times New Roman" w:hAnsi="Arial Narrow" w:cs="Times New Roman"/>
          <w:b/>
          <w:sz w:val="20"/>
          <w:szCs w:val="20"/>
          <w:lang w:eastAsia="pl-PL"/>
        </w:rPr>
        <w:t xml:space="preserve"> </w:t>
      </w:r>
      <w:r w:rsidRPr="00AD1E0F">
        <w:rPr>
          <w:rFonts w:ascii="Arial Narrow" w:eastAsia="Times New Roman" w:hAnsi="Arial Narrow" w:cs="Times New Roman"/>
          <w:sz w:val="20"/>
          <w:szCs w:val="20"/>
          <w:lang w:eastAsia="pl-PL"/>
        </w:rPr>
        <w:t>(uwaga - przyjęto dla emulsji kationowej o zawartości asfaltu 60% wg PN-EN 13808:2013 Załącznik Krajowy NA, rodzaje: C60B3 ZM, C60BP3 ZM)</w:t>
      </w:r>
      <w:r w:rsidRPr="00AD1E0F">
        <w:rPr>
          <w:rFonts w:ascii="Arial Narrow" w:eastAsia="Times New Roman" w:hAnsi="Arial Narrow" w:cs="Times New Roman"/>
          <w:b/>
          <w:sz w:val="20"/>
          <w:szCs w:val="20"/>
          <w:lang w:eastAsia="pl-PL"/>
        </w:rPr>
        <w:t xml:space="preserve"> </w:t>
      </w:r>
    </w:p>
    <w:tbl>
      <w:tblPr>
        <w:tblW w:w="8956" w:type="dxa"/>
        <w:tblInd w:w="125" w:type="dxa"/>
        <w:tblCellMar>
          <w:top w:w="45" w:type="dxa"/>
          <w:right w:w="46" w:type="dxa"/>
        </w:tblCellMar>
        <w:tblLook w:val="04A0" w:firstRow="1" w:lastRow="0" w:firstColumn="1" w:lastColumn="0" w:noHBand="0" w:noVBand="1"/>
      </w:tblPr>
      <w:tblGrid>
        <w:gridCol w:w="1862"/>
        <w:gridCol w:w="2948"/>
        <w:gridCol w:w="1253"/>
        <w:gridCol w:w="1399"/>
        <w:gridCol w:w="1494"/>
      </w:tblGrid>
      <w:tr w:rsidR="00AD1E0F" w:rsidRPr="00AD1E0F" w14:paraId="7D0DCFCF" w14:textId="77777777" w:rsidTr="00855929">
        <w:trPr>
          <w:trHeight w:val="463"/>
        </w:trPr>
        <w:tc>
          <w:tcPr>
            <w:tcW w:w="4810" w:type="dxa"/>
            <w:gridSpan w:val="2"/>
            <w:tcBorders>
              <w:top w:val="single" w:sz="4" w:space="0" w:color="000000"/>
              <w:left w:val="single" w:sz="4" w:space="0" w:color="000000"/>
              <w:bottom w:val="single" w:sz="4" w:space="0" w:color="000000"/>
              <w:right w:val="single" w:sz="4" w:space="0" w:color="000000"/>
            </w:tcBorders>
            <w:vAlign w:val="center"/>
          </w:tcPr>
          <w:p w14:paraId="5D5DD22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Podłoże pod układaną warstwę asfaltową </w:t>
            </w:r>
          </w:p>
        </w:tc>
        <w:tc>
          <w:tcPr>
            <w:tcW w:w="4146" w:type="dxa"/>
            <w:gridSpan w:val="3"/>
            <w:tcBorders>
              <w:top w:val="single" w:sz="4" w:space="0" w:color="000000"/>
              <w:left w:val="single" w:sz="4" w:space="0" w:color="000000"/>
              <w:bottom w:val="single" w:sz="4" w:space="0" w:color="000000"/>
              <w:right w:val="single" w:sz="4" w:space="0" w:color="000000"/>
            </w:tcBorders>
            <w:vAlign w:val="center"/>
          </w:tcPr>
          <w:p w14:paraId="73541DF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Układana warstwa </w:t>
            </w:r>
          </w:p>
        </w:tc>
      </w:tr>
      <w:tr w:rsidR="00AD1E0F" w:rsidRPr="00AD1E0F" w14:paraId="60B9224B" w14:textId="77777777" w:rsidTr="00855929">
        <w:trPr>
          <w:trHeight w:val="230"/>
        </w:trPr>
        <w:tc>
          <w:tcPr>
            <w:tcW w:w="1862" w:type="dxa"/>
            <w:tcBorders>
              <w:top w:val="single" w:sz="4" w:space="0" w:color="000000"/>
              <w:left w:val="single" w:sz="4" w:space="0" w:color="000000"/>
              <w:bottom w:val="single" w:sz="4" w:space="0" w:color="000000"/>
              <w:right w:val="single" w:sz="4" w:space="0" w:color="000000"/>
            </w:tcBorders>
            <w:vAlign w:val="center"/>
          </w:tcPr>
          <w:p w14:paraId="15EA44F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rodzaj </w:t>
            </w:r>
          </w:p>
        </w:tc>
        <w:tc>
          <w:tcPr>
            <w:tcW w:w="2948" w:type="dxa"/>
            <w:tcBorders>
              <w:top w:val="single" w:sz="4" w:space="0" w:color="000000"/>
              <w:left w:val="single" w:sz="4" w:space="0" w:color="000000"/>
              <w:bottom w:val="single" w:sz="4" w:space="0" w:color="000000"/>
              <w:right w:val="single" w:sz="4" w:space="0" w:color="000000"/>
            </w:tcBorders>
            <w:vAlign w:val="center"/>
          </w:tcPr>
          <w:p w14:paraId="5765837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cecha </w:t>
            </w:r>
          </w:p>
        </w:tc>
        <w:tc>
          <w:tcPr>
            <w:tcW w:w="1253" w:type="dxa"/>
            <w:tcBorders>
              <w:top w:val="single" w:sz="4" w:space="0" w:color="000000"/>
              <w:left w:val="single" w:sz="4" w:space="0" w:color="000000"/>
              <w:bottom w:val="single" w:sz="4" w:space="0" w:color="000000"/>
              <w:right w:val="single" w:sz="4" w:space="0" w:color="000000"/>
            </w:tcBorders>
            <w:vAlign w:val="center"/>
          </w:tcPr>
          <w:p w14:paraId="6C703E3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podbudowa </w:t>
            </w:r>
          </w:p>
          <w:p w14:paraId="2910D99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asfaltowa </w:t>
            </w:r>
          </w:p>
        </w:tc>
        <w:tc>
          <w:tcPr>
            <w:tcW w:w="1399" w:type="dxa"/>
            <w:tcBorders>
              <w:top w:val="single" w:sz="4" w:space="0" w:color="000000"/>
              <w:left w:val="single" w:sz="4" w:space="0" w:color="000000"/>
              <w:bottom w:val="single" w:sz="4" w:space="0" w:color="000000"/>
              <w:right w:val="single" w:sz="4" w:space="0" w:color="000000"/>
            </w:tcBorders>
            <w:vAlign w:val="center"/>
          </w:tcPr>
          <w:p w14:paraId="0677720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wiążąca </w:t>
            </w:r>
          </w:p>
        </w:tc>
        <w:tc>
          <w:tcPr>
            <w:tcW w:w="1493" w:type="dxa"/>
            <w:tcBorders>
              <w:top w:val="single" w:sz="4" w:space="0" w:color="000000"/>
              <w:left w:val="single" w:sz="4" w:space="0" w:color="000000"/>
              <w:bottom w:val="single" w:sz="4" w:space="0" w:color="000000"/>
              <w:right w:val="single" w:sz="4" w:space="0" w:color="000000"/>
            </w:tcBorders>
            <w:vAlign w:val="center"/>
          </w:tcPr>
          <w:p w14:paraId="2F5F6FE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ścieralna z </w:t>
            </w:r>
          </w:p>
          <w:p w14:paraId="7B54010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SMA lub z AC </w:t>
            </w:r>
          </w:p>
        </w:tc>
      </w:tr>
      <w:tr w:rsidR="00AD1E0F" w:rsidRPr="00AD1E0F" w14:paraId="04AD1F4A" w14:textId="77777777" w:rsidTr="00855929">
        <w:trPr>
          <w:trHeight w:val="463"/>
        </w:trPr>
        <w:tc>
          <w:tcPr>
            <w:tcW w:w="8956" w:type="dxa"/>
            <w:gridSpan w:val="5"/>
            <w:tcBorders>
              <w:top w:val="single" w:sz="4" w:space="0" w:color="000000"/>
              <w:left w:val="single" w:sz="4" w:space="0" w:color="000000"/>
              <w:bottom w:val="single" w:sz="4" w:space="0" w:color="000000"/>
              <w:right w:val="single" w:sz="4" w:space="0" w:color="000000"/>
            </w:tcBorders>
            <w:vAlign w:val="center"/>
          </w:tcPr>
          <w:p w14:paraId="396577A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i/>
                <w:sz w:val="20"/>
              </w:rPr>
              <w:t xml:space="preserve">Dla dróg o kategorii ruchu od KR3 do KR7 - rodzaj emulsji: C60BP3 ZM* </w:t>
            </w:r>
          </w:p>
        </w:tc>
      </w:tr>
      <w:tr w:rsidR="00AD1E0F" w:rsidRPr="00AD1E0F" w14:paraId="5AC2BDB9" w14:textId="77777777" w:rsidTr="00855929">
        <w:trPr>
          <w:trHeight w:val="174"/>
        </w:trPr>
        <w:tc>
          <w:tcPr>
            <w:tcW w:w="1862" w:type="dxa"/>
            <w:vMerge w:val="restart"/>
            <w:tcBorders>
              <w:top w:val="single" w:sz="4" w:space="0" w:color="000000"/>
              <w:left w:val="single" w:sz="4" w:space="0" w:color="000000"/>
              <w:bottom w:val="single" w:sz="4" w:space="0" w:color="000000"/>
              <w:right w:val="single" w:sz="4" w:space="0" w:color="000000"/>
            </w:tcBorders>
            <w:vAlign w:val="center"/>
          </w:tcPr>
          <w:p w14:paraId="0095FB8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Warstwa podbudowy asfaltowej </w:t>
            </w:r>
          </w:p>
        </w:tc>
        <w:tc>
          <w:tcPr>
            <w:tcW w:w="2948" w:type="dxa"/>
            <w:tcBorders>
              <w:top w:val="single" w:sz="4" w:space="0" w:color="000000"/>
              <w:left w:val="single" w:sz="4" w:space="0" w:color="000000"/>
              <w:bottom w:val="single" w:sz="4" w:space="0" w:color="000000"/>
              <w:right w:val="single" w:sz="4" w:space="0" w:color="000000"/>
            </w:tcBorders>
            <w:vAlign w:val="center"/>
          </w:tcPr>
          <w:p w14:paraId="14DF32E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nowo wykonana </w:t>
            </w:r>
          </w:p>
        </w:tc>
        <w:tc>
          <w:tcPr>
            <w:tcW w:w="1253" w:type="dxa"/>
            <w:tcBorders>
              <w:top w:val="single" w:sz="4" w:space="0" w:color="000000"/>
              <w:left w:val="single" w:sz="4" w:space="0" w:color="000000"/>
              <w:bottom w:val="single" w:sz="4" w:space="0" w:color="000000"/>
              <w:right w:val="single" w:sz="4" w:space="0" w:color="000000"/>
            </w:tcBorders>
            <w:vAlign w:val="center"/>
          </w:tcPr>
          <w:p w14:paraId="51AF842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0,2 ÷ 0,4 </w:t>
            </w:r>
          </w:p>
        </w:tc>
        <w:tc>
          <w:tcPr>
            <w:tcW w:w="1399" w:type="dxa"/>
            <w:tcBorders>
              <w:top w:val="single" w:sz="4" w:space="0" w:color="000000"/>
              <w:left w:val="single" w:sz="4" w:space="0" w:color="000000"/>
              <w:bottom w:val="single" w:sz="4" w:space="0" w:color="000000"/>
              <w:right w:val="single" w:sz="4" w:space="0" w:color="000000"/>
            </w:tcBorders>
            <w:vAlign w:val="center"/>
          </w:tcPr>
          <w:p w14:paraId="556CD9A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0,5 </w:t>
            </w:r>
          </w:p>
        </w:tc>
        <w:tc>
          <w:tcPr>
            <w:tcW w:w="1493" w:type="dxa"/>
            <w:tcBorders>
              <w:top w:val="single" w:sz="4" w:space="0" w:color="000000"/>
              <w:left w:val="single" w:sz="4" w:space="0" w:color="000000"/>
              <w:bottom w:val="single" w:sz="4" w:space="0" w:color="000000"/>
              <w:right w:val="single" w:sz="4" w:space="0" w:color="000000"/>
            </w:tcBorders>
            <w:vAlign w:val="center"/>
          </w:tcPr>
          <w:p w14:paraId="4BE63D1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X </w:t>
            </w:r>
          </w:p>
        </w:tc>
      </w:tr>
      <w:tr w:rsidR="00AD1E0F" w:rsidRPr="00AD1E0F" w14:paraId="2CC5FFEC" w14:textId="77777777" w:rsidTr="00855929">
        <w:trPr>
          <w:trHeight w:val="179"/>
        </w:trPr>
        <w:tc>
          <w:tcPr>
            <w:tcW w:w="0" w:type="auto"/>
            <w:vMerge/>
            <w:tcBorders>
              <w:top w:val="nil"/>
              <w:left w:val="single" w:sz="4" w:space="0" w:color="000000"/>
              <w:bottom w:val="nil"/>
              <w:right w:val="single" w:sz="4" w:space="0" w:color="000000"/>
            </w:tcBorders>
          </w:tcPr>
          <w:p w14:paraId="7BF553A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948" w:type="dxa"/>
            <w:tcBorders>
              <w:top w:val="single" w:sz="4" w:space="0" w:color="000000"/>
              <w:left w:val="single" w:sz="4" w:space="0" w:color="000000"/>
              <w:bottom w:val="single" w:sz="4" w:space="0" w:color="000000"/>
              <w:right w:val="single" w:sz="4" w:space="0" w:color="000000"/>
            </w:tcBorders>
            <w:vAlign w:val="center"/>
          </w:tcPr>
          <w:p w14:paraId="0D96E14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frezowana </w:t>
            </w:r>
          </w:p>
        </w:tc>
        <w:tc>
          <w:tcPr>
            <w:tcW w:w="1253" w:type="dxa"/>
            <w:tcBorders>
              <w:top w:val="single" w:sz="4" w:space="0" w:color="000000"/>
              <w:left w:val="single" w:sz="4" w:space="0" w:color="000000"/>
              <w:bottom w:val="single" w:sz="4" w:space="0" w:color="000000"/>
              <w:right w:val="single" w:sz="4" w:space="0" w:color="000000"/>
            </w:tcBorders>
            <w:vAlign w:val="center"/>
          </w:tcPr>
          <w:p w14:paraId="704DD9E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0,5 </w:t>
            </w:r>
          </w:p>
        </w:tc>
        <w:tc>
          <w:tcPr>
            <w:tcW w:w="1399" w:type="dxa"/>
            <w:tcBorders>
              <w:top w:val="single" w:sz="4" w:space="0" w:color="000000"/>
              <w:left w:val="single" w:sz="4" w:space="0" w:color="000000"/>
              <w:bottom w:val="single" w:sz="4" w:space="0" w:color="000000"/>
              <w:right w:val="single" w:sz="4" w:space="0" w:color="000000"/>
            </w:tcBorders>
            <w:vAlign w:val="center"/>
          </w:tcPr>
          <w:p w14:paraId="75AE579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0,5 </w:t>
            </w:r>
          </w:p>
        </w:tc>
        <w:tc>
          <w:tcPr>
            <w:tcW w:w="1493" w:type="dxa"/>
            <w:tcBorders>
              <w:top w:val="single" w:sz="4" w:space="0" w:color="000000"/>
              <w:left w:val="single" w:sz="4" w:space="0" w:color="000000"/>
              <w:bottom w:val="single" w:sz="4" w:space="0" w:color="000000"/>
              <w:right w:val="single" w:sz="4" w:space="0" w:color="000000"/>
            </w:tcBorders>
            <w:vAlign w:val="center"/>
          </w:tcPr>
          <w:p w14:paraId="3C62939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X </w:t>
            </w:r>
          </w:p>
        </w:tc>
      </w:tr>
      <w:tr w:rsidR="00AD1E0F" w:rsidRPr="00AD1E0F" w14:paraId="358B00A8" w14:textId="77777777" w:rsidTr="00855929">
        <w:trPr>
          <w:trHeight w:val="310"/>
        </w:trPr>
        <w:tc>
          <w:tcPr>
            <w:tcW w:w="0" w:type="auto"/>
            <w:vMerge/>
            <w:tcBorders>
              <w:top w:val="nil"/>
              <w:left w:val="single" w:sz="4" w:space="0" w:color="000000"/>
              <w:bottom w:val="single" w:sz="4" w:space="0" w:color="000000"/>
              <w:right w:val="single" w:sz="4" w:space="0" w:color="000000"/>
            </w:tcBorders>
          </w:tcPr>
          <w:p w14:paraId="42F7CD5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948" w:type="dxa"/>
            <w:tcBorders>
              <w:top w:val="single" w:sz="4" w:space="0" w:color="000000"/>
              <w:left w:val="single" w:sz="4" w:space="0" w:color="000000"/>
              <w:bottom w:val="single" w:sz="4" w:space="0" w:color="000000"/>
              <w:right w:val="single" w:sz="4" w:space="0" w:color="000000"/>
            </w:tcBorders>
            <w:vAlign w:val="center"/>
          </w:tcPr>
          <w:p w14:paraId="378C41F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porowata lub w złym stanie </w:t>
            </w:r>
          </w:p>
        </w:tc>
        <w:tc>
          <w:tcPr>
            <w:tcW w:w="1253" w:type="dxa"/>
            <w:tcBorders>
              <w:top w:val="single" w:sz="4" w:space="0" w:color="000000"/>
              <w:left w:val="single" w:sz="4" w:space="0" w:color="000000"/>
              <w:bottom w:val="single" w:sz="4" w:space="0" w:color="000000"/>
              <w:right w:val="single" w:sz="4" w:space="0" w:color="000000"/>
            </w:tcBorders>
            <w:vAlign w:val="center"/>
          </w:tcPr>
          <w:p w14:paraId="1ACB7AA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0,6 </w:t>
            </w:r>
          </w:p>
        </w:tc>
        <w:tc>
          <w:tcPr>
            <w:tcW w:w="1399" w:type="dxa"/>
            <w:tcBorders>
              <w:top w:val="single" w:sz="4" w:space="0" w:color="000000"/>
              <w:left w:val="single" w:sz="4" w:space="0" w:color="000000"/>
              <w:bottom w:val="single" w:sz="4" w:space="0" w:color="000000"/>
              <w:right w:val="single" w:sz="4" w:space="0" w:color="000000"/>
            </w:tcBorders>
            <w:vAlign w:val="center"/>
          </w:tcPr>
          <w:p w14:paraId="0B2CE49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0,7 </w:t>
            </w:r>
          </w:p>
        </w:tc>
        <w:tc>
          <w:tcPr>
            <w:tcW w:w="1493" w:type="dxa"/>
            <w:tcBorders>
              <w:top w:val="single" w:sz="4" w:space="0" w:color="000000"/>
              <w:left w:val="single" w:sz="4" w:space="0" w:color="000000"/>
              <w:bottom w:val="single" w:sz="4" w:space="0" w:color="000000"/>
              <w:right w:val="single" w:sz="4" w:space="0" w:color="000000"/>
            </w:tcBorders>
            <w:vAlign w:val="center"/>
          </w:tcPr>
          <w:p w14:paraId="5449FD6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X </w:t>
            </w:r>
          </w:p>
        </w:tc>
      </w:tr>
      <w:tr w:rsidR="00AD1E0F" w:rsidRPr="00AD1E0F" w14:paraId="6BE1AA70" w14:textId="77777777" w:rsidTr="00855929">
        <w:trPr>
          <w:trHeight w:val="231"/>
        </w:trPr>
        <w:tc>
          <w:tcPr>
            <w:tcW w:w="1862" w:type="dxa"/>
            <w:vMerge w:val="restart"/>
            <w:tcBorders>
              <w:top w:val="single" w:sz="4" w:space="0" w:color="000000"/>
              <w:left w:val="single" w:sz="4" w:space="0" w:color="000000"/>
              <w:bottom w:val="single" w:sz="4" w:space="0" w:color="000000"/>
              <w:right w:val="single" w:sz="4" w:space="0" w:color="000000"/>
            </w:tcBorders>
            <w:vAlign w:val="center"/>
          </w:tcPr>
          <w:p w14:paraId="30A4F54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Warstwa wiążąca </w:t>
            </w:r>
          </w:p>
        </w:tc>
        <w:tc>
          <w:tcPr>
            <w:tcW w:w="2948" w:type="dxa"/>
            <w:tcBorders>
              <w:top w:val="single" w:sz="4" w:space="0" w:color="000000"/>
              <w:left w:val="single" w:sz="4" w:space="0" w:color="000000"/>
              <w:bottom w:val="single" w:sz="4" w:space="0" w:color="000000"/>
              <w:right w:val="single" w:sz="4" w:space="0" w:color="000000"/>
            </w:tcBorders>
            <w:vAlign w:val="center"/>
          </w:tcPr>
          <w:p w14:paraId="4361E91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nowo wykonana </w:t>
            </w:r>
          </w:p>
        </w:tc>
        <w:tc>
          <w:tcPr>
            <w:tcW w:w="1253" w:type="dxa"/>
            <w:tcBorders>
              <w:top w:val="single" w:sz="4" w:space="0" w:color="000000"/>
              <w:left w:val="single" w:sz="4" w:space="0" w:color="000000"/>
              <w:bottom w:val="single" w:sz="4" w:space="0" w:color="000000"/>
              <w:right w:val="single" w:sz="4" w:space="0" w:color="000000"/>
            </w:tcBorders>
            <w:vAlign w:val="center"/>
          </w:tcPr>
          <w:p w14:paraId="1E3760A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 </w:t>
            </w:r>
          </w:p>
        </w:tc>
        <w:tc>
          <w:tcPr>
            <w:tcW w:w="1399" w:type="dxa"/>
            <w:tcBorders>
              <w:top w:val="single" w:sz="4" w:space="0" w:color="000000"/>
              <w:left w:val="single" w:sz="4" w:space="0" w:color="000000"/>
              <w:bottom w:val="single" w:sz="4" w:space="0" w:color="000000"/>
              <w:right w:val="single" w:sz="4" w:space="0" w:color="000000"/>
            </w:tcBorders>
            <w:vAlign w:val="center"/>
          </w:tcPr>
          <w:p w14:paraId="4D83F64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X </w:t>
            </w:r>
          </w:p>
        </w:tc>
        <w:tc>
          <w:tcPr>
            <w:tcW w:w="1493" w:type="dxa"/>
            <w:tcBorders>
              <w:top w:val="single" w:sz="4" w:space="0" w:color="000000"/>
              <w:left w:val="single" w:sz="4" w:space="0" w:color="000000"/>
              <w:bottom w:val="single" w:sz="4" w:space="0" w:color="000000"/>
              <w:right w:val="single" w:sz="4" w:space="0" w:color="000000"/>
            </w:tcBorders>
            <w:vAlign w:val="center"/>
          </w:tcPr>
          <w:p w14:paraId="5A8CF00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0,2 ÷ 0,4 </w:t>
            </w:r>
          </w:p>
        </w:tc>
      </w:tr>
      <w:tr w:rsidR="00AD1E0F" w:rsidRPr="00AD1E0F" w14:paraId="6554B7C2" w14:textId="77777777" w:rsidTr="00855929">
        <w:trPr>
          <w:trHeight w:val="92"/>
        </w:trPr>
        <w:tc>
          <w:tcPr>
            <w:tcW w:w="0" w:type="auto"/>
            <w:vMerge/>
            <w:tcBorders>
              <w:top w:val="nil"/>
              <w:left w:val="single" w:sz="4" w:space="0" w:color="000000"/>
              <w:bottom w:val="nil"/>
              <w:right w:val="single" w:sz="4" w:space="0" w:color="000000"/>
            </w:tcBorders>
          </w:tcPr>
          <w:p w14:paraId="4B547FB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948" w:type="dxa"/>
            <w:tcBorders>
              <w:top w:val="single" w:sz="4" w:space="0" w:color="000000"/>
              <w:left w:val="single" w:sz="4" w:space="0" w:color="000000"/>
              <w:bottom w:val="single" w:sz="4" w:space="0" w:color="000000"/>
              <w:right w:val="single" w:sz="4" w:space="0" w:color="000000"/>
            </w:tcBorders>
            <w:vAlign w:val="center"/>
          </w:tcPr>
          <w:p w14:paraId="03B4D1E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frezowana </w:t>
            </w:r>
          </w:p>
        </w:tc>
        <w:tc>
          <w:tcPr>
            <w:tcW w:w="1253" w:type="dxa"/>
            <w:tcBorders>
              <w:top w:val="single" w:sz="4" w:space="0" w:color="000000"/>
              <w:left w:val="single" w:sz="4" w:space="0" w:color="000000"/>
              <w:bottom w:val="single" w:sz="4" w:space="0" w:color="000000"/>
              <w:right w:val="single" w:sz="4" w:space="0" w:color="000000"/>
            </w:tcBorders>
            <w:vAlign w:val="center"/>
          </w:tcPr>
          <w:p w14:paraId="4AE60BE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 </w:t>
            </w:r>
          </w:p>
        </w:tc>
        <w:tc>
          <w:tcPr>
            <w:tcW w:w="1399" w:type="dxa"/>
            <w:tcBorders>
              <w:top w:val="single" w:sz="4" w:space="0" w:color="000000"/>
              <w:left w:val="single" w:sz="4" w:space="0" w:color="000000"/>
              <w:bottom w:val="single" w:sz="4" w:space="0" w:color="000000"/>
              <w:right w:val="single" w:sz="4" w:space="0" w:color="000000"/>
            </w:tcBorders>
            <w:vAlign w:val="center"/>
          </w:tcPr>
          <w:p w14:paraId="7664379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0,5 </w:t>
            </w:r>
          </w:p>
        </w:tc>
        <w:tc>
          <w:tcPr>
            <w:tcW w:w="1493" w:type="dxa"/>
            <w:tcBorders>
              <w:top w:val="single" w:sz="4" w:space="0" w:color="000000"/>
              <w:left w:val="single" w:sz="4" w:space="0" w:color="000000"/>
              <w:bottom w:val="single" w:sz="4" w:space="0" w:color="000000"/>
              <w:right w:val="single" w:sz="4" w:space="0" w:color="000000"/>
            </w:tcBorders>
            <w:vAlign w:val="center"/>
          </w:tcPr>
          <w:p w14:paraId="7DB6B54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0,5 </w:t>
            </w:r>
          </w:p>
        </w:tc>
      </w:tr>
      <w:tr w:rsidR="00AD1E0F" w:rsidRPr="00AD1E0F" w14:paraId="5B4B935B" w14:textId="77777777" w:rsidTr="00855929">
        <w:trPr>
          <w:trHeight w:val="83"/>
        </w:trPr>
        <w:tc>
          <w:tcPr>
            <w:tcW w:w="0" w:type="auto"/>
            <w:vMerge/>
            <w:tcBorders>
              <w:top w:val="nil"/>
              <w:left w:val="single" w:sz="4" w:space="0" w:color="000000"/>
              <w:bottom w:val="single" w:sz="4" w:space="0" w:color="000000"/>
              <w:right w:val="single" w:sz="4" w:space="0" w:color="000000"/>
            </w:tcBorders>
          </w:tcPr>
          <w:p w14:paraId="7E1A876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948" w:type="dxa"/>
            <w:tcBorders>
              <w:top w:val="single" w:sz="4" w:space="0" w:color="000000"/>
              <w:left w:val="single" w:sz="4" w:space="0" w:color="000000"/>
              <w:bottom w:val="single" w:sz="4" w:space="0" w:color="000000"/>
              <w:right w:val="single" w:sz="4" w:space="0" w:color="000000"/>
            </w:tcBorders>
            <w:vAlign w:val="center"/>
          </w:tcPr>
          <w:p w14:paraId="5AC8A8B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porowata lub w złym stanie </w:t>
            </w:r>
          </w:p>
        </w:tc>
        <w:tc>
          <w:tcPr>
            <w:tcW w:w="1253" w:type="dxa"/>
            <w:tcBorders>
              <w:top w:val="single" w:sz="4" w:space="0" w:color="000000"/>
              <w:left w:val="single" w:sz="4" w:space="0" w:color="000000"/>
              <w:bottom w:val="single" w:sz="4" w:space="0" w:color="000000"/>
              <w:right w:val="single" w:sz="4" w:space="0" w:color="000000"/>
            </w:tcBorders>
            <w:vAlign w:val="center"/>
          </w:tcPr>
          <w:p w14:paraId="5EFE81D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 </w:t>
            </w:r>
          </w:p>
        </w:tc>
        <w:tc>
          <w:tcPr>
            <w:tcW w:w="1399" w:type="dxa"/>
            <w:tcBorders>
              <w:top w:val="single" w:sz="4" w:space="0" w:color="000000"/>
              <w:left w:val="single" w:sz="4" w:space="0" w:color="000000"/>
              <w:bottom w:val="single" w:sz="4" w:space="0" w:color="000000"/>
              <w:right w:val="single" w:sz="4" w:space="0" w:color="000000"/>
            </w:tcBorders>
            <w:vAlign w:val="center"/>
          </w:tcPr>
          <w:p w14:paraId="64C75EB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0,7 </w:t>
            </w:r>
          </w:p>
        </w:tc>
        <w:tc>
          <w:tcPr>
            <w:tcW w:w="1493" w:type="dxa"/>
            <w:tcBorders>
              <w:top w:val="single" w:sz="4" w:space="0" w:color="000000"/>
              <w:left w:val="single" w:sz="4" w:space="0" w:color="000000"/>
              <w:bottom w:val="single" w:sz="4" w:space="0" w:color="000000"/>
              <w:right w:val="single" w:sz="4" w:space="0" w:color="000000"/>
            </w:tcBorders>
            <w:vAlign w:val="center"/>
          </w:tcPr>
          <w:p w14:paraId="4F89248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0,5 </w:t>
            </w:r>
          </w:p>
        </w:tc>
      </w:tr>
      <w:tr w:rsidR="00AD1E0F" w:rsidRPr="00AD1E0F" w14:paraId="3B8C8424" w14:textId="77777777" w:rsidTr="00855929">
        <w:trPr>
          <w:trHeight w:val="228"/>
        </w:trPr>
        <w:tc>
          <w:tcPr>
            <w:tcW w:w="1862" w:type="dxa"/>
            <w:vMerge w:val="restart"/>
            <w:tcBorders>
              <w:top w:val="single" w:sz="4" w:space="0" w:color="000000"/>
              <w:left w:val="single" w:sz="4" w:space="0" w:color="000000"/>
              <w:bottom w:val="single" w:sz="4" w:space="0" w:color="000000"/>
              <w:right w:val="single" w:sz="4" w:space="0" w:color="000000"/>
            </w:tcBorders>
            <w:vAlign w:val="center"/>
          </w:tcPr>
          <w:p w14:paraId="7D60DFF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Stara nawierzchnia </w:t>
            </w:r>
          </w:p>
          <w:p w14:paraId="087E46F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asfaltowa </w:t>
            </w:r>
          </w:p>
        </w:tc>
        <w:tc>
          <w:tcPr>
            <w:tcW w:w="2948" w:type="dxa"/>
            <w:tcBorders>
              <w:top w:val="single" w:sz="4" w:space="0" w:color="000000"/>
              <w:left w:val="single" w:sz="4" w:space="0" w:color="000000"/>
              <w:bottom w:val="single" w:sz="4" w:space="0" w:color="000000"/>
              <w:right w:val="single" w:sz="4" w:space="0" w:color="000000"/>
            </w:tcBorders>
            <w:vAlign w:val="center"/>
          </w:tcPr>
          <w:p w14:paraId="6F74C84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frezowana </w:t>
            </w:r>
          </w:p>
        </w:tc>
        <w:tc>
          <w:tcPr>
            <w:tcW w:w="1253" w:type="dxa"/>
            <w:tcBorders>
              <w:top w:val="single" w:sz="4" w:space="0" w:color="000000"/>
              <w:left w:val="single" w:sz="4" w:space="0" w:color="000000"/>
              <w:bottom w:val="single" w:sz="4" w:space="0" w:color="000000"/>
              <w:right w:val="single" w:sz="4" w:space="0" w:color="000000"/>
            </w:tcBorders>
            <w:vAlign w:val="center"/>
          </w:tcPr>
          <w:p w14:paraId="6E34D44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0,5 </w:t>
            </w:r>
          </w:p>
        </w:tc>
        <w:tc>
          <w:tcPr>
            <w:tcW w:w="1399" w:type="dxa"/>
            <w:tcBorders>
              <w:top w:val="single" w:sz="4" w:space="0" w:color="000000"/>
              <w:left w:val="single" w:sz="4" w:space="0" w:color="000000"/>
              <w:bottom w:val="single" w:sz="4" w:space="0" w:color="000000"/>
              <w:right w:val="single" w:sz="4" w:space="0" w:color="000000"/>
            </w:tcBorders>
            <w:vAlign w:val="center"/>
          </w:tcPr>
          <w:p w14:paraId="7BC0FC3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0,5 </w:t>
            </w:r>
          </w:p>
        </w:tc>
        <w:tc>
          <w:tcPr>
            <w:tcW w:w="1493" w:type="dxa"/>
            <w:tcBorders>
              <w:top w:val="single" w:sz="4" w:space="0" w:color="000000"/>
              <w:left w:val="single" w:sz="4" w:space="0" w:color="000000"/>
              <w:bottom w:val="single" w:sz="4" w:space="0" w:color="000000"/>
              <w:right w:val="single" w:sz="4" w:space="0" w:color="000000"/>
            </w:tcBorders>
            <w:vAlign w:val="center"/>
          </w:tcPr>
          <w:p w14:paraId="3598A20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0,5 </w:t>
            </w:r>
          </w:p>
        </w:tc>
      </w:tr>
      <w:tr w:rsidR="00AD1E0F" w:rsidRPr="00AD1E0F" w14:paraId="569FF5C8" w14:textId="77777777" w:rsidTr="00855929">
        <w:trPr>
          <w:trHeight w:val="219"/>
        </w:trPr>
        <w:tc>
          <w:tcPr>
            <w:tcW w:w="0" w:type="auto"/>
            <w:vMerge/>
            <w:tcBorders>
              <w:top w:val="nil"/>
              <w:left w:val="single" w:sz="4" w:space="0" w:color="000000"/>
              <w:bottom w:val="single" w:sz="4" w:space="0" w:color="000000"/>
              <w:right w:val="single" w:sz="4" w:space="0" w:color="000000"/>
            </w:tcBorders>
          </w:tcPr>
          <w:p w14:paraId="18B6294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948" w:type="dxa"/>
            <w:tcBorders>
              <w:top w:val="single" w:sz="4" w:space="0" w:color="000000"/>
              <w:left w:val="single" w:sz="4" w:space="0" w:color="000000"/>
              <w:bottom w:val="single" w:sz="4" w:space="0" w:color="000000"/>
              <w:right w:val="single" w:sz="4" w:space="0" w:color="000000"/>
            </w:tcBorders>
            <w:vAlign w:val="center"/>
          </w:tcPr>
          <w:p w14:paraId="1F5963B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porowata lub w złym stanie </w:t>
            </w:r>
          </w:p>
        </w:tc>
        <w:tc>
          <w:tcPr>
            <w:tcW w:w="1253" w:type="dxa"/>
            <w:tcBorders>
              <w:top w:val="single" w:sz="4" w:space="0" w:color="000000"/>
              <w:left w:val="single" w:sz="4" w:space="0" w:color="000000"/>
              <w:bottom w:val="single" w:sz="4" w:space="0" w:color="000000"/>
              <w:right w:val="single" w:sz="4" w:space="0" w:color="000000"/>
            </w:tcBorders>
            <w:vAlign w:val="center"/>
          </w:tcPr>
          <w:p w14:paraId="4353AA7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0,6 </w:t>
            </w:r>
          </w:p>
        </w:tc>
        <w:tc>
          <w:tcPr>
            <w:tcW w:w="1399" w:type="dxa"/>
            <w:tcBorders>
              <w:top w:val="single" w:sz="4" w:space="0" w:color="000000"/>
              <w:left w:val="single" w:sz="4" w:space="0" w:color="000000"/>
              <w:bottom w:val="single" w:sz="4" w:space="0" w:color="000000"/>
              <w:right w:val="single" w:sz="4" w:space="0" w:color="000000"/>
            </w:tcBorders>
            <w:vAlign w:val="center"/>
          </w:tcPr>
          <w:p w14:paraId="7BC0680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0,7 </w:t>
            </w:r>
          </w:p>
        </w:tc>
        <w:tc>
          <w:tcPr>
            <w:tcW w:w="1493" w:type="dxa"/>
            <w:tcBorders>
              <w:top w:val="single" w:sz="4" w:space="0" w:color="000000"/>
              <w:left w:val="single" w:sz="4" w:space="0" w:color="000000"/>
              <w:bottom w:val="single" w:sz="4" w:space="0" w:color="000000"/>
              <w:right w:val="single" w:sz="4" w:space="0" w:color="000000"/>
            </w:tcBorders>
            <w:vAlign w:val="center"/>
          </w:tcPr>
          <w:p w14:paraId="1F63E6F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 </w:t>
            </w:r>
          </w:p>
        </w:tc>
      </w:tr>
      <w:tr w:rsidR="00AD1E0F" w:rsidRPr="00AD1E0F" w14:paraId="3CBF9062" w14:textId="77777777" w:rsidTr="00855929">
        <w:trPr>
          <w:trHeight w:val="208"/>
        </w:trPr>
        <w:tc>
          <w:tcPr>
            <w:tcW w:w="8956" w:type="dxa"/>
            <w:gridSpan w:val="5"/>
            <w:tcBorders>
              <w:top w:val="single" w:sz="4" w:space="0" w:color="000000"/>
              <w:left w:val="single" w:sz="4" w:space="0" w:color="000000"/>
              <w:bottom w:val="single" w:sz="4" w:space="0" w:color="000000"/>
              <w:right w:val="single" w:sz="4" w:space="0" w:color="000000"/>
            </w:tcBorders>
            <w:vAlign w:val="center"/>
          </w:tcPr>
          <w:p w14:paraId="51A4DD0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i/>
                <w:sz w:val="20"/>
              </w:rPr>
              <w:t xml:space="preserve">Dla dróg o kategorii ruchu od KR1 do KR2 - rodzaj emulsji: C60B3 ZM </w:t>
            </w:r>
          </w:p>
        </w:tc>
      </w:tr>
      <w:tr w:rsidR="00AD1E0F" w:rsidRPr="00AD1E0F" w14:paraId="3D673BE8" w14:textId="77777777" w:rsidTr="00855929">
        <w:trPr>
          <w:trHeight w:val="638"/>
        </w:trPr>
        <w:tc>
          <w:tcPr>
            <w:tcW w:w="1862" w:type="dxa"/>
            <w:vMerge w:val="restart"/>
            <w:tcBorders>
              <w:top w:val="single" w:sz="4" w:space="0" w:color="000000"/>
              <w:left w:val="single" w:sz="4" w:space="0" w:color="000000"/>
              <w:bottom w:val="single" w:sz="4" w:space="0" w:color="000000"/>
              <w:right w:val="single" w:sz="4" w:space="0" w:color="000000"/>
            </w:tcBorders>
            <w:vAlign w:val="center"/>
          </w:tcPr>
          <w:p w14:paraId="1C12E6B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Warstwa podbudowy </w:t>
            </w:r>
          </w:p>
          <w:p w14:paraId="1C295ED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asfaltowej lub stara </w:t>
            </w:r>
          </w:p>
          <w:p w14:paraId="7A27EA3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nawierzchnia </w:t>
            </w:r>
          </w:p>
          <w:p w14:paraId="685236B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asfaltowa </w:t>
            </w:r>
          </w:p>
        </w:tc>
        <w:tc>
          <w:tcPr>
            <w:tcW w:w="2948" w:type="dxa"/>
            <w:tcBorders>
              <w:top w:val="single" w:sz="4" w:space="0" w:color="000000"/>
              <w:left w:val="single" w:sz="4" w:space="0" w:color="000000"/>
              <w:bottom w:val="single" w:sz="4" w:space="0" w:color="000000"/>
              <w:right w:val="single" w:sz="4" w:space="0" w:color="000000"/>
            </w:tcBorders>
            <w:vAlign w:val="center"/>
          </w:tcPr>
          <w:p w14:paraId="3509335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nowo wykonana podbudowa lub stara nawierzchnia </w:t>
            </w:r>
          </w:p>
          <w:p w14:paraId="3D0360E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szczelna </w:t>
            </w:r>
          </w:p>
        </w:tc>
        <w:tc>
          <w:tcPr>
            <w:tcW w:w="1253" w:type="dxa"/>
            <w:tcBorders>
              <w:top w:val="single" w:sz="4" w:space="0" w:color="000000"/>
              <w:left w:val="single" w:sz="4" w:space="0" w:color="000000"/>
              <w:bottom w:val="single" w:sz="4" w:space="0" w:color="000000"/>
              <w:right w:val="single" w:sz="4" w:space="0" w:color="000000"/>
            </w:tcBorders>
            <w:vAlign w:val="center"/>
          </w:tcPr>
          <w:p w14:paraId="45AA598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0,2 ÷ 0,4 </w:t>
            </w:r>
          </w:p>
        </w:tc>
        <w:tc>
          <w:tcPr>
            <w:tcW w:w="1399" w:type="dxa"/>
            <w:tcBorders>
              <w:top w:val="single" w:sz="4" w:space="0" w:color="000000"/>
              <w:left w:val="single" w:sz="4" w:space="0" w:color="000000"/>
              <w:bottom w:val="single" w:sz="4" w:space="0" w:color="000000"/>
              <w:right w:val="single" w:sz="4" w:space="0" w:color="000000"/>
            </w:tcBorders>
            <w:vAlign w:val="center"/>
          </w:tcPr>
          <w:p w14:paraId="3338C24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0,5 </w:t>
            </w:r>
          </w:p>
        </w:tc>
        <w:tc>
          <w:tcPr>
            <w:tcW w:w="1493" w:type="dxa"/>
            <w:tcBorders>
              <w:top w:val="single" w:sz="4" w:space="0" w:color="000000"/>
              <w:left w:val="single" w:sz="4" w:space="0" w:color="000000"/>
              <w:bottom w:val="single" w:sz="4" w:space="0" w:color="000000"/>
              <w:right w:val="single" w:sz="4" w:space="0" w:color="000000"/>
            </w:tcBorders>
            <w:vAlign w:val="center"/>
          </w:tcPr>
          <w:p w14:paraId="2381961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0,2 ÷ 0,4 </w:t>
            </w:r>
          </w:p>
        </w:tc>
      </w:tr>
      <w:tr w:rsidR="00AD1E0F" w:rsidRPr="00AD1E0F" w14:paraId="4E916BB4" w14:textId="77777777" w:rsidTr="00855929">
        <w:trPr>
          <w:trHeight w:val="153"/>
        </w:trPr>
        <w:tc>
          <w:tcPr>
            <w:tcW w:w="0" w:type="auto"/>
            <w:vMerge/>
            <w:tcBorders>
              <w:top w:val="nil"/>
              <w:left w:val="single" w:sz="4" w:space="0" w:color="000000"/>
              <w:bottom w:val="nil"/>
              <w:right w:val="single" w:sz="4" w:space="0" w:color="000000"/>
            </w:tcBorders>
          </w:tcPr>
          <w:p w14:paraId="3C72076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948" w:type="dxa"/>
            <w:tcBorders>
              <w:top w:val="single" w:sz="4" w:space="0" w:color="000000"/>
              <w:left w:val="single" w:sz="4" w:space="0" w:color="000000"/>
              <w:bottom w:val="single" w:sz="4" w:space="0" w:color="000000"/>
              <w:right w:val="single" w:sz="4" w:space="0" w:color="000000"/>
            </w:tcBorders>
            <w:vAlign w:val="center"/>
          </w:tcPr>
          <w:p w14:paraId="7D93B9C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frezowana </w:t>
            </w:r>
          </w:p>
        </w:tc>
        <w:tc>
          <w:tcPr>
            <w:tcW w:w="1253" w:type="dxa"/>
            <w:tcBorders>
              <w:top w:val="single" w:sz="4" w:space="0" w:color="000000"/>
              <w:left w:val="single" w:sz="4" w:space="0" w:color="000000"/>
              <w:bottom w:val="single" w:sz="4" w:space="0" w:color="000000"/>
              <w:right w:val="single" w:sz="4" w:space="0" w:color="000000"/>
            </w:tcBorders>
            <w:vAlign w:val="center"/>
          </w:tcPr>
          <w:p w14:paraId="274A4D8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0,5 </w:t>
            </w:r>
          </w:p>
        </w:tc>
        <w:tc>
          <w:tcPr>
            <w:tcW w:w="1399" w:type="dxa"/>
            <w:tcBorders>
              <w:top w:val="single" w:sz="4" w:space="0" w:color="000000"/>
              <w:left w:val="single" w:sz="4" w:space="0" w:color="000000"/>
              <w:bottom w:val="single" w:sz="4" w:space="0" w:color="000000"/>
              <w:right w:val="single" w:sz="4" w:space="0" w:color="000000"/>
            </w:tcBorders>
            <w:vAlign w:val="center"/>
          </w:tcPr>
          <w:p w14:paraId="688CE5D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0,5 </w:t>
            </w:r>
          </w:p>
        </w:tc>
        <w:tc>
          <w:tcPr>
            <w:tcW w:w="1493" w:type="dxa"/>
            <w:tcBorders>
              <w:top w:val="single" w:sz="4" w:space="0" w:color="000000"/>
              <w:left w:val="single" w:sz="4" w:space="0" w:color="000000"/>
              <w:bottom w:val="single" w:sz="4" w:space="0" w:color="000000"/>
              <w:right w:val="single" w:sz="4" w:space="0" w:color="000000"/>
            </w:tcBorders>
            <w:vAlign w:val="center"/>
          </w:tcPr>
          <w:p w14:paraId="005B6DD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0,5 </w:t>
            </w:r>
          </w:p>
        </w:tc>
      </w:tr>
      <w:tr w:rsidR="00AD1E0F" w:rsidRPr="00AD1E0F" w14:paraId="0AE35E5E" w14:textId="77777777" w:rsidTr="00855929">
        <w:trPr>
          <w:trHeight w:val="157"/>
        </w:trPr>
        <w:tc>
          <w:tcPr>
            <w:tcW w:w="0" w:type="auto"/>
            <w:vMerge/>
            <w:tcBorders>
              <w:top w:val="nil"/>
              <w:left w:val="single" w:sz="4" w:space="0" w:color="000000"/>
              <w:bottom w:val="single" w:sz="4" w:space="0" w:color="000000"/>
              <w:right w:val="single" w:sz="4" w:space="0" w:color="000000"/>
            </w:tcBorders>
          </w:tcPr>
          <w:p w14:paraId="3BDDC4B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948" w:type="dxa"/>
            <w:tcBorders>
              <w:top w:val="single" w:sz="4" w:space="0" w:color="000000"/>
              <w:left w:val="single" w:sz="4" w:space="0" w:color="000000"/>
              <w:bottom w:val="single" w:sz="4" w:space="0" w:color="000000"/>
              <w:right w:val="single" w:sz="4" w:space="0" w:color="000000"/>
            </w:tcBorders>
            <w:vAlign w:val="center"/>
          </w:tcPr>
          <w:p w14:paraId="45D1618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porowata lub w złym stanie </w:t>
            </w:r>
          </w:p>
        </w:tc>
        <w:tc>
          <w:tcPr>
            <w:tcW w:w="1253" w:type="dxa"/>
            <w:tcBorders>
              <w:top w:val="single" w:sz="4" w:space="0" w:color="000000"/>
              <w:left w:val="single" w:sz="4" w:space="0" w:color="000000"/>
              <w:bottom w:val="single" w:sz="4" w:space="0" w:color="000000"/>
              <w:right w:val="single" w:sz="4" w:space="0" w:color="000000"/>
            </w:tcBorders>
            <w:vAlign w:val="center"/>
          </w:tcPr>
          <w:p w14:paraId="0C981E5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0,6 </w:t>
            </w:r>
          </w:p>
        </w:tc>
        <w:tc>
          <w:tcPr>
            <w:tcW w:w="1399" w:type="dxa"/>
            <w:tcBorders>
              <w:top w:val="single" w:sz="4" w:space="0" w:color="000000"/>
              <w:left w:val="single" w:sz="4" w:space="0" w:color="000000"/>
              <w:bottom w:val="single" w:sz="4" w:space="0" w:color="000000"/>
              <w:right w:val="single" w:sz="4" w:space="0" w:color="000000"/>
            </w:tcBorders>
            <w:vAlign w:val="center"/>
          </w:tcPr>
          <w:p w14:paraId="42D19BD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0,7 </w:t>
            </w:r>
          </w:p>
        </w:tc>
        <w:tc>
          <w:tcPr>
            <w:tcW w:w="1493" w:type="dxa"/>
            <w:tcBorders>
              <w:top w:val="single" w:sz="4" w:space="0" w:color="000000"/>
              <w:left w:val="single" w:sz="4" w:space="0" w:color="000000"/>
              <w:bottom w:val="single" w:sz="4" w:space="0" w:color="000000"/>
              <w:right w:val="single" w:sz="4" w:space="0" w:color="000000"/>
            </w:tcBorders>
            <w:vAlign w:val="center"/>
          </w:tcPr>
          <w:p w14:paraId="7E5480E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0,5 </w:t>
            </w:r>
          </w:p>
        </w:tc>
      </w:tr>
      <w:tr w:rsidR="00AD1E0F" w:rsidRPr="00AD1E0F" w14:paraId="659BCA17" w14:textId="77777777" w:rsidTr="00855929">
        <w:trPr>
          <w:trHeight w:val="288"/>
        </w:trPr>
        <w:tc>
          <w:tcPr>
            <w:tcW w:w="1862" w:type="dxa"/>
            <w:vMerge w:val="restart"/>
            <w:tcBorders>
              <w:top w:val="single" w:sz="4" w:space="0" w:color="000000"/>
              <w:left w:val="single" w:sz="4" w:space="0" w:color="000000"/>
              <w:bottom w:val="single" w:sz="4" w:space="0" w:color="000000"/>
              <w:right w:val="single" w:sz="4" w:space="0" w:color="000000"/>
            </w:tcBorders>
            <w:vAlign w:val="center"/>
          </w:tcPr>
          <w:p w14:paraId="4FA7F44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Warstwa wiążąca </w:t>
            </w:r>
          </w:p>
        </w:tc>
        <w:tc>
          <w:tcPr>
            <w:tcW w:w="2948" w:type="dxa"/>
            <w:tcBorders>
              <w:top w:val="single" w:sz="4" w:space="0" w:color="000000"/>
              <w:left w:val="single" w:sz="4" w:space="0" w:color="000000"/>
              <w:bottom w:val="single" w:sz="4" w:space="0" w:color="000000"/>
              <w:right w:val="single" w:sz="4" w:space="0" w:color="000000"/>
            </w:tcBorders>
            <w:vAlign w:val="center"/>
          </w:tcPr>
          <w:p w14:paraId="7952D6C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nowo wykonana </w:t>
            </w:r>
          </w:p>
        </w:tc>
        <w:tc>
          <w:tcPr>
            <w:tcW w:w="1253" w:type="dxa"/>
            <w:tcBorders>
              <w:top w:val="single" w:sz="4" w:space="0" w:color="000000"/>
              <w:left w:val="single" w:sz="4" w:space="0" w:color="000000"/>
              <w:bottom w:val="single" w:sz="4" w:space="0" w:color="000000"/>
              <w:right w:val="single" w:sz="4" w:space="0" w:color="000000"/>
            </w:tcBorders>
            <w:vAlign w:val="center"/>
          </w:tcPr>
          <w:p w14:paraId="7A0676B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 </w:t>
            </w:r>
          </w:p>
        </w:tc>
        <w:tc>
          <w:tcPr>
            <w:tcW w:w="1399" w:type="dxa"/>
            <w:tcBorders>
              <w:top w:val="single" w:sz="4" w:space="0" w:color="000000"/>
              <w:left w:val="single" w:sz="4" w:space="0" w:color="000000"/>
              <w:bottom w:val="single" w:sz="4" w:space="0" w:color="000000"/>
              <w:right w:val="single" w:sz="4" w:space="0" w:color="000000"/>
            </w:tcBorders>
            <w:vAlign w:val="center"/>
          </w:tcPr>
          <w:p w14:paraId="6505565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X </w:t>
            </w:r>
          </w:p>
        </w:tc>
        <w:tc>
          <w:tcPr>
            <w:tcW w:w="1493" w:type="dxa"/>
            <w:tcBorders>
              <w:top w:val="single" w:sz="4" w:space="0" w:color="000000"/>
              <w:left w:val="single" w:sz="4" w:space="0" w:color="000000"/>
              <w:bottom w:val="single" w:sz="4" w:space="0" w:color="000000"/>
              <w:right w:val="single" w:sz="4" w:space="0" w:color="000000"/>
            </w:tcBorders>
            <w:vAlign w:val="center"/>
          </w:tcPr>
          <w:p w14:paraId="18CF592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0,2 ÷ 0,4 </w:t>
            </w:r>
          </w:p>
        </w:tc>
      </w:tr>
      <w:tr w:rsidR="00AD1E0F" w:rsidRPr="00AD1E0F" w14:paraId="38E519DE" w14:textId="77777777" w:rsidTr="00855929">
        <w:trPr>
          <w:trHeight w:val="81"/>
        </w:trPr>
        <w:tc>
          <w:tcPr>
            <w:tcW w:w="0" w:type="auto"/>
            <w:vMerge/>
            <w:tcBorders>
              <w:top w:val="nil"/>
              <w:left w:val="single" w:sz="4" w:space="0" w:color="000000"/>
              <w:bottom w:val="nil"/>
              <w:right w:val="single" w:sz="4" w:space="0" w:color="000000"/>
            </w:tcBorders>
          </w:tcPr>
          <w:p w14:paraId="24A4B28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948" w:type="dxa"/>
            <w:tcBorders>
              <w:top w:val="single" w:sz="4" w:space="0" w:color="000000"/>
              <w:left w:val="single" w:sz="4" w:space="0" w:color="000000"/>
              <w:bottom w:val="single" w:sz="4" w:space="0" w:color="000000"/>
              <w:right w:val="single" w:sz="4" w:space="0" w:color="000000"/>
            </w:tcBorders>
            <w:vAlign w:val="center"/>
          </w:tcPr>
          <w:p w14:paraId="5D623E5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frezowana </w:t>
            </w:r>
          </w:p>
        </w:tc>
        <w:tc>
          <w:tcPr>
            <w:tcW w:w="1253" w:type="dxa"/>
            <w:tcBorders>
              <w:top w:val="single" w:sz="4" w:space="0" w:color="000000"/>
              <w:left w:val="single" w:sz="4" w:space="0" w:color="000000"/>
              <w:bottom w:val="single" w:sz="4" w:space="0" w:color="000000"/>
              <w:right w:val="single" w:sz="4" w:space="0" w:color="000000"/>
            </w:tcBorders>
            <w:vAlign w:val="center"/>
          </w:tcPr>
          <w:p w14:paraId="1CFE39C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 </w:t>
            </w:r>
          </w:p>
        </w:tc>
        <w:tc>
          <w:tcPr>
            <w:tcW w:w="1399" w:type="dxa"/>
            <w:tcBorders>
              <w:top w:val="single" w:sz="4" w:space="0" w:color="000000"/>
              <w:left w:val="single" w:sz="4" w:space="0" w:color="000000"/>
              <w:bottom w:val="single" w:sz="4" w:space="0" w:color="000000"/>
              <w:right w:val="single" w:sz="4" w:space="0" w:color="000000"/>
            </w:tcBorders>
            <w:vAlign w:val="center"/>
          </w:tcPr>
          <w:p w14:paraId="5FFBDE5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0,5 </w:t>
            </w:r>
          </w:p>
        </w:tc>
        <w:tc>
          <w:tcPr>
            <w:tcW w:w="1493" w:type="dxa"/>
            <w:tcBorders>
              <w:top w:val="single" w:sz="4" w:space="0" w:color="000000"/>
              <w:left w:val="single" w:sz="4" w:space="0" w:color="000000"/>
              <w:bottom w:val="single" w:sz="4" w:space="0" w:color="000000"/>
              <w:right w:val="single" w:sz="4" w:space="0" w:color="000000"/>
            </w:tcBorders>
            <w:vAlign w:val="center"/>
          </w:tcPr>
          <w:p w14:paraId="5C8D6EE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0,5 </w:t>
            </w:r>
          </w:p>
        </w:tc>
      </w:tr>
      <w:tr w:rsidR="00AD1E0F" w:rsidRPr="00AD1E0F" w14:paraId="4E4982FA" w14:textId="77777777" w:rsidTr="00855929">
        <w:trPr>
          <w:trHeight w:val="226"/>
        </w:trPr>
        <w:tc>
          <w:tcPr>
            <w:tcW w:w="0" w:type="auto"/>
            <w:vMerge/>
            <w:tcBorders>
              <w:top w:val="nil"/>
              <w:left w:val="single" w:sz="4" w:space="0" w:color="000000"/>
              <w:bottom w:val="single" w:sz="4" w:space="0" w:color="000000"/>
              <w:right w:val="single" w:sz="4" w:space="0" w:color="000000"/>
            </w:tcBorders>
          </w:tcPr>
          <w:p w14:paraId="481E341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948" w:type="dxa"/>
            <w:tcBorders>
              <w:top w:val="single" w:sz="4" w:space="0" w:color="000000"/>
              <w:left w:val="single" w:sz="4" w:space="0" w:color="000000"/>
              <w:bottom w:val="single" w:sz="4" w:space="0" w:color="000000"/>
              <w:right w:val="single" w:sz="4" w:space="0" w:color="000000"/>
            </w:tcBorders>
            <w:vAlign w:val="center"/>
          </w:tcPr>
          <w:p w14:paraId="49C1130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porowata lub w złym stanie </w:t>
            </w:r>
          </w:p>
        </w:tc>
        <w:tc>
          <w:tcPr>
            <w:tcW w:w="1253" w:type="dxa"/>
            <w:tcBorders>
              <w:top w:val="single" w:sz="4" w:space="0" w:color="000000"/>
              <w:left w:val="single" w:sz="4" w:space="0" w:color="000000"/>
              <w:bottom w:val="single" w:sz="4" w:space="0" w:color="000000"/>
              <w:right w:val="single" w:sz="4" w:space="0" w:color="000000"/>
            </w:tcBorders>
            <w:vAlign w:val="center"/>
          </w:tcPr>
          <w:p w14:paraId="0F04922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 </w:t>
            </w:r>
          </w:p>
        </w:tc>
        <w:tc>
          <w:tcPr>
            <w:tcW w:w="1399" w:type="dxa"/>
            <w:tcBorders>
              <w:top w:val="single" w:sz="4" w:space="0" w:color="000000"/>
              <w:left w:val="single" w:sz="4" w:space="0" w:color="000000"/>
              <w:bottom w:val="single" w:sz="4" w:space="0" w:color="000000"/>
              <w:right w:val="single" w:sz="4" w:space="0" w:color="000000"/>
            </w:tcBorders>
            <w:vAlign w:val="center"/>
          </w:tcPr>
          <w:p w14:paraId="3D6766A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0,6 </w:t>
            </w:r>
          </w:p>
        </w:tc>
        <w:tc>
          <w:tcPr>
            <w:tcW w:w="1493" w:type="dxa"/>
            <w:tcBorders>
              <w:top w:val="single" w:sz="4" w:space="0" w:color="000000"/>
              <w:left w:val="single" w:sz="4" w:space="0" w:color="000000"/>
              <w:bottom w:val="single" w:sz="4" w:space="0" w:color="000000"/>
              <w:right w:val="single" w:sz="4" w:space="0" w:color="000000"/>
            </w:tcBorders>
            <w:vAlign w:val="center"/>
          </w:tcPr>
          <w:p w14:paraId="42DA5DB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0,5 </w:t>
            </w:r>
          </w:p>
        </w:tc>
      </w:tr>
      <w:tr w:rsidR="00AD1E0F" w:rsidRPr="00AD1E0F" w14:paraId="484945F4" w14:textId="77777777" w:rsidTr="00855929">
        <w:trPr>
          <w:trHeight w:val="1800"/>
        </w:trPr>
        <w:tc>
          <w:tcPr>
            <w:tcW w:w="8956" w:type="dxa"/>
            <w:gridSpan w:val="5"/>
            <w:tcBorders>
              <w:top w:val="single" w:sz="4" w:space="0" w:color="000000"/>
              <w:left w:val="single" w:sz="4" w:space="0" w:color="000000"/>
              <w:bottom w:val="single" w:sz="4" w:space="0" w:color="000000"/>
              <w:right w:val="single" w:sz="4" w:space="0" w:color="000000"/>
            </w:tcBorders>
          </w:tcPr>
          <w:p w14:paraId="7532A0A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 do złączenia dwóch warstw asfaltowych, gdy obydwie te warstwy wykonane są z zastosowaniem asfaltów niemodyfikowanych dopuszcza się zastosowanie emulsji C60B3 ZM </w:t>
            </w:r>
          </w:p>
          <w:p w14:paraId="324B610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Uwaga: w celu określenia ilości pozostałego lepiszcza asfaltowego, należy ilość emulsji asfaltowej podaną w tabeli pomnożyć przez 0,6. </w:t>
            </w:r>
          </w:p>
          <w:p w14:paraId="10D6CC6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Objaśnienia: </w:t>
            </w:r>
          </w:p>
          <w:p w14:paraId="1B6D148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 „ x ” - nie dotyczy </w:t>
            </w:r>
          </w:p>
          <w:p w14:paraId="42B8D82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 - ”  - rozwiązanie nie występuje </w:t>
            </w:r>
          </w:p>
        </w:tc>
      </w:tr>
    </w:tbl>
    <w:p w14:paraId="3E0D902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Pod warstwę ścieralną wykonywaną z mieszanki typu: </w:t>
      </w:r>
    </w:p>
    <w:p w14:paraId="29604BAA"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BBTM należy stosować ilość skropienia odpowiadającą górnej granicy wg tabeli 2 jak dla mieszanki typu SMA, AC, </w:t>
      </w:r>
    </w:p>
    <w:p w14:paraId="6E437945"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PA  należy wykonać specjalne skropienie w sposób opisany w punkcie 7.2. WT2 2016 część II, </w:t>
      </w:r>
    </w:p>
    <w:p w14:paraId="2D9034F8"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SMA LA należy wykonać specjalne skropienie kationową emulsją modyfikowaną 60 % szybkorozpadową w ilości 0,4-0,5 kg/m</w:t>
      </w:r>
      <w:r w:rsidRPr="00AD1E0F">
        <w:rPr>
          <w:rFonts w:ascii="Arial Narrow" w:eastAsia="Times New Roman" w:hAnsi="Arial Narrow" w:cs="Times New Roman"/>
          <w:sz w:val="20"/>
          <w:szCs w:val="20"/>
          <w:vertAlign w:val="superscript"/>
          <w:lang w:val="x-none" w:eastAsia="x-none"/>
        </w:rPr>
        <w:t>2</w:t>
      </w:r>
      <w:r w:rsidRPr="00AD1E0F">
        <w:rPr>
          <w:rFonts w:ascii="Arial Narrow" w:eastAsia="Times New Roman" w:hAnsi="Arial Narrow" w:cs="Times New Roman"/>
          <w:sz w:val="20"/>
          <w:szCs w:val="20"/>
          <w:lang w:val="x-none" w:eastAsia="x-none"/>
        </w:rPr>
        <w:t xml:space="preserve"> w przypadku zawartości wolnych przestrzeni w niżej leżącej warstwie 5- 7 %. Niższe lub wyższe od wymienionego przedziału zawartości wolnych przestrzeni wymagają zadozowania zmniejszonej lub zwiększonej ilości emulsji. </w:t>
      </w:r>
    </w:p>
    <w:p w14:paraId="104CCCF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Optymalną ilość emulsji asfaltowej do skropienia należy ustalić na odcinku próbnym układania mieszanki mineralno-asfaltowej. Ocenę należy dokonać na podstawie wytrzymałości na ścinanie według kryterium podanego w WT-2 2016 – część II  i stosownych STWiORB. W uzasadnionych przypadkach (brak sczepności), zakresy dozowania podane w tabeli 2 mogą zostać rozszerzone. </w:t>
      </w:r>
    </w:p>
    <w:p w14:paraId="6D5FBC0D"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5.2.7 Skropienie warstwy z mieszanki niezwiązanej lub związanej hydraulicznie </w:t>
      </w:r>
    </w:p>
    <w:p w14:paraId="0CBE31E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przypadku skrapiania warstwy z mieszanki niezwiązanej lub związanej hydraulicznie po okresie długotrwałych opadów deszczu, Inspektor Nadzoru dopuszcza powierzchnię, która ma być skrapiana i charakteryzuje się odpowiednią wilgotnością (patrz pkt 5.2.2.). Jeśli poziom zawilgocenia warstwy jest zbyt duży, należy wstrzymać się ze skrapianiem do momentu przesuszenia powierzchni warstwy. </w:t>
      </w:r>
    </w:p>
    <w:p w14:paraId="778CB25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Skropienie lepiszczem powinno być wykonane w ilości podanej w tabeli 3.  </w:t>
      </w:r>
    </w:p>
    <w:p w14:paraId="6BA2D4D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Tabela 3. Zalecane ilości emulsji asfaltowej do skropienia podłoża z mieszanki niezwiązanej i związanej hydraulicznie [kg/m²] (uwaga - przyjęto dla emulsji kationowej o zawartości asfaltu równej 60% wg PN-EN 13808:2013 Załącznik Krajowy NA, rodzaj C60B10 ZM/R)</w:t>
      </w:r>
      <w:r w:rsidRPr="00AD1E0F">
        <w:rPr>
          <w:rFonts w:ascii="Arial Narrow" w:eastAsia="Times New Roman" w:hAnsi="Arial Narrow" w:cs="Times New Roman"/>
          <w:b/>
          <w:sz w:val="20"/>
          <w:szCs w:val="20"/>
          <w:lang w:eastAsia="pl-PL"/>
        </w:rPr>
        <w:t xml:space="preserve"> </w:t>
      </w:r>
    </w:p>
    <w:tbl>
      <w:tblPr>
        <w:tblW w:w="6947" w:type="dxa"/>
        <w:tblInd w:w="1075" w:type="dxa"/>
        <w:tblCellMar>
          <w:right w:w="142" w:type="dxa"/>
        </w:tblCellMar>
        <w:tblLook w:val="04A0" w:firstRow="1" w:lastRow="0" w:firstColumn="1" w:lastColumn="0" w:noHBand="0" w:noVBand="1"/>
      </w:tblPr>
      <w:tblGrid>
        <w:gridCol w:w="2962"/>
        <w:gridCol w:w="1716"/>
        <w:gridCol w:w="2269"/>
      </w:tblGrid>
      <w:tr w:rsidR="00AD1E0F" w:rsidRPr="00AD1E0F" w14:paraId="22EA7FF0" w14:textId="77777777" w:rsidTr="00855929">
        <w:trPr>
          <w:trHeight w:val="301"/>
        </w:trPr>
        <w:tc>
          <w:tcPr>
            <w:tcW w:w="2962" w:type="dxa"/>
            <w:vMerge w:val="restart"/>
            <w:tcBorders>
              <w:top w:val="single" w:sz="4" w:space="0" w:color="000000"/>
              <w:left w:val="single" w:sz="4" w:space="0" w:color="000000"/>
              <w:bottom w:val="single" w:sz="4" w:space="0" w:color="000000"/>
              <w:right w:val="single" w:sz="4" w:space="0" w:color="000000"/>
            </w:tcBorders>
            <w:vAlign w:val="center"/>
          </w:tcPr>
          <w:p w14:paraId="60CC84D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Rodzaj podłoża </w:t>
            </w:r>
          </w:p>
        </w:tc>
        <w:tc>
          <w:tcPr>
            <w:tcW w:w="3985" w:type="dxa"/>
            <w:gridSpan w:val="2"/>
            <w:tcBorders>
              <w:top w:val="single" w:sz="4" w:space="0" w:color="000000"/>
              <w:left w:val="single" w:sz="4" w:space="0" w:color="000000"/>
              <w:bottom w:val="single" w:sz="4" w:space="0" w:color="000000"/>
              <w:right w:val="single" w:sz="4" w:space="0" w:color="000000"/>
            </w:tcBorders>
            <w:vAlign w:val="center"/>
          </w:tcPr>
          <w:p w14:paraId="2110F74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Emulsja asfaltowa </w:t>
            </w:r>
          </w:p>
        </w:tc>
      </w:tr>
      <w:tr w:rsidR="00AD1E0F" w:rsidRPr="00AD1E0F" w14:paraId="08ACF463" w14:textId="77777777" w:rsidTr="00855929">
        <w:trPr>
          <w:trHeight w:val="182"/>
        </w:trPr>
        <w:tc>
          <w:tcPr>
            <w:tcW w:w="0" w:type="auto"/>
            <w:vMerge/>
            <w:tcBorders>
              <w:top w:val="nil"/>
              <w:left w:val="single" w:sz="4" w:space="0" w:color="000000"/>
              <w:bottom w:val="single" w:sz="4" w:space="0" w:color="000000"/>
              <w:right w:val="single" w:sz="4" w:space="0" w:color="000000"/>
            </w:tcBorders>
          </w:tcPr>
          <w:p w14:paraId="193ACF5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1716" w:type="dxa"/>
            <w:tcBorders>
              <w:top w:val="single" w:sz="4" w:space="0" w:color="000000"/>
              <w:left w:val="single" w:sz="4" w:space="0" w:color="000000"/>
              <w:bottom w:val="single" w:sz="4" w:space="0" w:color="000000"/>
              <w:right w:val="single" w:sz="4" w:space="0" w:color="000000"/>
            </w:tcBorders>
            <w:vAlign w:val="center"/>
          </w:tcPr>
          <w:p w14:paraId="0030019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Ilość </w:t>
            </w:r>
          </w:p>
        </w:tc>
        <w:tc>
          <w:tcPr>
            <w:tcW w:w="2269" w:type="dxa"/>
            <w:tcBorders>
              <w:top w:val="single" w:sz="4" w:space="0" w:color="000000"/>
              <w:left w:val="single" w:sz="4" w:space="0" w:color="000000"/>
              <w:bottom w:val="single" w:sz="4" w:space="0" w:color="000000"/>
              <w:right w:val="single" w:sz="4" w:space="0" w:color="000000"/>
            </w:tcBorders>
            <w:vAlign w:val="center"/>
          </w:tcPr>
          <w:p w14:paraId="4CB9A2F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rodzaj </w:t>
            </w:r>
          </w:p>
        </w:tc>
      </w:tr>
      <w:tr w:rsidR="00AD1E0F" w:rsidRPr="00AD1E0F" w14:paraId="0CCF8598" w14:textId="77777777" w:rsidTr="00855929">
        <w:trPr>
          <w:trHeight w:val="309"/>
        </w:trPr>
        <w:tc>
          <w:tcPr>
            <w:tcW w:w="2962" w:type="dxa"/>
            <w:tcBorders>
              <w:top w:val="single" w:sz="4" w:space="0" w:color="000000"/>
              <w:left w:val="single" w:sz="4" w:space="0" w:color="000000"/>
              <w:bottom w:val="single" w:sz="4" w:space="0" w:color="000000"/>
              <w:right w:val="single" w:sz="4" w:space="0" w:color="000000"/>
            </w:tcBorders>
            <w:vAlign w:val="center"/>
          </w:tcPr>
          <w:p w14:paraId="6E282CF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lastRenderedPageBreak/>
              <w:t xml:space="preserve">Warstwa podbudowy z mieszanki niezwiązanej </w:t>
            </w:r>
          </w:p>
        </w:tc>
        <w:tc>
          <w:tcPr>
            <w:tcW w:w="1716" w:type="dxa"/>
            <w:tcBorders>
              <w:top w:val="single" w:sz="4" w:space="0" w:color="000000"/>
              <w:left w:val="single" w:sz="4" w:space="0" w:color="000000"/>
              <w:bottom w:val="single" w:sz="4" w:space="0" w:color="000000"/>
              <w:right w:val="single" w:sz="4" w:space="0" w:color="000000"/>
            </w:tcBorders>
            <w:vAlign w:val="center"/>
          </w:tcPr>
          <w:p w14:paraId="1652DA8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0,5 ÷ 0,7 </w:t>
            </w:r>
          </w:p>
        </w:tc>
        <w:tc>
          <w:tcPr>
            <w:tcW w:w="2269" w:type="dxa"/>
            <w:tcBorders>
              <w:top w:val="single" w:sz="4" w:space="0" w:color="000000"/>
              <w:left w:val="single" w:sz="4" w:space="0" w:color="000000"/>
              <w:bottom w:val="single" w:sz="4" w:space="0" w:color="000000"/>
              <w:right w:val="single" w:sz="4" w:space="0" w:color="000000"/>
            </w:tcBorders>
            <w:vAlign w:val="center"/>
          </w:tcPr>
          <w:p w14:paraId="03952C4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C60B10 ZM/R </w:t>
            </w:r>
          </w:p>
        </w:tc>
      </w:tr>
      <w:tr w:rsidR="00AD1E0F" w:rsidRPr="00AD1E0F" w14:paraId="5863B923" w14:textId="77777777" w:rsidTr="00855929">
        <w:trPr>
          <w:trHeight w:val="529"/>
        </w:trPr>
        <w:tc>
          <w:tcPr>
            <w:tcW w:w="2962" w:type="dxa"/>
            <w:tcBorders>
              <w:top w:val="single" w:sz="4" w:space="0" w:color="000000"/>
              <w:left w:val="single" w:sz="4" w:space="0" w:color="000000"/>
              <w:bottom w:val="single" w:sz="4" w:space="0" w:color="000000"/>
              <w:right w:val="single" w:sz="4" w:space="0" w:color="000000"/>
            </w:tcBorders>
            <w:vAlign w:val="center"/>
          </w:tcPr>
          <w:p w14:paraId="1044D2B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Warstwa podbudowy z mieszanki związanej spoiwem hydraulicznym </w:t>
            </w:r>
          </w:p>
        </w:tc>
        <w:tc>
          <w:tcPr>
            <w:tcW w:w="1716" w:type="dxa"/>
            <w:tcBorders>
              <w:top w:val="single" w:sz="4" w:space="0" w:color="000000"/>
              <w:left w:val="single" w:sz="4" w:space="0" w:color="000000"/>
              <w:bottom w:val="single" w:sz="4" w:space="0" w:color="000000"/>
              <w:right w:val="single" w:sz="4" w:space="0" w:color="000000"/>
            </w:tcBorders>
            <w:vAlign w:val="center"/>
          </w:tcPr>
          <w:p w14:paraId="3B55712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 0,7 </w:t>
            </w:r>
          </w:p>
        </w:tc>
        <w:tc>
          <w:tcPr>
            <w:tcW w:w="2269" w:type="dxa"/>
            <w:tcBorders>
              <w:top w:val="single" w:sz="4" w:space="0" w:color="000000"/>
              <w:left w:val="single" w:sz="4" w:space="0" w:color="000000"/>
              <w:bottom w:val="single" w:sz="4" w:space="0" w:color="000000"/>
              <w:right w:val="single" w:sz="4" w:space="0" w:color="000000"/>
            </w:tcBorders>
            <w:vAlign w:val="center"/>
          </w:tcPr>
          <w:p w14:paraId="57E3C75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C60B10 ZM/R  zalecane pH ≥ 3,5 </w:t>
            </w:r>
          </w:p>
        </w:tc>
      </w:tr>
    </w:tbl>
    <w:p w14:paraId="04C24DB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 </w:t>
      </w:r>
    </w:p>
    <w:p w14:paraId="2D2BD200"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604" w:name="_Toc16738"/>
      <w:r w:rsidRPr="00AD1E0F">
        <w:rPr>
          <w:rFonts w:ascii="Arial Narrow" w:eastAsia="Times New Roman" w:hAnsi="Arial Narrow" w:cs="Times New Roman"/>
          <w:b/>
          <w:sz w:val="24"/>
          <w:szCs w:val="20"/>
          <w:lang w:val="x-none" w:eastAsia="x-none"/>
        </w:rPr>
        <w:t xml:space="preserve">5.2.8 Ochrona wykonanego skropienia </w:t>
      </w:r>
      <w:bookmarkEnd w:id="604"/>
    </w:p>
    <w:p w14:paraId="05241B2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Wykonanie warstwy ochronnej emulsji przez dodatkowe skropienie z użyciem mleczka wapiennego należy stosować dla dróg o kategorii ruchu KR 4÷7. Skropienie mleczkiem wapiennym wykonuje się dopiero wtedy, gdy nastąpi rozpad emulsji i odparuje woda. </w:t>
      </w:r>
    </w:p>
    <w:p w14:paraId="55324FC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Stężenie roztworu roboczego mleczka wapiennego należy przygotować tak, by w 100 g próbki zawartość wodorotlenku wapnia wyrażona w gramach, a otrzymana przez wysuszenie próbki w suszarce w temp. 110±5°C do stałej masy (jednak nie dłużej niż 5 godz.) była: </w:t>
      </w:r>
    </w:p>
    <w:p w14:paraId="062B705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w:eastAsia="Times New Roman" w:hAnsi="Arial" w:cs="Arial"/>
          <w:sz w:val="20"/>
          <w:szCs w:val="20"/>
          <w:lang w:eastAsia="pl-PL"/>
        </w:rPr>
        <w:t>‒</w:t>
      </w:r>
      <w:r w:rsidRPr="00AD1E0F">
        <w:rPr>
          <w:rFonts w:ascii="Arial Narrow" w:eastAsia="Times New Roman" w:hAnsi="Arial Narrow" w:cs="Times New Roman"/>
          <w:sz w:val="20"/>
          <w:szCs w:val="20"/>
          <w:lang w:eastAsia="pl-PL"/>
        </w:rPr>
        <w:t xml:space="preserve"> nie mniejsza niż 16,0% i nie większa niż 28,0% - do skropienia podbudowy z mieszanki niezwiązanej lub związanej hydraulicznie, </w:t>
      </w:r>
    </w:p>
    <w:p w14:paraId="4B828F4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w:eastAsia="Times New Roman" w:hAnsi="Arial" w:cs="Arial"/>
          <w:sz w:val="20"/>
          <w:szCs w:val="20"/>
          <w:lang w:eastAsia="pl-PL"/>
        </w:rPr>
        <w:t>‒</w:t>
      </w:r>
      <w:r w:rsidRPr="00AD1E0F">
        <w:rPr>
          <w:rFonts w:ascii="Arial Narrow" w:eastAsia="Times New Roman" w:hAnsi="Arial Narrow" w:cs="Times New Roman"/>
          <w:sz w:val="20"/>
          <w:szCs w:val="20"/>
          <w:lang w:eastAsia="pl-PL"/>
        </w:rPr>
        <w:t xml:space="preserve"> nie mniejsza niż 9,0 % i nie większa niż 16,0% - do skropienia warstw mineralnoasfaltowych. </w:t>
      </w:r>
    </w:p>
    <w:p w14:paraId="6ABF7B6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Dozowana na nawierzchnię dawka roztworu mleczka wapiennego powinna zawierać się w przedziale 250 g/m</w:t>
      </w:r>
      <w:r w:rsidRPr="00AD1E0F">
        <w:rPr>
          <w:rFonts w:ascii="Arial Narrow" w:eastAsia="Times New Roman" w:hAnsi="Arial Narrow" w:cs="Times New Roman"/>
          <w:sz w:val="20"/>
          <w:szCs w:val="20"/>
          <w:vertAlign w:val="superscript"/>
          <w:lang w:eastAsia="pl-PL"/>
        </w:rPr>
        <w:t>2</w:t>
      </w:r>
      <w:r w:rsidRPr="00AD1E0F">
        <w:rPr>
          <w:rFonts w:ascii="Arial Narrow" w:eastAsia="Times New Roman" w:hAnsi="Arial Narrow" w:cs="Times New Roman"/>
          <w:sz w:val="20"/>
          <w:szCs w:val="20"/>
          <w:lang w:eastAsia="pl-PL"/>
        </w:rPr>
        <w:t xml:space="preserve"> ± 20 g.  </w:t>
      </w:r>
    </w:p>
    <w:p w14:paraId="4EEEB5E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Dalsze prace budowlane na zabezpieczonej nawierzchni można prowadzić po odparowaniu wody z zaaplikowanego roztworu mleczka wapiennego - ocena wizualna (powstanie suchego filmu wodorotlenku wapnia na powierzchni). </w:t>
      </w:r>
    </w:p>
    <w:p w14:paraId="36C5265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Ze względu na osiadanie wodorotlenku wapnia na dnie zbiornika skrapiarki lub opryskiwacza,  urządzenia te powinny być wyposażone w system obiegu zamkniętego lub mieszadło obrotowe. Jeśli producent mieszaniny gwarantuje jej jednorodność w określonym czasie, mieszadło nie jest wymagane. Mleczko wapienne należy przechowywać w odpowiednich zbiornikach homogenizacyjnych z zastosowaniem mechanizmów zabezpieczających. Produkt nie może być przechowywany ani transportowany w pojemnikach aluminiowych oraz przechowywany w temperaturach poniżej 5°C. </w:t>
      </w:r>
    </w:p>
    <w:p w14:paraId="445C1BF6"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AD1E0F">
        <w:rPr>
          <w:rFonts w:ascii="Arial Narrow" w:eastAsia="Times New Roman" w:hAnsi="Arial Narrow" w:cs="Times New Roman"/>
          <w:b/>
          <w:caps/>
          <w:kern w:val="28"/>
          <w:sz w:val="28"/>
          <w:szCs w:val="20"/>
          <w:lang w:val="x-none" w:eastAsia="x-none"/>
        </w:rPr>
        <w:t xml:space="preserve">6. </w:t>
      </w:r>
      <w:bookmarkStart w:id="605" w:name="_Toc16739"/>
      <w:r w:rsidRPr="00AD1E0F">
        <w:rPr>
          <w:rFonts w:ascii="Arial Narrow" w:eastAsia="Times New Roman" w:hAnsi="Arial Narrow" w:cs="Times New Roman"/>
          <w:b/>
          <w:caps/>
          <w:kern w:val="28"/>
          <w:sz w:val="28"/>
          <w:szCs w:val="20"/>
          <w:lang w:val="x-none" w:eastAsia="x-none"/>
        </w:rPr>
        <w:t xml:space="preserve">KONTROLA JAKOŚCI ROBÓT </w:t>
      </w:r>
      <w:bookmarkEnd w:id="605"/>
    </w:p>
    <w:p w14:paraId="1CA9961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Ogólne zasady kontroli jakości robót podano w D-M-00.00.00 „Wymagania ogólne”  </w:t>
      </w:r>
    </w:p>
    <w:p w14:paraId="30EFD583"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06" w:name="_Toc16740"/>
      <w:r w:rsidRPr="00AD1E0F">
        <w:rPr>
          <w:rFonts w:ascii="Arial Narrow" w:eastAsia="Times New Roman" w:hAnsi="Arial Narrow" w:cs="Times New Roman"/>
          <w:b/>
          <w:sz w:val="28"/>
          <w:szCs w:val="20"/>
          <w:lang w:val="x-none" w:eastAsia="x-none"/>
        </w:rPr>
        <w:t xml:space="preserve">6.1 Badania i pomiary przed przystąpieniem do robót </w:t>
      </w:r>
      <w:bookmarkEnd w:id="606"/>
    </w:p>
    <w:p w14:paraId="7BDEBE4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Przed przystąpieniem do robót Wykonawca powinien: </w:t>
      </w:r>
    </w:p>
    <w:p w14:paraId="2B37ADA0"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uzyskać wymagane dokumenty, dopuszczające wyroby budowlane do obrotu  i powszechnego stosowania (np. informacje o wyrobie budowlanym, stwierdzenie  o oznakowaniu materiału znakiem CE lub znakiem budowlanym B, certyfikat zgodności, deklarację właściwości użytkowych, ocenę techniczną, ew. badania materiałów wykonane przez dostawców itp.), </w:t>
      </w:r>
    </w:p>
    <w:p w14:paraId="120C8D33"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ew. wykonać własne badania właściwości materiałów przeznaczonych do wykonania robót, określone przez Inżyniera. </w:t>
      </w:r>
    </w:p>
    <w:p w14:paraId="0691883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Wszystkie dokumenty oraz wyniki badań Wykonawca przedstawia </w:t>
      </w:r>
    </w:p>
    <w:p w14:paraId="1824542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Inżynierowi/Inspektorowi Nadzoru do akceptacji. </w:t>
      </w:r>
    </w:p>
    <w:p w14:paraId="44BDBE74"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07" w:name="_Toc16741"/>
      <w:r w:rsidRPr="00AD1E0F">
        <w:rPr>
          <w:rFonts w:ascii="Arial Narrow" w:eastAsia="Times New Roman" w:hAnsi="Arial Narrow" w:cs="Times New Roman"/>
          <w:b/>
          <w:sz w:val="28"/>
          <w:szCs w:val="20"/>
          <w:lang w:val="x-none" w:eastAsia="x-none"/>
        </w:rPr>
        <w:t xml:space="preserve">6.2. Badania w czasie robót </w:t>
      </w:r>
      <w:bookmarkEnd w:id="607"/>
    </w:p>
    <w:p w14:paraId="3E4030E5"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6.2.1 Badania emulsji </w:t>
      </w:r>
    </w:p>
    <w:p w14:paraId="3FA0A95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Ocena emulsji powinna być dokonana na podstawie dokumentów dostarczonych przez producenta lepiszcza określonych w pkt. 6.1.  </w:t>
      </w:r>
    </w:p>
    <w:p w14:paraId="118D5AE1"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 xml:space="preserve">6.2.2 Sprawdzenie jednorodności skropienia i zużycia emulsji (pozostałego asfaltu) </w:t>
      </w:r>
    </w:p>
    <w:p w14:paraId="76E42F4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Należy przeprowadzić kontrolę ilości rozkładanego lepiszcza według normy  PN-EN 12272-1. Dopuszcza się tolerancję ±10 % w stosunku do ilości założonej. </w:t>
      </w:r>
    </w:p>
    <w:p w14:paraId="2AF6597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t>
      </w:r>
    </w:p>
    <w:p w14:paraId="47D3C7C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Miejsce pobrania próbek powinno znajdować się co najmniej 30m od miejsca, w którym rozpoczęto skropienie. </w:t>
      </w:r>
    </w:p>
    <w:p w14:paraId="22A4266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Oznaczanie dokładności dozowania emulsji zgodnie z normą PN-EN 12272-1 pkt. 6. </w:t>
      </w:r>
    </w:p>
    <w:p w14:paraId="0E62736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Jakość wykonanego skropienia na warstwach asfaltowych, należy dokonać na podstawie pomiaru wytrzymałość na ścinanie połączenia pomiędzy warstwami asfaltowymi  i spełniania wymagań określonych w pkt. 5.4.1.  </w:t>
      </w:r>
    </w:p>
    <w:p w14:paraId="71F2B193"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AD1E0F">
        <w:rPr>
          <w:rFonts w:ascii="Arial Narrow" w:eastAsia="Times New Roman" w:hAnsi="Arial Narrow" w:cs="Times New Roman"/>
          <w:b/>
          <w:caps/>
          <w:kern w:val="28"/>
          <w:sz w:val="28"/>
          <w:szCs w:val="20"/>
          <w:lang w:val="x-none" w:eastAsia="x-none"/>
        </w:rPr>
        <w:t xml:space="preserve">7. </w:t>
      </w:r>
      <w:bookmarkStart w:id="608" w:name="_Toc16742"/>
      <w:r w:rsidRPr="00AD1E0F">
        <w:rPr>
          <w:rFonts w:ascii="Arial Narrow" w:eastAsia="Times New Roman" w:hAnsi="Arial Narrow" w:cs="Times New Roman"/>
          <w:b/>
          <w:caps/>
          <w:kern w:val="28"/>
          <w:sz w:val="28"/>
          <w:szCs w:val="20"/>
          <w:lang w:val="x-none" w:eastAsia="x-none"/>
        </w:rPr>
        <w:t xml:space="preserve">OBMIAR ROBÓT </w:t>
      </w:r>
      <w:bookmarkEnd w:id="608"/>
    </w:p>
    <w:p w14:paraId="06934F37"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09" w:name="_Toc16743"/>
      <w:r w:rsidRPr="00AD1E0F">
        <w:rPr>
          <w:rFonts w:ascii="Arial Narrow" w:eastAsia="Times New Roman" w:hAnsi="Arial Narrow" w:cs="Times New Roman"/>
          <w:b/>
          <w:sz w:val="28"/>
          <w:szCs w:val="20"/>
          <w:lang w:val="x-none" w:eastAsia="x-none"/>
        </w:rPr>
        <w:t xml:space="preserve">7.1 Ogólne zasady obmiaru robót </w:t>
      </w:r>
      <w:bookmarkEnd w:id="609"/>
    </w:p>
    <w:p w14:paraId="5C52995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Ogólne zasady obmiaru robót podano w D-M-00.00.00 „Wymagania ogólne”. </w:t>
      </w:r>
    </w:p>
    <w:p w14:paraId="67D28150"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bookmarkStart w:id="610" w:name="_Toc16744"/>
      <w:r w:rsidRPr="00AD1E0F">
        <w:rPr>
          <w:rFonts w:ascii="Arial Narrow" w:eastAsia="Times New Roman" w:hAnsi="Arial Narrow" w:cs="Times New Roman"/>
          <w:b/>
          <w:sz w:val="24"/>
          <w:szCs w:val="20"/>
          <w:lang w:val="x-none" w:eastAsia="x-none"/>
        </w:rPr>
        <w:t xml:space="preserve">7.2.1 Jednostka obmiarowa </w:t>
      </w:r>
      <w:bookmarkEnd w:id="610"/>
    </w:p>
    <w:p w14:paraId="11B7D5E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Jednostką obmiarową jest m</w:t>
      </w:r>
      <w:r w:rsidRPr="00AD1E0F">
        <w:rPr>
          <w:rFonts w:ascii="Arial Narrow" w:eastAsia="Times New Roman" w:hAnsi="Arial Narrow" w:cs="Times New Roman"/>
          <w:sz w:val="20"/>
          <w:szCs w:val="20"/>
          <w:vertAlign w:val="superscript"/>
          <w:lang w:eastAsia="pl-PL"/>
        </w:rPr>
        <w:t>2</w:t>
      </w:r>
      <w:r w:rsidRPr="00AD1E0F">
        <w:rPr>
          <w:rFonts w:ascii="Arial Narrow" w:eastAsia="Times New Roman" w:hAnsi="Arial Narrow" w:cs="Times New Roman"/>
          <w:sz w:val="20"/>
          <w:szCs w:val="20"/>
          <w:lang w:eastAsia="pl-PL"/>
        </w:rPr>
        <w:t xml:space="preserve"> (metr kwadratowy) wykonanego oczyszczenia i skropienia warstwy. </w:t>
      </w:r>
    </w:p>
    <w:p w14:paraId="54967BE0"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AD1E0F">
        <w:rPr>
          <w:rFonts w:ascii="Arial Narrow" w:eastAsia="Times New Roman" w:hAnsi="Arial Narrow" w:cs="Times New Roman"/>
          <w:b/>
          <w:caps/>
          <w:kern w:val="28"/>
          <w:sz w:val="28"/>
          <w:szCs w:val="20"/>
          <w:lang w:val="x-none" w:eastAsia="x-none"/>
        </w:rPr>
        <w:t xml:space="preserve">8. </w:t>
      </w:r>
      <w:bookmarkStart w:id="611" w:name="_Toc16745"/>
      <w:r w:rsidRPr="00AD1E0F">
        <w:rPr>
          <w:rFonts w:ascii="Arial Narrow" w:eastAsia="Times New Roman" w:hAnsi="Arial Narrow" w:cs="Times New Roman"/>
          <w:b/>
          <w:caps/>
          <w:kern w:val="28"/>
          <w:sz w:val="28"/>
          <w:szCs w:val="20"/>
          <w:lang w:val="x-none" w:eastAsia="x-none"/>
        </w:rPr>
        <w:t xml:space="preserve">ODBIÓR ROBÓT </w:t>
      </w:r>
      <w:bookmarkEnd w:id="611"/>
    </w:p>
    <w:p w14:paraId="2C1B229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Ogólne zasady odbioru robót podano w D-M-00.00.00 „Wymagania ogólne”. Roboty uznaje się za wykonane zgodnie z Dokumentacją Projektową i STWiORB, jeżeli wszystkie badania i pomiary z zachowaniem tolerancji wg pkt. 6 niniejszej STWiORB dały wyniki pozytywne.  </w:t>
      </w:r>
    </w:p>
    <w:p w14:paraId="280B732B"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AD1E0F">
        <w:rPr>
          <w:rFonts w:ascii="Arial Narrow" w:eastAsia="Times New Roman" w:hAnsi="Arial Narrow" w:cs="Times New Roman"/>
          <w:b/>
          <w:caps/>
          <w:kern w:val="28"/>
          <w:sz w:val="28"/>
          <w:szCs w:val="20"/>
          <w:lang w:val="x-none" w:eastAsia="x-none"/>
        </w:rPr>
        <w:t xml:space="preserve">9. </w:t>
      </w:r>
      <w:bookmarkStart w:id="612" w:name="_Toc16746"/>
      <w:r w:rsidRPr="00AD1E0F">
        <w:rPr>
          <w:rFonts w:ascii="Arial Narrow" w:eastAsia="Times New Roman" w:hAnsi="Arial Narrow" w:cs="Times New Roman"/>
          <w:b/>
          <w:caps/>
          <w:kern w:val="28"/>
          <w:sz w:val="28"/>
          <w:szCs w:val="20"/>
          <w:lang w:val="x-none" w:eastAsia="x-none"/>
        </w:rPr>
        <w:t xml:space="preserve">PODSTAWA PŁATNOŚCI </w:t>
      </w:r>
      <w:bookmarkEnd w:id="612"/>
    </w:p>
    <w:p w14:paraId="5A4E10CF"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13" w:name="_Toc16747"/>
      <w:r w:rsidRPr="00AD1E0F">
        <w:rPr>
          <w:rFonts w:ascii="Arial Narrow" w:eastAsia="Times New Roman" w:hAnsi="Arial Narrow" w:cs="Times New Roman"/>
          <w:b/>
          <w:sz w:val="28"/>
          <w:szCs w:val="20"/>
          <w:lang w:val="x-none" w:eastAsia="x-none"/>
        </w:rPr>
        <w:t xml:space="preserve">9.1 Ogólne ustalenia dotyczące podstawy płatności </w:t>
      </w:r>
      <w:bookmarkEnd w:id="613"/>
    </w:p>
    <w:p w14:paraId="7FE7CD6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Ogólne ustalenia dotyczące podstawy płatności podano w D-M-00.00.00 „Wymagania ogólne”. </w:t>
      </w:r>
    </w:p>
    <w:p w14:paraId="7ABF0FED"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14" w:name="_Toc16748"/>
      <w:r w:rsidRPr="00AD1E0F">
        <w:rPr>
          <w:rFonts w:ascii="Arial Narrow" w:eastAsia="Times New Roman" w:hAnsi="Arial Narrow" w:cs="Times New Roman"/>
          <w:b/>
          <w:caps/>
          <w:kern w:val="28"/>
          <w:sz w:val="28"/>
          <w:szCs w:val="20"/>
          <w:lang w:val="x-none" w:eastAsia="x-none"/>
        </w:rPr>
        <w:lastRenderedPageBreak/>
        <w:t xml:space="preserve">10. PRZEPISY ZWIĄZANE </w:t>
      </w:r>
      <w:bookmarkEnd w:id="614"/>
    </w:p>
    <w:p w14:paraId="0ED2E386"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15" w:name="_Toc16749"/>
      <w:r w:rsidRPr="00AD1E0F">
        <w:rPr>
          <w:rFonts w:ascii="Arial Narrow" w:eastAsia="Times New Roman" w:hAnsi="Arial Narrow" w:cs="Times New Roman"/>
          <w:b/>
          <w:sz w:val="28"/>
          <w:szCs w:val="20"/>
          <w:lang w:val="x-none" w:eastAsia="x-none"/>
        </w:rPr>
        <w:t xml:space="preserve">10.1 Normy </w:t>
      </w:r>
      <w:bookmarkEnd w:id="615"/>
    </w:p>
    <w:p w14:paraId="4B6F38DC" w14:textId="77777777" w:rsidR="00AD1E0F" w:rsidRPr="00AD1E0F" w:rsidRDefault="00AD1E0F" w:rsidP="00AD6DA2">
      <w:pPr>
        <w:numPr>
          <w:ilvl w:val="0"/>
          <w:numId w:val="12"/>
        </w:num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PN-EN 13808  Asfalty i lepiszcza asfaltowe. Zasady klasyfikacji kationowych emulsji asfaltowych </w:t>
      </w:r>
    </w:p>
    <w:p w14:paraId="04E53E12" w14:textId="77777777" w:rsidR="00AD1E0F" w:rsidRPr="00AD1E0F" w:rsidRDefault="00AD1E0F" w:rsidP="00AD6DA2">
      <w:pPr>
        <w:numPr>
          <w:ilvl w:val="0"/>
          <w:numId w:val="12"/>
        </w:num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PN-EN 12272-1 Powierzchniowe utrwalenie. Metody badań. Część 1: Dozowanie  i poprzeczny rozkład lepiszcza i kruszywa. </w:t>
      </w:r>
    </w:p>
    <w:p w14:paraId="698AEC76" w14:textId="77777777" w:rsidR="00AD1E0F" w:rsidRPr="00AD1E0F" w:rsidRDefault="00AD1E0F" w:rsidP="00AD6DA2">
      <w:pPr>
        <w:numPr>
          <w:ilvl w:val="0"/>
          <w:numId w:val="12"/>
        </w:num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PN-EN 12271-3 Powierzchniowe utrwalenie. Wymagania techniczne. Część 3. Dozowanie i dokładność dozowania lepiszcza i kruszywa. </w:t>
      </w:r>
    </w:p>
    <w:p w14:paraId="119E665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Obowiązują wydania przywołanych powyżej norm i innych dokumentów na dzień złożenia przez Wykonawcę oferty. </w:t>
      </w:r>
    </w:p>
    <w:p w14:paraId="04C94B5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Wprowadzenie nowszego wydania normy czy innego dokumentu wymaga uzgodnienia przez strony kontraktu. </w:t>
      </w:r>
    </w:p>
    <w:p w14:paraId="395CD8E5"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16" w:name="_Toc16750"/>
      <w:r w:rsidRPr="00AD1E0F">
        <w:rPr>
          <w:rFonts w:ascii="Arial Narrow" w:eastAsia="Times New Roman" w:hAnsi="Arial Narrow" w:cs="Times New Roman"/>
          <w:b/>
          <w:sz w:val="28"/>
          <w:szCs w:val="20"/>
          <w:lang w:val="x-none" w:eastAsia="x-none"/>
        </w:rPr>
        <w:t xml:space="preserve">10.2 Inne dokumenty </w:t>
      </w:r>
      <w:bookmarkEnd w:id="616"/>
    </w:p>
    <w:p w14:paraId="39F9A62E" w14:textId="77777777" w:rsidR="00AD1E0F" w:rsidRPr="00AD1E0F" w:rsidRDefault="00AD1E0F" w:rsidP="00AD6DA2">
      <w:pPr>
        <w:numPr>
          <w:ilvl w:val="0"/>
          <w:numId w:val="13"/>
        </w:num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WT-2  2016 – część II Wykonanie warstw nawierzchni asfaltowych. Wymagania techniczne. </w:t>
      </w:r>
    </w:p>
    <w:p w14:paraId="3968F626" w14:textId="77777777" w:rsidR="00AD1E0F" w:rsidRPr="00AD1E0F" w:rsidRDefault="00AD1E0F" w:rsidP="00AD6DA2">
      <w:pPr>
        <w:numPr>
          <w:ilvl w:val="0"/>
          <w:numId w:val="13"/>
        </w:num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Instrukcja laboratoryjnego badania sczepności międzywarstwowej warstw asfaltowych wg. metody Leutnera i wymagania techniczne sczepności” Politechnika Gdańska 2014. </w:t>
      </w:r>
    </w:p>
    <w:p w14:paraId="0AB7D591" w14:textId="77777777" w:rsidR="00AD1E0F" w:rsidRPr="00AD1E0F" w:rsidRDefault="00AD1E0F" w:rsidP="00AD1E0F">
      <w:pPr>
        <w:tabs>
          <w:tab w:val="left" w:pos="-1440"/>
          <w:tab w:val="left" w:pos="-720"/>
          <w:tab w:val="left" w:pos="0"/>
        </w:tabs>
        <w:spacing w:after="0" w:line="240" w:lineRule="auto"/>
        <w:ind w:firstLine="454"/>
        <w:jc w:val="both"/>
        <w:rPr>
          <w:rFonts w:ascii="Arial Narrow" w:eastAsia="Calibri" w:hAnsi="Arial Narrow" w:cs="Arial"/>
          <w:spacing w:val="-3"/>
          <w:sz w:val="20"/>
        </w:rPr>
      </w:pPr>
    </w:p>
    <w:p w14:paraId="491276DD" w14:textId="232EDB9C" w:rsidR="00AD1E0F" w:rsidRDefault="00AD1E0F"/>
    <w:p w14:paraId="57ABB3C8" w14:textId="711CDDC3" w:rsidR="00AD1E0F" w:rsidRDefault="00AD1E0F"/>
    <w:p w14:paraId="7B74876F" w14:textId="407CA86F" w:rsidR="00AD1E0F" w:rsidRDefault="00AD1E0F"/>
    <w:p w14:paraId="09566E96" w14:textId="53DD362D" w:rsidR="00AD1E0F" w:rsidRDefault="00AD1E0F"/>
    <w:p w14:paraId="68743356" w14:textId="4CE26606" w:rsidR="00AD1E0F" w:rsidRDefault="00AD1E0F"/>
    <w:p w14:paraId="2470D0B8" w14:textId="1703E2D6" w:rsidR="00AD1E0F" w:rsidRDefault="00AD1E0F"/>
    <w:p w14:paraId="0B21E3DE" w14:textId="2E2F7100" w:rsidR="00AD1E0F" w:rsidRDefault="00AD1E0F"/>
    <w:p w14:paraId="6D0ECD10" w14:textId="6BDDC443" w:rsidR="00AD1E0F" w:rsidRDefault="00AD1E0F"/>
    <w:p w14:paraId="35BF3C72" w14:textId="047EAFDE" w:rsidR="00AD1E0F" w:rsidRDefault="00AD1E0F"/>
    <w:p w14:paraId="0B2D91F2" w14:textId="6E44B087" w:rsidR="00AD1E0F" w:rsidRDefault="00AD1E0F"/>
    <w:p w14:paraId="5C350D0C" w14:textId="7A4275AC" w:rsidR="00AD1E0F" w:rsidRDefault="00AD1E0F"/>
    <w:p w14:paraId="62A95266" w14:textId="14CB0A45" w:rsidR="00AD1E0F" w:rsidRDefault="00AD1E0F"/>
    <w:p w14:paraId="4C55AC2B" w14:textId="36997AA3" w:rsidR="00AD1E0F" w:rsidRDefault="00AD1E0F"/>
    <w:p w14:paraId="39029C6D" w14:textId="3437D9F0" w:rsidR="00A01C08" w:rsidRDefault="00A01C08"/>
    <w:p w14:paraId="5DB0ABF2" w14:textId="5DC141FF" w:rsidR="00A01C08" w:rsidRDefault="00A01C08"/>
    <w:p w14:paraId="5A0DC0BB" w14:textId="5CA7B1C1" w:rsidR="00A01C08" w:rsidRDefault="00A01C08"/>
    <w:p w14:paraId="285B2191" w14:textId="0C81C816" w:rsidR="00A01C08" w:rsidRDefault="00A01C08"/>
    <w:p w14:paraId="69E5B5C7" w14:textId="705717AB" w:rsidR="00497CA1" w:rsidRDefault="00497CA1"/>
    <w:p w14:paraId="5833FF25" w14:textId="5DD00A60" w:rsidR="00497CA1" w:rsidRDefault="00497CA1"/>
    <w:p w14:paraId="112B0036" w14:textId="39B3CA58" w:rsidR="00497CA1" w:rsidRDefault="00497CA1"/>
    <w:p w14:paraId="41666AAF" w14:textId="111797D0" w:rsidR="00497CA1" w:rsidRDefault="00497CA1"/>
    <w:p w14:paraId="5127D10A" w14:textId="77777777" w:rsidR="00497CA1" w:rsidRDefault="00497CA1"/>
    <w:p w14:paraId="2A033B22" w14:textId="77777777" w:rsidR="00A01C08" w:rsidRDefault="00A01C08"/>
    <w:p w14:paraId="50D0938E" w14:textId="6CB9A14C" w:rsidR="00AD1E0F" w:rsidRDefault="00AD1E0F"/>
    <w:p w14:paraId="71D5BB5D"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bookmarkStart w:id="617" w:name="_Toc58533527"/>
      <w:bookmarkStart w:id="618" w:name="_Toc58533542"/>
      <w:r w:rsidRPr="00813B74">
        <w:rPr>
          <w:rFonts w:ascii="Arial Narrow" w:eastAsia="Times New Roman" w:hAnsi="Arial Narrow" w:cs="Times New Roman"/>
          <w:b/>
          <w:sz w:val="28"/>
          <w:szCs w:val="20"/>
          <w:lang w:eastAsia="pl-PL"/>
        </w:rPr>
        <w:lastRenderedPageBreak/>
        <w:t>D – 04.05.01 PODBUDOWA I WARSTWA MROZOOCHRONNA Z MIESZANKI ZWIĄZANEJ CEMENTEM</w:t>
      </w:r>
      <w:bookmarkEnd w:id="617"/>
      <w:r w:rsidRPr="00813B74">
        <w:rPr>
          <w:rFonts w:ascii="Arial Narrow" w:eastAsia="Times New Roman" w:hAnsi="Arial Narrow" w:cs="Times New Roman"/>
          <w:b/>
          <w:sz w:val="28"/>
          <w:szCs w:val="20"/>
          <w:lang w:eastAsia="pl-PL"/>
        </w:rPr>
        <w:t xml:space="preserve"> </w:t>
      </w:r>
    </w:p>
    <w:p w14:paraId="2F81DA45"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Kod CPV: 45233000-9</w:t>
      </w:r>
    </w:p>
    <w:p w14:paraId="239F49BB"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Roboty w zakresie konstruowania, fundamentowania oraz wykonywania nawierzchni autostrad, dróg</w:t>
      </w:r>
    </w:p>
    <w:p w14:paraId="30DC5B68" w14:textId="77777777" w:rsidR="00813B74" w:rsidRPr="00813B74" w:rsidRDefault="00813B74" w:rsidP="00813B7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eastAsia="x-none"/>
        </w:rPr>
      </w:pPr>
    </w:p>
    <w:p w14:paraId="10AB81C5" w14:textId="77777777" w:rsidR="00813B74" w:rsidRPr="00813B74" w:rsidRDefault="00813B74" w:rsidP="00813B7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813B74">
        <w:rPr>
          <w:rFonts w:ascii="Arial Narrow" w:eastAsia="Times New Roman" w:hAnsi="Arial Narrow" w:cs="Times New Roman"/>
          <w:b/>
          <w:caps/>
          <w:kern w:val="28"/>
          <w:sz w:val="28"/>
          <w:szCs w:val="20"/>
          <w:lang w:eastAsia="x-none"/>
        </w:rPr>
        <w:t xml:space="preserve">1. </w:t>
      </w:r>
      <w:r w:rsidRPr="00813B74">
        <w:rPr>
          <w:rFonts w:ascii="Arial Narrow" w:eastAsia="Times New Roman" w:hAnsi="Arial Narrow" w:cs="Times New Roman"/>
          <w:b/>
          <w:caps/>
          <w:kern w:val="28"/>
          <w:sz w:val="28"/>
          <w:szCs w:val="20"/>
          <w:lang w:val="x-none" w:eastAsia="x-none"/>
        </w:rPr>
        <w:t>wstęp</w:t>
      </w:r>
    </w:p>
    <w:p w14:paraId="1E9E2601"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813B74">
        <w:rPr>
          <w:rFonts w:ascii="Arial Narrow" w:eastAsia="Times New Roman" w:hAnsi="Arial Narrow" w:cs="Times New Roman"/>
          <w:b/>
          <w:sz w:val="28"/>
          <w:szCs w:val="20"/>
          <w:lang w:eastAsia="x-none"/>
        </w:rPr>
        <w:t xml:space="preserve">1.1 </w:t>
      </w:r>
      <w:r w:rsidRPr="00813B74">
        <w:rPr>
          <w:rFonts w:ascii="Arial Narrow" w:eastAsia="Times New Roman" w:hAnsi="Arial Narrow" w:cs="Times New Roman"/>
          <w:b/>
          <w:sz w:val="28"/>
          <w:szCs w:val="20"/>
          <w:lang w:val="x-none" w:eastAsia="x-none"/>
        </w:rPr>
        <w:t>Przedmiot STWiORB</w:t>
      </w:r>
    </w:p>
    <w:p w14:paraId="3424BA1F" w14:textId="77777777" w:rsidR="00813B74" w:rsidRPr="00813B74" w:rsidRDefault="00813B74" w:rsidP="00813B74">
      <w:pPr>
        <w:spacing w:after="0" w:line="240" w:lineRule="auto"/>
        <w:ind w:firstLine="454"/>
        <w:jc w:val="both"/>
        <w:rPr>
          <w:rFonts w:ascii="Arial Narrow" w:eastAsia="Calibri" w:hAnsi="Arial Narrow" w:cs="Times New Roman"/>
          <w:sz w:val="20"/>
        </w:rPr>
      </w:pPr>
      <w:r w:rsidRPr="00813B74">
        <w:rPr>
          <w:rFonts w:ascii="Arial Narrow" w:eastAsia="Times New Roman" w:hAnsi="Arial Narrow" w:cs="Times New Roman"/>
          <w:sz w:val="20"/>
          <w:szCs w:val="20"/>
          <w:lang w:eastAsia="pl-PL"/>
        </w:rPr>
        <w:t>Przedmiotem niniejszej szczegółowej specyfikacji technicznej (SST) są wymagania dotyczące wykonania i odbioru robót związanych z wykonaniem warstwy podbudowy / warstwy mrozoochronnej z mieszanki związanej cementem</w:t>
      </w:r>
      <w:r w:rsidRPr="00813B74">
        <w:rPr>
          <w:rFonts w:ascii="Arial Narrow" w:eastAsia="Calibri" w:hAnsi="Arial Narrow" w:cs="Times New Roman"/>
          <w:sz w:val="20"/>
        </w:rPr>
        <w:t>.</w:t>
      </w:r>
    </w:p>
    <w:p w14:paraId="0005153A"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813B74">
        <w:rPr>
          <w:rFonts w:ascii="Arial Narrow" w:eastAsia="Times New Roman" w:hAnsi="Arial Narrow" w:cs="Times New Roman"/>
          <w:b/>
          <w:sz w:val="28"/>
          <w:szCs w:val="20"/>
          <w:lang w:eastAsia="x-none"/>
        </w:rPr>
        <w:t xml:space="preserve">1.2 </w:t>
      </w:r>
      <w:r w:rsidRPr="00813B74">
        <w:rPr>
          <w:rFonts w:ascii="Arial Narrow" w:eastAsia="Times New Roman" w:hAnsi="Arial Narrow" w:cs="Times New Roman"/>
          <w:b/>
          <w:sz w:val="28"/>
          <w:szCs w:val="20"/>
          <w:lang w:val="x-none" w:eastAsia="x-none"/>
        </w:rPr>
        <w:t>Zakres stosowania STWiORB</w:t>
      </w:r>
    </w:p>
    <w:p w14:paraId="5E0BFD01" w14:textId="7785E7D2" w:rsidR="00813B74" w:rsidRPr="00813B74" w:rsidRDefault="00813B74" w:rsidP="00813B74">
      <w:pPr>
        <w:tabs>
          <w:tab w:val="left" w:pos="-1440"/>
          <w:tab w:val="left" w:pos="-720"/>
          <w:tab w:val="left" w:pos="0"/>
        </w:tabs>
        <w:spacing w:after="0" w:line="240" w:lineRule="auto"/>
        <w:ind w:firstLine="454"/>
        <w:jc w:val="both"/>
        <w:rPr>
          <w:rFonts w:ascii="Arial Narrow" w:eastAsia="Calibri" w:hAnsi="Arial Narrow" w:cs="Arial"/>
          <w:spacing w:val="-3"/>
          <w:sz w:val="20"/>
        </w:rPr>
      </w:pPr>
      <w:r w:rsidRPr="00813B74">
        <w:rPr>
          <w:rFonts w:ascii="Arial Narrow" w:eastAsia="Calibri" w:hAnsi="Arial Narrow" w:cs="Arial"/>
          <w:sz w:val="20"/>
        </w:rPr>
        <w:t xml:space="preserve">Specyfikacje Techniczne Wykonania i Odbioru Robót Budowlanych </w:t>
      </w:r>
      <w:r w:rsidRPr="00813B74">
        <w:rPr>
          <w:rFonts w:ascii="Arial Narrow" w:eastAsia="Calibri" w:hAnsi="Arial Narrow" w:cs="Arial"/>
          <w:spacing w:val="-3"/>
          <w:sz w:val="20"/>
        </w:rPr>
        <w:t>stanowią Dokument Przetargowy i Kontraktowy przy zlecaniu i realizacji robót na drogach.</w:t>
      </w:r>
    </w:p>
    <w:p w14:paraId="0CF5EC47" w14:textId="77777777" w:rsidR="00813B74" w:rsidRPr="00813B74" w:rsidRDefault="00813B74" w:rsidP="00813B74">
      <w:pPr>
        <w:tabs>
          <w:tab w:val="left" w:pos="-1440"/>
          <w:tab w:val="left" w:pos="-720"/>
          <w:tab w:val="left" w:pos="0"/>
        </w:tabs>
        <w:spacing w:after="0" w:line="240" w:lineRule="auto"/>
        <w:ind w:firstLine="454"/>
        <w:jc w:val="both"/>
        <w:rPr>
          <w:rFonts w:ascii="Arial Narrow" w:eastAsia="Calibri" w:hAnsi="Arial Narrow" w:cs="Arial"/>
          <w:spacing w:val="-3"/>
          <w:sz w:val="20"/>
        </w:rPr>
      </w:pPr>
    </w:p>
    <w:p w14:paraId="51762A1F" w14:textId="77777777" w:rsidR="00813B74" w:rsidRPr="00813B74" w:rsidRDefault="00813B74" w:rsidP="00813B74">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619" w:name="_Toc49104"/>
      <w:r w:rsidRPr="00813B74">
        <w:rPr>
          <w:rFonts w:ascii="Arial Narrow" w:eastAsia="Times New Roman" w:hAnsi="Arial Narrow" w:cs="Times New Roman"/>
          <w:b/>
          <w:sz w:val="28"/>
          <w:szCs w:val="20"/>
          <w:lang w:val="x-none" w:eastAsia="x-none"/>
        </w:rPr>
        <w:t>1.3.</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Zakres stosowania STWiORB </w:t>
      </w:r>
      <w:bookmarkEnd w:id="619"/>
    </w:p>
    <w:p w14:paraId="3D3AC84B" w14:textId="77777777" w:rsidR="00813B74" w:rsidRPr="00813B74" w:rsidRDefault="00813B74" w:rsidP="00813B74">
      <w:pPr>
        <w:overflowPunct w:val="0"/>
        <w:autoSpaceDE w:val="0"/>
        <w:autoSpaceDN w:val="0"/>
        <w:adjustRightInd w:val="0"/>
        <w:spacing w:after="155" w:line="240" w:lineRule="auto"/>
        <w:ind w:left="7"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Wykonanie:</w:t>
      </w:r>
    </w:p>
    <w:tbl>
      <w:tblPr>
        <w:tblW w:w="0" w:type="auto"/>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8"/>
        <w:gridCol w:w="2526"/>
        <w:gridCol w:w="1380"/>
        <w:gridCol w:w="1217"/>
        <w:gridCol w:w="1306"/>
        <w:gridCol w:w="1234"/>
        <w:gridCol w:w="1360"/>
      </w:tblGrid>
      <w:tr w:rsidR="00813B74" w:rsidRPr="00813B74" w14:paraId="6DCC525D" w14:textId="77777777" w:rsidTr="00813B74">
        <w:tc>
          <w:tcPr>
            <w:tcW w:w="628" w:type="dxa"/>
            <w:shd w:val="clear" w:color="auto" w:fill="auto"/>
          </w:tcPr>
          <w:p w14:paraId="1322C7B4"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813B74">
              <w:rPr>
                <w:rFonts w:ascii="Arial Narrow" w:eastAsia="Times New Roman" w:hAnsi="Arial Narrow" w:cs="Times New Roman"/>
                <w:sz w:val="20"/>
              </w:rPr>
              <w:t>Lp</w:t>
            </w:r>
          </w:p>
        </w:tc>
        <w:tc>
          <w:tcPr>
            <w:tcW w:w="2526" w:type="dxa"/>
            <w:tcBorders>
              <w:bottom w:val="single" w:sz="4" w:space="0" w:color="auto"/>
            </w:tcBorders>
            <w:shd w:val="clear" w:color="auto" w:fill="auto"/>
          </w:tcPr>
          <w:p w14:paraId="385411CB"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813B74">
              <w:rPr>
                <w:rFonts w:ascii="Arial Narrow" w:eastAsia="Times New Roman" w:hAnsi="Arial Narrow" w:cs="Times New Roman"/>
                <w:sz w:val="20"/>
              </w:rPr>
              <w:t>Opis warstwy</w:t>
            </w:r>
          </w:p>
        </w:tc>
        <w:tc>
          <w:tcPr>
            <w:tcW w:w="1380" w:type="dxa"/>
            <w:tcBorders>
              <w:bottom w:val="single" w:sz="4" w:space="0" w:color="auto"/>
            </w:tcBorders>
            <w:shd w:val="clear" w:color="auto" w:fill="auto"/>
          </w:tcPr>
          <w:p w14:paraId="0C3B6494"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813B74">
              <w:rPr>
                <w:rFonts w:ascii="Arial Narrow" w:eastAsia="Times New Roman" w:hAnsi="Arial Narrow" w:cs="Times New Roman"/>
                <w:sz w:val="20"/>
              </w:rPr>
              <w:t>Wytrzymałość</w:t>
            </w:r>
          </w:p>
        </w:tc>
        <w:tc>
          <w:tcPr>
            <w:tcW w:w="1217" w:type="dxa"/>
            <w:tcBorders>
              <w:bottom w:val="single" w:sz="4" w:space="0" w:color="auto"/>
            </w:tcBorders>
            <w:shd w:val="clear" w:color="auto" w:fill="auto"/>
          </w:tcPr>
          <w:p w14:paraId="5D8E2E59"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813B74">
              <w:rPr>
                <w:rFonts w:ascii="Arial Narrow" w:eastAsia="Times New Roman" w:hAnsi="Arial Narrow" w:cs="Times New Roman"/>
                <w:sz w:val="20"/>
              </w:rPr>
              <w:t>Parametry mieszanki</w:t>
            </w:r>
          </w:p>
        </w:tc>
        <w:tc>
          <w:tcPr>
            <w:tcW w:w="1306" w:type="dxa"/>
            <w:tcBorders>
              <w:bottom w:val="single" w:sz="4" w:space="0" w:color="auto"/>
            </w:tcBorders>
            <w:shd w:val="clear" w:color="auto" w:fill="auto"/>
          </w:tcPr>
          <w:p w14:paraId="3294E91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813B74">
              <w:rPr>
                <w:rFonts w:ascii="Arial Narrow" w:eastAsia="Times New Roman" w:hAnsi="Arial Narrow" w:cs="Times New Roman"/>
                <w:sz w:val="20"/>
              </w:rPr>
              <w:t>Grubość warstwy</w:t>
            </w:r>
          </w:p>
        </w:tc>
        <w:tc>
          <w:tcPr>
            <w:tcW w:w="1234" w:type="dxa"/>
            <w:tcBorders>
              <w:bottom w:val="single" w:sz="4" w:space="0" w:color="auto"/>
            </w:tcBorders>
            <w:shd w:val="clear" w:color="auto" w:fill="auto"/>
          </w:tcPr>
          <w:p w14:paraId="15BF129E"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813B74">
              <w:rPr>
                <w:rFonts w:ascii="Arial Narrow" w:eastAsia="Times New Roman" w:hAnsi="Arial Narrow" w:cs="Times New Roman"/>
                <w:sz w:val="20"/>
              </w:rPr>
              <w:t>KR</w:t>
            </w:r>
          </w:p>
        </w:tc>
        <w:tc>
          <w:tcPr>
            <w:tcW w:w="1360" w:type="dxa"/>
            <w:tcBorders>
              <w:bottom w:val="single" w:sz="4" w:space="0" w:color="auto"/>
            </w:tcBorders>
            <w:shd w:val="clear" w:color="auto" w:fill="auto"/>
          </w:tcPr>
          <w:p w14:paraId="5E39E32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813B74">
              <w:rPr>
                <w:rFonts w:ascii="Arial Narrow" w:eastAsia="Times New Roman" w:hAnsi="Arial Narrow" w:cs="Times New Roman"/>
                <w:sz w:val="20"/>
              </w:rPr>
              <w:t>Miejsce wbudowania</w:t>
            </w:r>
          </w:p>
        </w:tc>
      </w:tr>
      <w:tr w:rsidR="00813B74" w:rsidRPr="00813B74" w14:paraId="3F818F98" w14:textId="77777777" w:rsidTr="00813B74">
        <w:tc>
          <w:tcPr>
            <w:tcW w:w="628" w:type="dxa"/>
            <w:shd w:val="clear" w:color="auto" w:fill="auto"/>
          </w:tcPr>
          <w:p w14:paraId="5280BC0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813B74">
              <w:rPr>
                <w:rFonts w:ascii="Arial Narrow" w:eastAsia="Times New Roman" w:hAnsi="Arial Narrow" w:cs="Times New Roman"/>
                <w:sz w:val="20"/>
              </w:rPr>
              <w:t>1</w:t>
            </w:r>
          </w:p>
        </w:tc>
        <w:tc>
          <w:tcPr>
            <w:tcW w:w="2526" w:type="dxa"/>
            <w:shd w:val="clear" w:color="auto" w:fill="FFC000"/>
          </w:tcPr>
          <w:p w14:paraId="2FB98D3E"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813B74">
              <w:rPr>
                <w:rFonts w:ascii="Arial Narrow" w:eastAsia="Times New Roman" w:hAnsi="Arial Narrow" w:cs="Times New Roman"/>
                <w:sz w:val="20"/>
              </w:rPr>
              <w:t>Podbudowa pomocnicza</w:t>
            </w:r>
          </w:p>
        </w:tc>
        <w:tc>
          <w:tcPr>
            <w:tcW w:w="1380" w:type="dxa"/>
            <w:shd w:val="clear" w:color="auto" w:fill="FFC000"/>
          </w:tcPr>
          <w:p w14:paraId="7C6C484E" w14:textId="11074594" w:rsidR="00813B74" w:rsidRPr="00813B74" w:rsidRDefault="00DB0468" w:rsidP="00813B74">
            <w:pPr>
              <w:overflowPunct w:val="0"/>
              <w:autoSpaceDE w:val="0"/>
              <w:autoSpaceDN w:val="0"/>
              <w:adjustRightInd w:val="0"/>
              <w:spacing w:after="0" w:line="240" w:lineRule="auto"/>
              <w:textAlignment w:val="baseline"/>
              <w:rPr>
                <w:rFonts w:ascii="Arial Narrow" w:eastAsia="Times New Roman" w:hAnsi="Arial Narrow" w:cs="Times New Roman"/>
                <w:sz w:val="20"/>
              </w:rPr>
            </w:pPr>
            <w:r>
              <w:rPr>
                <w:rFonts w:ascii="Arial Narrow" w:eastAsia="Times New Roman" w:hAnsi="Arial Narrow" w:cs="Times New Roman"/>
                <w:sz w:val="20"/>
              </w:rPr>
              <w:t>1,5/</w:t>
            </w:r>
            <w:r w:rsidR="00813B74">
              <w:rPr>
                <w:rFonts w:ascii="Arial Narrow" w:eastAsia="Times New Roman" w:hAnsi="Arial Narrow" w:cs="Times New Roman"/>
                <w:sz w:val="20"/>
              </w:rPr>
              <w:t>2</w:t>
            </w:r>
            <w:r>
              <w:rPr>
                <w:rFonts w:ascii="Arial Narrow" w:eastAsia="Times New Roman" w:hAnsi="Arial Narrow" w:cs="Times New Roman"/>
                <w:sz w:val="20"/>
              </w:rPr>
              <w:t>,0</w:t>
            </w:r>
            <w:r w:rsidR="00813B74">
              <w:rPr>
                <w:rFonts w:ascii="Arial Narrow" w:eastAsia="Times New Roman" w:hAnsi="Arial Narrow" w:cs="Times New Roman"/>
                <w:sz w:val="20"/>
              </w:rPr>
              <w:t>MPa</w:t>
            </w:r>
          </w:p>
        </w:tc>
        <w:tc>
          <w:tcPr>
            <w:tcW w:w="1217" w:type="dxa"/>
            <w:shd w:val="clear" w:color="auto" w:fill="FFC000"/>
          </w:tcPr>
          <w:p w14:paraId="611ECECC" w14:textId="7C369DEE"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1306" w:type="dxa"/>
            <w:shd w:val="clear" w:color="auto" w:fill="FFC000"/>
          </w:tcPr>
          <w:p w14:paraId="75F048B0" w14:textId="7C22F1C8" w:rsidR="00813B74" w:rsidRPr="00813B74" w:rsidRDefault="00DB0468" w:rsidP="00813B74">
            <w:pPr>
              <w:overflowPunct w:val="0"/>
              <w:autoSpaceDE w:val="0"/>
              <w:autoSpaceDN w:val="0"/>
              <w:adjustRightInd w:val="0"/>
              <w:spacing w:after="0" w:line="240" w:lineRule="auto"/>
              <w:textAlignment w:val="baseline"/>
              <w:rPr>
                <w:rFonts w:ascii="Arial Narrow" w:eastAsia="Times New Roman" w:hAnsi="Arial Narrow" w:cs="Times New Roman"/>
                <w:sz w:val="20"/>
              </w:rPr>
            </w:pPr>
            <w:r>
              <w:rPr>
                <w:rFonts w:ascii="Arial Narrow" w:eastAsia="Times New Roman" w:hAnsi="Arial Narrow" w:cs="Times New Roman"/>
                <w:sz w:val="20"/>
              </w:rPr>
              <w:t>10/</w:t>
            </w:r>
            <w:r w:rsidR="00813B74">
              <w:rPr>
                <w:rFonts w:ascii="Arial Narrow" w:eastAsia="Times New Roman" w:hAnsi="Arial Narrow" w:cs="Times New Roman"/>
                <w:sz w:val="20"/>
              </w:rPr>
              <w:t>20</w:t>
            </w:r>
          </w:p>
        </w:tc>
        <w:tc>
          <w:tcPr>
            <w:tcW w:w="1234" w:type="dxa"/>
            <w:shd w:val="clear" w:color="auto" w:fill="FFC000"/>
          </w:tcPr>
          <w:p w14:paraId="1E218D50" w14:textId="6DC5115B" w:rsidR="00813B74" w:rsidRPr="00813B74" w:rsidRDefault="00DB0468" w:rsidP="00813B74">
            <w:pPr>
              <w:overflowPunct w:val="0"/>
              <w:autoSpaceDE w:val="0"/>
              <w:autoSpaceDN w:val="0"/>
              <w:adjustRightInd w:val="0"/>
              <w:spacing w:after="0" w:line="240" w:lineRule="auto"/>
              <w:textAlignment w:val="baseline"/>
              <w:rPr>
                <w:rFonts w:ascii="Arial Narrow" w:eastAsia="Times New Roman" w:hAnsi="Arial Narrow" w:cs="Times New Roman"/>
                <w:sz w:val="20"/>
              </w:rPr>
            </w:pPr>
            <w:r>
              <w:rPr>
                <w:rFonts w:ascii="Arial Narrow" w:eastAsia="Times New Roman" w:hAnsi="Arial Narrow" w:cs="Times New Roman"/>
                <w:sz w:val="20"/>
              </w:rPr>
              <w:t>1</w:t>
            </w:r>
          </w:p>
        </w:tc>
        <w:tc>
          <w:tcPr>
            <w:tcW w:w="1360" w:type="dxa"/>
            <w:shd w:val="clear" w:color="auto" w:fill="FFC000"/>
          </w:tcPr>
          <w:p w14:paraId="0836F5D5"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813B74">
              <w:rPr>
                <w:rFonts w:ascii="Arial Narrow" w:eastAsia="Times New Roman" w:hAnsi="Arial Narrow" w:cs="Times New Roman"/>
                <w:sz w:val="20"/>
              </w:rPr>
              <w:t>Jezdnia</w:t>
            </w:r>
          </w:p>
        </w:tc>
      </w:tr>
    </w:tbl>
    <w:p w14:paraId="16AAFAD6" w14:textId="77777777" w:rsidR="00813B74" w:rsidRPr="00813B74" w:rsidRDefault="00813B74" w:rsidP="00813B74">
      <w:pPr>
        <w:overflowPunct w:val="0"/>
        <w:autoSpaceDE w:val="0"/>
        <w:autoSpaceDN w:val="0"/>
        <w:adjustRightInd w:val="0"/>
        <w:spacing w:after="155" w:line="240" w:lineRule="auto"/>
        <w:ind w:left="7" w:right="66" w:firstLine="709"/>
        <w:jc w:val="both"/>
        <w:textAlignment w:val="baseline"/>
        <w:rPr>
          <w:rFonts w:ascii="Arial Narrow" w:eastAsia="Times New Roman" w:hAnsi="Arial Narrow" w:cs="Times New Roman"/>
          <w:sz w:val="20"/>
          <w:szCs w:val="20"/>
          <w:lang w:eastAsia="pl-PL"/>
        </w:rPr>
      </w:pPr>
    </w:p>
    <w:p w14:paraId="38659918" w14:textId="77777777" w:rsidR="00813B74" w:rsidRPr="00813B74" w:rsidRDefault="00813B74" w:rsidP="00813B74">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620" w:name="_Toc49106"/>
      <w:r w:rsidRPr="00813B74">
        <w:rPr>
          <w:rFonts w:ascii="Arial Narrow" w:eastAsia="Times New Roman" w:hAnsi="Arial Narrow" w:cs="Times New Roman"/>
          <w:b/>
          <w:sz w:val="28"/>
          <w:szCs w:val="20"/>
          <w:lang w:val="x-none" w:eastAsia="x-none"/>
        </w:rPr>
        <w:t>1.</w:t>
      </w:r>
      <w:r w:rsidRPr="00813B74">
        <w:rPr>
          <w:rFonts w:ascii="Arial Narrow" w:eastAsia="Times New Roman" w:hAnsi="Arial Narrow" w:cs="Times New Roman"/>
          <w:b/>
          <w:sz w:val="28"/>
          <w:szCs w:val="20"/>
          <w:lang w:eastAsia="x-none"/>
        </w:rPr>
        <w:t>4</w:t>
      </w:r>
      <w:r w:rsidRPr="00813B74">
        <w:rPr>
          <w:rFonts w:ascii="Arial Narrow" w:eastAsia="Times New Roman" w:hAnsi="Arial Narrow" w:cs="Times New Roman"/>
          <w:b/>
          <w:sz w:val="28"/>
          <w:szCs w:val="20"/>
          <w:lang w:val="x-none" w:eastAsia="x-none"/>
        </w:rPr>
        <w:t>.</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Określenia podstawowe </w:t>
      </w:r>
      <w:bookmarkEnd w:id="620"/>
    </w:p>
    <w:p w14:paraId="2CAEEDC9"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Verdana" w:hAnsi="Arial Narrow" w:cs="Verdana"/>
          <w:b/>
          <w:sz w:val="20"/>
          <w:szCs w:val="20"/>
          <w:lang w:eastAsia="pl-PL"/>
        </w:rPr>
        <w:t>Mieszanka związana spoiwem hydraulicznym</w:t>
      </w:r>
      <w:r w:rsidRPr="00813B74">
        <w:rPr>
          <w:rFonts w:ascii="Arial Narrow" w:eastAsia="Times New Roman" w:hAnsi="Arial Narrow" w:cs="Times New Roman"/>
          <w:sz w:val="20"/>
          <w:szCs w:val="20"/>
          <w:lang w:eastAsia="pl-PL"/>
        </w:rPr>
        <w:t xml:space="preserve"> – mieszanka, w której następuje wiązanie i twardnienie na skutek reakcji hydraulicznych. </w:t>
      </w:r>
    </w:p>
    <w:p w14:paraId="4DE4F71C"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Verdana" w:hAnsi="Arial Narrow" w:cs="Verdana"/>
          <w:b/>
          <w:sz w:val="20"/>
          <w:szCs w:val="20"/>
          <w:lang w:eastAsia="pl-PL"/>
        </w:rPr>
        <w:t>Mieszanka związana cementem</w:t>
      </w:r>
      <w:r w:rsidRPr="00813B74">
        <w:rPr>
          <w:rFonts w:ascii="Arial Narrow" w:eastAsia="Times New Roman" w:hAnsi="Arial Narrow" w:cs="Times New Roman"/>
          <w:sz w:val="20"/>
          <w:szCs w:val="20"/>
          <w:lang w:eastAsia="pl-PL"/>
        </w:rPr>
        <w:t xml:space="preserve"> – mieszanka związana hydraulicznie, składająca się z kruszywa o kontrolowanym uziarnieniu i cementu; wymieszana w sposób zapewniający uzyskanie jednorodnej mieszanki. </w:t>
      </w:r>
    </w:p>
    <w:p w14:paraId="63E8C4C3"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Verdana" w:hAnsi="Arial Narrow" w:cs="Verdana"/>
          <w:b/>
          <w:sz w:val="20"/>
          <w:szCs w:val="20"/>
          <w:lang w:eastAsia="pl-PL"/>
        </w:rPr>
        <w:t>Podbudowa zasadnicza z mieszanki związanej spoiwem hydraulicznym</w:t>
      </w:r>
      <w:r w:rsidRPr="00813B74">
        <w:rPr>
          <w:rFonts w:ascii="Arial Narrow" w:eastAsia="Times New Roman" w:hAnsi="Arial Narrow" w:cs="Times New Roman"/>
          <w:sz w:val="20"/>
          <w:szCs w:val="20"/>
          <w:lang w:eastAsia="pl-PL"/>
        </w:rPr>
        <w:t xml:space="preserve"> –  warstwa zawierająca kruszywo naturalne lub sztuczne, a także z recyklingu lub ich mieszaninę i spoiwo hydrauliczne, zapewniająca przenoszenie obciążeń z warstw jezdnych na warstwę podbudowy pomocniczej lub podłoże. </w:t>
      </w:r>
    </w:p>
    <w:p w14:paraId="73D153A3"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Verdana" w:hAnsi="Arial Narrow" w:cs="Verdana"/>
          <w:b/>
          <w:sz w:val="20"/>
          <w:szCs w:val="20"/>
          <w:lang w:eastAsia="pl-PL"/>
        </w:rPr>
        <w:t>Podbudowa pomocnicza z mieszanki związanej spoiwem hydraulicznym</w:t>
      </w:r>
      <w:r w:rsidRPr="00813B74">
        <w:rPr>
          <w:rFonts w:ascii="Arial Narrow" w:eastAsia="Times New Roman" w:hAnsi="Arial Narrow" w:cs="Times New Roman"/>
          <w:sz w:val="20"/>
          <w:szCs w:val="20"/>
          <w:lang w:eastAsia="pl-PL"/>
        </w:rPr>
        <w:t xml:space="preserve"> –  warstwa zawierająca kruszywo naturalne lub sztuczne, a także z recyklingu lub ich mieszaninę i spoiwo hydrauliczne, zapewniająca przenoszenie obciążeń z warstwy podbudowy zasadniczej na warstwę podłoża. </w:t>
      </w:r>
    </w:p>
    <w:p w14:paraId="40829C82"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Verdana" w:hAnsi="Arial Narrow" w:cs="Verdana"/>
          <w:b/>
          <w:sz w:val="20"/>
          <w:szCs w:val="20"/>
          <w:lang w:eastAsia="pl-PL"/>
        </w:rPr>
        <w:t xml:space="preserve">Warstwa mrozoochronna </w:t>
      </w:r>
      <w:r w:rsidRPr="00813B74">
        <w:rPr>
          <w:rFonts w:ascii="Arial Narrow" w:eastAsia="Times New Roman" w:hAnsi="Arial Narrow" w:cs="Times New Roman"/>
          <w:sz w:val="20"/>
          <w:szCs w:val="20"/>
          <w:lang w:eastAsia="pl-PL"/>
        </w:rPr>
        <w:t xml:space="preserve">–  warstwa zawierająca ochronę konstrukcji nawierzchni drogowej przed skutkami odziaływania mrozu.  </w:t>
      </w:r>
    </w:p>
    <w:p w14:paraId="6DBB10A6"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Pozostałe określenia podstawowe są zgodne z obowiązującymi, odpowiednimi polskimi normami oraz z definicjami podanymi w D-M-00.00.00 „Wymagania ogólne”. </w:t>
      </w:r>
    </w:p>
    <w:p w14:paraId="3C7A9FF3" w14:textId="77777777" w:rsidR="00813B74" w:rsidRPr="00813B74" w:rsidRDefault="00813B74" w:rsidP="00813B74">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621" w:name="_Toc49107"/>
      <w:r w:rsidRPr="00813B74">
        <w:rPr>
          <w:rFonts w:ascii="Arial Narrow" w:eastAsia="Times New Roman" w:hAnsi="Arial Narrow" w:cs="Times New Roman"/>
          <w:b/>
          <w:sz w:val="28"/>
          <w:szCs w:val="20"/>
          <w:lang w:val="x-none" w:eastAsia="x-none"/>
        </w:rPr>
        <w:t>1.</w:t>
      </w:r>
      <w:r w:rsidRPr="00813B74">
        <w:rPr>
          <w:rFonts w:ascii="Arial Narrow" w:eastAsia="Times New Roman" w:hAnsi="Arial Narrow" w:cs="Times New Roman"/>
          <w:b/>
          <w:sz w:val="28"/>
          <w:szCs w:val="20"/>
          <w:lang w:eastAsia="x-none"/>
        </w:rPr>
        <w:t>5</w:t>
      </w:r>
      <w:r w:rsidRPr="00813B74">
        <w:rPr>
          <w:rFonts w:ascii="Arial Narrow" w:eastAsia="Times New Roman" w:hAnsi="Arial Narrow" w:cs="Times New Roman"/>
          <w:b/>
          <w:sz w:val="28"/>
          <w:szCs w:val="20"/>
          <w:lang w:val="x-none" w:eastAsia="x-none"/>
        </w:rPr>
        <w:t>.</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Symbole i skróty dodatkowe </w:t>
      </w:r>
      <w:bookmarkEnd w:id="621"/>
    </w:p>
    <w:tbl>
      <w:tblPr>
        <w:tblW w:w="7821" w:type="dxa"/>
        <w:tblInd w:w="12" w:type="dxa"/>
        <w:tblCellMar>
          <w:left w:w="0" w:type="dxa"/>
          <w:right w:w="0" w:type="dxa"/>
        </w:tblCellMar>
        <w:tblLook w:val="04A0" w:firstRow="1" w:lastRow="0" w:firstColumn="1" w:lastColumn="0" w:noHBand="0" w:noVBand="1"/>
      </w:tblPr>
      <w:tblGrid>
        <w:gridCol w:w="1416"/>
        <w:gridCol w:w="6405"/>
      </w:tblGrid>
      <w:tr w:rsidR="00813B74" w:rsidRPr="00813B74" w14:paraId="7549D51B" w14:textId="77777777" w:rsidTr="0072451A">
        <w:trPr>
          <w:trHeight w:val="237"/>
        </w:trPr>
        <w:tc>
          <w:tcPr>
            <w:tcW w:w="1416" w:type="dxa"/>
            <w:tcBorders>
              <w:top w:val="nil"/>
              <w:left w:val="nil"/>
              <w:bottom w:val="nil"/>
              <w:right w:val="nil"/>
            </w:tcBorders>
            <w:shd w:val="clear" w:color="auto" w:fill="auto"/>
          </w:tcPr>
          <w:p w14:paraId="4756F9A1"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m/m </w:t>
            </w:r>
          </w:p>
        </w:tc>
        <w:tc>
          <w:tcPr>
            <w:tcW w:w="6405" w:type="dxa"/>
            <w:tcBorders>
              <w:top w:val="nil"/>
              <w:left w:val="nil"/>
              <w:bottom w:val="nil"/>
              <w:right w:val="nil"/>
            </w:tcBorders>
            <w:shd w:val="clear" w:color="auto" w:fill="auto"/>
          </w:tcPr>
          <w:p w14:paraId="6EB372D9"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procent masy, </w:t>
            </w:r>
          </w:p>
        </w:tc>
      </w:tr>
      <w:tr w:rsidR="00813B74" w:rsidRPr="00813B74" w14:paraId="4CEDD261" w14:textId="77777777" w:rsidTr="0072451A">
        <w:trPr>
          <w:trHeight w:val="280"/>
        </w:trPr>
        <w:tc>
          <w:tcPr>
            <w:tcW w:w="1416" w:type="dxa"/>
            <w:tcBorders>
              <w:top w:val="nil"/>
              <w:left w:val="nil"/>
              <w:bottom w:val="nil"/>
              <w:right w:val="nil"/>
            </w:tcBorders>
            <w:shd w:val="clear" w:color="auto" w:fill="auto"/>
          </w:tcPr>
          <w:p w14:paraId="2C816AC4" w14:textId="77777777" w:rsidR="00813B74" w:rsidRPr="00813B74" w:rsidRDefault="00813B74" w:rsidP="00813B74">
            <w:pPr>
              <w:tabs>
                <w:tab w:val="center" w:pos="708"/>
              </w:tabs>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NR </w:t>
            </w:r>
            <w:r w:rsidRPr="00813B74">
              <w:rPr>
                <w:rFonts w:ascii="Arial Narrow" w:eastAsia="Times New Roman" w:hAnsi="Arial Narrow" w:cs="Times New Roman"/>
                <w:lang w:eastAsia="pl-PL"/>
              </w:rPr>
              <w:tab/>
              <w:t xml:space="preserve"> </w:t>
            </w:r>
          </w:p>
        </w:tc>
        <w:tc>
          <w:tcPr>
            <w:tcW w:w="6405" w:type="dxa"/>
            <w:tcBorders>
              <w:top w:val="nil"/>
              <w:left w:val="nil"/>
              <w:bottom w:val="nil"/>
              <w:right w:val="nil"/>
            </w:tcBorders>
            <w:shd w:val="clear" w:color="auto" w:fill="auto"/>
          </w:tcPr>
          <w:p w14:paraId="7BE9A1B7"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brak konieczności badania danej cechy, brak wymagania, </w:t>
            </w:r>
          </w:p>
        </w:tc>
      </w:tr>
      <w:tr w:rsidR="00813B74" w:rsidRPr="00813B74" w14:paraId="02EB14F6" w14:textId="77777777" w:rsidTr="0072451A">
        <w:trPr>
          <w:trHeight w:val="280"/>
        </w:trPr>
        <w:tc>
          <w:tcPr>
            <w:tcW w:w="1416" w:type="dxa"/>
            <w:tcBorders>
              <w:top w:val="nil"/>
              <w:left w:val="nil"/>
              <w:bottom w:val="nil"/>
              <w:right w:val="nil"/>
            </w:tcBorders>
            <w:shd w:val="clear" w:color="auto" w:fill="auto"/>
          </w:tcPr>
          <w:p w14:paraId="5AACB877" w14:textId="77777777" w:rsidR="00813B74" w:rsidRPr="00813B74" w:rsidRDefault="00813B74" w:rsidP="00813B74">
            <w:pPr>
              <w:tabs>
                <w:tab w:val="center" w:pos="708"/>
              </w:tabs>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CBR </w:t>
            </w:r>
            <w:r w:rsidRPr="00813B74">
              <w:rPr>
                <w:rFonts w:ascii="Arial Narrow" w:eastAsia="Times New Roman" w:hAnsi="Arial Narrow" w:cs="Times New Roman"/>
                <w:lang w:eastAsia="pl-PL"/>
              </w:rPr>
              <w:tab/>
              <w:t xml:space="preserve"> </w:t>
            </w:r>
          </w:p>
        </w:tc>
        <w:tc>
          <w:tcPr>
            <w:tcW w:w="6405" w:type="dxa"/>
            <w:tcBorders>
              <w:top w:val="nil"/>
              <w:left w:val="nil"/>
              <w:bottom w:val="nil"/>
              <w:right w:val="nil"/>
            </w:tcBorders>
            <w:shd w:val="clear" w:color="auto" w:fill="auto"/>
          </w:tcPr>
          <w:p w14:paraId="2F2D9648"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kalifornijski wskaźnik nośności, w procentach (%), </w:t>
            </w:r>
          </w:p>
        </w:tc>
      </w:tr>
      <w:tr w:rsidR="00813B74" w:rsidRPr="00813B74" w14:paraId="52A2B14D" w14:textId="77777777" w:rsidTr="0072451A">
        <w:trPr>
          <w:trHeight w:val="280"/>
        </w:trPr>
        <w:tc>
          <w:tcPr>
            <w:tcW w:w="1416" w:type="dxa"/>
            <w:tcBorders>
              <w:top w:val="nil"/>
              <w:left w:val="nil"/>
              <w:bottom w:val="nil"/>
              <w:right w:val="nil"/>
            </w:tcBorders>
            <w:shd w:val="clear" w:color="auto" w:fill="auto"/>
          </w:tcPr>
          <w:p w14:paraId="0F8FDBD1" w14:textId="77777777" w:rsidR="00813B74" w:rsidRPr="00813B74" w:rsidRDefault="00813B74" w:rsidP="00813B74">
            <w:pPr>
              <w:tabs>
                <w:tab w:val="center" w:pos="708"/>
              </w:tabs>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d </w:t>
            </w:r>
            <w:r w:rsidRPr="00813B74">
              <w:rPr>
                <w:rFonts w:ascii="Arial Narrow" w:eastAsia="Times New Roman" w:hAnsi="Arial Narrow" w:cs="Times New Roman"/>
                <w:lang w:eastAsia="pl-PL"/>
              </w:rPr>
              <w:tab/>
              <w:t xml:space="preserve"> </w:t>
            </w:r>
          </w:p>
        </w:tc>
        <w:tc>
          <w:tcPr>
            <w:tcW w:w="6405" w:type="dxa"/>
            <w:tcBorders>
              <w:top w:val="nil"/>
              <w:left w:val="nil"/>
              <w:bottom w:val="nil"/>
              <w:right w:val="nil"/>
            </w:tcBorders>
            <w:shd w:val="clear" w:color="auto" w:fill="auto"/>
          </w:tcPr>
          <w:p w14:paraId="1CF0881E" w14:textId="77777777" w:rsidR="00813B74" w:rsidRPr="00813B74" w:rsidRDefault="00813B74" w:rsidP="00813B74">
            <w:pPr>
              <w:overflowPunct w:val="0"/>
              <w:autoSpaceDE w:val="0"/>
              <w:autoSpaceDN w:val="0"/>
              <w:adjustRightInd w:val="0"/>
              <w:spacing w:after="0"/>
              <w:jc w:val="both"/>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dolny wymiar sita (przy określaniu wielkości ziaren kruszywa), </w:t>
            </w:r>
          </w:p>
        </w:tc>
      </w:tr>
      <w:tr w:rsidR="00813B74" w:rsidRPr="00813B74" w14:paraId="2A4D1D86" w14:textId="77777777" w:rsidTr="0072451A">
        <w:trPr>
          <w:trHeight w:val="280"/>
        </w:trPr>
        <w:tc>
          <w:tcPr>
            <w:tcW w:w="1416" w:type="dxa"/>
            <w:tcBorders>
              <w:top w:val="nil"/>
              <w:left w:val="nil"/>
              <w:bottom w:val="nil"/>
              <w:right w:val="nil"/>
            </w:tcBorders>
            <w:shd w:val="clear" w:color="auto" w:fill="auto"/>
          </w:tcPr>
          <w:p w14:paraId="4678BEF9" w14:textId="77777777" w:rsidR="00813B74" w:rsidRPr="00813B74" w:rsidRDefault="00813B74" w:rsidP="00813B74">
            <w:pPr>
              <w:tabs>
                <w:tab w:val="center" w:pos="708"/>
              </w:tabs>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D </w:t>
            </w:r>
            <w:r w:rsidRPr="00813B74">
              <w:rPr>
                <w:rFonts w:ascii="Arial Narrow" w:eastAsia="Times New Roman" w:hAnsi="Arial Narrow" w:cs="Times New Roman"/>
                <w:lang w:eastAsia="pl-PL"/>
              </w:rPr>
              <w:tab/>
              <w:t xml:space="preserve"> </w:t>
            </w:r>
          </w:p>
        </w:tc>
        <w:tc>
          <w:tcPr>
            <w:tcW w:w="6405" w:type="dxa"/>
            <w:tcBorders>
              <w:top w:val="nil"/>
              <w:left w:val="nil"/>
              <w:bottom w:val="nil"/>
              <w:right w:val="nil"/>
            </w:tcBorders>
            <w:shd w:val="clear" w:color="auto" w:fill="auto"/>
          </w:tcPr>
          <w:p w14:paraId="214334CB" w14:textId="77777777" w:rsidR="00813B74" w:rsidRPr="00813B74" w:rsidRDefault="00813B74" w:rsidP="00813B74">
            <w:pPr>
              <w:overflowPunct w:val="0"/>
              <w:autoSpaceDE w:val="0"/>
              <w:autoSpaceDN w:val="0"/>
              <w:adjustRightInd w:val="0"/>
              <w:spacing w:after="0"/>
              <w:jc w:val="both"/>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górny wymiar sita (przy określaniu wielkości ziaren kruszywa), </w:t>
            </w:r>
          </w:p>
        </w:tc>
      </w:tr>
      <w:tr w:rsidR="00813B74" w:rsidRPr="00813B74" w14:paraId="2DCFCAE3" w14:textId="77777777" w:rsidTr="0072451A">
        <w:trPr>
          <w:trHeight w:val="237"/>
        </w:trPr>
        <w:tc>
          <w:tcPr>
            <w:tcW w:w="1416" w:type="dxa"/>
            <w:tcBorders>
              <w:top w:val="nil"/>
              <w:left w:val="nil"/>
              <w:bottom w:val="nil"/>
              <w:right w:val="nil"/>
            </w:tcBorders>
            <w:shd w:val="clear" w:color="auto" w:fill="auto"/>
          </w:tcPr>
          <w:p w14:paraId="6B7265FC" w14:textId="77777777" w:rsidR="00813B74" w:rsidRPr="00813B74" w:rsidRDefault="00813B74" w:rsidP="00813B74">
            <w:pPr>
              <w:tabs>
                <w:tab w:val="center" w:pos="708"/>
              </w:tabs>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H/D </w:t>
            </w:r>
            <w:r w:rsidRPr="00813B74">
              <w:rPr>
                <w:rFonts w:ascii="Arial Narrow" w:eastAsia="Times New Roman" w:hAnsi="Arial Narrow" w:cs="Times New Roman"/>
                <w:lang w:eastAsia="pl-PL"/>
              </w:rPr>
              <w:tab/>
              <w:t xml:space="preserve"> </w:t>
            </w:r>
          </w:p>
        </w:tc>
        <w:tc>
          <w:tcPr>
            <w:tcW w:w="6405" w:type="dxa"/>
            <w:tcBorders>
              <w:top w:val="nil"/>
              <w:left w:val="nil"/>
              <w:bottom w:val="nil"/>
              <w:right w:val="nil"/>
            </w:tcBorders>
            <w:shd w:val="clear" w:color="auto" w:fill="auto"/>
          </w:tcPr>
          <w:p w14:paraId="1EBF5941"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stosunek wysokości do średnicy próbki. </w:t>
            </w:r>
          </w:p>
        </w:tc>
      </w:tr>
    </w:tbl>
    <w:p w14:paraId="17A729C1" w14:textId="77777777" w:rsidR="00813B74" w:rsidRPr="00813B74" w:rsidRDefault="00813B74" w:rsidP="00813B74">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622" w:name="_Toc49108"/>
      <w:r w:rsidRPr="00813B74">
        <w:rPr>
          <w:rFonts w:ascii="Arial Narrow" w:eastAsia="Times New Roman" w:hAnsi="Arial Narrow" w:cs="Times New Roman"/>
          <w:b/>
          <w:sz w:val="28"/>
          <w:szCs w:val="20"/>
          <w:lang w:val="x-none" w:eastAsia="x-none"/>
        </w:rPr>
        <w:t>1.7.</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Ogólne wymagania dotyczące robót </w:t>
      </w:r>
      <w:bookmarkEnd w:id="622"/>
    </w:p>
    <w:p w14:paraId="02F988F0"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Ogólne wymagania dotyczące robót podano w D-M-00.00.00 „Wymagania ogólne”. </w:t>
      </w:r>
    </w:p>
    <w:p w14:paraId="3A071F07" w14:textId="77777777" w:rsidR="00813B74" w:rsidRPr="00813B74" w:rsidRDefault="00813B74" w:rsidP="00813B7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23" w:name="_Toc49109"/>
      <w:r w:rsidRPr="00813B74">
        <w:rPr>
          <w:rFonts w:ascii="Arial Narrow" w:eastAsia="Times New Roman" w:hAnsi="Arial Narrow" w:cs="Times New Roman"/>
          <w:b/>
          <w:caps/>
          <w:kern w:val="28"/>
          <w:sz w:val="28"/>
          <w:szCs w:val="20"/>
          <w:lang w:val="x-none" w:eastAsia="x-none"/>
        </w:rPr>
        <w:t>2.</w:t>
      </w:r>
      <w:r w:rsidRPr="00813B74">
        <w:rPr>
          <w:rFonts w:ascii="Arial" w:eastAsia="Arial" w:hAnsi="Arial" w:cs="Arial"/>
          <w:b/>
          <w:caps/>
          <w:kern w:val="28"/>
          <w:sz w:val="28"/>
          <w:szCs w:val="20"/>
          <w:lang w:val="x-none" w:eastAsia="x-none"/>
        </w:rPr>
        <w:t xml:space="preserve"> </w:t>
      </w:r>
      <w:r w:rsidRPr="00813B74">
        <w:rPr>
          <w:rFonts w:ascii="Arial Narrow" w:eastAsia="Times New Roman" w:hAnsi="Arial Narrow" w:cs="Times New Roman"/>
          <w:b/>
          <w:caps/>
          <w:kern w:val="28"/>
          <w:sz w:val="28"/>
          <w:szCs w:val="20"/>
          <w:lang w:val="x-none" w:eastAsia="x-none"/>
        </w:rPr>
        <w:t xml:space="preserve">MATERIAŁY </w:t>
      </w:r>
      <w:bookmarkEnd w:id="623"/>
    </w:p>
    <w:p w14:paraId="3E3E2018" w14:textId="77777777" w:rsidR="00813B74" w:rsidRPr="00813B74" w:rsidRDefault="00813B74" w:rsidP="00813B74">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624" w:name="_Toc49110"/>
      <w:r w:rsidRPr="00813B74">
        <w:rPr>
          <w:rFonts w:ascii="Arial Narrow" w:eastAsia="Times New Roman" w:hAnsi="Arial Narrow" w:cs="Times New Roman"/>
          <w:b/>
          <w:sz w:val="28"/>
          <w:szCs w:val="20"/>
          <w:lang w:val="x-none" w:eastAsia="x-none"/>
        </w:rPr>
        <w:t>2.1.</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Ogólne wymagania dotyczące materiałów </w:t>
      </w:r>
      <w:bookmarkEnd w:id="624"/>
    </w:p>
    <w:p w14:paraId="70620D4F"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Ogólne wymagania dotyczące materiałów, ich pozyskiwania i składowania podano w D-M-00.00.00. „Wymagania ogólne”. </w:t>
      </w:r>
    </w:p>
    <w:p w14:paraId="7CA592AC" w14:textId="77777777" w:rsidR="00813B74" w:rsidRPr="00813B74" w:rsidRDefault="00813B74" w:rsidP="00813B74">
      <w:pPr>
        <w:overflowPunct w:val="0"/>
        <w:autoSpaceDE w:val="0"/>
        <w:autoSpaceDN w:val="0"/>
        <w:adjustRightInd w:val="0"/>
        <w:spacing w:after="0" w:line="240" w:lineRule="auto"/>
        <w:ind w:left="7"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Poszczególne rodzaje materiałów powinny pochodzić ze źródeł zatwierdzonych przez Inżyniera/Inspektora Nadzoru. W przypadku zmiany pochodzenia materiału należy opracować nowe Badanie Typu zgodnie z normą i ponownie przedstawić do akceptacji Inżyniera/Inspektora Nadzoru. </w:t>
      </w:r>
    </w:p>
    <w:p w14:paraId="76F8BDCD"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Wyroby budowlane powinny odpowiadać wymaganiom właściwej specyfikacji technicznej (normy, Krajowej/Europejskiej Oceny Technicznej, aprobaty technicznej) oraz posiadać wszelkie wymagane przepisami dokumenty (np. DWU/KDWU, Certyfikat Zgodności ZKP/Certyfikat Stałości Właściwości Użytkowych, Karta Charakterystyki itp.) </w:t>
      </w:r>
    </w:p>
    <w:p w14:paraId="3F966246"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25" w:name="_Toc49111"/>
      <w:r w:rsidRPr="00813B74">
        <w:rPr>
          <w:rFonts w:ascii="Arial Narrow" w:eastAsia="Times New Roman" w:hAnsi="Arial Narrow" w:cs="Times New Roman"/>
          <w:b/>
          <w:sz w:val="28"/>
          <w:szCs w:val="20"/>
          <w:lang w:val="x-none" w:eastAsia="x-none"/>
        </w:rPr>
        <w:t>2.2.</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Rodzaje materiałów </w:t>
      </w:r>
      <w:bookmarkEnd w:id="625"/>
    </w:p>
    <w:p w14:paraId="0744FA90"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Materiałami stosowanymi do wytwarzania mieszanek związanych cementem są: </w:t>
      </w:r>
    </w:p>
    <w:p w14:paraId="7C4D25B3"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kruszywo, </w:t>
      </w:r>
    </w:p>
    <w:p w14:paraId="36AC377E"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lastRenderedPageBreak/>
        <w:t xml:space="preserve">cement, </w:t>
      </w:r>
    </w:p>
    <w:p w14:paraId="07D9B32B"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woda zarobowa, </w:t>
      </w:r>
    </w:p>
    <w:p w14:paraId="45BB3CA8"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ew. dodatki, </w:t>
      </w:r>
    </w:p>
    <w:p w14:paraId="3B12D02C"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ew. domieszki. </w:t>
      </w:r>
    </w:p>
    <w:p w14:paraId="5BC90B57" w14:textId="77777777" w:rsidR="00813B74" w:rsidRPr="00813B74" w:rsidRDefault="00813B74" w:rsidP="00813B7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813B74">
        <w:rPr>
          <w:rFonts w:ascii="Arial Narrow" w:eastAsia="Times New Roman" w:hAnsi="Arial Narrow" w:cs="Times New Roman"/>
          <w:b/>
          <w:sz w:val="24"/>
          <w:szCs w:val="20"/>
          <w:lang w:val="x-none" w:eastAsia="x-none"/>
        </w:rPr>
        <w:t>2.2.1.</w:t>
      </w:r>
      <w:r w:rsidRPr="00813B74">
        <w:rPr>
          <w:rFonts w:ascii="Arial" w:eastAsia="Arial" w:hAnsi="Arial" w:cs="Arial"/>
          <w:b/>
          <w:sz w:val="24"/>
          <w:szCs w:val="20"/>
          <w:lang w:val="x-none" w:eastAsia="x-none"/>
        </w:rPr>
        <w:t xml:space="preserve"> </w:t>
      </w:r>
      <w:r w:rsidRPr="00813B74">
        <w:rPr>
          <w:rFonts w:ascii="Arial Narrow" w:eastAsia="Times New Roman" w:hAnsi="Arial Narrow" w:cs="Times New Roman"/>
          <w:b/>
          <w:sz w:val="24"/>
          <w:szCs w:val="20"/>
          <w:lang w:val="x-none" w:eastAsia="x-none"/>
        </w:rPr>
        <w:t xml:space="preserve">Kruszywo </w:t>
      </w:r>
    </w:p>
    <w:p w14:paraId="4AC4DCE6"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Do mieszanek można stosować następujące rodzaje kruszyw: </w:t>
      </w:r>
    </w:p>
    <w:p w14:paraId="7D5B4AA7" w14:textId="77777777" w:rsidR="00813B74" w:rsidRPr="00813B74" w:rsidRDefault="00813B74" w:rsidP="00813B74">
      <w:pPr>
        <w:overflowPunct w:val="0"/>
        <w:autoSpaceDE w:val="0"/>
        <w:autoSpaceDN w:val="0"/>
        <w:adjustRightInd w:val="0"/>
        <w:spacing w:after="0" w:line="240" w:lineRule="auto"/>
        <w:ind w:left="1068" w:hanging="360"/>
        <w:textAlignment w:val="baseline"/>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kruszywo naturalne lub sztuczne, </w:t>
      </w:r>
    </w:p>
    <w:p w14:paraId="324BE679" w14:textId="77777777" w:rsidR="00813B74" w:rsidRPr="00813B74" w:rsidRDefault="00813B74" w:rsidP="00813B74">
      <w:pPr>
        <w:overflowPunct w:val="0"/>
        <w:autoSpaceDE w:val="0"/>
        <w:autoSpaceDN w:val="0"/>
        <w:adjustRightInd w:val="0"/>
        <w:spacing w:after="0" w:line="240" w:lineRule="auto"/>
        <w:ind w:left="1068" w:hanging="360"/>
        <w:textAlignment w:val="baseline"/>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kruszywo z recyklingu, </w:t>
      </w:r>
    </w:p>
    <w:p w14:paraId="24D588E6" w14:textId="77777777" w:rsidR="00813B74" w:rsidRPr="00813B74" w:rsidRDefault="00813B74" w:rsidP="00813B74">
      <w:pPr>
        <w:overflowPunct w:val="0"/>
        <w:autoSpaceDE w:val="0"/>
        <w:autoSpaceDN w:val="0"/>
        <w:adjustRightInd w:val="0"/>
        <w:spacing w:after="0" w:line="240" w:lineRule="auto"/>
        <w:ind w:left="1068" w:hanging="360"/>
        <w:textAlignment w:val="baseline"/>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połączenie kruszyw wymienionych w punktach a) i b) z określeniem proporcji kruszyw z a) i b) z dokładnością ± 5% m/m. </w:t>
      </w:r>
    </w:p>
    <w:p w14:paraId="2EF1AA56"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Wymagania wobec kruszywa do warstw podbudowy i warstwy mrozoochronnej przedstawia tabela 1. </w:t>
      </w:r>
      <w:r w:rsidRPr="00813B74">
        <w:rPr>
          <w:rFonts w:ascii="Arial Narrow" w:eastAsia="Times New Roman" w:hAnsi="Arial Narrow" w:cs="Times New Roman"/>
          <w:sz w:val="20"/>
          <w:szCs w:val="20"/>
          <w:lang w:eastAsia="pl-PL"/>
        </w:rPr>
        <w:tab/>
      </w:r>
      <w:r w:rsidRPr="00813B74">
        <w:rPr>
          <w:rFonts w:ascii="Calibri" w:eastAsia="Calibri" w:hAnsi="Calibri" w:cs="Calibri"/>
          <w:szCs w:val="20"/>
          <w:lang w:eastAsia="pl-PL"/>
        </w:rPr>
        <w:t xml:space="preserve"> </w:t>
      </w:r>
    </w:p>
    <w:p w14:paraId="0820635D"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Tabela 1. Wymagane właściwości kruszywa do warstw podbudowy i warstwy mrozoochronnej z mieszanek związanych cementem </w:t>
      </w:r>
    </w:p>
    <w:p w14:paraId="5D908A26" w14:textId="77777777" w:rsidR="00813B74" w:rsidRPr="00813B74" w:rsidRDefault="00813B74" w:rsidP="00813B74">
      <w:pPr>
        <w:overflowPunct w:val="0"/>
        <w:autoSpaceDE w:val="0"/>
        <w:autoSpaceDN w:val="0"/>
        <w:adjustRightInd w:val="0"/>
        <w:spacing w:after="0"/>
        <w:ind w:left="12"/>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 </w:t>
      </w:r>
    </w:p>
    <w:tbl>
      <w:tblPr>
        <w:tblW w:w="9213" w:type="dxa"/>
        <w:tblInd w:w="17" w:type="dxa"/>
        <w:tblCellMar>
          <w:top w:w="48" w:type="dxa"/>
          <w:left w:w="110" w:type="dxa"/>
          <w:right w:w="9" w:type="dxa"/>
        </w:tblCellMar>
        <w:tblLook w:val="04A0" w:firstRow="1" w:lastRow="0" w:firstColumn="1" w:lastColumn="0" w:noHBand="0" w:noVBand="1"/>
      </w:tblPr>
      <w:tblGrid>
        <w:gridCol w:w="2376"/>
        <w:gridCol w:w="1023"/>
        <w:gridCol w:w="962"/>
        <w:gridCol w:w="2241"/>
        <w:gridCol w:w="186"/>
        <w:gridCol w:w="2425"/>
      </w:tblGrid>
      <w:tr w:rsidR="00813B74" w:rsidRPr="00813B74" w14:paraId="523E5410" w14:textId="77777777" w:rsidTr="0072451A">
        <w:trPr>
          <w:trHeight w:val="449"/>
        </w:trPr>
        <w:tc>
          <w:tcPr>
            <w:tcW w:w="23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D10C9D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Właściwość kruszywa </w:t>
            </w:r>
          </w:p>
        </w:tc>
        <w:tc>
          <w:tcPr>
            <w:tcW w:w="102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81B33FC"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Metoda badania wg </w:t>
            </w:r>
          </w:p>
        </w:tc>
        <w:tc>
          <w:tcPr>
            <w:tcW w:w="5814" w:type="dxa"/>
            <w:gridSpan w:val="4"/>
            <w:tcBorders>
              <w:top w:val="single" w:sz="4" w:space="0" w:color="000000"/>
              <w:left w:val="single" w:sz="4" w:space="0" w:color="000000"/>
              <w:bottom w:val="single" w:sz="4" w:space="0" w:color="000000"/>
              <w:right w:val="single" w:sz="4" w:space="0" w:color="000000"/>
            </w:tcBorders>
            <w:shd w:val="clear" w:color="auto" w:fill="auto"/>
          </w:tcPr>
          <w:p w14:paraId="26A63B51"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Wymagania wg PN-EN 13242  dla ruchu kategorii KR1 ÷ KR7 </w:t>
            </w:r>
          </w:p>
        </w:tc>
      </w:tr>
      <w:tr w:rsidR="00813B74" w:rsidRPr="00813B74" w14:paraId="1F4396EB" w14:textId="77777777" w:rsidTr="0072451A">
        <w:trPr>
          <w:trHeight w:val="228"/>
        </w:trPr>
        <w:tc>
          <w:tcPr>
            <w:tcW w:w="0" w:type="auto"/>
            <w:vMerge/>
            <w:tcBorders>
              <w:top w:val="nil"/>
              <w:left w:val="single" w:sz="4" w:space="0" w:color="000000"/>
              <w:bottom w:val="nil"/>
              <w:right w:val="single" w:sz="4" w:space="0" w:color="000000"/>
            </w:tcBorders>
            <w:shd w:val="clear" w:color="auto" w:fill="auto"/>
          </w:tcPr>
          <w:p w14:paraId="3C2BC826"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4" w:space="0" w:color="000000"/>
              <w:bottom w:val="nil"/>
              <w:right w:val="single" w:sz="4" w:space="0" w:color="000000"/>
            </w:tcBorders>
            <w:shd w:val="clear" w:color="auto" w:fill="auto"/>
          </w:tcPr>
          <w:p w14:paraId="76AA2794"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96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8BD476E"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Punkt </w:t>
            </w:r>
          </w:p>
          <w:p w14:paraId="106A521B"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w:t>
            </w:r>
          </w:p>
          <w:p w14:paraId="59DC951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13242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7E51B2C1"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dla kruszywa związanego cementem w warstwie </w:t>
            </w:r>
          </w:p>
        </w:tc>
      </w:tr>
      <w:tr w:rsidR="00813B74" w:rsidRPr="00813B74" w14:paraId="583A2E0E" w14:textId="77777777" w:rsidTr="0072451A">
        <w:trPr>
          <w:trHeight w:val="886"/>
        </w:trPr>
        <w:tc>
          <w:tcPr>
            <w:tcW w:w="0" w:type="auto"/>
            <w:vMerge/>
            <w:tcBorders>
              <w:top w:val="nil"/>
              <w:left w:val="single" w:sz="4" w:space="0" w:color="000000"/>
              <w:bottom w:val="single" w:sz="4" w:space="0" w:color="000000"/>
              <w:right w:val="single" w:sz="4" w:space="0" w:color="000000"/>
            </w:tcBorders>
            <w:shd w:val="clear" w:color="auto" w:fill="auto"/>
          </w:tcPr>
          <w:p w14:paraId="7F01722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14:paraId="75848E77"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14:paraId="795A5ED7"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2241" w:type="dxa"/>
            <w:tcBorders>
              <w:top w:val="single" w:sz="4" w:space="0" w:color="000000"/>
              <w:left w:val="single" w:sz="4" w:space="0" w:color="000000"/>
              <w:bottom w:val="single" w:sz="4" w:space="0" w:color="000000"/>
              <w:right w:val="single" w:sz="4" w:space="0" w:color="000000"/>
            </w:tcBorders>
            <w:shd w:val="clear" w:color="auto" w:fill="auto"/>
          </w:tcPr>
          <w:p w14:paraId="1AF568CD"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podbudowy </w:t>
            </w:r>
          </w:p>
          <w:p w14:paraId="53C23C57"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pomocniczej </w:t>
            </w:r>
          </w:p>
          <w:p w14:paraId="5D91B477"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i warstwy mrozoochronnej </w:t>
            </w:r>
          </w:p>
        </w:tc>
        <w:tc>
          <w:tcPr>
            <w:tcW w:w="261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9C5116C"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podbudowy zasadniczej </w:t>
            </w:r>
          </w:p>
        </w:tc>
      </w:tr>
      <w:tr w:rsidR="00813B74" w:rsidRPr="00813B74" w14:paraId="1C22019C" w14:textId="77777777" w:rsidTr="0072451A">
        <w:trPr>
          <w:trHeight w:val="446"/>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4B05B669"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Frakcje/zestaw sit #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3533C67E"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1E529C47"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4.1–4.2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624214BA"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Zestaw sit podstawowy plus zestaw 1 Wszystkie frakcje dozwolone </w:t>
            </w:r>
          </w:p>
        </w:tc>
      </w:tr>
      <w:tr w:rsidR="00813B74" w:rsidRPr="00813B74" w14:paraId="05247B7A" w14:textId="77777777" w:rsidTr="0072451A">
        <w:trPr>
          <w:trHeight w:val="667"/>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5FA46F93"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Uziarnienie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42593331"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w:t>
            </w:r>
          </w:p>
          <w:p w14:paraId="730DC201"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933-1  </w:t>
            </w:r>
          </w:p>
          <w:p w14:paraId="71D88D15"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1BA94E0D"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4.3.1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4924001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kruszywo grube: kat. G</w:t>
            </w:r>
            <w:r w:rsidRPr="00813B74">
              <w:rPr>
                <w:rFonts w:ascii="Arial Narrow" w:eastAsia="Times New Roman" w:hAnsi="Arial Narrow" w:cs="Times New Roman"/>
                <w:vertAlign w:val="subscript"/>
              </w:rPr>
              <w:t>C</w:t>
            </w:r>
            <w:r w:rsidRPr="00813B74">
              <w:rPr>
                <w:rFonts w:ascii="Arial Narrow" w:eastAsia="Times New Roman" w:hAnsi="Arial Narrow" w:cs="Times New Roman"/>
              </w:rPr>
              <w:t>80/20, kruszywo drobne: kat. G</w:t>
            </w:r>
            <w:r w:rsidRPr="00813B74">
              <w:rPr>
                <w:rFonts w:ascii="Arial Narrow" w:eastAsia="Times New Roman" w:hAnsi="Arial Narrow" w:cs="Times New Roman"/>
                <w:vertAlign w:val="subscript"/>
              </w:rPr>
              <w:t>F</w:t>
            </w:r>
            <w:r w:rsidRPr="00813B74">
              <w:rPr>
                <w:rFonts w:ascii="Arial Narrow" w:eastAsia="Times New Roman" w:hAnsi="Arial Narrow" w:cs="Times New Roman"/>
              </w:rPr>
              <w:t>80,    kruszywo o ciągłym uziarnieniu: kat. G</w:t>
            </w:r>
            <w:r w:rsidRPr="00813B74">
              <w:rPr>
                <w:rFonts w:ascii="Arial Narrow" w:eastAsia="Times New Roman" w:hAnsi="Arial Narrow" w:cs="Times New Roman"/>
                <w:vertAlign w:val="subscript"/>
              </w:rPr>
              <w:t>A</w:t>
            </w:r>
            <w:r w:rsidRPr="00813B74">
              <w:rPr>
                <w:rFonts w:ascii="Arial Narrow" w:eastAsia="Times New Roman" w:hAnsi="Arial Narrow" w:cs="Times New Roman"/>
              </w:rPr>
              <w:t xml:space="preserve">75.    </w:t>
            </w:r>
          </w:p>
        </w:tc>
      </w:tr>
      <w:tr w:rsidR="00813B74" w:rsidRPr="00813B74" w14:paraId="181115FD" w14:textId="77777777" w:rsidTr="0072451A">
        <w:trPr>
          <w:trHeight w:val="886"/>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63A1BA3B"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Ogólne granice i tolerancje uziarnienia kruszywa grubego na sitach pośrednich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4E724B24"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w:t>
            </w:r>
          </w:p>
          <w:p w14:paraId="11B97887"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933-1  </w:t>
            </w:r>
          </w:p>
          <w:p w14:paraId="13517B5C"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37F6214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4.3.2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7866BA96"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Kat. GT</w:t>
            </w:r>
            <w:r w:rsidRPr="00813B74">
              <w:rPr>
                <w:rFonts w:ascii="Arial Narrow" w:eastAsia="Times New Roman" w:hAnsi="Arial Narrow" w:cs="Times New Roman"/>
                <w:vertAlign w:val="subscript"/>
              </w:rPr>
              <w:t>C</w:t>
            </w:r>
            <w:r w:rsidRPr="00813B74">
              <w:rPr>
                <w:rFonts w:ascii="Arial Narrow" w:eastAsia="Times New Roman" w:hAnsi="Arial Narrow" w:cs="Times New Roman"/>
              </w:rPr>
              <w:t xml:space="preserve">NR </w:t>
            </w:r>
          </w:p>
        </w:tc>
      </w:tr>
      <w:tr w:rsidR="00813B74" w:rsidRPr="00813B74" w14:paraId="71B1561D" w14:textId="77777777" w:rsidTr="0072451A">
        <w:trPr>
          <w:trHeight w:val="883"/>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62854A5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Tolerancje typowego uziarnienia kruszywa drobnego i kruszywa o ciągłym uziarnieniu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2E8318F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w:t>
            </w:r>
          </w:p>
          <w:p w14:paraId="7660CE1B"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933-1 </w:t>
            </w:r>
          </w:p>
          <w:p w14:paraId="7ACFEBF9"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159CAD90"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4.3.3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36BB3BC3"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kruszywo drobne: kat. GT</w:t>
            </w:r>
            <w:r w:rsidRPr="00813B74">
              <w:rPr>
                <w:rFonts w:ascii="Arial Narrow" w:eastAsia="Times New Roman" w:hAnsi="Arial Narrow" w:cs="Times New Roman"/>
                <w:vertAlign w:val="subscript"/>
              </w:rPr>
              <w:t>F</w:t>
            </w:r>
            <w:r w:rsidRPr="00813B74">
              <w:rPr>
                <w:rFonts w:ascii="Arial Narrow" w:eastAsia="Times New Roman" w:hAnsi="Arial Narrow" w:cs="Times New Roman"/>
              </w:rPr>
              <w:t xml:space="preserve">NR  </w:t>
            </w:r>
          </w:p>
          <w:p w14:paraId="47F0887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kruszywo o ciągłym uziarnieniu: kat. GT</w:t>
            </w:r>
            <w:r w:rsidRPr="00813B74">
              <w:rPr>
                <w:rFonts w:ascii="Arial Narrow" w:eastAsia="Times New Roman" w:hAnsi="Arial Narrow" w:cs="Times New Roman"/>
                <w:vertAlign w:val="subscript"/>
              </w:rPr>
              <w:t>A</w:t>
            </w:r>
            <w:r w:rsidRPr="00813B74">
              <w:rPr>
                <w:rFonts w:ascii="Arial Narrow" w:eastAsia="Times New Roman" w:hAnsi="Arial Narrow" w:cs="Times New Roman"/>
              </w:rPr>
              <w:t xml:space="preserve">NR </w:t>
            </w:r>
          </w:p>
        </w:tc>
      </w:tr>
      <w:tr w:rsidR="00813B74" w:rsidRPr="00813B74" w14:paraId="6A3AD274" w14:textId="77777777" w:rsidTr="0072451A">
        <w:trPr>
          <w:trHeight w:val="886"/>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3B41788B"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Kształt kruszywa grubego – maksymalne wartości wskaźnika płaskości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59BA3673"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w:t>
            </w:r>
          </w:p>
          <w:p w14:paraId="57C7BE54"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933-3</w:t>
            </w:r>
            <w:r w:rsidRPr="00813B74">
              <w:rPr>
                <w:rFonts w:ascii="Arial Narrow" w:eastAsia="Times New Roman" w:hAnsi="Arial Narrow" w:cs="Times New Roman"/>
                <w:vertAlign w:val="superscript"/>
              </w:rPr>
              <w:t>*)</w:t>
            </w:r>
            <w:r w:rsidRPr="00813B74">
              <w:rPr>
                <w:rFonts w:ascii="Arial Narrow" w:eastAsia="Times New Roman" w:hAnsi="Arial Narrow" w:cs="Times New Roman"/>
              </w:rPr>
              <w:t xml:space="preserve">  </w:t>
            </w:r>
            <w:r w:rsidRPr="00813B74">
              <w:rPr>
                <w:rFonts w:ascii="Arial Narrow" w:eastAsia="Times New Roman" w:hAnsi="Arial Narrow" w:cs="Times New Roman"/>
                <w:vertAlign w:val="superscript"/>
              </w:rPr>
              <w:t xml:space="preserve">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24DD9394"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4.4 </w:t>
            </w:r>
          </w:p>
        </w:tc>
        <w:tc>
          <w:tcPr>
            <w:tcW w:w="2241" w:type="dxa"/>
            <w:tcBorders>
              <w:top w:val="single" w:sz="4" w:space="0" w:color="000000"/>
              <w:left w:val="single" w:sz="4" w:space="0" w:color="000000"/>
              <w:bottom w:val="single" w:sz="4" w:space="0" w:color="000000"/>
              <w:right w:val="single" w:sz="4" w:space="0" w:color="000000"/>
            </w:tcBorders>
            <w:shd w:val="clear" w:color="auto" w:fill="auto"/>
          </w:tcPr>
          <w:p w14:paraId="6373604B"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Kat. FI</w:t>
            </w:r>
            <w:r w:rsidRPr="00813B74">
              <w:rPr>
                <w:rFonts w:ascii="Arial Narrow" w:eastAsia="Times New Roman" w:hAnsi="Arial Narrow" w:cs="Times New Roman"/>
                <w:sz w:val="12"/>
              </w:rPr>
              <w:t>Deklarowana</w:t>
            </w:r>
            <w:r w:rsidRPr="00813B74">
              <w:rPr>
                <w:rFonts w:ascii="Arial Narrow" w:eastAsia="Times New Roman" w:hAnsi="Arial Narrow" w:cs="Times New Roman"/>
              </w:rPr>
              <w:t xml:space="preserve"> </w:t>
            </w:r>
          </w:p>
        </w:tc>
        <w:tc>
          <w:tcPr>
            <w:tcW w:w="2611" w:type="dxa"/>
            <w:gridSpan w:val="2"/>
            <w:tcBorders>
              <w:top w:val="single" w:sz="4" w:space="0" w:color="000000"/>
              <w:left w:val="single" w:sz="4" w:space="0" w:color="000000"/>
              <w:bottom w:val="single" w:sz="4" w:space="0" w:color="000000"/>
              <w:right w:val="single" w:sz="4" w:space="0" w:color="000000"/>
            </w:tcBorders>
            <w:shd w:val="clear" w:color="auto" w:fill="auto"/>
          </w:tcPr>
          <w:p w14:paraId="5C41FAAE"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Kat. FI</w:t>
            </w:r>
            <w:r w:rsidRPr="00813B74">
              <w:rPr>
                <w:rFonts w:ascii="Arial Narrow" w:eastAsia="Times New Roman" w:hAnsi="Arial Narrow" w:cs="Times New Roman"/>
                <w:vertAlign w:val="subscript"/>
              </w:rPr>
              <w:t>50</w:t>
            </w:r>
            <w:r w:rsidRPr="00813B74">
              <w:rPr>
                <w:rFonts w:ascii="Arial Narrow" w:eastAsia="Times New Roman" w:hAnsi="Arial Narrow" w:cs="Times New Roman"/>
              </w:rPr>
              <w:t xml:space="preserve"> </w:t>
            </w:r>
          </w:p>
        </w:tc>
      </w:tr>
      <w:tr w:rsidR="00813B74" w:rsidRPr="00813B74" w14:paraId="415F1FC2" w14:textId="77777777" w:rsidTr="0072451A">
        <w:trPr>
          <w:trHeight w:val="886"/>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6DA8A5E6"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Kształt kruszywa grubego – maksymalne wartości wskaźnika kształtu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79F148C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w:t>
            </w:r>
          </w:p>
          <w:p w14:paraId="3881435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933-4</w:t>
            </w:r>
            <w:r w:rsidRPr="00813B74">
              <w:rPr>
                <w:rFonts w:ascii="Arial Narrow" w:eastAsia="Times New Roman" w:hAnsi="Arial Narrow" w:cs="Times New Roman"/>
                <w:vertAlign w:val="superscript"/>
              </w:rPr>
              <w:t>*)</w:t>
            </w:r>
            <w:r w:rsidRPr="00813B74">
              <w:rPr>
                <w:rFonts w:ascii="Arial Narrow" w:eastAsia="Times New Roman" w:hAnsi="Arial Narrow" w:cs="Times New Roman"/>
              </w:rPr>
              <w:t xml:space="preserve">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520267F5"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4.4 </w:t>
            </w:r>
          </w:p>
        </w:tc>
        <w:tc>
          <w:tcPr>
            <w:tcW w:w="2241" w:type="dxa"/>
            <w:tcBorders>
              <w:top w:val="single" w:sz="4" w:space="0" w:color="000000"/>
              <w:left w:val="single" w:sz="4" w:space="0" w:color="000000"/>
              <w:bottom w:val="single" w:sz="4" w:space="0" w:color="000000"/>
              <w:right w:val="single" w:sz="4" w:space="0" w:color="000000"/>
            </w:tcBorders>
            <w:shd w:val="clear" w:color="auto" w:fill="auto"/>
          </w:tcPr>
          <w:p w14:paraId="415AF0AE"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Kat. SI</w:t>
            </w:r>
            <w:r w:rsidRPr="00813B74">
              <w:rPr>
                <w:rFonts w:ascii="Arial Narrow" w:eastAsia="Times New Roman" w:hAnsi="Arial Narrow" w:cs="Times New Roman"/>
                <w:sz w:val="12"/>
              </w:rPr>
              <w:t>Deklaroowana</w:t>
            </w:r>
            <w:r w:rsidRPr="00813B74">
              <w:rPr>
                <w:rFonts w:ascii="Arial Narrow" w:eastAsia="Times New Roman" w:hAnsi="Arial Narrow" w:cs="Times New Roman"/>
              </w:rPr>
              <w:t xml:space="preserve"> </w:t>
            </w:r>
          </w:p>
        </w:tc>
        <w:tc>
          <w:tcPr>
            <w:tcW w:w="2611" w:type="dxa"/>
            <w:gridSpan w:val="2"/>
            <w:tcBorders>
              <w:top w:val="single" w:sz="4" w:space="0" w:color="000000"/>
              <w:left w:val="single" w:sz="4" w:space="0" w:color="000000"/>
              <w:bottom w:val="single" w:sz="4" w:space="0" w:color="000000"/>
              <w:right w:val="single" w:sz="4" w:space="0" w:color="000000"/>
            </w:tcBorders>
            <w:shd w:val="clear" w:color="auto" w:fill="auto"/>
          </w:tcPr>
          <w:p w14:paraId="58D01269"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Kat. SI</w:t>
            </w:r>
            <w:r w:rsidRPr="00813B74">
              <w:rPr>
                <w:rFonts w:ascii="Arial Narrow" w:eastAsia="Times New Roman" w:hAnsi="Arial Narrow" w:cs="Times New Roman"/>
                <w:vertAlign w:val="subscript"/>
              </w:rPr>
              <w:t>55</w:t>
            </w:r>
            <w:r w:rsidRPr="00813B74">
              <w:rPr>
                <w:rFonts w:ascii="Arial Narrow" w:eastAsia="Times New Roman" w:hAnsi="Arial Narrow" w:cs="Times New Roman"/>
              </w:rPr>
              <w:t xml:space="preserve"> </w:t>
            </w:r>
          </w:p>
        </w:tc>
      </w:tr>
      <w:tr w:rsidR="00813B74" w:rsidRPr="00813B74" w14:paraId="5B6047CC" w14:textId="77777777" w:rsidTr="0072451A">
        <w:trPr>
          <w:trHeight w:val="1978"/>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7952389B"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Kategorie procentowych zawartości ziaren o powierzchniach przekruszonych lub łamanych oraz ziaren </w:t>
            </w:r>
          </w:p>
          <w:p w14:paraId="6252780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całkowicie zaokrąglonych w kruszywie grubym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10D4CB11"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933-5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4E7F0911"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4.5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7A8BAC5C"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Kat. C</w:t>
            </w:r>
            <w:r w:rsidRPr="00813B74">
              <w:rPr>
                <w:rFonts w:ascii="Arial Narrow" w:eastAsia="Times New Roman" w:hAnsi="Arial Narrow" w:cs="Times New Roman"/>
                <w:vertAlign w:val="subscript"/>
              </w:rPr>
              <w:t>NR</w:t>
            </w:r>
            <w:r w:rsidRPr="00813B74">
              <w:rPr>
                <w:rFonts w:ascii="Arial Narrow" w:eastAsia="Times New Roman" w:hAnsi="Arial Narrow" w:cs="Times New Roman"/>
              </w:rPr>
              <w:t xml:space="preserve"> </w:t>
            </w:r>
          </w:p>
        </w:tc>
      </w:tr>
      <w:tr w:rsidR="00813B74" w:rsidRPr="00813B74" w14:paraId="4EF37E6A" w14:textId="77777777" w:rsidTr="0072451A">
        <w:trPr>
          <w:trHeight w:val="449"/>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17AF390D"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Zawartość pyłów</w:t>
            </w:r>
            <w:r w:rsidRPr="00813B74">
              <w:rPr>
                <w:rFonts w:ascii="Arial Narrow" w:eastAsia="Times New Roman" w:hAnsi="Arial Narrow" w:cs="Times New Roman"/>
                <w:vertAlign w:val="superscript"/>
              </w:rPr>
              <w:t>**)</w:t>
            </w:r>
            <w:r w:rsidRPr="00813B74">
              <w:rPr>
                <w:rFonts w:ascii="Arial Narrow" w:eastAsia="Times New Roman" w:hAnsi="Arial Narrow" w:cs="Times New Roman"/>
              </w:rPr>
              <w:t xml:space="preserve"> w kruszywie grubym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382C5654"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933-1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17F8AD9C"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4.6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3A28EC06"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Kat. f</w:t>
            </w:r>
            <w:r w:rsidRPr="00813B74">
              <w:rPr>
                <w:rFonts w:ascii="Arial Narrow" w:eastAsia="Times New Roman" w:hAnsi="Arial Narrow" w:cs="Times New Roman"/>
                <w:vertAlign w:val="subscript"/>
              </w:rPr>
              <w:t>Deklarowana</w:t>
            </w:r>
            <w:r w:rsidRPr="00813B74">
              <w:rPr>
                <w:rFonts w:ascii="Arial Narrow" w:eastAsia="Times New Roman" w:hAnsi="Arial Narrow" w:cs="Times New Roman"/>
              </w:rPr>
              <w:t xml:space="preserve"> </w:t>
            </w:r>
          </w:p>
        </w:tc>
      </w:tr>
      <w:tr w:rsidR="00813B74" w:rsidRPr="00813B74" w14:paraId="4F51187A" w14:textId="77777777" w:rsidTr="0072451A">
        <w:trPr>
          <w:trHeight w:val="446"/>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6E459959"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Zawartość pyłów</w:t>
            </w:r>
            <w:r w:rsidRPr="00813B74">
              <w:rPr>
                <w:rFonts w:ascii="Arial Narrow" w:eastAsia="Times New Roman" w:hAnsi="Arial Narrow" w:cs="Times New Roman"/>
                <w:vertAlign w:val="superscript"/>
              </w:rPr>
              <w:t xml:space="preserve">**)  </w:t>
            </w:r>
            <w:r w:rsidRPr="00813B74">
              <w:rPr>
                <w:rFonts w:ascii="Arial Narrow" w:eastAsia="Times New Roman" w:hAnsi="Arial Narrow" w:cs="Times New Roman"/>
              </w:rPr>
              <w:t xml:space="preserve"> w  kruszywie drobnym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7F18DA4C"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933-1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777B964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4.6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5B405D8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Kat. f</w:t>
            </w:r>
            <w:r w:rsidRPr="00813B74">
              <w:rPr>
                <w:rFonts w:ascii="Arial Narrow" w:eastAsia="Times New Roman" w:hAnsi="Arial Narrow" w:cs="Times New Roman"/>
                <w:vertAlign w:val="subscript"/>
              </w:rPr>
              <w:t>Deklarowana</w:t>
            </w:r>
            <w:r w:rsidRPr="00813B74">
              <w:rPr>
                <w:rFonts w:ascii="Arial Narrow" w:eastAsia="Times New Roman" w:hAnsi="Arial Narrow" w:cs="Times New Roman"/>
              </w:rPr>
              <w:t xml:space="preserve"> </w:t>
            </w:r>
          </w:p>
        </w:tc>
      </w:tr>
      <w:tr w:rsidR="00813B74" w:rsidRPr="00813B74" w14:paraId="766E21F5" w14:textId="77777777" w:rsidTr="0072451A">
        <w:trPr>
          <w:trHeight w:val="230"/>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7524D3A3"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Jakość pyłów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20D813D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1C7D1FA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4.7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073424A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Brak wymagań </w:t>
            </w:r>
          </w:p>
        </w:tc>
      </w:tr>
      <w:tr w:rsidR="00813B74" w:rsidRPr="00813B74" w14:paraId="0463A720" w14:textId="77777777" w:rsidTr="0072451A">
        <w:trPr>
          <w:trHeight w:val="665"/>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7A199C4D"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lastRenderedPageBreak/>
              <w:t xml:space="preserve">Odporność na rozdrabnianie kruszywa grubego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438E302E"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1097-2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40DB3871"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5.2 </w:t>
            </w:r>
          </w:p>
        </w:tc>
        <w:tc>
          <w:tcPr>
            <w:tcW w:w="2241" w:type="dxa"/>
            <w:tcBorders>
              <w:top w:val="single" w:sz="4" w:space="0" w:color="000000"/>
              <w:left w:val="single" w:sz="4" w:space="0" w:color="000000"/>
              <w:bottom w:val="single" w:sz="4" w:space="0" w:color="000000"/>
              <w:right w:val="single" w:sz="4" w:space="0" w:color="000000"/>
            </w:tcBorders>
            <w:shd w:val="clear" w:color="auto" w:fill="auto"/>
          </w:tcPr>
          <w:p w14:paraId="351117D3"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Kat. LA</w:t>
            </w:r>
            <w:r w:rsidRPr="00813B74">
              <w:rPr>
                <w:rFonts w:ascii="Arial Narrow" w:eastAsia="Times New Roman" w:hAnsi="Arial Narrow" w:cs="Times New Roman"/>
                <w:vertAlign w:val="subscript"/>
              </w:rPr>
              <w:t>60</w:t>
            </w:r>
            <w:r w:rsidRPr="00813B74">
              <w:rPr>
                <w:rFonts w:ascii="Arial Narrow" w:eastAsia="Times New Roman" w:hAnsi="Arial Narrow" w:cs="Times New Roman"/>
              </w:rPr>
              <w:t xml:space="preserve"> </w:t>
            </w:r>
          </w:p>
        </w:tc>
        <w:tc>
          <w:tcPr>
            <w:tcW w:w="2611" w:type="dxa"/>
            <w:gridSpan w:val="2"/>
            <w:tcBorders>
              <w:top w:val="single" w:sz="4" w:space="0" w:color="000000"/>
              <w:left w:val="single" w:sz="4" w:space="0" w:color="000000"/>
              <w:bottom w:val="single" w:sz="4" w:space="0" w:color="000000"/>
              <w:right w:val="single" w:sz="4" w:space="0" w:color="000000"/>
            </w:tcBorders>
            <w:shd w:val="clear" w:color="auto" w:fill="auto"/>
          </w:tcPr>
          <w:p w14:paraId="6BCBCC25"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Kat. LA</w:t>
            </w:r>
            <w:r w:rsidRPr="00813B74">
              <w:rPr>
                <w:rFonts w:ascii="Arial Narrow" w:eastAsia="Times New Roman" w:hAnsi="Arial Narrow" w:cs="Times New Roman"/>
                <w:vertAlign w:val="subscript"/>
              </w:rPr>
              <w:t>50</w:t>
            </w:r>
            <w:r w:rsidRPr="00813B74">
              <w:rPr>
                <w:rFonts w:ascii="Arial Narrow" w:eastAsia="Times New Roman" w:hAnsi="Arial Narrow" w:cs="Times New Roman"/>
              </w:rPr>
              <w:t xml:space="preserve"> </w:t>
            </w:r>
          </w:p>
        </w:tc>
      </w:tr>
      <w:tr w:rsidR="00813B74" w:rsidRPr="00813B74" w14:paraId="4F84D6AF" w14:textId="77777777" w:rsidTr="0072451A">
        <w:trPr>
          <w:trHeight w:val="449"/>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7E0F1784"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Odporność na ścieranie kruszyw grubych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24061931"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w:t>
            </w:r>
          </w:p>
          <w:p w14:paraId="1901388E"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1097-1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5EE36B90"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5.3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55A2543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Kat. M</w:t>
            </w:r>
            <w:r w:rsidRPr="00813B74">
              <w:rPr>
                <w:rFonts w:ascii="Arial Narrow" w:eastAsia="Times New Roman" w:hAnsi="Arial Narrow" w:cs="Times New Roman"/>
                <w:vertAlign w:val="subscript"/>
              </w:rPr>
              <w:t>DE</w:t>
            </w:r>
            <w:r w:rsidRPr="00813B74">
              <w:rPr>
                <w:rFonts w:ascii="Arial Narrow" w:eastAsia="Times New Roman" w:hAnsi="Arial Narrow" w:cs="Times New Roman"/>
              </w:rPr>
              <w:t xml:space="preserve">NR </w:t>
            </w:r>
          </w:p>
        </w:tc>
      </w:tr>
      <w:tr w:rsidR="00813B74" w:rsidRPr="00813B74" w14:paraId="46977344" w14:textId="77777777" w:rsidTr="0072451A">
        <w:trPr>
          <w:trHeight w:val="886"/>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362CCD3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Gęstość ziaren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6FC9A86B"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w:t>
            </w:r>
          </w:p>
          <w:p w14:paraId="264F113A"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1097-6, roz. 7, 8 i 9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42549764"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5.4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4240AF7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Deklarowana </w:t>
            </w:r>
          </w:p>
        </w:tc>
      </w:tr>
      <w:tr w:rsidR="00813B74" w:rsidRPr="00813B74" w14:paraId="7A0271B3" w14:textId="77777777" w:rsidTr="0072451A">
        <w:trPr>
          <w:trHeight w:val="446"/>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3B2DE327"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Siarczany </w:t>
            </w:r>
          </w:p>
          <w:p w14:paraId="6A7014C6"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rozpuszczalne w kwasie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68D9E650"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1744-1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0A658AF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6.2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749101E4"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Kruszywo kamienne:  kat. AS</w:t>
            </w:r>
            <w:r w:rsidRPr="00813B74">
              <w:rPr>
                <w:rFonts w:ascii="Arial Narrow" w:eastAsia="Times New Roman" w:hAnsi="Arial Narrow" w:cs="Times New Roman"/>
                <w:vertAlign w:val="subscript"/>
              </w:rPr>
              <w:t>0,2</w:t>
            </w:r>
            <w:r w:rsidRPr="00813B74">
              <w:rPr>
                <w:rFonts w:ascii="Arial Narrow" w:eastAsia="Times New Roman" w:hAnsi="Arial Narrow" w:cs="Times New Roman"/>
              </w:rPr>
              <w:t xml:space="preserve"> żużel kawałkowy wielkopiecowy: kat. AS</w:t>
            </w:r>
            <w:r w:rsidRPr="00813B74">
              <w:rPr>
                <w:rFonts w:ascii="Arial Narrow" w:eastAsia="Times New Roman" w:hAnsi="Arial Narrow" w:cs="Times New Roman"/>
                <w:vertAlign w:val="subscript"/>
              </w:rPr>
              <w:t>1,0</w:t>
            </w:r>
            <w:r w:rsidRPr="00813B74">
              <w:rPr>
                <w:rFonts w:ascii="Arial Narrow" w:eastAsia="Times New Roman" w:hAnsi="Arial Narrow" w:cs="Times New Roman"/>
              </w:rPr>
              <w:t xml:space="preserve"> </w:t>
            </w:r>
          </w:p>
        </w:tc>
      </w:tr>
      <w:tr w:rsidR="00813B74" w:rsidRPr="00813B74" w14:paraId="6DED09DC" w14:textId="77777777" w:rsidTr="0072451A">
        <w:trPr>
          <w:trHeight w:val="449"/>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4AD0D331"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Całkowita zawartość siarki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4842DFA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1744-1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488C111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6.3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40789B5D"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Kruszywo kamienne: kat. S</w:t>
            </w:r>
            <w:r w:rsidRPr="00813B74">
              <w:rPr>
                <w:rFonts w:ascii="Arial Narrow" w:eastAsia="Times New Roman" w:hAnsi="Arial Narrow" w:cs="Times New Roman"/>
                <w:vertAlign w:val="subscript"/>
              </w:rPr>
              <w:t>NR</w:t>
            </w:r>
            <w:r w:rsidRPr="00813B74">
              <w:rPr>
                <w:rFonts w:ascii="Arial Narrow" w:eastAsia="Times New Roman" w:hAnsi="Arial Narrow" w:cs="Times New Roman"/>
              </w:rPr>
              <w:t>, żużel kawałkowy wielkopiecowy: kat. S</w:t>
            </w:r>
            <w:r w:rsidRPr="00813B74">
              <w:rPr>
                <w:rFonts w:ascii="Arial Narrow" w:eastAsia="Times New Roman" w:hAnsi="Arial Narrow" w:cs="Times New Roman"/>
                <w:vertAlign w:val="subscript"/>
              </w:rPr>
              <w:t>2</w:t>
            </w:r>
            <w:r w:rsidRPr="00813B74">
              <w:rPr>
                <w:rFonts w:ascii="Arial Narrow" w:eastAsia="Times New Roman" w:hAnsi="Arial Narrow" w:cs="Times New Roman"/>
              </w:rPr>
              <w:t xml:space="preserve"> </w:t>
            </w:r>
          </w:p>
        </w:tc>
      </w:tr>
      <w:tr w:rsidR="00813B74" w:rsidRPr="00813B74" w14:paraId="694C14D6" w14:textId="77777777" w:rsidTr="0072451A">
        <w:trPr>
          <w:trHeight w:val="1104"/>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39A03D46"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Składniki wpływające na szybkość wiązania i twardnienia mieszanek  związanych   hydraulicznie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535B861D"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1744-1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7934DEA6"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6.4.1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7C4E7785"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Deklarowana </w:t>
            </w:r>
          </w:p>
        </w:tc>
      </w:tr>
      <w:tr w:rsidR="00813B74" w:rsidRPr="00813B74" w14:paraId="6865A866" w14:textId="77777777" w:rsidTr="0072451A">
        <w:trPr>
          <w:trHeight w:val="886"/>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26C848C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Stałość objętości żużla stalowniczego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6C9C0D5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1744-1, roz. 19.3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39B8E520"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6.4.2.1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053AD5B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Kat. V</w:t>
            </w:r>
            <w:r w:rsidRPr="00813B74">
              <w:rPr>
                <w:rFonts w:ascii="Arial Narrow" w:eastAsia="Times New Roman" w:hAnsi="Arial Narrow" w:cs="Times New Roman"/>
                <w:vertAlign w:val="subscript"/>
              </w:rPr>
              <w:t>5</w:t>
            </w:r>
            <w:r w:rsidRPr="00813B74">
              <w:rPr>
                <w:rFonts w:ascii="Arial Narrow" w:eastAsia="Times New Roman" w:hAnsi="Arial Narrow" w:cs="Times New Roman"/>
              </w:rPr>
              <w:t xml:space="preserve"> </w:t>
            </w:r>
          </w:p>
          <w:p w14:paraId="3D25A63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r>
      <w:tr w:rsidR="00813B74" w:rsidRPr="00813B74" w14:paraId="126A9456" w14:textId="77777777" w:rsidTr="0072451A">
        <w:trPr>
          <w:trHeight w:val="667"/>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1EFA41E6"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Rozpad krzemianowy w żużlu wielkopiec. kawałkowym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01BEDD2A"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w:t>
            </w:r>
          </w:p>
          <w:p w14:paraId="1237481C"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1744-1, </w:t>
            </w:r>
          </w:p>
          <w:p w14:paraId="6DD6285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 19.1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4BD5D3F0"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6.4.2.2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65308BA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Brak rozpadu </w:t>
            </w:r>
          </w:p>
        </w:tc>
      </w:tr>
      <w:tr w:rsidR="00813B74" w:rsidRPr="00813B74" w14:paraId="55F41965" w14:textId="77777777" w:rsidTr="0072451A">
        <w:trPr>
          <w:trHeight w:val="665"/>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1DC954BA"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Rozpad żelazawy w żużlu wielkopiec. kawałkowym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4FC420DC"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1744-1, p.19.2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322D8817"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6.4.2.3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17CAB0FA"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Brak rozpadu </w:t>
            </w:r>
          </w:p>
        </w:tc>
      </w:tr>
      <w:tr w:rsidR="00813B74" w:rsidRPr="00813B74" w14:paraId="5A8A57D0" w14:textId="77777777" w:rsidTr="0072451A">
        <w:trPr>
          <w:trHeight w:val="449"/>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107F28D6"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Składniki rozpuszczalne w wodzie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794E57DB"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w:t>
            </w:r>
          </w:p>
          <w:p w14:paraId="4D8D5CA7"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1744-3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43284251"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6.4.3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7A84FA7C"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Brak substancji szkodliwych dla środowiska wg odrębnych przepisów </w:t>
            </w:r>
          </w:p>
        </w:tc>
      </w:tr>
      <w:tr w:rsidR="00813B74" w:rsidRPr="00813B74" w14:paraId="05278BE7" w14:textId="77777777" w:rsidTr="0072451A">
        <w:trPr>
          <w:trHeight w:val="447"/>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0857AEA4"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Zanieczyszczenia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26D38885"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1C291FF9"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6.4.4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70BC5C23"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Brak ciał obcych takich jak drewno, szkło i plastik, mogących pogorszyć wyrób końcowy </w:t>
            </w:r>
          </w:p>
        </w:tc>
      </w:tr>
      <w:tr w:rsidR="00813B74" w:rsidRPr="00813B74" w14:paraId="4CE841FD" w14:textId="77777777" w:rsidTr="0072451A">
        <w:trPr>
          <w:trHeight w:val="886"/>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592EC0A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Zgorzel słoneczna bazaltu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71A1DF85"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w:t>
            </w:r>
          </w:p>
          <w:p w14:paraId="6A08E02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1367-3 i </w:t>
            </w:r>
          </w:p>
          <w:p w14:paraId="718B6B10"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w:t>
            </w:r>
          </w:p>
          <w:p w14:paraId="0C97488A"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1097-2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22C69633"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7.2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377CE19E"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Kat. SB</w:t>
            </w:r>
            <w:r w:rsidRPr="00813B74">
              <w:rPr>
                <w:rFonts w:ascii="Arial Narrow" w:eastAsia="Times New Roman" w:hAnsi="Arial Narrow" w:cs="Times New Roman"/>
                <w:vertAlign w:val="subscript"/>
              </w:rPr>
              <w:t>LA</w:t>
            </w:r>
            <w:r w:rsidRPr="00813B74">
              <w:rPr>
                <w:rFonts w:ascii="Arial Narrow" w:eastAsia="Times New Roman" w:hAnsi="Arial Narrow" w:cs="Times New Roman"/>
              </w:rPr>
              <w:t xml:space="preserve"> </w:t>
            </w:r>
          </w:p>
        </w:tc>
      </w:tr>
      <w:tr w:rsidR="00813B74" w:rsidRPr="00813B74" w14:paraId="04FA164A" w14:textId="77777777" w:rsidTr="0072451A">
        <w:trPr>
          <w:trHeight w:val="1541"/>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05386DB7"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Nasiąkliwość  (Jeśli kruszywo nie spełni warunku W</w:t>
            </w:r>
            <w:r w:rsidRPr="00813B74">
              <w:rPr>
                <w:rFonts w:ascii="Arial Narrow" w:eastAsia="Times New Roman" w:hAnsi="Arial Narrow" w:cs="Times New Roman"/>
                <w:vertAlign w:val="subscript"/>
              </w:rPr>
              <w:t>24</w:t>
            </w:r>
            <w:r w:rsidRPr="00813B74">
              <w:rPr>
                <w:rFonts w:ascii="Arial Narrow" w:eastAsia="Times New Roman" w:hAnsi="Arial Narrow" w:cs="Times New Roman"/>
              </w:rPr>
              <w:t xml:space="preserve">2, to należy zba- dać jego mrozoodporność wg p. 7.3.3 – wiersz poniżej)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60D5C10C"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1097-6, roz. 7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035BD2B6"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7.3.2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74AF526D"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Kat. W</w:t>
            </w:r>
            <w:r w:rsidRPr="00813B74">
              <w:rPr>
                <w:rFonts w:ascii="Arial Narrow" w:eastAsia="Times New Roman" w:hAnsi="Arial Narrow" w:cs="Times New Roman"/>
                <w:vertAlign w:val="subscript"/>
              </w:rPr>
              <w:t>24</w:t>
            </w:r>
            <w:r w:rsidRPr="00813B74">
              <w:rPr>
                <w:rFonts w:ascii="Arial Narrow" w:eastAsia="Times New Roman" w:hAnsi="Arial Narrow" w:cs="Times New Roman"/>
              </w:rPr>
              <w:t xml:space="preserve">2 </w:t>
            </w:r>
          </w:p>
        </w:tc>
      </w:tr>
      <w:tr w:rsidR="00813B74" w:rsidRPr="00813B74" w14:paraId="17F8B273" w14:textId="77777777" w:rsidTr="0072451A">
        <w:trPr>
          <w:trHeight w:val="1541"/>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0935BD93"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Mrozoodporność na frakcji kruszywa 8/16 mm  (Badanie wykonywane tylko w przypadku, gdy nasiąkliwość kruszywa przekracza WA</w:t>
            </w:r>
            <w:r w:rsidRPr="00813B74">
              <w:rPr>
                <w:rFonts w:ascii="Arial Narrow" w:eastAsia="Times New Roman" w:hAnsi="Arial Narrow" w:cs="Times New Roman"/>
                <w:vertAlign w:val="subscript"/>
              </w:rPr>
              <w:t>24</w:t>
            </w:r>
            <w:r w:rsidRPr="00813B74">
              <w:rPr>
                <w:rFonts w:ascii="Arial Narrow" w:eastAsia="Times New Roman" w:hAnsi="Arial Narrow" w:cs="Times New Roman"/>
              </w:rPr>
              <w:t xml:space="preserve">2)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6DB655B7"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PN-EN </w:t>
            </w:r>
          </w:p>
          <w:p w14:paraId="070338DB"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1367-1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21A8E847"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7.3.3 </w:t>
            </w:r>
          </w:p>
        </w:tc>
        <w:tc>
          <w:tcPr>
            <w:tcW w:w="2427" w:type="dxa"/>
            <w:gridSpan w:val="2"/>
            <w:tcBorders>
              <w:top w:val="single" w:sz="4" w:space="0" w:color="000000"/>
              <w:left w:val="single" w:sz="4" w:space="0" w:color="000000"/>
              <w:bottom w:val="single" w:sz="4" w:space="0" w:color="000000"/>
              <w:right w:val="single" w:sz="4" w:space="0" w:color="000000"/>
            </w:tcBorders>
            <w:shd w:val="clear" w:color="auto" w:fill="auto"/>
          </w:tcPr>
          <w:p w14:paraId="67E3A08A"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Skały magmowe i przeobrażo- </w:t>
            </w:r>
          </w:p>
          <w:p w14:paraId="2292C98B"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ne: kat. F</w:t>
            </w:r>
            <w:r w:rsidRPr="00813B74">
              <w:rPr>
                <w:rFonts w:ascii="Arial Narrow" w:eastAsia="Times New Roman" w:hAnsi="Arial Narrow" w:cs="Times New Roman"/>
                <w:vertAlign w:val="subscript"/>
              </w:rPr>
              <w:t>4</w:t>
            </w:r>
            <w:r w:rsidRPr="00813B74">
              <w:rPr>
                <w:rFonts w:ascii="Arial Narrow" w:eastAsia="Times New Roman" w:hAnsi="Arial Narrow" w:cs="Times New Roman"/>
              </w:rPr>
              <w:t xml:space="preserve"> skały osadowe: kat. F</w:t>
            </w:r>
            <w:r w:rsidRPr="00813B74">
              <w:rPr>
                <w:rFonts w:ascii="Arial Narrow" w:eastAsia="Times New Roman" w:hAnsi="Arial Narrow" w:cs="Times New Roman"/>
                <w:vertAlign w:val="subscript"/>
              </w:rPr>
              <w:t>10</w:t>
            </w:r>
            <w:r w:rsidRPr="00813B74">
              <w:rPr>
                <w:rFonts w:ascii="Arial Narrow" w:eastAsia="Times New Roman" w:hAnsi="Arial Narrow" w:cs="Times New Roman"/>
              </w:rPr>
              <w:t xml:space="preserve">, </w:t>
            </w:r>
          </w:p>
          <w:p w14:paraId="744A9330"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kruszywa z recyklingu: </w:t>
            </w:r>
          </w:p>
          <w:p w14:paraId="6BFD9364"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kat. F</w:t>
            </w:r>
            <w:r w:rsidRPr="00813B74">
              <w:rPr>
                <w:rFonts w:ascii="Arial Narrow" w:eastAsia="Times New Roman" w:hAnsi="Arial Narrow" w:cs="Times New Roman"/>
                <w:vertAlign w:val="subscript"/>
              </w:rPr>
              <w:t>10</w:t>
            </w:r>
            <w:r w:rsidRPr="00813B74">
              <w:rPr>
                <w:rFonts w:ascii="Arial Narrow" w:eastAsia="Times New Roman" w:hAnsi="Arial Narrow" w:cs="Times New Roman"/>
              </w:rPr>
              <w:t xml:space="preserve"> (F</w:t>
            </w:r>
            <w:r w:rsidRPr="00813B74">
              <w:rPr>
                <w:rFonts w:ascii="Arial Narrow" w:eastAsia="Times New Roman" w:hAnsi="Arial Narrow" w:cs="Times New Roman"/>
                <w:vertAlign w:val="subscript"/>
              </w:rPr>
              <w:t>25</w:t>
            </w:r>
            <w:r w:rsidRPr="00813B74">
              <w:rPr>
                <w:rFonts w:ascii="Arial Narrow" w:eastAsia="Times New Roman" w:hAnsi="Arial Narrow" w:cs="Times New Roman"/>
              </w:rPr>
              <w:t xml:space="preserve">***) </w:t>
            </w:r>
          </w:p>
          <w:p w14:paraId="7A0C6660"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c>
          <w:tcPr>
            <w:tcW w:w="2425" w:type="dxa"/>
            <w:tcBorders>
              <w:top w:val="single" w:sz="4" w:space="0" w:color="000000"/>
              <w:left w:val="single" w:sz="4" w:space="0" w:color="000000"/>
              <w:bottom w:val="single" w:sz="4" w:space="0" w:color="000000"/>
              <w:right w:val="single" w:sz="4" w:space="0" w:color="000000"/>
            </w:tcBorders>
            <w:shd w:val="clear" w:color="auto" w:fill="auto"/>
          </w:tcPr>
          <w:p w14:paraId="48C0653D"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Kat. F</w:t>
            </w:r>
            <w:r w:rsidRPr="00813B74">
              <w:rPr>
                <w:rFonts w:ascii="Arial Narrow" w:eastAsia="Times New Roman" w:hAnsi="Arial Narrow" w:cs="Times New Roman"/>
                <w:vertAlign w:val="subscript"/>
              </w:rPr>
              <w:t>4</w:t>
            </w:r>
            <w:r w:rsidRPr="00813B74">
              <w:rPr>
                <w:rFonts w:ascii="Arial Narrow" w:eastAsia="Times New Roman" w:hAnsi="Arial Narrow" w:cs="Times New Roman"/>
              </w:rPr>
              <w:t xml:space="preserve"> </w:t>
            </w:r>
          </w:p>
        </w:tc>
      </w:tr>
      <w:tr w:rsidR="00813B74" w:rsidRPr="00813B74" w14:paraId="1A098639" w14:textId="77777777" w:rsidTr="0072451A">
        <w:trPr>
          <w:trHeight w:val="449"/>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3AE29EB9"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Skład mineralogiczny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22EFFAD9"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6B770FED"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Zał. C </w:t>
            </w:r>
          </w:p>
          <w:p w14:paraId="51AAE0AC"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p.C.3.4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2379FDC7"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Deklarowany </w:t>
            </w:r>
          </w:p>
        </w:tc>
      </w:tr>
      <w:tr w:rsidR="00813B74" w:rsidRPr="00813B74" w14:paraId="6C0F7A4F" w14:textId="77777777" w:rsidTr="0072451A">
        <w:trPr>
          <w:trHeight w:val="1759"/>
        </w:trPr>
        <w:tc>
          <w:tcPr>
            <w:tcW w:w="2376" w:type="dxa"/>
            <w:tcBorders>
              <w:top w:val="single" w:sz="4" w:space="0" w:color="000000"/>
              <w:left w:val="single" w:sz="4" w:space="0" w:color="000000"/>
              <w:bottom w:val="single" w:sz="4" w:space="0" w:color="000000"/>
              <w:right w:val="single" w:sz="4" w:space="0" w:color="000000"/>
            </w:tcBorders>
            <w:shd w:val="clear" w:color="auto" w:fill="auto"/>
          </w:tcPr>
          <w:p w14:paraId="7A6F04C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lastRenderedPageBreak/>
              <w:t xml:space="preserve">Istotne cechy środowiskowe </w:t>
            </w: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14:paraId="10166E55"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c>
          <w:tcPr>
            <w:tcW w:w="962" w:type="dxa"/>
            <w:tcBorders>
              <w:top w:val="single" w:sz="4" w:space="0" w:color="000000"/>
              <w:left w:val="single" w:sz="4" w:space="0" w:color="000000"/>
              <w:bottom w:val="single" w:sz="4" w:space="0" w:color="000000"/>
              <w:right w:val="single" w:sz="4" w:space="0" w:color="000000"/>
            </w:tcBorders>
            <w:shd w:val="clear" w:color="auto" w:fill="auto"/>
          </w:tcPr>
          <w:p w14:paraId="47935D10"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Zał. C </w:t>
            </w:r>
          </w:p>
          <w:p w14:paraId="7B6612C3"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p.C.3.4 </w:t>
            </w:r>
          </w:p>
        </w:tc>
        <w:tc>
          <w:tcPr>
            <w:tcW w:w="4851" w:type="dxa"/>
            <w:gridSpan w:val="3"/>
            <w:tcBorders>
              <w:top w:val="single" w:sz="4" w:space="0" w:color="000000"/>
              <w:left w:val="single" w:sz="4" w:space="0" w:color="000000"/>
              <w:bottom w:val="single" w:sz="4" w:space="0" w:color="000000"/>
              <w:right w:val="single" w:sz="4" w:space="0" w:color="000000"/>
            </w:tcBorders>
            <w:shd w:val="clear" w:color="auto" w:fill="auto"/>
          </w:tcPr>
          <w:p w14:paraId="15EACEE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 </w:t>
            </w:r>
          </w:p>
        </w:tc>
      </w:tr>
    </w:tbl>
    <w:p w14:paraId="28D40A1C" w14:textId="77777777" w:rsidR="00813B74" w:rsidRPr="00813B74" w:rsidRDefault="00813B74" w:rsidP="00813B74">
      <w:pPr>
        <w:pBdr>
          <w:top w:val="single" w:sz="4" w:space="0" w:color="000000"/>
          <w:left w:val="single" w:sz="4" w:space="0" w:color="000000"/>
          <w:bottom w:val="single" w:sz="4" w:space="0" w:color="000000"/>
          <w:right w:val="single" w:sz="4" w:space="0" w:color="000000"/>
        </w:pBdr>
        <w:overflowPunct w:val="0"/>
        <w:autoSpaceDE w:val="0"/>
        <w:autoSpaceDN w:val="0"/>
        <w:adjustRightInd w:val="0"/>
        <w:spacing w:after="0" w:line="250" w:lineRule="auto"/>
        <w:ind w:left="122" w:firstLine="709"/>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Skróty użyte w tablicy: Kat. – kategoria właściwości,  Dekl – deklarowana, wsk. – wskaźnik, wsp. – współczynnik, roz. -rozdział </w:t>
      </w:r>
    </w:p>
    <w:p w14:paraId="69948CBE" w14:textId="77777777" w:rsidR="00813B74" w:rsidRPr="00813B74" w:rsidRDefault="00813B74" w:rsidP="00813B74">
      <w:pPr>
        <w:pBdr>
          <w:top w:val="single" w:sz="4" w:space="0" w:color="000000"/>
          <w:left w:val="single" w:sz="4" w:space="0" w:color="000000"/>
          <w:bottom w:val="single" w:sz="4" w:space="0" w:color="000000"/>
          <w:right w:val="single" w:sz="4" w:space="0" w:color="000000"/>
        </w:pBdr>
        <w:overflowPunct w:val="0"/>
        <w:autoSpaceDE w:val="0"/>
        <w:autoSpaceDN w:val="0"/>
        <w:adjustRightInd w:val="0"/>
        <w:spacing w:after="0" w:line="250" w:lineRule="auto"/>
        <w:ind w:left="122" w:firstLine="709"/>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      Badaniem wzorcowym oznaczania kształtu kruszywa grubego jest badanie wskaźnika płaskości </w:t>
      </w:r>
    </w:p>
    <w:p w14:paraId="02E83430" w14:textId="77777777" w:rsidR="00813B74" w:rsidRPr="00813B74" w:rsidRDefault="00813B74" w:rsidP="00813B74">
      <w:pPr>
        <w:pBdr>
          <w:top w:val="single" w:sz="4" w:space="0" w:color="000000"/>
          <w:left w:val="single" w:sz="4" w:space="0" w:color="000000"/>
          <w:bottom w:val="single" w:sz="4" w:space="0" w:color="000000"/>
          <w:right w:val="single" w:sz="4" w:space="0" w:color="000000"/>
        </w:pBdr>
        <w:overflowPunct w:val="0"/>
        <w:autoSpaceDE w:val="0"/>
        <w:autoSpaceDN w:val="0"/>
        <w:adjustRightInd w:val="0"/>
        <w:spacing w:after="0" w:line="250" w:lineRule="auto"/>
        <w:ind w:left="122" w:firstLine="709"/>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    Łączna zawartość pyłów w mieszance powinna się mieścić w wybranych krzywych granicznych  </w:t>
      </w:r>
    </w:p>
    <w:p w14:paraId="2126BCC7" w14:textId="77777777" w:rsidR="00813B74" w:rsidRPr="00813B74" w:rsidRDefault="00813B74" w:rsidP="00813B74">
      <w:pPr>
        <w:pBdr>
          <w:top w:val="single" w:sz="4" w:space="0" w:color="000000"/>
          <w:left w:val="single" w:sz="4" w:space="0" w:color="000000"/>
          <w:bottom w:val="single" w:sz="4" w:space="0" w:color="000000"/>
          <w:right w:val="single" w:sz="4" w:space="0" w:color="000000"/>
        </w:pBdr>
        <w:overflowPunct w:val="0"/>
        <w:autoSpaceDE w:val="0"/>
        <w:autoSpaceDN w:val="0"/>
        <w:adjustRightInd w:val="0"/>
        <w:spacing w:after="212" w:line="250" w:lineRule="auto"/>
        <w:ind w:left="122" w:firstLine="709"/>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Pod warunkiem, gdy zawartość w mieszance nie przekracza 50% m/m</w:t>
      </w:r>
      <w:r w:rsidRPr="00813B74">
        <w:rPr>
          <w:rFonts w:ascii="Calibri" w:eastAsia="Calibri" w:hAnsi="Calibri" w:cs="Calibri"/>
          <w:sz w:val="18"/>
          <w:szCs w:val="20"/>
          <w:lang w:eastAsia="pl-PL"/>
        </w:rPr>
        <w:t xml:space="preserve"> </w:t>
      </w:r>
    </w:p>
    <w:p w14:paraId="6624DFA1" w14:textId="77777777" w:rsidR="00813B74" w:rsidRPr="00813B74" w:rsidRDefault="00813B74" w:rsidP="00813B7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813B74">
        <w:rPr>
          <w:rFonts w:ascii="Arial Narrow" w:eastAsia="Verdana" w:hAnsi="Arial Narrow" w:cs="Times New Roman"/>
          <w:b/>
          <w:sz w:val="24"/>
          <w:szCs w:val="20"/>
          <w:lang w:val="x-none" w:eastAsia="x-none"/>
        </w:rPr>
        <w:t>2.2.1</w:t>
      </w:r>
      <w:r w:rsidRPr="00813B74">
        <w:rPr>
          <w:rFonts w:ascii="Arial" w:eastAsia="Arial" w:hAnsi="Arial" w:cs="Arial"/>
          <w:b/>
          <w:sz w:val="24"/>
          <w:szCs w:val="20"/>
          <w:lang w:val="x-none" w:eastAsia="x-none"/>
        </w:rPr>
        <w:t xml:space="preserve"> </w:t>
      </w:r>
      <w:r w:rsidRPr="00813B74">
        <w:rPr>
          <w:rFonts w:ascii="Arial Narrow" w:eastAsia="Verdana" w:hAnsi="Arial Narrow" w:cs="Times New Roman"/>
          <w:b/>
          <w:sz w:val="24"/>
          <w:szCs w:val="20"/>
          <w:lang w:val="x-none" w:eastAsia="x-none"/>
        </w:rPr>
        <w:t>Cement</w:t>
      </w:r>
      <w:r w:rsidRPr="00813B74">
        <w:rPr>
          <w:rFonts w:ascii="Arial Narrow" w:eastAsia="Times New Roman" w:hAnsi="Arial Narrow" w:cs="Times New Roman"/>
          <w:b/>
          <w:sz w:val="24"/>
          <w:szCs w:val="20"/>
          <w:lang w:val="x-none" w:eastAsia="x-none"/>
        </w:rPr>
        <w:t xml:space="preserve"> </w:t>
      </w:r>
    </w:p>
    <w:p w14:paraId="2FA42351"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Należy stosować cement wg PN-EN 197-1.  </w:t>
      </w:r>
    </w:p>
    <w:p w14:paraId="46EBAF9F" w14:textId="77777777" w:rsidR="00813B74" w:rsidRPr="00813B74" w:rsidRDefault="00813B74" w:rsidP="00813B7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813B74">
        <w:rPr>
          <w:rFonts w:ascii="Arial Narrow" w:eastAsia="Verdana" w:hAnsi="Arial Narrow" w:cs="Times New Roman"/>
          <w:b/>
          <w:sz w:val="24"/>
          <w:szCs w:val="20"/>
          <w:lang w:val="x-none" w:eastAsia="x-none"/>
        </w:rPr>
        <w:t>2.2.2.</w:t>
      </w:r>
      <w:r w:rsidRPr="00813B74">
        <w:rPr>
          <w:rFonts w:ascii="Arial" w:eastAsia="Arial" w:hAnsi="Arial" w:cs="Arial"/>
          <w:b/>
          <w:sz w:val="24"/>
          <w:szCs w:val="20"/>
          <w:lang w:val="x-none" w:eastAsia="x-none"/>
        </w:rPr>
        <w:t xml:space="preserve"> </w:t>
      </w:r>
      <w:r w:rsidRPr="00813B74">
        <w:rPr>
          <w:rFonts w:ascii="Arial Narrow" w:eastAsia="Verdana" w:hAnsi="Arial Narrow" w:cs="Times New Roman"/>
          <w:b/>
          <w:sz w:val="24"/>
          <w:szCs w:val="20"/>
          <w:lang w:val="x-none" w:eastAsia="x-none"/>
        </w:rPr>
        <w:t xml:space="preserve">Woda zarobowa </w:t>
      </w:r>
    </w:p>
    <w:p w14:paraId="5ABD2E64"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Woda zarobowa powinna być zgodna z PN-EN 1008. </w:t>
      </w:r>
    </w:p>
    <w:p w14:paraId="26A9A50C" w14:textId="77777777" w:rsidR="00813B74" w:rsidRPr="00813B74" w:rsidRDefault="00813B74" w:rsidP="00813B74">
      <w:pPr>
        <w:keepNext/>
        <w:shd w:val="clear" w:color="auto" w:fill="D9D9D9"/>
        <w:overflowPunct w:val="0"/>
        <w:autoSpaceDE w:val="0"/>
        <w:autoSpaceDN w:val="0"/>
        <w:adjustRightInd w:val="0"/>
        <w:spacing w:after="0" w:line="240" w:lineRule="auto"/>
        <w:ind w:left="7"/>
        <w:textAlignment w:val="baseline"/>
        <w:outlineLvl w:val="2"/>
        <w:rPr>
          <w:rFonts w:ascii="Arial Narrow" w:eastAsia="Times New Roman" w:hAnsi="Arial Narrow" w:cs="Times New Roman"/>
          <w:b/>
          <w:sz w:val="24"/>
          <w:szCs w:val="20"/>
          <w:lang w:val="x-none" w:eastAsia="x-none"/>
        </w:rPr>
      </w:pPr>
      <w:r w:rsidRPr="00813B74">
        <w:rPr>
          <w:rFonts w:ascii="Arial Narrow" w:eastAsia="Times New Roman" w:hAnsi="Arial Narrow" w:cs="Times New Roman"/>
          <w:b/>
          <w:sz w:val="24"/>
          <w:szCs w:val="20"/>
          <w:lang w:val="x-none" w:eastAsia="x-none"/>
        </w:rPr>
        <w:t>2.2.3.</w:t>
      </w:r>
      <w:r w:rsidRPr="00813B74">
        <w:rPr>
          <w:rFonts w:ascii="Arial" w:eastAsia="Arial" w:hAnsi="Arial" w:cs="Arial"/>
          <w:b/>
          <w:sz w:val="24"/>
          <w:szCs w:val="20"/>
          <w:lang w:val="x-none" w:eastAsia="x-none"/>
        </w:rPr>
        <w:t xml:space="preserve"> </w:t>
      </w:r>
      <w:r w:rsidRPr="00813B74">
        <w:rPr>
          <w:rFonts w:ascii="Arial Narrow" w:eastAsia="Times New Roman" w:hAnsi="Arial Narrow" w:cs="Times New Roman"/>
          <w:b/>
          <w:sz w:val="24"/>
          <w:szCs w:val="20"/>
          <w:lang w:val="x-none" w:eastAsia="x-none"/>
        </w:rPr>
        <w:t xml:space="preserve">Dodatki </w:t>
      </w:r>
    </w:p>
    <w:p w14:paraId="552D745B"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W przypadkach uzasadnionych mieszanka może zawierać dodatki, które powinny być uwzględnione w projekcie mieszanki. </w:t>
      </w:r>
    </w:p>
    <w:p w14:paraId="4BD5AD56"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Dodatki powinny być o sprawdzonym działaniu jak np. mielony granulowany żużel wielkopiecowy lub popiół lotny pod warunkiem, że odpowiada wymaganiom norm europejskich (PN-EN 450-1, PN-EN 15167-1, PN-EN 14227-4). </w:t>
      </w:r>
    </w:p>
    <w:p w14:paraId="5F6793C2" w14:textId="77777777" w:rsidR="00813B74" w:rsidRPr="00813B74" w:rsidRDefault="00813B74" w:rsidP="00813B7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813B74">
        <w:rPr>
          <w:rFonts w:ascii="Arial Narrow" w:eastAsia="Times New Roman" w:hAnsi="Arial Narrow" w:cs="Times New Roman"/>
          <w:b/>
          <w:sz w:val="24"/>
          <w:szCs w:val="20"/>
          <w:lang w:val="x-none" w:eastAsia="x-none"/>
        </w:rPr>
        <w:t>2.2.4.</w:t>
      </w:r>
      <w:r w:rsidRPr="00813B74">
        <w:rPr>
          <w:rFonts w:ascii="Arial" w:eastAsia="Arial" w:hAnsi="Arial" w:cs="Arial"/>
          <w:b/>
          <w:sz w:val="24"/>
          <w:szCs w:val="20"/>
          <w:lang w:val="x-none" w:eastAsia="x-none"/>
        </w:rPr>
        <w:t xml:space="preserve"> </w:t>
      </w:r>
      <w:r w:rsidRPr="00813B74">
        <w:rPr>
          <w:rFonts w:ascii="Arial Narrow" w:eastAsia="Times New Roman" w:hAnsi="Arial Narrow" w:cs="Times New Roman"/>
          <w:b/>
          <w:sz w:val="24"/>
          <w:szCs w:val="20"/>
          <w:lang w:val="x-none" w:eastAsia="x-none"/>
        </w:rPr>
        <w:t xml:space="preserve">Domieszki </w:t>
      </w:r>
    </w:p>
    <w:p w14:paraId="239C5950" w14:textId="77777777" w:rsidR="00813B74" w:rsidRPr="00813B74" w:rsidRDefault="00813B74" w:rsidP="00813B74">
      <w:pPr>
        <w:overflowPunct w:val="0"/>
        <w:autoSpaceDE w:val="0"/>
        <w:autoSpaceDN w:val="0"/>
        <w:adjustRightInd w:val="0"/>
        <w:spacing w:after="0" w:line="240" w:lineRule="auto"/>
        <w:ind w:left="7"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Domieszki powinny być zgodne z PN-EN 934-2 . </w:t>
      </w:r>
    </w:p>
    <w:p w14:paraId="401B11C0"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Jeżeli w mieszance przewiduje się zastosowanie środków przyspieszających lub opóźniających wiązanie, należy to uwzględnić przy projektowaniu składu mieszanki. </w:t>
      </w:r>
    </w:p>
    <w:p w14:paraId="6984DBB9"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26" w:name="_Toc49112"/>
      <w:r w:rsidRPr="00813B74">
        <w:rPr>
          <w:rFonts w:ascii="Arial Narrow" w:eastAsia="Times New Roman" w:hAnsi="Arial Narrow" w:cs="Times New Roman"/>
          <w:b/>
          <w:sz w:val="28"/>
          <w:szCs w:val="20"/>
          <w:lang w:val="x-none" w:eastAsia="x-none"/>
        </w:rPr>
        <w:t>2.3.</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Dostawy materiałów </w:t>
      </w:r>
      <w:bookmarkEnd w:id="626"/>
    </w:p>
    <w:p w14:paraId="28EE3468"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Za dostawy materiałów odpowiedzialny jest Wykonawca robót zgodnie z ustaleniami określonymi w DM.00.00.00 „Wymagania ogólne”. </w:t>
      </w:r>
    </w:p>
    <w:p w14:paraId="555D3858"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27" w:name="_Toc49113"/>
      <w:r w:rsidRPr="00813B74">
        <w:rPr>
          <w:rFonts w:ascii="Arial Narrow" w:eastAsia="Times New Roman" w:hAnsi="Arial Narrow" w:cs="Times New Roman"/>
          <w:b/>
          <w:sz w:val="28"/>
          <w:szCs w:val="20"/>
          <w:lang w:val="x-none" w:eastAsia="x-none"/>
        </w:rPr>
        <w:t>2.4.</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Składowanie materiałów </w:t>
      </w:r>
      <w:bookmarkEnd w:id="627"/>
    </w:p>
    <w:p w14:paraId="74477B81" w14:textId="77777777" w:rsidR="00813B74" w:rsidRPr="00813B74" w:rsidRDefault="00813B74" w:rsidP="00813B7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813B74">
        <w:rPr>
          <w:rFonts w:ascii="Arial Narrow" w:eastAsia="Times New Roman" w:hAnsi="Arial Narrow" w:cs="Times New Roman"/>
          <w:b/>
          <w:sz w:val="24"/>
          <w:szCs w:val="20"/>
          <w:lang w:val="x-none" w:eastAsia="x-none"/>
        </w:rPr>
        <w:t>2.4.1.</w:t>
      </w:r>
      <w:r w:rsidRPr="00813B74">
        <w:rPr>
          <w:rFonts w:ascii="Arial" w:eastAsia="Arial" w:hAnsi="Arial" w:cs="Arial"/>
          <w:b/>
          <w:sz w:val="24"/>
          <w:szCs w:val="20"/>
          <w:lang w:val="x-none" w:eastAsia="x-none"/>
        </w:rPr>
        <w:t xml:space="preserve"> </w:t>
      </w:r>
      <w:r w:rsidRPr="00813B74">
        <w:rPr>
          <w:rFonts w:ascii="Arial Narrow" w:eastAsia="Times New Roman" w:hAnsi="Arial Narrow" w:cs="Times New Roman"/>
          <w:b/>
          <w:sz w:val="24"/>
          <w:szCs w:val="20"/>
          <w:lang w:val="x-none" w:eastAsia="x-none"/>
        </w:rPr>
        <w:t xml:space="preserve">Składowanie kruszywa </w:t>
      </w:r>
    </w:p>
    <w:p w14:paraId="755A0782"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Składowanie kruszywa powinno odbywać się w warunkach zabezpieczających je przed zanieczyszczeniem i zmieszaniem z innymi rodzajami lub frakcjami kruszywa. </w:t>
      </w:r>
    </w:p>
    <w:p w14:paraId="19DF0BFA" w14:textId="77777777" w:rsidR="00813B74" w:rsidRPr="00813B74" w:rsidRDefault="00813B74" w:rsidP="00813B7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813B74">
        <w:rPr>
          <w:rFonts w:ascii="Arial Narrow" w:eastAsia="Times New Roman" w:hAnsi="Arial Narrow" w:cs="Times New Roman"/>
          <w:b/>
          <w:sz w:val="24"/>
          <w:szCs w:val="20"/>
          <w:lang w:val="x-none" w:eastAsia="x-none"/>
        </w:rPr>
        <w:t>2.4.2.</w:t>
      </w:r>
      <w:r w:rsidRPr="00813B74">
        <w:rPr>
          <w:rFonts w:ascii="Arial" w:eastAsia="Arial" w:hAnsi="Arial" w:cs="Arial"/>
          <w:b/>
          <w:sz w:val="24"/>
          <w:szCs w:val="20"/>
          <w:lang w:val="x-none" w:eastAsia="x-none"/>
        </w:rPr>
        <w:t xml:space="preserve"> </w:t>
      </w:r>
      <w:r w:rsidRPr="00813B74">
        <w:rPr>
          <w:rFonts w:ascii="Arial Narrow" w:eastAsia="Times New Roman" w:hAnsi="Arial Narrow" w:cs="Times New Roman"/>
          <w:b/>
          <w:sz w:val="24"/>
          <w:szCs w:val="20"/>
          <w:lang w:val="x-none" w:eastAsia="x-none"/>
        </w:rPr>
        <w:t xml:space="preserve">Składowanie cementu </w:t>
      </w:r>
    </w:p>
    <w:p w14:paraId="1CDB3224"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Przechowywanie cementu dostarczonego luzem – przechowuje się w magazynach specjalnych (zbiornikach stalowych, betonowych, silosach) przystosowanych do pneumatycznego załadowania i wyładowania. </w:t>
      </w:r>
    </w:p>
    <w:p w14:paraId="201F4B06" w14:textId="77777777" w:rsidR="00813B74" w:rsidRPr="00813B74" w:rsidRDefault="00813B74" w:rsidP="00813B7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28" w:name="_Toc49114"/>
      <w:r w:rsidRPr="00813B74">
        <w:rPr>
          <w:rFonts w:ascii="Arial Narrow" w:eastAsia="Times New Roman" w:hAnsi="Arial Narrow" w:cs="Times New Roman"/>
          <w:b/>
          <w:caps/>
          <w:kern w:val="28"/>
          <w:sz w:val="28"/>
          <w:szCs w:val="20"/>
          <w:lang w:val="x-none" w:eastAsia="x-none"/>
        </w:rPr>
        <w:t>3.</w:t>
      </w:r>
      <w:r w:rsidRPr="00813B74">
        <w:rPr>
          <w:rFonts w:ascii="Arial" w:eastAsia="Arial" w:hAnsi="Arial" w:cs="Arial"/>
          <w:b/>
          <w:caps/>
          <w:kern w:val="28"/>
          <w:sz w:val="28"/>
          <w:szCs w:val="20"/>
          <w:lang w:val="x-none" w:eastAsia="x-none"/>
        </w:rPr>
        <w:t xml:space="preserve"> </w:t>
      </w:r>
      <w:r w:rsidRPr="00813B74">
        <w:rPr>
          <w:rFonts w:ascii="Arial Narrow" w:eastAsia="Times New Roman" w:hAnsi="Arial Narrow" w:cs="Times New Roman"/>
          <w:b/>
          <w:caps/>
          <w:kern w:val="28"/>
          <w:sz w:val="28"/>
          <w:szCs w:val="20"/>
          <w:lang w:val="x-none" w:eastAsia="x-none"/>
        </w:rPr>
        <w:t xml:space="preserve">SPRZĘT </w:t>
      </w:r>
      <w:bookmarkEnd w:id="628"/>
    </w:p>
    <w:p w14:paraId="6B8DE4A4"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29" w:name="_Toc49115"/>
      <w:r w:rsidRPr="00813B74">
        <w:rPr>
          <w:rFonts w:ascii="Arial Narrow" w:eastAsia="Times New Roman" w:hAnsi="Arial Narrow" w:cs="Times New Roman"/>
          <w:b/>
          <w:sz w:val="28"/>
          <w:szCs w:val="20"/>
          <w:lang w:val="x-none" w:eastAsia="x-none"/>
        </w:rPr>
        <w:t>3.1.</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Ogólne wymagania dotyczące sprzętu </w:t>
      </w:r>
      <w:bookmarkEnd w:id="629"/>
    </w:p>
    <w:p w14:paraId="3D896203"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Ogólne wymagania dotyczące sprzętu podano w D-M-00.00.00 „Wymagania ogólne”. </w:t>
      </w:r>
    </w:p>
    <w:p w14:paraId="5A81DF6F"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30" w:name="_Toc49116"/>
      <w:r w:rsidRPr="00813B74">
        <w:rPr>
          <w:rFonts w:ascii="Arial Narrow" w:eastAsia="Times New Roman" w:hAnsi="Arial Narrow" w:cs="Times New Roman"/>
          <w:b/>
          <w:sz w:val="28"/>
          <w:szCs w:val="20"/>
          <w:lang w:val="x-none" w:eastAsia="x-none"/>
        </w:rPr>
        <w:t>3.2.</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Sprzęt stosowany do wykonania robót </w:t>
      </w:r>
      <w:bookmarkEnd w:id="630"/>
    </w:p>
    <w:p w14:paraId="43659711"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Przy wykonywaniu robót Wykonawca w zależności od potrzeb, powinien wykazać się możliwością korzystania ze sprzętu dostosowanego do przyjętej metody robót, jak: </w:t>
      </w:r>
    </w:p>
    <w:p w14:paraId="2B6136AD"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wytwórnia stacjonarna lub mobilna do wytwarzania mieszanki (dozowanie składników wagowe, zbiornik na cement, liczba zasieków skorelowana z liczbą użytych kruszyw w mieszance), </w:t>
      </w:r>
    </w:p>
    <w:p w14:paraId="4B7B59F9"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przewoźne zbiorniki na wodę, </w:t>
      </w:r>
    </w:p>
    <w:p w14:paraId="5637781A"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układarki do rozkładania mieszanki lub równiarki, </w:t>
      </w:r>
    </w:p>
    <w:p w14:paraId="290764B3"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walce wibracyjne, statyczne lub ogumione, </w:t>
      </w:r>
    </w:p>
    <w:p w14:paraId="1BAEE60B"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zagęszczarki płytowe, ubijaki mechaniczne lub małe walce wibracyjne do zagęszczania w miejscach trudno dostępnych. </w:t>
      </w:r>
    </w:p>
    <w:p w14:paraId="1FBC049F"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Sprzęt powinien odpowiadać wymaganiom określonym w dokumentacji projektowej, instrukcjach producentów lub propozycji Wykonawcy i powinien być zaakceptowany przez Inżyniera/Inspektora Nadzoru. </w:t>
      </w:r>
    </w:p>
    <w:p w14:paraId="0B0A0C53" w14:textId="77777777" w:rsidR="00813B74" w:rsidRPr="00813B74" w:rsidRDefault="00813B74" w:rsidP="00813B7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31" w:name="_Toc49117"/>
      <w:r w:rsidRPr="00813B74">
        <w:rPr>
          <w:rFonts w:ascii="Arial Narrow" w:eastAsia="Times New Roman" w:hAnsi="Arial Narrow" w:cs="Times New Roman"/>
          <w:b/>
          <w:caps/>
          <w:kern w:val="28"/>
          <w:sz w:val="28"/>
          <w:szCs w:val="20"/>
          <w:lang w:val="x-none" w:eastAsia="x-none"/>
        </w:rPr>
        <w:t>4.</w:t>
      </w:r>
      <w:r w:rsidRPr="00813B74">
        <w:rPr>
          <w:rFonts w:ascii="Arial" w:eastAsia="Arial" w:hAnsi="Arial" w:cs="Arial"/>
          <w:b/>
          <w:caps/>
          <w:kern w:val="28"/>
          <w:sz w:val="28"/>
          <w:szCs w:val="20"/>
          <w:lang w:val="x-none" w:eastAsia="x-none"/>
        </w:rPr>
        <w:t xml:space="preserve"> </w:t>
      </w:r>
      <w:r w:rsidRPr="00813B74">
        <w:rPr>
          <w:rFonts w:ascii="Arial Narrow" w:eastAsia="Times New Roman" w:hAnsi="Arial Narrow" w:cs="Times New Roman"/>
          <w:b/>
          <w:caps/>
          <w:kern w:val="28"/>
          <w:sz w:val="28"/>
          <w:szCs w:val="20"/>
          <w:lang w:val="x-none" w:eastAsia="x-none"/>
        </w:rPr>
        <w:t xml:space="preserve">TRANSPORT </w:t>
      </w:r>
      <w:bookmarkEnd w:id="631"/>
    </w:p>
    <w:p w14:paraId="1B878759"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32" w:name="_Toc49118"/>
      <w:r w:rsidRPr="00813B74">
        <w:rPr>
          <w:rFonts w:ascii="Arial Narrow" w:eastAsia="Times New Roman" w:hAnsi="Arial Narrow" w:cs="Times New Roman"/>
          <w:b/>
          <w:sz w:val="28"/>
          <w:szCs w:val="20"/>
          <w:lang w:val="x-none" w:eastAsia="x-none"/>
        </w:rPr>
        <w:t>4.1.</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Ogólne wymagania dotyczące transportu </w:t>
      </w:r>
      <w:bookmarkEnd w:id="632"/>
    </w:p>
    <w:p w14:paraId="396027D7"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Ogólne wymagania dotyczące transportu podano w D-M-00.00.00 „Wymagania ogólne”. </w:t>
      </w:r>
    </w:p>
    <w:p w14:paraId="38E53A06"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33" w:name="_Toc49119"/>
      <w:r w:rsidRPr="00813B74">
        <w:rPr>
          <w:rFonts w:ascii="Arial Narrow" w:eastAsia="Times New Roman" w:hAnsi="Arial Narrow" w:cs="Times New Roman"/>
          <w:b/>
          <w:sz w:val="28"/>
          <w:szCs w:val="20"/>
          <w:lang w:val="x-none" w:eastAsia="x-none"/>
        </w:rPr>
        <w:t>4.2.</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Transport materiałów </w:t>
      </w:r>
      <w:bookmarkEnd w:id="633"/>
    </w:p>
    <w:p w14:paraId="4CEFC6A1"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Materiały sypkie można przewozić dowolnymi środkami transportu, w warunkach zabezpieczających je przed  zanieczyszczeniem, zmieszaniem z innymi materiałami i nadmiernym zawilgoceniem. </w:t>
      </w:r>
    </w:p>
    <w:p w14:paraId="25A3EF26" w14:textId="77777777" w:rsidR="00813B74" w:rsidRPr="00813B74" w:rsidRDefault="00813B74" w:rsidP="00813B74">
      <w:pPr>
        <w:overflowPunct w:val="0"/>
        <w:autoSpaceDE w:val="0"/>
        <w:autoSpaceDN w:val="0"/>
        <w:adjustRightInd w:val="0"/>
        <w:spacing w:after="0" w:line="240" w:lineRule="auto"/>
        <w:ind w:left="7"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Cement luzem przewozi się w zbiornikach (wagonach, samochodach), czystych i nie zanieczyszczanych podczas transportu. Środki transportu powinny być wyposażone we wsypy i urządzenia do wyładowania cementu. </w:t>
      </w:r>
    </w:p>
    <w:p w14:paraId="1D1A446C" w14:textId="77777777" w:rsidR="00813B74" w:rsidRPr="00813B74" w:rsidRDefault="00813B74" w:rsidP="00813B74">
      <w:pPr>
        <w:overflowPunct w:val="0"/>
        <w:autoSpaceDE w:val="0"/>
        <w:autoSpaceDN w:val="0"/>
        <w:adjustRightInd w:val="0"/>
        <w:spacing w:after="0" w:line="240" w:lineRule="auto"/>
        <w:ind w:left="7"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lastRenderedPageBreak/>
        <w:t xml:space="preserve">Woda może być dostarczana wodociągiem lub przewoźnymi zbiornikami – cysternami wody. </w:t>
      </w:r>
    </w:p>
    <w:p w14:paraId="13BF9EE1"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Inne materiały należy przewozić w sposób zalecony przez producentów i dostawców, nie powodując pogorszenia ich walorów użytkowych. </w:t>
      </w:r>
    </w:p>
    <w:p w14:paraId="393EE7B1" w14:textId="77777777" w:rsidR="00813B74" w:rsidRPr="00813B74" w:rsidRDefault="00813B74" w:rsidP="00813B7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34" w:name="_Toc49120"/>
      <w:r w:rsidRPr="00813B74">
        <w:rPr>
          <w:rFonts w:ascii="Arial Narrow" w:eastAsia="Times New Roman" w:hAnsi="Arial Narrow" w:cs="Times New Roman"/>
          <w:b/>
          <w:caps/>
          <w:kern w:val="28"/>
          <w:sz w:val="28"/>
          <w:szCs w:val="20"/>
          <w:lang w:val="x-none" w:eastAsia="x-none"/>
        </w:rPr>
        <w:t>5.</w:t>
      </w:r>
      <w:r w:rsidRPr="00813B74">
        <w:rPr>
          <w:rFonts w:ascii="Arial" w:eastAsia="Arial" w:hAnsi="Arial" w:cs="Arial"/>
          <w:b/>
          <w:caps/>
          <w:kern w:val="28"/>
          <w:sz w:val="28"/>
          <w:szCs w:val="20"/>
          <w:lang w:val="x-none" w:eastAsia="x-none"/>
        </w:rPr>
        <w:t xml:space="preserve"> </w:t>
      </w:r>
      <w:r w:rsidRPr="00813B74">
        <w:rPr>
          <w:rFonts w:ascii="Arial Narrow" w:eastAsia="Times New Roman" w:hAnsi="Arial Narrow" w:cs="Times New Roman"/>
          <w:b/>
          <w:caps/>
          <w:kern w:val="28"/>
          <w:sz w:val="28"/>
          <w:szCs w:val="20"/>
          <w:lang w:val="x-none" w:eastAsia="x-none"/>
        </w:rPr>
        <w:t xml:space="preserve">WYKONANIE ROBÓT </w:t>
      </w:r>
      <w:bookmarkEnd w:id="634"/>
    </w:p>
    <w:p w14:paraId="3D4B55DB"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35" w:name="_Toc49121"/>
      <w:r w:rsidRPr="00813B74">
        <w:rPr>
          <w:rFonts w:ascii="Arial Narrow" w:eastAsia="Times New Roman" w:hAnsi="Arial Narrow" w:cs="Times New Roman"/>
          <w:b/>
          <w:sz w:val="28"/>
          <w:szCs w:val="20"/>
          <w:lang w:val="x-none" w:eastAsia="x-none"/>
        </w:rPr>
        <w:t>5.1.</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Ogólne zasady wykonania robót  </w:t>
      </w:r>
      <w:bookmarkEnd w:id="635"/>
    </w:p>
    <w:p w14:paraId="0E298342"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Ogólne zasady wykonania robót podano w D-M-00.00.00 „Wymagania ogólne”. </w:t>
      </w:r>
    </w:p>
    <w:p w14:paraId="699D4681"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36" w:name="_Toc49122"/>
      <w:r w:rsidRPr="00813B74">
        <w:rPr>
          <w:rFonts w:ascii="Arial Narrow" w:eastAsia="Times New Roman" w:hAnsi="Arial Narrow" w:cs="Times New Roman"/>
          <w:b/>
          <w:sz w:val="28"/>
          <w:szCs w:val="20"/>
          <w:lang w:val="x-none" w:eastAsia="x-none"/>
        </w:rPr>
        <w:t>5.2.</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Zasady wykonywania robót </w:t>
      </w:r>
      <w:bookmarkEnd w:id="636"/>
    </w:p>
    <w:p w14:paraId="51A6A04C"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Sposób wykonania robót powinien być zgodny z dokumentacją projektową. W przypadku braku wystarczających danych można korzystać z ustaleń podanych w niniejszym STWiORB. </w:t>
      </w:r>
    </w:p>
    <w:p w14:paraId="006070DC"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Podstawowe czynności przy wykonaniu robót obejmują: </w:t>
      </w:r>
    </w:p>
    <w:p w14:paraId="0ED654F5" w14:textId="77777777" w:rsidR="00813B74" w:rsidRPr="00813B74" w:rsidRDefault="00813B74" w:rsidP="00813B74">
      <w:pPr>
        <w:numPr>
          <w:ilvl w:val="0"/>
          <w:numId w:val="5"/>
        </w:numPr>
        <w:overflowPunct w:val="0"/>
        <w:autoSpaceDE w:val="0"/>
        <w:autoSpaceDN w:val="0"/>
        <w:adjustRightInd w:val="0"/>
        <w:spacing w:after="0" w:line="240" w:lineRule="auto"/>
        <w:ind w:left="1068"/>
        <w:jc w:val="both"/>
        <w:textAlignment w:val="baseline"/>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roboty przygotowawcze,  </w:t>
      </w:r>
    </w:p>
    <w:p w14:paraId="4F85F4D9" w14:textId="77777777" w:rsidR="00813B74" w:rsidRPr="00813B74" w:rsidRDefault="00813B74" w:rsidP="00813B74">
      <w:pPr>
        <w:overflowPunct w:val="0"/>
        <w:autoSpaceDE w:val="0"/>
        <w:autoSpaceDN w:val="0"/>
        <w:adjustRightInd w:val="0"/>
        <w:spacing w:after="0" w:line="240" w:lineRule="auto"/>
        <w:ind w:left="1068" w:hanging="360"/>
        <w:textAlignment w:val="baseline"/>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projektowanie mieszanki, </w:t>
      </w:r>
    </w:p>
    <w:p w14:paraId="610F19BB" w14:textId="77777777" w:rsidR="00813B74" w:rsidRPr="00813B74" w:rsidRDefault="00813B74" w:rsidP="00813B74">
      <w:pPr>
        <w:overflowPunct w:val="0"/>
        <w:autoSpaceDE w:val="0"/>
        <w:autoSpaceDN w:val="0"/>
        <w:adjustRightInd w:val="0"/>
        <w:spacing w:after="0" w:line="240" w:lineRule="auto"/>
        <w:ind w:left="1068" w:hanging="360"/>
        <w:textAlignment w:val="baseline"/>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wbudowanie mieszanki, </w:t>
      </w:r>
    </w:p>
    <w:p w14:paraId="1B5AF261" w14:textId="77777777" w:rsidR="00813B74" w:rsidRPr="00813B74" w:rsidRDefault="00813B74" w:rsidP="00813B74">
      <w:pPr>
        <w:overflowPunct w:val="0"/>
        <w:autoSpaceDE w:val="0"/>
        <w:autoSpaceDN w:val="0"/>
        <w:adjustRightInd w:val="0"/>
        <w:spacing w:after="0" w:line="240" w:lineRule="auto"/>
        <w:ind w:left="1068" w:hanging="360"/>
        <w:textAlignment w:val="baseline"/>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roboty wykończeniowe. </w:t>
      </w:r>
    </w:p>
    <w:p w14:paraId="0B1125BE" w14:textId="77777777" w:rsidR="00813B74" w:rsidRPr="00813B74" w:rsidRDefault="00813B74" w:rsidP="00813B74">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637" w:name="_Toc49123"/>
      <w:r w:rsidRPr="00813B74">
        <w:rPr>
          <w:rFonts w:ascii="Arial Narrow" w:eastAsia="Times New Roman" w:hAnsi="Arial Narrow" w:cs="Times New Roman"/>
          <w:b/>
          <w:sz w:val="28"/>
          <w:szCs w:val="20"/>
          <w:lang w:val="x-none" w:eastAsia="x-none"/>
        </w:rPr>
        <w:t>5.3.</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Roboty przygotowawcze </w:t>
      </w:r>
      <w:bookmarkEnd w:id="637"/>
    </w:p>
    <w:p w14:paraId="2BE1ADD6"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Przed przystąpieniem do robót należy, na podstawie dokumentacji projektowej lub wskazań Inżyniera/Inspektora Nadzoru: </w:t>
      </w:r>
    </w:p>
    <w:p w14:paraId="0BD6ACFB"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ustalić lokalizację robót, </w:t>
      </w:r>
    </w:p>
    <w:p w14:paraId="45B6E28A"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przeprowadzić obliczenia i pomiary niezbędne do szczegółowego wytyczenia robót oraz ustalenia danych wysokościowych, </w:t>
      </w:r>
    </w:p>
    <w:p w14:paraId="141D9B4E"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usunąć przeszkody utrudniające wykonanie robót, </w:t>
      </w:r>
    </w:p>
    <w:p w14:paraId="4EDBCAA3"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wprowadzić oznakowanie drogi na okres robót, </w:t>
      </w:r>
    </w:p>
    <w:p w14:paraId="60F9BE1B"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zgromadzić materiały i sprzęt potrzebne do rozpoczęcia robót. </w:t>
      </w:r>
    </w:p>
    <w:p w14:paraId="67FF0B6A" w14:textId="77777777" w:rsidR="00813B74" w:rsidRPr="00813B74" w:rsidRDefault="00813B74" w:rsidP="00813B74">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638" w:name="_Toc49124"/>
      <w:r w:rsidRPr="00813B74">
        <w:rPr>
          <w:rFonts w:ascii="Arial Narrow" w:eastAsia="Times New Roman" w:hAnsi="Arial Narrow" w:cs="Times New Roman"/>
          <w:b/>
          <w:sz w:val="28"/>
          <w:szCs w:val="20"/>
          <w:lang w:val="x-none" w:eastAsia="x-none"/>
        </w:rPr>
        <w:t>5.4.</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Projektowanie mieszanki związanej cementem </w:t>
      </w:r>
      <w:bookmarkEnd w:id="638"/>
    </w:p>
    <w:p w14:paraId="3E65DA25"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Przed przystąpieniem do robót, w terminie uzgodnionym z Inżynierem/Inspektorem Nadzoru, Wykonawca dostarczy Inżynierowi/Inspektorowi Nadzoru do akceptacji projekt składu mieszanki związanej cementem oraz wyniki badań laboratoryjnych poszczególnych składników i próbki materiałów pobrane w obecności Inżyniera/Inspektora Nadzoru do wykonania badań kontrolnych przez Inżyniera/Inspektora Nadzoru. </w:t>
      </w:r>
    </w:p>
    <w:p w14:paraId="646E81D9"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Projektowanie mieszanki polega na doborze kruszywa do mieszanki zgodnie z krzywymi przedstawionymi na rys. 1÷5, ilości cementu, ilości wody. Procedura projektowa powinna być oparta na próbach laboratoryjnych i/lub polowych przeprowadzonych na tych samych składnikach, z tych samych źródeł i o takich samych właściwościach, jak te które będą stosowane do wykonania podbudowy lub warstwy mrozoochronnej. </w:t>
      </w:r>
    </w:p>
    <w:p w14:paraId="7E785BD0"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Skład mieszanek projektuje się ze względu na wytrzymałość na ściskanie próbek (system I), zagęszczanych metodą Proctora wg PN-EN 13286-50  w formach walcowych H/D = 1 (H/D = 0,8 -1,2). Klasy wytrzymałości przyjmuje się wg p. 5.5. </w:t>
      </w:r>
    </w:p>
    <w:p w14:paraId="6A672FAC"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Określone w badaniu progowe ilości wody powinny uwzględniać właściwe zagęszczenie i oczekiwane parametry mechaniczne mieszanki. Należy określić procentowy udział składników w stosunku do całkowitej masy mieszanki w stanie suchym oraz uziarnienie i gęstość objętościową. Proporcję należy określić laboratoryjnie lub/i na podstawie praktycznych doświadczeń z mieszankami wykonywanymi z tych samych składników i w tych samych warunkach, spełniające wymagania niniejszych STWiORB. </w:t>
      </w:r>
    </w:p>
    <w:p w14:paraId="139CD618" w14:textId="77777777" w:rsidR="00813B74" w:rsidRPr="00813B74" w:rsidRDefault="00813B74" w:rsidP="00813B7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813B74">
        <w:rPr>
          <w:rFonts w:ascii="Arial Narrow" w:eastAsia="Times New Roman" w:hAnsi="Arial Narrow" w:cs="Times New Roman"/>
          <w:b/>
          <w:sz w:val="24"/>
          <w:szCs w:val="20"/>
          <w:lang w:val="x-none" w:eastAsia="x-none"/>
        </w:rPr>
        <w:t>5.4.1.</w:t>
      </w:r>
      <w:r w:rsidRPr="00813B74">
        <w:rPr>
          <w:rFonts w:ascii="Arial" w:eastAsia="Arial" w:hAnsi="Arial" w:cs="Arial"/>
          <w:b/>
          <w:sz w:val="24"/>
          <w:szCs w:val="20"/>
          <w:lang w:val="x-none" w:eastAsia="x-none"/>
        </w:rPr>
        <w:t xml:space="preserve"> </w:t>
      </w:r>
      <w:r w:rsidRPr="00813B74">
        <w:rPr>
          <w:rFonts w:ascii="Arial Narrow" w:eastAsia="Times New Roman" w:hAnsi="Arial Narrow" w:cs="Times New Roman"/>
          <w:b/>
          <w:sz w:val="24"/>
          <w:szCs w:val="20"/>
          <w:lang w:val="x-none" w:eastAsia="x-none"/>
        </w:rPr>
        <w:t xml:space="preserve">Uziarnienie mieszanki mineralnej </w:t>
      </w:r>
    </w:p>
    <w:p w14:paraId="02CE0CD2"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Sprawdzenie uziarnienia mieszanki mineralnej należy wykonać zgodnie z metodą wg PNEN 933-1. Do analizy stosuje się zestaw sit podstawowy + 1, składający się z następujących sit o oczkach kwadratowych w mm: 0,063; 0,25; 0,50; 1,0; 2,0; 4,0; 5,6; 8,0; 11,2; 16,0; 22,4; 31,5; 45,0. </w:t>
      </w:r>
    </w:p>
    <w:p w14:paraId="35CE8D4F"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Krzywa uziarnienia mieszanki powinna zawierać się w obszarze między krzywymi granicznymi uziarnienia przedstawionych na rys. 1÷5, odpowiednio dla każdego rodzaju mieszanki. </w:t>
      </w:r>
    </w:p>
    <w:p w14:paraId="500FF24E" w14:textId="61AE747D" w:rsidR="00813B74" w:rsidRPr="00813B74" w:rsidRDefault="00813B74" w:rsidP="00813B74">
      <w:pPr>
        <w:overflowPunct w:val="0"/>
        <w:autoSpaceDE w:val="0"/>
        <w:autoSpaceDN w:val="0"/>
        <w:adjustRightInd w:val="0"/>
        <w:spacing w:after="96"/>
        <w:ind w:right="1253"/>
        <w:jc w:val="right"/>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noProof/>
          <w:sz w:val="20"/>
          <w:szCs w:val="20"/>
          <w:lang w:eastAsia="pl-PL"/>
        </w:rPr>
        <w:lastRenderedPageBreak/>
        <w:drawing>
          <wp:inline distT="0" distB="0" distL="0" distR="0" wp14:anchorId="4FE70760" wp14:editId="57408801">
            <wp:extent cx="4162425" cy="3035935"/>
            <wp:effectExtent l="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162425" cy="3035935"/>
                    </a:xfrm>
                    <a:prstGeom prst="rect">
                      <a:avLst/>
                    </a:prstGeom>
                    <a:noFill/>
                    <a:ln>
                      <a:noFill/>
                    </a:ln>
                  </pic:spPr>
                </pic:pic>
              </a:graphicData>
            </a:graphic>
          </wp:inline>
        </w:drawing>
      </w:r>
      <w:r w:rsidRPr="00813B74">
        <w:rPr>
          <w:rFonts w:ascii="Arial Narrow" w:eastAsia="Times New Roman" w:hAnsi="Arial Narrow" w:cs="Times New Roman"/>
          <w:sz w:val="20"/>
          <w:szCs w:val="20"/>
          <w:lang w:eastAsia="pl-PL"/>
        </w:rPr>
        <w:t xml:space="preserve"> </w:t>
      </w:r>
    </w:p>
    <w:p w14:paraId="0ECF8CAE" w14:textId="77777777" w:rsidR="00813B74" w:rsidRPr="00813B74" w:rsidRDefault="00813B74" w:rsidP="00813B74">
      <w:pPr>
        <w:overflowPunct w:val="0"/>
        <w:autoSpaceDE w:val="0"/>
        <w:autoSpaceDN w:val="0"/>
        <w:adjustRightInd w:val="0"/>
        <w:spacing w:after="78" w:line="240" w:lineRule="auto"/>
        <w:ind w:left="999"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Rys. 1. Krzywe graniczne uziarnienia mieszanki mineralnej 0/31,5 mm </w:t>
      </w:r>
    </w:p>
    <w:p w14:paraId="4B54A9BB" w14:textId="267368C6" w:rsidR="00813B74" w:rsidRPr="00813B74" w:rsidRDefault="00813B74" w:rsidP="00813B74">
      <w:pPr>
        <w:overflowPunct w:val="0"/>
        <w:autoSpaceDE w:val="0"/>
        <w:autoSpaceDN w:val="0"/>
        <w:adjustRightInd w:val="0"/>
        <w:spacing w:after="93"/>
        <w:ind w:right="1222"/>
        <w:jc w:val="right"/>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noProof/>
          <w:sz w:val="20"/>
          <w:szCs w:val="20"/>
          <w:lang w:eastAsia="pl-PL"/>
        </w:rPr>
        <w:drawing>
          <wp:inline distT="0" distB="0" distL="0" distR="0" wp14:anchorId="6D12D035" wp14:editId="6B152D30">
            <wp:extent cx="4198620" cy="3065145"/>
            <wp:effectExtent l="0" t="0" r="0" b="1905"/>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98620" cy="3065145"/>
                    </a:xfrm>
                    <a:prstGeom prst="rect">
                      <a:avLst/>
                    </a:prstGeom>
                    <a:noFill/>
                    <a:ln>
                      <a:noFill/>
                    </a:ln>
                  </pic:spPr>
                </pic:pic>
              </a:graphicData>
            </a:graphic>
          </wp:inline>
        </w:drawing>
      </w:r>
      <w:r w:rsidRPr="00813B74">
        <w:rPr>
          <w:rFonts w:ascii="Arial Narrow" w:eastAsia="Times New Roman" w:hAnsi="Arial Narrow" w:cs="Times New Roman"/>
          <w:sz w:val="20"/>
          <w:szCs w:val="20"/>
          <w:lang w:eastAsia="pl-PL"/>
        </w:rPr>
        <w:t xml:space="preserve"> </w:t>
      </w:r>
    </w:p>
    <w:p w14:paraId="0A003F75" w14:textId="77777777" w:rsidR="00813B74" w:rsidRPr="00813B74" w:rsidRDefault="00813B74" w:rsidP="00813B74">
      <w:pPr>
        <w:overflowPunct w:val="0"/>
        <w:autoSpaceDE w:val="0"/>
        <w:autoSpaceDN w:val="0"/>
        <w:adjustRightInd w:val="0"/>
        <w:spacing w:after="0" w:line="240" w:lineRule="auto"/>
        <w:ind w:left="999"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Rys. 2. Krzywe graniczne uziarnienia mieszanki mineralnej 0/22,4 mm </w:t>
      </w:r>
    </w:p>
    <w:p w14:paraId="468F1AC9" w14:textId="44C33947" w:rsidR="00813B74" w:rsidRPr="00813B74" w:rsidRDefault="00813B74" w:rsidP="00813B74">
      <w:pPr>
        <w:overflowPunct w:val="0"/>
        <w:autoSpaceDE w:val="0"/>
        <w:autoSpaceDN w:val="0"/>
        <w:adjustRightInd w:val="0"/>
        <w:spacing w:after="96"/>
        <w:ind w:right="1311"/>
        <w:jc w:val="right"/>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noProof/>
          <w:sz w:val="20"/>
          <w:szCs w:val="20"/>
          <w:lang w:eastAsia="pl-PL"/>
        </w:rPr>
        <w:lastRenderedPageBreak/>
        <w:drawing>
          <wp:inline distT="0" distB="0" distL="0" distR="0" wp14:anchorId="05CA6E81" wp14:editId="57F09CFB">
            <wp:extent cx="4096385" cy="313118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096385" cy="3131185"/>
                    </a:xfrm>
                    <a:prstGeom prst="rect">
                      <a:avLst/>
                    </a:prstGeom>
                    <a:noFill/>
                    <a:ln>
                      <a:noFill/>
                    </a:ln>
                  </pic:spPr>
                </pic:pic>
              </a:graphicData>
            </a:graphic>
          </wp:inline>
        </w:drawing>
      </w:r>
      <w:r w:rsidRPr="00813B74">
        <w:rPr>
          <w:rFonts w:ascii="Arial Narrow" w:eastAsia="Times New Roman" w:hAnsi="Arial Narrow" w:cs="Times New Roman"/>
          <w:sz w:val="20"/>
          <w:szCs w:val="20"/>
          <w:lang w:eastAsia="pl-PL"/>
        </w:rPr>
        <w:t xml:space="preserve"> </w:t>
      </w:r>
    </w:p>
    <w:p w14:paraId="7B035C18" w14:textId="77777777" w:rsidR="00813B74" w:rsidRPr="00813B74" w:rsidRDefault="00813B74" w:rsidP="00813B74">
      <w:pPr>
        <w:overflowPunct w:val="0"/>
        <w:autoSpaceDE w:val="0"/>
        <w:autoSpaceDN w:val="0"/>
        <w:adjustRightInd w:val="0"/>
        <w:spacing w:after="78" w:line="240" w:lineRule="auto"/>
        <w:ind w:left="1100"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Rys. 3. Krzywe graniczne uziarnienia mieszanki mineralnej 0/16 mm </w:t>
      </w:r>
    </w:p>
    <w:p w14:paraId="4AF10512" w14:textId="7351F247" w:rsidR="00813B74" w:rsidRPr="00813B74" w:rsidRDefault="00813B74" w:rsidP="00813B74">
      <w:pPr>
        <w:overflowPunct w:val="0"/>
        <w:autoSpaceDE w:val="0"/>
        <w:autoSpaceDN w:val="0"/>
        <w:adjustRightInd w:val="0"/>
        <w:spacing w:after="96"/>
        <w:ind w:right="1253"/>
        <w:jc w:val="right"/>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noProof/>
          <w:sz w:val="20"/>
          <w:szCs w:val="20"/>
          <w:lang w:eastAsia="pl-PL"/>
        </w:rPr>
        <w:drawing>
          <wp:inline distT="0" distB="0" distL="0" distR="0" wp14:anchorId="41FDF80C" wp14:editId="52286906">
            <wp:extent cx="4169410" cy="3094355"/>
            <wp:effectExtent l="0" t="0" r="254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169410" cy="3094355"/>
                    </a:xfrm>
                    <a:prstGeom prst="rect">
                      <a:avLst/>
                    </a:prstGeom>
                    <a:noFill/>
                    <a:ln>
                      <a:noFill/>
                    </a:ln>
                  </pic:spPr>
                </pic:pic>
              </a:graphicData>
            </a:graphic>
          </wp:inline>
        </w:drawing>
      </w:r>
      <w:r w:rsidRPr="00813B74">
        <w:rPr>
          <w:rFonts w:ascii="Arial Narrow" w:eastAsia="Times New Roman" w:hAnsi="Arial Narrow" w:cs="Times New Roman"/>
          <w:sz w:val="20"/>
          <w:szCs w:val="20"/>
          <w:lang w:eastAsia="pl-PL"/>
        </w:rPr>
        <w:t xml:space="preserve"> </w:t>
      </w:r>
    </w:p>
    <w:p w14:paraId="1B5C633A" w14:textId="77777777" w:rsidR="00813B74" w:rsidRPr="00813B74" w:rsidRDefault="00813B74" w:rsidP="00813B74">
      <w:pPr>
        <w:overflowPunct w:val="0"/>
        <w:autoSpaceDE w:val="0"/>
        <w:autoSpaceDN w:val="0"/>
        <w:adjustRightInd w:val="0"/>
        <w:spacing w:after="0" w:line="240" w:lineRule="auto"/>
        <w:ind w:left="999"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Rys. 4. Krzywe graniczne uziarnienia mieszanki mineralnej 0/11,2 mm </w:t>
      </w:r>
    </w:p>
    <w:p w14:paraId="425759D3" w14:textId="37AF8468" w:rsidR="00813B74" w:rsidRPr="00813B74" w:rsidRDefault="00813B74" w:rsidP="00813B74">
      <w:pPr>
        <w:overflowPunct w:val="0"/>
        <w:autoSpaceDE w:val="0"/>
        <w:autoSpaceDN w:val="0"/>
        <w:adjustRightInd w:val="0"/>
        <w:spacing w:after="96"/>
        <w:ind w:right="1229"/>
        <w:jc w:val="right"/>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noProof/>
          <w:sz w:val="20"/>
          <w:szCs w:val="20"/>
          <w:lang w:eastAsia="pl-PL"/>
        </w:rPr>
        <w:lastRenderedPageBreak/>
        <w:drawing>
          <wp:inline distT="0" distB="0" distL="0" distR="0" wp14:anchorId="4721AC24" wp14:editId="6CD80E75">
            <wp:extent cx="4198620" cy="3101340"/>
            <wp:effectExtent l="0" t="0" r="0" b="381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198620" cy="3101340"/>
                    </a:xfrm>
                    <a:prstGeom prst="rect">
                      <a:avLst/>
                    </a:prstGeom>
                    <a:noFill/>
                    <a:ln>
                      <a:noFill/>
                    </a:ln>
                  </pic:spPr>
                </pic:pic>
              </a:graphicData>
            </a:graphic>
          </wp:inline>
        </w:drawing>
      </w:r>
      <w:r w:rsidRPr="00813B74">
        <w:rPr>
          <w:rFonts w:ascii="Arial Narrow" w:eastAsia="Times New Roman" w:hAnsi="Arial Narrow" w:cs="Times New Roman"/>
          <w:sz w:val="20"/>
          <w:szCs w:val="20"/>
          <w:lang w:eastAsia="pl-PL"/>
        </w:rPr>
        <w:t xml:space="preserve"> </w:t>
      </w:r>
    </w:p>
    <w:p w14:paraId="2C1DBE82" w14:textId="77777777" w:rsidR="00813B74" w:rsidRPr="00813B74" w:rsidRDefault="00813B74" w:rsidP="00813B74">
      <w:pPr>
        <w:overflowPunct w:val="0"/>
        <w:autoSpaceDE w:val="0"/>
        <w:autoSpaceDN w:val="0"/>
        <w:adjustRightInd w:val="0"/>
        <w:spacing w:after="139"/>
        <w:ind w:right="62" w:firstLine="709"/>
        <w:jc w:val="center"/>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Rys. 5. Krzywe graniczne uziarnienia mieszanki mineralnej 0/8 mm </w:t>
      </w:r>
    </w:p>
    <w:p w14:paraId="0C224650" w14:textId="77777777" w:rsidR="00813B74" w:rsidRPr="00813B74" w:rsidRDefault="00813B74" w:rsidP="00813B7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813B74">
        <w:rPr>
          <w:rFonts w:ascii="Arial Narrow" w:eastAsia="Times New Roman" w:hAnsi="Arial Narrow" w:cs="Times New Roman"/>
          <w:b/>
          <w:sz w:val="24"/>
          <w:szCs w:val="20"/>
          <w:lang w:val="x-none" w:eastAsia="x-none"/>
        </w:rPr>
        <w:t xml:space="preserve">5.4.2 Zawartość spoiwa </w:t>
      </w:r>
    </w:p>
    <w:p w14:paraId="19F030AC"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Zawartość spoiwa (cementu) w mieszance powinna być określona na podstawie procedury projektowej i/lub doświadczenia z mieszankami wyprodukowanymi przy użyciu proponowanych składników. Zawartość spoiwa nie powinna być mniejsza od minimalnych wartości przedstawionych w tabeli 2. </w:t>
      </w:r>
    </w:p>
    <w:p w14:paraId="2E880682"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Tabela 2. Minimalna zawartość spoiwa (cementu) w mieszance wg PN-EN 14227-1 </w:t>
      </w:r>
    </w:p>
    <w:tbl>
      <w:tblPr>
        <w:tblW w:w="9064" w:type="dxa"/>
        <w:tblInd w:w="17" w:type="dxa"/>
        <w:tblCellMar>
          <w:top w:w="54" w:type="dxa"/>
          <w:left w:w="139" w:type="dxa"/>
          <w:right w:w="67" w:type="dxa"/>
        </w:tblCellMar>
        <w:tblLook w:val="04A0" w:firstRow="1" w:lastRow="0" w:firstColumn="1" w:lastColumn="0" w:noHBand="0" w:noVBand="1"/>
      </w:tblPr>
      <w:tblGrid>
        <w:gridCol w:w="4988"/>
        <w:gridCol w:w="4076"/>
      </w:tblGrid>
      <w:tr w:rsidR="00813B74" w:rsidRPr="00813B74" w14:paraId="33F25AA9" w14:textId="77777777" w:rsidTr="0072451A">
        <w:trPr>
          <w:trHeight w:val="475"/>
        </w:trPr>
        <w:tc>
          <w:tcPr>
            <w:tcW w:w="4988" w:type="dxa"/>
            <w:tcBorders>
              <w:top w:val="single" w:sz="4" w:space="0" w:color="000000"/>
              <w:left w:val="single" w:sz="4" w:space="0" w:color="000000"/>
              <w:bottom w:val="single" w:sz="4" w:space="0" w:color="000000"/>
              <w:right w:val="single" w:sz="4" w:space="0" w:color="000000"/>
            </w:tcBorders>
            <w:shd w:val="clear" w:color="auto" w:fill="auto"/>
          </w:tcPr>
          <w:p w14:paraId="336E82C4"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Maksymalny nominalny wymiar kruszywa, mm </w:t>
            </w:r>
          </w:p>
        </w:tc>
        <w:tc>
          <w:tcPr>
            <w:tcW w:w="4076" w:type="dxa"/>
            <w:tcBorders>
              <w:top w:val="single" w:sz="4" w:space="0" w:color="000000"/>
              <w:left w:val="single" w:sz="4" w:space="0" w:color="000000"/>
              <w:bottom w:val="single" w:sz="4" w:space="0" w:color="000000"/>
              <w:right w:val="single" w:sz="4" w:space="0" w:color="000000"/>
            </w:tcBorders>
            <w:shd w:val="clear" w:color="auto" w:fill="auto"/>
          </w:tcPr>
          <w:p w14:paraId="319B755E"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Minimalna zawartość spoiwa, % m/m </w:t>
            </w:r>
          </w:p>
        </w:tc>
      </w:tr>
      <w:tr w:rsidR="00813B74" w:rsidRPr="00813B74" w14:paraId="67E0BC31" w14:textId="77777777" w:rsidTr="0072451A">
        <w:trPr>
          <w:trHeight w:val="283"/>
        </w:trPr>
        <w:tc>
          <w:tcPr>
            <w:tcW w:w="4988" w:type="dxa"/>
            <w:tcBorders>
              <w:top w:val="single" w:sz="4" w:space="0" w:color="000000"/>
              <w:left w:val="single" w:sz="4" w:space="0" w:color="000000"/>
              <w:bottom w:val="single" w:sz="4" w:space="0" w:color="000000"/>
              <w:right w:val="single" w:sz="4" w:space="0" w:color="000000"/>
            </w:tcBorders>
            <w:shd w:val="clear" w:color="auto" w:fill="auto"/>
          </w:tcPr>
          <w:p w14:paraId="738CD21E"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&gt; 8,0 do 31,5 </w:t>
            </w:r>
          </w:p>
        </w:tc>
        <w:tc>
          <w:tcPr>
            <w:tcW w:w="4076" w:type="dxa"/>
            <w:tcBorders>
              <w:top w:val="single" w:sz="4" w:space="0" w:color="000000"/>
              <w:left w:val="single" w:sz="4" w:space="0" w:color="000000"/>
              <w:bottom w:val="single" w:sz="4" w:space="0" w:color="000000"/>
              <w:right w:val="single" w:sz="4" w:space="0" w:color="000000"/>
            </w:tcBorders>
            <w:shd w:val="clear" w:color="auto" w:fill="auto"/>
          </w:tcPr>
          <w:p w14:paraId="7C65C919"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3 </w:t>
            </w:r>
          </w:p>
        </w:tc>
      </w:tr>
      <w:tr w:rsidR="00813B74" w:rsidRPr="00813B74" w14:paraId="3529AD05" w14:textId="77777777" w:rsidTr="0072451A">
        <w:trPr>
          <w:trHeight w:val="288"/>
        </w:trPr>
        <w:tc>
          <w:tcPr>
            <w:tcW w:w="4988" w:type="dxa"/>
            <w:tcBorders>
              <w:top w:val="single" w:sz="4" w:space="0" w:color="000000"/>
              <w:left w:val="single" w:sz="4" w:space="0" w:color="000000"/>
              <w:bottom w:val="single" w:sz="4" w:space="0" w:color="000000"/>
              <w:right w:val="single" w:sz="4" w:space="0" w:color="000000"/>
            </w:tcBorders>
            <w:shd w:val="clear" w:color="auto" w:fill="auto"/>
          </w:tcPr>
          <w:p w14:paraId="33A0843C"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2,0 do 8,0 </w:t>
            </w:r>
          </w:p>
        </w:tc>
        <w:tc>
          <w:tcPr>
            <w:tcW w:w="4076" w:type="dxa"/>
            <w:tcBorders>
              <w:top w:val="single" w:sz="4" w:space="0" w:color="000000"/>
              <w:left w:val="single" w:sz="4" w:space="0" w:color="000000"/>
              <w:bottom w:val="single" w:sz="4" w:space="0" w:color="000000"/>
              <w:right w:val="single" w:sz="4" w:space="0" w:color="000000"/>
            </w:tcBorders>
            <w:shd w:val="clear" w:color="auto" w:fill="auto"/>
          </w:tcPr>
          <w:p w14:paraId="2FFDC2D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4 </w:t>
            </w:r>
          </w:p>
        </w:tc>
      </w:tr>
      <w:tr w:rsidR="00813B74" w:rsidRPr="00813B74" w14:paraId="71D3B599" w14:textId="77777777" w:rsidTr="0072451A">
        <w:trPr>
          <w:trHeight w:val="278"/>
        </w:trPr>
        <w:tc>
          <w:tcPr>
            <w:tcW w:w="4988" w:type="dxa"/>
            <w:tcBorders>
              <w:top w:val="single" w:sz="4" w:space="0" w:color="000000"/>
              <w:left w:val="single" w:sz="4" w:space="0" w:color="000000"/>
              <w:bottom w:val="single" w:sz="4" w:space="0" w:color="000000"/>
              <w:right w:val="single" w:sz="4" w:space="0" w:color="000000"/>
            </w:tcBorders>
            <w:shd w:val="clear" w:color="auto" w:fill="auto"/>
          </w:tcPr>
          <w:p w14:paraId="1ADF61A6"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&lt; 2,0 </w:t>
            </w:r>
          </w:p>
        </w:tc>
        <w:tc>
          <w:tcPr>
            <w:tcW w:w="4076" w:type="dxa"/>
            <w:tcBorders>
              <w:top w:val="single" w:sz="4" w:space="0" w:color="000000"/>
              <w:left w:val="single" w:sz="4" w:space="0" w:color="000000"/>
              <w:bottom w:val="single" w:sz="4" w:space="0" w:color="000000"/>
              <w:right w:val="single" w:sz="4" w:space="0" w:color="000000"/>
            </w:tcBorders>
            <w:shd w:val="clear" w:color="auto" w:fill="auto"/>
          </w:tcPr>
          <w:p w14:paraId="06B1E610"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5 </w:t>
            </w:r>
          </w:p>
        </w:tc>
      </w:tr>
    </w:tbl>
    <w:p w14:paraId="61EA9ADA"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Dopuszczalne jest zastosowanie mniejszej ilości spoiwa niż podano w tabeli 2, jeśli podczas procesu produkcyjnego stwierdzone zostanie, że zachowana jest zgodność z wymaganiami tabel 5÷7 niniejszych STWiORB oraz za zgodą Inżyniera/Inspektora Nadzoru. </w:t>
      </w:r>
    </w:p>
    <w:p w14:paraId="0043892C" w14:textId="77777777" w:rsidR="00813B74" w:rsidRPr="00813B74" w:rsidRDefault="00813B74" w:rsidP="00813B7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813B74">
        <w:rPr>
          <w:rFonts w:ascii="Arial Narrow" w:eastAsia="Times New Roman" w:hAnsi="Arial Narrow" w:cs="Times New Roman"/>
          <w:b/>
          <w:sz w:val="24"/>
          <w:szCs w:val="20"/>
          <w:lang w:val="x-none" w:eastAsia="x-none"/>
        </w:rPr>
        <w:t>5.4.3.</w:t>
      </w:r>
      <w:r w:rsidRPr="00813B74">
        <w:rPr>
          <w:rFonts w:ascii="Arial" w:eastAsia="Arial" w:hAnsi="Arial" w:cs="Arial"/>
          <w:b/>
          <w:sz w:val="24"/>
          <w:szCs w:val="20"/>
          <w:lang w:val="x-none" w:eastAsia="x-none"/>
        </w:rPr>
        <w:t xml:space="preserve"> </w:t>
      </w:r>
      <w:r w:rsidRPr="00813B74">
        <w:rPr>
          <w:rFonts w:ascii="Arial Narrow" w:eastAsia="Times New Roman" w:hAnsi="Arial Narrow" w:cs="Times New Roman"/>
          <w:b/>
          <w:sz w:val="24"/>
          <w:szCs w:val="20"/>
          <w:lang w:val="x-none" w:eastAsia="x-none"/>
        </w:rPr>
        <w:t xml:space="preserve">Zawartość wody </w:t>
      </w:r>
    </w:p>
    <w:p w14:paraId="39F206A5"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Zawartość wody w mieszance powinna być określona na podstawie procedury projektowej wg metody Proctora i/lub doświadczenia z mieszankami wyprodukowanymi przy użyciu proponowanych składników. Zawartość wody należy określić zgodnie z PN-EN 13286-2. </w:t>
      </w:r>
    </w:p>
    <w:p w14:paraId="14F5C17C" w14:textId="77777777" w:rsidR="00813B74" w:rsidRPr="00813B74" w:rsidRDefault="00813B74" w:rsidP="00813B7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813B74">
        <w:rPr>
          <w:rFonts w:ascii="Arial Narrow" w:eastAsia="Times New Roman" w:hAnsi="Arial Narrow" w:cs="Times New Roman"/>
          <w:b/>
          <w:sz w:val="24"/>
          <w:szCs w:val="20"/>
          <w:lang w:val="x-none" w:eastAsia="x-none"/>
        </w:rPr>
        <w:t>5.4.4.</w:t>
      </w:r>
      <w:r w:rsidRPr="00813B74">
        <w:rPr>
          <w:rFonts w:ascii="Arial" w:eastAsia="Arial" w:hAnsi="Arial" w:cs="Arial"/>
          <w:b/>
          <w:sz w:val="24"/>
          <w:szCs w:val="20"/>
          <w:lang w:val="x-none" w:eastAsia="x-none"/>
        </w:rPr>
        <w:t xml:space="preserve"> </w:t>
      </w:r>
      <w:r w:rsidRPr="00813B74">
        <w:rPr>
          <w:rFonts w:ascii="Arial Narrow" w:eastAsia="Times New Roman" w:hAnsi="Arial Narrow" w:cs="Times New Roman"/>
          <w:b/>
          <w:sz w:val="24"/>
          <w:szCs w:val="20"/>
          <w:lang w:val="x-none" w:eastAsia="x-none"/>
        </w:rPr>
        <w:t xml:space="preserve">Warunki przygotowania i pielęgnacji próbek </w:t>
      </w:r>
    </w:p>
    <w:p w14:paraId="330C763C"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Próbki walcowe zagęszczane ubijakiem Proctora, powinny być przygotowane zgodnie z PNEN 13286-50. Próbki należy przechowywać przez 14 dni w temperaturze pokojowej z zabezpieczeniem przed wysychaniem (w komorze o wilgotności powyżej 95% - 100% lub w wilgotnym piasku) i następnie zanurzyć na 14 dni do wody o temperaturze pokojowej. </w:t>
      </w:r>
    </w:p>
    <w:p w14:paraId="00209A84"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Nasycanie próbek wodą odbywa się pod ciśnieniem normalnym i przy całkowitym ich zanurzeniu w wodzie. </w:t>
      </w:r>
    </w:p>
    <w:p w14:paraId="7DD46EB3"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Badanie wytrzymałości na ściskanie (system I) należy przeprowadzić na próbkach walcowych przygotowanych metodą Proctora zgodnie z PN-EN 13286-50, przy wykorzystaniu metody badawczej zgodniej z PN-EN 13286-41.  </w:t>
      </w:r>
    </w:p>
    <w:p w14:paraId="59A7C46F" w14:textId="77777777" w:rsidR="00813B74" w:rsidRPr="00813B74" w:rsidRDefault="00813B74" w:rsidP="00813B7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813B74">
        <w:rPr>
          <w:rFonts w:ascii="Arial Narrow" w:eastAsia="Times New Roman" w:hAnsi="Arial Narrow" w:cs="Times New Roman"/>
          <w:b/>
          <w:sz w:val="24"/>
          <w:szCs w:val="20"/>
          <w:lang w:val="x-none" w:eastAsia="x-none"/>
        </w:rPr>
        <w:t>5.4.5.</w:t>
      </w:r>
      <w:r w:rsidRPr="00813B74">
        <w:rPr>
          <w:rFonts w:ascii="Arial" w:eastAsia="Arial" w:hAnsi="Arial" w:cs="Arial"/>
          <w:b/>
          <w:sz w:val="24"/>
          <w:szCs w:val="20"/>
          <w:lang w:val="x-none" w:eastAsia="x-none"/>
        </w:rPr>
        <w:t xml:space="preserve"> </w:t>
      </w:r>
      <w:r w:rsidRPr="00813B74">
        <w:rPr>
          <w:rFonts w:ascii="Arial Narrow" w:eastAsia="Times New Roman" w:hAnsi="Arial Narrow" w:cs="Times New Roman"/>
          <w:b/>
          <w:sz w:val="24"/>
          <w:szCs w:val="20"/>
          <w:lang w:val="x-none" w:eastAsia="x-none"/>
        </w:rPr>
        <w:t xml:space="preserve">Wytrzymałość na ściskanie </w:t>
      </w:r>
    </w:p>
    <w:p w14:paraId="1427C4D9"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Wytrzymałość na ściskanie określonej mieszanki powinna być oznaczana zgodnie z PN-EN 13286-41, po 28 dniach pielęgnacji. Wynik wytrzymałości na ściskanie powinien zawierać się w przedziale danej klasy wytrzymałości zgodnie z Tabelą 4. </w:t>
      </w:r>
    </w:p>
    <w:p w14:paraId="54B7693C"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W praktyce wykonawczej dopuszcza się stosowanie dodatkowo wytrzymałości na ściskanie określonej po innym okresie pielęgnacji, np. po 7 lub 14 dniach (R</w:t>
      </w:r>
      <w:r w:rsidRPr="00813B74">
        <w:rPr>
          <w:rFonts w:ascii="Arial Narrow" w:eastAsia="Times New Roman" w:hAnsi="Arial Narrow" w:cs="Times New Roman"/>
          <w:sz w:val="20"/>
          <w:szCs w:val="20"/>
          <w:vertAlign w:val="subscript"/>
          <w:lang w:eastAsia="pl-PL"/>
        </w:rPr>
        <w:t>c7</w:t>
      </w:r>
      <w:r w:rsidRPr="00813B74">
        <w:rPr>
          <w:rFonts w:ascii="Arial Narrow" w:eastAsia="Times New Roman" w:hAnsi="Arial Narrow" w:cs="Times New Roman"/>
          <w:sz w:val="20"/>
          <w:szCs w:val="20"/>
          <w:lang w:eastAsia="pl-PL"/>
        </w:rPr>
        <w:t>, R</w:t>
      </w:r>
      <w:r w:rsidRPr="00813B74">
        <w:rPr>
          <w:rFonts w:ascii="Arial Narrow" w:eastAsia="Times New Roman" w:hAnsi="Arial Narrow" w:cs="Times New Roman"/>
          <w:sz w:val="20"/>
          <w:szCs w:val="20"/>
          <w:vertAlign w:val="subscript"/>
          <w:lang w:eastAsia="pl-PL"/>
        </w:rPr>
        <w:t>c14</w:t>
      </w:r>
      <w:r w:rsidRPr="00813B74">
        <w:rPr>
          <w:rFonts w:ascii="Arial Narrow" w:eastAsia="Times New Roman" w:hAnsi="Arial Narrow" w:cs="Times New Roman"/>
          <w:sz w:val="20"/>
          <w:szCs w:val="20"/>
          <w:lang w:eastAsia="pl-PL"/>
        </w:rPr>
        <w:t xml:space="preserve">). </w:t>
      </w:r>
    </w:p>
    <w:p w14:paraId="1B4D09AD" w14:textId="77777777" w:rsidR="00813B74" w:rsidRPr="00813B74" w:rsidRDefault="00813B74" w:rsidP="00813B7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813B74">
        <w:rPr>
          <w:rFonts w:ascii="Arial Narrow" w:eastAsia="Times New Roman" w:hAnsi="Arial Narrow" w:cs="Times New Roman"/>
          <w:b/>
          <w:sz w:val="24"/>
          <w:szCs w:val="20"/>
          <w:lang w:val="x-none" w:eastAsia="x-none"/>
        </w:rPr>
        <w:t>5.4.6.</w:t>
      </w:r>
      <w:r w:rsidRPr="00813B74">
        <w:rPr>
          <w:rFonts w:ascii="Arial" w:eastAsia="Arial" w:hAnsi="Arial" w:cs="Arial"/>
          <w:b/>
          <w:sz w:val="24"/>
          <w:szCs w:val="20"/>
          <w:lang w:val="x-none" w:eastAsia="x-none"/>
        </w:rPr>
        <w:t xml:space="preserve"> </w:t>
      </w:r>
      <w:r w:rsidRPr="00813B74">
        <w:rPr>
          <w:rFonts w:ascii="Arial Narrow" w:eastAsia="Times New Roman" w:hAnsi="Arial Narrow" w:cs="Times New Roman"/>
          <w:b/>
          <w:sz w:val="24"/>
          <w:szCs w:val="20"/>
          <w:lang w:val="x-none" w:eastAsia="x-none"/>
        </w:rPr>
        <w:t xml:space="preserve">Mrozoodporność </w:t>
      </w:r>
    </w:p>
    <w:p w14:paraId="7578F462"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Wskaźnik mrozoodporności mieszanki związanej cementem określany jest stosunkiem wytrzymałości na ściskanie </w:t>
      </w:r>
      <w:r w:rsidRPr="00813B74">
        <w:rPr>
          <w:rFonts w:ascii="Times New Roman" w:eastAsia="Times New Roman" w:hAnsi="Times New Roman" w:cs="Times New Roman"/>
          <w:sz w:val="17"/>
          <w:szCs w:val="20"/>
          <w:lang w:eastAsia="pl-PL"/>
        </w:rPr>
        <w:t>R</w:t>
      </w:r>
      <w:r w:rsidRPr="00813B74">
        <w:rPr>
          <w:rFonts w:ascii="Times New Roman" w:eastAsia="Times New Roman" w:hAnsi="Times New Roman" w:cs="Times New Roman"/>
          <w:i/>
          <w:sz w:val="17"/>
          <w:szCs w:val="20"/>
          <w:vertAlign w:val="subscript"/>
          <w:lang w:eastAsia="pl-PL"/>
        </w:rPr>
        <w:t>c</w:t>
      </w:r>
      <w:r w:rsidRPr="00813B74">
        <w:rPr>
          <w:rFonts w:ascii="Times New Roman" w:eastAsia="Times New Roman" w:hAnsi="Times New Roman" w:cs="Times New Roman"/>
          <w:i/>
          <w:sz w:val="17"/>
          <w:szCs w:val="20"/>
          <w:vertAlign w:val="superscript"/>
          <w:lang w:eastAsia="pl-PL"/>
        </w:rPr>
        <w:t>z</w:t>
      </w:r>
      <w:r w:rsidRPr="00813B74">
        <w:rPr>
          <w:rFonts w:ascii="Segoe UI Symbol" w:eastAsia="Segoe UI Symbol" w:hAnsi="Segoe UI Symbol" w:cs="Segoe UI Symbol"/>
          <w:sz w:val="17"/>
          <w:szCs w:val="20"/>
          <w:vertAlign w:val="superscript"/>
          <w:lang w:eastAsia="pl-PL"/>
        </w:rPr>
        <w:t></w:t>
      </w:r>
      <w:r w:rsidRPr="00813B74">
        <w:rPr>
          <w:rFonts w:ascii="Times New Roman" w:eastAsia="Times New Roman" w:hAnsi="Times New Roman" w:cs="Times New Roman"/>
          <w:i/>
          <w:sz w:val="17"/>
          <w:szCs w:val="20"/>
          <w:vertAlign w:val="superscript"/>
          <w:lang w:eastAsia="pl-PL"/>
        </w:rPr>
        <w:t>o</w:t>
      </w:r>
      <w:r w:rsidRPr="00813B74">
        <w:rPr>
          <w:rFonts w:ascii="Arial Narrow" w:eastAsia="Times New Roman" w:hAnsi="Arial Narrow" w:cs="Times New Roman"/>
          <w:sz w:val="20"/>
          <w:szCs w:val="20"/>
          <w:lang w:eastAsia="pl-PL"/>
        </w:rPr>
        <w:t xml:space="preserve"> próbki po 28 dniach pielęgnacji i po 14 cyklach zamrażania i odmrażania do wytrzymałości na ściskanie R</w:t>
      </w:r>
      <w:r w:rsidRPr="00813B74">
        <w:rPr>
          <w:rFonts w:ascii="Arial Narrow" w:eastAsia="Times New Roman" w:hAnsi="Arial Narrow" w:cs="Times New Roman"/>
          <w:sz w:val="20"/>
          <w:szCs w:val="20"/>
          <w:vertAlign w:val="subscript"/>
          <w:lang w:eastAsia="pl-PL"/>
        </w:rPr>
        <w:t>c</w:t>
      </w:r>
      <w:r w:rsidRPr="00813B74">
        <w:rPr>
          <w:rFonts w:ascii="Arial Narrow" w:eastAsia="Times New Roman" w:hAnsi="Arial Narrow" w:cs="Times New Roman"/>
          <w:sz w:val="20"/>
          <w:szCs w:val="20"/>
          <w:lang w:eastAsia="pl-PL"/>
        </w:rPr>
        <w:t xml:space="preserve"> próbki po 28 dniach pielęgnacji według pkt 5.4.4. </w:t>
      </w:r>
    </w:p>
    <w:p w14:paraId="3C4438D5"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20450624" w14:textId="3779E3B1" w:rsidR="00813B74" w:rsidRPr="00813B74" w:rsidRDefault="00813B74" w:rsidP="00813B74">
      <w:pPr>
        <w:overflowPunct w:val="0"/>
        <w:autoSpaceDE w:val="0"/>
        <w:autoSpaceDN w:val="0"/>
        <w:adjustRightInd w:val="0"/>
        <w:spacing w:after="0" w:line="240" w:lineRule="auto"/>
        <w:ind w:left="7"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noProof/>
          <w:sz w:val="20"/>
          <w:szCs w:val="20"/>
          <w:lang w:eastAsia="pl-PL"/>
        </w:rPr>
        <mc:AlternateContent>
          <mc:Choice Requires="wpg">
            <w:drawing>
              <wp:anchor distT="0" distB="0" distL="114300" distR="114300" simplePos="0" relativeHeight="251659264" behindDoc="0" locked="0" layoutInCell="1" allowOverlap="1" wp14:anchorId="0A1482B5" wp14:editId="4B312589">
                <wp:simplePos x="0" y="0"/>
                <wp:positionH relativeFrom="column">
                  <wp:posOffset>1927225</wp:posOffset>
                </wp:positionH>
                <wp:positionV relativeFrom="paragraph">
                  <wp:posOffset>92710</wp:posOffset>
                </wp:positionV>
                <wp:extent cx="293370" cy="5715"/>
                <wp:effectExtent l="0" t="0" r="0" b="0"/>
                <wp:wrapNone/>
                <wp:docPr id="41394" name="Grupa 413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3370" cy="5715"/>
                          <a:chOff x="0" y="0"/>
                          <a:chExt cx="293267" cy="5539"/>
                        </a:xfrm>
                      </wpg:grpSpPr>
                      <wps:wsp>
                        <wps:cNvPr id="3494" name="Shape 3494"/>
                        <wps:cNvSpPr/>
                        <wps:spPr>
                          <a:xfrm>
                            <a:off x="0" y="0"/>
                            <a:ext cx="293267" cy="0"/>
                          </a:xfrm>
                          <a:custGeom>
                            <a:avLst/>
                            <a:gdLst/>
                            <a:ahLst/>
                            <a:cxnLst/>
                            <a:rect l="0" t="0" r="0" b="0"/>
                            <a:pathLst>
                              <a:path w="293267">
                                <a:moveTo>
                                  <a:pt x="0" y="0"/>
                                </a:moveTo>
                                <a:lnTo>
                                  <a:pt x="293267" y="0"/>
                                </a:lnTo>
                              </a:path>
                            </a:pathLst>
                          </a:custGeom>
                          <a:noFill/>
                          <a:ln w="5539" cap="flat" cmpd="sng" algn="ctr">
                            <a:solidFill>
                              <a:srgbClr val="000000"/>
                            </a:solidFill>
                            <a:prstDash val="solid"/>
                            <a:round/>
                          </a:ln>
                          <a:effec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90EE780" id="Grupa 41394" o:spid="_x0000_s1026" style="position:absolute;margin-left:151.75pt;margin-top:7.3pt;width:23.1pt;height:.45pt;z-index:251659264" coordsize="293267,5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">
                <v:shape id="Shape 3494" o:spid="_x0000_s1027" style="position:absolute;width:293267;height:0;visibility:visible;mso-wrap-style:square;v-text-anchor:top" coordsize="2932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" path="m,l293267,e" filled="f" strokeweight=".15386mm">
                  <v:path arrowok="t" textboxrect="0,0,293267,0"/>
                </v:shape>
              </v:group>
            </w:pict>
          </mc:Fallback>
        </mc:AlternateContent>
      </w:r>
      <w:r w:rsidRPr="00813B74">
        <w:rPr>
          <w:rFonts w:ascii="Arial Narrow" w:eastAsia="Times New Roman" w:hAnsi="Arial Narrow" w:cs="Times New Roman"/>
          <w:sz w:val="20"/>
          <w:szCs w:val="20"/>
          <w:lang w:eastAsia="pl-PL"/>
        </w:rPr>
        <w:t xml:space="preserve">Wskaźnik mrozoodporności </w:t>
      </w:r>
      <w:r w:rsidRPr="00813B74">
        <w:rPr>
          <w:rFonts w:ascii="Segoe UI Symbol" w:eastAsia="Segoe UI Symbol" w:hAnsi="Segoe UI Symbol" w:cs="Segoe UI Symbol"/>
          <w:sz w:val="26"/>
          <w:szCs w:val="20"/>
          <w:vertAlign w:val="subscript"/>
          <w:lang w:eastAsia="pl-PL"/>
        </w:rPr>
        <w:t xml:space="preserve"> </w:t>
      </w:r>
      <w:r w:rsidRPr="00813B74">
        <w:rPr>
          <w:rFonts w:ascii="Times New Roman" w:eastAsia="Times New Roman" w:hAnsi="Times New Roman" w:cs="Times New Roman"/>
          <w:sz w:val="26"/>
          <w:szCs w:val="20"/>
          <w:vertAlign w:val="superscript"/>
          <w:lang w:eastAsia="pl-PL"/>
        </w:rPr>
        <w:t>R</w:t>
      </w:r>
      <w:r w:rsidRPr="00813B74">
        <w:rPr>
          <w:rFonts w:ascii="Times New Roman" w:eastAsia="Times New Roman" w:hAnsi="Times New Roman" w:cs="Times New Roman"/>
          <w:i/>
          <w:sz w:val="12"/>
          <w:szCs w:val="20"/>
          <w:lang w:eastAsia="pl-PL"/>
        </w:rPr>
        <w:t>c</w:t>
      </w:r>
      <w:r w:rsidRPr="00813B74">
        <w:rPr>
          <w:rFonts w:ascii="Times New Roman" w:eastAsia="Times New Roman" w:hAnsi="Times New Roman" w:cs="Times New Roman"/>
          <w:i/>
          <w:sz w:val="20"/>
          <w:szCs w:val="20"/>
          <w:vertAlign w:val="superscript"/>
          <w:lang w:eastAsia="pl-PL"/>
        </w:rPr>
        <w:t>z</w:t>
      </w:r>
      <w:r w:rsidRPr="00813B74">
        <w:rPr>
          <w:rFonts w:ascii="Segoe UI Symbol" w:eastAsia="Segoe UI Symbol" w:hAnsi="Segoe UI Symbol" w:cs="Segoe UI Symbol"/>
          <w:sz w:val="20"/>
          <w:szCs w:val="20"/>
          <w:vertAlign w:val="superscript"/>
          <w:lang w:eastAsia="pl-PL"/>
        </w:rPr>
        <w:t></w:t>
      </w:r>
      <w:r w:rsidRPr="00813B74">
        <w:rPr>
          <w:rFonts w:ascii="Times New Roman" w:eastAsia="Times New Roman" w:hAnsi="Times New Roman" w:cs="Times New Roman"/>
          <w:i/>
          <w:sz w:val="20"/>
          <w:szCs w:val="20"/>
          <w:vertAlign w:val="superscript"/>
          <w:lang w:eastAsia="pl-PL"/>
        </w:rPr>
        <w:t xml:space="preserve">o </w:t>
      </w:r>
      <w:r w:rsidRPr="00813B74">
        <w:rPr>
          <w:rFonts w:ascii="Arial Narrow" w:eastAsia="Times New Roman" w:hAnsi="Arial Narrow" w:cs="Times New Roman"/>
          <w:sz w:val="20"/>
          <w:szCs w:val="20"/>
          <w:lang w:eastAsia="pl-PL"/>
        </w:rPr>
        <w:t xml:space="preserve">.  </w:t>
      </w:r>
    </w:p>
    <w:p w14:paraId="130966DA" w14:textId="77777777" w:rsidR="00813B74" w:rsidRPr="00813B74" w:rsidRDefault="00813B74" w:rsidP="00813B74">
      <w:pPr>
        <w:overflowPunct w:val="0"/>
        <w:autoSpaceDE w:val="0"/>
        <w:autoSpaceDN w:val="0"/>
        <w:adjustRightInd w:val="0"/>
        <w:spacing w:after="239"/>
        <w:ind w:left="3138"/>
        <w:textAlignment w:val="baseline"/>
        <w:rPr>
          <w:rFonts w:ascii="Arial Narrow" w:eastAsia="Times New Roman" w:hAnsi="Arial Narrow" w:cs="Times New Roman"/>
          <w:sz w:val="20"/>
          <w:szCs w:val="20"/>
          <w:lang w:eastAsia="pl-PL"/>
        </w:rPr>
      </w:pPr>
      <w:r w:rsidRPr="00813B74">
        <w:rPr>
          <w:rFonts w:ascii="Times New Roman" w:eastAsia="Times New Roman" w:hAnsi="Times New Roman" w:cs="Times New Roman"/>
          <w:sz w:val="17"/>
          <w:szCs w:val="20"/>
          <w:lang w:eastAsia="pl-PL"/>
        </w:rPr>
        <w:t>R</w:t>
      </w:r>
      <w:r w:rsidRPr="00813B74">
        <w:rPr>
          <w:rFonts w:ascii="Times New Roman" w:eastAsia="Times New Roman" w:hAnsi="Times New Roman" w:cs="Times New Roman"/>
          <w:i/>
          <w:sz w:val="17"/>
          <w:szCs w:val="20"/>
          <w:vertAlign w:val="subscript"/>
          <w:lang w:eastAsia="pl-PL"/>
        </w:rPr>
        <w:t>c</w:t>
      </w:r>
    </w:p>
    <w:p w14:paraId="6ABB6F84"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lastRenderedPageBreak/>
        <w:t>Próbki do oznaczenia wskaźnika mrozoodporności należy przechowywać przez 28 dni w temperaturze pokojowej z zabezpieczeniem przed wysychaniem (w komorze o wilgotności 95% ÷ 100% lub w wilgotnym piasku). Następnie należy je całkowicie zanurzyć na 1 dobę w wodzie, a następnie w ciągu kolejnych 14 dni poddać cyklom zamrażania i odmrażania. Jeden cykl zamrażania i odmrażania polega na zamrażaniu próbki w temperaturze -23 ±2</w:t>
      </w:r>
      <w:r w:rsidRPr="00813B74">
        <w:rPr>
          <w:rFonts w:ascii="Arial Narrow" w:eastAsia="Times New Roman" w:hAnsi="Arial Narrow" w:cs="Times New Roman"/>
          <w:sz w:val="20"/>
          <w:szCs w:val="20"/>
          <w:vertAlign w:val="superscript"/>
          <w:lang w:eastAsia="pl-PL"/>
        </w:rPr>
        <w:t xml:space="preserve"> </w:t>
      </w:r>
      <w:r w:rsidRPr="00813B74">
        <w:rPr>
          <w:rFonts w:ascii="Arial Narrow" w:eastAsia="Times New Roman" w:hAnsi="Arial Narrow" w:cs="Times New Roman"/>
          <w:sz w:val="20"/>
          <w:szCs w:val="20"/>
          <w:lang w:eastAsia="pl-PL"/>
        </w:rPr>
        <w:t xml:space="preserve">°C przez  8 godzin i odmrażania w wodzie o temperaturze +18 ±2 °C przez 16 godzin. Oznaczenie wskaźnika mrozoodporności należy przeprowadzać na 3 próbkach i do obliczeń przyjmować średnią. Wynik badania różniący się od średniej o więcej niż 20% należy odrzucić, a jako miarodajną wartość wytrzymałości na ściskanie </w:t>
      </w:r>
      <w:r w:rsidRPr="00813B74">
        <w:rPr>
          <w:rFonts w:ascii="Times New Roman" w:eastAsia="Times New Roman" w:hAnsi="Times New Roman" w:cs="Times New Roman"/>
          <w:sz w:val="17"/>
          <w:szCs w:val="20"/>
          <w:lang w:eastAsia="pl-PL"/>
        </w:rPr>
        <w:t>R</w:t>
      </w:r>
      <w:r w:rsidRPr="00813B74">
        <w:rPr>
          <w:rFonts w:ascii="Times New Roman" w:eastAsia="Times New Roman" w:hAnsi="Times New Roman" w:cs="Times New Roman"/>
          <w:i/>
          <w:sz w:val="17"/>
          <w:szCs w:val="20"/>
          <w:vertAlign w:val="subscript"/>
          <w:lang w:eastAsia="pl-PL"/>
        </w:rPr>
        <w:t>c</w:t>
      </w:r>
      <w:r w:rsidRPr="00813B74">
        <w:rPr>
          <w:rFonts w:ascii="Times New Roman" w:eastAsia="Times New Roman" w:hAnsi="Times New Roman" w:cs="Times New Roman"/>
          <w:i/>
          <w:sz w:val="17"/>
          <w:szCs w:val="20"/>
          <w:vertAlign w:val="superscript"/>
          <w:lang w:eastAsia="pl-PL"/>
        </w:rPr>
        <w:t>z</w:t>
      </w:r>
      <w:r w:rsidRPr="00813B74">
        <w:rPr>
          <w:rFonts w:ascii="Segoe UI Symbol" w:eastAsia="Segoe UI Symbol" w:hAnsi="Segoe UI Symbol" w:cs="Segoe UI Symbol"/>
          <w:sz w:val="17"/>
          <w:szCs w:val="20"/>
          <w:vertAlign w:val="superscript"/>
          <w:lang w:eastAsia="pl-PL"/>
        </w:rPr>
        <w:t></w:t>
      </w:r>
      <w:r w:rsidRPr="00813B74">
        <w:rPr>
          <w:rFonts w:ascii="Times New Roman" w:eastAsia="Times New Roman" w:hAnsi="Times New Roman" w:cs="Times New Roman"/>
          <w:i/>
          <w:sz w:val="17"/>
          <w:szCs w:val="20"/>
          <w:vertAlign w:val="superscript"/>
          <w:lang w:eastAsia="pl-PL"/>
        </w:rPr>
        <w:t xml:space="preserve">o </w:t>
      </w:r>
      <w:r w:rsidRPr="00813B74">
        <w:rPr>
          <w:rFonts w:ascii="Arial Narrow" w:eastAsia="Times New Roman" w:hAnsi="Arial Narrow" w:cs="Times New Roman"/>
          <w:sz w:val="20"/>
          <w:szCs w:val="20"/>
          <w:lang w:eastAsia="pl-PL"/>
        </w:rPr>
        <w:t>, R</w:t>
      </w:r>
      <w:r w:rsidRPr="00813B74">
        <w:rPr>
          <w:rFonts w:ascii="Arial Narrow" w:eastAsia="Times New Roman" w:hAnsi="Arial Narrow" w:cs="Times New Roman"/>
          <w:sz w:val="20"/>
          <w:szCs w:val="20"/>
          <w:vertAlign w:val="subscript"/>
          <w:lang w:eastAsia="pl-PL"/>
        </w:rPr>
        <w:t>c</w:t>
      </w:r>
      <w:r w:rsidRPr="00813B74">
        <w:rPr>
          <w:rFonts w:ascii="Arial Narrow" w:eastAsia="Times New Roman" w:hAnsi="Arial Narrow" w:cs="Times New Roman"/>
          <w:sz w:val="20"/>
          <w:szCs w:val="20"/>
          <w:lang w:eastAsia="pl-PL"/>
        </w:rPr>
        <w:t xml:space="preserve"> należy przyjąć średnią obliczoną z pozostałych dwóch wyników, z dokładnością 0,1. </w:t>
      </w:r>
    </w:p>
    <w:p w14:paraId="33B20F3E" w14:textId="77777777" w:rsidR="00813B74" w:rsidRPr="00813B74" w:rsidRDefault="00813B74" w:rsidP="00813B74">
      <w:pPr>
        <w:keepNext/>
        <w:shd w:val="clear" w:color="auto" w:fill="D9D9D9"/>
        <w:overflowPunct w:val="0"/>
        <w:autoSpaceDE w:val="0"/>
        <w:autoSpaceDN w:val="0"/>
        <w:adjustRightInd w:val="0"/>
        <w:spacing w:after="0" w:line="240" w:lineRule="auto"/>
        <w:ind w:left="7"/>
        <w:textAlignment w:val="baseline"/>
        <w:outlineLvl w:val="2"/>
        <w:rPr>
          <w:rFonts w:ascii="Arial Narrow" w:eastAsia="Times New Roman" w:hAnsi="Arial Narrow" w:cs="Times New Roman"/>
          <w:b/>
          <w:sz w:val="24"/>
          <w:szCs w:val="20"/>
          <w:lang w:val="x-none" w:eastAsia="x-none"/>
        </w:rPr>
      </w:pPr>
      <w:r w:rsidRPr="00813B74">
        <w:rPr>
          <w:rFonts w:ascii="Arial Narrow" w:eastAsia="Times New Roman" w:hAnsi="Arial Narrow" w:cs="Times New Roman"/>
          <w:b/>
          <w:sz w:val="24"/>
          <w:szCs w:val="20"/>
          <w:lang w:val="x-none" w:eastAsia="x-none"/>
        </w:rPr>
        <w:t>5.4.7.</w:t>
      </w:r>
      <w:r w:rsidRPr="00813B74">
        <w:rPr>
          <w:rFonts w:ascii="Arial" w:eastAsia="Arial" w:hAnsi="Arial" w:cs="Arial"/>
          <w:b/>
          <w:sz w:val="24"/>
          <w:szCs w:val="20"/>
          <w:lang w:val="x-none" w:eastAsia="x-none"/>
        </w:rPr>
        <w:t xml:space="preserve"> </w:t>
      </w:r>
      <w:r w:rsidRPr="00813B74">
        <w:rPr>
          <w:rFonts w:ascii="Arial Narrow" w:eastAsia="Times New Roman" w:hAnsi="Arial Narrow" w:cs="Times New Roman"/>
          <w:b/>
          <w:sz w:val="24"/>
          <w:szCs w:val="20"/>
          <w:lang w:val="x-none" w:eastAsia="x-none"/>
        </w:rPr>
        <w:t xml:space="preserve">Szczelność mieszanki </w:t>
      </w:r>
    </w:p>
    <w:p w14:paraId="50FF93C4"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Szczelność mieszanki przed związaniem definiuje się jako stosunek objętości ziaren do objętości mieszanki zawierającej ziarna i wolne przestrzenie między nimi.  </w:t>
      </w:r>
    </w:p>
    <w:p w14:paraId="77D4A2A9"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Szczelność należy obliczyć w oparciu o poniższy wzór:  </w:t>
      </w:r>
      <w:r w:rsidRPr="00813B74">
        <w:rPr>
          <w:rFonts w:ascii="Verdana" w:eastAsia="Verdana" w:hAnsi="Verdana" w:cs="Verdana"/>
          <w:i/>
          <w:sz w:val="20"/>
          <w:szCs w:val="20"/>
          <w:lang w:eastAsia="pl-PL"/>
        </w:rPr>
        <w:t>C</w:t>
      </w:r>
      <w:r w:rsidRPr="00813B74">
        <w:rPr>
          <w:rFonts w:ascii="Arial Narrow" w:eastAsia="Times New Roman" w:hAnsi="Arial Narrow" w:cs="Times New Roman"/>
          <w:sz w:val="20"/>
          <w:szCs w:val="20"/>
          <w:lang w:eastAsia="pl-PL"/>
        </w:rPr>
        <w:t xml:space="preserve"> = (</w:t>
      </w:r>
      <w:r w:rsidRPr="00813B74">
        <w:rPr>
          <w:rFonts w:ascii="Verdana" w:eastAsia="Verdana" w:hAnsi="Verdana" w:cs="Verdana"/>
          <w:i/>
          <w:sz w:val="20"/>
          <w:szCs w:val="20"/>
          <w:lang w:eastAsia="pl-PL"/>
        </w:rPr>
        <w:t>γm</w:t>
      </w:r>
      <w:r w:rsidRPr="00813B74">
        <w:rPr>
          <w:rFonts w:ascii="Arial Narrow" w:eastAsia="Times New Roman" w:hAnsi="Arial Narrow" w:cs="Times New Roman"/>
          <w:sz w:val="20"/>
          <w:szCs w:val="20"/>
          <w:lang w:eastAsia="pl-PL"/>
        </w:rPr>
        <w:t>/100) x (</w:t>
      </w:r>
      <w:r w:rsidRPr="00813B74">
        <w:rPr>
          <w:rFonts w:ascii="Verdana" w:eastAsia="Verdana" w:hAnsi="Verdana" w:cs="Verdana"/>
          <w:i/>
          <w:sz w:val="20"/>
          <w:szCs w:val="20"/>
          <w:lang w:eastAsia="pl-PL"/>
        </w:rPr>
        <w:t>a/γA</w:t>
      </w:r>
      <w:r w:rsidRPr="00813B74">
        <w:rPr>
          <w:rFonts w:ascii="Arial Narrow" w:eastAsia="Times New Roman" w:hAnsi="Arial Narrow" w:cs="Times New Roman"/>
          <w:sz w:val="20"/>
          <w:szCs w:val="20"/>
          <w:lang w:eastAsia="pl-PL"/>
        </w:rPr>
        <w:t xml:space="preserve"> + </w:t>
      </w:r>
      <w:r w:rsidRPr="00813B74">
        <w:rPr>
          <w:rFonts w:ascii="Verdana" w:eastAsia="Verdana" w:hAnsi="Verdana" w:cs="Verdana"/>
          <w:i/>
          <w:sz w:val="20"/>
          <w:szCs w:val="20"/>
          <w:lang w:eastAsia="pl-PL"/>
        </w:rPr>
        <w:t xml:space="preserve">b/γB </w:t>
      </w:r>
      <w:r w:rsidRPr="00813B74">
        <w:rPr>
          <w:rFonts w:ascii="Arial Narrow" w:eastAsia="Times New Roman" w:hAnsi="Arial Narrow" w:cs="Times New Roman"/>
          <w:sz w:val="20"/>
          <w:szCs w:val="20"/>
          <w:lang w:eastAsia="pl-PL"/>
        </w:rPr>
        <w:t xml:space="preserve">+ </w:t>
      </w:r>
      <w:r w:rsidRPr="00813B74">
        <w:rPr>
          <w:rFonts w:ascii="Verdana" w:eastAsia="Verdana" w:hAnsi="Verdana" w:cs="Verdana"/>
          <w:i/>
          <w:sz w:val="20"/>
          <w:szCs w:val="20"/>
          <w:lang w:eastAsia="pl-PL"/>
        </w:rPr>
        <w:t>c/γC</w:t>
      </w:r>
      <w:r w:rsidRPr="00813B74">
        <w:rPr>
          <w:rFonts w:ascii="Arial Narrow" w:eastAsia="Times New Roman" w:hAnsi="Arial Narrow" w:cs="Times New Roman"/>
          <w:sz w:val="20"/>
          <w:szCs w:val="20"/>
          <w:lang w:eastAsia="pl-PL"/>
        </w:rPr>
        <w:t xml:space="preserve"> …) </w:t>
      </w:r>
    </w:p>
    <w:p w14:paraId="33713325"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gdzie: </w:t>
      </w:r>
    </w:p>
    <w:p w14:paraId="18C3CEC3"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Verdana" w:eastAsia="Verdana" w:hAnsi="Verdana" w:cs="Verdana"/>
          <w:i/>
          <w:sz w:val="20"/>
          <w:szCs w:val="20"/>
          <w:lang w:val="x-none" w:eastAsia="x-none"/>
        </w:rPr>
        <w:t>C</w:t>
      </w:r>
      <w:r w:rsidRPr="00813B74">
        <w:rPr>
          <w:rFonts w:ascii="Arial Narrow" w:eastAsia="Times New Roman" w:hAnsi="Arial Narrow" w:cs="Times New Roman"/>
          <w:sz w:val="20"/>
          <w:szCs w:val="20"/>
          <w:lang w:val="x-none" w:eastAsia="x-none"/>
        </w:rPr>
        <w:t xml:space="preserve"> </w:t>
      </w:r>
      <w:r w:rsidRPr="00813B74">
        <w:rPr>
          <w:rFonts w:ascii="Arial Narrow" w:eastAsia="Times New Roman" w:hAnsi="Arial Narrow" w:cs="Times New Roman"/>
          <w:sz w:val="20"/>
          <w:szCs w:val="20"/>
          <w:lang w:val="x-none" w:eastAsia="x-none"/>
        </w:rPr>
        <w:tab/>
        <w:t xml:space="preserve">szczelność; </w:t>
      </w:r>
    </w:p>
    <w:p w14:paraId="2ADFCAC9"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Verdana" w:eastAsia="Verdana" w:hAnsi="Verdana" w:cs="Verdana"/>
          <w:i/>
          <w:sz w:val="20"/>
          <w:szCs w:val="20"/>
          <w:lang w:val="x-none" w:eastAsia="x-none"/>
        </w:rPr>
        <w:t>γm</w:t>
      </w:r>
      <w:r w:rsidRPr="00813B74">
        <w:rPr>
          <w:rFonts w:ascii="Arial Narrow" w:eastAsia="Times New Roman" w:hAnsi="Arial Narrow" w:cs="Times New Roman"/>
          <w:sz w:val="20"/>
          <w:szCs w:val="20"/>
          <w:lang w:val="x-none" w:eastAsia="x-none"/>
        </w:rPr>
        <w:t xml:space="preserve"> </w:t>
      </w:r>
      <w:r w:rsidRPr="00813B74">
        <w:rPr>
          <w:rFonts w:ascii="Arial Narrow" w:eastAsia="Times New Roman" w:hAnsi="Arial Narrow" w:cs="Times New Roman"/>
          <w:sz w:val="20"/>
          <w:szCs w:val="20"/>
          <w:lang w:val="x-none" w:eastAsia="x-none"/>
        </w:rPr>
        <w:tab/>
        <w:t>maksymalna gęstość objętościowa mieszanki w stanie suchym (Mg/m</w:t>
      </w:r>
      <w:r w:rsidRPr="00813B74">
        <w:rPr>
          <w:rFonts w:ascii="Arial Narrow" w:eastAsia="Times New Roman" w:hAnsi="Arial Narrow" w:cs="Times New Roman"/>
          <w:sz w:val="20"/>
          <w:szCs w:val="20"/>
          <w:vertAlign w:val="superscript"/>
          <w:lang w:val="x-none" w:eastAsia="x-none"/>
        </w:rPr>
        <w:t>3</w:t>
      </w:r>
      <w:r w:rsidRPr="00813B74">
        <w:rPr>
          <w:rFonts w:ascii="Arial Narrow" w:eastAsia="Times New Roman" w:hAnsi="Arial Narrow" w:cs="Times New Roman"/>
          <w:sz w:val="20"/>
          <w:szCs w:val="20"/>
          <w:lang w:val="x-none" w:eastAsia="x-none"/>
        </w:rPr>
        <w:t xml:space="preserve">); </w:t>
      </w:r>
    </w:p>
    <w:p w14:paraId="6673407B"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Verdana" w:eastAsia="Verdana" w:hAnsi="Verdana" w:cs="Verdana"/>
          <w:i/>
          <w:sz w:val="20"/>
          <w:szCs w:val="20"/>
          <w:lang w:val="x-none" w:eastAsia="x-none"/>
        </w:rPr>
        <w:t>γA</w:t>
      </w:r>
      <w:r w:rsidRPr="00813B74">
        <w:rPr>
          <w:rFonts w:ascii="Arial Narrow" w:eastAsia="Times New Roman" w:hAnsi="Arial Narrow" w:cs="Times New Roman"/>
          <w:sz w:val="20"/>
          <w:szCs w:val="20"/>
          <w:lang w:val="x-none" w:eastAsia="x-none"/>
        </w:rPr>
        <w:t xml:space="preserve"> </w:t>
      </w:r>
      <w:r w:rsidRPr="00813B74">
        <w:rPr>
          <w:rFonts w:ascii="Arial Narrow" w:eastAsia="Times New Roman" w:hAnsi="Arial Narrow" w:cs="Times New Roman"/>
          <w:sz w:val="20"/>
          <w:szCs w:val="20"/>
          <w:lang w:val="x-none" w:eastAsia="x-none"/>
        </w:rPr>
        <w:tab/>
        <w:t xml:space="preserve">gęstość objętościowa ziaren składnika </w:t>
      </w:r>
      <w:r w:rsidRPr="00813B74">
        <w:rPr>
          <w:rFonts w:ascii="Verdana" w:eastAsia="Verdana" w:hAnsi="Verdana" w:cs="Verdana"/>
          <w:i/>
          <w:sz w:val="20"/>
          <w:szCs w:val="20"/>
          <w:lang w:val="x-none" w:eastAsia="x-none"/>
        </w:rPr>
        <w:t>A</w:t>
      </w:r>
      <w:r w:rsidRPr="00813B74">
        <w:rPr>
          <w:rFonts w:ascii="Arial Narrow" w:eastAsia="Times New Roman" w:hAnsi="Arial Narrow" w:cs="Times New Roman"/>
          <w:sz w:val="20"/>
          <w:szCs w:val="20"/>
          <w:lang w:val="x-none" w:eastAsia="x-none"/>
        </w:rPr>
        <w:t xml:space="preserve"> (Mg/m</w:t>
      </w:r>
      <w:r w:rsidRPr="00813B74">
        <w:rPr>
          <w:rFonts w:ascii="Arial Narrow" w:eastAsia="Times New Roman" w:hAnsi="Arial Narrow" w:cs="Times New Roman"/>
          <w:sz w:val="20"/>
          <w:szCs w:val="20"/>
          <w:vertAlign w:val="superscript"/>
          <w:lang w:val="x-none" w:eastAsia="x-none"/>
        </w:rPr>
        <w:t>3</w:t>
      </w:r>
      <w:r w:rsidRPr="00813B74">
        <w:rPr>
          <w:rFonts w:ascii="Arial Narrow" w:eastAsia="Times New Roman" w:hAnsi="Arial Narrow" w:cs="Times New Roman"/>
          <w:sz w:val="20"/>
          <w:szCs w:val="20"/>
          <w:lang w:val="x-none" w:eastAsia="x-none"/>
        </w:rPr>
        <w:t xml:space="preserve">); </w:t>
      </w:r>
    </w:p>
    <w:p w14:paraId="6E7DA91D"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Verdana" w:eastAsia="Verdana" w:hAnsi="Verdana" w:cs="Verdana"/>
          <w:i/>
          <w:sz w:val="20"/>
          <w:szCs w:val="20"/>
          <w:lang w:val="x-none" w:eastAsia="x-none"/>
        </w:rPr>
        <w:t>γB</w:t>
      </w:r>
      <w:r w:rsidRPr="00813B74">
        <w:rPr>
          <w:rFonts w:ascii="Arial Narrow" w:eastAsia="Times New Roman" w:hAnsi="Arial Narrow" w:cs="Times New Roman"/>
          <w:sz w:val="20"/>
          <w:szCs w:val="20"/>
          <w:lang w:val="x-none" w:eastAsia="x-none"/>
        </w:rPr>
        <w:t xml:space="preserve"> </w:t>
      </w:r>
      <w:r w:rsidRPr="00813B74">
        <w:rPr>
          <w:rFonts w:ascii="Arial Narrow" w:eastAsia="Times New Roman" w:hAnsi="Arial Narrow" w:cs="Times New Roman"/>
          <w:sz w:val="20"/>
          <w:szCs w:val="20"/>
          <w:lang w:val="x-none" w:eastAsia="x-none"/>
        </w:rPr>
        <w:tab/>
        <w:t xml:space="preserve">gęstość objętościowa ziaren składnika </w:t>
      </w:r>
      <w:r w:rsidRPr="00813B74">
        <w:rPr>
          <w:rFonts w:ascii="Verdana" w:eastAsia="Verdana" w:hAnsi="Verdana" w:cs="Verdana"/>
          <w:i/>
          <w:sz w:val="20"/>
          <w:szCs w:val="20"/>
          <w:lang w:val="x-none" w:eastAsia="x-none"/>
        </w:rPr>
        <w:t>B</w:t>
      </w:r>
      <w:r w:rsidRPr="00813B74">
        <w:rPr>
          <w:rFonts w:ascii="Arial Narrow" w:eastAsia="Times New Roman" w:hAnsi="Arial Narrow" w:cs="Times New Roman"/>
          <w:sz w:val="20"/>
          <w:szCs w:val="20"/>
          <w:lang w:val="x-none" w:eastAsia="x-none"/>
        </w:rPr>
        <w:t xml:space="preserve"> (Mg/m</w:t>
      </w:r>
      <w:r w:rsidRPr="00813B74">
        <w:rPr>
          <w:rFonts w:ascii="Arial Narrow" w:eastAsia="Times New Roman" w:hAnsi="Arial Narrow" w:cs="Times New Roman"/>
          <w:sz w:val="20"/>
          <w:szCs w:val="20"/>
          <w:vertAlign w:val="superscript"/>
          <w:lang w:val="x-none" w:eastAsia="x-none"/>
        </w:rPr>
        <w:t>3</w:t>
      </w:r>
      <w:r w:rsidRPr="00813B74">
        <w:rPr>
          <w:rFonts w:ascii="Arial Narrow" w:eastAsia="Times New Roman" w:hAnsi="Arial Narrow" w:cs="Times New Roman"/>
          <w:sz w:val="20"/>
          <w:szCs w:val="20"/>
          <w:lang w:val="x-none" w:eastAsia="x-none"/>
        </w:rPr>
        <w:t xml:space="preserve">); </w:t>
      </w:r>
    </w:p>
    <w:p w14:paraId="65CDB618"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Verdana" w:eastAsia="Verdana" w:hAnsi="Verdana" w:cs="Verdana"/>
          <w:i/>
          <w:sz w:val="20"/>
          <w:szCs w:val="20"/>
          <w:lang w:val="x-none" w:eastAsia="x-none"/>
        </w:rPr>
        <w:t>γC</w:t>
      </w:r>
      <w:r w:rsidRPr="00813B74">
        <w:rPr>
          <w:rFonts w:ascii="Arial Narrow" w:eastAsia="Times New Roman" w:hAnsi="Arial Narrow" w:cs="Times New Roman"/>
          <w:sz w:val="20"/>
          <w:szCs w:val="20"/>
          <w:lang w:val="x-none" w:eastAsia="x-none"/>
        </w:rPr>
        <w:t xml:space="preserve"> </w:t>
      </w:r>
      <w:r w:rsidRPr="00813B74">
        <w:rPr>
          <w:rFonts w:ascii="Arial Narrow" w:eastAsia="Times New Roman" w:hAnsi="Arial Narrow" w:cs="Times New Roman"/>
          <w:sz w:val="20"/>
          <w:szCs w:val="20"/>
          <w:lang w:val="x-none" w:eastAsia="x-none"/>
        </w:rPr>
        <w:tab/>
        <w:t xml:space="preserve">gęstość objętościowa ziaren składnika </w:t>
      </w:r>
      <w:r w:rsidRPr="00813B74">
        <w:rPr>
          <w:rFonts w:ascii="Verdana" w:eastAsia="Verdana" w:hAnsi="Verdana" w:cs="Verdana"/>
          <w:i/>
          <w:sz w:val="20"/>
          <w:szCs w:val="20"/>
          <w:lang w:val="x-none" w:eastAsia="x-none"/>
        </w:rPr>
        <w:t>C</w:t>
      </w:r>
      <w:r w:rsidRPr="00813B74">
        <w:rPr>
          <w:rFonts w:ascii="Arial Narrow" w:eastAsia="Times New Roman" w:hAnsi="Arial Narrow" w:cs="Times New Roman"/>
          <w:sz w:val="20"/>
          <w:szCs w:val="20"/>
          <w:lang w:val="x-none" w:eastAsia="x-none"/>
        </w:rPr>
        <w:t xml:space="preserve"> (Mg/m</w:t>
      </w:r>
      <w:r w:rsidRPr="00813B74">
        <w:rPr>
          <w:rFonts w:ascii="Arial Narrow" w:eastAsia="Times New Roman" w:hAnsi="Arial Narrow" w:cs="Times New Roman"/>
          <w:sz w:val="20"/>
          <w:szCs w:val="20"/>
          <w:vertAlign w:val="superscript"/>
          <w:lang w:val="x-none" w:eastAsia="x-none"/>
        </w:rPr>
        <w:t>3</w:t>
      </w:r>
      <w:r w:rsidRPr="00813B74">
        <w:rPr>
          <w:rFonts w:ascii="Arial Narrow" w:eastAsia="Times New Roman" w:hAnsi="Arial Narrow" w:cs="Times New Roman"/>
          <w:sz w:val="20"/>
          <w:szCs w:val="20"/>
          <w:lang w:val="x-none" w:eastAsia="x-none"/>
        </w:rPr>
        <w:t xml:space="preserve">); </w:t>
      </w:r>
    </w:p>
    <w:p w14:paraId="1FCF9A9A"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Verdana" w:eastAsia="Verdana" w:hAnsi="Verdana" w:cs="Verdana"/>
          <w:i/>
          <w:sz w:val="20"/>
          <w:szCs w:val="20"/>
          <w:lang w:val="x-none" w:eastAsia="x-none"/>
        </w:rPr>
        <w:t>a</w:t>
      </w:r>
      <w:r w:rsidRPr="00813B74">
        <w:rPr>
          <w:rFonts w:ascii="Arial Narrow" w:eastAsia="Times New Roman" w:hAnsi="Arial Narrow" w:cs="Times New Roman"/>
          <w:sz w:val="20"/>
          <w:szCs w:val="20"/>
          <w:lang w:val="x-none" w:eastAsia="x-none"/>
        </w:rPr>
        <w:t xml:space="preserve"> </w:t>
      </w:r>
      <w:r w:rsidRPr="00813B74">
        <w:rPr>
          <w:rFonts w:ascii="Arial Narrow" w:eastAsia="Times New Roman" w:hAnsi="Arial Narrow" w:cs="Times New Roman"/>
          <w:sz w:val="20"/>
          <w:szCs w:val="20"/>
          <w:lang w:val="x-none" w:eastAsia="x-none"/>
        </w:rPr>
        <w:tab/>
        <w:t xml:space="preserve">zawartość składnika </w:t>
      </w:r>
      <w:r w:rsidRPr="00813B74">
        <w:rPr>
          <w:rFonts w:ascii="Verdana" w:eastAsia="Verdana" w:hAnsi="Verdana" w:cs="Verdana"/>
          <w:i/>
          <w:sz w:val="20"/>
          <w:szCs w:val="20"/>
          <w:lang w:val="x-none" w:eastAsia="x-none"/>
        </w:rPr>
        <w:t>A</w:t>
      </w:r>
      <w:r w:rsidRPr="00813B74">
        <w:rPr>
          <w:rFonts w:ascii="Arial Narrow" w:eastAsia="Times New Roman" w:hAnsi="Arial Narrow" w:cs="Times New Roman"/>
          <w:sz w:val="20"/>
          <w:szCs w:val="20"/>
          <w:lang w:val="x-none" w:eastAsia="x-none"/>
        </w:rPr>
        <w:t xml:space="preserve"> w masie mieszanki (%); </w:t>
      </w:r>
    </w:p>
    <w:p w14:paraId="7A6ABE4A"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Verdana" w:eastAsia="Verdana" w:hAnsi="Verdana" w:cs="Verdana"/>
          <w:i/>
          <w:sz w:val="20"/>
          <w:szCs w:val="20"/>
          <w:lang w:val="x-none" w:eastAsia="x-none"/>
        </w:rPr>
        <w:t>b</w:t>
      </w:r>
      <w:r w:rsidRPr="00813B74">
        <w:rPr>
          <w:rFonts w:ascii="Arial Narrow" w:eastAsia="Times New Roman" w:hAnsi="Arial Narrow" w:cs="Times New Roman"/>
          <w:sz w:val="20"/>
          <w:szCs w:val="20"/>
          <w:lang w:val="x-none" w:eastAsia="x-none"/>
        </w:rPr>
        <w:t xml:space="preserve"> </w:t>
      </w:r>
      <w:r w:rsidRPr="00813B74">
        <w:rPr>
          <w:rFonts w:ascii="Arial Narrow" w:eastAsia="Times New Roman" w:hAnsi="Arial Narrow" w:cs="Times New Roman"/>
          <w:sz w:val="20"/>
          <w:szCs w:val="20"/>
          <w:lang w:val="x-none" w:eastAsia="x-none"/>
        </w:rPr>
        <w:tab/>
        <w:t xml:space="preserve">zawartość składnika </w:t>
      </w:r>
      <w:r w:rsidRPr="00813B74">
        <w:rPr>
          <w:rFonts w:ascii="Verdana" w:eastAsia="Verdana" w:hAnsi="Verdana" w:cs="Verdana"/>
          <w:i/>
          <w:sz w:val="20"/>
          <w:szCs w:val="20"/>
          <w:lang w:val="x-none" w:eastAsia="x-none"/>
        </w:rPr>
        <w:t>B</w:t>
      </w:r>
      <w:r w:rsidRPr="00813B74">
        <w:rPr>
          <w:rFonts w:ascii="Arial Narrow" w:eastAsia="Times New Roman" w:hAnsi="Arial Narrow" w:cs="Times New Roman"/>
          <w:sz w:val="20"/>
          <w:szCs w:val="20"/>
          <w:lang w:val="x-none" w:eastAsia="x-none"/>
        </w:rPr>
        <w:t xml:space="preserve"> w masie mieszanki (%); </w:t>
      </w:r>
    </w:p>
    <w:p w14:paraId="6C130D7F"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Verdana" w:eastAsia="Verdana" w:hAnsi="Verdana" w:cs="Verdana"/>
          <w:i/>
          <w:sz w:val="20"/>
          <w:szCs w:val="20"/>
          <w:lang w:val="x-none" w:eastAsia="x-none"/>
        </w:rPr>
        <w:t>c</w:t>
      </w:r>
      <w:r w:rsidRPr="00813B74">
        <w:rPr>
          <w:rFonts w:ascii="Arial Narrow" w:eastAsia="Times New Roman" w:hAnsi="Arial Narrow" w:cs="Times New Roman"/>
          <w:sz w:val="20"/>
          <w:szCs w:val="20"/>
          <w:lang w:val="x-none" w:eastAsia="x-none"/>
        </w:rPr>
        <w:t xml:space="preserve"> </w:t>
      </w:r>
      <w:r w:rsidRPr="00813B74">
        <w:rPr>
          <w:rFonts w:ascii="Arial Narrow" w:eastAsia="Times New Roman" w:hAnsi="Arial Narrow" w:cs="Times New Roman"/>
          <w:sz w:val="20"/>
          <w:szCs w:val="20"/>
          <w:lang w:val="x-none" w:eastAsia="x-none"/>
        </w:rPr>
        <w:tab/>
        <w:t xml:space="preserve">zawartość składnika </w:t>
      </w:r>
      <w:r w:rsidRPr="00813B74">
        <w:rPr>
          <w:rFonts w:ascii="Verdana" w:eastAsia="Verdana" w:hAnsi="Verdana" w:cs="Verdana"/>
          <w:i/>
          <w:sz w:val="20"/>
          <w:szCs w:val="20"/>
          <w:lang w:val="x-none" w:eastAsia="x-none"/>
        </w:rPr>
        <w:t>C</w:t>
      </w:r>
      <w:r w:rsidRPr="00813B74">
        <w:rPr>
          <w:rFonts w:ascii="Arial Narrow" w:eastAsia="Times New Roman" w:hAnsi="Arial Narrow" w:cs="Times New Roman"/>
          <w:sz w:val="20"/>
          <w:szCs w:val="20"/>
          <w:lang w:val="x-none" w:eastAsia="x-none"/>
        </w:rPr>
        <w:t xml:space="preserve"> w masie mieszanki (%); </w:t>
      </w:r>
    </w:p>
    <w:p w14:paraId="31F9C1A4"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Maksymalną gęstości objętościową mieszanki (</w:t>
      </w:r>
      <w:r w:rsidRPr="00813B74">
        <w:rPr>
          <w:rFonts w:ascii="Verdana" w:eastAsia="Verdana" w:hAnsi="Verdana" w:cs="Verdana"/>
          <w:i/>
          <w:sz w:val="20"/>
          <w:szCs w:val="20"/>
          <w:lang w:eastAsia="pl-PL"/>
        </w:rPr>
        <w:t xml:space="preserve">γm) </w:t>
      </w:r>
      <w:r w:rsidRPr="00813B74">
        <w:rPr>
          <w:rFonts w:ascii="Arial Narrow" w:eastAsia="Times New Roman" w:hAnsi="Arial Narrow" w:cs="Times New Roman"/>
          <w:sz w:val="20"/>
          <w:szCs w:val="20"/>
          <w:lang w:eastAsia="pl-PL"/>
        </w:rPr>
        <w:t xml:space="preserve"> należy określić zmodyfikowaną metodą Proctora wg PN-EN 13286-2. </w:t>
      </w:r>
    </w:p>
    <w:p w14:paraId="558677D5"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Gęstość ziaren składników (</w:t>
      </w:r>
      <w:r w:rsidRPr="00813B74">
        <w:rPr>
          <w:rFonts w:ascii="Verdana" w:eastAsia="Verdana" w:hAnsi="Verdana" w:cs="Verdana"/>
          <w:i/>
          <w:sz w:val="20"/>
          <w:szCs w:val="20"/>
          <w:lang w:eastAsia="pl-PL"/>
        </w:rPr>
        <w:t>γA</w:t>
      </w:r>
      <w:r w:rsidRPr="00813B74">
        <w:rPr>
          <w:rFonts w:ascii="Arial Narrow" w:eastAsia="Times New Roman" w:hAnsi="Arial Narrow" w:cs="Times New Roman"/>
          <w:sz w:val="20"/>
          <w:szCs w:val="20"/>
          <w:lang w:eastAsia="pl-PL"/>
        </w:rPr>
        <w:t xml:space="preserve">, </w:t>
      </w:r>
      <w:r w:rsidRPr="00813B74">
        <w:rPr>
          <w:rFonts w:ascii="Verdana" w:eastAsia="Verdana" w:hAnsi="Verdana" w:cs="Verdana"/>
          <w:i/>
          <w:sz w:val="20"/>
          <w:szCs w:val="20"/>
          <w:lang w:eastAsia="pl-PL"/>
        </w:rPr>
        <w:t>γB</w:t>
      </w:r>
      <w:r w:rsidRPr="00813B74">
        <w:rPr>
          <w:rFonts w:ascii="Arial Narrow" w:eastAsia="Times New Roman" w:hAnsi="Arial Narrow" w:cs="Times New Roman"/>
          <w:sz w:val="20"/>
          <w:szCs w:val="20"/>
          <w:lang w:eastAsia="pl-PL"/>
        </w:rPr>
        <w:t xml:space="preserve">, </w:t>
      </w:r>
      <w:r w:rsidRPr="00813B74">
        <w:rPr>
          <w:rFonts w:ascii="Verdana" w:eastAsia="Verdana" w:hAnsi="Verdana" w:cs="Verdana"/>
          <w:i/>
          <w:sz w:val="20"/>
          <w:szCs w:val="20"/>
          <w:lang w:eastAsia="pl-PL"/>
        </w:rPr>
        <w:t>γC</w:t>
      </w:r>
      <w:r w:rsidRPr="00813B74">
        <w:rPr>
          <w:rFonts w:ascii="Arial Narrow" w:eastAsia="Times New Roman" w:hAnsi="Arial Narrow" w:cs="Times New Roman"/>
          <w:sz w:val="20"/>
          <w:szCs w:val="20"/>
          <w:lang w:eastAsia="pl-PL"/>
        </w:rPr>
        <w:t xml:space="preserve">, …) należy określić w zależności od wielkości ziaren zgodnie z normą PN-EN 1097-6  załącznik A (gęstość wstępnie osuszonych ziaren) lub normy PN-EN 1097-7. </w:t>
      </w:r>
    </w:p>
    <w:p w14:paraId="22B01C9E"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Przykład obliczenia szczelności </w:t>
      </w:r>
      <w:r w:rsidRPr="00813B74">
        <w:rPr>
          <w:rFonts w:ascii="Verdana" w:eastAsia="Verdana" w:hAnsi="Verdana" w:cs="Verdana"/>
          <w:i/>
          <w:sz w:val="20"/>
          <w:szCs w:val="20"/>
          <w:lang w:eastAsia="pl-PL"/>
        </w:rPr>
        <w:t>C</w:t>
      </w:r>
      <w:r w:rsidRPr="00813B74">
        <w:rPr>
          <w:rFonts w:ascii="Arial Narrow" w:eastAsia="Times New Roman" w:hAnsi="Arial Narrow" w:cs="Times New Roman"/>
          <w:sz w:val="20"/>
          <w:szCs w:val="20"/>
          <w:lang w:eastAsia="pl-PL"/>
        </w:rPr>
        <w:t xml:space="preserve"> przedstawiono w tabeli 3. </w:t>
      </w:r>
    </w:p>
    <w:p w14:paraId="5946A500" w14:textId="77777777" w:rsidR="00813B74" w:rsidRPr="00813B74" w:rsidRDefault="00813B74" w:rsidP="00813B74">
      <w:pPr>
        <w:overflowPunct w:val="0"/>
        <w:autoSpaceDE w:val="0"/>
        <w:autoSpaceDN w:val="0"/>
        <w:adjustRightInd w:val="0"/>
        <w:spacing w:after="0" w:line="240" w:lineRule="auto"/>
        <w:ind w:left="7"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Tabela 3. Przykład obliczenia szczelności </w:t>
      </w:r>
    </w:p>
    <w:tbl>
      <w:tblPr>
        <w:tblW w:w="7480" w:type="dxa"/>
        <w:tblInd w:w="809" w:type="dxa"/>
        <w:tblCellMar>
          <w:top w:w="54" w:type="dxa"/>
          <w:right w:w="55" w:type="dxa"/>
        </w:tblCellMar>
        <w:tblLook w:val="04A0" w:firstRow="1" w:lastRow="0" w:firstColumn="1" w:lastColumn="0" w:noHBand="0" w:noVBand="1"/>
      </w:tblPr>
      <w:tblGrid>
        <w:gridCol w:w="3087"/>
        <w:gridCol w:w="2124"/>
        <w:gridCol w:w="2269"/>
      </w:tblGrid>
      <w:tr w:rsidR="00813B74" w:rsidRPr="00813B74" w14:paraId="04010855" w14:textId="77777777" w:rsidTr="0072451A">
        <w:trPr>
          <w:trHeight w:val="847"/>
        </w:trPr>
        <w:tc>
          <w:tcPr>
            <w:tcW w:w="3087" w:type="dxa"/>
            <w:tcBorders>
              <w:top w:val="single" w:sz="4" w:space="0" w:color="000000"/>
              <w:left w:val="single" w:sz="4" w:space="0" w:color="000000"/>
              <w:bottom w:val="single" w:sz="4" w:space="0" w:color="000000"/>
              <w:right w:val="single" w:sz="4" w:space="0" w:color="000000"/>
            </w:tcBorders>
            <w:shd w:val="clear" w:color="auto" w:fill="auto"/>
          </w:tcPr>
          <w:p w14:paraId="0634D568"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Składnik mieszanki </w:t>
            </w:r>
          </w:p>
        </w:tc>
        <w:tc>
          <w:tcPr>
            <w:tcW w:w="2124" w:type="dxa"/>
            <w:tcBorders>
              <w:top w:val="single" w:sz="4" w:space="0" w:color="000000"/>
              <w:left w:val="single" w:sz="4" w:space="0" w:color="000000"/>
              <w:bottom w:val="single" w:sz="4" w:space="0" w:color="000000"/>
              <w:right w:val="single" w:sz="4" w:space="0" w:color="000000"/>
            </w:tcBorders>
            <w:shd w:val="clear" w:color="auto" w:fill="auto"/>
          </w:tcPr>
          <w:p w14:paraId="33EBB98B" w14:textId="77777777" w:rsidR="00813B74" w:rsidRPr="00813B74" w:rsidRDefault="00813B74" w:rsidP="00813B74">
            <w:pPr>
              <w:overflowPunct w:val="0"/>
              <w:autoSpaceDE w:val="0"/>
              <w:autoSpaceDN w:val="0"/>
              <w:adjustRightInd w:val="0"/>
              <w:spacing w:after="0"/>
              <w:jc w:val="both"/>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masy mieszanki </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14:paraId="7539DD43" w14:textId="77777777" w:rsidR="00813B74" w:rsidRPr="00813B74" w:rsidRDefault="00813B74" w:rsidP="00813B74">
            <w:pPr>
              <w:overflowPunct w:val="0"/>
              <w:autoSpaceDE w:val="0"/>
              <w:autoSpaceDN w:val="0"/>
              <w:adjustRightInd w:val="0"/>
              <w:spacing w:after="3" w:line="276" w:lineRule="auto"/>
              <w:jc w:val="center"/>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Gęstość objętościowa ziaren </w:t>
            </w:r>
          </w:p>
          <w:p w14:paraId="47EA5664" w14:textId="77777777" w:rsidR="00813B74" w:rsidRPr="00813B74" w:rsidRDefault="00813B74" w:rsidP="00813B74">
            <w:pPr>
              <w:overflowPunct w:val="0"/>
              <w:autoSpaceDE w:val="0"/>
              <w:autoSpaceDN w:val="0"/>
              <w:adjustRightInd w:val="0"/>
              <w:spacing w:after="0"/>
              <w:ind w:right="50"/>
              <w:jc w:val="center"/>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(Mg/m</w:t>
            </w:r>
            <w:r w:rsidRPr="00813B74">
              <w:rPr>
                <w:rFonts w:ascii="Arial Narrow" w:eastAsia="Times New Roman" w:hAnsi="Arial Narrow" w:cs="Times New Roman"/>
                <w:vertAlign w:val="superscript"/>
                <w:lang w:eastAsia="pl-PL"/>
              </w:rPr>
              <w:t>3</w:t>
            </w:r>
            <w:r w:rsidRPr="00813B74">
              <w:rPr>
                <w:rFonts w:ascii="Arial Narrow" w:eastAsia="Times New Roman" w:hAnsi="Arial Narrow" w:cs="Times New Roman"/>
                <w:lang w:eastAsia="pl-PL"/>
              </w:rPr>
              <w:t xml:space="preserve">) </w:t>
            </w:r>
          </w:p>
        </w:tc>
      </w:tr>
      <w:tr w:rsidR="00813B74" w:rsidRPr="00813B74" w14:paraId="5FEE2680" w14:textId="77777777" w:rsidTr="0072451A">
        <w:trPr>
          <w:trHeight w:val="290"/>
        </w:trPr>
        <w:tc>
          <w:tcPr>
            <w:tcW w:w="3087" w:type="dxa"/>
            <w:tcBorders>
              <w:top w:val="single" w:sz="4" w:space="0" w:color="000000"/>
              <w:left w:val="single" w:sz="4" w:space="0" w:color="000000"/>
              <w:bottom w:val="single" w:sz="4" w:space="0" w:color="000000"/>
              <w:right w:val="single" w:sz="4" w:space="0" w:color="000000"/>
            </w:tcBorders>
            <w:shd w:val="clear" w:color="auto" w:fill="auto"/>
          </w:tcPr>
          <w:p w14:paraId="36A95BBA"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Kruszywo grube 4/16 mm </w:t>
            </w:r>
          </w:p>
        </w:tc>
        <w:tc>
          <w:tcPr>
            <w:tcW w:w="2124" w:type="dxa"/>
            <w:tcBorders>
              <w:top w:val="single" w:sz="4" w:space="0" w:color="000000"/>
              <w:left w:val="single" w:sz="4" w:space="0" w:color="000000"/>
              <w:bottom w:val="single" w:sz="4" w:space="0" w:color="000000"/>
              <w:right w:val="single" w:sz="4" w:space="0" w:color="000000"/>
            </w:tcBorders>
            <w:shd w:val="clear" w:color="auto" w:fill="auto"/>
          </w:tcPr>
          <w:p w14:paraId="1A30C6EA" w14:textId="77777777" w:rsidR="00813B74" w:rsidRPr="00813B74" w:rsidRDefault="00813B74" w:rsidP="00813B74">
            <w:pPr>
              <w:overflowPunct w:val="0"/>
              <w:autoSpaceDE w:val="0"/>
              <w:autoSpaceDN w:val="0"/>
              <w:adjustRightInd w:val="0"/>
              <w:spacing w:after="0"/>
              <w:ind w:right="52"/>
              <w:jc w:val="center"/>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50 </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14:paraId="5C4BB867" w14:textId="77777777" w:rsidR="00813B74" w:rsidRPr="00813B74" w:rsidRDefault="00813B74" w:rsidP="00813B74">
            <w:pPr>
              <w:overflowPunct w:val="0"/>
              <w:autoSpaceDE w:val="0"/>
              <w:autoSpaceDN w:val="0"/>
              <w:adjustRightInd w:val="0"/>
              <w:spacing w:after="0"/>
              <w:ind w:right="52"/>
              <w:jc w:val="center"/>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ρ</w:t>
            </w:r>
            <w:r w:rsidRPr="00813B74">
              <w:rPr>
                <w:rFonts w:ascii="Arial Narrow" w:eastAsia="Times New Roman" w:hAnsi="Arial Narrow" w:cs="Times New Roman"/>
                <w:vertAlign w:val="subscript"/>
                <w:lang w:eastAsia="pl-PL"/>
              </w:rPr>
              <w:t xml:space="preserve">pA </w:t>
            </w:r>
            <w:r w:rsidRPr="00813B74">
              <w:rPr>
                <w:rFonts w:ascii="Arial Narrow" w:eastAsia="Times New Roman" w:hAnsi="Arial Narrow" w:cs="Times New Roman"/>
                <w:lang w:eastAsia="pl-PL"/>
              </w:rPr>
              <w:t xml:space="preserve">= 2,69 </w:t>
            </w:r>
          </w:p>
        </w:tc>
      </w:tr>
      <w:tr w:rsidR="00813B74" w:rsidRPr="00813B74" w14:paraId="0A59E76A" w14:textId="77777777" w:rsidTr="0072451A">
        <w:trPr>
          <w:trHeight w:val="288"/>
        </w:trPr>
        <w:tc>
          <w:tcPr>
            <w:tcW w:w="3087" w:type="dxa"/>
            <w:tcBorders>
              <w:top w:val="single" w:sz="4" w:space="0" w:color="000000"/>
              <w:left w:val="single" w:sz="4" w:space="0" w:color="000000"/>
              <w:bottom w:val="single" w:sz="4" w:space="0" w:color="000000"/>
              <w:right w:val="single" w:sz="4" w:space="0" w:color="000000"/>
            </w:tcBorders>
            <w:shd w:val="clear" w:color="auto" w:fill="auto"/>
          </w:tcPr>
          <w:p w14:paraId="4E47E998"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Kruszywo drobne 0/4 mm </w:t>
            </w:r>
          </w:p>
        </w:tc>
        <w:tc>
          <w:tcPr>
            <w:tcW w:w="2124" w:type="dxa"/>
            <w:tcBorders>
              <w:top w:val="single" w:sz="4" w:space="0" w:color="000000"/>
              <w:left w:val="single" w:sz="4" w:space="0" w:color="000000"/>
              <w:bottom w:val="single" w:sz="4" w:space="0" w:color="000000"/>
              <w:right w:val="single" w:sz="4" w:space="0" w:color="000000"/>
            </w:tcBorders>
            <w:shd w:val="clear" w:color="auto" w:fill="auto"/>
          </w:tcPr>
          <w:p w14:paraId="37D9580B" w14:textId="77777777" w:rsidR="00813B74" w:rsidRPr="00813B74" w:rsidRDefault="00813B74" w:rsidP="00813B74">
            <w:pPr>
              <w:overflowPunct w:val="0"/>
              <w:autoSpaceDE w:val="0"/>
              <w:autoSpaceDN w:val="0"/>
              <w:adjustRightInd w:val="0"/>
              <w:spacing w:after="0"/>
              <w:ind w:right="54"/>
              <w:jc w:val="center"/>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46,5 </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14:paraId="28136016" w14:textId="77777777" w:rsidR="00813B74" w:rsidRPr="00813B74" w:rsidRDefault="00813B74" w:rsidP="00813B74">
            <w:pPr>
              <w:overflowPunct w:val="0"/>
              <w:autoSpaceDE w:val="0"/>
              <w:autoSpaceDN w:val="0"/>
              <w:adjustRightInd w:val="0"/>
              <w:spacing w:after="0"/>
              <w:ind w:right="52"/>
              <w:jc w:val="center"/>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ρ</w:t>
            </w:r>
            <w:r w:rsidRPr="00813B74">
              <w:rPr>
                <w:rFonts w:ascii="Arial Narrow" w:eastAsia="Times New Roman" w:hAnsi="Arial Narrow" w:cs="Times New Roman"/>
                <w:vertAlign w:val="subscript"/>
                <w:lang w:eastAsia="pl-PL"/>
              </w:rPr>
              <w:t>pB</w:t>
            </w:r>
            <w:r w:rsidRPr="00813B74">
              <w:rPr>
                <w:rFonts w:ascii="Arial Narrow" w:eastAsia="Times New Roman" w:hAnsi="Arial Narrow" w:cs="Times New Roman"/>
                <w:lang w:eastAsia="pl-PL"/>
              </w:rPr>
              <w:t xml:space="preserve"> = 2,65 </w:t>
            </w:r>
          </w:p>
        </w:tc>
      </w:tr>
      <w:tr w:rsidR="00813B74" w:rsidRPr="00813B74" w14:paraId="663634C7" w14:textId="77777777" w:rsidTr="0072451A">
        <w:trPr>
          <w:trHeight w:val="290"/>
        </w:trPr>
        <w:tc>
          <w:tcPr>
            <w:tcW w:w="3087" w:type="dxa"/>
            <w:tcBorders>
              <w:top w:val="single" w:sz="4" w:space="0" w:color="000000"/>
              <w:left w:val="single" w:sz="4" w:space="0" w:color="000000"/>
              <w:bottom w:val="single" w:sz="4" w:space="0" w:color="000000"/>
              <w:right w:val="single" w:sz="4" w:space="0" w:color="000000"/>
            </w:tcBorders>
            <w:shd w:val="clear" w:color="auto" w:fill="auto"/>
          </w:tcPr>
          <w:p w14:paraId="360F828F"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Cement </w:t>
            </w:r>
          </w:p>
        </w:tc>
        <w:tc>
          <w:tcPr>
            <w:tcW w:w="2124" w:type="dxa"/>
            <w:tcBorders>
              <w:top w:val="single" w:sz="4" w:space="0" w:color="000000"/>
              <w:left w:val="single" w:sz="4" w:space="0" w:color="000000"/>
              <w:bottom w:val="single" w:sz="4" w:space="0" w:color="000000"/>
              <w:right w:val="single" w:sz="4" w:space="0" w:color="000000"/>
            </w:tcBorders>
            <w:shd w:val="clear" w:color="auto" w:fill="auto"/>
          </w:tcPr>
          <w:p w14:paraId="0C107282" w14:textId="77777777" w:rsidR="00813B74" w:rsidRPr="00813B74" w:rsidRDefault="00813B74" w:rsidP="00813B74">
            <w:pPr>
              <w:overflowPunct w:val="0"/>
              <w:autoSpaceDE w:val="0"/>
              <w:autoSpaceDN w:val="0"/>
              <w:adjustRightInd w:val="0"/>
              <w:spacing w:after="0"/>
              <w:ind w:right="52"/>
              <w:jc w:val="center"/>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3,5 </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14:paraId="6E058E6F" w14:textId="77777777" w:rsidR="00813B74" w:rsidRPr="00813B74" w:rsidRDefault="00813B74" w:rsidP="00813B74">
            <w:pPr>
              <w:overflowPunct w:val="0"/>
              <w:autoSpaceDE w:val="0"/>
              <w:autoSpaceDN w:val="0"/>
              <w:adjustRightInd w:val="0"/>
              <w:spacing w:after="0"/>
              <w:ind w:right="50"/>
              <w:jc w:val="center"/>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ρ</w:t>
            </w:r>
            <w:r w:rsidRPr="00813B74">
              <w:rPr>
                <w:rFonts w:ascii="Arial Narrow" w:eastAsia="Times New Roman" w:hAnsi="Arial Narrow" w:cs="Times New Roman"/>
                <w:vertAlign w:val="subscript"/>
                <w:lang w:eastAsia="pl-PL"/>
              </w:rPr>
              <w:t xml:space="preserve">pC </w:t>
            </w:r>
            <w:r w:rsidRPr="00813B74">
              <w:rPr>
                <w:rFonts w:ascii="Arial Narrow" w:eastAsia="Times New Roman" w:hAnsi="Arial Narrow" w:cs="Times New Roman"/>
                <w:lang w:eastAsia="pl-PL"/>
              </w:rPr>
              <w:t xml:space="preserve">= 2,95 </w:t>
            </w:r>
          </w:p>
        </w:tc>
      </w:tr>
      <w:tr w:rsidR="00813B74" w:rsidRPr="00813B74" w14:paraId="66098DFD" w14:textId="77777777" w:rsidTr="0072451A">
        <w:trPr>
          <w:trHeight w:val="569"/>
        </w:trPr>
        <w:tc>
          <w:tcPr>
            <w:tcW w:w="5211" w:type="dxa"/>
            <w:gridSpan w:val="2"/>
            <w:tcBorders>
              <w:top w:val="single" w:sz="4" w:space="0" w:color="000000"/>
              <w:left w:val="single" w:sz="4" w:space="0" w:color="000000"/>
              <w:bottom w:val="single" w:sz="4" w:space="0" w:color="000000"/>
              <w:right w:val="single" w:sz="4" w:space="0" w:color="000000"/>
            </w:tcBorders>
            <w:shd w:val="clear" w:color="auto" w:fill="auto"/>
          </w:tcPr>
          <w:p w14:paraId="4893AB41"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Maksymalna gęstość objętościowa mieszanki zmodyfikowaną metodą Proctora (Mg/m</w:t>
            </w:r>
            <w:r w:rsidRPr="00813B74">
              <w:rPr>
                <w:rFonts w:ascii="Arial Narrow" w:eastAsia="Times New Roman" w:hAnsi="Arial Narrow" w:cs="Times New Roman"/>
                <w:vertAlign w:val="superscript"/>
                <w:lang w:eastAsia="pl-PL"/>
              </w:rPr>
              <w:t>3</w:t>
            </w:r>
            <w:r w:rsidRPr="00813B74">
              <w:rPr>
                <w:rFonts w:ascii="Arial Narrow" w:eastAsia="Times New Roman" w:hAnsi="Arial Narrow" w:cs="Times New Roman"/>
                <w:lang w:eastAsia="pl-PL"/>
              </w:rPr>
              <w:t xml:space="preserve">) </w:t>
            </w:r>
          </w:p>
        </w:tc>
        <w:tc>
          <w:tcPr>
            <w:tcW w:w="2269" w:type="dxa"/>
            <w:tcBorders>
              <w:top w:val="single" w:sz="4" w:space="0" w:color="000000"/>
              <w:left w:val="single" w:sz="4" w:space="0" w:color="000000"/>
              <w:bottom w:val="single" w:sz="4" w:space="0" w:color="000000"/>
              <w:right w:val="single" w:sz="4" w:space="0" w:color="000000"/>
            </w:tcBorders>
            <w:shd w:val="clear" w:color="auto" w:fill="auto"/>
          </w:tcPr>
          <w:p w14:paraId="641DCB35" w14:textId="77777777" w:rsidR="00813B74" w:rsidRPr="00813B74" w:rsidRDefault="00813B74" w:rsidP="00813B74">
            <w:pPr>
              <w:overflowPunct w:val="0"/>
              <w:autoSpaceDE w:val="0"/>
              <w:autoSpaceDN w:val="0"/>
              <w:adjustRightInd w:val="0"/>
              <w:spacing w:after="0"/>
              <w:ind w:right="55"/>
              <w:jc w:val="center"/>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ρ</w:t>
            </w:r>
            <w:r w:rsidRPr="00813B74">
              <w:rPr>
                <w:rFonts w:ascii="Arial Narrow" w:eastAsia="Times New Roman" w:hAnsi="Arial Narrow" w:cs="Times New Roman"/>
                <w:vertAlign w:val="subscript"/>
                <w:lang w:eastAsia="pl-PL"/>
              </w:rPr>
              <w:t>d</w:t>
            </w:r>
            <w:r w:rsidRPr="00813B74">
              <w:rPr>
                <w:rFonts w:ascii="Arial Narrow" w:eastAsia="Times New Roman" w:hAnsi="Arial Narrow" w:cs="Times New Roman"/>
                <w:lang w:eastAsia="pl-PL"/>
              </w:rPr>
              <w:t xml:space="preserve"> = 2,20 </w:t>
            </w:r>
          </w:p>
        </w:tc>
      </w:tr>
    </w:tbl>
    <w:p w14:paraId="179905AB"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Verdana" w:eastAsia="Verdana" w:hAnsi="Verdana" w:cs="Verdana"/>
          <w:i/>
          <w:sz w:val="20"/>
          <w:szCs w:val="20"/>
          <w:lang w:eastAsia="pl-PL"/>
        </w:rPr>
        <w:t>C</w:t>
      </w:r>
      <w:r w:rsidRPr="00813B74">
        <w:rPr>
          <w:rFonts w:ascii="Arial Narrow" w:eastAsia="Times New Roman" w:hAnsi="Arial Narrow" w:cs="Times New Roman"/>
          <w:sz w:val="20"/>
          <w:szCs w:val="20"/>
          <w:lang w:eastAsia="pl-PL"/>
        </w:rPr>
        <w:t xml:space="preserve"> = (2,20/100) × (50/2,69 + 46,5/2,65 + 3,5/2,95) = 0,82 </w:t>
      </w:r>
    </w:p>
    <w:p w14:paraId="647B3408"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39" w:name="_Toc49125"/>
      <w:r w:rsidRPr="00813B74">
        <w:rPr>
          <w:rFonts w:ascii="Arial Narrow" w:eastAsia="Times New Roman" w:hAnsi="Arial Narrow" w:cs="Times New Roman"/>
          <w:b/>
          <w:sz w:val="28"/>
          <w:szCs w:val="20"/>
          <w:lang w:val="x-none" w:eastAsia="x-none"/>
        </w:rPr>
        <w:t>5.5.</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Wymagania dla mieszanek </w:t>
      </w:r>
      <w:bookmarkEnd w:id="639"/>
    </w:p>
    <w:p w14:paraId="6587F89C"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Zgodnie z Katalogami typowych konstrukcji nawierzchni zakresy stosowania dotyczące mieszanek związanych cementem do warstw konstrukcji nawierzchni i warstwy mrozoochronnej przedstawia tabela 4. </w:t>
      </w:r>
    </w:p>
    <w:p w14:paraId="2C59737B"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Tabela 4. Zakresy stosowania dotyczące mieszanek związanych spoiwami hydraulicznymi do warstw konstrukcji nawierzchni i warstwy mrozoochronnej. </w:t>
      </w:r>
    </w:p>
    <w:tbl>
      <w:tblPr>
        <w:tblW w:w="9825" w:type="dxa"/>
        <w:tblInd w:w="-130" w:type="dxa"/>
        <w:tblCellMar>
          <w:top w:w="69" w:type="dxa"/>
          <w:left w:w="43" w:type="dxa"/>
          <w:right w:w="0" w:type="dxa"/>
        </w:tblCellMar>
        <w:tblLook w:val="04A0" w:firstRow="1" w:lastRow="0" w:firstColumn="1" w:lastColumn="0" w:noHBand="0" w:noVBand="1"/>
      </w:tblPr>
      <w:tblGrid>
        <w:gridCol w:w="425"/>
        <w:gridCol w:w="1135"/>
        <w:gridCol w:w="1133"/>
        <w:gridCol w:w="1136"/>
        <w:gridCol w:w="991"/>
        <w:gridCol w:w="1985"/>
        <w:gridCol w:w="994"/>
        <w:gridCol w:w="992"/>
        <w:gridCol w:w="1034"/>
      </w:tblGrid>
      <w:tr w:rsidR="00813B74" w:rsidRPr="00813B74" w14:paraId="03C86AE1" w14:textId="77777777" w:rsidTr="0072451A">
        <w:trPr>
          <w:trHeight w:val="252"/>
        </w:trPr>
        <w:tc>
          <w:tcPr>
            <w:tcW w:w="42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EB0045B" w14:textId="77777777" w:rsidR="00813B74" w:rsidRPr="00813B74" w:rsidRDefault="00813B74" w:rsidP="00813B74">
            <w:pPr>
              <w:overflowPunct w:val="0"/>
              <w:autoSpaceDE w:val="0"/>
              <w:autoSpaceDN w:val="0"/>
              <w:adjustRightInd w:val="0"/>
              <w:spacing w:after="0"/>
              <w:ind w:left="2"/>
              <w:jc w:val="both"/>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Lp.  </w:t>
            </w:r>
          </w:p>
        </w:tc>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1A40C9F"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Rodzaj warstwy  </w:t>
            </w:r>
          </w:p>
        </w:tc>
        <w:tc>
          <w:tcPr>
            <w:tcW w:w="8265" w:type="dxa"/>
            <w:gridSpan w:val="7"/>
            <w:tcBorders>
              <w:top w:val="single" w:sz="4" w:space="0" w:color="000000"/>
              <w:left w:val="single" w:sz="4" w:space="0" w:color="000000"/>
              <w:bottom w:val="single" w:sz="4" w:space="0" w:color="000000"/>
              <w:right w:val="single" w:sz="4" w:space="0" w:color="000000"/>
            </w:tcBorders>
            <w:shd w:val="clear" w:color="auto" w:fill="auto"/>
          </w:tcPr>
          <w:p w14:paraId="4D850973"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Mieszanki związane spoiwami hydraulicznymi  </w:t>
            </w:r>
          </w:p>
        </w:tc>
      </w:tr>
      <w:tr w:rsidR="00813B74" w:rsidRPr="00813B74" w14:paraId="24B12332" w14:textId="77777777" w:rsidTr="0072451A">
        <w:trPr>
          <w:trHeight w:val="689"/>
        </w:trPr>
        <w:tc>
          <w:tcPr>
            <w:tcW w:w="0" w:type="auto"/>
            <w:vMerge/>
            <w:tcBorders>
              <w:top w:val="nil"/>
              <w:left w:val="single" w:sz="4" w:space="0" w:color="000000"/>
              <w:bottom w:val="nil"/>
              <w:right w:val="single" w:sz="4" w:space="0" w:color="000000"/>
            </w:tcBorders>
            <w:shd w:val="clear" w:color="auto" w:fill="auto"/>
          </w:tcPr>
          <w:p w14:paraId="3AB8F502" w14:textId="77777777" w:rsidR="00813B74" w:rsidRPr="00813B74" w:rsidRDefault="00813B74" w:rsidP="00813B74">
            <w:pPr>
              <w:overflowPunct w:val="0"/>
              <w:autoSpaceDE w:val="0"/>
              <w:autoSpaceDN w:val="0"/>
              <w:adjustRightInd w:val="0"/>
              <w:textAlignment w:val="baseline"/>
              <w:rPr>
                <w:rFonts w:ascii="Arial Narrow" w:eastAsia="Times New Roman" w:hAnsi="Arial Narrow" w:cs="Times New Roman"/>
                <w:lang w:eastAsia="pl-PL"/>
              </w:rPr>
            </w:pPr>
          </w:p>
        </w:tc>
        <w:tc>
          <w:tcPr>
            <w:tcW w:w="0" w:type="auto"/>
            <w:vMerge/>
            <w:tcBorders>
              <w:top w:val="nil"/>
              <w:left w:val="single" w:sz="4" w:space="0" w:color="000000"/>
              <w:bottom w:val="nil"/>
              <w:right w:val="single" w:sz="4" w:space="0" w:color="000000"/>
            </w:tcBorders>
            <w:shd w:val="clear" w:color="auto" w:fill="auto"/>
          </w:tcPr>
          <w:p w14:paraId="649C1B33" w14:textId="77777777" w:rsidR="00813B74" w:rsidRPr="00813B74" w:rsidRDefault="00813B74" w:rsidP="00813B74">
            <w:pPr>
              <w:overflowPunct w:val="0"/>
              <w:autoSpaceDE w:val="0"/>
              <w:autoSpaceDN w:val="0"/>
              <w:adjustRightInd w:val="0"/>
              <w:textAlignment w:val="baseline"/>
              <w:rPr>
                <w:rFonts w:ascii="Arial Narrow" w:eastAsia="Times New Roman" w:hAnsi="Arial Narrow" w:cs="Times New Roman"/>
                <w:lang w:eastAsia="pl-PL"/>
              </w:rPr>
            </w:pPr>
          </w:p>
        </w:tc>
        <w:tc>
          <w:tcPr>
            <w:tcW w:w="326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53CC6CAF"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Podbudowa zasadnicza  </w:t>
            </w:r>
          </w:p>
        </w:tc>
        <w:tc>
          <w:tcPr>
            <w:tcW w:w="397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64726AC3"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Podbudowa pomocnicza  </w:t>
            </w:r>
          </w:p>
        </w:tc>
        <w:tc>
          <w:tcPr>
            <w:tcW w:w="1034" w:type="dxa"/>
            <w:tcBorders>
              <w:top w:val="single" w:sz="4" w:space="0" w:color="000000"/>
              <w:left w:val="single" w:sz="4" w:space="0" w:color="000000"/>
              <w:bottom w:val="single" w:sz="4" w:space="0" w:color="000000"/>
              <w:right w:val="single" w:sz="4" w:space="0" w:color="000000"/>
            </w:tcBorders>
            <w:shd w:val="clear" w:color="auto" w:fill="auto"/>
          </w:tcPr>
          <w:p w14:paraId="147697FB"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Warstwa mrozoochr onna  </w:t>
            </w:r>
          </w:p>
        </w:tc>
      </w:tr>
      <w:tr w:rsidR="00813B74" w:rsidRPr="00813B74" w14:paraId="1439DA46" w14:textId="77777777" w:rsidTr="0072451A">
        <w:trPr>
          <w:trHeight w:val="252"/>
        </w:trPr>
        <w:tc>
          <w:tcPr>
            <w:tcW w:w="0" w:type="auto"/>
            <w:vMerge/>
            <w:tcBorders>
              <w:top w:val="nil"/>
              <w:left w:val="single" w:sz="4" w:space="0" w:color="000000"/>
              <w:bottom w:val="single" w:sz="4" w:space="0" w:color="000000"/>
              <w:right w:val="single" w:sz="4" w:space="0" w:color="000000"/>
            </w:tcBorders>
            <w:shd w:val="clear" w:color="auto" w:fill="auto"/>
          </w:tcPr>
          <w:p w14:paraId="3A9FF2AE" w14:textId="77777777" w:rsidR="00813B74" w:rsidRPr="00813B74" w:rsidRDefault="00813B74" w:rsidP="00813B74">
            <w:pPr>
              <w:overflowPunct w:val="0"/>
              <w:autoSpaceDE w:val="0"/>
              <w:autoSpaceDN w:val="0"/>
              <w:adjustRightInd w:val="0"/>
              <w:textAlignment w:val="baseline"/>
              <w:rPr>
                <w:rFonts w:ascii="Arial Narrow" w:eastAsia="Times New Roman" w:hAnsi="Arial Narrow" w:cs="Times New Roman"/>
                <w:lang w:eastAsia="pl-PL"/>
              </w:rPr>
            </w:pPr>
          </w:p>
        </w:tc>
        <w:tc>
          <w:tcPr>
            <w:tcW w:w="0" w:type="auto"/>
            <w:vMerge/>
            <w:tcBorders>
              <w:top w:val="nil"/>
              <w:left w:val="single" w:sz="4" w:space="0" w:color="000000"/>
              <w:bottom w:val="single" w:sz="4" w:space="0" w:color="000000"/>
              <w:right w:val="single" w:sz="4" w:space="0" w:color="000000"/>
            </w:tcBorders>
            <w:shd w:val="clear" w:color="auto" w:fill="auto"/>
            <w:vAlign w:val="bottom"/>
          </w:tcPr>
          <w:p w14:paraId="252DDBEC" w14:textId="77777777" w:rsidR="00813B74" w:rsidRPr="00813B74" w:rsidRDefault="00813B74" w:rsidP="00813B74">
            <w:pPr>
              <w:overflowPunct w:val="0"/>
              <w:autoSpaceDE w:val="0"/>
              <w:autoSpaceDN w:val="0"/>
              <w:adjustRightInd w:val="0"/>
              <w:textAlignment w:val="baseline"/>
              <w:rPr>
                <w:rFonts w:ascii="Arial Narrow" w:eastAsia="Times New Roman" w:hAnsi="Arial Narrow" w:cs="Times New Roman"/>
                <w:lang w:eastAsia="pl-PL"/>
              </w:rPr>
            </w:pPr>
          </w:p>
        </w:tc>
        <w:tc>
          <w:tcPr>
            <w:tcW w:w="1133" w:type="dxa"/>
            <w:tcBorders>
              <w:top w:val="single" w:sz="4" w:space="0" w:color="000000"/>
              <w:left w:val="single" w:sz="4" w:space="0" w:color="000000"/>
              <w:bottom w:val="single" w:sz="4" w:space="0" w:color="000000"/>
              <w:right w:val="single" w:sz="4" w:space="0" w:color="000000"/>
            </w:tcBorders>
            <w:shd w:val="clear" w:color="auto" w:fill="auto"/>
          </w:tcPr>
          <w:p w14:paraId="6B5AB6FC"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KR1-KR2</w:t>
            </w:r>
            <w:r w:rsidRPr="00813B74">
              <w:rPr>
                <w:rFonts w:ascii="Arial Narrow" w:eastAsia="Times New Roman" w:hAnsi="Arial Narrow" w:cs="Times New Roman"/>
                <w:sz w:val="18"/>
                <w:vertAlign w:val="superscript"/>
                <w:lang w:eastAsia="pl-PL"/>
              </w:rPr>
              <w:t xml:space="preserve">*) </w:t>
            </w:r>
          </w:p>
        </w:tc>
        <w:tc>
          <w:tcPr>
            <w:tcW w:w="1136" w:type="dxa"/>
            <w:tcBorders>
              <w:top w:val="single" w:sz="4" w:space="0" w:color="000000"/>
              <w:left w:val="single" w:sz="4" w:space="0" w:color="000000"/>
              <w:bottom w:val="single" w:sz="4" w:space="0" w:color="000000"/>
              <w:right w:val="single" w:sz="4" w:space="0" w:color="000000"/>
            </w:tcBorders>
            <w:shd w:val="clear" w:color="auto" w:fill="auto"/>
          </w:tcPr>
          <w:p w14:paraId="122AE1FA" w14:textId="77777777" w:rsidR="00813B74" w:rsidRPr="00813B74" w:rsidRDefault="00813B74" w:rsidP="00813B74">
            <w:pPr>
              <w:overflowPunct w:val="0"/>
              <w:autoSpaceDE w:val="0"/>
              <w:autoSpaceDN w:val="0"/>
              <w:adjustRightInd w:val="0"/>
              <w:spacing w:after="0"/>
              <w:ind w:left="3"/>
              <w:jc w:val="both"/>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KR3-KR4</w:t>
            </w:r>
            <w:r w:rsidRPr="00813B74">
              <w:rPr>
                <w:rFonts w:ascii="Arial Narrow" w:eastAsia="Times New Roman" w:hAnsi="Arial Narrow" w:cs="Times New Roman"/>
                <w:sz w:val="18"/>
                <w:vertAlign w:val="superscript"/>
                <w:lang w:eastAsia="pl-PL"/>
              </w:rPr>
              <w:t>*)</w:t>
            </w:r>
            <w:r w:rsidRPr="00813B74">
              <w:rPr>
                <w:rFonts w:ascii="Arial Narrow" w:eastAsia="Times New Roman" w:hAnsi="Arial Narrow" w:cs="Times New Roman"/>
                <w:sz w:val="18"/>
                <w:lang w:eastAsia="pl-PL"/>
              </w:rPr>
              <w:t xml:space="preserve"> </w:t>
            </w:r>
          </w:p>
        </w:tc>
        <w:tc>
          <w:tcPr>
            <w:tcW w:w="991" w:type="dxa"/>
            <w:tcBorders>
              <w:top w:val="single" w:sz="4" w:space="0" w:color="000000"/>
              <w:left w:val="single" w:sz="4" w:space="0" w:color="000000"/>
              <w:bottom w:val="single" w:sz="4" w:space="0" w:color="000000"/>
              <w:right w:val="single" w:sz="4" w:space="0" w:color="000000"/>
            </w:tcBorders>
            <w:shd w:val="clear" w:color="auto" w:fill="auto"/>
          </w:tcPr>
          <w:p w14:paraId="122BF430" w14:textId="77777777" w:rsidR="00813B74" w:rsidRPr="00813B74" w:rsidRDefault="00813B74" w:rsidP="00813B74">
            <w:pPr>
              <w:overflowPunct w:val="0"/>
              <w:autoSpaceDE w:val="0"/>
              <w:autoSpaceDN w:val="0"/>
              <w:adjustRightInd w:val="0"/>
              <w:spacing w:after="0"/>
              <w:ind w:left="2"/>
              <w:jc w:val="both"/>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KR5-KR7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3B438A0A"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KR1-KR2 </w:t>
            </w:r>
          </w:p>
        </w:tc>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291368BE" w14:textId="77777777" w:rsidR="00813B74" w:rsidRPr="00813B74" w:rsidRDefault="00813B74" w:rsidP="00813B74">
            <w:pPr>
              <w:overflowPunct w:val="0"/>
              <w:autoSpaceDE w:val="0"/>
              <w:autoSpaceDN w:val="0"/>
              <w:adjustRightInd w:val="0"/>
              <w:spacing w:after="0"/>
              <w:ind w:left="2"/>
              <w:jc w:val="both"/>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KR3-KR4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14:paraId="68A602F5" w14:textId="77777777" w:rsidR="00813B74" w:rsidRPr="00813B74" w:rsidRDefault="00813B74" w:rsidP="00813B74">
            <w:pPr>
              <w:overflowPunct w:val="0"/>
              <w:autoSpaceDE w:val="0"/>
              <w:autoSpaceDN w:val="0"/>
              <w:adjustRightInd w:val="0"/>
              <w:spacing w:after="0"/>
              <w:jc w:val="both"/>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KR5-KR7 </w:t>
            </w:r>
          </w:p>
        </w:tc>
        <w:tc>
          <w:tcPr>
            <w:tcW w:w="1034" w:type="dxa"/>
            <w:tcBorders>
              <w:top w:val="single" w:sz="4" w:space="0" w:color="000000"/>
              <w:left w:val="single" w:sz="4" w:space="0" w:color="000000"/>
              <w:bottom w:val="single" w:sz="4" w:space="0" w:color="000000"/>
              <w:right w:val="single" w:sz="4" w:space="0" w:color="000000"/>
            </w:tcBorders>
            <w:shd w:val="clear" w:color="auto" w:fill="auto"/>
          </w:tcPr>
          <w:p w14:paraId="43CC6B36"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KR1-KR4 </w:t>
            </w:r>
          </w:p>
        </w:tc>
      </w:tr>
      <w:tr w:rsidR="00813B74" w:rsidRPr="00813B74" w14:paraId="15553882" w14:textId="77777777" w:rsidTr="0072451A">
        <w:trPr>
          <w:trHeight w:val="1784"/>
        </w:trPr>
        <w:tc>
          <w:tcPr>
            <w:tcW w:w="4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77793D" w14:textId="77777777" w:rsidR="00813B74" w:rsidRPr="00813B74" w:rsidRDefault="00813B74" w:rsidP="00813B74">
            <w:pPr>
              <w:overflowPunct w:val="0"/>
              <w:autoSpaceDE w:val="0"/>
              <w:autoSpaceDN w:val="0"/>
              <w:adjustRightInd w:val="0"/>
              <w:spacing w:after="0"/>
              <w:ind w:left="2"/>
              <w:jc w:val="both"/>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1.  </w:t>
            </w:r>
          </w:p>
        </w:tc>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72C96A" w14:textId="77777777" w:rsidR="00813B74" w:rsidRPr="00813B74" w:rsidRDefault="00813B74" w:rsidP="00813B74">
            <w:pPr>
              <w:overflowPunct w:val="0"/>
              <w:autoSpaceDE w:val="0"/>
              <w:autoSpaceDN w:val="0"/>
              <w:adjustRightInd w:val="0"/>
              <w:spacing w:after="0" w:line="239" w:lineRule="auto"/>
              <w:ind w:left="2" w:right="133"/>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Mieszanki związane cementem wg  PN-EN </w:t>
            </w:r>
          </w:p>
          <w:p w14:paraId="62A5C072"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14227-1  </w:t>
            </w:r>
          </w:p>
        </w:tc>
        <w:tc>
          <w:tcPr>
            <w:tcW w:w="11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D4C68F"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C3/4 </w:t>
            </w:r>
          </w:p>
          <w:p w14:paraId="7CD21A10"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 6 MPa </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3EC7E8" w14:textId="77777777" w:rsidR="00813B74" w:rsidRPr="00813B74" w:rsidRDefault="00813B74" w:rsidP="00813B74">
            <w:pPr>
              <w:overflowPunct w:val="0"/>
              <w:autoSpaceDE w:val="0"/>
              <w:autoSpaceDN w:val="0"/>
              <w:adjustRightInd w:val="0"/>
              <w:spacing w:after="0"/>
              <w:ind w:left="3"/>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C5/6 </w:t>
            </w:r>
          </w:p>
          <w:p w14:paraId="3A87DEEE" w14:textId="77777777" w:rsidR="00813B74" w:rsidRPr="00813B74" w:rsidRDefault="00813B74" w:rsidP="00813B74">
            <w:pPr>
              <w:overflowPunct w:val="0"/>
              <w:autoSpaceDE w:val="0"/>
              <w:autoSpaceDN w:val="0"/>
              <w:adjustRightInd w:val="0"/>
              <w:spacing w:after="0"/>
              <w:ind w:left="3"/>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 10 MPa </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802D87"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C8/10 </w:t>
            </w:r>
          </w:p>
          <w:p w14:paraId="155F3816" w14:textId="77777777" w:rsidR="00813B74" w:rsidRPr="00813B74" w:rsidRDefault="00813B74" w:rsidP="00813B74">
            <w:pPr>
              <w:overflowPunct w:val="0"/>
              <w:autoSpaceDE w:val="0"/>
              <w:autoSpaceDN w:val="0"/>
              <w:adjustRightInd w:val="0"/>
              <w:spacing w:after="0"/>
              <w:ind w:left="2"/>
              <w:jc w:val="both"/>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 20 MPa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00F765A2" w14:textId="77777777" w:rsidR="00813B74" w:rsidRPr="00813B74" w:rsidRDefault="00813B74" w:rsidP="00813B74">
            <w:pPr>
              <w:overflowPunct w:val="0"/>
              <w:autoSpaceDE w:val="0"/>
              <w:autoSpaceDN w:val="0"/>
              <w:adjustRightInd w:val="0"/>
              <w:spacing w:after="0" w:line="240" w:lineRule="auto"/>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Warstwa podbudowy pomocniczej nie występuje w rozwiązaniach zaproponowanych w Katalogu dla kategorii ruchu  </w:t>
            </w:r>
          </w:p>
          <w:p w14:paraId="2E02AFD3"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KR1-KR2 </w:t>
            </w:r>
          </w:p>
        </w:tc>
        <w:tc>
          <w:tcPr>
            <w:tcW w:w="9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1FFF6E"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C3/4 </w:t>
            </w:r>
          </w:p>
          <w:p w14:paraId="3E96F2C5"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 6 MPa </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EC3C98"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C5/6  </w:t>
            </w:r>
          </w:p>
          <w:p w14:paraId="64DD6291" w14:textId="77777777" w:rsidR="00813B74" w:rsidRPr="00813B74" w:rsidRDefault="00813B74" w:rsidP="00813B74">
            <w:pPr>
              <w:overflowPunct w:val="0"/>
              <w:autoSpaceDE w:val="0"/>
              <w:autoSpaceDN w:val="0"/>
              <w:adjustRightInd w:val="0"/>
              <w:spacing w:after="0"/>
              <w:jc w:val="both"/>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 10 MPa </w:t>
            </w:r>
          </w:p>
        </w:tc>
        <w:tc>
          <w:tcPr>
            <w:tcW w:w="10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1B3C3B"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C1,5/2  </w:t>
            </w:r>
          </w:p>
          <w:p w14:paraId="5BE257F5"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xml:space="preserve">≤ 4 MPa </w:t>
            </w:r>
          </w:p>
        </w:tc>
      </w:tr>
      <w:tr w:rsidR="00813B74" w:rsidRPr="00813B74" w14:paraId="3B80C917" w14:textId="77777777" w:rsidTr="0072451A">
        <w:trPr>
          <w:trHeight w:val="689"/>
        </w:trPr>
        <w:tc>
          <w:tcPr>
            <w:tcW w:w="9825" w:type="dxa"/>
            <w:gridSpan w:val="9"/>
            <w:tcBorders>
              <w:top w:val="single" w:sz="4" w:space="0" w:color="000000"/>
              <w:left w:val="single" w:sz="4" w:space="0" w:color="000000"/>
              <w:bottom w:val="single" w:sz="4" w:space="0" w:color="000000"/>
              <w:right w:val="single" w:sz="4" w:space="0" w:color="000000"/>
            </w:tcBorders>
            <w:shd w:val="clear" w:color="auto" w:fill="auto"/>
          </w:tcPr>
          <w:p w14:paraId="0165994A"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 W typowych konstrukcjach nawierzchni sztywnych -</w:t>
            </w:r>
            <w:r w:rsidRPr="00813B74">
              <w:rPr>
                <w:rFonts w:ascii="Arial Narrow" w:eastAsia="Times New Roman" w:hAnsi="Arial Narrow" w:cs="Times New Roman"/>
                <w:sz w:val="18"/>
                <w:vertAlign w:val="superscript"/>
                <w:lang w:eastAsia="pl-PL"/>
              </w:rPr>
              <w:t xml:space="preserve"> </w:t>
            </w:r>
            <w:r w:rsidRPr="00813B74">
              <w:rPr>
                <w:rFonts w:ascii="Arial Narrow" w:eastAsia="Times New Roman" w:hAnsi="Arial Narrow" w:cs="Times New Roman"/>
                <w:sz w:val="18"/>
                <w:lang w:eastAsia="pl-PL"/>
              </w:rPr>
              <w:t xml:space="preserve">nie stosuje się dla kat. KR1-KR3  </w:t>
            </w:r>
          </w:p>
          <w:p w14:paraId="31B658FE" w14:textId="77777777" w:rsidR="00813B74" w:rsidRPr="00813B74" w:rsidRDefault="00813B74" w:rsidP="00813B74">
            <w:pPr>
              <w:overflowPunct w:val="0"/>
              <w:autoSpaceDE w:val="0"/>
              <w:autoSpaceDN w:val="0"/>
              <w:adjustRightInd w:val="0"/>
              <w:spacing w:after="0"/>
              <w:ind w:left="2"/>
              <w:jc w:val="both"/>
              <w:textAlignment w:val="baseline"/>
              <w:rPr>
                <w:rFonts w:ascii="Arial Narrow" w:eastAsia="Times New Roman" w:hAnsi="Arial Narrow" w:cs="Times New Roman"/>
                <w:lang w:eastAsia="pl-PL"/>
              </w:rPr>
            </w:pPr>
            <w:r w:rsidRPr="00813B74">
              <w:rPr>
                <w:rFonts w:ascii="Arial Narrow" w:eastAsia="Times New Roman" w:hAnsi="Arial Narrow" w:cs="Times New Roman"/>
                <w:sz w:val="18"/>
                <w:lang w:eastAsia="pl-PL"/>
              </w:rPr>
              <w:t>Uwaga: Określenie „nie stosuje się” oznacza, że materiał ten nie występuje w rozwiązaniach zaproponowanych w Katalogu dla danej warstwy.</w:t>
            </w:r>
            <w:r w:rsidRPr="00813B74">
              <w:rPr>
                <w:rFonts w:ascii="Verdana" w:eastAsia="Verdana" w:hAnsi="Verdana" w:cs="Verdana"/>
                <w:i/>
                <w:sz w:val="18"/>
                <w:lang w:eastAsia="pl-PL"/>
              </w:rPr>
              <w:t xml:space="preserve"> </w:t>
            </w:r>
            <w:r w:rsidRPr="00813B74">
              <w:rPr>
                <w:rFonts w:ascii="Arial Narrow" w:eastAsia="Times New Roman" w:hAnsi="Arial Narrow" w:cs="Times New Roman"/>
                <w:sz w:val="18"/>
                <w:lang w:eastAsia="pl-PL"/>
              </w:rPr>
              <w:t xml:space="preserve"> </w:t>
            </w:r>
          </w:p>
        </w:tc>
      </w:tr>
    </w:tbl>
    <w:p w14:paraId="56AF3AE7" w14:textId="77777777" w:rsidR="00813B74" w:rsidRPr="00813B74" w:rsidRDefault="00813B74" w:rsidP="00813B74">
      <w:pPr>
        <w:overflowPunct w:val="0"/>
        <w:autoSpaceDE w:val="0"/>
        <w:autoSpaceDN w:val="0"/>
        <w:adjustRightInd w:val="0"/>
        <w:spacing w:after="0" w:line="240" w:lineRule="auto"/>
        <w:ind w:left="7"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lastRenderedPageBreak/>
        <w:t xml:space="preserve">Szczegółowe wymagania dla mieszanek związanych cementem dla warstwy: podbudowy zasadniczej, podbudowy pomocniczej i mrozoochronnej przedstawiono w Tabelach 5-7. </w:t>
      </w:r>
    </w:p>
    <w:p w14:paraId="1B739347" w14:textId="77777777" w:rsidR="00813B74" w:rsidRPr="00813B74" w:rsidRDefault="00813B74" w:rsidP="00813B74">
      <w:pPr>
        <w:overflowPunct w:val="0"/>
        <w:autoSpaceDE w:val="0"/>
        <w:autoSpaceDN w:val="0"/>
        <w:adjustRightInd w:val="0"/>
        <w:spacing w:after="0" w:line="240" w:lineRule="auto"/>
        <w:ind w:left="7"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Tabela 5. Wymagania wobec mieszanek związanych cementem do warstwy podbudowy zasadniczej </w:t>
      </w:r>
    </w:p>
    <w:tbl>
      <w:tblPr>
        <w:tblW w:w="7514" w:type="dxa"/>
        <w:tblInd w:w="794" w:type="dxa"/>
        <w:tblCellMar>
          <w:top w:w="54" w:type="dxa"/>
          <w:left w:w="106" w:type="dxa"/>
          <w:right w:w="115" w:type="dxa"/>
        </w:tblCellMar>
        <w:tblLook w:val="04A0" w:firstRow="1" w:lastRow="0" w:firstColumn="1" w:lastColumn="0" w:noHBand="0" w:noVBand="1"/>
      </w:tblPr>
      <w:tblGrid>
        <w:gridCol w:w="818"/>
        <w:gridCol w:w="2835"/>
        <w:gridCol w:w="3861"/>
      </w:tblGrid>
      <w:tr w:rsidR="00813B74" w:rsidRPr="00813B74" w14:paraId="191FAC05" w14:textId="77777777" w:rsidTr="0072451A">
        <w:trPr>
          <w:trHeight w:val="480"/>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3BE5B8B9"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Lp.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76EC784E"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Właściwość </w:t>
            </w:r>
          </w:p>
        </w:tc>
        <w:tc>
          <w:tcPr>
            <w:tcW w:w="38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D04623"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Wymagania  </w:t>
            </w:r>
          </w:p>
        </w:tc>
      </w:tr>
      <w:tr w:rsidR="00813B74" w:rsidRPr="00813B74" w14:paraId="2D1BCEFF"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6F17069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1.0 </w:t>
            </w:r>
          </w:p>
        </w:tc>
        <w:tc>
          <w:tcPr>
            <w:tcW w:w="2835" w:type="dxa"/>
            <w:tcBorders>
              <w:top w:val="single" w:sz="4" w:space="0" w:color="000000"/>
              <w:left w:val="single" w:sz="4" w:space="0" w:color="000000"/>
              <w:bottom w:val="single" w:sz="4" w:space="0" w:color="000000"/>
              <w:right w:val="nil"/>
            </w:tcBorders>
            <w:shd w:val="clear" w:color="auto" w:fill="auto"/>
          </w:tcPr>
          <w:p w14:paraId="6164D9B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Składniki </w:t>
            </w:r>
          </w:p>
        </w:tc>
        <w:tc>
          <w:tcPr>
            <w:tcW w:w="3860" w:type="dxa"/>
            <w:tcBorders>
              <w:top w:val="single" w:sz="4" w:space="0" w:color="000000"/>
              <w:left w:val="nil"/>
              <w:bottom w:val="single" w:sz="4" w:space="0" w:color="000000"/>
              <w:right w:val="single" w:sz="4" w:space="0" w:color="000000"/>
            </w:tcBorders>
            <w:shd w:val="clear" w:color="auto" w:fill="auto"/>
          </w:tcPr>
          <w:p w14:paraId="750071D4"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p>
        </w:tc>
      </w:tr>
      <w:tr w:rsidR="00813B74" w:rsidRPr="00813B74" w14:paraId="2B9B498D"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1EE0E594"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1.1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34D4298C"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Cement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4A4A9DFA"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wg p. 2.2.1 </w:t>
            </w:r>
          </w:p>
        </w:tc>
      </w:tr>
      <w:tr w:rsidR="00813B74" w:rsidRPr="00813B74" w14:paraId="0BCC6015"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7F6175DE"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1.2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58F3C91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Kruszywo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1B75A875"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wg tabeli 1 </w:t>
            </w:r>
          </w:p>
        </w:tc>
      </w:tr>
      <w:tr w:rsidR="00813B74" w:rsidRPr="00813B74" w14:paraId="2BED46FE"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3A8EB55C"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1.3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0FD058F3"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Woda zarobowa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46F1238A"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wg p. 2.2.2 </w:t>
            </w:r>
          </w:p>
        </w:tc>
      </w:tr>
      <w:tr w:rsidR="00813B74" w:rsidRPr="00813B74" w14:paraId="6A34EB8A"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48C93A4A"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1.4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6ACE15AD"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Dodatki i domieszki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7F22842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wg p. 2.2.3 i p. 2.2.4 </w:t>
            </w:r>
          </w:p>
        </w:tc>
      </w:tr>
      <w:tr w:rsidR="00813B74" w:rsidRPr="00813B74" w14:paraId="7FB3AAF5"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0B3CF476"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2.0 </w:t>
            </w:r>
          </w:p>
        </w:tc>
        <w:tc>
          <w:tcPr>
            <w:tcW w:w="2835" w:type="dxa"/>
            <w:tcBorders>
              <w:top w:val="single" w:sz="4" w:space="0" w:color="000000"/>
              <w:left w:val="single" w:sz="4" w:space="0" w:color="000000"/>
              <w:bottom w:val="single" w:sz="4" w:space="0" w:color="000000"/>
              <w:right w:val="nil"/>
            </w:tcBorders>
            <w:shd w:val="clear" w:color="auto" w:fill="auto"/>
          </w:tcPr>
          <w:p w14:paraId="3C7B18DA"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Mieszanka </w:t>
            </w:r>
          </w:p>
        </w:tc>
        <w:tc>
          <w:tcPr>
            <w:tcW w:w="3860" w:type="dxa"/>
            <w:tcBorders>
              <w:top w:val="single" w:sz="4" w:space="0" w:color="000000"/>
              <w:left w:val="nil"/>
              <w:bottom w:val="single" w:sz="4" w:space="0" w:color="000000"/>
              <w:right w:val="single" w:sz="4" w:space="0" w:color="000000"/>
            </w:tcBorders>
            <w:shd w:val="clear" w:color="auto" w:fill="auto"/>
          </w:tcPr>
          <w:p w14:paraId="59752FB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p>
        </w:tc>
      </w:tr>
      <w:tr w:rsidR="00813B74" w:rsidRPr="00813B74" w14:paraId="2401F6E2"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2AB27D67"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2.1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1C81B0C3"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Uziarnienie: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3666E23C"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Krzywe graniczne uziarnienia </w:t>
            </w:r>
          </w:p>
        </w:tc>
      </w:tr>
      <w:tr w:rsidR="00813B74" w:rsidRPr="00813B74" w14:paraId="6C00ED78"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7A6902D5"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99E9134"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mieszanka 0/8 mm</w:t>
            </w:r>
            <w:r w:rsidRPr="00813B74">
              <w:rPr>
                <w:rFonts w:ascii="Arial Narrow" w:eastAsia="Times New Roman" w:hAnsi="Arial Narrow" w:cs="Times New Roman"/>
                <w:vertAlign w:val="superscript"/>
              </w:rPr>
              <w:t xml:space="preserve">*)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43353A0D"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wg rys. 5</w:t>
            </w:r>
            <w:r w:rsidRPr="00813B74">
              <w:rPr>
                <w:rFonts w:ascii="Arial Narrow" w:eastAsia="Times New Roman" w:hAnsi="Arial Narrow" w:cs="Times New Roman"/>
                <w:vertAlign w:val="superscript"/>
              </w:rPr>
              <w:t xml:space="preserve"> </w:t>
            </w:r>
          </w:p>
        </w:tc>
      </w:tr>
      <w:tr w:rsidR="00813B74" w:rsidRPr="00813B74" w14:paraId="55E6A673"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7AA3123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5CFFEC40"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mieszanka 0/11,2 mm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61174CB5"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wg rys. 4 </w:t>
            </w:r>
          </w:p>
        </w:tc>
      </w:tr>
      <w:tr w:rsidR="00813B74" w:rsidRPr="00813B74" w14:paraId="1A21E1D1"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0C8C7CCC"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049C4A9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mieszanka 0/16 mm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7AE76530"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wg rys. 3 </w:t>
            </w:r>
          </w:p>
        </w:tc>
      </w:tr>
      <w:tr w:rsidR="00813B74" w:rsidRPr="00813B74" w14:paraId="55C5119A" w14:textId="77777777" w:rsidTr="0072451A">
        <w:trPr>
          <w:trHeight w:val="253"/>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20E0E0AD"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6E1806D7"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mieszanka 0/22,4 mm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2ACB5693"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wg rys. 2 </w:t>
            </w:r>
          </w:p>
        </w:tc>
      </w:tr>
      <w:tr w:rsidR="00813B74" w:rsidRPr="00813B74" w14:paraId="163BA529"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044136BD"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54DD9274"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mieszanka 0/31,5 mm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534842E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wg rys. 1 </w:t>
            </w:r>
          </w:p>
        </w:tc>
      </w:tr>
      <w:tr w:rsidR="00813B74" w:rsidRPr="00813B74" w14:paraId="3DE25B36" w14:textId="77777777" w:rsidTr="0072451A">
        <w:trPr>
          <w:trHeight w:val="49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093BD86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2.2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57EAD930"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Minimalna zawartość cementu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679AEF7C"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wg tabeli 2 </w:t>
            </w:r>
          </w:p>
        </w:tc>
      </w:tr>
      <w:tr w:rsidR="00813B74" w:rsidRPr="00813B74" w14:paraId="64CAC8BE"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2FD2076D"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2.3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773AE26"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Zawartość wody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1BECC19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wg projektu mieszanki </w:t>
            </w:r>
          </w:p>
        </w:tc>
      </w:tr>
      <w:tr w:rsidR="00813B74" w:rsidRPr="00813B74" w14:paraId="5EEC4134" w14:textId="77777777" w:rsidTr="0072451A">
        <w:trPr>
          <w:trHeight w:val="497"/>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5283FE8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2.4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CC89B9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Wytrzymałość </w:t>
            </w:r>
          </w:p>
          <w:p w14:paraId="2706F20A"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na ściskanie</w:t>
            </w:r>
            <w:r w:rsidRPr="00813B74">
              <w:rPr>
                <w:rFonts w:ascii="Arial Narrow" w:eastAsia="Times New Roman" w:hAnsi="Arial Narrow" w:cs="Times New Roman"/>
                <w:vertAlign w:val="superscript"/>
              </w:rPr>
              <w:t xml:space="preserve">*) </w:t>
            </w:r>
            <w:r w:rsidRPr="00813B74">
              <w:rPr>
                <w:rFonts w:ascii="Arial Narrow" w:eastAsia="Times New Roman" w:hAnsi="Arial Narrow" w:cs="Times New Roman"/>
              </w:rPr>
              <w:t xml:space="preserve">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508023DA"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wg tabeli 4 </w:t>
            </w:r>
          </w:p>
        </w:tc>
      </w:tr>
      <w:tr w:rsidR="00813B74" w:rsidRPr="00813B74" w14:paraId="5252FD95"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288E4E05"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2.5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7653DF65"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Mrozoodporność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0AAE0DC5"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0,7 </w:t>
            </w:r>
          </w:p>
        </w:tc>
      </w:tr>
      <w:tr w:rsidR="00813B74" w:rsidRPr="00813B74" w14:paraId="010FE582"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54D70DC0"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2.6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593769AC"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Szczelność mieszanki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3DDDCD0B"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0,8 </w:t>
            </w:r>
          </w:p>
        </w:tc>
      </w:tr>
    </w:tbl>
    <w:p w14:paraId="59E45CC7"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vertAlign w:val="superscript"/>
          <w:lang w:eastAsia="pl-PL"/>
        </w:rPr>
        <w:t>*)</w:t>
      </w:r>
      <w:r w:rsidRPr="00813B74">
        <w:rPr>
          <w:rFonts w:ascii="Arial Narrow" w:eastAsia="Times New Roman" w:hAnsi="Arial Narrow" w:cs="Times New Roman"/>
          <w:sz w:val="20"/>
          <w:szCs w:val="20"/>
          <w:lang w:eastAsia="pl-PL"/>
        </w:rPr>
        <w:t xml:space="preserve"> Mieszankę 0/8 mm można stosować tylko dla ruchu KR1 i KR2 </w:t>
      </w:r>
    </w:p>
    <w:p w14:paraId="28C8331C" w14:textId="77777777" w:rsidR="00813B74" w:rsidRPr="00813B74" w:rsidRDefault="00813B74" w:rsidP="00813B74">
      <w:pPr>
        <w:overflowPunct w:val="0"/>
        <w:autoSpaceDE w:val="0"/>
        <w:autoSpaceDN w:val="0"/>
        <w:adjustRightInd w:val="0"/>
        <w:spacing w:after="139"/>
        <w:ind w:left="12"/>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 </w:t>
      </w:r>
    </w:p>
    <w:p w14:paraId="235D7EEF"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Tabela 6. Wymagania wobec mieszanek związanych cementem do warstwy podbudowy pomocniczej </w:t>
      </w:r>
    </w:p>
    <w:tbl>
      <w:tblPr>
        <w:tblW w:w="7514" w:type="dxa"/>
        <w:tblInd w:w="794" w:type="dxa"/>
        <w:tblCellMar>
          <w:top w:w="53" w:type="dxa"/>
          <w:left w:w="106" w:type="dxa"/>
          <w:right w:w="115" w:type="dxa"/>
        </w:tblCellMar>
        <w:tblLook w:val="04A0" w:firstRow="1" w:lastRow="0" w:firstColumn="1" w:lastColumn="0" w:noHBand="0" w:noVBand="1"/>
      </w:tblPr>
      <w:tblGrid>
        <w:gridCol w:w="818"/>
        <w:gridCol w:w="2835"/>
        <w:gridCol w:w="3861"/>
      </w:tblGrid>
      <w:tr w:rsidR="00813B74" w:rsidRPr="00813B74" w14:paraId="5F5E1241" w14:textId="77777777" w:rsidTr="0072451A">
        <w:trPr>
          <w:trHeight w:val="480"/>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54DB4E6C"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Lp.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7C5C5687"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Właściwość </w:t>
            </w:r>
          </w:p>
        </w:tc>
        <w:tc>
          <w:tcPr>
            <w:tcW w:w="38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07C50"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Wymagania  </w:t>
            </w:r>
          </w:p>
        </w:tc>
      </w:tr>
      <w:tr w:rsidR="00813B74" w:rsidRPr="00813B74" w14:paraId="1B057FB3"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36EF37EF"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1.0 </w:t>
            </w:r>
          </w:p>
        </w:tc>
        <w:tc>
          <w:tcPr>
            <w:tcW w:w="2835" w:type="dxa"/>
            <w:tcBorders>
              <w:top w:val="single" w:sz="4" w:space="0" w:color="000000"/>
              <w:left w:val="single" w:sz="4" w:space="0" w:color="000000"/>
              <w:bottom w:val="single" w:sz="4" w:space="0" w:color="000000"/>
              <w:right w:val="nil"/>
            </w:tcBorders>
            <w:shd w:val="clear" w:color="auto" w:fill="auto"/>
          </w:tcPr>
          <w:p w14:paraId="12418A05"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Składniki </w:t>
            </w:r>
          </w:p>
        </w:tc>
        <w:tc>
          <w:tcPr>
            <w:tcW w:w="3860" w:type="dxa"/>
            <w:tcBorders>
              <w:top w:val="single" w:sz="4" w:space="0" w:color="000000"/>
              <w:left w:val="nil"/>
              <w:bottom w:val="single" w:sz="4" w:space="0" w:color="000000"/>
              <w:right w:val="single" w:sz="4" w:space="0" w:color="000000"/>
            </w:tcBorders>
            <w:shd w:val="clear" w:color="auto" w:fill="auto"/>
          </w:tcPr>
          <w:p w14:paraId="77588C26" w14:textId="77777777" w:rsidR="00813B74" w:rsidRPr="00813B74" w:rsidRDefault="00813B74" w:rsidP="00813B74">
            <w:pPr>
              <w:overflowPunct w:val="0"/>
              <w:autoSpaceDE w:val="0"/>
              <w:autoSpaceDN w:val="0"/>
              <w:adjustRightInd w:val="0"/>
              <w:textAlignment w:val="baseline"/>
              <w:rPr>
                <w:rFonts w:ascii="Arial Narrow" w:eastAsia="Times New Roman" w:hAnsi="Arial Narrow" w:cs="Times New Roman"/>
                <w:lang w:eastAsia="pl-PL"/>
              </w:rPr>
            </w:pPr>
          </w:p>
        </w:tc>
      </w:tr>
      <w:tr w:rsidR="00813B74" w:rsidRPr="00813B74" w14:paraId="6B3F5CDA"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3D00AD1A"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1.1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5DFD8553"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Cement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61F0BAE9"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p. 2.2.1 </w:t>
            </w:r>
          </w:p>
        </w:tc>
      </w:tr>
      <w:tr w:rsidR="00813B74" w:rsidRPr="00813B74" w14:paraId="7A069A0E"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78D9F9B9"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1.2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5D4E2903"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Kruszywo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1A884D35"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tablicy 1 </w:t>
            </w:r>
          </w:p>
        </w:tc>
      </w:tr>
      <w:tr w:rsidR="00813B74" w:rsidRPr="00813B74" w14:paraId="2F8E822D"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6A5106F1"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1.3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41842F21"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Woda zarobowa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0710EE31"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p. 2.2.2 </w:t>
            </w:r>
          </w:p>
        </w:tc>
      </w:tr>
      <w:tr w:rsidR="00813B74" w:rsidRPr="00813B74" w14:paraId="0D998318"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0924D0EB"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1.4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646F6F4E"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Dodatki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220DFC6C"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p. 2.2.3 </w:t>
            </w:r>
          </w:p>
        </w:tc>
      </w:tr>
      <w:tr w:rsidR="00813B74" w:rsidRPr="00813B74" w14:paraId="42C7BFA7"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5546EA9D"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2.0 </w:t>
            </w:r>
          </w:p>
        </w:tc>
        <w:tc>
          <w:tcPr>
            <w:tcW w:w="2835" w:type="dxa"/>
            <w:tcBorders>
              <w:top w:val="single" w:sz="4" w:space="0" w:color="000000"/>
              <w:left w:val="single" w:sz="4" w:space="0" w:color="000000"/>
              <w:bottom w:val="single" w:sz="4" w:space="0" w:color="000000"/>
              <w:right w:val="nil"/>
            </w:tcBorders>
            <w:shd w:val="clear" w:color="auto" w:fill="auto"/>
          </w:tcPr>
          <w:p w14:paraId="1CA35A09"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Mieszanka </w:t>
            </w:r>
          </w:p>
        </w:tc>
        <w:tc>
          <w:tcPr>
            <w:tcW w:w="3860" w:type="dxa"/>
            <w:tcBorders>
              <w:top w:val="single" w:sz="4" w:space="0" w:color="000000"/>
              <w:left w:val="nil"/>
              <w:bottom w:val="single" w:sz="4" w:space="0" w:color="000000"/>
              <w:right w:val="single" w:sz="4" w:space="0" w:color="000000"/>
            </w:tcBorders>
            <w:shd w:val="clear" w:color="auto" w:fill="auto"/>
          </w:tcPr>
          <w:p w14:paraId="41C1CC4F" w14:textId="77777777" w:rsidR="00813B74" w:rsidRPr="00813B74" w:rsidRDefault="00813B74" w:rsidP="00813B74">
            <w:pPr>
              <w:overflowPunct w:val="0"/>
              <w:autoSpaceDE w:val="0"/>
              <w:autoSpaceDN w:val="0"/>
              <w:adjustRightInd w:val="0"/>
              <w:textAlignment w:val="baseline"/>
              <w:rPr>
                <w:rFonts w:ascii="Arial Narrow" w:eastAsia="Times New Roman" w:hAnsi="Arial Narrow" w:cs="Times New Roman"/>
                <w:lang w:eastAsia="pl-PL"/>
              </w:rPr>
            </w:pPr>
          </w:p>
        </w:tc>
      </w:tr>
      <w:tr w:rsidR="00813B74" w:rsidRPr="00813B74" w14:paraId="5AED1DE5"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0410320D"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2.1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7C5CE207"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Uziarnienie: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1258276C"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Krzywe graniczne uziarnienia </w:t>
            </w:r>
          </w:p>
        </w:tc>
      </w:tr>
      <w:tr w:rsidR="00813B74" w:rsidRPr="00813B74" w14:paraId="75D671FC"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55A0B4DB"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11470729"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mieszanka 0/8 mm</w:t>
            </w:r>
            <w:r w:rsidRPr="00813B74">
              <w:rPr>
                <w:rFonts w:ascii="Arial Narrow" w:eastAsia="Times New Roman" w:hAnsi="Arial Narrow" w:cs="Times New Roman"/>
                <w:vertAlign w:val="superscript"/>
                <w:lang w:eastAsia="pl-PL"/>
              </w:rPr>
              <w:t>*)</w:t>
            </w:r>
            <w:r w:rsidRPr="00813B74">
              <w:rPr>
                <w:rFonts w:ascii="Arial Narrow" w:eastAsia="Times New Roman" w:hAnsi="Arial Narrow" w:cs="Times New Roman"/>
                <w:lang w:eastAsia="pl-PL"/>
              </w:rPr>
              <w:t xml:space="preserve">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6CEA5BF3"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wg rys. 5</w:t>
            </w:r>
            <w:r w:rsidRPr="00813B74">
              <w:rPr>
                <w:rFonts w:ascii="Arial Narrow" w:eastAsia="Times New Roman" w:hAnsi="Arial Narrow" w:cs="Times New Roman"/>
                <w:vertAlign w:val="superscript"/>
                <w:lang w:eastAsia="pl-PL"/>
              </w:rPr>
              <w:t xml:space="preserve"> </w:t>
            </w:r>
          </w:p>
        </w:tc>
      </w:tr>
      <w:tr w:rsidR="00813B74" w:rsidRPr="00813B74" w14:paraId="6EEC924F"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3EDFC25D"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9304054"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mieszanka 0/11,2 mm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3B20A87D"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rys. 4 </w:t>
            </w:r>
          </w:p>
        </w:tc>
      </w:tr>
      <w:tr w:rsidR="00813B74" w:rsidRPr="00813B74" w14:paraId="630A9C13"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04B5C4CF"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4C4BE016"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mieszanka 0/16 mm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15E09040"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rys. 3 </w:t>
            </w:r>
          </w:p>
        </w:tc>
      </w:tr>
      <w:tr w:rsidR="00813B74" w:rsidRPr="00813B74" w14:paraId="5BCC9B31"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291260EA"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411CCCF2"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mieszanka 0/22,4 mm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08EF34E3"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rys. 2 </w:t>
            </w:r>
          </w:p>
        </w:tc>
      </w:tr>
      <w:tr w:rsidR="00813B74" w:rsidRPr="00813B74" w14:paraId="31752BC3" w14:textId="77777777" w:rsidTr="0072451A">
        <w:trPr>
          <w:trHeight w:val="255"/>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536A7F84"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37AAC731"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mieszanka 0/31,5 mm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2DA86D48"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rys. 1 </w:t>
            </w:r>
          </w:p>
        </w:tc>
      </w:tr>
      <w:tr w:rsidR="00813B74" w:rsidRPr="00813B74" w14:paraId="3F7714E2" w14:textId="77777777" w:rsidTr="0072451A">
        <w:trPr>
          <w:trHeight w:val="497"/>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771CB20D"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2.2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2E7913D"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Minimalna zawartość cementu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28BB9605"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tabeli 2 </w:t>
            </w:r>
          </w:p>
        </w:tc>
      </w:tr>
      <w:tr w:rsidR="00813B74" w:rsidRPr="00813B74" w14:paraId="6ED41633"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5668FE7D"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2.3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14F7D9D4"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Zawartość wody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036C5A62"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projektu mieszanki </w:t>
            </w:r>
          </w:p>
        </w:tc>
      </w:tr>
      <w:tr w:rsidR="00813B74" w:rsidRPr="00813B74" w14:paraId="4E279874" w14:textId="77777777" w:rsidTr="0072451A">
        <w:trPr>
          <w:trHeight w:val="497"/>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59648FFF"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2.4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01F51204"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Wytrzymałość na ściskanie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31C0D7E7"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tabeli 4 </w:t>
            </w:r>
          </w:p>
        </w:tc>
      </w:tr>
      <w:tr w:rsidR="00813B74" w:rsidRPr="00813B74" w14:paraId="30334B73"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60107B52"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lastRenderedPageBreak/>
              <w:t xml:space="preserve">2.5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7357E92E"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Mrozoodporność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0E99753D"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0,6 </w:t>
            </w:r>
          </w:p>
        </w:tc>
      </w:tr>
      <w:tr w:rsidR="00813B74" w:rsidRPr="00813B74" w14:paraId="42352FD4"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3AE24DA6"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2.6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16C9AF1A"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Szczelność mieszanki </w:t>
            </w:r>
          </w:p>
        </w:tc>
        <w:tc>
          <w:tcPr>
            <w:tcW w:w="3860" w:type="dxa"/>
            <w:tcBorders>
              <w:top w:val="single" w:sz="4" w:space="0" w:color="000000"/>
              <w:left w:val="single" w:sz="4" w:space="0" w:color="000000"/>
              <w:bottom w:val="single" w:sz="4" w:space="0" w:color="000000"/>
              <w:right w:val="single" w:sz="4" w:space="0" w:color="000000"/>
            </w:tcBorders>
            <w:shd w:val="clear" w:color="auto" w:fill="auto"/>
          </w:tcPr>
          <w:p w14:paraId="524F2B19"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0,8 </w:t>
            </w:r>
          </w:p>
        </w:tc>
      </w:tr>
    </w:tbl>
    <w:p w14:paraId="0D78B860" w14:textId="77777777" w:rsidR="00813B74" w:rsidRPr="00813B74" w:rsidRDefault="00813B74" w:rsidP="00813B74">
      <w:pPr>
        <w:overflowPunct w:val="0"/>
        <w:autoSpaceDE w:val="0"/>
        <w:autoSpaceDN w:val="0"/>
        <w:adjustRightInd w:val="0"/>
        <w:spacing w:after="0" w:line="240" w:lineRule="auto"/>
        <w:ind w:left="7"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vertAlign w:val="superscript"/>
          <w:lang w:eastAsia="pl-PL"/>
        </w:rPr>
        <w:t>*)</w:t>
      </w:r>
      <w:r w:rsidRPr="00813B74">
        <w:rPr>
          <w:rFonts w:ascii="Arial Narrow" w:eastAsia="Times New Roman" w:hAnsi="Arial Narrow" w:cs="Times New Roman"/>
          <w:sz w:val="20"/>
          <w:szCs w:val="20"/>
          <w:lang w:eastAsia="pl-PL"/>
        </w:rPr>
        <w:t xml:space="preserve"> Mieszankę 0/8 mm można stosować tylko dla ruchu KR1 i KR2 </w:t>
      </w:r>
    </w:p>
    <w:p w14:paraId="6B4604FA" w14:textId="77777777" w:rsidR="00813B74" w:rsidRPr="00813B74" w:rsidRDefault="00813B74" w:rsidP="00813B74">
      <w:pPr>
        <w:overflowPunct w:val="0"/>
        <w:autoSpaceDE w:val="0"/>
        <w:autoSpaceDN w:val="0"/>
        <w:adjustRightInd w:val="0"/>
        <w:spacing w:after="0" w:line="240" w:lineRule="auto"/>
        <w:ind w:left="7"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Tabela 7. Wymagania wobec mieszanek związanych cementem do warstwy mrozoochronnej </w:t>
      </w:r>
    </w:p>
    <w:tbl>
      <w:tblPr>
        <w:tblW w:w="7514" w:type="dxa"/>
        <w:tblInd w:w="794" w:type="dxa"/>
        <w:tblCellMar>
          <w:top w:w="53" w:type="dxa"/>
          <w:left w:w="106" w:type="dxa"/>
          <w:right w:w="115" w:type="dxa"/>
        </w:tblCellMar>
        <w:tblLook w:val="04A0" w:firstRow="1" w:lastRow="0" w:firstColumn="1" w:lastColumn="0" w:noHBand="0" w:noVBand="1"/>
      </w:tblPr>
      <w:tblGrid>
        <w:gridCol w:w="818"/>
        <w:gridCol w:w="3856"/>
        <w:gridCol w:w="2840"/>
      </w:tblGrid>
      <w:tr w:rsidR="00813B74" w:rsidRPr="00813B74" w14:paraId="11530D7C" w14:textId="77777777" w:rsidTr="0072451A">
        <w:trPr>
          <w:trHeight w:val="497"/>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7839DD4F"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Lp. </w:t>
            </w:r>
          </w:p>
        </w:tc>
        <w:tc>
          <w:tcPr>
            <w:tcW w:w="3855" w:type="dxa"/>
            <w:tcBorders>
              <w:top w:val="single" w:sz="4" w:space="0" w:color="000000"/>
              <w:left w:val="single" w:sz="4" w:space="0" w:color="000000"/>
              <w:bottom w:val="single" w:sz="4" w:space="0" w:color="000000"/>
              <w:right w:val="single" w:sz="4" w:space="0" w:color="000000"/>
            </w:tcBorders>
            <w:shd w:val="clear" w:color="auto" w:fill="auto"/>
          </w:tcPr>
          <w:p w14:paraId="5EEC0E84"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Właściwość </w:t>
            </w:r>
          </w:p>
        </w:tc>
        <w:tc>
          <w:tcPr>
            <w:tcW w:w="2840" w:type="dxa"/>
            <w:tcBorders>
              <w:top w:val="single" w:sz="4" w:space="0" w:color="000000"/>
              <w:left w:val="single" w:sz="4" w:space="0" w:color="000000"/>
              <w:bottom w:val="single" w:sz="4" w:space="0" w:color="000000"/>
              <w:right w:val="single" w:sz="4" w:space="0" w:color="000000"/>
            </w:tcBorders>
            <w:shd w:val="clear" w:color="auto" w:fill="auto"/>
          </w:tcPr>
          <w:p w14:paraId="20F5D0AC"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Wymagania dla ruchu  KR1 ÷ KR4 </w:t>
            </w:r>
          </w:p>
        </w:tc>
      </w:tr>
      <w:tr w:rsidR="00813B74" w:rsidRPr="00813B74" w14:paraId="2F68F4E1"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3A390DF6"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1.0 </w:t>
            </w:r>
          </w:p>
        </w:tc>
        <w:tc>
          <w:tcPr>
            <w:tcW w:w="3855" w:type="dxa"/>
            <w:tcBorders>
              <w:top w:val="single" w:sz="4" w:space="0" w:color="000000"/>
              <w:left w:val="single" w:sz="4" w:space="0" w:color="000000"/>
              <w:bottom w:val="single" w:sz="4" w:space="0" w:color="000000"/>
              <w:right w:val="single" w:sz="4" w:space="0" w:color="000000"/>
            </w:tcBorders>
            <w:shd w:val="clear" w:color="auto" w:fill="auto"/>
          </w:tcPr>
          <w:p w14:paraId="39D96DE2"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Składniki </w:t>
            </w:r>
          </w:p>
        </w:tc>
        <w:tc>
          <w:tcPr>
            <w:tcW w:w="2840" w:type="dxa"/>
            <w:tcBorders>
              <w:top w:val="single" w:sz="4" w:space="0" w:color="000000"/>
              <w:left w:val="single" w:sz="4" w:space="0" w:color="000000"/>
              <w:bottom w:val="single" w:sz="4" w:space="0" w:color="000000"/>
              <w:right w:val="single" w:sz="4" w:space="0" w:color="000000"/>
            </w:tcBorders>
            <w:shd w:val="clear" w:color="auto" w:fill="auto"/>
          </w:tcPr>
          <w:p w14:paraId="655956EF"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w:t>
            </w:r>
          </w:p>
        </w:tc>
      </w:tr>
      <w:tr w:rsidR="00813B74" w:rsidRPr="00813B74" w14:paraId="1D3FC8A3"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68871E59"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1.1 </w:t>
            </w:r>
          </w:p>
        </w:tc>
        <w:tc>
          <w:tcPr>
            <w:tcW w:w="3855" w:type="dxa"/>
            <w:tcBorders>
              <w:top w:val="single" w:sz="4" w:space="0" w:color="000000"/>
              <w:left w:val="single" w:sz="4" w:space="0" w:color="000000"/>
              <w:bottom w:val="single" w:sz="4" w:space="0" w:color="000000"/>
              <w:right w:val="single" w:sz="4" w:space="0" w:color="000000"/>
            </w:tcBorders>
            <w:shd w:val="clear" w:color="auto" w:fill="auto"/>
          </w:tcPr>
          <w:p w14:paraId="22A42888"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Cement </w:t>
            </w:r>
          </w:p>
        </w:tc>
        <w:tc>
          <w:tcPr>
            <w:tcW w:w="2840" w:type="dxa"/>
            <w:tcBorders>
              <w:top w:val="single" w:sz="4" w:space="0" w:color="000000"/>
              <w:left w:val="single" w:sz="4" w:space="0" w:color="000000"/>
              <w:bottom w:val="single" w:sz="4" w:space="0" w:color="000000"/>
              <w:right w:val="single" w:sz="4" w:space="0" w:color="000000"/>
            </w:tcBorders>
            <w:shd w:val="clear" w:color="auto" w:fill="auto"/>
          </w:tcPr>
          <w:p w14:paraId="0EB3A7FA"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p. 2.2.1 </w:t>
            </w:r>
          </w:p>
        </w:tc>
      </w:tr>
      <w:tr w:rsidR="00813B74" w:rsidRPr="00813B74" w14:paraId="3F94D863"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3300CC23"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1.2 </w:t>
            </w:r>
          </w:p>
        </w:tc>
        <w:tc>
          <w:tcPr>
            <w:tcW w:w="3855" w:type="dxa"/>
            <w:tcBorders>
              <w:top w:val="single" w:sz="4" w:space="0" w:color="000000"/>
              <w:left w:val="single" w:sz="4" w:space="0" w:color="000000"/>
              <w:bottom w:val="single" w:sz="4" w:space="0" w:color="000000"/>
              <w:right w:val="single" w:sz="4" w:space="0" w:color="000000"/>
            </w:tcBorders>
            <w:shd w:val="clear" w:color="auto" w:fill="auto"/>
          </w:tcPr>
          <w:p w14:paraId="40A43A06"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Kruszywo </w:t>
            </w:r>
          </w:p>
        </w:tc>
        <w:tc>
          <w:tcPr>
            <w:tcW w:w="2840" w:type="dxa"/>
            <w:tcBorders>
              <w:top w:val="single" w:sz="4" w:space="0" w:color="000000"/>
              <w:left w:val="single" w:sz="4" w:space="0" w:color="000000"/>
              <w:bottom w:val="single" w:sz="4" w:space="0" w:color="000000"/>
              <w:right w:val="single" w:sz="4" w:space="0" w:color="000000"/>
            </w:tcBorders>
            <w:shd w:val="clear" w:color="auto" w:fill="auto"/>
          </w:tcPr>
          <w:p w14:paraId="7752D3D0"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tabeli 1 </w:t>
            </w:r>
          </w:p>
        </w:tc>
      </w:tr>
      <w:tr w:rsidR="00813B74" w:rsidRPr="00813B74" w14:paraId="7BD8F5CA"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4C3E1153"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1.3 </w:t>
            </w:r>
          </w:p>
        </w:tc>
        <w:tc>
          <w:tcPr>
            <w:tcW w:w="3855" w:type="dxa"/>
            <w:tcBorders>
              <w:top w:val="single" w:sz="4" w:space="0" w:color="000000"/>
              <w:left w:val="single" w:sz="4" w:space="0" w:color="000000"/>
              <w:bottom w:val="single" w:sz="4" w:space="0" w:color="000000"/>
              <w:right w:val="single" w:sz="4" w:space="0" w:color="000000"/>
            </w:tcBorders>
            <w:shd w:val="clear" w:color="auto" w:fill="auto"/>
          </w:tcPr>
          <w:p w14:paraId="042B824F"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Woda zarobowa </w:t>
            </w:r>
          </w:p>
        </w:tc>
        <w:tc>
          <w:tcPr>
            <w:tcW w:w="2840" w:type="dxa"/>
            <w:tcBorders>
              <w:top w:val="single" w:sz="4" w:space="0" w:color="000000"/>
              <w:left w:val="single" w:sz="4" w:space="0" w:color="000000"/>
              <w:bottom w:val="single" w:sz="4" w:space="0" w:color="000000"/>
              <w:right w:val="single" w:sz="4" w:space="0" w:color="000000"/>
            </w:tcBorders>
            <w:shd w:val="clear" w:color="auto" w:fill="auto"/>
          </w:tcPr>
          <w:p w14:paraId="1432CC6C"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p. 2.2.2 </w:t>
            </w:r>
          </w:p>
        </w:tc>
      </w:tr>
      <w:tr w:rsidR="00813B74" w:rsidRPr="00813B74" w14:paraId="2639C844"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4D5A4D2E"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1.4 </w:t>
            </w:r>
          </w:p>
        </w:tc>
        <w:tc>
          <w:tcPr>
            <w:tcW w:w="3855" w:type="dxa"/>
            <w:tcBorders>
              <w:top w:val="single" w:sz="4" w:space="0" w:color="000000"/>
              <w:left w:val="single" w:sz="4" w:space="0" w:color="000000"/>
              <w:bottom w:val="single" w:sz="4" w:space="0" w:color="000000"/>
              <w:right w:val="single" w:sz="4" w:space="0" w:color="000000"/>
            </w:tcBorders>
            <w:shd w:val="clear" w:color="auto" w:fill="auto"/>
          </w:tcPr>
          <w:p w14:paraId="1C4FAEDC"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Dodatki i domieszki </w:t>
            </w:r>
          </w:p>
        </w:tc>
        <w:tc>
          <w:tcPr>
            <w:tcW w:w="2840" w:type="dxa"/>
            <w:tcBorders>
              <w:top w:val="single" w:sz="4" w:space="0" w:color="000000"/>
              <w:left w:val="single" w:sz="4" w:space="0" w:color="000000"/>
              <w:bottom w:val="single" w:sz="4" w:space="0" w:color="000000"/>
              <w:right w:val="single" w:sz="4" w:space="0" w:color="000000"/>
            </w:tcBorders>
            <w:shd w:val="clear" w:color="auto" w:fill="auto"/>
          </w:tcPr>
          <w:p w14:paraId="37F3FCE6"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p. 2.2.3 i p. 2.2.4 </w:t>
            </w:r>
          </w:p>
        </w:tc>
      </w:tr>
      <w:tr w:rsidR="00813B74" w:rsidRPr="00813B74" w14:paraId="2798731A"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11C4A1D6"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2.0 </w:t>
            </w:r>
          </w:p>
        </w:tc>
        <w:tc>
          <w:tcPr>
            <w:tcW w:w="3855" w:type="dxa"/>
            <w:tcBorders>
              <w:top w:val="single" w:sz="4" w:space="0" w:color="000000"/>
              <w:left w:val="single" w:sz="4" w:space="0" w:color="000000"/>
              <w:bottom w:val="single" w:sz="4" w:space="0" w:color="000000"/>
              <w:right w:val="single" w:sz="4" w:space="0" w:color="000000"/>
            </w:tcBorders>
            <w:shd w:val="clear" w:color="auto" w:fill="auto"/>
          </w:tcPr>
          <w:p w14:paraId="3F814D02"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Mieszanka </w:t>
            </w:r>
          </w:p>
        </w:tc>
        <w:tc>
          <w:tcPr>
            <w:tcW w:w="2840" w:type="dxa"/>
            <w:tcBorders>
              <w:top w:val="single" w:sz="4" w:space="0" w:color="000000"/>
              <w:left w:val="single" w:sz="4" w:space="0" w:color="000000"/>
              <w:bottom w:val="single" w:sz="4" w:space="0" w:color="000000"/>
              <w:right w:val="single" w:sz="4" w:space="0" w:color="000000"/>
            </w:tcBorders>
            <w:shd w:val="clear" w:color="auto" w:fill="auto"/>
          </w:tcPr>
          <w:p w14:paraId="5E741D64"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w:t>
            </w:r>
          </w:p>
        </w:tc>
      </w:tr>
      <w:tr w:rsidR="00813B74" w:rsidRPr="00813B74" w14:paraId="280415F5"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1E8463E5"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2.1 </w:t>
            </w:r>
          </w:p>
        </w:tc>
        <w:tc>
          <w:tcPr>
            <w:tcW w:w="3855" w:type="dxa"/>
            <w:tcBorders>
              <w:top w:val="single" w:sz="4" w:space="0" w:color="000000"/>
              <w:left w:val="single" w:sz="4" w:space="0" w:color="000000"/>
              <w:bottom w:val="single" w:sz="4" w:space="0" w:color="000000"/>
              <w:right w:val="single" w:sz="4" w:space="0" w:color="000000"/>
            </w:tcBorders>
            <w:shd w:val="clear" w:color="auto" w:fill="auto"/>
          </w:tcPr>
          <w:p w14:paraId="57F90B8D"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Uziarnienie: </w:t>
            </w:r>
          </w:p>
        </w:tc>
        <w:tc>
          <w:tcPr>
            <w:tcW w:w="2840" w:type="dxa"/>
            <w:tcBorders>
              <w:top w:val="single" w:sz="4" w:space="0" w:color="000000"/>
              <w:left w:val="single" w:sz="4" w:space="0" w:color="000000"/>
              <w:bottom w:val="single" w:sz="4" w:space="0" w:color="000000"/>
              <w:right w:val="single" w:sz="4" w:space="0" w:color="000000"/>
            </w:tcBorders>
            <w:shd w:val="clear" w:color="auto" w:fill="auto"/>
          </w:tcPr>
          <w:p w14:paraId="083D0561"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krzywe graniczne </w:t>
            </w:r>
          </w:p>
        </w:tc>
      </w:tr>
      <w:tr w:rsidR="00813B74" w:rsidRPr="00813B74" w14:paraId="00A4ACD8"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3FCB28ED"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w:t>
            </w:r>
          </w:p>
        </w:tc>
        <w:tc>
          <w:tcPr>
            <w:tcW w:w="3855" w:type="dxa"/>
            <w:tcBorders>
              <w:top w:val="single" w:sz="4" w:space="0" w:color="000000"/>
              <w:left w:val="single" w:sz="4" w:space="0" w:color="000000"/>
              <w:bottom w:val="single" w:sz="4" w:space="0" w:color="000000"/>
              <w:right w:val="single" w:sz="4" w:space="0" w:color="000000"/>
            </w:tcBorders>
            <w:shd w:val="clear" w:color="auto" w:fill="auto"/>
          </w:tcPr>
          <w:p w14:paraId="6FEDEC87"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mieszanka 0/8 mm</w:t>
            </w:r>
            <w:r w:rsidRPr="00813B74">
              <w:rPr>
                <w:rFonts w:ascii="Arial Narrow" w:eastAsia="Times New Roman" w:hAnsi="Arial Narrow" w:cs="Times New Roman"/>
                <w:vertAlign w:val="superscript"/>
                <w:lang w:eastAsia="pl-PL"/>
              </w:rPr>
              <w:t>*)</w:t>
            </w:r>
            <w:r w:rsidRPr="00813B74">
              <w:rPr>
                <w:rFonts w:ascii="Arial Narrow" w:eastAsia="Times New Roman" w:hAnsi="Arial Narrow" w:cs="Times New Roman"/>
                <w:lang w:eastAsia="pl-PL"/>
              </w:rPr>
              <w:t xml:space="preserve"> </w:t>
            </w:r>
          </w:p>
        </w:tc>
        <w:tc>
          <w:tcPr>
            <w:tcW w:w="2840" w:type="dxa"/>
            <w:tcBorders>
              <w:top w:val="single" w:sz="4" w:space="0" w:color="000000"/>
              <w:left w:val="single" w:sz="4" w:space="0" w:color="000000"/>
              <w:bottom w:val="single" w:sz="4" w:space="0" w:color="000000"/>
              <w:right w:val="single" w:sz="4" w:space="0" w:color="000000"/>
            </w:tcBorders>
            <w:shd w:val="clear" w:color="auto" w:fill="auto"/>
          </w:tcPr>
          <w:p w14:paraId="1597EE7B"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wg rys. 5</w:t>
            </w:r>
            <w:r w:rsidRPr="00813B74">
              <w:rPr>
                <w:rFonts w:ascii="Arial Narrow" w:eastAsia="Times New Roman" w:hAnsi="Arial Narrow" w:cs="Times New Roman"/>
                <w:vertAlign w:val="superscript"/>
                <w:lang w:eastAsia="pl-PL"/>
              </w:rPr>
              <w:t xml:space="preserve"> </w:t>
            </w:r>
          </w:p>
        </w:tc>
      </w:tr>
      <w:tr w:rsidR="00813B74" w:rsidRPr="00813B74" w14:paraId="78AD0539"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48878ADF"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w:t>
            </w:r>
          </w:p>
        </w:tc>
        <w:tc>
          <w:tcPr>
            <w:tcW w:w="3855" w:type="dxa"/>
            <w:tcBorders>
              <w:top w:val="single" w:sz="4" w:space="0" w:color="000000"/>
              <w:left w:val="single" w:sz="4" w:space="0" w:color="000000"/>
              <w:bottom w:val="single" w:sz="4" w:space="0" w:color="000000"/>
              <w:right w:val="single" w:sz="4" w:space="0" w:color="000000"/>
            </w:tcBorders>
            <w:shd w:val="clear" w:color="auto" w:fill="auto"/>
          </w:tcPr>
          <w:p w14:paraId="12E773E4"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mieszanka 0/11,2 mm </w:t>
            </w:r>
          </w:p>
        </w:tc>
        <w:tc>
          <w:tcPr>
            <w:tcW w:w="2840" w:type="dxa"/>
            <w:tcBorders>
              <w:top w:val="single" w:sz="4" w:space="0" w:color="000000"/>
              <w:left w:val="single" w:sz="4" w:space="0" w:color="000000"/>
              <w:bottom w:val="single" w:sz="4" w:space="0" w:color="000000"/>
              <w:right w:val="single" w:sz="4" w:space="0" w:color="000000"/>
            </w:tcBorders>
            <w:shd w:val="clear" w:color="auto" w:fill="auto"/>
          </w:tcPr>
          <w:p w14:paraId="5455BFD4"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rys. 4 </w:t>
            </w:r>
          </w:p>
        </w:tc>
      </w:tr>
      <w:tr w:rsidR="00813B74" w:rsidRPr="00813B74" w14:paraId="0ABE34FD"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20AE5A6A"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w:t>
            </w:r>
          </w:p>
        </w:tc>
        <w:tc>
          <w:tcPr>
            <w:tcW w:w="3855" w:type="dxa"/>
            <w:tcBorders>
              <w:top w:val="single" w:sz="4" w:space="0" w:color="000000"/>
              <w:left w:val="single" w:sz="4" w:space="0" w:color="000000"/>
              <w:bottom w:val="single" w:sz="4" w:space="0" w:color="000000"/>
              <w:right w:val="single" w:sz="4" w:space="0" w:color="000000"/>
            </w:tcBorders>
            <w:shd w:val="clear" w:color="auto" w:fill="auto"/>
          </w:tcPr>
          <w:p w14:paraId="5BCF4DFA"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mieszanka 0/16 mm </w:t>
            </w:r>
          </w:p>
        </w:tc>
        <w:tc>
          <w:tcPr>
            <w:tcW w:w="2840" w:type="dxa"/>
            <w:tcBorders>
              <w:top w:val="single" w:sz="4" w:space="0" w:color="000000"/>
              <w:left w:val="single" w:sz="4" w:space="0" w:color="000000"/>
              <w:bottom w:val="single" w:sz="4" w:space="0" w:color="000000"/>
              <w:right w:val="single" w:sz="4" w:space="0" w:color="000000"/>
            </w:tcBorders>
            <w:shd w:val="clear" w:color="auto" w:fill="auto"/>
          </w:tcPr>
          <w:p w14:paraId="3AEF55E0"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rys. 3 </w:t>
            </w:r>
          </w:p>
        </w:tc>
      </w:tr>
      <w:tr w:rsidR="00813B74" w:rsidRPr="00813B74" w14:paraId="39F5DC36" w14:textId="77777777" w:rsidTr="0072451A">
        <w:trPr>
          <w:trHeight w:val="253"/>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3E0393BE"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w:t>
            </w:r>
          </w:p>
        </w:tc>
        <w:tc>
          <w:tcPr>
            <w:tcW w:w="3855" w:type="dxa"/>
            <w:tcBorders>
              <w:top w:val="single" w:sz="4" w:space="0" w:color="000000"/>
              <w:left w:val="single" w:sz="4" w:space="0" w:color="000000"/>
              <w:bottom w:val="single" w:sz="4" w:space="0" w:color="000000"/>
              <w:right w:val="single" w:sz="4" w:space="0" w:color="000000"/>
            </w:tcBorders>
            <w:shd w:val="clear" w:color="auto" w:fill="auto"/>
          </w:tcPr>
          <w:p w14:paraId="2A47C4F4"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mieszanka 0/22,4 mm </w:t>
            </w:r>
          </w:p>
        </w:tc>
        <w:tc>
          <w:tcPr>
            <w:tcW w:w="2840" w:type="dxa"/>
            <w:tcBorders>
              <w:top w:val="single" w:sz="4" w:space="0" w:color="000000"/>
              <w:left w:val="single" w:sz="4" w:space="0" w:color="000000"/>
              <w:bottom w:val="single" w:sz="4" w:space="0" w:color="000000"/>
              <w:right w:val="single" w:sz="4" w:space="0" w:color="000000"/>
            </w:tcBorders>
            <w:shd w:val="clear" w:color="auto" w:fill="auto"/>
          </w:tcPr>
          <w:p w14:paraId="1E5B91D2"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rys. 2 </w:t>
            </w:r>
          </w:p>
        </w:tc>
      </w:tr>
      <w:tr w:rsidR="00813B74" w:rsidRPr="00813B74" w14:paraId="67A7D5AF"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280DE2EE"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w:t>
            </w:r>
          </w:p>
        </w:tc>
        <w:tc>
          <w:tcPr>
            <w:tcW w:w="3855" w:type="dxa"/>
            <w:tcBorders>
              <w:top w:val="single" w:sz="4" w:space="0" w:color="000000"/>
              <w:left w:val="single" w:sz="4" w:space="0" w:color="000000"/>
              <w:bottom w:val="single" w:sz="4" w:space="0" w:color="000000"/>
              <w:right w:val="single" w:sz="4" w:space="0" w:color="000000"/>
            </w:tcBorders>
            <w:shd w:val="clear" w:color="auto" w:fill="auto"/>
          </w:tcPr>
          <w:p w14:paraId="37C779BC"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 mieszanka 0/31,5 mm </w:t>
            </w:r>
          </w:p>
        </w:tc>
        <w:tc>
          <w:tcPr>
            <w:tcW w:w="2840" w:type="dxa"/>
            <w:tcBorders>
              <w:top w:val="single" w:sz="4" w:space="0" w:color="000000"/>
              <w:left w:val="single" w:sz="4" w:space="0" w:color="000000"/>
              <w:bottom w:val="single" w:sz="4" w:space="0" w:color="000000"/>
              <w:right w:val="single" w:sz="4" w:space="0" w:color="000000"/>
            </w:tcBorders>
            <w:shd w:val="clear" w:color="auto" w:fill="auto"/>
          </w:tcPr>
          <w:p w14:paraId="7A9600C1"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rys. 1 </w:t>
            </w:r>
          </w:p>
        </w:tc>
      </w:tr>
      <w:tr w:rsidR="00813B74" w:rsidRPr="00813B74" w14:paraId="4CAF1298" w14:textId="77777777" w:rsidTr="0072451A">
        <w:trPr>
          <w:trHeight w:val="254"/>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2CBD983B"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2.2 </w:t>
            </w:r>
          </w:p>
        </w:tc>
        <w:tc>
          <w:tcPr>
            <w:tcW w:w="3855" w:type="dxa"/>
            <w:tcBorders>
              <w:top w:val="single" w:sz="4" w:space="0" w:color="000000"/>
              <w:left w:val="single" w:sz="4" w:space="0" w:color="000000"/>
              <w:bottom w:val="single" w:sz="4" w:space="0" w:color="000000"/>
              <w:right w:val="single" w:sz="4" w:space="0" w:color="000000"/>
            </w:tcBorders>
            <w:shd w:val="clear" w:color="auto" w:fill="auto"/>
          </w:tcPr>
          <w:p w14:paraId="0085DA5E"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Minimalna zawartość cementu </w:t>
            </w:r>
          </w:p>
        </w:tc>
        <w:tc>
          <w:tcPr>
            <w:tcW w:w="2840" w:type="dxa"/>
            <w:tcBorders>
              <w:top w:val="single" w:sz="4" w:space="0" w:color="000000"/>
              <w:left w:val="single" w:sz="4" w:space="0" w:color="000000"/>
              <w:bottom w:val="single" w:sz="4" w:space="0" w:color="000000"/>
              <w:right w:val="single" w:sz="4" w:space="0" w:color="000000"/>
            </w:tcBorders>
            <w:shd w:val="clear" w:color="auto" w:fill="auto"/>
          </w:tcPr>
          <w:p w14:paraId="2A16EDD7"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tablicy 2 </w:t>
            </w:r>
          </w:p>
        </w:tc>
      </w:tr>
      <w:tr w:rsidR="00813B74" w:rsidRPr="00813B74" w14:paraId="44119D6A" w14:textId="77777777" w:rsidTr="0072451A">
        <w:trPr>
          <w:trHeight w:val="252"/>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73692D1E"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2.3 </w:t>
            </w:r>
          </w:p>
        </w:tc>
        <w:tc>
          <w:tcPr>
            <w:tcW w:w="3855" w:type="dxa"/>
            <w:tcBorders>
              <w:top w:val="single" w:sz="4" w:space="0" w:color="000000"/>
              <w:left w:val="single" w:sz="4" w:space="0" w:color="000000"/>
              <w:bottom w:val="single" w:sz="4" w:space="0" w:color="000000"/>
              <w:right w:val="single" w:sz="4" w:space="0" w:color="000000"/>
            </w:tcBorders>
            <w:shd w:val="clear" w:color="auto" w:fill="auto"/>
          </w:tcPr>
          <w:p w14:paraId="24F4BC9B"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Zawartość wody </w:t>
            </w:r>
          </w:p>
        </w:tc>
        <w:tc>
          <w:tcPr>
            <w:tcW w:w="2840" w:type="dxa"/>
            <w:tcBorders>
              <w:top w:val="single" w:sz="4" w:space="0" w:color="000000"/>
              <w:left w:val="single" w:sz="4" w:space="0" w:color="000000"/>
              <w:bottom w:val="single" w:sz="4" w:space="0" w:color="000000"/>
              <w:right w:val="single" w:sz="4" w:space="0" w:color="000000"/>
            </w:tcBorders>
            <w:shd w:val="clear" w:color="auto" w:fill="auto"/>
          </w:tcPr>
          <w:p w14:paraId="5BF43E94"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wg projektu mieszanki </w:t>
            </w:r>
          </w:p>
        </w:tc>
      </w:tr>
      <w:tr w:rsidR="00813B74" w:rsidRPr="00813B74" w14:paraId="0C3D06C3" w14:textId="77777777" w:rsidTr="0072451A">
        <w:trPr>
          <w:trHeight w:val="497"/>
        </w:trPr>
        <w:tc>
          <w:tcPr>
            <w:tcW w:w="818" w:type="dxa"/>
            <w:tcBorders>
              <w:top w:val="single" w:sz="4" w:space="0" w:color="000000"/>
              <w:left w:val="single" w:sz="4" w:space="0" w:color="000000"/>
              <w:bottom w:val="single" w:sz="4" w:space="0" w:color="000000"/>
              <w:right w:val="single" w:sz="4" w:space="0" w:color="000000"/>
            </w:tcBorders>
            <w:shd w:val="clear" w:color="auto" w:fill="auto"/>
          </w:tcPr>
          <w:p w14:paraId="72D0C9B1"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2.4 </w:t>
            </w:r>
          </w:p>
        </w:tc>
        <w:tc>
          <w:tcPr>
            <w:tcW w:w="3855" w:type="dxa"/>
            <w:tcBorders>
              <w:top w:val="single" w:sz="4" w:space="0" w:color="000000"/>
              <w:left w:val="single" w:sz="4" w:space="0" w:color="000000"/>
              <w:bottom w:val="single" w:sz="4" w:space="0" w:color="000000"/>
              <w:right w:val="single" w:sz="4" w:space="0" w:color="000000"/>
            </w:tcBorders>
            <w:shd w:val="clear" w:color="auto" w:fill="auto"/>
          </w:tcPr>
          <w:p w14:paraId="4ED67181"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Wytrzymałość na ściskanie  </w:t>
            </w:r>
          </w:p>
        </w:tc>
        <w:tc>
          <w:tcPr>
            <w:tcW w:w="2840" w:type="dxa"/>
            <w:tcBorders>
              <w:top w:val="single" w:sz="4" w:space="0" w:color="000000"/>
              <w:left w:val="single" w:sz="4" w:space="0" w:color="000000"/>
              <w:bottom w:val="single" w:sz="4" w:space="0" w:color="000000"/>
              <w:right w:val="single" w:sz="4" w:space="0" w:color="000000"/>
            </w:tcBorders>
            <w:shd w:val="clear" w:color="auto" w:fill="auto"/>
          </w:tcPr>
          <w:p w14:paraId="13CD326A"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klasa C</w:t>
            </w:r>
            <w:r w:rsidRPr="00813B74">
              <w:rPr>
                <w:rFonts w:ascii="Arial Narrow" w:eastAsia="Times New Roman" w:hAnsi="Arial Narrow" w:cs="Times New Roman"/>
                <w:sz w:val="13"/>
                <w:lang w:eastAsia="pl-PL"/>
              </w:rPr>
              <w:t>1,5/2</w:t>
            </w:r>
            <w:r w:rsidRPr="00813B74">
              <w:rPr>
                <w:rFonts w:ascii="Arial Narrow" w:eastAsia="Times New Roman" w:hAnsi="Arial Narrow" w:cs="Times New Roman"/>
                <w:lang w:eastAsia="pl-PL"/>
              </w:rPr>
              <w:t xml:space="preserve"> </w:t>
            </w:r>
          </w:p>
          <w:p w14:paraId="4213CA19"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(nie więcej niż 4,0 MPa) </w:t>
            </w:r>
          </w:p>
        </w:tc>
      </w:tr>
    </w:tbl>
    <w:p w14:paraId="1C392CFA" w14:textId="77777777" w:rsidR="00813B74" w:rsidRPr="00813B74" w:rsidRDefault="00813B74" w:rsidP="00813B74">
      <w:pPr>
        <w:overflowPunct w:val="0"/>
        <w:autoSpaceDE w:val="0"/>
        <w:autoSpaceDN w:val="0"/>
        <w:adjustRightInd w:val="0"/>
        <w:spacing w:after="212" w:line="240" w:lineRule="auto"/>
        <w:ind w:left="7"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vertAlign w:val="superscript"/>
          <w:lang w:eastAsia="pl-PL"/>
        </w:rPr>
        <w:t xml:space="preserve">*) </w:t>
      </w:r>
      <w:r w:rsidRPr="00813B74">
        <w:rPr>
          <w:rFonts w:ascii="Arial Narrow" w:eastAsia="Times New Roman" w:hAnsi="Arial Narrow" w:cs="Times New Roman"/>
          <w:sz w:val="20"/>
          <w:szCs w:val="20"/>
          <w:lang w:eastAsia="pl-PL"/>
        </w:rPr>
        <w:t>Mieszankę 0/8 mm można stosować tylko dla ruchu KR1 i KR2</w:t>
      </w:r>
      <w:r w:rsidRPr="00813B74">
        <w:rPr>
          <w:rFonts w:ascii="Arial Narrow" w:eastAsia="Times New Roman" w:hAnsi="Arial Narrow" w:cs="Times New Roman"/>
          <w:sz w:val="20"/>
          <w:szCs w:val="20"/>
          <w:vertAlign w:val="superscript"/>
          <w:lang w:eastAsia="pl-PL"/>
        </w:rPr>
        <w:t xml:space="preserve"> </w:t>
      </w:r>
    </w:p>
    <w:p w14:paraId="587F26E5"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40" w:name="_Toc49127"/>
      <w:r w:rsidRPr="00813B74">
        <w:rPr>
          <w:rFonts w:ascii="Arial Narrow" w:eastAsia="Times New Roman" w:hAnsi="Arial Narrow" w:cs="Times New Roman"/>
          <w:b/>
          <w:sz w:val="28"/>
          <w:szCs w:val="20"/>
          <w:lang w:val="x-none" w:eastAsia="x-none"/>
        </w:rPr>
        <w:t>5.</w:t>
      </w:r>
      <w:r w:rsidRPr="00813B74">
        <w:rPr>
          <w:rFonts w:ascii="Arial Narrow" w:eastAsia="Times New Roman" w:hAnsi="Arial Narrow" w:cs="Times New Roman"/>
          <w:b/>
          <w:sz w:val="28"/>
          <w:szCs w:val="20"/>
          <w:lang w:eastAsia="x-none"/>
        </w:rPr>
        <w:t>6</w:t>
      </w:r>
      <w:r w:rsidRPr="00813B74">
        <w:rPr>
          <w:rFonts w:ascii="Arial Narrow" w:eastAsia="Times New Roman" w:hAnsi="Arial Narrow" w:cs="Times New Roman"/>
          <w:b/>
          <w:sz w:val="28"/>
          <w:szCs w:val="20"/>
          <w:lang w:val="x-none" w:eastAsia="x-none"/>
        </w:rPr>
        <w:t>.</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Warunki przystąpienia do robót i przygotowanie podłoża </w:t>
      </w:r>
      <w:bookmarkEnd w:id="640"/>
    </w:p>
    <w:p w14:paraId="21040240"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Podbudowa lub warstwa mrozoochronna z mieszanek związanych cementem nie powinny być wykonywane, gdy temperatura powietrza jest niższa od +5</w:t>
      </w:r>
      <w:r w:rsidRPr="00813B74">
        <w:rPr>
          <w:rFonts w:ascii="Arial Narrow" w:eastAsia="Times New Roman" w:hAnsi="Arial Narrow" w:cs="Times New Roman"/>
          <w:sz w:val="20"/>
          <w:szCs w:val="20"/>
          <w:vertAlign w:val="superscript"/>
          <w:lang w:eastAsia="pl-PL"/>
        </w:rPr>
        <w:t>o</w:t>
      </w:r>
      <w:r w:rsidRPr="00813B74">
        <w:rPr>
          <w:rFonts w:ascii="Arial Narrow" w:eastAsia="Times New Roman" w:hAnsi="Arial Narrow" w:cs="Times New Roman"/>
          <w:sz w:val="20"/>
          <w:szCs w:val="20"/>
          <w:lang w:eastAsia="pl-PL"/>
        </w:rPr>
        <w:t xml:space="preserve">C oraz gdy podłoże jest zamarznięte. </w:t>
      </w:r>
    </w:p>
    <w:p w14:paraId="31D709AC"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Podłoże pod mieszankę powinno być przygotowane zgodnie z wymaganiami określonymi w dokumentacji projektowej i odpowiednimi STWiORB. </w:t>
      </w:r>
      <w:r w:rsidRPr="00813B74">
        <w:rPr>
          <w:rFonts w:ascii="Arial Narrow" w:eastAsia="Times New Roman" w:hAnsi="Arial Narrow" w:cs="Times New Roman"/>
          <w:color w:val="FF0000"/>
          <w:sz w:val="20"/>
          <w:szCs w:val="20"/>
          <w:lang w:eastAsia="pl-PL"/>
        </w:rPr>
        <w:t xml:space="preserve"> </w:t>
      </w:r>
    </w:p>
    <w:p w14:paraId="219ADCB5"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Jeśli warstwa mieszanki kruszywa ma być układana w prowadnicach, to należy je ustawić na podłożu tak, aby wyznaczały ściśle linie krawędzi układanej warstwy według dokumentacji projektowej. Wysokość prowadnic powinna odpowiadać grubości warstwy mieszanki kruszywa w stanie niezagęszczonym. Prowadnice powinny być ustawione stabilnie, w sposób wykluczający ich przesuwanie się pod wpływem oddziaływania maszyn użytych do wykonania warstwy. Od użycia prowadnic można odstąpić przy zastosowaniu technologii gwarantującej odpowiednią równość warstwy, po uzyskaniu zgody Inżyniera/Inspektora Nadzoru. </w:t>
      </w:r>
    </w:p>
    <w:p w14:paraId="4D11E1B2"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Jeżeli podłoże wykazuje jakiekolwiek wady to powinny być one usunięte według zasad akceptowanych przez Inżyniera/Inspektora Nadzoru. </w:t>
      </w:r>
    </w:p>
    <w:p w14:paraId="420C509E"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Warstwa powinna być wytyczona w sposób umożliwiający jej wykonanie zgodnie z Dokumentacją Projektową lub według zaleceń Inżyniera/Inspektora Nadzoru z tolerancjami określonymi w niniejszych STWiORB. </w:t>
      </w:r>
    </w:p>
    <w:p w14:paraId="6D7D86E7"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Paliki lub szpilki do kontroli ukształtowania warstw powinny być wcześniej odpowiednio zamocowane i utrzymywane w czasie robót przez Wykonawcę. Rozmieszczenie palików lub szpilek powinno umożliwiać naciągnięcie sznurków lub linek do wytyczenia robót i nie powinno być większe, niż co 10 m. </w:t>
      </w:r>
    </w:p>
    <w:p w14:paraId="03AD2D07" w14:textId="77777777" w:rsidR="00813B74" w:rsidRPr="00813B74" w:rsidRDefault="00813B74" w:rsidP="00813B74">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641" w:name="_Toc49128"/>
      <w:r w:rsidRPr="00813B74">
        <w:rPr>
          <w:rFonts w:ascii="Arial Narrow" w:eastAsia="Times New Roman" w:hAnsi="Arial Narrow" w:cs="Times New Roman"/>
          <w:b/>
          <w:sz w:val="28"/>
          <w:szCs w:val="20"/>
          <w:lang w:val="x-none" w:eastAsia="x-none"/>
        </w:rPr>
        <w:t>5.</w:t>
      </w:r>
      <w:r w:rsidRPr="00813B74">
        <w:rPr>
          <w:rFonts w:ascii="Arial Narrow" w:eastAsia="Times New Roman" w:hAnsi="Arial Narrow" w:cs="Times New Roman"/>
          <w:b/>
          <w:sz w:val="28"/>
          <w:szCs w:val="20"/>
          <w:lang w:eastAsia="x-none"/>
        </w:rPr>
        <w:t>7</w:t>
      </w:r>
      <w:r w:rsidRPr="00813B74">
        <w:rPr>
          <w:rFonts w:ascii="Arial Narrow" w:eastAsia="Times New Roman" w:hAnsi="Arial Narrow" w:cs="Times New Roman"/>
          <w:b/>
          <w:sz w:val="28"/>
          <w:szCs w:val="20"/>
          <w:lang w:val="x-none" w:eastAsia="x-none"/>
        </w:rPr>
        <w:t>.</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Wytwarzanie i wbudowanie mieszanki </w:t>
      </w:r>
      <w:bookmarkEnd w:id="641"/>
    </w:p>
    <w:p w14:paraId="25A5289B"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Mieszankę kruszywa związanego cementem o ściśle określonym składzie zawartym w recepcie laboratoryjnej należy wytwarzać w  wytwórniach (mieszarkach) stacjonarnych lub mobilnych zapewniających ciągłość produkcji i gwarantujących otrzymanie jednorodnej mieszanki. Mieszarka powinna być wyposażona w urządzenia do wagowego dozowania kruszywa i cementu oraz objętościowego dozowania wody. </w:t>
      </w:r>
    </w:p>
    <w:p w14:paraId="4C138B97" w14:textId="77777777" w:rsidR="00813B74" w:rsidRPr="00813B74" w:rsidRDefault="00813B74" w:rsidP="00813B74">
      <w:pPr>
        <w:overflowPunct w:val="0"/>
        <w:autoSpaceDE w:val="0"/>
        <w:autoSpaceDN w:val="0"/>
        <w:adjustRightInd w:val="0"/>
        <w:spacing w:after="0" w:line="240" w:lineRule="auto"/>
        <w:ind w:left="7"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Przy produkcji mieszanek należy prowadzić kontrolę produkcji zgodnie z  PN-EN 14227–1: 2013 Załącznik B. </w:t>
      </w:r>
    </w:p>
    <w:p w14:paraId="24DEEC0F"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Mieszanka po wyprodukowaniu powinna być od razu transportowana na miejsce wbudowania, w sposób zabezpieczony przed segregacją i nadmiernym wysychaniem. </w:t>
      </w:r>
    </w:p>
    <w:p w14:paraId="1712CAE0"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Mieszanka dowieziona z wytwórni powinna być układana przy pomocy układarek lub równiarek. Grubość układania mieszanki powinna zapewniać uzyskanie wymaganej grubości warstwy po zagęszczeniu. Warstwę można wykonać o grubości np. 20 cm po zagęszczeniu. Gdy wymagana jest większa grubość, to do układania drugiej warstwy można przystąpić po odbiorze pierwszej warstwy przez Inżyniera/Inspektora Nadzoru. Przy układaniu mieszanki za pomocą równiarek konieczne jest stosowanie prowadnic. </w:t>
      </w:r>
    </w:p>
    <w:p w14:paraId="46FDBB88"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lastRenderedPageBreak/>
        <w:t xml:space="preserve"> Przed zagęszczeniem warstwa powinna być wyprofilowana do wymaganych rzędnych, spadków podłużnych i poprzecznych. Natychmiast po wyprofilowaniu mieszanki należy rozpocząć jej zagęszczanie, które należy kontynuować do osiągnięcia wskaźnika zagęszczenia nie mniejszego od 1,00 maksymalnego zagęszczenia określonego według normalnej próby Proctora. Wartość maksymalnej gęstości objętościowej mieszanki CBGM powinna być określona na etapie projektowania mieszanki w celu przyrównywania do gęstości objętościowej szkieletu CBGM z warstwy. Zagęszczenie powinno być zakończone przed rozpoczęciem czasu wiązania cementu. Specjalną uwagę należy poświęcić zagęszczeniu mieszanki w sąsiedztwie spoin roboczych podłużnych i poprzecznych oraz wszelkich urządzeń obcych. Zaleca się aby Wykonawca organizował roboty w sposób unikający podłużnych spoin roboczych.  Jeśli jednak w dolnej warstwie podbudowy występują spoiny robocze, to spoiny w górnej warstwie podbudowy powinny być względem nich przesunięte o co najmniej 30 cm dla spoiny podłużnej i 1 m dla spoiny poprzecznej. </w:t>
      </w:r>
    </w:p>
    <w:p w14:paraId="0F10272D" w14:textId="77777777" w:rsidR="00813B74" w:rsidRPr="00813B74" w:rsidRDefault="00813B74" w:rsidP="00813B74">
      <w:pPr>
        <w:overflowPunct w:val="0"/>
        <w:autoSpaceDE w:val="0"/>
        <w:autoSpaceDN w:val="0"/>
        <w:adjustRightInd w:val="0"/>
        <w:spacing w:after="0" w:line="240" w:lineRule="auto"/>
        <w:ind w:left="7"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Oceny zagęszczenia dokonuje się bezpośrednio po zagęszczeniu na podstawie wskaźnika zagęszczenia I</w:t>
      </w:r>
      <w:r w:rsidRPr="00813B74">
        <w:rPr>
          <w:rFonts w:ascii="Arial Narrow" w:eastAsia="Times New Roman" w:hAnsi="Arial Narrow" w:cs="Times New Roman"/>
          <w:sz w:val="20"/>
          <w:szCs w:val="20"/>
          <w:vertAlign w:val="subscript"/>
          <w:lang w:eastAsia="pl-PL"/>
        </w:rPr>
        <w:t>s</w:t>
      </w:r>
      <w:r w:rsidRPr="00813B74">
        <w:rPr>
          <w:rFonts w:ascii="Arial Narrow" w:eastAsia="Times New Roman" w:hAnsi="Arial Narrow" w:cs="Times New Roman"/>
          <w:sz w:val="20"/>
          <w:szCs w:val="20"/>
          <w:lang w:eastAsia="pl-PL"/>
        </w:rPr>
        <w:t xml:space="preserve">.  </w:t>
      </w:r>
    </w:p>
    <w:p w14:paraId="79BBA9DC"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W przypadku nawierzchni półsztywnych należy wykonać szczeliny w warstwie podbudowy, zgodnie z KTKNPiP. Nie wykonuje się szczelin w podbudowie zasadniczej z mieszanki związanej cementem w przypadku nawierzchni sztywnych. </w:t>
      </w:r>
    </w:p>
    <w:p w14:paraId="2F7045D3"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42" w:name="_Toc49129"/>
      <w:r w:rsidRPr="00813B74">
        <w:rPr>
          <w:rFonts w:ascii="Arial Narrow" w:eastAsia="Times New Roman" w:hAnsi="Arial Narrow" w:cs="Times New Roman"/>
          <w:b/>
          <w:sz w:val="28"/>
          <w:szCs w:val="20"/>
          <w:lang w:val="x-none" w:eastAsia="x-none"/>
        </w:rPr>
        <w:t>5.</w:t>
      </w:r>
      <w:r w:rsidRPr="00813B74">
        <w:rPr>
          <w:rFonts w:ascii="Arial Narrow" w:eastAsia="Times New Roman" w:hAnsi="Arial Narrow" w:cs="Times New Roman"/>
          <w:b/>
          <w:sz w:val="28"/>
          <w:szCs w:val="20"/>
          <w:lang w:eastAsia="x-none"/>
        </w:rPr>
        <w:t>8</w:t>
      </w:r>
      <w:r w:rsidRPr="00813B74">
        <w:rPr>
          <w:rFonts w:ascii="Arial Narrow" w:eastAsia="Times New Roman" w:hAnsi="Arial Narrow" w:cs="Times New Roman"/>
          <w:b/>
          <w:sz w:val="28"/>
          <w:szCs w:val="20"/>
          <w:lang w:val="x-none" w:eastAsia="x-none"/>
        </w:rPr>
        <w:t>.</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Pielęgnacja warstwy kruszywa związanego cementem </w:t>
      </w:r>
      <w:bookmarkEnd w:id="642"/>
    </w:p>
    <w:p w14:paraId="01336E85"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Warstwa kruszywa związanego cementem powinna być natychmiast po zagęszczeniu poddana pielęgnacji według jednego z następujących sposobów: </w:t>
      </w:r>
    </w:p>
    <w:p w14:paraId="2D23A701"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skropieniem preparatem pielęgnacyjnym, posiadającym EOT/KOT lub aprobatę techniczną, </w:t>
      </w:r>
    </w:p>
    <w:p w14:paraId="4BCA9E2A"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przykryciem na okres 7 do 10 dni nieprzepuszczalną folią z tworzywa sztucznego, ułożoną na zakład co najmniej 30 cm i zabezpieczoną przed zerwaniem przez wiatr, </w:t>
      </w:r>
    </w:p>
    <w:p w14:paraId="37229D91"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przykryciem matami lub włókninami i spryskanie wodą przez okres 7÷10 dni, </w:t>
      </w:r>
    </w:p>
    <w:p w14:paraId="46039FD6"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przykryciem warstwą piasku i utrzymanie jej w stanie wilgotnym przez okres 7÷10 dni, </w:t>
      </w:r>
    </w:p>
    <w:p w14:paraId="1417BE9E"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innymi środkami/zabiegami zaakceptowanymi przez Inżyniera/Inspektora Nadzoru. </w:t>
      </w:r>
    </w:p>
    <w:p w14:paraId="6DF8801F"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Nie należy dopuszczać ruchu pojazdów i maszyn po warstwie kruszywa związanej cementem w okresie od 7 do 10 dni pielęgnacji, a po tym okresie ruch technologiczny może odbywać się wyłącznie za zgodą Inżyniera/Inspektora Nadzoru. </w:t>
      </w:r>
    </w:p>
    <w:p w14:paraId="71582576"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43" w:name="_Toc49130"/>
      <w:r w:rsidRPr="00813B74">
        <w:rPr>
          <w:rFonts w:ascii="Arial Narrow" w:eastAsia="Times New Roman" w:hAnsi="Arial Narrow" w:cs="Times New Roman"/>
          <w:b/>
          <w:sz w:val="28"/>
          <w:szCs w:val="20"/>
          <w:lang w:val="x-none" w:eastAsia="x-none"/>
        </w:rPr>
        <w:t>5.</w:t>
      </w:r>
      <w:r w:rsidRPr="00813B74">
        <w:rPr>
          <w:rFonts w:ascii="Arial Narrow" w:eastAsia="Times New Roman" w:hAnsi="Arial Narrow" w:cs="Times New Roman"/>
          <w:b/>
          <w:sz w:val="28"/>
          <w:szCs w:val="20"/>
          <w:lang w:eastAsia="x-none"/>
        </w:rPr>
        <w:t>9</w:t>
      </w:r>
      <w:r w:rsidRPr="00813B74">
        <w:rPr>
          <w:rFonts w:ascii="Arial Narrow" w:eastAsia="Times New Roman" w:hAnsi="Arial Narrow" w:cs="Times New Roman"/>
          <w:b/>
          <w:sz w:val="28"/>
          <w:szCs w:val="20"/>
          <w:lang w:val="x-none" w:eastAsia="x-none"/>
        </w:rPr>
        <w:t>.</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Roboty wykończeniowe </w:t>
      </w:r>
      <w:bookmarkEnd w:id="643"/>
    </w:p>
    <w:p w14:paraId="5DA217FA"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Roboty wykończeniowe dotyczą prac związanych z dostosowaniem wykonanych  robót do istniejących warunków terenowych, takie jak: </w:t>
      </w:r>
    </w:p>
    <w:p w14:paraId="2E7EB241"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odtworzenie przeszkód czasowo usuniętych, </w:t>
      </w:r>
    </w:p>
    <w:p w14:paraId="4D8938AF"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uzupełnienie zniszczonych w czasie robót istniejących elementów drogowych lub terenowych, </w:t>
      </w:r>
    </w:p>
    <w:p w14:paraId="24507FF2"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roboty porządkujące otoczenie terenu robót, </w:t>
      </w:r>
    </w:p>
    <w:p w14:paraId="3F492FBF"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usunięcie oznakowania drogi wprowadzonego na okres robót. </w:t>
      </w:r>
    </w:p>
    <w:p w14:paraId="75B97B24" w14:textId="77777777" w:rsidR="00813B74" w:rsidRPr="00813B74" w:rsidRDefault="00813B74" w:rsidP="00813B7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44" w:name="_Toc49131"/>
      <w:r w:rsidRPr="00813B74">
        <w:rPr>
          <w:rFonts w:ascii="Arial Narrow" w:eastAsia="Times New Roman" w:hAnsi="Arial Narrow" w:cs="Times New Roman"/>
          <w:b/>
          <w:caps/>
          <w:kern w:val="28"/>
          <w:sz w:val="28"/>
          <w:szCs w:val="20"/>
          <w:lang w:val="x-none" w:eastAsia="x-none"/>
        </w:rPr>
        <w:t>6.</w:t>
      </w:r>
      <w:r w:rsidRPr="00813B74">
        <w:rPr>
          <w:rFonts w:ascii="Arial" w:eastAsia="Arial" w:hAnsi="Arial" w:cs="Arial"/>
          <w:b/>
          <w:caps/>
          <w:kern w:val="28"/>
          <w:sz w:val="28"/>
          <w:szCs w:val="20"/>
          <w:lang w:val="x-none" w:eastAsia="x-none"/>
        </w:rPr>
        <w:t xml:space="preserve"> </w:t>
      </w:r>
      <w:r w:rsidRPr="00813B74">
        <w:rPr>
          <w:rFonts w:ascii="Arial Narrow" w:eastAsia="Times New Roman" w:hAnsi="Arial Narrow" w:cs="Times New Roman"/>
          <w:b/>
          <w:caps/>
          <w:kern w:val="28"/>
          <w:sz w:val="28"/>
          <w:szCs w:val="20"/>
          <w:lang w:val="x-none" w:eastAsia="x-none"/>
        </w:rPr>
        <w:t xml:space="preserve">KONTROLA JAKOŚCI ROBÓT </w:t>
      </w:r>
      <w:bookmarkEnd w:id="644"/>
    </w:p>
    <w:p w14:paraId="67B5FC3A"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45" w:name="_Toc49132"/>
      <w:r w:rsidRPr="00813B74">
        <w:rPr>
          <w:rFonts w:ascii="Arial Narrow" w:eastAsia="Times New Roman" w:hAnsi="Arial Narrow" w:cs="Times New Roman"/>
          <w:b/>
          <w:sz w:val="28"/>
          <w:szCs w:val="20"/>
          <w:lang w:val="x-none" w:eastAsia="x-none"/>
        </w:rPr>
        <w:t>6.1.</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Ogólne wymagania dotyczące kontroli jakości robót </w:t>
      </w:r>
      <w:bookmarkEnd w:id="645"/>
    </w:p>
    <w:p w14:paraId="4B9A297E"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Ogólne zasady kontroli jakości robót podano w D-M-00.00.00 „Wymagania ogólne”. </w:t>
      </w:r>
    </w:p>
    <w:p w14:paraId="74369A3E"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Badania i pomiary dzielą się na: </w:t>
      </w:r>
    </w:p>
    <w:p w14:paraId="6DC823B2"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badania i pomiary Wykonawcy – w ramach własnego nadzoru, </w:t>
      </w:r>
    </w:p>
    <w:p w14:paraId="320E6883"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badania i pomiary kontrolne – w ramach nadzoru Zamawiającego. </w:t>
      </w:r>
    </w:p>
    <w:p w14:paraId="6DCC4560"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W uzasadnionych przypadkach w ramach badań i pomiarów kontrolnych dopuszcza się wykonanie badań i pomiarów kontrolnych dodatkowych i/lub badań i pomiarów arbitrażowych. </w:t>
      </w:r>
    </w:p>
    <w:p w14:paraId="508E6145"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Badania obejmują: </w:t>
      </w:r>
    </w:p>
    <w:p w14:paraId="01367567"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pobranie próbek, </w:t>
      </w:r>
    </w:p>
    <w:p w14:paraId="2142A206"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zapakowanie próbek do wysyłki, </w:t>
      </w:r>
    </w:p>
    <w:p w14:paraId="144E7D1A"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transport próbek z miejsca pobrania do placówki wykonującej badania, </w:t>
      </w:r>
    </w:p>
    <w:p w14:paraId="222200E9"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przeprowadzenie badania, </w:t>
      </w:r>
    </w:p>
    <w:p w14:paraId="0D89BE28"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sprawozdanie z badań.  </w:t>
      </w:r>
    </w:p>
    <w:p w14:paraId="7850B5A5" w14:textId="77777777" w:rsidR="00813B74" w:rsidRPr="00813B74" w:rsidRDefault="00813B74" w:rsidP="00813B74">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646" w:name="_Toc49133"/>
      <w:r w:rsidRPr="00813B74">
        <w:rPr>
          <w:rFonts w:ascii="Arial Narrow" w:eastAsia="Times New Roman" w:hAnsi="Arial Narrow" w:cs="Times New Roman"/>
          <w:b/>
          <w:sz w:val="28"/>
          <w:szCs w:val="20"/>
          <w:lang w:val="x-none" w:eastAsia="x-none"/>
        </w:rPr>
        <w:t>6.2.</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Badania i pomiary Wykonawcy </w:t>
      </w:r>
      <w:bookmarkEnd w:id="646"/>
    </w:p>
    <w:p w14:paraId="4B556A79"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Wykonawca jest zobowiązany do przeprowadzania na bieżąco badań i pomiarów w celu sprawdzania, czy jakość wykonanych Robót jest zgodna z postawionymi wymaganiami.  </w:t>
      </w:r>
    </w:p>
    <w:p w14:paraId="26E27901"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STWiORB. Wyniki badań będą dokumentowane i archiwizowane przez Wykonawcę. Wyniki badań Wykonawca jest zobowiązany przekazywać Inżynierowi/Inspektorowi Nadzoru. </w:t>
      </w:r>
    </w:p>
    <w:p w14:paraId="5948D50F"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Zakres badań i pomiarów Wykonawcy powinien być: </w:t>
      </w:r>
    </w:p>
    <w:p w14:paraId="5A22750B"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nie mniejszy niż określony w Zakładowej Kontroli Produkcji dla dostarczanych na budowę materiałów i wyrobów budowlanych, </w:t>
      </w:r>
    </w:p>
    <w:p w14:paraId="76F1039B"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dla wykonanej warstwy być nie mniejszy niż określony zakres i częstotliwość badań i pomiarów kontrolnych określony w Tabeli 8 i 9. </w:t>
      </w:r>
    </w:p>
    <w:p w14:paraId="17243EA2"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Tabela 8. Częstotliwość oraz zakres badań przy wykonywaniu podbudowy i warstwy mrozoochronnej z mieszanki kruszywa związanej cementem </w:t>
      </w:r>
    </w:p>
    <w:tbl>
      <w:tblPr>
        <w:tblW w:w="9004" w:type="dxa"/>
        <w:tblInd w:w="19" w:type="dxa"/>
        <w:tblCellMar>
          <w:top w:w="56" w:type="dxa"/>
          <w:left w:w="70" w:type="dxa"/>
          <w:right w:w="0" w:type="dxa"/>
        </w:tblCellMar>
        <w:tblLook w:val="04A0" w:firstRow="1" w:lastRow="0" w:firstColumn="1" w:lastColumn="0" w:noHBand="0" w:noVBand="1"/>
      </w:tblPr>
      <w:tblGrid>
        <w:gridCol w:w="497"/>
        <w:gridCol w:w="4395"/>
        <w:gridCol w:w="1558"/>
        <w:gridCol w:w="2554"/>
      </w:tblGrid>
      <w:tr w:rsidR="00813B74" w:rsidRPr="00813B74" w14:paraId="589EDEDD" w14:textId="77777777" w:rsidTr="0072451A">
        <w:trPr>
          <w:trHeight w:val="259"/>
        </w:trPr>
        <w:tc>
          <w:tcPr>
            <w:tcW w:w="497" w:type="dxa"/>
            <w:vMerge w:val="restart"/>
            <w:tcBorders>
              <w:top w:val="single" w:sz="6" w:space="0" w:color="000000"/>
              <w:left w:val="single" w:sz="6" w:space="0" w:color="000000"/>
              <w:bottom w:val="double" w:sz="6" w:space="0" w:color="000000"/>
              <w:right w:val="single" w:sz="4" w:space="0" w:color="000000"/>
            </w:tcBorders>
            <w:shd w:val="clear" w:color="auto" w:fill="auto"/>
            <w:vAlign w:val="center"/>
          </w:tcPr>
          <w:p w14:paraId="648380ED"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Lp. </w:t>
            </w:r>
          </w:p>
        </w:tc>
        <w:tc>
          <w:tcPr>
            <w:tcW w:w="4395" w:type="dxa"/>
            <w:vMerge w:val="restart"/>
            <w:tcBorders>
              <w:top w:val="single" w:sz="6" w:space="0" w:color="000000"/>
              <w:left w:val="single" w:sz="4" w:space="0" w:color="000000"/>
              <w:bottom w:val="double" w:sz="6" w:space="0" w:color="000000"/>
              <w:right w:val="single" w:sz="6" w:space="0" w:color="000000"/>
            </w:tcBorders>
            <w:shd w:val="clear" w:color="auto" w:fill="auto"/>
            <w:vAlign w:val="center"/>
          </w:tcPr>
          <w:p w14:paraId="23F5E72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Wyszczególnienie badań </w:t>
            </w:r>
          </w:p>
        </w:tc>
        <w:tc>
          <w:tcPr>
            <w:tcW w:w="4112" w:type="dxa"/>
            <w:gridSpan w:val="2"/>
            <w:tcBorders>
              <w:top w:val="single" w:sz="6" w:space="0" w:color="000000"/>
              <w:left w:val="single" w:sz="6" w:space="0" w:color="000000"/>
              <w:bottom w:val="single" w:sz="6" w:space="0" w:color="000000"/>
              <w:right w:val="single" w:sz="6" w:space="0" w:color="000000"/>
            </w:tcBorders>
            <w:shd w:val="clear" w:color="auto" w:fill="auto"/>
          </w:tcPr>
          <w:p w14:paraId="2BB1A1F4"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Częstotliwość badań </w:t>
            </w:r>
          </w:p>
        </w:tc>
      </w:tr>
      <w:tr w:rsidR="00813B74" w:rsidRPr="00813B74" w14:paraId="60DD7156" w14:textId="77777777" w:rsidTr="0072451A">
        <w:trPr>
          <w:trHeight w:val="1274"/>
        </w:trPr>
        <w:tc>
          <w:tcPr>
            <w:tcW w:w="0" w:type="auto"/>
            <w:vMerge/>
            <w:tcBorders>
              <w:top w:val="nil"/>
              <w:left w:val="single" w:sz="6" w:space="0" w:color="000000"/>
              <w:bottom w:val="double" w:sz="6" w:space="0" w:color="000000"/>
              <w:right w:val="single" w:sz="4" w:space="0" w:color="000000"/>
            </w:tcBorders>
            <w:shd w:val="clear" w:color="auto" w:fill="auto"/>
          </w:tcPr>
          <w:p w14:paraId="61D89A3A"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4" w:space="0" w:color="000000"/>
              <w:bottom w:val="double" w:sz="6" w:space="0" w:color="000000"/>
              <w:right w:val="single" w:sz="6" w:space="0" w:color="000000"/>
            </w:tcBorders>
            <w:shd w:val="clear" w:color="auto" w:fill="auto"/>
          </w:tcPr>
          <w:p w14:paraId="4DA18A05"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1558" w:type="dxa"/>
            <w:tcBorders>
              <w:top w:val="single" w:sz="6" w:space="0" w:color="000000"/>
              <w:left w:val="single" w:sz="6" w:space="0" w:color="000000"/>
              <w:bottom w:val="double" w:sz="6" w:space="0" w:color="000000"/>
              <w:right w:val="single" w:sz="6" w:space="0" w:color="000000"/>
            </w:tcBorders>
            <w:shd w:val="clear" w:color="auto" w:fill="auto"/>
          </w:tcPr>
          <w:p w14:paraId="4938D1A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Minimalna liczba badań </w:t>
            </w:r>
          </w:p>
          <w:p w14:paraId="23D107A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na dziennej działce roboczej </w:t>
            </w:r>
          </w:p>
        </w:tc>
        <w:tc>
          <w:tcPr>
            <w:tcW w:w="2554" w:type="dxa"/>
            <w:tcBorders>
              <w:top w:val="single" w:sz="6" w:space="0" w:color="000000"/>
              <w:left w:val="single" w:sz="6" w:space="0" w:color="000000"/>
              <w:bottom w:val="double" w:sz="6" w:space="0" w:color="000000"/>
              <w:right w:val="single" w:sz="6" w:space="0" w:color="000000"/>
            </w:tcBorders>
            <w:shd w:val="clear" w:color="auto" w:fill="auto"/>
            <w:vAlign w:val="center"/>
          </w:tcPr>
          <w:p w14:paraId="252087A3"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Maksymalna powierzchnia </w:t>
            </w:r>
          </w:p>
          <w:p w14:paraId="6C00417E"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przypadająca na jedno badanie (m</w:t>
            </w:r>
            <w:r w:rsidRPr="00813B74">
              <w:rPr>
                <w:rFonts w:ascii="Arial Narrow" w:eastAsia="Times New Roman" w:hAnsi="Arial Narrow" w:cs="Times New Roman"/>
                <w:vertAlign w:val="superscript"/>
              </w:rPr>
              <w:t>2</w:t>
            </w:r>
            <w:r w:rsidRPr="00813B74">
              <w:rPr>
                <w:rFonts w:ascii="Arial Narrow" w:eastAsia="Times New Roman" w:hAnsi="Arial Narrow" w:cs="Times New Roman"/>
              </w:rPr>
              <w:t>)</w:t>
            </w:r>
            <w:r w:rsidRPr="00813B74">
              <w:rPr>
                <w:rFonts w:ascii="Arial Narrow" w:eastAsia="Times New Roman" w:hAnsi="Arial Narrow" w:cs="Times New Roman"/>
                <w:vertAlign w:val="superscript"/>
              </w:rPr>
              <w:t xml:space="preserve"> </w:t>
            </w:r>
          </w:p>
        </w:tc>
      </w:tr>
      <w:tr w:rsidR="00813B74" w:rsidRPr="00813B74" w14:paraId="098360DA" w14:textId="77777777" w:rsidTr="0072451A">
        <w:trPr>
          <w:trHeight w:val="274"/>
        </w:trPr>
        <w:tc>
          <w:tcPr>
            <w:tcW w:w="497" w:type="dxa"/>
            <w:tcBorders>
              <w:top w:val="double" w:sz="6" w:space="0" w:color="000000"/>
              <w:left w:val="single" w:sz="6" w:space="0" w:color="000000"/>
              <w:bottom w:val="single" w:sz="6" w:space="0" w:color="000000"/>
              <w:right w:val="single" w:sz="6" w:space="0" w:color="000000"/>
            </w:tcBorders>
            <w:shd w:val="clear" w:color="auto" w:fill="auto"/>
          </w:tcPr>
          <w:p w14:paraId="2A51E61B"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1 </w:t>
            </w:r>
          </w:p>
        </w:tc>
        <w:tc>
          <w:tcPr>
            <w:tcW w:w="4395" w:type="dxa"/>
            <w:tcBorders>
              <w:top w:val="double" w:sz="6" w:space="0" w:color="000000"/>
              <w:left w:val="single" w:sz="6" w:space="0" w:color="000000"/>
              <w:bottom w:val="single" w:sz="6" w:space="0" w:color="000000"/>
              <w:right w:val="single" w:sz="6" w:space="0" w:color="000000"/>
            </w:tcBorders>
            <w:shd w:val="clear" w:color="auto" w:fill="auto"/>
          </w:tcPr>
          <w:p w14:paraId="22F568E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Uziarnienie mieszanki  </w:t>
            </w:r>
            <w:r w:rsidRPr="00813B74">
              <w:rPr>
                <w:rFonts w:ascii="Arial Narrow" w:eastAsia="Times New Roman" w:hAnsi="Arial Narrow" w:cs="Times New Roman"/>
              </w:rPr>
              <w:tab/>
              <w:t xml:space="preserve"> </w:t>
            </w:r>
          </w:p>
        </w:tc>
        <w:tc>
          <w:tcPr>
            <w:tcW w:w="1558" w:type="dxa"/>
            <w:tcBorders>
              <w:top w:val="double" w:sz="6" w:space="0" w:color="000000"/>
              <w:left w:val="single" w:sz="6" w:space="0" w:color="000000"/>
              <w:bottom w:val="single" w:sz="6" w:space="0" w:color="000000"/>
              <w:right w:val="single" w:sz="6" w:space="0" w:color="000000"/>
            </w:tcBorders>
            <w:shd w:val="clear" w:color="auto" w:fill="auto"/>
          </w:tcPr>
          <w:p w14:paraId="3BC76B79"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1 </w:t>
            </w:r>
          </w:p>
        </w:tc>
        <w:tc>
          <w:tcPr>
            <w:tcW w:w="2554" w:type="dxa"/>
            <w:tcBorders>
              <w:top w:val="double" w:sz="6" w:space="0" w:color="000000"/>
              <w:left w:val="single" w:sz="6" w:space="0" w:color="000000"/>
              <w:bottom w:val="single" w:sz="6" w:space="0" w:color="000000"/>
              <w:right w:val="single" w:sz="6" w:space="0" w:color="000000"/>
            </w:tcBorders>
            <w:shd w:val="clear" w:color="auto" w:fill="auto"/>
          </w:tcPr>
          <w:p w14:paraId="6C72C1D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3000 </w:t>
            </w:r>
          </w:p>
        </w:tc>
      </w:tr>
      <w:tr w:rsidR="00813B74" w:rsidRPr="00813B74" w14:paraId="3D6F0A1A" w14:textId="77777777" w:rsidTr="0072451A">
        <w:trPr>
          <w:trHeight w:val="257"/>
        </w:trPr>
        <w:tc>
          <w:tcPr>
            <w:tcW w:w="497" w:type="dxa"/>
            <w:tcBorders>
              <w:top w:val="single" w:sz="6" w:space="0" w:color="000000"/>
              <w:left w:val="single" w:sz="6" w:space="0" w:color="000000"/>
              <w:bottom w:val="single" w:sz="6" w:space="0" w:color="000000"/>
              <w:right w:val="single" w:sz="6" w:space="0" w:color="000000"/>
            </w:tcBorders>
            <w:shd w:val="clear" w:color="auto" w:fill="auto"/>
          </w:tcPr>
          <w:p w14:paraId="1027358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2 </w:t>
            </w:r>
          </w:p>
        </w:tc>
        <w:tc>
          <w:tcPr>
            <w:tcW w:w="4395" w:type="dxa"/>
            <w:tcBorders>
              <w:top w:val="single" w:sz="6" w:space="0" w:color="000000"/>
              <w:left w:val="single" w:sz="6" w:space="0" w:color="000000"/>
              <w:bottom w:val="single" w:sz="6" w:space="0" w:color="000000"/>
              <w:right w:val="single" w:sz="6" w:space="0" w:color="000000"/>
            </w:tcBorders>
            <w:shd w:val="clear" w:color="auto" w:fill="auto"/>
          </w:tcPr>
          <w:p w14:paraId="4B3D6DE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Zagęszczenie podbudowy  </w:t>
            </w:r>
          </w:p>
        </w:tc>
        <w:tc>
          <w:tcPr>
            <w:tcW w:w="1558" w:type="dxa"/>
            <w:tcBorders>
              <w:top w:val="single" w:sz="6" w:space="0" w:color="000000"/>
              <w:left w:val="single" w:sz="6" w:space="0" w:color="000000"/>
              <w:bottom w:val="single" w:sz="6" w:space="0" w:color="000000"/>
              <w:right w:val="single" w:sz="6" w:space="0" w:color="000000"/>
            </w:tcBorders>
            <w:shd w:val="clear" w:color="auto" w:fill="auto"/>
          </w:tcPr>
          <w:p w14:paraId="0EAF4743"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2 </w:t>
            </w:r>
          </w:p>
        </w:tc>
        <w:tc>
          <w:tcPr>
            <w:tcW w:w="2554" w:type="dxa"/>
            <w:tcBorders>
              <w:top w:val="single" w:sz="6" w:space="0" w:color="000000"/>
              <w:left w:val="single" w:sz="6" w:space="0" w:color="000000"/>
              <w:bottom w:val="single" w:sz="6" w:space="0" w:color="000000"/>
              <w:right w:val="single" w:sz="6" w:space="0" w:color="000000"/>
            </w:tcBorders>
            <w:shd w:val="clear" w:color="auto" w:fill="auto"/>
          </w:tcPr>
          <w:p w14:paraId="754D9C38"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3000 </w:t>
            </w:r>
          </w:p>
        </w:tc>
      </w:tr>
      <w:tr w:rsidR="00813B74" w:rsidRPr="00813B74" w14:paraId="4CC37407" w14:textId="77777777" w:rsidTr="0072451A">
        <w:trPr>
          <w:trHeight w:val="259"/>
        </w:trPr>
        <w:tc>
          <w:tcPr>
            <w:tcW w:w="497" w:type="dxa"/>
            <w:tcBorders>
              <w:top w:val="single" w:sz="6" w:space="0" w:color="000000"/>
              <w:left w:val="single" w:sz="6" w:space="0" w:color="000000"/>
              <w:bottom w:val="single" w:sz="6" w:space="0" w:color="000000"/>
              <w:right w:val="single" w:sz="6" w:space="0" w:color="000000"/>
            </w:tcBorders>
            <w:shd w:val="clear" w:color="auto" w:fill="auto"/>
          </w:tcPr>
          <w:p w14:paraId="67E367BA"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c>
          <w:tcPr>
            <w:tcW w:w="4395" w:type="dxa"/>
            <w:tcBorders>
              <w:top w:val="single" w:sz="6" w:space="0" w:color="000000"/>
              <w:left w:val="single" w:sz="6" w:space="0" w:color="000000"/>
              <w:bottom w:val="single" w:sz="6" w:space="0" w:color="000000"/>
              <w:right w:val="single" w:sz="6" w:space="0" w:color="000000"/>
            </w:tcBorders>
            <w:shd w:val="clear" w:color="auto" w:fill="auto"/>
          </w:tcPr>
          <w:p w14:paraId="1A0F341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c>
          <w:tcPr>
            <w:tcW w:w="1558" w:type="dxa"/>
            <w:tcBorders>
              <w:top w:val="single" w:sz="6" w:space="0" w:color="000000"/>
              <w:left w:val="single" w:sz="6" w:space="0" w:color="000000"/>
              <w:bottom w:val="single" w:sz="6" w:space="0" w:color="000000"/>
              <w:right w:val="single" w:sz="6" w:space="0" w:color="000000"/>
            </w:tcBorders>
            <w:shd w:val="clear" w:color="auto" w:fill="auto"/>
          </w:tcPr>
          <w:p w14:paraId="544D66C9"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c>
          <w:tcPr>
            <w:tcW w:w="2554" w:type="dxa"/>
            <w:tcBorders>
              <w:top w:val="single" w:sz="6" w:space="0" w:color="000000"/>
              <w:left w:val="single" w:sz="6" w:space="0" w:color="000000"/>
              <w:bottom w:val="single" w:sz="6" w:space="0" w:color="000000"/>
              <w:right w:val="single" w:sz="6" w:space="0" w:color="000000"/>
            </w:tcBorders>
            <w:shd w:val="clear" w:color="auto" w:fill="auto"/>
          </w:tcPr>
          <w:p w14:paraId="386D1B77"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r>
      <w:tr w:rsidR="00813B74" w:rsidRPr="00813B74" w14:paraId="5D5B1A5A" w14:textId="77777777" w:rsidTr="0072451A">
        <w:trPr>
          <w:trHeight w:val="502"/>
        </w:trPr>
        <w:tc>
          <w:tcPr>
            <w:tcW w:w="497" w:type="dxa"/>
            <w:tcBorders>
              <w:top w:val="single" w:sz="6" w:space="0" w:color="000000"/>
              <w:left w:val="single" w:sz="6" w:space="0" w:color="000000"/>
              <w:bottom w:val="single" w:sz="6" w:space="0" w:color="000000"/>
              <w:right w:val="single" w:sz="6" w:space="0" w:color="000000"/>
            </w:tcBorders>
            <w:shd w:val="clear" w:color="auto" w:fill="auto"/>
          </w:tcPr>
          <w:p w14:paraId="01471B8B"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3 </w:t>
            </w:r>
          </w:p>
        </w:tc>
        <w:tc>
          <w:tcPr>
            <w:tcW w:w="4395" w:type="dxa"/>
            <w:tcBorders>
              <w:top w:val="single" w:sz="6" w:space="0" w:color="000000"/>
              <w:left w:val="single" w:sz="6" w:space="0" w:color="000000"/>
              <w:bottom w:val="single" w:sz="6" w:space="0" w:color="000000"/>
              <w:right w:val="single" w:sz="6" w:space="0" w:color="000000"/>
            </w:tcBorders>
            <w:shd w:val="clear" w:color="auto" w:fill="auto"/>
          </w:tcPr>
          <w:p w14:paraId="1FF865A9"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Wytrzymałości na ściskanie </w:t>
            </w:r>
          </w:p>
        </w:tc>
        <w:tc>
          <w:tcPr>
            <w:tcW w:w="4112" w:type="dxa"/>
            <w:gridSpan w:val="2"/>
            <w:tcBorders>
              <w:top w:val="single" w:sz="6" w:space="0" w:color="000000"/>
              <w:left w:val="single" w:sz="6" w:space="0" w:color="000000"/>
              <w:bottom w:val="single" w:sz="6" w:space="0" w:color="000000"/>
              <w:right w:val="single" w:sz="6" w:space="0" w:color="000000"/>
            </w:tcBorders>
            <w:shd w:val="clear" w:color="auto" w:fill="auto"/>
          </w:tcPr>
          <w:p w14:paraId="1760C6C9"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3 próbki dziennie </w:t>
            </w:r>
          </w:p>
          <w:p w14:paraId="76B6C97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r>
      <w:tr w:rsidR="00813B74" w:rsidRPr="00813B74" w14:paraId="00D98298" w14:textId="77777777" w:rsidTr="0072451A">
        <w:trPr>
          <w:trHeight w:val="1229"/>
        </w:trPr>
        <w:tc>
          <w:tcPr>
            <w:tcW w:w="497" w:type="dxa"/>
            <w:tcBorders>
              <w:top w:val="single" w:sz="6" w:space="0" w:color="000000"/>
              <w:left w:val="single" w:sz="6" w:space="0" w:color="000000"/>
              <w:bottom w:val="single" w:sz="6" w:space="0" w:color="000000"/>
              <w:right w:val="single" w:sz="6" w:space="0" w:color="000000"/>
            </w:tcBorders>
            <w:shd w:val="clear" w:color="auto" w:fill="auto"/>
          </w:tcPr>
          <w:p w14:paraId="0B0EE190"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4 </w:t>
            </w:r>
          </w:p>
        </w:tc>
        <w:tc>
          <w:tcPr>
            <w:tcW w:w="4395" w:type="dxa"/>
            <w:tcBorders>
              <w:top w:val="single" w:sz="6" w:space="0" w:color="000000"/>
              <w:left w:val="single" w:sz="6" w:space="0" w:color="000000"/>
              <w:bottom w:val="single" w:sz="6" w:space="0" w:color="000000"/>
              <w:right w:val="single" w:sz="6" w:space="0" w:color="000000"/>
            </w:tcBorders>
            <w:shd w:val="clear" w:color="auto" w:fill="auto"/>
          </w:tcPr>
          <w:p w14:paraId="54F0163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Mrozoodporność </w:t>
            </w:r>
          </w:p>
        </w:tc>
        <w:tc>
          <w:tcPr>
            <w:tcW w:w="4112" w:type="dxa"/>
            <w:gridSpan w:val="2"/>
            <w:tcBorders>
              <w:top w:val="single" w:sz="6" w:space="0" w:color="000000"/>
              <w:left w:val="single" w:sz="6" w:space="0" w:color="000000"/>
              <w:bottom w:val="single" w:sz="6" w:space="0" w:color="000000"/>
              <w:right w:val="single" w:sz="6" w:space="0" w:color="000000"/>
            </w:tcBorders>
            <w:shd w:val="clear" w:color="auto" w:fill="auto"/>
          </w:tcPr>
          <w:p w14:paraId="19924CED"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Przy projektowaniu, w przypadkach wątpliwych,  na zlecenie Inżyniera/Inspektora </w:t>
            </w:r>
          </w:p>
          <w:p w14:paraId="1C9DD201"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Nadzoru </w:t>
            </w:r>
          </w:p>
          <w:p w14:paraId="6D8E22CA"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r>
      <w:tr w:rsidR="00813B74" w:rsidRPr="00813B74" w14:paraId="32A0842E" w14:textId="77777777" w:rsidTr="0072451A">
        <w:trPr>
          <w:trHeight w:val="744"/>
        </w:trPr>
        <w:tc>
          <w:tcPr>
            <w:tcW w:w="497" w:type="dxa"/>
            <w:tcBorders>
              <w:top w:val="single" w:sz="6" w:space="0" w:color="000000"/>
              <w:left w:val="single" w:sz="6" w:space="0" w:color="000000"/>
              <w:bottom w:val="single" w:sz="6" w:space="0" w:color="000000"/>
              <w:right w:val="single" w:sz="6" w:space="0" w:color="000000"/>
            </w:tcBorders>
            <w:shd w:val="clear" w:color="auto" w:fill="auto"/>
          </w:tcPr>
          <w:p w14:paraId="3373A137"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5 </w:t>
            </w:r>
          </w:p>
        </w:tc>
        <w:tc>
          <w:tcPr>
            <w:tcW w:w="4395" w:type="dxa"/>
            <w:tcBorders>
              <w:top w:val="single" w:sz="6" w:space="0" w:color="000000"/>
              <w:left w:val="single" w:sz="6" w:space="0" w:color="000000"/>
              <w:bottom w:val="single" w:sz="6" w:space="0" w:color="000000"/>
              <w:right w:val="single" w:sz="6" w:space="0" w:color="000000"/>
            </w:tcBorders>
            <w:shd w:val="clear" w:color="auto" w:fill="auto"/>
          </w:tcPr>
          <w:p w14:paraId="75FC83F5"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Właściwości kruszywa </w:t>
            </w:r>
          </w:p>
        </w:tc>
        <w:tc>
          <w:tcPr>
            <w:tcW w:w="4112" w:type="dxa"/>
            <w:gridSpan w:val="2"/>
            <w:tcBorders>
              <w:top w:val="single" w:sz="6" w:space="0" w:color="000000"/>
              <w:left w:val="single" w:sz="6" w:space="0" w:color="000000"/>
              <w:bottom w:val="single" w:sz="6" w:space="0" w:color="000000"/>
              <w:right w:val="single" w:sz="6" w:space="0" w:color="000000"/>
            </w:tcBorders>
            <w:shd w:val="clear" w:color="auto" w:fill="auto"/>
          </w:tcPr>
          <w:p w14:paraId="735F568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Dla każdej partii kruszywa i przy każdej zmianie kruszywa </w:t>
            </w:r>
          </w:p>
          <w:p w14:paraId="2B889A9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 </w:t>
            </w:r>
          </w:p>
        </w:tc>
      </w:tr>
      <w:tr w:rsidR="00813B74" w:rsidRPr="00813B74" w14:paraId="4BF9A85F" w14:textId="77777777" w:rsidTr="0072451A">
        <w:trPr>
          <w:trHeight w:val="502"/>
        </w:trPr>
        <w:tc>
          <w:tcPr>
            <w:tcW w:w="497"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2FB97F3"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6 </w:t>
            </w:r>
          </w:p>
        </w:tc>
        <w:tc>
          <w:tcPr>
            <w:tcW w:w="4395" w:type="dxa"/>
            <w:tcBorders>
              <w:top w:val="single" w:sz="6" w:space="0" w:color="000000"/>
              <w:left w:val="single" w:sz="6" w:space="0" w:color="000000"/>
              <w:bottom w:val="single" w:sz="6" w:space="0" w:color="000000"/>
              <w:right w:val="single" w:sz="6" w:space="0" w:color="000000"/>
            </w:tcBorders>
            <w:shd w:val="clear" w:color="auto" w:fill="auto"/>
          </w:tcPr>
          <w:p w14:paraId="19012AC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Badanie właściwości innych niż uziarnienie mieszanki  </w:t>
            </w:r>
          </w:p>
        </w:tc>
        <w:tc>
          <w:tcPr>
            <w:tcW w:w="4112" w:type="dxa"/>
            <w:gridSpan w:val="2"/>
            <w:tcBorders>
              <w:top w:val="single" w:sz="6" w:space="0" w:color="000000"/>
              <w:left w:val="single" w:sz="6" w:space="0" w:color="000000"/>
              <w:bottom w:val="single" w:sz="6" w:space="0" w:color="000000"/>
              <w:right w:val="single" w:sz="6" w:space="0" w:color="000000"/>
            </w:tcBorders>
            <w:shd w:val="clear" w:color="auto" w:fill="auto"/>
          </w:tcPr>
          <w:p w14:paraId="5CD3FF65"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przy zatwierdzeniu materiału i przy każdej istotnej zmianie jego </w:t>
            </w:r>
          </w:p>
        </w:tc>
      </w:tr>
      <w:tr w:rsidR="00813B74" w:rsidRPr="00813B74" w14:paraId="19728A46" w14:textId="77777777" w:rsidTr="0072451A">
        <w:trPr>
          <w:trHeight w:val="747"/>
        </w:trPr>
        <w:tc>
          <w:tcPr>
            <w:tcW w:w="497" w:type="dxa"/>
            <w:tcBorders>
              <w:top w:val="single" w:sz="6" w:space="0" w:color="000000"/>
              <w:left w:val="single" w:sz="6" w:space="0" w:color="000000"/>
              <w:bottom w:val="single" w:sz="6" w:space="0" w:color="000000"/>
              <w:right w:val="single" w:sz="6" w:space="0" w:color="000000"/>
            </w:tcBorders>
            <w:shd w:val="clear" w:color="auto" w:fill="auto"/>
          </w:tcPr>
          <w:p w14:paraId="43BD26D1"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4395" w:type="dxa"/>
            <w:tcBorders>
              <w:top w:val="single" w:sz="6" w:space="0" w:color="000000"/>
              <w:left w:val="single" w:sz="6" w:space="0" w:color="000000"/>
              <w:bottom w:val="single" w:sz="6" w:space="0" w:color="000000"/>
              <w:right w:val="single" w:sz="6" w:space="0" w:color="000000"/>
            </w:tcBorders>
            <w:shd w:val="clear" w:color="auto" w:fill="auto"/>
          </w:tcPr>
          <w:p w14:paraId="4A8705C1"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4112" w:type="dxa"/>
            <w:gridSpan w:val="2"/>
            <w:tcBorders>
              <w:top w:val="single" w:sz="6" w:space="0" w:color="000000"/>
              <w:left w:val="single" w:sz="6" w:space="0" w:color="000000"/>
              <w:bottom w:val="single" w:sz="6" w:space="0" w:color="000000"/>
              <w:right w:val="single" w:sz="6" w:space="0" w:color="000000"/>
            </w:tcBorders>
            <w:shd w:val="clear" w:color="auto" w:fill="auto"/>
          </w:tcPr>
          <w:p w14:paraId="38F4912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właściwości, zmianie złoża, zmianie producenta oraz w razie wątpliwości co do jakości wbudowywanej mieszanki. </w:t>
            </w:r>
          </w:p>
        </w:tc>
      </w:tr>
      <w:tr w:rsidR="00813B74" w:rsidRPr="00813B74" w14:paraId="7DBCC519" w14:textId="77777777" w:rsidTr="0072451A">
        <w:trPr>
          <w:trHeight w:val="257"/>
        </w:trPr>
        <w:tc>
          <w:tcPr>
            <w:tcW w:w="497" w:type="dxa"/>
            <w:tcBorders>
              <w:top w:val="single" w:sz="6" w:space="0" w:color="000000"/>
              <w:left w:val="single" w:sz="6" w:space="0" w:color="000000"/>
              <w:bottom w:val="single" w:sz="6" w:space="0" w:color="000000"/>
              <w:right w:val="single" w:sz="6" w:space="0" w:color="000000"/>
            </w:tcBorders>
            <w:shd w:val="clear" w:color="auto" w:fill="auto"/>
          </w:tcPr>
          <w:p w14:paraId="5A2F5CD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7 </w:t>
            </w:r>
          </w:p>
        </w:tc>
        <w:tc>
          <w:tcPr>
            <w:tcW w:w="4395" w:type="dxa"/>
            <w:tcBorders>
              <w:top w:val="single" w:sz="6" w:space="0" w:color="000000"/>
              <w:left w:val="single" w:sz="6" w:space="0" w:color="000000"/>
              <w:bottom w:val="single" w:sz="6" w:space="0" w:color="000000"/>
              <w:right w:val="single" w:sz="6" w:space="0" w:color="000000"/>
            </w:tcBorders>
            <w:shd w:val="clear" w:color="auto" w:fill="auto"/>
          </w:tcPr>
          <w:p w14:paraId="660AAEC0"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Grubość warstwy  </w:t>
            </w:r>
          </w:p>
        </w:tc>
        <w:tc>
          <w:tcPr>
            <w:tcW w:w="4112" w:type="dxa"/>
            <w:gridSpan w:val="2"/>
            <w:tcBorders>
              <w:top w:val="single" w:sz="6" w:space="0" w:color="000000"/>
              <w:left w:val="single" w:sz="6" w:space="0" w:color="000000"/>
              <w:bottom w:val="single" w:sz="6" w:space="0" w:color="000000"/>
              <w:right w:val="single" w:sz="6" w:space="0" w:color="000000"/>
            </w:tcBorders>
            <w:shd w:val="clear" w:color="auto" w:fill="auto"/>
          </w:tcPr>
          <w:p w14:paraId="42DEF07D"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Times New Roman" w:hAnsi="Arial Narrow" w:cs="Times New Roman"/>
              </w:rPr>
            </w:pPr>
            <w:r w:rsidRPr="00813B74">
              <w:rPr>
                <w:rFonts w:ascii="Arial Narrow" w:eastAsia="Times New Roman" w:hAnsi="Arial Narrow" w:cs="Times New Roman"/>
              </w:rPr>
              <w:t xml:space="preserve">2  razy dziennie </w:t>
            </w:r>
          </w:p>
        </w:tc>
      </w:tr>
    </w:tbl>
    <w:p w14:paraId="4DE23A2E" w14:textId="77777777" w:rsidR="00813B74" w:rsidRPr="00813B74" w:rsidRDefault="00813B74" w:rsidP="00813B74">
      <w:pPr>
        <w:overflowPunct w:val="0"/>
        <w:autoSpaceDE w:val="0"/>
        <w:autoSpaceDN w:val="0"/>
        <w:adjustRightInd w:val="0"/>
        <w:spacing w:after="0" w:line="240" w:lineRule="auto"/>
        <w:ind w:left="7"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Tabela 9. Częstotliwość oraz zakres pomiarów wykonanej podbudowy i warstwy mrozoochronnej z mieszanki kruszywa związanej cementem </w:t>
      </w:r>
    </w:p>
    <w:tbl>
      <w:tblPr>
        <w:tblW w:w="9727" w:type="dxa"/>
        <w:tblInd w:w="19" w:type="dxa"/>
        <w:tblBorders>
          <w:top w:val="double" w:sz="4" w:space="0" w:color="000000"/>
          <w:left w:val="double" w:sz="4" w:space="0" w:color="000000"/>
          <w:bottom w:val="double" w:sz="4" w:space="0" w:color="000000"/>
          <w:right w:val="double" w:sz="4" w:space="0" w:color="000000"/>
          <w:insideH w:val="single" w:sz="4" w:space="0" w:color="000000"/>
          <w:insideV w:val="single" w:sz="6" w:space="0" w:color="000000"/>
        </w:tblBorders>
        <w:tblCellMar>
          <w:top w:w="55" w:type="dxa"/>
          <w:left w:w="70" w:type="dxa"/>
          <w:right w:w="1" w:type="dxa"/>
        </w:tblCellMar>
        <w:tblLook w:val="04A0" w:firstRow="1" w:lastRow="0" w:firstColumn="1" w:lastColumn="0" w:noHBand="0" w:noVBand="1"/>
      </w:tblPr>
      <w:tblGrid>
        <w:gridCol w:w="509"/>
        <w:gridCol w:w="2333"/>
        <w:gridCol w:w="3671"/>
        <w:gridCol w:w="3214"/>
      </w:tblGrid>
      <w:tr w:rsidR="00813B74" w:rsidRPr="00813B74" w14:paraId="26B2CB2F" w14:textId="77777777" w:rsidTr="0072451A">
        <w:trPr>
          <w:trHeight w:val="516"/>
        </w:trPr>
        <w:tc>
          <w:tcPr>
            <w:tcW w:w="509" w:type="dxa"/>
            <w:vMerge w:val="restart"/>
            <w:shd w:val="clear" w:color="auto" w:fill="auto"/>
            <w:vAlign w:val="center"/>
          </w:tcPr>
          <w:p w14:paraId="7ADED857"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Lp.</w:t>
            </w:r>
            <w:r w:rsidRPr="00813B74">
              <w:rPr>
                <w:rFonts w:ascii="Verdana" w:eastAsia="Verdana" w:hAnsi="Verdana" w:cs="Verdana"/>
                <w:b/>
                <w:lang w:eastAsia="pl-PL"/>
              </w:rPr>
              <w:t xml:space="preserve"> </w:t>
            </w:r>
          </w:p>
        </w:tc>
        <w:tc>
          <w:tcPr>
            <w:tcW w:w="2333" w:type="dxa"/>
            <w:vMerge w:val="restart"/>
            <w:shd w:val="clear" w:color="auto" w:fill="auto"/>
          </w:tcPr>
          <w:p w14:paraId="521E7572"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Wyszczególnienie badań i pomiarów</w:t>
            </w:r>
            <w:r w:rsidRPr="00813B74">
              <w:rPr>
                <w:rFonts w:ascii="Verdana" w:eastAsia="Verdana" w:hAnsi="Verdana" w:cs="Verdana"/>
                <w:b/>
                <w:lang w:eastAsia="pl-PL"/>
              </w:rPr>
              <w:t xml:space="preserve"> </w:t>
            </w:r>
          </w:p>
        </w:tc>
        <w:tc>
          <w:tcPr>
            <w:tcW w:w="6885" w:type="dxa"/>
            <w:gridSpan w:val="2"/>
            <w:shd w:val="clear" w:color="auto" w:fill="auto"/>
            <w:vAlign w:val="center"/>
          </w:tcPr>
          <w:p w14:paraId="758C695B"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Minimalna częstotliwość pomiarów</w:t>
            </w:r>
            <w:r w:rsidRPr="00813B74">
              <w:rPr>
                <w:rFonts w:ascii="Verdana" w:eastAsia="Verdana" w:hAnsi="Verdana" w:cs="Verdana"/>
                <w:b/>
                <w:lang w:eastAsia="pl-PL"/>
              </w:rPr>
              <w:t xml:space="preserve"> </w:t>
            </w:r>
          </w:p>
        </w:tc>
      </w:tr>
      <w:tr w:rsidR="00813B74" w:rsidRPr="00813B74" w14:paraId="31506F1F" w14:textId="77777777" w:rsidTr="0072451A">
        <w:trPr>
          <w:trHeight w:val="516"/>
        </w:trPr>
        <w:tc>
          <w:tcPr>
            <w:tcW w:w="509" w:type="dxa"/>
            <w:vMerge/>
            <w:shd w:val="clear" w:color="auto" w:fill="auto"/>
            <w:vAlign w:val="center"/>
          </w:tcPr>
          <w:p w14:paraId="34299F1E"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p>
        </w:tc>
        <w:tc>
          <w:tcPr>
            <w:tcW w:w="2333" w:type="dxa"/>
            <w:vMerge/>
            <w:shd w:val="clear" w:color="auto" w:fill="auto"/>
          </w:tcPr>
          <w:p w14:paraId="3BCA21F5"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p>
        </w:tc>
        <w:tc>
          <w:tcPr>
            <w:tcW w:w="3671" w:type="dxa"/>
            <w:shd w:val="clear" w:color="auto" w:fill="auto"/>
            <w:vAlign w:val="center"/>
          </w:tcPr>
          <w:p w14:paraId="54858899"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Arial Narrow" w:hAnsi="Arial Narrow" w:cs="Arial Narrow"/>
                <w:color w:val="000000"/>
                <w:lang w:eastAsia="pl-PL"/>
              </w:rPr>
              <w:t>Dla drogi, chodnika, ścieżki rowerowej</w:t>
            </w:r>
          </w:p>
        </w:tc>
        <w:tc>
          <w:tcPr>
            <w:tcW w:w="3214" w:type="dxa"/>
          </w:tcPr>
          <w:p w14:paraId="21D6323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Arial Narrow" w:hAnsi="Arial Narrow" w:cs="Times New Roman"/>
                <w:sz w:val="20"/>
              </w:rPr>
            </w:pPr>
            <w:r w:rsidRPr="00813B74">
              <w:rPr>
                <w:rFonts w:ascii="Arial Narrow" w:eastAsia="Arial Narrow" w:hAnsi="Arial Narrow" w:cs="Times New Roman"/>
                <w:sz w:val="20"/>
              </w:rPr>
              <w:t>Dla zjazdów, zatok autobusowych</w:t>
            </w:r>
          </w:p>
        </w:tc>
      </w:tr>
      <w:tr w:rsidR="00813B74" w:rsidRPr="00813B74" w14:paraId="6BAA7944" w14:textId="77777777" w:rsidTr="0072451A">
        <w:trPr>
          <w:trHeight w:val="274"/>
        </w:trPr>
        <w:tc>
          <w:tcPr>
            <w:tcW w:w="509" w:type="dxa"/>
            <w:shd w:val="clear" w:color="auto" w:fill="auto"/>
          </w:tcPr>
          <w:p w14:paraId="75C3D29F"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1</w:t>
            </w:r>
            <w:r w:rsidRPr="00813B74">
              <w:rPr>
                <w:rFonts w:ascii="Verdana" w:eastAsia="Verdana" w:hAnsi="Verdana" w:cs="Verdana"/>
                <w:b/>
                <w:lang w:eastAsia="pl-PL"/>
              </w:rPr>
              <w:t xml:space="preserve"> </w:t>
            </w:r>
          </w:p>
        </w:tc>
        <w:tc>
          <w:tcPr>
            <w:tcW w:w="2333" w:type="dxa"/>
            <w:shd w:val="clear" w:color="auto" w:fill="auto"/>
          </w:tcPr>
          <w:p w14:paraId="74742036"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Szerokość  </w:t>
            </w:r>
            <w:r w:rsidRPr="00813B74">
              <w:rPr>
                <w:rFonts w:ascii="Verdana" w:eastAsia="Verdana" w:hAnsi="Verdana" w:cs="Verdana"/>
                <w:b/>
                <w:lang w:eastAsia="pl-PL"/>
              </w:rPr>
              <w:t xml:space="preserve"> </w:t>
            </w:r>
          </w:p>
        </w:tc>
        <w:tc>
          <w:tcPr>
            <w:tcW w:w="3671" w:type="dxa"/>
            <w:shd w:val="clear" w:color="auto" w:fill="auto"/>
          </w:tcPr>
          <w:p w14:paraId="26049A99"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10 razy na 1 km</w:t>
            </w:r>
            <w:r w:rsidRPr="00813B74">
              <w:rPr>
                <w:rFonts w:ascii="Verdana" w:eastAsia="Verdana" w:hAnsi="Verdana" w:cs="Verdana"/>
                <w:b/>
                <w:lang w:eastAsia="pl-PL"/>
              </w:rPr>
              <w:t xml:space="preserve"> </w:t>
            </w:r>
          </w:p>
        </w:tc>
        <w:tc>
          <w:tcPr>
            <w:tcW w:w="3214" w:type="dxa"/>
          </w:tcPr>
          <w:p w14:paraId="19ABB77A"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Arial Narrow" w:hAnsi="Arial Narrow" w:cs="Times New Roman"/>
                <w:sz w:val="20"/>
              </w:rPr>
            </w:pPr>
            <w:r w:rsidRPr="00813B74">
              <w:rPr>
                <w:rFonts w:ascii="Arial Narrow" w:eastAsia="Arial Narrow" w:hAnsi="Arial Narrow" w:cs="Times New Roman"/>
                <w:sz w:val="20"/>
              </w:rPr>
              <w:t>2 razy</w:t>
            </w:r>
          </w:p>
        </w:tc>
      </w:tr>
      <w:tr w:rsidR="00813B74" w:rsidRPr="00813B74" w14:paraId="1C8CAFFB" w14:textId="77777777" w:rsidTr="0072451A">
        <w:trPr>
          <w:trHeight w:val="502"/>
        </w:trPr>
        <w:tc>
          <w:tcPr>
            <w:tcW w:w="509" w:type="dxa"/>
            <w:shd w:val="clear" w:color="auto" w:fill="auto"/>
          </w:tcPr>
          <w:p w14:paraId="05FB1D84"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2</w:t>
            </w:r>
            <w:r w:rsidRPr="00813B74">
              <w:rPr>
                <w:rFonts w:ascii="Verdana" w:eastAsia="Verdana" w:hAnsi="Verdana" w:cs="Verdana"/>
                <w:b/>
                <w:lang w:eastAsia="pl-PL"/>
              </w:rPr>
              <w:t xml:space="preserve"> </w:t>
            </w:r>
          </w:p>
        </w:tc>
        <w:tc>
          <w:tcPr>
            <w:tcW w:w="2333" w:type="dxa"/>
            <w:shd w:val="clear" w:color="auto" w:fill="auto"/>
          </w:tcPr>
          <w:p w14:paraId="0DA81584"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Równość podłużna</w:t>
            </w:r>
            <w:r w:rsidRPr="00813B74">
              <w:rPr>
                <w:rFonts w:ascii="Arial Narrow" w:eastAsia="Times New Roman" w:hAnsi="Arial Narrow" w:cs="Times New Roman"/>
                <w:vertAlign w:val="superscript"/>
                <w:lang w:eastAsia="pl-PL"/>
              </w:rPr>
              <w:t>*)</w:t>
            </w:r>
            <w:r w:rsidRPr="00813B74">
              <w:rPr>
                <w:rFonts w:ascii="Verdana" w:eastAsia="Verdana" w:hAnsi="Verdana" w:cs="Verdana"/>
                <w:b/>
                <w:lang w:eastAsia="pl-PL"/>
              </w:rPr>
              <w:t xml:space="preserve"> </w:t>
            </w:r>
          </w:p>
        </w:tc>
        <w:tc>
          <w:tcPr>
            <w:tcW w:w="3671" w:type="dxa"/>
            <w:shd w:val="clear" w:color="auto" w:fill="auto"/>
          </w:tcPr>
          <w:p w14:paraId="044E2427" w14:textId="77777777" w:rsidR="00813B74" w:rsidRPr="00813B74" w:rsidRDefault="00813B74" w:rsidP="00813B74">
            <w:pPr>
              <w:overflowPunct w:val="0"/>
              <w:autoSpaceDE w:val="0"/>
              <w:autoSpaceDN w:val="0"/>
              <w:adjustRightInd w:val="0"/>
              <w:spacing w:after="0"/>
              <w:jc w:val="both"/>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w sposób ciągły na każdym pasie ruchu łatą długości 4m lub metodą równoważną (planografem)</w:t>
            </w:r>
            <w:r w:rsidRPr="00813B74">
              <w:rPr>
                <w:rFonts w:ascii="Verdana" w:eastAsia="Verdana" w:hAnsi="Verdana" w:cs="Verdana"/>
                <w:b/>
                <w:lang w:eastAsia="pl-PL"/>
              </w:rPr>
              <w:t xml:space="preserve"> </w:t>
            </w:r>
          </w:p>
        </w:tc>
        <w:tc>
          <w:tcPr>
            <w:tcW w:w="3214" w:type="dxa"/>
          </w:tcPr>
          <w:p w14:paraId="44CD8C50"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Arial Narrow" w:hAnsi="Arial Narrow" w:cs="Times New Roman"/>
                <w:sz w:val="20"/>
              </w:rPr>
            </w:pPr>
            <w:r w:rsidRPr="00813B74">
              <w:rPr>
                <w:rFonts w:ascii="Arial Narrow" w:eastAsia="Arial Narrow" w:hAnsi="Arial Narrow" w:cs="Times New Roman"/>
                <w:sz w:val="20"/>
              </w:rPr>
              <w:t>łatą długości 4m</w:t>
            </w:r>
          </w:p>
        </w:tc>
      </w:tr>
      <w:tr w:rsidR="00813B74" w:rsidRPr="00813B74" w14:paraId="576D0782" w14:textId="77777777" w:rsidTr="0072451A">
        <w:trPr>
          <w:trHeight w:val="257"/>
        </w:trPr>
        <w:tc>
          <w:tcPr>
            <w:tcW w:w="509" w:type="dxa"/>
            <w:shd w:val="clear" w:color="auto" w:fill="auto"/>
          </w:tcPr>
          <w:p w14:paraId="5C47FEA2"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3</w:t>
            </w:r>
            <w:r w:rsidRPr="00813B74">
              <w:rPr>
                <w:rFonts w:ascii="Verdana" w:eastAsia="Verdana" w:hAnsi="Verdana" w:cs="Verdana"/>
                <w:b/>
                <w:lang w:eastAsia="pl-PL"/>
              </w:rPr>
              <w:t xml:space="preserve"> </w:t>
            </w:r>
          </w:p>
        </w:tc>
        <w:tc>
          <w:tcPr>
            <w:tcW w:w="2333" w:type="dxa"/>
            <w:shd w:val="clear" w:color="auto" w:fill="auto"/>
          </w:tcPr>
          <w:p w14:paraId="51006D82"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Równość poprzeczna</w:t>
            </w:r>
            <w:r w:rsidRPr="00813B74">
              <w:rPr>
                <w:rFonts w:ascii="Arial Narrow" w:eastAsia="Times New Roman" w:hAnsi="Arial Narrow" w:cs="Times New Roman"/>
                <w:vertAlign w:val="superscript"/>
                <w:lang w:eastAsia="pl-PL"/>
              </w:rPr>
              <w:t>*)</w:t>
            </w:r>
            <w:r w:rsidRPr="00813B74">
              <w:rPr>
                <w:rFonts w:ascii="Verdana" w:eastAsia="Verdana" w:hAnsi="Verdana" w:cs="Verdana"/>
                <w:b/>
                <w:lang w:eastAsia="pl-PL"/>
              </w:rPr>
              <w:t xml:space="preserve"> </w:t>
            </w:r>
          </w:p>
        </w:tc>
        <w:tc>
          <w:tcPr>
            <w:tcW w:w="3671" w:type="dxa"/>
            <w:shd w:val="clear" w:color="auto" w:fill="auto"/>
          </w:tcPr>
          <w:p w14:paraId="1875FA35"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10 razy na 1 km łatą długości 2m</w:t>
            </w:r>
            <w:r w:rsidRPr="00813B74">
              <w:rPr>
                <w:rFonts w:ascii="Verdana" w:eastAsia="Verdana" w:hAnsi="Verdana" w:cs="Verdana"/>
                <w:b/>
                <w:lang w:eastAsia="pl-PL"/>
              </w:rPr>
              <w:t xml:space="preserve"> </w:t>
            </w:r>
          </w:p>
        </w:tc>
        <w:tc>
          <w:tcPr>
            <w:tcW w:w="3214" w:type="dxa"/>
          </w:tcPr>
          <w:p w14:paraId="010C7EE7"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Arial Narrow" w:hAnsi="Arial Narrow" w:cs="Times New Roman"/>
                <w:sz w:val="20"/>
              </w:rPr>
            </w:pPr>
            <w:r w:rsidRPr="00813B74">
              <w:rPr>
                <w:rFonts w:ascii="Arial Narrow" w:eastAsia="Arial Narrow" w:hAnsi="Arial Narrow" w:cs="Times New Roman"/>
                <w:sz w:val="20"/>
              </w:rPr>
              <w:t>łatą długości 2m 2 razy</w:t>
            </w:r>
          </w:p>
        </w:tc>
      </w:tr>
      <w:tr w:rsidR="00813B74" w:rsidRPr="00813B74" w14:paraId="7A1B505D" w14:textId="77777777" w:rsidTr="0072451A">
        <w:trPr>
          <w:trHeight w:val="259"/>
        </w:trPr>
        <w:tc>
          <w:tcPr>
            <w:tcW w:w="509" w:type="dxa"/>
            <w:shd w:val="clear" w:color="auto" w:fill="auto"/>
          </w:tcPr>
          <w:p w14:paraId="0CC5EAC9"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4</w:t>
            </w:r>
            <w:r w:rsidRPr="00813B74">
              <w:rPr>
                <w:rFonts w:ascii="Verdana" w:eastAsia="Verdana" w:hAnsi="Verdana" w:cs="Verdana"/>
                <w:b/>
                <w:lang w:eastAsia="pl-PL"/>
              </w:rPr>
              <w:t xml:space="preserve"> </w:t>
            </w:r>
          </w:p>
        </w:tc>
        <w:tc>
          <w:tcPr>
            <w:tcW w:w="2333" w:type="dxa"/>
            <w:shd w:val="clear" w:color="auto" w:fill="auto"/>
          </w:tcPr>
          <w:p w14:paraId="1FCCD6D2"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Spadki poprzeczne</w:t>
            </w:r>
            <w:r w:rsidRPr="00813B74">
              <w:rPr>
                <w:rFonts w:ascii="Arial Narrow" w:eastAsia="Times New Roman" w:hAnsi="Arial Narrow" w:cs="Times New Roman"/>
                <w:vertAlign w:val="superscript"/>
                <w:lang w:eastAsia="pl-PL"/>
              </w:rPr>
              <w:t>**)</w:t>
            </w:r>
            <w:r w:rsidRPr="00813B74">
              <w:rPr>
                <w:rFonts w:ascii="Verdana" w:eastAsia="Verdana" w:hAnsi="Verdana" w:cs="Verdana"/>
                <w:b/>
                <w:lang w:eastAsia="pl-PL"/>
              </w:rPr>
              <w:t xml:space="preserve"> </w:t>
            </w:r>
          </w:p>
        </w:tc>
        <w:tc>
          <w:tcPr>
            <w:tcW w:w="3671" w:type="dxa"/>
            <w:shd w:val="clear" w:color="auto" w:fill="auto"/>
          </w:tcPr>
          <w:p w14:paraId="1059F9CD"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10 razy na 1 km</w:t>
            </w:r>
            <w:r w:rsidRPr="00813B74">
              <w:rPr>
                <w:rFonts w:ascii="Verdana" w:eastAsia="Verdana" w:hAnsi="Verdana" w:cs="Verdana"/>
                <w:b/>
                <w:lang w:eastAsia="pl-PL"/>
              </w:rPr>
              <w:t xml:space="preserve"> </w:t>
            </w:r>
          </w:p>
        </w:tc>
        <w:tc>
          <w:tcPr>
            <w:tcW w:w="3214" w:type="dxa"/>
          </w:tcPr>
          <w:p w14:paraId="66D0FA32"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Arial Narrow" w:hAnsi="Arial Narrow" w:cs="Times New Roman"/>
                <w:sz w:val="20"/>
              </w:rPr>
            </w:pPr>
            <w:r w:rsidRPr="00813B74">
              <w:rPr>
                <w:rFonts w:ascii="Arial Narrow" w:eastAsia="Arial Narrow" w:hAnsi="Arial Narrow" w:cs="Times New Roman"/>
                <w:sz w:val="20"/>
              </w:rPr>
              <w:t>2 razy</w:t>
            </w:r>
          </w:p>
        </w:tc>
      </w:tr>
      <w:tr w:rsidR="00813B74" w:rsidRPr="00813B74" w14:paraId="7C27046E" w14:textId="77777777" w:rsidTr="0072451A">
        <w:trPr>
          <w:trHeight w:val="502"/>
        </w:trPr>
        <w:tc>
          <w:tcPr>
            <w:tcW w:w="509" w:type="dxa"/>
            <w:shd w:val="clear" w:color="auto" w:fill="auto"/>
          </w:tcPr>
          <w:p w14:paraId="04E6F7D3"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5</w:t>
            </w:r>
            <w:r w:rsidRPr="00813B74">
              <w:rPr>
                <w:rFonts w:ascii="Verdana" w:eastAsia="Verdana" w:hAnsi="Verdana" w:cs="Verdana"/>
                <w:b/>
                <w:lang w:eastAsia="pl-PL"/>
              </w:rPr>
              <w:t xml:space="preserve"> </w:t>
            </w:r>
          </w:p>
        </w:tc>
        <w:tc>
          <w:tcPr>
            <w:tcW w:w="2333" w:type="dxa"/>
            <w:shd w:val="clear" w:color="auto" w:fill="auto"/>
          </w:tcPr>
          <w:p w14:paraId="2BBE0CD4"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Rzędne wysokościowe</w:t>
            </w:r>
            <w:r w:rsidRPr="00813B74">
              <w:rPr>
                <w:rFonts w:ascii="Verdana" w:eastAsia="Verdana" w:hAnsi="Verdana" w:cs="Verdana"/>
                <w:b/>
                <w:lang w:eastAsia="pl-PL"/>
              </w:rPr>
              <w:t xml:space="preserve"> </w:t>
            </w:r>
          </w:p>
        </w:tc>
        <w:tc>
          <w:tcPr>
            <w:tcW w:w="3671" w:type="dxa"/>
            <w:shd w:val="clear" w:color="auto" w:fill="auto"/>
          </w:tcPr>
          <w:p w14:paraId="34FEFD2E" w14:textId="77777777" w:rsidR="00813B74" w:rsidRPr="00813B74" w:rsidRDefault="00813B74" w:rsidP="00813B74">
            <w:pPr>
              <w:overflowPunct w:val="0"/>
              <w:autoSpaceDE w:val="0"/>
              <w:autoSpaceDN w:val="0"/>
              <w:adjustRightInd w:val="0"/>
              <w:spacing w:after="0"/>
              <w:jc w:val="both"/>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dla każdej jezdni  co 20m na odcinkach prostych i co 10m na łukach; w osi jezdni i na jej krawędziach </w:t>
            </w:r>
          </w:p>
        </w:tc>
        <w:tc>
          <w:tcPr>
            <w:tcW w:w="3214" w:type="dxa"/>
          </w:tcPr>
          <w:p w14:paraId="35439139"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Arial Narrow" w:hAnsi="Arial Narrow" w:cs="Times New Roman"/>
                <w:sz w:val="20"/>
              </w:rPr>
            </w:pPr>
            <w:r w:rsidRPr="00813B74">
              <w:rPr>
                <w:rFonts w:ascii="Arial Narrow" w:eastAsia="Arial Narrow" w:hAnsi="Arial Narrow" w:cs="Times New Roman"/>
                <w:sz w:val="20"/>
              </w:rPr>
              <w:t>2 razy w osi</w:t>
            </w:r>
          </w:p>
        </w:tc>
      </w:tr>
      <w:tr w:rsidR="00813B74" w:rsidRPr="00813B74" w14:paraId="6B3D0114" w14:textId="77777777" w:rsidTr="0072451A">
        <w:trPr>
          <w:trHeight w:val="257"/>
        </w:trPr>
        <w:tc>
          <w:tcPr>
            <w:tcW w:w="509" w:type="dxa"/>
            <w:shd w:val="clear" w:color="auto" w:fill="auto"/>
          </w:tcPr>
          <w:p w14:paraId="7FE1F029"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6</w:t>
            </w:r>
            <w:r w:rsidRPr="00813B74">
              <w:rPr>
                <w:rFonts w:ascii="Verdana" w:eastAsia="Verdana" w:hAnsi="Verdana" w:cs="Verdana"/>
                <w:b/>
                <w:lang w:eastAsia="pl-PL"/>
              </w:rPr>
              <w:t xml:space="preserve"> </w:t>
            </w:r>
          </w:p>
        </w:tc>
        <w:tc>
          <w:tcPr>
            <w:tcW w:w="2333" w:type="dxa"/>
            <w:shd w:val="clear" w:color="auto" w:fill="auto"/>
          </w:tcPr>
          <w:p w14:paraId="19C74D02" w14:textId="77777777" w:rsidR="00813B74" w:rsidRPr="00813B74" w:rsidRDefault="00813B74" w:rsidP="00813B74">
            <w:pPr>
              <w:overflowPunct w:val="0"/>
              <w:autoSpaceDE w:val="0"/>
              <w:autoSpaceDN w:val="0"/>
              <w:adjustRightInd w:val="0"/>
              <w:spacing w:after="0"/>
              <w:jc w:val="both"/>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Ukształtowanie osi w planie</w:t>
            </w:r>
            <w:r w:rsidRPr="00813B74">
              <w:rPr>
                <w:rFonts w:ascii="Verdana" w:eastAsia="Verdana" w:hAnsi="Verdana" w:cs="Verdana"/>
                <w:b/>
                <w:lang w:eastAsia="pl-PL"/>
              </w:rPr>
              <w:t xml:space="preserve"> </w:t>
            </w:r>
          </w:p>
        </w:tc>
        <w:tc>
          <w:tcPr>
            <w:tcW w:w="3671" w:type="dxa"/>
            <w:shd w:val="clear" w:color="auto" w:fill="auto"/>
          </w:tcPr>
          <w:p w14:paraId="0DE1FFCD"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10 razy na 1 km</w:t>
            </w:r>
            <w:r w:rsidRPr="00813B74">
              <w:rPr>
                <w:rFonts w:ascii="Verdana" w:eastAsia="Verdana" w:hAnsi="Verdana" w:cs="Verdana"/>
                <w:b/>
                <w:lang w:eastAsia="pl-PL"/>
              </w:rPr>
              <w:t xml:space="preserve"> </w:t>
            </w:r>
          </w:p>
        </w:tc>
        <w:tc>
          <w:tcPr>
            <w:tcW w:w="3214" w:type="dxa"/>
          </w:tcPr>
          <w:p w14:paraId="321F062F"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Arial Narrow" w:hAnsi="Arial Narrow" w:cs="Times New Roman"/>
                <w:sz w:val="20"/>
              </w:rPr>
            </w:pPr>
            <w:r w:rsidRPr="00813B74">
              <w:rPr>
                <w:rFonts w:ascii="Arial Narrow" w:eastAsia="Arial Narrow" w:hAnsi="Arial Narrow" w:cs="Times New Roman"/>
                <w:sz w:val="20"/>
              </w:rPr>
              <w:t>1 raz</w:t>
            </w:r>
          </w:p>
        </w:tc>
      </w:tr>
      <w:tr w:rsidR="00813B74" w:rsidRPr="00813B74" w14:paraId="74C41BE7" w14:textId="77777777" w:rsidTr="0072451A">
        <w:trPr>
          <w:trHeight w:val="259"/>
        </w:trPr>
        <w:tc>
          <w:tcPr>
            <w:tcW w:w="509" w:type="dxa"/>
            <w:shd w:val="clear" w:color="auto" w:fill="auto"/>
          </w:tcPr>
          <w:p w14:paraId="1E5F4B76"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7 </w:t>
            </w:r>
          </w:p>
        </w:tc>
        <w:tc>
          <w:tcPr>
            <w:tcW w:w="2333" w:type="dxa"/>
            <w:shd w:val="clear" w:color="auto" w:fill="auto"/>
          </w:tcPr>
          <w:p w14:paraId="48DEB69F"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Grubość  </w:t>
            </w:r>
          </w:p>
        </w:tc>
        <w:tc>
          <w:tcPr>
            <w:tcW w:w="3671" w:type="dxa"/>
            <w:shd w:val="clear" w:color="auto" w:fill="auto"/>
          </w:tcPr>
          <w:p w14:paraId="2310D9EA"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10 razy na 1 km </w:t>
            </w:r>
          </w:p>
        </w:tc>
        <w:tc>
          <w:tcPr>
            <w:tcW w:w="3214" w:type="dxa"/>
          </w:tcPr>
          <w:p w14:paraId="5884ABEA" w14:textId="77777777" w:rsidR="00813B74" w:rsidRPr="00813B74" w:rsidRDefault="00813B74" w:rsidP="00813B74">
            <w:pPr>
              <w:overflowPunct w:val="0"/>
              <w:autoSpaceDE w:val="0"/>
              <w:autoSpaceDN w:val="0"/>
              <w:adjustRightInd w:val="0"/>
              <w:spacing w:after="0" w:line="240" w:lineRule="auto"/>
              <w:textAlignment w:val="baseline"/>
              <w:rPr>
                <w:rFonts w:ascii="Arial Narrow" w:eastAsia="Arial Narrow" w:hAnsi="Arial Narrow" w:cs="Times New Roman"/>
                <w:sz w:val="20"/>
              </w:rPr>
            </w:pPr>
            <w:r w:rsidRPr="00813B74">
              <w:rPr>
                <w:rFonts w:ascii="Arial Narrow" w:eastAsia="Arial Narrow" w:hAnsi="Arial Narrow" w:cs="Times New Roman"/>
                <w:sz w:val="20"/>
              </w:rPr>
              <w:t>1 raz</w:t>
            </w:r>
          </w:p>
        </w:tc>
      </w:tr>
    </w:tbl>
    <w:p w14:paraId="226F5C57"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 Dodatkowe pomiary spadków poprzecznych i ukształtowania osi w planie należy wykonać w punktach głównych łuków poziomych. </w:t>
      </w:r>
    </w:p>
    <w:p w14:paraId="25362CFB"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Dopuszczalne tolerancje wobec poszczególnych cech geometrycznych wykonanej warstwy podano w Tabeli 10. </w:t>
      </w:r>
    </w:p>
    <w:p w14:paraId="2A685594"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Tabela 10. Dopuszczalne tolerancje dla wymaganych cech geometrycznych podbudowy i warstwy mrozoochronnej z mieszanki kruszywa związanej cementem </w:t>
      </w:r>
    </w:p>
    <w:tbl>
      <w:tblPr>
        <w:tblW w:w="8927" w:type="dxa"/>
        <w:tblInd w:w="17" w:type="dxa"/>
        <w:tblCellMar>
          <w:top w:w="54" w:type="dxa"/>
          <w:right w:w="36" w:type="dxa"/>
        </w:tblCellMar>
        <w:tblLook w:val="04A0" w:firstRow="1" w:lastRow="0" w:firstColumn="1" w:lastColumn="0" w:noHBand="0" w:noVBand="1"/>
      </w:tblPr>
      <w:tblGrid>
        <w:gridCol w:w="535"/>
        <w:gridCol w:w="3005"/>
        <w:gridCol w:w="5387"/>
      </w:tblGrid>
      <w:tr w:rsidR="00813B74" w:rsidRPr="00813B74" w14:paraId="0CB70096" w14:textId="77777777" w:rsidTr="0072451A">
        <w:trPr>
          <w:trHeight w:val="252"/>
        </w:trPr>
        <w:tc>
          <w:tcPr>
            <w:tcW w:w="535" w:type="dxa"/>
            <w:tcBorders>
              <w:top w:val="single" w:sz="4" w:space="0" w:color="000000"/>
              <w:left w:val="single" w:sz="4" w:space="0" w:color="000000"/>
              <w:bottom w:val="single" w:sz="4" w:space="0" w:color="000000"/>
              <w:right w:val="single" w:sz="4" w:space="0" w:color="000000"/>
            </w:tcBorders>
            <w:shd w:val="clear" w:color="auto" w:fill="auto"/>
          </w:tcPr>
          <w:p w14:paraId="7FA7D1AC"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Lp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Pr>
          <w:p w14:paraId="6423BB8D"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Cecha mierzona </w:t>
            </w:r>
          </w:p>
        </w:tc>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49DF0B08"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Tolerancja </w:t>
            </w:r>
          </w:p>
        </w:tc>
      </w:tr>
      <w:tr w:rsidR="00813B74" w:rsidRPr="00813B74" w14:paraId="66BF27C4" w14:textId="77777777" w:rsidTr="0072451A">
        <w:trPr>
          <w:trHeight w:val="984"/>
        </w:trPr>
        <w:tc>
          <w:tcPr>
            <w:tcW w:w="535" w:type="dxa"/>
            <w:tcBorders>
              <w:top w:val="single" w:sz="4" w:space="0" w:color="000000"/>
              <w:left w:val="single" w:sz="4" w:space="0" w:color="000000"/>
              <w:bottom w:val="single" w:sz="4" w:space="0" w:color="000000"/>
              <w:right w:val="single" w:sz="4" w:space="0" w:color="000000"/>
            </w:tcBorders>
            <w:shd w:val="clear" w:color="auto" w:fill="auto"/>
          </w:tcPr>
          <w:p w14:paraId="639E2354"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1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Pr>
          <w:p w14:paraId="44BE2721"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Szerokość warstwy </w:t>
            </w:r>
          </w:p>
        </w:tc>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4DF0001E" w14:textId="77777777" w:rsidR="00813B74" w:rsidRPr="00813B74" w:rsidRDefault="00813B74" w:rsidP="00813B74">
            <w:pPr>
              <w:overflowPunct w:val="0"/>
              <w:autoSpaceDE w:val="0"/>
              <w:autoSpaceDN w:val="0"/>
              <w:adjustRightInd w:val="0"/>
              <w:spacing w:after="0" w:line="243" w:lineRule="auto"/>
              <w:jc w:val="both"/>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Tolerancja dla pojedynczego wyniku +10 cm, -5 cm od szerokości projektowanej. </w:t>
            </w:r>
          </w:p>
          <w:p w14:paraId="0B4164A8" w14:textId="77777777" w:rsidR="00813B74" w:rsidRPr="00813B74" w:rsidRDefault="00813B74" w:rsidP="00813B74">
            <w:pPr>
              <w:overflowPunct w:val="0"/>
              <w:autoSpaceDE w:val="0"/>
              <w:autoSpaceDN w:val="0"/>
              <w:adjustRightInd w:val="0"/>
              <w:spacing w:after="0"/>
              <w:jc w:val="both"/>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lastRenderedPageBreak/>
              <w:t xml:space="preserve">Dla wartości średniej elementu podlegającego odbiorowi od 0,0 do +10,0 cm. </w:t>
            </w:r>
          </w:p>
        </w:tc>
      </w:tr>
      <w:tr w:rsidR="00813B74" w:rsidRPr="00813B74" w14:paraId="3219E08D" w14:textId="77777777" w:rsidTr="0072451A">
        <w:trPr>
          <w:trHeight w:val="1224"/>
        </w:trPr>
        <w:tc>
          <w:tcPr>
            <w:tcW w:w="535" w:type="dxa"/>
            <w:tcBorders>
              <w:top w:val="single" w:sz="4" w:space="0" w:color="000000"/>
              <w:left w:val="single" w:sz="4" w:space="0" w:color="000000"/>
              <w:bottom w:val="single" w:sz="4" w:space="0" w:color="000000"/>
              <w:right w:val="single" w:sz="4" w:space="0" w:color="000000"/>
            </w:tcBorders>
            <w:shd w:val="clear" w:color="auto" w:fill="auto"/>
          </w:tcPr>
          <w:p w14:paraId="4E6586E2"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lastRenderedPageBreak/>
              <w:t xml:space="preserve">2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Pr>
          <w:p w14:paraId="27F46F88"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Równość podłużna  </w:t>
            </w:r>
          </w:p>
        </w:tc>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67678FAB"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Zgodnie z zał. nr 1 do rozporządzenia Ministra </w:t>
            </w:r>
          </w:p>
          <w:p w14:paraId="0AFF761B"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Infrastruktury z dnia 1 sierpnia 2019 r. (Dz. U. poz. </w:t>
            </w:r>
          </w:p>
          <w:p w14:paraId="05629B44"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1643) - podbudowa zasadnicza </w:t>
            </w:r>
          </w:p>
          <w:p w14:paraId="32EB2EAF"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±15 mm – podbudowa pomocnicza </w:t>
            </w:r>
          </w:p>
          <w:p w14:paraId="036AC525"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±20 mm – warstwa mrozoochronna </w:t>
            </w:r>
          </w:p>
        </w:tc>
      </w:tr>
      <w:tr w:rsidR="00813B74" w:rsidRPr="00813B74" w14:paraId="1D4FB5B1" w14:textId="77777777" w:rsidTr="0072451A">
        <w:trPr>
          <w:trHeight w:val="1226"/>
        </w:trPr>
        <w:tc>
          <w:tcPr>
            <w:tcW w:w="535" w:type="dxa"/>
            <w:tcBorders>
              <w:top w:val="single" w:sz="4" w:space="0" w:color="000000"/>
              <w:left w:val="single" w:sz="4" w:space="0" w:color="000000"/>
              <w:bottom w:val="single" w:sz="4" w:space="0" w:color="000000"/>
              <w:right w:val="single" w:sz="4" w:space="0" w:color="000000"/>
            </w:tcBorders>
            <w:shd w:val="clear" w:color="auto" w:fill="auto"/>
          </w:tcPr>
          <w:p w14:paraId="25C85F56"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3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Pr>
          <w:p w14:paraId="12FE1F1E"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Równość poprzeczna </w:t>
            </w:r>
          </w:p>
        </w:tc>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39FC7034" w14:textId="77777777" w:rsidR="00813B74" w:rsidRPr="00813B74" w:rsidRDefault="00813B74" w:rsidP="00813B74">
            <w:pPr>
              <w:overflowPunct w:val="0"/>
              <w:autoSpaceDE w:val="0"/>
              <w:autoSpaceDN w:val="0"/>
              <w:adjustRightInd w:val="0"/>
              <w:spacing w:after="0" w:line="242" w:lineRule="auto"/>
              <w:jc w:val="both"/>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Zgodnie z zał. nr 1 do rozporządzenia Ministra Infrastruktury z dnia 1 sierpnia 2019 r. (Dz. U. poz. </w:t>
            </w:r>
          </w:p>
          <w:p w14:paraId="24695E79"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1643) - podbudowa zasadnicza </w:t>
            </w:r>
          </w:p>
          <w:p w14:paraId="795A0ACA"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±15mm – podbudowa pomocnicza </w:t>
            </w:r>
          </w:p>
          <w:p w14:paraId="0E5CE87D"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±20 mm – warstwa mrozoochronna </w:t>
            </w:r>
          </w:p>
        </w:tc>
      </w:tr>
      <w:tr w:rsidR="00813B74" w:rsidRPr="00813B74" w14:paraId="4CD07D1E" w14:textId="77777777" w:rsidTr="0072451A">
        <w:trPr>
          <w:trHeight w:val="252"/>
        </w:trPr>
        <w:tc>
          <w:tcPr>
            <w:tcW w:w="535" w:type="dxa"/>
            <w:tcBorders>
              <w:top w:val="single" w:sz="4" w:space="0" w:color="000000"/>
              <w:left w:val="single" w:sz="4" w:space="0" w:color="000000"/>
              <w:bottom w:val="single" w:sz="4" w:space="0" w:color="000000"/>
              <w:right w:val="single" w:sz="4" w:space="0" w:color="000000"/>
            </w:tcBorders>
            <w:shd w:val="clear" w:color="auto" w:fill="auto"/>
          </w:tcPr>
          <w:p w14:paraId="15F9F635"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4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Pr>
          <w:p w14:paraId="31671DDB"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Spadki poprzeczne </w:t>
            </w:r>
          </w:p>
        </w:tc>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5BF122CA"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±0,5% </w:t>
            </w:r>
          </w:p>
        </w:tc>
      </w:tr>
      <w:tr w:rsidR="00813B74" w:rsidRPr="00813B74" w14:paraId="142C0BCE" w14:textId="77777777" w:rsidTr="0072451A">
        <w:trPr>
          <w:trHeight w:val="740"/>
        </w:trPr>
        <w:tc>
          <w:tcPr>
            <w:tcW w:w="535" w:type="dxa"/>
            <w:tcBorders>
              <w:top w:val="single" w:sz="4" w:space="0" w:color="000000"/>
              <w:left w:val="single" w:sz="4" w:space="0" w:color="000000"/>
              <w:bottom w:val="single" w:sz="4" w:space="0" w:color="000000"/>
              <w:right w:val="single" w:sz="4" w:space="0" w:color="000000"/>
            </w:tcBorders>
            <w:shd w:val="clear" w:color="auto" w:fill="auto"/>
          </w:tcPr>
          <w:p w14:paraId="755CCAA7"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5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Pr>
          <w:p w14:paraId="03D751F2"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Rzędne wysokościowe </w:t>
            </w:r>
          </w:p>
        </w:tc>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766F6C54" w14:textId="77777777" w:rsidR="00813B74" w:rsidRPr="00813B74" w:rsidRDefault="00813B74" w:rsidP="00813B74">
            <w:pPr>
              <w:overflowPunct w:val="0"/>
              <w:autoSpaceDE w:val="0"/>
              <w:autoSpaceDN w:val="0"/>
              <w:adjustRightInd w:val="0"/>
              <w:spacing w:after="0" w:line="243" w:lineRule="auto"/>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-2 cm / +1 cm – podbudowa pomocnicza i warstwa mrozoochronna </w:t>
            </w:r>
          </w:p>
          <w:p w14:paraId="2B9BD44B"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-1 cm / +0 cm – podbudowa zasadnicza </w:t>
            </w:r>
          </w:p>
        </w:tc>
      </w:tr>
      <w:tr w:rsidR="00813B74" w:rsidRPr="00813B74" w14:paraId="0CD38655" w14:textId="77777777" w:rsidTr="0072451A">
        <w:trPr>
          <w:trHeight w:val="254"/>
        </w:trPr>
        <w:tc>
          <w:tcPr>
            <w:tcW w:w="535" w:type="dxa"/>
            <w:tcBorders>
              <w:top w:val="single" w:sz="4" w:space="0" w:color="000000"/>
              <w:left w:val="single" w:sz="4" w:space="0" w:color="000000"/>
              <w:bottom w:val="single" w:sz="4" w:space="0" w:color="000000"/>
              <w:right w:val="single" w:sz="4" w:space="0" w:color="000000"/>
            </w:tcBorders>
            <w:shd w:val="clear" w:color="auto" w:fill="auto"/>
          </w:tcPr>
          <w:p w14:paraId="78CD870B"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6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Pr>
          <w:p w14:paraId="7FC2AD73"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Ukształtowanie osi w planie </w:t>
            </w:r>
          </w:p>
        </w:tc>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6A8509BD"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±5cm  </w:t>
            </w:r>
          </w:p>
        </w:tc>
      </w:tr>
      <w:tr w:rsidR="00813B74" w:rsidRPr="00813B74" w14:paraId="4E4858EE" w14:textId="77777777" w:rsidTr="0072451A">
        <w:trPr>
          <w:trHeight w:val="252"/>
        </w:trPr>
        <w:tc>
          <w:tcPr>
            <w:tcW w:w="535" w:type="dxa"/>
            <w:tcBorders>
              <w:top w:val="single" w:sz="4" w:space="0" w:color="000000"/>
              <w:left w:val="single" w:sz="4" w:space="0" w:color="000000"/>
              <w:bottom w:val="single" w:sz="4" w:space="0" w:color="000000"/>
              <w:right w:val="single" w:sz="4" w:space="0" w:color="000000"/>
            </w:tcBorders>
            <w:shd w:val="clear" w:color="auto" w:fill="auto"/>
          </w:tcPr>
          <w:p w14:paraId="29D52939" w14:textId="77777777" w:rsidR="00813B74" w:rsidRPr="00813B74" w:rsidRDefault="00813B74" w:rsidP="00813B74">
            <w:pPr>
              <w:overflowPunct w:val="0"/>
              <w:autoSpaceDE w:val="0"/>
              <w:autoSpaceDN w:val="0"/>
              <w:adjustRightInd w:val="0"/>
              <w:spacing w:after="0"/>
              <w:ind w:left="2"/>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7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Pr>
          <w:p w14:paraId="719B27FA"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Grubość warstwy </w:t>
            </w:r>
          </w:p>
        </w:tc>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68598B78" w14:textId="77777777" w:rsidR="00813B74" w:rsidRPr="00813B74" w:rsidRDefault="00813B74" w:rsidP="00813B74">
            <w:pPr>
              <w:overflowPunct w:val="0"/>
              <w:autoSpaceDE w:val="0"/>
              <w:autoSpaceDN w:val="0"/>
              <w:adjustRightInd w:val="0"/>
              <w:spacing w:after="0"/>
              <w:textAlignment w:val="baseline"/>
              <w:rPr>
                <w:rFonts w:ascii="Arial Narrow" w:eastAsia="Times New Roman" w:hAnsi="Arial Narrow" w:cs="Times New Roman"/>
                <w:lang w:eastAsia="pl-PL"/>
              </w:rPr>
            </w:pPr>
            <w:r w:rsidRPr="00813B74">
              <w:rPr>
                <w:rFonts w:ascii="Arial Narrow" w:eastAsia="Times New Roman" w:hAnsi="Arial Narrow" w:cs="Times New Roman"/>
                <w:lang w:eastAsia="pl-PL"/>
              </w:rPr>
              <w:t xml:space="preserve">±10%  </w:t>
            </w:r>
          </w:p>
        </w:tc>
      </w:tr>
    </w:tbl>
    <w:p w14:paraId="4888703C" w14:textId="77777777" w:rsidR="00813B74" w:rsidRPr="00813B74" w:rsidRDefault="00813B74" w:rsidP="00813B74">
      <w:pPr>
        <w:overflowPunct w:val="0"/>
        <w:autoSpaceDE w:val="0"/>
        <w:autoSpaceDN w:val="0"/>
        <w:adjustRightInd w:val="0"/>
        <w:spacing w:after="0"/>
        <w:ind w:left="12"/>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 </w:t>
      </w:r>
    </w:p>
    <w:p w14:paraId="35469C78"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47" w:name="_Toc49134"/>
      <w:r w:rsidRPr="00813B74">
        <w:rPr>
          <w:rFonts w:ascii="Arial Narrow" w:eastAsia="Times New Roman" w:hAnsi="Arial Narrow" w:cs="Times New Roman"/>
          <w:b/>
          <w:sz w:val="28"/>
          <w:szCs w:val="20"/>
          <w:lang w:val="x-none" w:eastAsia="x-none"/>
        </w:rPr>
        <w:t>6.3.</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Badania i pomiary kontrolne </w:t>
      </w:r>
      <w:bookmarkEnd w:id="647"/>
    </w:p>
    <w:p w14:paraId="70ED65EE"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Badania i pomiary kontrolne są zlecane przez Inżyniera/Inspektora Nadzoru, a których celem jest sprawdzenie, czy jakość zastosowanych materiałów i wyrobów budowlanych oraz gotowej warstwy spełniają wymagania określone w kontrakcie. </w:t>
      </w:r>
    </w:p>
    <w:p w14:paraId="5E6C6075"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Pobieraniem próbek, wykonaniem badań i pomiarów na miejscu budowy zajmuje się Laboratorium Zamawiającego/Inżynier/Inspektor Nadzoru przy udziale lub po poinformowaniu przedstawicieli Wykonawcy. Zamawiający decyduje o wyborze Laboratorium Zamawiającego. </w:t>
      </w:r>
    </w:p>
    <w:p w14:paraId="7EBD5239"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48" w:name="_Toc49135"/>
      <w:r w:rsidRPr="00813B74">
        <w:rPr>
          <w:rFonts w:ascii="Arial Narrow" w:eastAsia="Times New Roman" w:hAnsi="Arial Narrow" w:cs="Times New Roman"/>
          <w:b/>
          <w:sz w:val="28"/>
          <w:szCs w:val="20"/>
          <w:lang w:val="x-none" w:eastAsia="x-none"/>
        </w:rPr>
        <w:t>6.4.</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Badania i pomiary kontrolne dodatkowe </w:t>
      </w:r>
      <w:bookmarkEnd w:id="648"/>
    </w:p>
    <w:p w14:paraId="40086039"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W wypadku uznania, że jeden z wyników badań lub pomiarów kontrolnych nie jest reprezentatywny dla ocenianego odcinka budowy, strony kontraktu mogą wystąpić o przeprowadzenie badań lub pomiarów kontrolnych dodatkowych. Badania kontrolne dodatkowe są wykonywane przez Laboratorium Zamawiającego. </w:t>
      </w:r>
    </w:p>
    <w:p w14:paraId="1C604CF1"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Inżynier/Inspektor Nadzoru decyduje o miejscach pobierania próbek i wyznaczeniu odcinków częściowych ocenianego odcinka budowy tzn. dziennej działki roboczej. </w:t>
      </w:r>
      <w:r w:rsidRPr="00813B74">
        <w:rPr>
          <w:rFonts w:ascii="Verdana" w:eastAsia="Verdana" w:hAnsi="Verdana" w:cs="Verdana"/>
          <w:b/>
          <w:sz w:val="20"/>
          <w:szCs w:val="20"/>
          <w:lang w:eastAsia="pl-PL"/>
        </w:rPr>
        <w:t xml:space="preserve"> </w:t>
      </w:r>
    </w:p>
    <w:p w14:paraId="3574720C"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49" w:name="_Toc49136"/>
      <w:r w:rsidRPr="00813B74">
        <w:rPr>
          <w:rFonts w:ascii="Arial Narrow" w:eastAsia="Times New Roman" w:hAnsi="Arial Narrow" w:cs="Times New Roman"/>
          <w:b/>
          <w:sz w:val="28"/>
          <w:szCs w:val="20"/>
          <w:lang w:val="x-none" w:eastAsia="x-none"/>
        </w:rPr>
        <w:t>6.5.</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Badania i pomiary arbitrażowe </w:t>
      </w:r>
      <w:bookmarkEnd w:id="649"/>
    </w:p>
    <w:p w14:paraId="4F480E8D"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Badania i pomiary arbitrażowe są powtórzeniem badań lub pomiarów kontrolnych i/lub kontrolnych dodatkowych, co do których istnieją uzasadnione wątpliwości ze strony Inżyniera/Inspektora Nadzoru, Zamawiającego lub Wykonawcy (np. na podstawie własnych badań). </w:t>
      </w:r>
    </w:p>
    <w:p w14:paraId="1A63090C"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Badania i pomiary arbitrażowe wykonuje się na wniosek strony kontraktu. Badania i pomiary arbitrażowe wykonuje bezstronne, akredytowane laboratorium (w tym inne laboratorium GDDKiA), które nie wykonywało badań lub pomiarów kontrolnych, przy udziale lub po poinformowaniu przedstawicieli stron. </w:t>
      </w:r>
    </w:p>
    <w:p w14:paraId="645ED252"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W przypadku wniosku Wykonawcy zgodę na przeprowadzenie badań i pomiarów arbitrażowych wyraża Inżynier/Inspektor Nadzoru po wcześniejszej analizie zasadności wniosku. Zamawiający akceptuje laboratorium, które przeprowadzi badania lub pomiary arbitrażowe. </w:t>
      </w:r>
    </w:p>
    <w:p w14:paraId="24B78023"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50" w:name="_Toc49137"/>
      <w:r w:rsidRPr="00813B74">
        <w:rPr>
          <w:rFonts w:ascii="Arial Narrow" w:eastAsia="Times New Roman" w:hAnsi="Arial Narrow" w:cs="Times New Roman"/>
          <w:b/>
          <w:sz w:val="28"/>
          <w:szCs w:val="20"/>
          <w:lang w:val="x-none" w:eastAsia="x-none"/>
        </w:rPr>
        <w:t>6.6.</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Badania i pomiary przed przystąpieniem do robót </w:t>
      </w:r>
      <w:bookmarkEnd w:id="650"/>
    </w:p>
    <w:p w14:paraId="2EBB8B38"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Przed przystąpieniem do robót Wykonawca powinien: </w:t>
      </w:r>
    </w:p>
    <w:p w14:paraId="6BD8A847"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uzyskać wymagane dokumenty, dopuszczające wyroby budowlane do obrotu i powszechnego stosowania (np. stwierdzenie o oznakowaniu materiału znakiem CE lub znakiem budowlanym B, Certyfikat Zgodności ZKP/Stałości Właściwości Użytkowych, deklarację właściwości użytkowych,  KOT/EOT, aprobatę techniczną, ew. badania materiałów wykonane przez dostawców itp.), </w:t>
      </w:r>
    </w:p>
    <w:p w14:paraId="71BC89D3"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ew. wykonać własne badania właściwości materiałów przeznaczonych do wykonania robót, określone przez Inżyniera/Inspektora Nadzoru. </w:t>
      </w:r>
    </w:p>
    <w:p w14:paraId="6900625B" w14:textId="77777777" w:rsidR="00813B74" w:rsidRPr="00813B74" w:rsidRDefault="00813B74" w:rsidP="00813B74">
      <w:pPr>
        <w:tabs>
          <w:tab w:val="center" w:pos="2054"/>
          <w:tab w:val="center" w:pos="3309"/>
          <w:tab w:val="center" w:pos="4322"/>
          <w:tab w:val="center" w:pos="5426"/>
          <w:tab w:val="center" w:pos="6806"/>
          <w:tab w:val="right" w:pos="9156"/>
        </w:tabs>
        <w:overflowPunct w:val="0"/>
        <w:autoSpaceDE w:val="0"/>
        <w:autoSpaceDN w:val="0"/>
        <w:adjustRightInd w:val="0"/>
        <w:spacing w:after="16" w:line="240" w:lineRule="auto"/>
        <w:ind w:left="-3"/>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Wszystkie dokumenty </w:t>
      </w:r>
      <w:r w:rsidRPr="00813B74">
        <w:rPr>
          <w:rFonts w:ascii="Arial Narrow" w:eastAsia="Times New Roman" w:hAnsi="Arial Narrow" w:cs="Times New Roman"/>
          <w:sz w:val="20"/>
          <w:szCs w:val="20"/>
          <w:lang w:eastAsia="pl-PL"/>
        </w:rPr>
        <w:tab/>
        <w:t xml:space="preserve">oraz wyniki badań </w:t>
      </w:r>
      <w:r w:rsidRPr="00813B74">
        <w:rPr>
          <w:rFonts w:ascii="Arial Narrow" w:eastAsia="Times New Roman" w:hAnsi="Arial Narrow" w:cs="Times New Roman"/>
          <w:sz w:val="20"/>
          <w:szCs w:val="20"/>
          <w:lang w:eastAsia="pl-PL"/>
        </w:rPr>
        <w:tab/>
        <w:t xml:space="preserve">Wykonawca </w:t>
      </w:r>
      <w:r w:rsidRPr="00813B74">
        <w:rPr>
          <w:rFonts w:ascii="Arial Narrow" w:eastAsia="Times New Roman" w:hAnsi="Arial Narrow" w:cs="Times New Roman"/>
          <w:sz w:val="20"/>
          <w:szCs w:val="20"/>
          <w:lang w:eastAsia="pl-PL"/>
        </w:rPr>
        <w:tab/>
        <w:t xml:space="preserve">przedstawia Inżynierowi/Inspektorowi Nadzoru  do akceptacji. </w:t>
      </w:r>
    </w:p>
    <w:p w14:paraId="4ECA1CE4" w14:textId="77777777" w:rsidR="00813B74" w:rsidRPr="00813B74" w:rsidRDefault="00813B74" w:rsidP="00813B74">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651" w:name="_Toc49138"/>
      <w:r w:rsidRPr="00813B74">
        <w:rPr>
          <w:rFonts w:ascii="Arial Narrow" w:eastAsia="Times New Roman" w:hAnsi="Arial Narrow" w:cs="Times New Roman"/>
          <w:b/>
          <w:sz w:val="28"/>
          <w:szCs w:val="20"/>
          <w:lang w:val="x-none" w:eastAsia="x-none"/>
        </w:rPr>
        <w:t>6.7.</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Badania w czasie robót </w:t>
      </w:r>
      <w:bookmarkEnd w:id="651"/>
    </w:p>
    <w:p w14:paraId="3AC33CE2"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Częstotliwość oraz zakres badań i pomiarów, które należy wykonać w czasie robót podaje tabela 8 w pkt 6.2. </w:t>
      </w:r>
    </w:p>
    <w:p w14:paraId="6F036CB6" w14:textId="77777777" w:rsidR="00813B74" w:rsidRPr="00813B74" w:rsidRDefault="00813B74" w:rsidP="00813B74">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652" w:name="_Toc49139"/>
      <w:r w:rsidRPr="00813B74">
        <w:rPr>
          <w:rFonts w:ascii="Arial Narrow" w:eastAsia="Times New Roman" w:hAnsi="Arial Narrow" w:cs="Times New Roman"/>
          <w:b/>
          <w:sz w:val="28"/>
          <w:szCs w:val="20"/>
          <w:lang w:val="x-none" w:eastAsia="x-none"/>
        </w:rPr>
        <w:t>6.8.</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Badania cech geometrycznych podbudowy i warstwy mrozoodpornej </w:t>
      </w:r>
      <w:bookmarkEnd w:id="652"/>
    </w:p>
    <w:p w14:paraId="716E6E50"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Częstotliwość oraz zakres badań i pomiarów dotyczących cech geometrycznych podaje tabela 9, w pkt 6.2. </w:t>
      </w:r>
    </w:p>
    <w:p w14:paraId="348AD7FE" w14:textId="77777777" w:rsidR="00813B74" w:rsidRPr="00813B74" w:rsidRDefault="00813B74" w:rsidP="00813B7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53" w:name="_Toc49140"/>
      <w:r w:rsidRPr="00813B74">
        <w:rPr>
          <w:rFonts w:ascii="Arial Narrow" w:eastAsia="Times New Roman" w:hAnsi="Arial Narrow" w:cs="Times New Roman"/>
          <w:b/>
          <w:caps/>
          <w:kern w:val="28"/>
          <w:sz w:val="28"/>
          <w:szCs w:val="20"/>
          <w:lang w:val="x-none" w:eastAsia="x-none"/>
        </w:rPr>
        <w:lastRenderedPageBreak/>
        <w:t>7.</w:t>
      </w:r>
      <w:r w:rsidRPr="00813B74">
        <w:rPr>
          <w:rFonts w:ascii="Arial" w:eastAsia="Arial" w:hAnsi="Arial" w:cs="Arial"/>
          <w:b/>
          <w:caps/>
          <w:kern w:val="28"/>
          <w:sz w:val="28"/>
          <w:szCs w:val="20"/>
          <w:lang w:val="x-none" w:eastAsia="x-none"/>
        </w:rPr>
        <w:t xml:space="preserve"> </w:t>
      </w:r>
      <w:r w:rsidRPr="00813B74">
        <w:rPr>
          <w:rFonts w:ascii="Arial Narrow" w:eastAsia="Times New Roman" w:hAnsi="Arial Narrow" w:cs="Times New Roman"/>
          <w:b/>
          <w:caps/>
          <w:kern w:val="28"/>
          <w:sz w:val="28"/>
          <w:szCs w:val="20"/>
          <w:lang w:val="x-none" w:eastAsia="x-none"/>
        </w:rPr>
        <w:t xml:space="preserve">OBMIAR ROBÓT </w:t>
      </w:r>
      <w:bookmarkEnd w:id="653"/>
    </w:p>
    <w:p w14:paraId="4D8CF886"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54" w:name="_Toc49141"/>
      <w:r w:rsidRPr="00813B74">
        <w:rPr>
          <w:rFonts w:ascii="Arial Narrow" w:eastAsia="Times New Roman" w:hAnsi="Arial Narrow" w:cs="Times New Roman"/>
          <w:b/>
          <w:sz w:val="28"/>
          <w:szCs w:val="20"/>
          <w:lang w:val="x-none" w:eastAsia="x-none"/>
        </w:rPr>
        <w:t>7.1.</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Ogólne zasady obmiaru robót </w:t>
      </w:r>
      <w:bookmarkEnd w:id="654"/>
    </w:p>
    <w:p w14:paraId="342710EF"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Ogólne zasady obmiaru robót podano w D-M-00.00.00 „Wymagania ogólne”. </w:t>
      </w:r>
    </w:p>
    <w:p w14:paraId="59C17C03"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55" w:name="_Toc49142"/>
      <w:r w:rsidRPr="00813B74">
        <w:rPr>
          <w:rFonts w:ascii="Arial Narrow" w:eastAsia="Times New Roman" w:hAnsi="Arial Narrow" w:cs="Times New Roman"/>
          <w:b/>
          <w:sz w:val="28"/>
          <w:szCs w:val="20"/>
          <w:lang w:val="x-none" w:eastAsia="x-none"/>
        </w:rPr>
        <w:t>7.2.</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Jednostka obmiarowa </w:t>
      </w:r>
      <w:bookmarkEnd w:id="655"/>
    </w:p>
    <w:p w14:paraId="6EBF5B19"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Jednostką obmiarową jest m</w:t>
      </w:r>
      <w:r w:rsidRPr="00813B74">
        <w:rPr>
          <w:rFonts w:ascii="Arial Narrow" w:eastAsia="Times New Roman" w:hAnsi="Arial Narrow" w:cs="Times New Roman"/>
          <w:sz w:val="20"/>
          <w:szCs w:val="20"/>
          <w:vertAlign w:val="superscript"/>
          <w:lang w:eastAsia="pl-PL"/>
        </w:rPr>
        <w:t>2</w:t>
      </w:r>
      <w:r w:rsidRPr="00813B74">
        <w:rPr>
          <w:rFonts w:ascii="Arial Narrow" w:eastAsia="Times New Roman" w:hAnsi="Arial Narrow" w:cs="Times New Roman"/>
          <w:sz w:val="20"/>
          <w:szCs w:val="20"/>
          <w:lang w:eastAsia="pl-PL"/>
        </w:rPr>
        <w:t xml:space="preserve"> (metr kwadratowy) wykonanej warstwy podbudowy i warstwy mrozoochronnej. </w:t>
      </w:r>
    </w:p>
    <w:p w14:paraId="3E16D062" w14:textId="77777777" w:rsidR="00813B74" w:rsidRPr="00813B74" w:rsidRDefault="00813B74" w:rsidP="00813B7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56" w:name="_Toc49143"/>
      <w:r w:rsidRPr="00813B74">
        <w:rPr>
          <w:rFonts w:ascii="Arial Narrow" w:eastAsia="Times New Roman" w:hAnsi="Arial Narrow" w:cs="Times New Roman"/>
          <w:b/>
          <w:caps/>
          <w:kern w:val="28"/>
          <w:sz w:val="28"/>
          <w:szCs w:val="20"/>
          <w:lang w:val="x-none" w:eastAsia="x-none"/>
        </w:rPr>
        <w:t>8.</w:t>
      </w:r>
      <w:r w:rsidRPr="00813B74">
        <w:rPr>
          <w:rFonts w:ascii="Arial" w:eastAsia="Arial" w:hAnsi="Arial" w:cs="Arial"/>
          <w:b/>
          <w:caps/>
          <w:kern w:val="28"/>
          <w:sz w:val="28"/>
          <w:szCs w:val="20"/>
          <w:lang w:val="x-none" w:eastAsia="x-none"/>
        </w:rPr>
        <w:t xml:space="preserve"> </w:t>
      </w:r>
      <w:r w:rsidRPr="00813B74">
        <w:rPr>
          <w:rFonts w:ascii="Arial Narrow" w:eastAsia="Times New Roman" w:hAnsi="Arial Narrow" w:cs="Times New Roman"/>
          <w:b/>
          <w:caps/>
          <w:kern w:val="28"/>
          <w:sz w:val="28"/>
          <w:szCs w:val="20"/>
          <w:lang w:val="x-none" w:eastAsia="x-none"/>
        </w:rPr>
        <w:t xml:space="preserve">ODBIÓR ROBÓT </w:t>
      </w:r>
      <w:bookmarkEnd w:id="656"/>
    </w:p>
    <w:p w14:paraId="0C4514A6" w14:textId="77777777" w:rsidR="00813B74" w:rsidRPr="00813B74" w:rsidRDefault="00813B74" w:rsidP="00813B7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57" w:name="_Toc49144"/>
      <w:r w:rsidRPr="00813B74">
        <w:rPr>
          <w:rFonts w:ascii="Arial Narrow" w:eastAsia="Times New Roman" w:hAnsi="Arial Narrow" w:cs="Times New Roman"/>
          <w:b/>
          <w:caps/>
          <w:kern w:val="28"/>
          <w:sz w:val="28"/>
          <w:szCs w:val="20"/>
          <w:lang w:val="x-none" w:eastAsia="x-none"/>
        </w:rPr>
        <w:t>8.1.</w:t>
      </w:r>
      <w:r w:rsidRPr="00813B74">
        <w:rPr>
          <w:rFonts w:ascii="Arial" w:eastAsia="Arial" w:hAnsi="Arial" w:cs="Arial"/>
          <w:b/>
          <w:caps/>
          <w:kern w:val="28"/>
          <w:sz w:val="28"/>
          <w:szCs w:val="20"/>
          <w:lang w:val="x-none" w:eastAsia="x-none"/>
        </w:rPr>
        <w:t xml:space="preserve"> </w:t>
      </w:r>
      <w:r w:rsidRPr="00813B74">
        <w:rPr>
          <w:rFonts w:ascii="Arial Narrow" w:eastAsia="Times New Roman" w:hAnsi="Arial Narrow" w:cs="Times New Roman"/>
          <w:b/>
          <w:caps/>
          <w:kern w:val="28"/>
          <w:sz w:val="28"/>
          <w:szCs w:val="20"/>
          <w:lang w:val="x-none" w:eastAsia="x-none"/>
        </w:rPr>
        <w:t xml:space="preserve">Ogólne zasady odbioru robót </w:t>
      </w:r>
      <w:bookmarkEnd w:id="657"/>
    </w:p>
    <w:p w14:paraId="5135DE00"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Ogólne zasady odbioru robót podano w D-M-00.00.00 „Wymagania ogólne”. </w:t>
      </w:r>
    </w:p>
    <w:p w14:paraId="1A927A99" w14:textId="77777777" w:rsidR="00813B74" w:rsidRPr="00813B74" w:rsidRDefault="00813B74" w:rsidP="00813B74">
      <w:pPr>
        <w:overflowPunct w:val="0"/>
        <w:autoSpaceDE w:val="0"/>
        <w:autoSpaceDN w:val="0"/>
        <w:adjustRightInd w:val="0"/>
        <w:spacing w:after="0" w:line="240" w:lineRule="auto"/>
        <w:ind w:left="7"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Roboty uznaje się za wykonane zgodnie z Dokumentacją Projektową i STWiORB, jeżeli wszystkie badania i pomiary z zachowaniem tolerancji wg pkt 6 niniejszych STWiORB dały wyniki pozytywne. </w:t>
      </w:r>
    </w:p>
    <w:p w14:paraId="0075F5D6"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Do odbioru ostatecznego uwzględniane są wyniki badań i pomiarów kontrolnych, badań i pomiarów kontrolnych dodatkowych oraz badań i pomiarów arbitrażowych do wyznaczonych odcinków częściowych. </w:t>
      </w:r>
    </w:p>
    <w:p w14:paraId="4864B356"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58" w:name="_Toc49145"/>
      <w:r w:rsidRPr="00813B74">
        <w:rPr>
          <w:rFonts w:ascii="Arial Narrow" w:eastAsia="Times New Roman" w:hAnsi="Arial Narrow" w:cs="Times New Roman"/>
          <w:b/>
          <w:sz w:val="28"/>
          <w:szCs w:val="20"/>
          <w:lang w:val="x-none" w:eastAsia="x-none"/>
        </w:rPr>
        <w:t>8.2.</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Zasady postępowania z wadliwie wykonanymi robotami </w:t>
      </w:r>
      <w:bookmarkEnd w:id="658"/>
    </w:p>
    <w:p w14:paraId="5A40C49B"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Jeżeli wystąpią wyniki negatywne dla materiałów i robót (nie spełniające wymagań określonych w STWiORB i opracowanych na ich podstawie STWiORB), to Inżynier/Inspektor Nadzoru/Zamawiający wydaje Wykonawcy polecenie przedstawienia programu naprawczego, chyba że na wniosek jednej ze stron kontraktu zostaną wykonane badania lub pomiary arbitrażowe (zgodnie z pkt. 6.5 niniejszych STWiORB), a ich wyniki będą pozytywne. Wykonawca w programie tym jest zobowiązany dokonać oceny wpływu na trwałość lub przedstawić sposób naprawienia wady. </w:t>
      </w:r>
    </w:p>
    <w:p w14:paraId="01C355DD"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Na zastosowanie </w:t>
      </w:r>
      <w:r w:rsidRPr="00813B74">
        <w:rPr>
          <w:rFonts w:ascii="Arial Narrow" w:eastAsia="Times New Roman" w:hAnsi="Arial Narrow" w:cs="Times New Roman"/>
          <w:sz w:val="20"/>
          <w:szCs w:val="20"/>
          <w:lang w:eastAsia="pl-PL"/>
        </w:rPr>
        <w:tab/>
        <w:t xml:space="preserve">programu naprawczego wyraża zgodę </w:t>
      </w:r>
      <w:r w:rsidRPr="00813B74">
        <w:rPr>
          <w:rFonts w:ascii="Arial Narrow" w:eastAsia="Times New Roman" w:hAnsi="Arial Narrow" w:cs="Times New Roman"/>
          <w:sz w:val="20"/>
          <w:szCs w:val="20"/>
          <w:lang w:eastAsia="pl-PL"/>
        </w:rPr>
        <w:tab/>
        <w:t xml:space="preserve">Inżynier/Inspektor Nadzoru/Zamawiający.  </w:t>
      </w:r>
    </w:p>
    <w:p w14:paraId="3DC1B3CF"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W przypadku braku zgody Inżyniera/Inspektora Nadzoru/Zamawiającego na zastosowanie programu naprawczego wszystkie materiały i roboty nie spełniające wymagań podanych w odpowiednich punktach STWiORB zostaną odrzucone. Wykonawca wymieni materiały na właściwe i wykona prawidłowo roboty na własny koszt. </w:t>
      </w:r>
    </w:p>
    <w:p w14:paraId="4B1BF2B4"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Jeżeli wymiana materiałów niespełniających wymagań lub wadliwie wykonane roboty spowodowują szkodę w innych, prawidłowo wykonanych robotach, to również te roboty powinny być ponownie wykonane przez Wykonawcę na jego koszt. </w:t>
      </w:r>
    </w:p>
    <w:p w14:paraId="0A3AC075" w14:textId="77777777" w:rsidR="00813B74" w:rsidRPr="00813B74" w:rsidRDefault="00813B74" w:rsidP="00813B7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59" w:name="_Toc49146"/>
      <w:r w:rsidRPr="00813B74">
        <w:rPr>
          <w:rFonts w:ascii="Arial Narrow" w:eastAsia="Times New Roman" w:hAnsi="Arial Narrow" w:cs="Times New Roman"/>
          <w:b/>
          <w:caps/>
          <w:kern w:val="28"/>
          <w:sz w:val="28"/>
          <w:szCs w:val="20"/>
          <w:lang w:val="x-none" w:eastAsia="x-none"/>
        </w:rPr>
        <w:t>9.</w:t>
      </w:r>
      <w:r w:rsidRPr="00813B74">
        <w:rPr>
          <w:rFonts w:ascii="Arial" w:eastAsia="Arial" w:hAnsi="Arial" w:cs="Arial"/>
          <w:b/>
          <w:caps/>
          <w:kern w:val="28"/>
          <w:sz w:val="28"/>
          <w:szCs w:val="20"/>
          <w:lang w:val="x-none" w:eastAsia="x-none"/>
        </w:rPr>
        <w:t xml:space="preserve"> </w:t>
      </w:r>
      <w:r w:rsidRPr="00813B74">
        <w:rPr>
          <w:rFonts w:ascii="Arial Narrow" w:eastAsia="Times New Roman" w:hAnsi="Arial Narrow" w:cs="Times New Roman"/>
          <w:b/>
          <w:caps/>
          <w:kern w:val="28"/>
          <w:sz w:val="28"/>
          <w:szCs w:val="20"/>
          <w:lang w:val="x-none" w:eastAsia="x-none"/>
        </w:rPr>
        <w:t xml:space="preserve">PODSTAWA PŁATNOŚCI </w:t>
      </w:r>
      <w:bookmarkEnd w:id="659"/>
    </w:p>
    <w:p w14:paraId="0AF5EC8C"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60" w:name="_Toc49147"/>
      <w:r w:rsidRPr="00813B74">
        <w:rPr>
          <w:rFonts w:ascii="Arial Narrow" w:eastAsia="Times New Roman" w:hAnsi="Arial Narrow" w:cs="Times New Roman"/>
          <w:b/>
          <w:sz w:val="28"/>
          <w:szCs w:val="20"/>
          <w:lang w:val="x-none" w:eastAsia="x-none"/>
        </w:rPr>
        <w:t>9.1.</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Ogólne ustalenia dotyczące podstawy płatności </w:t>
      </w:r>
      <w:bookmarkEnd w:id="660"/>
    </w:p>
    <w:p w14:paraId="17807880"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Ogólne ustalenia dotyczące podstawy płatności podano w D-M-00.00.00 „Wymagania ogólne”. </w:t>
      </w:r>
    </w:p>
    <w:p w14:paraId="369B7E79"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61" w:name="_Toc49148"/>
      <w:r w:rsidRPr="00813B74">
        <w:rPr>
          <w:rFonts w:ascii="Arial Narrow" w:eastAsia="Times New Roman" w:hAnsi="Arial Narrow" w:cs="Times New Roman"/>
          <w:b/>
          <w:sz w:val="28"/>
          <w:szCs w:val="20"/>
          <w:lang w:val="x-none" w:eastAsia="x-none"/>
        </w:rPr>
        <w:t>9.2.</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Cena jednostki obmiarowej </w:t>
      </w:r>
      <w:bookmarkEnd w:id="661"/>
    </w:p>
    <w:p w14:paraId="064FB5BD"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Cena wykonania  jednostki obmiarowej (1 m</w:t>
      </w:r>
      <w:r w:rsidRPr="00813B74">
        <w:rPr>
          <w:rFonts w:ascii="Arial Narrow" w:eastAsia="Times New Roman" w:hAnsi="Arial Narrow" w:cs="Times New Roman"/>
          <w:sz w:val="20"/>
          <w:szCs w:val="20"/>
          <w:vertAlign w:val="superscript"/>
          <w:lang w:eastAsia="pl-PL"/>
        </w:rPr>
        <w:t>2</w:t>
      </w:r>
      <w:r w:rsidRPr="00813B74">
        <w:rPr>
          <w:rFonts w:ascii="Arial Narrow" w:eastAsia="Times New Roman" w:hAnsi="Arial Narrow" w:cs="Times New Roman"/>
          <w:sz w:val="20"/>
          <w:szCs w:val="20"/>
          <w:lang w:eastAsia="pl-PL"/>
        </w:rPr>
        <w:t xml:space="preserve">) obejmuje: </w:t>
      </w:r>
    </w:p>
    <w:p w14:paraId="3AFBB59A"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prace pomiarowe i roboty przygotowawcze, </w:t>
      </w:r>
    </w:p>
    <w:p w14:paraId="6572B9A6"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oznakowanie robót, </w:t>
      </w:r>
    </w:p>
    <w:p w14:paraId="7D48F3F0"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dostarczenie materiałów i sprzętu, </w:t>
      </w:r>
    </w:p>
    <w:p w14:paraId="72C327D5"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wyprodukowanie mieszanki i jej transport na miejsce wbudowania, </w:t>
      </w:r>
    </w:p>
    <w:p w14:paraId="43DC1B14"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dostarczenie, ustawienie, rozebranie i odwiezienie prowadnic oraz innych materiałów i urządzeń pomocniczych, </w:t>
      </w:r>
    </w:p>
    <w:p w14:paraId="6E079C1D"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rozłożenie i zagęszczenie mieszanki, </w:t>
      </w:r>
    </w:p>
    <w:p w14:paraId="34FCFA2C"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ew. nacięcie szczelin i wykonanie technologii przeciwspękaniowych, </w:t>
      </w:r>
    </w:p>
    <w:p w14:paraId="68164AB7"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pielęgnacja wykonanej warstwy, </w:t>
      </w:r>
    </w:p>
    <w:p w14:paraId="3A3D3B6D"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przeprowadzenie wymaganych pomiarów i badań, </w:t>
      </w:r>
    </w:p>
    <w:p w14:paraId="5A1DA27B"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uporządkowanie terenu robót i jego otoczenia, </w:t>
      </w:r>
    </w:p>
    <w:p w14:paraId="3DEF3960"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roboty wykończeniowe, </w:t>
      </w:r>
    </w:p>
    <w:p w14:paraId="1D78F8E9"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odwiezienie sprzętu,</w:t>
      </w:r>
      <w:r w:rsidRPr="00813B74">
        <w:rPr>
          <w:rFonts w:ascii="Verdana" w:eastAsia="Verdana" w:hAnsi="Verdana" w:cs="Verdana"/>
          <w:b/>
          <w:sz w:val="20"/>
          <w:szCs w:val="20"/>
          <w:lang w:val="x-none" w:eastAsia="x-none"/>
        </w:rPr>
        <w:t xml:space="preserve"> </w:t>
      </w:r>
    </w:p>
    <w:p w14:paraId="44F1BEBD"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wszelkie inne czynności związane z prawidłowym wykonaniem warstwy zgodnie z wymaganiami niniejszych STWiORB </w:t>
      </w:r>
    </w:p>
    <w:p w14:paraId="092F2611"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62" w:name="_Toc49149"/>
      <w:r w:rsidRPr="00813B74">
        <w:rPr>
          <w:rFonts w:ascii="Arial Narrow" w:eastAsia="Times New Roman" w:hAnsi="Arial Narrow" w:cs="Times New Roman"/>
          <w:b/>
          <w:sz w:val="28"/>
          <w:szCs w:val="20"/>
          <w:lang w:val="x-none" w:eastAsia="x-none"/>
        </w:rPr>
        <w:t>9.3.</w:t>
      </w:r>
      <w:r w:rsidRPr="00813B74">
        <w:rPr>
          <w:rFonts w:ascii="Arial" w:eastAsia="Arial" w:hAnsi="Arial" w:cs="Arial"/>
          <w:b/>
          <w:sz w:val="28"/>
          <w:szCs w:val="20"/>
          <w:lang w:val="x-none" w:eastAsia="x-none"/>
        </w:rPr>
        <w:t xml:space="preserve"> </w:t>
      </w:r>
      <w:r w:rsidRPr="00813B74">
        <w:rPr>
          <w:rFonts w:ascii="Arial Narrow" w:eastAsia="Times New Roman" w:hAnsi="Arial Narrow" w:cs="Times New Roman"/>
          <w:b/>
          <w:sz w:val="28"/>
          <w:szCs w:val="20"/>
          <w:lang w:val="x-none" w:eastAsia="x-none"/>
        </w:rPr>
        <w:t xml:space="preserve">Sposób rozliczenia robót tymczasowych i prac towarzyszących </w:t>
      </w:r>
      <w:bookmarkEnd w:id="662"/>
    </w:p>
    <w:p w14:paraId="70D3FFA3" w14:textId="77777777" w:rsidR="00813B74" w:rsidRPr="00813B74" w:rsidRDefault="00813B74" w:rsidP="00813B7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Cena wykonania robót określonych niniejszych STWiORB obejmuje: </w:t>
      </w:r>
    </w:p>
    <w:p w14:paraId="10030987"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roboty tymczasowe, które są potrzebne do wykonania robót podstawowych, ale nie są przekazywane Zamawiającemu i są usuwane po wykonaniu robót podstawowych, </w:t>
      </w:r>
    </w:p>
    <w:p w14:paraId="5F913684" w14:textId="77777777" w:rsidR="00813B74" w:rsidRPr="00813B74" w:rsidRDefault="00813B74" w:rsidP="00813B7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813B74">
        <w:rPr>
          <w:rFonts w:ascii="Arial Narrow" w:eastAsia="Times New Roman" w:hAnsi="Arial Narrow" w:cs="Times New Roman"/>
          <w:sz w:val="20"/>
          <w:szCs w:val="20"/>
          <w:lang w:val="x-none" w:eastAsia="x-none"/>
        </w:rPr>
        <w:t xml:space="preserve">prace towarzyszące, które są niezbędne do wykonania robót podstawowych, niezaliczane do robót tymczasowych, jak geodezyjne wytyczenie robót itd. </w:t>
      </w:r>
    </w:p>
    <w:p w14:paraId="60E541D0" w14:textId="77777777" w:rsidR="00813B74" w:rsidRPr="00813B74" w:rsidRDefault="00813B74" w:rsidP="00813B7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63" w:name="_Toc49150"/>
      <w:r w:rsidRPr="00813B74">
        <w:rPr>
          <w:rFonts w:ascii="Arial Narrow" w:eastAsia="Times New Roman" w:hAnsi="Arial Narrow" w:cs="Times New Roman"/>
          <w:b/>
          <w:caps/>
          <w:kern w:val="28"/>
          <w:sz w:val="28"/>
          <w:szCs w:val="20"/>
          <w:lang w:val="x-none" w:eastAsia="x-none"/>
        </w:rPr>
        <w:t>10.</w:t>
      </w:r>
      <w:r w:rsidRPr="00813B74">
        <w:rPr>
          <w:rFonts w:ascii="Arial" w:eastAsia="Arial" w:hAnsi="Arial" w:cs="Arial"/>
          <w:b/>
          <w:caps/>
          <w:kern w:val="28"/>
          <w:sz w:val="28"/>
          <w:szCs w:val="20"/>
          <w:lang w:val="x-none" w:eastAsia="x-none"/>
        </w:rPr>
        <w:t xml:space="preserve"> </w:t>
      </w:r>
      <w:r w:rsidRPr="00813B74">
        <w:rPr>
          <w:rFonts w:ascii="Arial Narrow" w:eastAsia="Times New Roman" w:hAnsi="Arial Narrow" w:cs="Times New Roman"/>
          <w:b/>
          <w:caps/>
          <w:kern w:val="28"/>
          <w:sz w:val="28"/>
          <w:szCs w:val="20"/>
          <w:lang w:val="x-none" w:eastAsia="x-none"/>
        </w:rPr>
        <w:t xml:space="preserve">PRZEPISY ZWIĄZANE </w:t>
      </w:r>
      <w:bookmarkEnd w:id="663"/>
    </w:p>
    <w:p w14:paraId="561ABCED"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64" w:name="_Toc49151"/>
      <w:r w:rsidRPr="00813B74">
        <w:rPr>
          <w:rFonts w:ascii="Arial Narrow" w:eastAsia="Times New Roman" w:hAnsi="Arial Narrow" w:cs="Times New Roman"/>
          <w:b/>
          <w:sz w:val="28"/>
          <w:szCs w:val="20"/>
          <w:lang w:val="x-none" w:eastAsia="x-none"/>
        </w:rPr>
        <w:t>10.1.</w:t>
      </w:r>
      <w:r w:rsidRPr="00813B74">
        <w:rPr>
          <w:rFonts w:ascii="Arial" w:eastAsia="Arial" w:hAnsi="Arial" w:cs="Arial"/>
          <w:b/>
          <w:sz w:val="28"/>
          <w:szCs w:val="20"/>
          <w:lang w:val="x-none" w:eastAsia="x-none"/>
        </w:rPr>
        <w:t xml:space="preserve"> </w:t>
      </w:r>
      <w:r w:rsidRPr="00813B74">
        <w:rPr>
          <w:rFonts w:ascii="Arial" w:eastAsia="Arial" w:hAnsi="Arial" w:cs="Arial"/>
          <w:b/>
          <w:sz w:val="28"/>
          <w:szCs w:val="20"/>
          <w:lang w:val="x-none" w:eastAsia="x-none"/>
        </w:rPr>
        <w:tab/>
      </w:r>
      <w:r w:rsidRPr="00813B74">
        <w:rPr>
          <w:rFonts w:ascii="Arial Narrow" w:eastAsia="Times New Roman" w:hAnsi="Arial Narrow" w:cs="Times New Roman"/>
          <w:b/>
          <w:sz w:val="28"/>
          <w:szCs w:val="20"/>
          <w:lang w:val="x-none" w:eastAsia="x-none"/>
        </w:rPr>
        <w:t xml:space="preserve">Normy </w:t>
      </w:r>
      <w:bookmarkEnd w:id="664"/>
    </w:p>
    <w:p w14:paraId="5ACEAD4F" w14:textId="77777777" w:rsidR="00813B74" w:rsidRPr="00813B74" w:rsidRDefault="00813B74" w:rsidP="00AD6DA2">
      <w:pPr>
        <w:numPr>
          <w:ilvl w:val="0"/>
          <w:numId w:val="49"/>
        </w:numPr>
        <w:overflowPunct w:val="0"/>
        <w:autoSpaceDE w:val="0"/>
        <w:autoSpaceDN w:val="0"/>
        <w:adjustRightInd w:val="0"/>
        <w:spacing w:after="32"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PN-EN 197-1 Cement – Część 1: Skład, wymagania i kryteria zgodności dotyczące cementów powszechnego użytku </w:t>
      </w:r>
    </w:p>
    <w:p w14:paraId="45DB880A" w14:textId="77777777" w:rsidR="00813B74" w:rsidRPr="00813B74" w:rsidRDefault="00813B74" w:rsidP="00AD6DA2">
      <w:pPr>
        <w:numPr>
          <w:ilvl w:val="0"/>
          <w:numId w:val="49"/>
        </w:numPr>
        <w:overflowPunct w:val="0"/>
        <w:autoSpaceDE w:val="0"/>
        <w:autoSpaceDN w:val="0"/>
        <w:adjustRightInd w:val="0"/>
        <w:spacing w:after="31"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PN-EN 933-1 Badania geometrycznych właściwości kruszyw – Oznaczanie składu ziarnowego – Metoda przesiewania </w:t>
      </w:r>
    </w:p>
    <w:p w14:paraId="11FEC765" w14:textId="77777777" w:rsidR="00813B74" w:rsidRPr="00813B74" w:rsidRDefault="00813B74" w:rsidP="00AD6DA2">
      <w:pPr>
        <w:numPr>
          <w:ilvl w:val="0"/>
          <w:numId w:val="49"/>
        </w:numPr>
        <w:overflowPunct w:val="0"/>
        <w:autoSpaceDE w:val="0"/>
        <w:autoSpaceDN w:val="0"/>
        <w:adjustRightInd w:val="0"/>
        <w:spacing w:after="31"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PN-EN 933-3 Badania geometrycznych właściwości kruszyw – Oznaczanie kształtu ziarn za pomocą wskaźnika płaskości </w:t>
      </w:r>
    </w:p>
    <w:p w14:paraId="76342669" w14:textId="77777777" w:rsidR="00813B74" w:rsidRPr="00813B74" w:rsidRDefault="00813B74" w:rsidP="00AD6DA2">
      <w:pPr>
        <w:numPr>
          <w:ilvl w:val="0"/>
          <w:numId w:val="49"/>
        </w:numPr>
        <w:overflowPunct w:val="0"/>
        <w:autoSpaceDE w:val="0"/>
        <w:autoSpaceDN w:val="0"/>
        <w:adjustRightInd w:val="0"/>
        <w:spacing w:after="127"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PN-EN 933-4 Badania geometrycznych właściwości kruszyw – Oznaczanie kształtu ziarn – Wskaźnik kształtu </w:t>
      </w:r>
    </w:p>
    <w:p w14:paraId="49B2773D" w14:textId="77777777" w:rsidR="00813B74" w:rsidRPr="00813B74" w:rsidRDefault="00813B74" w:rsidP="00AD6DA2">
      <w:pPr>
        <w:numPr>
          <w:ilvl w:val="0"/>
          <w:numId w:val="49"/>
        </w:numPr>
        <w:overflowPunct w:val="0"/>
        <w:autoSpaceDE w:val="0"/>
        <w:autoSpaceDN w:val="0"/>
        <w:adjustRightInd w:val="0"/>
        <w:spacing w:after="34"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lastRenderedPageBreak/>
        <w:t xml:space="preserve">PN-EN 933-5 Badania geometrycznych właściwości kruszyw – Oznaczanie procentowej zawartości ziarn o powierzchniach powstałych w wyniku przekruszenia lub łamania kruszyw grubych </w:t>
      </w:r>
    </w:p>
    <w:p w14:paraId="5E954AFB" w14:textId="77777777" w:rsidR="00813B74" w:rsidRPr="00813B74" w:rsidRDefault="00813B74" w:rsidP="00AD6DA2">
      <w:pPr>
        <w:numPr>
          <w:ilvl w:val="0"/>
          <w:numId w:val="49"/>
        </w:numPr>
        <w:overflowPunct w:val="0"/>
        <w:autoSpaceDE w:val="0"/>
        <w:autoSpaceDN w:val="0"/>
        <w:adjustRightInd w:val="0"/>
        <w:spacing w:after="34"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PN-EN 934-2 Domieszki do betonu, zaprawy i zaczynu – Domieszki do betonu – Definicje i wymagania </w:t>
      </w:r>
    </w:p>
    <w:p w14:paraId="206A67A3" w14:textId="77777777" w:rsidR="00813B74" w:rsidRPr="00813B74" w:rsidRDefault="00813B74" w:rsidP="00AD6DA2">
      <w:pPr>
        <w:numPr>
          <w:ilvl w:val="0"/>
          <w:numId w:val="49"/>
        </w:numPr>
        <w:overflowPunct w:val="0"/>
        <w:autoSpaceDE w:val="0"/>
        <w:autoSpaceDN w:val="0"/>
        <w:adjustRightInd w:val="0"/>
        <w:spacing w:after="32"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PN-EN 1008 Woda zarobowa do betonu – Specyfikacja pobierania próbek, badanie i ocena przydatności wody zarobowej do betonu, w tym wody odzyskanej z procesów produkcji betonu </w:t>
      </w:r>
    </w:p>
    <w:p w14:paraId="2D1693A2" w14:textId="77777777" w:rsidR="00813B74" w:rsidRPr="00813B74" w:rsidRDefault="00813B74" w:rsidP="00AD6DA2">
      <w:pPr>
        <w:numPr>
          <w:ilvl w:val="0"/>
          <w:numId w:val="49"/>
        </w:numPr>
        <w:overflowPunct w:val="0"/>
        <w:autoSpaceDE w:val="0"/>
        <w:autoSpaceDN w:val="0"/>
        <w:adjustRightInd w:val="0"/>
        <w:spacing w:after="31"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PN-EN 1097-1 Badania mechanicznych i fizycznych właściwości kruszyw – Oznaczanie odporności na ścieranie (mikro-Deval) </w:t>
      </w:r>
    </w:p>
    <w:p w14:paraId="562A8943" w14:textId="77777777" w:rsidR="00813B74" w:rsidRPr="00813B74" w:rsidRDefault="00813B74" w:rsidP="00AD6DA2">
      <w:pPr>
        <w:numPr>
          <w:ilvl w:val="0"/>
          <w:numId w:val="49"/>
        </w:numPr>
        <w:overflowPunct w:val="0"/>
        <w:autoSpaceDE w:val="0"/>
        <w:autoSpaceDN w:val="0"/>
        <w:adjustRightInd w:val="0"/>
        <w:spacing w:after="31"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PN-EN 1097-2 Badania mechanicznych i fizycznych właściwości kruszyw – Metody oznaczania odporności na rozdrabnianie </w:t>
      </w:r>
    </w:p>
    <w:p w14:paraId="38E0C042" w14:textId="77777777" w:rsidR="00813B74" w:rsidRPr="00813B74" w:rsidRDefault="00813B74" w:rsidP="00AD6DA2">
      <w:pPr>
        <w:numPr>
          <w:ilvl w:val="0"/>
          <w:numId w:val="49"/>
        </w:numPr>
        <w:overflowPunct w:val="0"/>
        <w:autoSpaceDE w:val="0"/>
        <w:autoSpaceDN w:val="0"/>
        <w:adjustRightInd w:val="0"/>
        <w:spacing w:after="32"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PN-EN 1097-6 Badania mechanicznych i fizycznych właściwości kruszyw – Część 6: Oznaczanie gęstości ziarn i nasiąkliwości </w:t>
      </w:r>
    </w:p>
    <w:p w14:paraId="213C738D" w14:textId="77777777" w:rsidR="00813B74" w:rsidRPr="00813B74" w:rsidRDefault="00813B74" w:rsidP="00AD6DA2">
      <w:pPr>
        <w:numPr>
          <w:ilvl w:val="0"/>
          <w:numId w:val="49"/>
        </w:numPr>
        <w:overflowPunct w:val="0"/>
        <w:autoSpaceDE w:val="0"/>
        <w:autoSpaceDN w:val="0"/>
        <w:adjustRightInd w:val="0"/>
        <w:spacing w:after="34"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PN-EN 1367-1 Badania właściwości cieplnych i odporności kruszyw na działanie czynników atmosferycznych – Część 1: Oznaczanie mrozoodporności </w:t>
      </w:r>
    </w:p>
    <w:p w14:paraId="2729BE51" w14:textId="77777777" w:rsidR="00813B74" w:rsidRPr="00813B74" w:rsidRDefault="00813B74" w:rsidP="00AD6DA2">
      <w:pPr>
        <w:numPr>
          <w:ilvl w:val="0"/>
          <w:numId w:val="49"/>
        </w:numPr>
        <w:overflowPunct w:val="0"/>
        <w:autoSpaceDE w:val="0"/>
        <w:autoSpaceDN w:val="0"/>
        <w:adjustRightInd w:val="0"/>
        <w:spacing w:after="32"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PN-EN 1367-3 Badania właściwości cieplnych i odporności kruszyw na działanie czynników atmosferycznych – Część 3: Badanie bazaltowej zgorzeli słonecznej metodą gotowania </w:t>
      </w:r>
    </w:p>
    <w:p w14:paraId="0776F7F4" w14:textId="77777777" w:rsidR="00813B74" w:rsidRPr="00813B74" w:rsidRDefault="00813B74" w:rsidP="00AD6DA2">
      <w:pPr>
        <w:numPr>
          <w:ilvl w:val="0"/>
          <w:numId w:val="49"/>
        </w:numPr>
        <w:overflowPunct w:val="0"/>
        <w:autoSpaceDE w:val="0"/>
        <w:autoSpaceDN w:val="0"/>
        <w:adjustRightInd w:val="0"/>
        <w:spacing w:after="37"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PN-EN 1744-1 Badania chemicznych właściwości kruszyw – Analiza chemiczna </w:t>
      </w:r>
    </w:p>
    <w:p w14:paraId="7A130CE6" w14:textId="77777777" w:rsidR="00813B74" w:rsidRPr="00813B74" w:rsidRDefault="00813B74" w:rsidP="00AD6DA2">
      <w:pPr>
        <w:numPr>
          <w:ilvl w:val="0"/>
          <w:numId w:val="49"/>
        </w:numPr>
        <w:overflowPunct w:val="0"/>
        <w:autoSpaceDE w:val="0"/>
        <w:autoSpaceDN w:val="0"/>
        <w:adjustRightInd w:val="0"/>
        <w:spacing w:after="34"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PN-EN 1744-3 Badania chemicznych właściwości kruszyw – Część 3: Przygotowanie wyciągów przez wymywanie kruszyw </w:t>
      </w:r>
    </w:p>
    <w:p w14:paraId="47E2DBC6" w14:textId="77777777" w:rsidR="00813B74" w:rsidRPr="00813B74" w:rsidRDefault="00813B74" w:rsidP="00AD6DA2">
      <w:pPr>
        <w:numPr>
          <w:ilvl w:val="0"/>
          <w:numId w:val="49"/>
        </w:numPr>
        <w:overflowPunct w:val="0"/>
        <w:autoSpaceDE w:val="0"/>
        <w:autoSpaceDN w:val="0"/>
        <w:adjustRightInd w:val="0"/>
        <w:spacing w:after="34"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PN-EN 13242 Kruszywa do niezwiązanych i związanych hydraulicznie materiałów stosowanych w obiektach budowlanych i budownictwie drogowym </w:t>
      </w:r>
    </w:p>
    <w:p w14:paraId="65161D75" w14:textId="77777777" w:rsidR="00813B74" w:rsidRPr="00813B74" w:rsidRDefault="00813B74" w:rsidP="00AD6DA2">
      <w:pPr>
        <w:numPr>
          <w:ilvl w:val="0"/>
          <w:numId w:val="49"/>
        </w:numPr>
        <w:overflowPunct w:val="0"/>
        <w:autoSpaceDE w:val="0"/>
        <w:autoSpaceDN w:val="0"/>
        <w:adjustRightInd w:val="0"/>
        <w:spacing w:after="34"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PN-EN 13286-2 Mieszanki niezwiązane i związane spoiwem hydraulicznym – Część 2: Metody określania gęstości i zawartości wody – Zagęszczanie metodą Proctora </w:t>
      </w:r>
    </w:p>
    <w:p w14:paraId="1C750C3D" w14:textId="77777777" w:rsidR="00813B74" w:rsidRPr="00813B74" w:rsidRDefault="00813B74" w:rsidP="00AD6DA2">
      <w:pPr>
        <w:numPr>
          <w:ilvl w:val="0"/>
          <w:numId w:val="49"/>
        </w:numPr>
        <w:overflowPunct w:val="0"/>
        <w:autoSpaceDE w:val="0"/>
        <w:autoSpaceDN w:val="0"/>
        <w:adjustRightInd w:val="0"/>
        <w:spacing w:after="32"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PN-EN 13286-41 Mieszanki niezwiązane i związane spoiwem hydraulicznym – Część 41: Metoda oznaczania wytrzymałości na ściskanie mieszanek związanych spoiwem hydraulicznym </w:t>
      </w:r>
    </w:p>
    <w:p w14:paraId="516347DE" w14:textId="77777777" w:rsidR="00813B74" w:rsidRPr="00813B74" w:rsidRDefault="00813B74" w:rsidP="00AD6DA2">
      <w:pPr>
        <w:numPr>
          <w:ilvl w:val="0"/>
          <w:numId w:val="49"/>
        </w:numPr>
        <w:overflowPunct w:val="0"/>
        <w:autoSpaceDE w:val="0"/>
        <w:autoSpaceDN w:val="0"/>
        <w:adjustRightInd w:val="0"/>
        <w:spacing w:after="7"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PN-EN 13286-50 Mieszanki niezwiązane i związane spoiwem hydraulicznym – Część </w:t>
      </w:r>
    </w:p>
    <w:p w14:paraId="68C8E2F7" w14:textId="77777777" w:rsidR="00813B74" w:rsidRPr="00813B74" w:rsidRDefault="00813B74" w:rsidP="00813B74">
      <w:pPr>
        <w:overflowPunct w:val="0"/>
        <w:autoSpaceDE w:val="0"/>
        <w:autoSpaceDN w:val="0"/>
        <w:adjustRightInd w:val="0"/>
        <w:spacing w:after="31" w:line="240" w:lineRule="auto"/>
        <w:ind w:left="449"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50: Metoda sporządzania próbek związanych hydraulicznie za pomocą aparatu Proctora lub zagęszczania na stole wibracyjnym </w:t>
      </w:r>
    </w:p>
    <w:p w14:paraId="7DB81D54" w14:textId="77777777" w:rsidR="00813B74" w:rsidRPr="00813B74" w:rsidRDefault="00813B74" w:rsidP="00AD6DA2">
      <w:pPr>
        <w:numPr>
          <w:ilvl w:val="0"/>
          <w:numId w:val="49"/>
        </w:numPr>
        <w:overflowPunct w:val="0"/>
        <w:autoSpaceDE w:val="0"/>
        <w:autoSpaceDN w:val="0"/>
        <w:adjustRightInd w:val="0"/>
        <w:spacing w:after="31"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PN-EN 14227-1 Mieszanki związane spoiwem hydraulicznym – Wymagania – Część 1: Mieszanki związane cementem </w:t>
      </w:r>
    </w:p>
    <w:p w14:paraId="1B4A2C89" w14:textId="77777777" w:rsidR="00813B74" w:rsidRPr="00813B74" w:rsidRDefault="00813B74" w:rsidP="00AD6DA2">
      <w:pPr>
        <w:numPr>
          <w:ilvl w:val="0"/>
          <w:numId w:val="49"/>
        </w:numPr>
        <w:overflowPunct w:val="0"/>
        <w:autoSpaceDE w:val="0"/>
        <w:autoSpaceDN w:val="0"/>
        <w:adjustRightInd w:val="0"/>
        <w:spacing w:after="157"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PN-S-02205:1998 Drogi samochodowe. Roboty ziemne. Wymagania i badania </w:t>
      </w:r>
    </w:p>
    <w:p w14:paraId="079B318E" w14:textId="77777777" w:rsidR="00813B74" w:rsidRPr="00813B74" w:rsidRDefault="00813B74" w:rsidP="00813B7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65" w:name="_Toc49152"/>
      <w:r w:rsidRPr="00813B74">
        <w:rPr>
          <w:rFonts w:ascii="Arial Narrow" w:eastAsia="Times New Roman" w:hAnsi="Arial Narrow" w:cs="Times New Roman"/>
          <w:b/>
          <w:sz w:val="28"/>
          <w:szCs w:val="20"/>
          <w:lang w:val="x-none" w:eastAsia="x-none"/>
        </w:rPr>
        <w:t>10.2.</w:t>
      </w:r>
      <w:r w:rsidRPr="00813B74">
        <w:rPr>
          <w:rFonts w:ascii="Arial" w:eastAsia="Arial" w:hAnsi="Arial" w:cs="Arial"/>
          <w:b/>
          <w:sz w:val="28"/>
          <w:szCs w:val="20"/>
          <w:lang w:val="x-none" w:eastAsia="x-none"/>
        </w:rPr>
        <w:t xml:space="preserve"> </w:t>
      </w:r>
      <w:r w:rsidRPr="00813B74">
        <w:rPr>
          <w:rFonts w:ascii="Arial" w:eastAsia="Arial" w:hAnsi="Arial" w:cs="Arial"/>
          <w:b/>
          <w:sz w:val="28"/>
          <w:szCs w:val="20"/>
          <w:lang w:val="x-none" w:eastAsia="x-none"/>
        </w:rPr>
        <w:tab/>
      </w:r>
      <w:r w:rsidRPr="00813B74">
        <w:rPr>
          <w:rFonts w:ascii="Arial Narrow" w:eastAsia="Times New Roman" w:hAnsi="Arial Narrow" w:cs="Times New Roman"/>
          <w:b/>
          <w:sz w:val="28"/>
          <w:szCs w:val="20"/>
          <w:lang w:val="x-none" w:eastAsia="x-none"/>
        </w:rPr>
        <w:t xml:space="preserve">Inne dokumenty </w:t>
      </w:r>
      <w:bookmarkEnd w:id="665"/>
    </w:p>
    <w:p w14:paraId="67C8C763" w14:textId="77777777" w:rsidR="00813B74" w:rsidRPr="00813B74" w:rsidRDefault="00813B74" w:rsidP="00AD6DA2">
      <w:pPr>
        <w:numPr>
          <w:ilvl w:val="0"/>
          <w:numId w:val="50"/>
        </w:numPr>
        <w:overflowPunct w:val="0"/>
        <w:autoSpaceDE w:val="0"/>
        <w:autoSpaceDN w:val="0"/>
        <w:adjustRightInd w:val="0"/>
        <w:spacing w:after="29" w:line="277"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Rozporządzenie Ministra Transportu i Gospodarki Morskiej z dnia 2 marca 1999 r. w sprawie warunków technicznych, jakim powinny odpowiadać drogi publiczne i ich usytuowanie (Dz.U. z 2016 r., poz. 124, z późn. zm.) </w:t>
      </w:r>
    </w:p>
    <w:p w14:paraId="1C9600A7" w14:textId="77777777" w:rsidR="00813B74" w:rsidRPr="00813B74" w:rsidRDefault="00813B74" w:rsidP="00AD6DA2">
      <w:pPr>
        <w:numPr>
          <w:ilvl w:val="0"/>
          <w:numId w:val="50"/>
        </w:numPr>
        <w:overflowPunct w:val="0"/>
        <w:autoSpaceDE w:val="0"/>
        <w:autoSpaceDN w:val="0"/>
        <w:adjustRightInd w:val="0"/>
        <w:spacing w:after="34"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Katalog typowych konstrukcji nawierzchni sztywnych. Załącznik do zarządzenia Nr 30 Generalnego Dyrektora Dróg Krajowych i Autostrad z dnia 16.06.2014 r. </w:t>
      </w:r>
    </w:p>
    <w:p w14:paraId="41A3B86C" w14:textId="77777777" w:rsidR="00813B74" w:rsidRPr="00813B74" w:rsidRDefault="00813B74" w:rsidP="00AD6DA2">
      <w:pPr>
        <w:numPr>
          <w:ilvl w:val="0"/>
          <w:numId w:val="50"/>
        </w:numPr>
        <w:overflowPunct w:val="0"/>
        <w:autoSpaceDE w:val="0"/>
        <w:autoSpaceDN w:val="0"/>
        <w:adjustRightInd w:val="0"/>
        <w:spacing w:after="7" w:line="271"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Katalog typowych konstrukcji nawierzchni podatnych i półsztywnych. Załącznik do zarządzenia Nr 31 Generalnego Dyrektora Dróg Krajowych i Autostrad z dnia </w:t>
      </w:r>
    </w:p>
    <w:p w14:paraId="40E6D217" w14:textId="77777777" w:rsidR="00813B74" w:rsidRPr="00813B74" w:rsidRDefault="00813B74" w:rsidP="00813B74">
      <w:pPr>
        <w:overflowPunct w:val="0"/>
        <w:autoSpaceDE w:val="0"/>
        <w:autoSpaceDN w:val="0"/>
        <w:adjustRightInd w:val="0"/>
        <w:spacing w:after="35" w:line="240" w:lineRule="auto"/>
        <w:ind w:left="742"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16.06.2014 r. </w:t>
      </w:r>
    </w:p>
    <w:p w14:paraId="72168170" w14:textId="77777777" w:rsidR="00813B74" w:rsidRPr="00813B74" w:rsidRDefault="00813B74" w:rsidP="00AD6DA2">
      <w:pPr>
        <w:numPr>
          <w:ilvl w:val="0"/>
          <w:numId w:val="50"/>
        </w:numPr>
        <w:overflowPunct w:val="0"/>
        <w:autoSpaceDE w:val="0"/>
        <w:autoSpaceDN w:val="0"/>
        <w:adjustRightInd w:val="0"/>
        <w:spacing w:after="19" w:line="240" w:lineRule="auto"/>
        <w:ind w:right="66"/>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Ustawa z dnia 16 kwietnia 2004r. o wyrobach budowlanych (Dz. U. z 2019 poz. </w:t>
      </w:r>
    </w:p>
    <w:p w14:paraId="647091A8" w14:textId="77777777" w:rsidR="00813B74" w:rsidRPr="00813B74" w:rsidRDefault="00813B74" w:rsidP="00813B74">
      <w:pPr>
        <w:overflowPunct w:val="0"/>
        <w:autoSpaceDE w:val="0"/>
        <w:autoSpaceDN w:val="0"/>
        <w:adjustRightInd w:val="0"/>
        <w:spacing w:after="0" w:line="240" w:lineRule="auto"/>
        <w:ind w:left="742" w:right="66" w:firstLine="709"/>
        <w:jc w:val="both"/>
        <w:textAlignment w:val="baseline"/>
        <w:rPr>
          <w:rFonts w:ascii="Arial Narrow" w:eastAsia="Times New Roman" w:hAnsi="Arial Narrow" w:cs="Times New Roman"/>
          <w:sz w:val="20"/>
          <w:szCs w:val="20"/>
          <w:lang w:eastAsia="pl-PL"/>
        </w:rPr>
      </w:pPr>
      <w:r w:rsidRPr="00813B74">
        <w:rPr>
          <w:rFonts w:ascii="Arial Narrow" w:eastAsia="Times New Roman" w:hAnsi="Arial Narrow" w:cs="Times New Roman"/>
          <w:sz w:val="20"/>
          <w:szCs w:val="20"/>
          <w:lang w:eastAsia="pl-PL"/>
        </w:rPr>
        <w:t xml:space="preserve">266, z późn. zm.) </w:t>
      </w:r>
    </w:p>
    <w:p w14:paraId="4D90D07E" w14:textId="77777777" w:rsidR="00813B74" w:rsidRPr="00813B74" w:rsidRDefault="00813B74" w:rsidP="00813B74">
      <w:pPr>
        <w:tabs>
          <w:tab w:val="left" w:pos="-1440"/>
          <w:tab w:val="left" w:pos="-720"/>
          <w:tab w:val="left" w:pos="0"/>
        </w:tabs>
        <w:spacing w:after="0" w:line="240" w:lineRule="auto"/>
        <w:ind w:firstLine="454"/>
        <w:jc w:val="both"/>
        <w:rPr>
          <w:rFonts w:ascii="Arial Narrow" w:eastAsia="Calibri" w:hAnsi="Arial Narrow" w:cs="Arial"/>
          <w:spacing w:val="-3"/>
          <w:sz w:val="20"/>
        </w:rPr>
      </w:pPr>
    </w:p>
    <w:p w14:paraId="611CFCA2" w14:textId="06449A64" w:rsidR="00813B74" w:rsidRDefault="00813B74"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10E3B19E" w14:textId="0A21B239" w:rsidR="00813B74" w:rsidRDefault="00813B74"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49BEF48C" w14:textId="3DB86F68" w:rsidR="00813B74" w:rsidRDefault="00813B74"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6796CCBC" w14:textId="1F392DFA" w:rsidR="00813B74" w:rsidRDefault="00813B74"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6FA595F3" w14:textId="3E768C14" w:rsidR="00813B74" w:rsidRDefault="00813B74"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64E8BE65" w14:textId="4FDD0E72" w:rsidR="00813B74" w:rsidRDefault="00813B74"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6E7FF883" w14:textId="3E6DB645" w:rsidR="00813B74" w:rsidRDefault="00813B74"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11F65880" w14:textId="32ADDB67" w:rsidR="00813B74" w:rsidRDefault="00813B74"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52C6BB09" w14:textId="2D022016" w:rsidR="00813B74" w:rsidRDefault="00813B74"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4595C156" w14:textId="1D26D5D0" w:rsidR="00813B74" w:rsidRDefault="00813B74"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16FB6A3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bookmarkStart w:id="666" w:name="_Toc58533529"/>
      <w:r w:rsidRPr="001565C9">
        <w:rPr>
          <w:rFonts w:ascii="Arial Narrow" w:eastAsia="Times New Roman" w:hAnsi="Arial Narrow" w:cs="Times New Roman"/>
          <w:b/>
          <w:sz w:val="28"/>
          <w:szCs w:val="20"/>
          <w:lang w:eastAsia="pl-PL"/>
        </w:rPr>
        <w:lastRenderedPageBreak/>
        <w:t>D – 04.07.01a PODBUDOWA Z BETONU ASFALTOWEGO</w:t>
      </w:r>
      <w:bookmarkEnd w:id="666"/>
    </w:p>
    <w:p w14:paraId="46265D4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Kod CPV: 45233000-9</w:t>
      </w:r>
    </w:p>
    <w:p w14:paraId="48D54775"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Roboty w zakresie konstruowania, fundamentowania oraz wykonywania nawierzchni autostrad, dróg</w:t>
      </w:r>
    </w:p>
    <w:p w14:paraId="3923251A" w14:textId="77777777" w:rsidR="001565C9" w:rsidRPr="001565C9" w:rsidRDefault="001565C9" w:rsidP="001565C9">
      <w:pPr>
        <w:spacing w:after="0" w:line="240" w:lineRule="auto"/>
        <w:ind w:firstLine="454"/>
        <w:jc w:val="center"/>
        <w:rPr>
          <w:rFonts w:ascii="Arial Narrow" w:eastAsia="Calibri" w:hAnsi="Arial Narrow" w:cs="Times New Roman"/>
        </w:rPr>
      </w:pPr>
    </w:p>
    <w:p w14:paraId="145328DF" w14:textId="77777777" w:rsidR="001565C9" w:rsidRPr="001565C9" w:rsidRDefault="001565C9" w:rsidP="001565C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1565C9">
        <w:rPr>
          <w:rFonts w:ascii="Arial Narrow" w:eastAsia="Times New Roman" w:hAnsi="Arial Narrow" w:cs="Times New Roman"/>
          <w:b/>
          <w:caps/>
          <w:kern w:val="28"/>
          <w:sz w:val="28"/>
          <w:szCs w:val="20"/>
          <w:lang w:eastAsia="x-none"/>
        </w:rPr>
        <w:t xml:space="preserve">1. </w:t>
      </w:r>
      <w:r w:rsidRPr="001565C9">
        <w:rPr>
          <w:rFonts w:ascii="Arial Narrow" w:eastAsia="Times New Roman" w:hAnsi="Arial Narrow" w:cs="Times New Roman"/>
          <w:b/>
          <w:caps/>
          <w:kern w:val="28"/>
          <w:sz w:val="28"/>
          <w:szCs w:val="20"/>
          <w:lang w:val="x-none" w:eastAsia="x-none"/>
        </w:rPr>
        <w:t>wstęp</w:t>
      </w:r>
    </w:p>
    <w:p w14:paraId="55539EFE"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eastAsia="x-none"/>
        </w:rPr>
        <w:t xml:space="preserve">1.1 </w:t>
      </w:r>
      <w:r w:rsidRPr="001565C9">
        <w:rPr>
          <w:rFonts w:ascii="Arial Narrow" w:eastAsia="Times New Roman" w:hAnsi="Arial Narrow" w:cs="Times New Roman"/>
          <w:b/>
          <w:sz w:val="28"/>
          <w:szCs w:val="20"/>
          <w:lang w:val="x-none" w:eastAsia="x-none"/>
        </w:rPr>
        <w:t>Przedmiot STWiORB</w:t>
      </w:r>
    </w:p>
    <w:p w14:paraId="04076805" w14:textId="77777777" w:rsidR="001565C9" w:rsidRPr="001565C9" w:rsidRDefault="001565C9" w:rsidP="001565C9">
      <w:pPr>
        <w:spacing w:after="0" w:line="240" w:lineRule="auto"/>
        <w:ind w:firstLine="454"/>
        <w:jc w:val="both"/>
        <w:rPr>
          <w:rFonts w:ascii="Arial Narrow" w:eastAsia="Calibri" w:hAnsi="Arial Narrow" w:cs="Times New Roman"/>
          <w:sz w:val="20"/>
        </w:rPr>
      </w:pPr>
      <w:r w:rsidRPr="001565C9">
        <w:rPr>
          <w:rFonts w:ascii="Arial Narrow" w:eastAsia="Times New Roman" w:hAnsi="Arial Narrow" w:cs="Times New Roman"/>
          <w:sz w:val="20"/>
          <w:szCs w:val="20"/>
          <w:lang w:eastAsia="pl-PL"/>
        </w:rPr>
        <w:t>Przedmiotem niniejszej szczegółowej specyfikacji technicznej (SST) są wymagania dotyczące wykonania i odbioru robót związanych wykonywaniem podbudowy z betonu asfaltowego</w:t>
      </w:r>
      <w:r w:rsidRPr="001565C9">
        <w:rPr>
          <w:rFonts w:ascii="Arial Narrow" w:eastAsia="Calibri" w:hAnsi="Arial Narrow" w:cs="Times New Roman"/>
          <w:sz w:val="20"/>
        </w:rPr>
        <w:t>.</w:t>
      </w:r>
    </w:p>
    <w:p w14:paraId="2B2E30F4"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eastAsia="x-none"/>
        </w:rPr>
        <w:t xml:space="preserve">1.2 </w:t>
      </w:r>
      <w:r w:rsidRPr="001565C9">
        <w:rPr>
          <w:rFonts w:ascii="Arial Narrow" w:eastAsia="Times New Roman" w:hAnsi="Arial Narrow" w:cs="Times New Roman"/>
          <w:b/>
          <w:sz w:val="28"/>
          <w:szCs w:val="20"/>
          <w:lang w:val="x-none" w:eastAsia="x-none"/>
        </w:rPr>
        <w:t>Zakres stosowania STWiORB</w:t>
      </w:r>
    </w:p>
    <w:p w14:paraId="20E764DA" w14:textId="3C37BA9B" w:rsidR="001565C9" w:rsidRPr="001565C9" w:rsidRDefault="001565C9" w:rsidP="001565C9">
      <w:pPr>
        <w:tabs>
          <w:tab w:val="left" w:pos="-1440"/>
          <w:tab w:val="left" w:pos="-720"/>
          <w:tab w:val="left" w:pos="0"/>
        </w:tabs>
        <w:spacing w:after="0" w:line="240" w:lineRule="auto"/>
        <w:ind w:firstLine="454"/>
        <w:jc w:val="both"/>
        <w:rPr>
          <w:rFonts w:ascii="Arial Narrow" w:eastAsia="Calibri" w:hAnsi="Arial Narrow" w:cs="Arial"/>
          <w:spacing w:val="-3"/>
          <w:sz w:val="20"/>
        </w:rPr>
      </w:pPr>
      <w:r w:rsidRPr="001565C9">
        <w:rPr>
          <w:rFonts w:ascii="Arial Narrow" w:eastAsia="Calibri" w:hAnsi="Arial Narrow" w:cs="Arial"/>
          <w:sz w:val="20"/>
        </w:rPr>
        <w:t xml:space="preserve">Specyfikacje Techniczne Wykonania i Odbioru Robót Budowlanych </w:t>
      </w:r>
      <w:r w:rsidRPr="001565C9">
        <w:rPr>
          <w:rFonts w:ascii="Arial Narrow" w:eastAsia="Calibri" w:hAnsi="Arial Narrow" w:cs="Arial"/>
          <w:spacing w:val="-3"/>
          <w:sz w:val="20"/>
        </w:rPr>
        <w:t xml:space="preserve">stanowią Dokument Przetargowy i Kontraktowy przy zlecaniu i realizacji robót na drogach </w:t>
      </w:r>
    </w:p>
    <w:p w14:paraId="6814C015"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67" w:name="_Toc495830097"/>
      <w:r w:rsidRPr="001565C9">
        <w:rPr>
          <w:rFonts w:ascii="Arial Narrow" w:eastAsia="Times New Roman" w:hAnsi="Arial Narrow" w:cs="Times New Roman"/>
          <w:b/>
          <w:sz w:val="28"/>
          <w:szCs w:val="20"/>
          <w:lang w:val="x-none" w:eastAsia="x-none"/>
        </w:rPr>
        <w:t>1.3. Zakres robót objętych SST</w:t>
      </w:r>
      <w:bookmarkEnd w:id="667"/>
    </w:p>
    <w:p w14:paraId="7F19CB01"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Ustalenia zawarte w niniejszej specyfikacji dotyczą zasad prowadzenia robót związanych z wykonywaniem podbudowy z betonu asfaltowego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1539"/>
        <w:gridCol w:w="1399"/>
        <w:gridCol w:w="1680"/>
        <w:gridCol w:w="1478"/>
        <w:gridCol w:w="1238"/>
        <w:gridCol w:w="1238"/>
      </w:tblGrid>
      <w:tr w:rsidR="001565C9" w:rsidRPr="001565C9" w14:paraId="5763ABC2" w14:textId="77777777" w:rsidTr="0072451A">
        <w:tc>
          <w:tcPr>
            <w:tcW w:w="534" w:type="dxa"/>
            <w:shd w:val="clear" w:color="auto" w:fill="auto"/>
          </w:tcPr>
          <w:p w14:paraId="1B8DDC5A" w14:textId="77777777" w:rsidR="001565C9" w:rsidRPr="001565C9" w:rsidRDefault="001565C9" w:rsidP="001565C9">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Lp</w:t>
            </w:r>
          </w:p>
        </w:tc>
        <w:tc>
          <w:tcPr>
            <w:tcW w:w="1539" w:type="dxa"/>
            <w:tcBorders>
              <w:bottom w:val="single" w:sz="4" w:space="0" w:color="auto"/>
            </w:tcBorders>
            <w:shd w:val="clear" w:color="auto" w:fill="auto"/>
          </w:tcPr>
          <w:p w14:paraId="2C4B2D42" w14:textId="77777777" w:rsidR="001565C9" w:rsidRPr="001565C9" w:rsidRDefault="001565C9" w:rsidP="001565C9">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Typ mieszanki</w:t>
            </w:r>
          </w:p>
        </w:tc>
        <w:tc>
          <w:tcPr>
            <w:tcW w:w="1399" w:type="dxa"/>
            <w:tcBorders>
              <w:bottom w:val="single" w:sz="4" w:space="0" w:color="auto"/>
            </w:tcBorders>
            <w:shd w:val="clear" w:color="auto" w:fill="auto"/>
          </w:tcPr>
          <w:p w14:paraId="5B13F82B" w14:textId="77777777" w:rsidR="001565C9" w:rsidRPr="001565C9" w:rsidRDefault="001565C9" w:rsidP="001565C9">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asfalt</w:t>
            </w:r>
          </w:p>
        </w:tc>
        <w:tc>
          <w:tcPr>
            <w:tcW w:w="1680" w:type="dxa"/>
            <w:tcBorders>
              <w:bottom w:val="single" w:sz="4" w:space="0" w:color="auto"/>
            </w:tcBorders>
            <w:shd w:val="clear" w:color="auto" w:fill="auto"/>
          </w:tcPr>
          <w:p w14:paraId="2824767E" w14:textId="06BF7D26" w:rsidR="001565C9" w:rsidRPr="001565C9" w:rsidRDefault="001565C9" w:rsidP="001565C9">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polimeroasfa</w:t>
            </w:r>
            <w:r w:rsidR="00497CA1">
              <w:rPr>
                <w:rFonts w:ascii="Arial Narrow" w:eastAsia="Times New Roman" w:hAnsi="Arial Narrow" w:cs="Times New Roman"/>
                <w:sz w:val="20"/>
                <w:szCs w:val="20"/>
                <w:lang w:eastAsia="pl-PL"/>
              </w:rPr>
              <w:t>l</w:t>
            </w:r>
            <w:r w:rsidRPr="001565C9">
              <w:rPr>
                <w:rFonts w:ascii="Arial Narrow" w:eastAsia="Times New Roman" w:hAnsi="Arial Narrow" w:cs="Times New Roman"/>
                <w:sz w:val="20"/>
                <w:szCs w:val="20"/>
                <w:lang w:eastAsia="pl-PL"/>
              </w:rPr>
              <w:t>t</w:t>
            </w:r>
          </w:p>
        </w:tc>
        <w:tc>
          <w:tcPr>
            <w:tcW w:w="1478" w:type="dxa"/>
            <w:tcBorders>
              <w:bottom w:val="single" w:sz="4" w:space="0" w:color="auto"/>
            </w:tcBorders>
            <w:shd w:val="clear" w:color="auto" w:fill="auto"/>
          </w:tcPr>
          <w:p w14:paraId="19E296B1" w14:textId="77777777" w:rsidR="001565C9" w:rsidRPr="001565C9" w:rsidRDefault="001565C9" w:rsidP="001565C9">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grubość</w:t>
            </w:r>
          </w:p>
        </w:tc>
        <w:tc>
          <w:tcPr>
            <w:tcW w:w="1238" w:type="dxa"/>
            <w:tcBorders>
              <w:bottom w:val="single" w:sz="4" w:space="0" w:color="auto"/>
            </w:tcBorders>
            <w:shd w:val="clear" w:color="auto" w:fill="auto"/>
          </w:tcPr>
          <w:p w14:paraId="24BBD2C1" w14:textId="77777777" w:rsidR="001565C9" w:rsidRPr="001565C9" w:rsidRDefault="001565C9" w:rsidP="001565C9">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KR</w:t>
            </w:r>
          </w:p>
        </w:tc>
        <w:tc>
          <w:tcPr>
            <w:tcW w:w="1238" w:type="dxa"/>
            <w:tcBorders>
              <w:bottom w:val="single" w:sz="4" w:space="0" w:color="auto"/>
            </w:tcBorders>
            <w:shd w:val="clear" w:color="auto" w:fill="auto"/>
          </w:tcPr>
          <w:p w14:paraId="5490F068" w14:textId="77777777" w:rsidR="001565C9" w:rsidRPr="001565C9" w:rsidRDefault="001565C9" w:rsidP="001565C9">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Miejsce wbudowania</w:t>
            </w:r>
          </w:p>
        </w:tc>
      </w:tr>
      <w:tr w:rsidR="001565C9" w:rsidRPr="001565C9" w14:paraId="1B452381" w14:textId="77777777" w:rsidTr="0072451A">
        <w:tc>
          <w:tcPr>
            <w:tcW w:w="534" w:type="dxa"/>
            <w:shd w:val="clear" w:color="auto" w:fill="auto"/>
          </w:tcPr>
          <w:p w14:paraId="25C1137C" w14:textId="77777777" w:rsidR="001565C9" w:rsidRPr="001565C9" w:rsidRDefault="001565C9" w:rsidP="001565C9">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1</w:t>
            </w:r>
          </w:p>
        </w:tc>
        <w:tc>
          <w:tcPr>
            <w:tcW w:w="1539" w:type="dxa"/>
            <w:shd w:val="clear" w:color="auto" w:fill="FFC000"/>
          </w:tcPr>
          <w:p w14:paraId="7B1545FF" w14:textId="77777777" w:rsidR="001565C9" w:rsidRPr="001565C9" w:rsidRDefault="001565C9" w:rsidP="001565C9">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AC16</w:t>
            </w:r>
          </w:p>
        </w:tc>
        <w:tc>
          <w:tcPr>
            <w:tcW w:w="1399" w:type="dxa"/>
            <w:shd w:val="clear" w:color="auto" w:fill="FFC000"/>
          </w:tcPr>
          <w:p w14:paraId="7A2B528D" w14:textId="232E61EC" w:rsidR="001565C9" w:rsidRPr="001565C9" w:rsidRDefault="00497CA1" w:rsidP="001565C9">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35/50</w:t>
            </w:r>
          </w:p>
        </w:tc>
        <w:tc>
          <w:tcPr>
            <w:tcW w:w="1680" w:type="dxa"/>
            <w:shd w:val="clear" w:color="auto" w:fill="FFC000"/>
          </w:tcPr>
          <w:p w14:paraId="6B0AE26E" w14:textId="77777777" w:rsidR="001565C9" w:rsidRPr="001565C9" w:rsidRDefault="001565C9" w:rsidP="001565C9">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w:t>
            </w:r>
          </w:p>
        </w:tc>
        <w:tc>
          <w:tcPr>
            <w:tcW w:w="1478" w:type="dxa"/>
            <w:shd w:val="clear" w:color="auto" w:fill="FFC000"/>
          </w:tcPr>
          <w:p w14:paraId="1B9D95DE" w14:textId="7782BD88" w:rsidR="001565C9" w:rsidRPr="001565C9" w:rsidRDefault="002271D7" w:rsidP="001565C9">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6</w:t>
            </w:r>
          </w:p>
        </w:tc>
        <w:tc>
          <w:tcPr>
            <w:tcW w:w="1238" w:type="dxa"/>
            <w:shd w:val="clear" w:color="auto" w:fill="FFC000"/>
          </w:tcPr>
          <w:p w14:paraId="078B1B87" w14:textId="05EDBDD3" w:rsidR="001565C9" w:rsidRPr="001565C9" w:rsidRDefault="00DB0468" w:rsidP="001565C9">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1</w:t>
            </w:r>
          </w:p>
        </w:tc>
        <w:tc>
          <w:tcPr>
            <w:tcW w:w="1238" w:type="dxa"/>
            <w:shd w:val="clear" w:color="auto" w:fill="FFC000"/>
          </w:tcPr>
          <w:p w14:paraId="7EABAE28" w14:textId="77777777" w:rsidR="001565C9" w:rsidRPr="001565C9" w:rsidRDefault="001565C9" w:rsidP="001565C9">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Jezdnia</w:t>
            </w:r>
          </w:p>
        </w:tc>
      </w:tr>
    </w:tbl>
    <w:p w14:paraId="2432C4E0"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4AB77ED8"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Ustalenia zawarte w niniejszej specyfikacji dotyczą zasad prowadzenia robót związanych z wykonaniem i odbiorem warstwy podbudowy z betonu asfaltowego wg [47] i [65] z mieszanki mineralno-asfaltowej dostarczonej od producenta. </w:t>
      </w:r>
    </w:p>
    <w:p w14:paraId="7C8A0A85"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68" w:name="_Toc495830098"/>
      <w:r w:rsidRPr="001565C9">
        <w:rPr>
          <w:rFonts w:ascii="Arial Narrow" w:eastAsia="Times New Roman" w:hAnsi="Arial Narrow" w:cs="Times New Roman"/>
          <w:b/>
          <w:sz w:val="28"/>
          <w:szCs w:val="20"/>
          <w:lang w:val="x-none" w:eastAsia="x-none"/>
        </w:rPr>
        <w:t>1.4. Określenia podstawowe</w:t>
      </w:r>
      <w:bookmarkEnd w:id="668"/>
    </w:p>
    <w:p w14:paraId="56C2794A"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 xml:space="preserve">1.4.1. </w:t>
      </w:r>
      <w:r w:rsidRPr="001565C9">
        <w:rPr>
          <w:rFonts w:ascii="Arial Narrow" w:eastAsia="Times New Roman" w:hAnsi="Arial Narrow" w:cs="Times New Roman"/>
          <w:sz w:val="20"/>
          <w:szCs w:val="20"/>
          <w:lang w:eastAsia="pl-PL"/>
        </w:rPr>
        <w:t>Nawierzchnia – konstrukcja składająca się z jednej lub kilku warstw służących do przejmowania i rozkładania obciążeń od ruchu pojazdów na podłoże.</w:t>
      </w:r>
    </w:p>
    <w:p w14:paraId="7DB3F827" w14:textId="77777777" w:rsidR="001565C9" w:rsidRPr="001565C9" w:rsidRDefault="001565C9" w:rsidP="001565C9">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 xml:space="preserve">1.4.2. </w:t>
      </w:r>
      <w:r w:rsidRPr="001565C9">
        <w:rPr>
          <w:rFonts w:ascii="Arial Narrow" w:eastAsia="Times New Roman" w:hAnsi="Arial Narrow" w:cs="Times New Roman"/>
          <w:sz w:val="20"/>
          <w:szCs w:val="20"/>
          <w:lang w:eastAsia="pl-PL"/>
        </w:rPr>
        <w:t>Podbudowa – główny element konstrukcyjny nawierzchni, który może być ułożony w jednej lub kilku warstwach.</w:t>
      </w:r>
    </w:p>
    <w:p w14:paraId="7C43DC10" w14:textId="77777777" w:rsidR="001565C9" w:rsidRPr="001565C9" w:rsidRDefault="001565C9" w:rsidP="001565C9">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 xml:space="preserve">1.4.3. </w:t>
      </w:r>
      <w:r w:rsidRPr="001565C9">
        <w:rPr>
          <w:rFonts w:ascii="Arial Narrow" w:eastAsia="Times New Roman" w:hAnsi="Arial Narrow" w:cs="Times New Roman"/>
          <w:sz w:val="20"/>
          <w:szCs w:val="20"/>
          <w:lang w:eastAsia="pl-PL"/>
        </w:rPr>
        <w:t>Mieszanka mineralno-asfaltowa – mieszanka kruszyw i lepiszcza asfaltowego.</w:t>
      </w:r>
    </w:p>
    <w:p w14:paraId="525E413B" w14:textId="77777777" w:rsidR="001565C9" w:rsidRPr="001565C9" w:rsidRDefault="001565C9" w:rsidP="001565C9">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 xml:space="preserve">1.4.4. </w:t>
      </w:r>
      <w:r w:rsidRPr="001565C9">
        <w:rPr>
          <w:rFonts w:ascii="Arial Narrow" w:eastAsia="Times New Roman" w:hAnsi="Arial Narrow" w:cs="Times New Roman"/>
          <w:sz w:val="20"/>
          <w:szCs w:val="20"/>
          <w:lang w:eastAsia="pl-PL"/>
        </w:rPr>
        <w:t>Wymiar mieszanki mineralno-asfaltowej – określenie mieszanki mineralno-asfaltowej, wyróżniające tę mieszankę ze zbioru mieszanek tego samego typu ze względu na największy wymiar kruszywa, np. wymiar 16 lub 22.</w:t>
      </w:r>
    </w:p>
    <w:p w14:paraId="04F9522C" w14:textId="77777777" w:rsidR="001565C9" w:rsidRPr="001565C9" w:rsidRDefault="001565C9" w:rsidP="001565C9">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 xml:space="preserve">1.4.5. </w:t>
      </w:r>
      <w:r w:rsidRPr="001565C9">
        <w:rPr>
          <w:rFonts w:ascii="Arial Narrow" w:eastAsia="Times New Roman" w:hAnsi="Arial Narrow" w:cs="Times New Roman"/>
          <w:sz w:val="20"/>
          <w:szCs w:val="20"/>
          <w:lang w:eastAsia="pl-PL"/>
        </w:rPr>
        <w:t>Beton asfaltowy – mieszanka mineralno-asfaltowa, w której kruszywo o uziarnieniu ciągłym lub nieciągłym tworzy strukturę wzajemnie klinującą się.</w:t>
      </w:r>
    </w:p>
    <w:p w14:paraId="6BD21E60" w14:textId="77777777" w:rsidR="001565C9" w:rsidRPr="001565C9" w:rsidRDefault="001565C9" w:rsidP="001565C9">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 xml:space="preserve">1.4.6. </w:t>
      </w:r>
      <w:r w:rsidRPr="001565C9">
        <w:rPr>
          <w:rFonts w:ascii="Arial Narrow" w:eastAsia="Times New Roman" w:hAnsi="Arial Narrow" w:cs="Times New Roman"/>
          <w:sz w:val="20"/>
          <w:szCs w:val="20"/>
          <w:lang w:eastAsia="pl-PL"/>
        </w:rPr>
        <w:t>Uziarnienie – skład ziarnowy kruszywa, wyrażony w procentach masy ziaren przechodzących przez określony zestaw sit.</w:t>
      </w:r>
    </w:p>
    <w:p w14:paraId="76E43225" w14:textId="77777777" w:rsidR="001565C9" w:rsidRPr="001565C9" w:rsidRDefault="001565C9" w:rsidP="001565C9">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 xml:space="preserve">1.4.7. </w:t>
      </w:r>
      <w:r w:rsidRPr="001565C9">
        <w:rPr>
          <w:rFonts w:ascii="Arial Narrow" w:eastAsia="Times New Roman" w:hAnsi="Arial Narrow" w:cs="Times New Roman"/>
          <w:sz w:val="20"/>
          <w:szCs w:val="20"/>
          <w:lang w:eastAsia="pl-PL"/>
        </w:rPr>
        <w:t>Kategoria ruchu – obciążenie drogi ruchem samochodowym, wyrażone w osiach obliczeniowych (100 kN) wg „Katalogu typowych konstrukcji nawierzchni podatnych i półsztywnych” GDDP-IBDiM [68].</w:t>
      </w:r>
    </w:p>
    <w:p w14:paraId="2B64BD96" w14:textId="77777777" w:rsidR="001565C9" w:rsidRPr="001565C9" w:rsidRDefault="001565C9" w:rsidP="001565C9">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 xml:space="preserve">1.4.8. </w:t>
      </w:r>
      <w:r w:rsidRPr="001565C9">
        <w:rPr>
          <w:rFonts w:ascii="Arial Narrow" w:eastAsia="Times New Roman" w:hAnsi="Arial Narrow" w:cs="Times New Roman"/>
          <w:sz w:val="20"/>
          <w:szCs w:val="20"/>
          <w:lang w:eastAsia="pl-PL"/>
        </w:rPr>
        <w:t>Wymiar kruszywa – wielkość ziaren kruszywa, określona przez dolny (d) i górny (D) wymiar sita.</w:t>
      </w:r>
    </w:p>
    <w:p w14:paraId="52C9FEFB" w14:textId="77777777" w:rsidR="001565C9" w:rsidRPr="001565C9" w:rsidRDefault="001565C9" w:rsidP="001565C9">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 xml:space="preserve">1.4.9. </w:t>
      </w:r>
      <w:r w:rsidRPr="001565C9">
        <w:rPr>
          <w:rFonts w:ascii="Arial Narrow" w:eastAsia="Times New Roman" w:hAnsi="Arial Narrow" w:cs="Times New Roman"/>
          <w:sz w:val="20"/>
          <w:szCs w:val="20"/>
          <w:lang w:eastAsia="pl-PL"/>
        </w:rPr>
        <w:t xml:space="preserve">Kruszywo grube – kruszywo z ziaren o wymiarze: D ≤ </w:t>
      </w:r>
      <w:smartTag w:uri="urn:schemas-microsoft-com:office:smarttags" w:element="metricconverter">
        <w:smartTagPr>
          <w:attr w:name="ProductID" w:val="45 mm"/>
        </w:smartTagPr>
        <w:r w:rsidRPr="001565C9">
          <w:rPr>
            <w:rFonts w:ascii="Arial Narrow" w:eastAsia="Times New Roman" w:hAnsi="Arial Narrow" w:cs="Times New Roman"/>
            <w:sz w:val="20"/>
            <w:szCs w:val="20"/>
            <w:lang w:eastAsia="pl-PL"/>
          </w:rPr>
          <w:t>45 mm</w:t>
        </w:r>
      </w:smartTag>
      <w:r w:rsidRPr="001565C9">
        <w:rPr>
          <w:rFonts w:ascii="Arial Narrow" w:eastAsia="Times New Roman" w:hAnsi="Arial Narrow" w:cs="Times New Roman"/>
          <w:sz w:val="20"/>
          <w:szCs w:val="20"/>
          <w:lang w:eastAsia="pl-PL"/>
        </w:rPr>
        <w:t xml:space="preserve"> oraz d &gt; </w:t>
      </w:r>
      <w:smartTag w:uri="urn:schemas-microsoft-com:office:smarttags" w:element="metricconverter">
        <w:smartTagPr>
          <w:attr w:name="ProductID" w:val="2 mm"/>
        </w:smartTagPr>
        <w:r w:rsidRPr="001565C9">
          <w:rPr>
            <w:rFonts w:ascii="Arial Narrow" w:eastAsia="Times New Roman" w:hAnsi="Arial Narrow" w:cs="Times New Roman"/>
            <w:sz w:val="20"/>
            <w:szCs w:val="20"/>
            <w:lang w:eastAsia="pl-PL"/>
          </w:rPr>
          <w:t>2 mm</w:t>
        </w:r>
      </w:smartTag>
      <w:r w:rsidRPr="001565C9">
        <w:rPr>
          <w:rFonts w:ascii="Arial Narrow" w:eastAsia="Times New Roman" w:hAnsi="Arial Narrow" w:cs="Times New Roman"/>
          <w:sz w:val="20"/>
          <w:szCs w:val="20"/>
          <w:lang w:eastAsia="pl-PL"/>
        </w:rPr>
        <w:t>.</w:t>
      </w:r>
    </w:p>
    <w:p w14:paraId="2A47B4B5" w14:textId="77777777" w:rsidR="001565C9" w:rsidRPr="001565C9" w:rsidRDefault="001565C9" w:rsidP="001565C9">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 xml:space="preserve">1.4.10. </w:t>
      </w:r>
      <w:r w:rsidRPr="001565C9">
        <w:rPr>
          <w:rFonts w:ascii="Arial Narrow" w:eastAsia="Times New Roman" w:hAnsi="Arial Narrow" w:cs="Times New Roman"/>
          <w:sz w:val="20"/>
          <w:szCs w:val="20"/>
          <w:lang w:eastAsia="pl-PL"/>
        </w:rPr>
        <w:t xml:space="preserve">Kruszywo drobne – kruszywo z ziaren o wymiarze: D ≤ </w:t>
      </w:r>
      <w:smartTag w:uri="urn:schemas-microsoft-com:office:smarttags" w:element="metricconverter">
        <w:smartTagPr>
          <w:attr w:name="ProductID" w:val="2 mm"/>
        </w:smartTagPr>
        <w:r w:rsidRPr="001565C9">
          <w:rPr>
            <w:rFonts w:ascii="Arial Narrow" w:eastAsia="Times New Roman" w:hAnsi="Arial Narrow" w:cs="Times New Roman"/>
            <w:sz w:val="20"/>
            <w:szCs w:val="20"/>
            <w:lang w:eastAsia="pl-PL"/>
          </w:rPr>
          <w:t>2 mm</w:t>
        </w:r>
      </w:smartTag>
      <w:r w:rsidRPr="001565C9">
        <w:rPr>
          <w:rFonts w:ascii="Arial Narrow" w:eastAsia="Times New Roman" w:hAnsi="Arial Narrow" w:cs="Times New Roman"/>
          <w:sz w:val="20"/>
          <w:szCs w:val="20"/>
          <w:lang w:eastAsia="pl-PL"/>
        </w:rPr>
        <w:t xml:space="preserve">, którego większa część pozostaje na sicie </w:t>
      </w:r>
      <w:smartTag w:uri="urn:schemas-microsoft-com:office:smarttags" w:element="metricconverter">
        <w:smartTagPr>
          <w:attr w:name="ProductID" w:val="0,063 mm"/>
        </w:smartTagPr>
        <w:r w:rsidRPr="001565C9">
          <w:rPr>
            <w:rFonts w:ascii="Arial Narrow" w:eastAsia="Times New Roman" w:hAnsi="Arial Narrow" w:cs="Times New Roman"/>
            <w:sz w:val="20"/>
            <w:szCs w:val="20"/>
            <w:lang w:eastAsia="pl-PL"/>
          </w:rPr>
          <w:t>0,063 mm</w:t>
        </w:r>
      </w:smartTag>
      <w:r w:rsidRPr="001565C9">
        <w:rPr>
          <w:rFonts w:ascii="Arial Narrow" w:eastAsia="Times New Roman" w:hAnsi="Arial Narrow" w:cs="Times New Roman"/>
          <w:sz w:val="20"/>
          <w:szCs w:val="20"/>
          <w:lang w:eastAsia="pl-PL"/>
        </w:rPr>
        <w:t>.</w:t>
      </w:r>
    </w:p>
    <w:p w14:paraId="1BEC4F36" w14:textId="77777777" w:rsidR="001565C9" w:rsidRPr="001565C9" w:rsidRDefault="001565C9" w:rsidP="001565C9">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 xml:space="preserve">1.4.11. </w:t>
      </w:r>
      <w:r w:rsidRPr="001565C9">
        <w:rPr>
          <w:rFonts w:ascii="Arial Narrow" w:eastAsia="Times New Roman" w:hAnsi="Arial Narrow" w:cs="Times New Roman"/>
          <w:sz w:val="20"/>
          <w:szCs w:val="20"/>
          <w:lang w:eastAsia="pl-PL"/>
        </w:rPr>
        <w:t xml:space="preserve">Pył – kruszywo z ziaren przechodzących przez sito </w:t>
      </w:r>
      <w:smartTag w:uri="urn:schemas-microsoft-com:office:smarttags" w:element="metricconverter">
        <w:smartTagPr>
          <w:attr w:name="ProductID" w:val="0,063 mm"/>
        </w:smartTagPr>
        <w:r w:rsidRPr="001565C9">
          <w:rPr>
            <w:rFonts w:ascii="Arial Narrow" w:eastAsia="Times New Roman" w:hAnsi="Arial Narrow" w:cs="Times New Roman"/>
            <w:sz w:val="20"/>
            <w:szCs w:val="20"/>
            <w:lang w:eastAsia="pl-PL"/>
          </w:rPr>
          <w:t>0,063 mm</w:t>
        </w:r>
      </w:smartTag>
      <w:r w:rsidRPr="001565C9">
        <w:rPr>
          <w:rFonts w:ascii="Arial Narrow" w:eastAsia="Times New Roman" w:hAnsi="Arial Narrow" w:cs="Times New Roman"/>
          <w:sz w:val="20"/>
          <w:szCs w:val="20"/>
          <w:lang w:eastAsia="pl-PL"/>
        </w:rPr>
        <w:t>.</w:t>
      </w:r>
    </w:p>
    <w:p w14:paraId="53A77AB8" w14:textId="77777777" w:rsidR="001565C9" w:rsidRPr="001565C9" w:rsidRDefault="001565C9" w:rsidP="001565C9">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 xml:space="preserve">1.4.12. </w:t>
      </w:r>
      <w:r w:rsidRPr="001565C9">
        <w:rPr>
          <w:rFonts w:ascii="Arial Narrow" w:eastAsia="Times New Roman" w:hAnsi="Arial Narrow" w:cs="Times New Roman"/>
          <w:sz w:val="20"/>
          <w:szCs w:val="20"/>
          <w:lang w:eastAsia="pl-PL"/>
        </w:rPr>
        <w:t xml:space="preserve">Wypełniacz – kruszywo, którego większa część przechodzi przez sito </w:t>
      </w:r>
      <w:smartTag w:uri="urn:schemas-microsoft-com:office:smarttags" w:element="metricconverter">
        <w:smartTagPr>
          <w:attr w:name="ProductID" w:val="0,063 mm"/>
        </w:smartTagPr>
        <w:r w:rsidRPr="001565C9">
          <w:rPr>
            <w:rFonts w:ascii="Arial Narrow" w:eastAsia="Times New Roman" w:hAnsi="Arial Narrow" w:cs="Times New Roman"/>
            <w:sz w:val="20"/>
            <w:szCs w:val="20"/>
            <w:lang w:eastAsia="pl-PL"/>
          </w:rPr>
          <w:t>0,063 mm</w:t>
        </w:r>
      </w:smartTag>
      <w:r w:rsidRPr="001565C9">
        <w:rPr>
          <w:rFonts w:ascii="Arial Narrow" w:eastAsia="Times New Roman" w:hAnsi="Arial Narrow" w:cs="Times New Roman"/>
          <w:sz w:val="20"/>
          <w:szCs w:val="20"/>
          <w:lang w:eastAsia="pl-PL"/>
        </w:rPr>
        <w:t>. (Wypełniacz mieszany – kruszywo, które składa się z wypełniacza pochodzenia mineralnego i wodorotlenku wapnia. Wypełniacz dodany – wypełniacz pochodzenia mineralnego, wyprodukowany oddzielnie).</w:t>
      </w:r>
    </w:p>
    <w:p w14:paraId="5B1BD635" w14:textId="77777777" w:rsidR="001565C9" w:rsidRPr="001565C9" w:rsidRDefault="001565C9" w:rsidP="001565C9">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 xml:space="preserve">1.4.13. </w:t>
      </w:r>
      <w:r w:rsidRPr="001565C9">
        <w:rPr>
          <w:rFonts w:ascii="Arial Narrow" w:eastAsia="Times New Roman" w:hAnsi="Arial Narrow" w:cs="Times New Roman"/>
          <w:sz w:val="20"/>
          <w:szCs w:val="20"/>
          <w:lang w:eastAsia="pl-PL"/>
        </w:rPr>
        <w:t>Kationowa emulsja asfaltowa – emulsja, w której emulgator nadaje dodatnie ładunki cząstkom zdyspergowanego asfaltu.</w:t>
      </w:r>
    </w:p>
    <w:p w14:paraId="55F5A8A3" w14:textId="77777777" w:rsidR="001565C9" w:rsidRPr="001565C9" w:rsidRDefault="001565C9" w:rsidP="001565C9">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 xml:space="preserve">1.4.14. </w:t>
      </w:r>
      <w:r w:rsidRPr="001565C9">
        <w:rPr>
          <w:rFonts w:ascii="Arial Narrow" w:eastAsia="Times New Roman" w:hAnsi="Arial Narrow" w:cs="Times New Roman"/>
          <w:sz w:val="20"/>
          <w:szCs w:val="20"/>
          <w:lang w:eastAsia="pl-PL"/>
        </w:rPr>
        <w:t>Pozostałe określenia podstawowe są zgodne z obowiązującymi, odpowiednimi polskimi normami i z definicjami podanymi w SST D-M-00.00.00 „Wymagania ogólne” pkt 1.4.</w:t>
      </w:r>
    </w:p>
    <w:p w14:paraId="4C5358F2" w14:textId="77777777" w:rsidR="001565C9" w:rsidRPr="001565C9" w:rsidRDefault="001565C9" w:rsidP="001565C9">
      <w:pPr>
        <w:overflowPunct w:val="0"/>
        <w:autoSpaceDE w:val="0"/>
        <w:autoSpaceDN w:val="0"/>
        <w:adjustRightInd w:val="0"/>
        <w:spacing w:before="120" w:after="12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 xml:space="preserve">1.4.15. </w:t>
      </w:r>
      <w:r w:rsidRPr="001565C9">
        <w:rPr>
          <w:rFonts w:ascii="Arial Narrow" w:eastAsia="Times New Roman" w:hAnsi="Arial Narrow" w:cs="Times New Roman"/>
          <w:sz w:val="20"/>
          <w:szCs w:val="20"/>
          <w:lang w:eastAsia="pl-PL"/>
        </w:rPr>
        <w:t>Symbole i skróty dodatkowe</w:t>
      </w:r>
    </w:p>
    <w:tbl>
      <w:tblPr>
        <w:tblW w:w="0" w:type="auto"/>
        <w:tblLook w:val="04A0" w:firstRow="1" w:lastRow="0" w:firstColumn="1" w:lastColumn="0" w:noHBand="0" w:noVBand="1"/>
      </w:tblPr>
      <w:tblGrid>
        <w:gridCol w:w="1299"/>
        <w:gridCol w:w="6694"/>
      </w:tblGrid>
      <w:tr w:rsidR="001565C9" w:rsidRPr="001565C9" w14:paraId="6D7411A3" w14:textId="77777777" w:rsidTr="0072451A">
        <w:tc>
          <w:tcPr>
            <w:tcW w:w="817" w:type="dxa"/>
          </w:tcPr>
          <w:p w14:paraId="34880CB0"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ACP   </w:t>
            </w:r>
          </w:p>
        </w:tc>
        <w:tc>
          <w:tcPr>
            <w:tcW w:w="6694" w:type="dxa"/>
          </w:tcPr>
          <w:p w14:paraId="625B8E6F" w14:textId="77777777" w:rsidR="001565C9" w:rsidRPr="001565C9" w:rsidRDefault="001565C9" w:rsidP="00AD6DA2">
            <w:pPr>
              <w:numPr>
                <w:ilvl w:val="0"/>
                <w:numId w:val="51"/>
              </w:numPr>
              <w:overflowPunct w:val="0"/>
              <w:autoSpaceDE w:val="0"/>
              <w:autoSpaceDN w:val="0"/>
              <w:adjustRightInd w:val="0"/>
              <w:spacing w:after="0" w:line="240" w:lineRule="auto"/>
              <w:ind w:left="45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beton asfaltowy do warstwy podbudowy,</w:t>
            </w:r>
          </w:p>
        </w:tc>
      </w:tr>
      <w:tr w:rsidR="001565C9" w:rsidRPr="001565C9" w14:paraId="012D14E0" w14:textId="77777777" w:rsidTr="0072451A">
        <w:tc>
          <w:tcPr>
            <w:tcW w:w="817" w:type="dxa"/>
          </w:tcPr>
          <w:p w14:paraId="18D587D6"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PMB   </w:t>
            </w:r>
          </w:p>
        </w:tc>
        <w:tc>
          <w:tcPr>
            <w:tcW w:w="6694" w:type="dxa"/>
          </w:tcPr>
          <w:p w14:paraId="52C8ECB1" w14:textId="77777777" w:rsidR="001565C9" w:rsidRPr="001565C9" w:rsidRDefault="001565C9" w:rsidP="00AD6DA2">
            <w:pPr>
              <w:numPr>
                <w:ilvl w:val="0"/>
                <w:numId w:val="51"/>
              </w:numPr>
              <w:overflowPunct w:val="0"/>
              <w:autoSpaceDE w:val="0"/>
              <w:autoSpaceDN w:val="0"/>
              <w:adjustRightInd w:val="0"/>
              <w:spacing w:after="0" w:line="240" w:lineRule="auto"/>
              <w:ind w:left="45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polimeroasfalt,</w:t>
            </w:r>
          </w:p>
        </w:tc>
      </w:tr>
      <w:tr w:rsidR="001565C9" w:rsidRPr="001565C9" w14:paraId="3BCC9019" w14:textId="77777777" w:rsidTr="0072451A">
        <w:tc>
          <w:tcPr>
            <w:tcW w:w="817" w:type="dxa"/>
          </w:tcPr>
          <w:p w14:paraId="39868F4C"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D         </w:t>
            </w:r>
          </w:p>
        </w:tc>
        <w:tc>
          <w:tcPr>
            <w:tcW w:w="6694" w:type="dxa"/>
          </w:tcPr>
          <w:p w14:paraId="7A3419BE" w14:textId="77777777" w:rsidR="001565C9" w:rsidRPr="001565C9" w:rsidRDefault="001565C9" w:rsidP="00AD6DA2">
            <w:pPr>
              <w:numPr>
                <w:ilvl w:val="0"/>
                <w:numId w:val="51"/>
              </w:numPr>
              <w:overflowPunct w:val="0"/>
              <w:autoSpaceDE w:val="0"/>
              <w:autoSpaceDN w:val="0"/>
              <w:adjustRightInd w:val="0"/>
              <w:spacing w:after="0" w:line="240" w:lineRule="auto"/>
              <w:ind w:left="45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górny wymiar sita (przy określaniu wielkości ziaren kruszywa),</w:t>
            </w:r>
          </w:p>
        </w:tc>
      </w:tr>
      <w:tr w:rsidR="001565C9" w:rsidRPr="001565C9" w14:paraId="148B27CE" w14:textId="77777777" w:rsidTr="0072451A">
        <w:tc>
          <w:tcPr>
            <w:tcW w:w="817" w:type="dxa"/>
          </w:tcPr>
          <w:p w14:paraId="31C0F583"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d         </w:t>
            </w:r>
          </w:p>
        </w:tc>
        <w:tc>
          <w:tcPr>
            <w:tcW w:w="6694" w:type="dxa"/>
          </w:tcPr>
          <w:p w14:paraId="529761AE" w14:textId="77777777" w:rsidR="001565C9" w:rsidRPr="001565C9" w:rsidRDefault="001565C9" w:rsidP="00AD6DA2">
            <w:pPr>
              <w:numPr>
                <w:ilvl w:val="0"/>
                <w:numId w:val="51"/>
              </w:numPr>
              <w:overflowPunct w:val="0"/>
              <w:autoSpaceDE w:val="0"/>
              <w:autoSpaceDN w:val="0"/>
              <w:adjustRightInd w:val="0"/>
              <w:spacing w:after="0" w:line="240" w:lineRule="auto"/>
              <w:ind w:left="45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dolny wymiar sita (przy określaniu wielkości ziaren kruszywa),</w:t>
            </w:r>
          </w:p>
        </w:tc>
      </w:tr>
      <w:tr w:rsidR="001565C9" w:rsidRPr="001565C9" w14:paraId="5784CFC5" w14:textId="77777777" w:rsidTr="0072451A">
        <w:tc>
          <w:tcPr>
            <w:tcW w:w="817" w:type="dxa"/>
          </w:tcPr>
          <w:p w14:paraId="3982CA46"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C         </w:t>
            </w:r>
          </w:p>
        </w:tc>
        <w:tc>
          <w:tcPr>
            <w:tcW w:w="6694" w:type="dxa"/>
          </w:tcPr>
          <w:p w14:paraId="6996C15C" w14:textId="77777777" w:rsidR="001565C9" w:rsidRPr="001565C9" w:rsidRDefault="001565C9" w:rsidP="00AD6DA2">
            <w:pPr>
              <w:numPr>
                <w:ilvl w:val="0"/>
                <w:numId w:val="51"/>
              </w:numPr>
              <w:overflowPunct w:val="0"/>
              <w:autoSpaceDE w:val="0"/>
              <w:autoSpaceDN w:val="0"/>
              <w:adjustRightInd w:val="0"/>
              <w:spacing w:after="0" w:line="240" w:lineRule="auto"/>
              <w:ind w:left="45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kationowa emulsja asfaltowa,</w:t>
            </w:r>
          </w:p>
        </w:tc>
      </w:tr>
      <w:tr w:rsidR="001565C9" w:rsidRPr="001565C9" w14:paraId="07E72EE3" w14:textId="77777777" w:rsidTr="0072451A">
        <w:tc>
          <w:tcPr>
            <w:tcW w:w="817" w:type="dxa"/>
          </w:tcPr>
          <w:p w14:paraId="1D23A13E"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NPD   </w:t>
            </w:r>
          </w:p>
        </w:tc>
        <w:tc>
          <w:tcPr>
            <w:tcW w:w="6694" w:type="dxa"/>
          </w:tcPr>
          <w:p w14:paraId="7AED97D8" w14:textId="77777777" w:rsidR="001565C9" w:rsidRPr="001565C9" w:rsidRDefault="001565C9" w:rsidP="00AD6DA2">
            <w:pPr>
              <w:numPr>
                <w:ilvl w:val="0"/>
                <w:numId w:val="51"/>
              </w:numPr>
              <w:overflowPunct w:val="0"/>
              <w:autoSpaceDE w:val="0"/>
              <w:autoSpaceDN w:val="0"/>
              <w:adjustRightInd w:val="0"/>
              <w:spacing w:after="0" w:line="240" w:lineRule="auto"/>
              <w:ind w:left="45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właściwość użytkowa nie określana (ang. No Performance Determined; producent może jej nie określać),</w:t>
            </w:r>
          </w:p>
        </w:tc>
      </w:tr>
      <w:tr w:rsidR="001565C9" w:rsidRPr="001565C9" w14:paraId="4EDD08A7" w14:textId="77777777" w:rsidTr="0072451A">
        <w:tc>
          <w:tcPr>
            <w:tcW w:w="817" w:type="dxa"/>
          </w:tcPr>
          <w:p w14:paraId="4AFE5FD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lastRenderedPageBreak/>
              <w:t xml:space="preserve">TBR    </w:t>
            </w:r>
          </w:p>
        </w:tc>
        <w:tc>
          <w:tcPr>
            <w:tcW w:w="6694" w:type="dxa"/>
          </w:tcPr>
          <w:p w14:paraId="1BB0208A" w14:textId="77777777" w:rsidR="001565C9" w:rsidRPr="001565C9" w:rsidRDefault="001565C9" w:rsidP="00AD6DA2">
            <w:pPr>
              <w:numPr>
                <w:ilvl w:val="0"/>
                <w:numId w:val="51"/>
              </w:numPr>
              <w:overflowPunct w:val="0"/>
              <w:autoSpaceDE w:val="0"/>
              <w:autoSpaceDN w:val="0"/>
              <w:adjustRightInd w:val="0"/>
              <w:spacing w:after="0" w:line="240" w:lineRule="auto"/>
              <w:ind w:left="45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do zadeklarowania (ang. To Be Reported; producent może dostarczyć odpowiednie informacje, jednak nie jest do tego zobowiązany),</w:t>
            </w:r>
          </w:p>
        </w:tc>
      </w:tr>
      <w:tr w:rsidR="001565C9" w:rsidRPr="001565C9" w14:paraId="635996B5" w14:textId="77777777" w:rsidTr="0072451A">
        <w:tc>
          <w:tcPr>
            <w:tcW w:w="817" w:type="dxa"/>
          </w:tcPr>
          <w:p w14:paraId="10A1C331"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IRI      </w:t>
            </w:r>
          </w:p>
        </w:tc>
        <w:tc>
          <w:tcPr>
            <w:tcW w:w="6694" w:type="dxa"/>
          </w:tcPr>
          <w:p w14:paraId="28C9DE15" w14:textId="77777777" w:rsidR="001565C9" w:rsidRPr="001565C9" w:rsidRDefault="001565C9" w:rsidP="00AD6DA2">
            <w:pPr>
              <w:numPr>
                <w:ilvl w:val="0"/>
                <w:numId w:val="51"/>
              </w:numPr>
              <w:overflowPunct w:val="0"/>
              <w:autoSpaceDE w:val="0"/>
              <w:autoSpaceDN w:val="0"/>
              <w:adjustRightInd w:val="0"/>
              <w:spacing w:after="0" w:line="240" w:lineRule="auto"/>
              <w:ind w:left="45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(International Roughness Index) międzynarodowy wskaźnik równości,</w:t>
            </w:r>
          </w:p>
        </w:tc>
      </w:tr>
      <w:tr w:rsidR="001565C9" w:rsidRPr="001565C9" w14:paraId="48617F00" w14:textId="77777777" w:rsidTr="0072451A">
        <w:tc>
          <w:tcPr>
            <w:tcW w:w="817" w:type="dxa"/>
          </w:tcPr>
          <w:p w14:paraId="7EF777B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MOP  </w:t>
            </w:r>
          </w:p>
        </w:tc>
        <w:tc>
          <w:tcPr>
            <w:tcW w:w="6694" w:type="dxa"/>
          </w:tcPr>
          <w:p w14:paraId="76B993A1" w14:textId="77777777" w:rsidR="001565C9" w:rsidRPr="001565C9" w:rsidRDefault="001565C9" w:rsidP="00AD6DA2">
            <w:pPr>
              <w:numPr>
                <w:ilvl w:val="0"/>
                <w:numId w:val="51"/>
              </w:numPr>
              <w:overflowPunct w:val="0"/>
              <w:autoSpaceDE w:val="0"/>
              <w:autoSpaceDN w:val="0"/>
              <w:adjustRightInd w:val="0"/>
              <w:spacing w:after="0" w:line="240" w:lineRule="auto"/>
              <w:ind w:left="45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miejsce obsługi podróżnych. </w:t>
            </w:r>
          </w:p>
        </w:tc>
      </w:tr>
    </w:tbl>
    <w:p w14:paraId="5F51F20C"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69" w:name="_Toc495830099"/>
      <w:r w:rsidRPr="001565C9">
        <w:rPr>
          <w:rFonts w:ascii="Arial Narrow" w:eastAsia="Times New Roman" w:hAnsi="Arial Narrow" w:cs="Times New Roman"/>
          <w:b/>
          <w:sz w:val="28"/>
          <w:szCs w:val="20"/>
          <w:lang w:val="x-none" w:eastAsia="x-none"/>
        </w:rPr>
        <w:t>1.5. Ogólne wymagania dotyczące robót</w:t>
      </w:r>
      <w:bookmarkEnd w:id="669"/>
    </w:p>
    <w:p w14:paraId="65BFA866"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Ogólne wymagania dotyczące robót podano w SST D-M-00.00.00 „Wymagania ogólne” [1] pkt 1.5.</w:t>
      </w:r>
    </w:p>
    <w:p w14:paraId="04AC3C6E" w14:textId="77777777" w:rsidR="001565C9" w:rsidRPr="001565C9" w:rsidRDefault="001565C9" w:rsidP="001565C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70" w:name="_Toc238276189"/>
      <w:bookmarkStart w:id="671" w:name="_Toc495830100"/>
      <w:r w:rsidRPr="001565C9">
        <w:rPr>
          <w:rFonts w:ascii="Arial Narrow" w:eastAsia="Times New Roman" w:hAnsi="Arial Narrow" w:cs="Times New Roman"/>
          <w:b/>
          <w:caps/>
          <w:kern w:val="28"/>
          <w:sz w:val="28"/>
          <w:szCs w:val="20"/>
          <w:lang w:val="x-none" w:eastAsia="x-none"/>
        </w:rPr>
        <w:t>2. MATERIAŁY</w:t>
      </w:r>
      <w:bookmarkEnd w:id="670"/>
      <w:bookmarkEnd w:id="671"/>
    </w:p>
    <w:p w14:paraId="5E970699"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Ogólne wymagania dotyczące materiałów, ich pozyskiwania i składowania podano w D-M-00.00.00 "Wymagania ogólne". Poszczególne rodzaje materiałów powinny pochodzić ze źródeł zatwierdzonych przez Inżyniera/Inspektora Nadzoru. W przypadku wystąpienia zmian w materiałach składowych (rodzaj, kategoria, typ petrograficzny, gęstość, zmiana złoża) należy postępować zgodnie z zasadami określonymi w punkcie 4.2. normy PN-EN 13108-20. </w:t>
      </w:r>
    </w:p>
    <w:p w14:paraId="62E51617"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2.1. Rodzaje materiałów </w:t>
      </w:r>
    </w:p>
    <w:p w14:paraId="098D4986"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Rodzaje materiałów stosowanych do mieszanki mineralno-asfaltowej podano w tabeli 1. </w:t>
      </w:r>
    </w:p>
    <w:p w14:paraId="0C4A5301"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Tabela 1. Rodzaje materiałów do mieszanki mineralno-asfaltowej </w:t>
      </w:r>
    </w:p>
    <w:tbl>
      <w:tblPr>
        <w:tblW w:w="9074" w:type="dxa"/>
        <w:tblInd w:w="125" w:type="dxa"/>
        <w:tblCellMar>
          <w:top w:w="165" w:type="dxa"/>
          <w:right w:w="38" w:type="dxa"/>
        </w:tblCellMar>
        <w:tblLook w:val="04A0" w:firstRow="1" w:lastRow="0" w:firstColumn="1" w:lastColumn="0" w:noHBand="0" w:noVBand="1"/>
      </w:tblPr>
      <w:tblGrid>
        <w:gridCol w:w="526"/>
        <w:gridCol w:w="2737"/>
        <w:gridCol w:w="1985"/>
        <w:gridCol w:w="1841"/>
        <w:gridCol w:w="1985"/>
      </w:tblGrid>
      <w:tr w:rsidR="001565C9" w:rsidRPr="001565C9" w14:paraId="0C0A0324" w14:textId="77777777" w:rsidTr="0072451A">
        <w:trPr>
          <w:trHeight w:val="492"/>
        </w:trPr>
        <w:tc>
          <w:tcPr>
            <w:tcW w:w="526"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1A5EFF1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Lp. </w:t>
            </w:r>
          </w:p>
        </w:tc>
        <w:tc>
          <w:tcPr>
            <w:tcW w:w="2737"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496DECC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Rodzaj materiału </w:t>
            </w:r>
          </w:p>
        </w:tc>
        <w:tc>
          <w:tcPr>
            <w:tcW w:w="581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19206D3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Wymagania wg / dokument odniesienia </w:t>
            </w:r>
          </w:p>
        </w:tc>
      </w:tr>
      <w:tr w:rsidR="001565C9" w:rsidRPr="001565C9" w14:paraId="4B0B5700" w14:textId="77777777" w:rsidTr="0072451A">
        <w:trPr>
          <w:trHeight w:val="492"/>
        </w:trPr>
        <w:tc>
          <w:tcPr>
            <w:tcW w:w="0" w:type="auto"/>
            <w:vMerge/>
            <w:tcBorders>
              <w:top w:val="nil"/>
              <w:left w:val="single" w:sz="4" w:space="0" w:color="000000"/>
              <w:bottom w:val="single" w:sz="4" w:space="0" w:color="000000"/>
              <w:right w:val="single" w:sz="4" w:space="0" w:color="000000"/>
            </w:tcBorders>
            <w:shd w:val="clear" w:color="auto" w:fill="auto"/>
          </w:tcPr>
          <w:p w14:paraId="772725BC"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14:paraId="33DF9D3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9E89C4"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KR 1-2 </w:t>
            </w:r>
          </w:p>
        </w:tc>
        <w:tc>
          <w:tcPr>
            <w:tcW w:w="184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17EEA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KR 3-4 </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2C782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KR 5-7 </w:t>
            </w:r>
          </w:p>
        </w:tc>
      </w:tr>
      <w:tr w:rsidR="001565C9" w:rsidRPr="001565C9" w14:paraId="6C4DBF06" w14:textId="77777777" w:rsidTr="0072451A">
        <w:trPr>
          <w:trHeight w:val="495"/>
        </w:trPr>
        <w:tc>
          <w:tcPr>
            <w:tcW w:w="5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15701F"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1. </w:t>
            </w:r>
          </w:p>
        </w:tc>
        <w:tc>
          <w:tcPr>
            <w:tcW w:w="27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7B15E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Kruszywo grube  </w:t>
            </w:r>
          </w:p>
        </w:tc>
        <w:tc>
          <w:tcPr>
            <w:tcW w:w="581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2F04F592"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WT-1 Kruszywa 2014, tabela 4 </w:t>
            </w:r>
          </w:p>
        </w:tc>
      </w:tr>
      <w:tr w:rsidR="001565C9" w:rsidRPr="001565C9" w14:paraId="6D686DD5" w14:textId="77777777" w:rsidTr="0072451A">
        <w:trPr>
          <w:trHeight w:val="737"/>
        </w:trPr>
        <w:tc>
          <w:tcPr>
            <w:tcW w:w="526" w:type="dxa"/>
            <w:tcBorders>
              <w:top w:val="single" w:sz="4" w:space="0" w:color="000000"/>
              <w:left w:val="single" w:sz="4" w:space="0" w:color="000000"/>
              <w:bottom w:val="single" w:sz="4" w:space="0" w:color="000000"/>
              <w:right w:val="single" w:sz="4" w:space="0" w:color="000000"/>
            </w:tcBorders>
            <w:shd w:val="clear" w:color="auto" w:fill="auto"/>
          </w:tcPr>
          <w:p w14:paraId="7DA632FA"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2. </w:t>
            </w:r>
          </w:p>
        </w:tc>
        <w:tc>
          <w:tcPr>
            <w:tcW w:w="27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FE8CF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Kruszywo drobne lub o ciągłym uziarnieniu D≤8 </w:t>
            </w:r>
          </w:p>
        </w:tc>
        <w:tc>
          <w:tcPr>
            <w:tcW w:w="5811" w:type="dxa"/>
            <w:gridSpan w:val="3"/>
            <w:tcBorders>
              <w:top w:val="single" w:sz="4" w:space="0" w:color="000000"/>
              <w:left w:val="single" w:sz="4" w:space="0" w:color="000000"/>
              <w:bottom w:val="single" w:sz="4" w:space="0" w:color="000000"/>
              <w:right w:val="single" w:sz="4" w:space="0" w:color="000000"/>
            </w:tcBorders>
            <w:shd w:val="clear" w:color="auto" w:fill="auto"/>
          </w:tcPr>
          <w:p w14:paraId="1F71D79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WT-1 Kruszywa 2014, tabele 5 i 6 </w:t>
            </w:r>
          </w:p>
        </w:tc>
      </w:tr>
      <w:tr w:rsidR="001565C9" w:rsidRPr="001565C9" w14:paraId="5C7E66A4" w14:textId="77777777" w:rsidTr="0072451A">
        <w:trPr>
          <w:trHeight w:val="734"/>
        </w:trPr>
        <w:tc>
          <w:tcPr>
            <w:tcW w:w="526" w:type="dxa"/>
            <w:tcBorders>
              <w:top w:val="single" w:sz="4" w:space="0" w:color="000000"/>
              <w:left w:val="single" w:sz="4" w:space="0" w:color="000000"/>
              <w:bottom w:val="single" w:sz="4" w:space="0" w:color="000000"/>
              <w:right w:val="single" w:sz="4" w:space="0" w:color="000000"/>
            </w:tcBorders>
            <w:shd w:val="clear" w:color="auto" w:fill="auto"/>
          </w:tcPr>
          <w:p w14:paraId="5A4A642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3. </w:t>
            </w:r>
          </w:p>
        </w:tc>
        <w:tc>
          <w:tcPr>
            <w:tcW w:w="27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F071F2"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Kruszywo o ciągłym uziarnieniu </w:t>
            </w:r>
          </w:p>
        </w:tc>
        <w:tc>
          <w:tcPr>
            <w:tcW w:w="5811" w:type="dxa"/>
            <w:gridSpan w:val="3"/>
            <w:tcBorders>
              <w:top w:val="single" w:sz="4" w:space="0" w:color="000000"/>
              <w:left w:val="single" w:sz="4" w:space="0" w:color="000000"/>
              <w:bottom w:val="single" w:sz="4" w:space="0" w:color="000000"/>
              <w:right w:val="single" w:sz="4" w:space="0" w:color="000000"/>
            </w:tcBorders>
            <w:shd w:val="clear" w:color="auto" w:fill="auto"/>
          </w:tcPr>
          <w:p w14:paraId="0D504BF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WT-1 Kruszywa 2014, tabela 6a </w:t>
            </w:r>
          </w:p>
        </w:tc>
      </w:tr>
      <w:tr w:rsidR="001565C9" w:rsidRPr="001565C9" w14:paraId="76619BD7" w14:textId="77777777" w:rsidTr="0072451A">
        <w:trPr>
          <w:trHeight w:val="494"/>
        </w:trPr>
        <w:tc>
          <w:tcPr>
            <w:tcW w:w="5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3498B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4. </w:t>
            </w:r>
          </w:p>
        </w:tc>
        <w:tc>
          <w:tcPr>
            <w:tcW w:w="27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D376FB"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Wypełniacz  </w:t>
            </w:r>
          </w:p>
        </w:tc>
        <w:tc>
          <w:tcPr>
            <w:tcW w:w="581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0F882E3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WT-1 Kruszywa 2014, tabela 7 </w:t>
            </w:r>
          </w:p>
        </w:tc>
      </w:tr>
      <w:tr w:rsidR="001565C9" w:rsidRPr="001565C9" w14:paraId="60A5B619" w14:textId="77777777" w:rsidTr="0072451A">
        <w:trPr>
          <w:trHeight w:val="857"/>
        </w:trPr>
        <w:tc>
          <w:tcPr>
            <w:tcW w:w="526" w:type="dxa"/>
            <w:tcBorders>
              <w:top w:val="single" w:sz="4" w:space="0" w:color="000000"/>
              <w:left w:val="single" w:sz="4" w:space="0" w:color="000000"/>
              <w:bottom w:val="single" w:sz="4" w:space="0" w:color="000000"/>
              <w:right w:val="single" w:sz="4" w:space="0" w:color="000000"/>
            </w:tcBorders>
            <w:shd w:val="clear" w:color="auto" w:fill="auto"/>
          </w:tcPr>
          <w:p w14:paraId="19A47939"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5. </w:t>
            </w:r>
          </w:p>
        </w:tc>
        <w:tc>
          <w:tcPr>
            <w:tcW w:w="2737" w:type="dxa"/>
            <w:tcBorders>
              <w:top w:val="single" w:sz="4" w:space="0" w:color="000000"/>
              <w:left w:val="single" w:sz="4" w:space="0" w:color="000000"/>
              <w:bottom w:val="single" w:sz="4" w:space="0" w:color="000000"/>
              <w:right w:val="single" w:sz="4" w:space="0" w:color="000000"/>
            </w:tcBorders>
            <w:shd w:val="clear" w:color="auto" w:fill="auto"/>
          </w:tcPr>
          <w:p w14:paraId="55CB4BC2"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Lepiszcze </w:t>
            </w:r>
          </w:p>
        </w:tc>
        <w:tc>
          <w:tcPr>
            <w:tcW w:w="581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7326395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WT-2 2014 – część I pkt 8.2.1.1 Tab. 5, PN-EN 14023 </w:t>
            </w:r>
          </w:p>
          <w:p w14:paraId="1C721BEB"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PN-EN 12591, PN-EN 13924-2 </w:t>
            </w:r>
          </w:p>
        </w:tc>
      </w:tr>
      <w:tr w:rsidR="001565C9" w:rsidRPr="001565C9" w14:paraId="699D478E" w14:textId="77777777" w:rsidTr="0072451A">
        <w:trPr>
          <w:trHeight w:val="737"/>
        </w:trPr>
        <w:tc>
          <w:tcPr>
            <w:tcW w:w="526" w:type="dxa"/>
            <w:tcBorders>
              <w:top w:val="single" w:sz="4" w:space="0" w:color="000000"/>
              <w:left w:val="single" w:sz="4" w:space="0" w:color="000000"/>
              <w:bottom w:val="single" w:sz="4" w:space="0" w:color="000000"/>
              <w:right w:val="single" w:sz="4" w:space="0" w:color="000000"/>
            </w:tcBorders>
            <w:shd w:val="clear" w:color="auto" w:fill="auto"/>
          </w:tcPr>
          <w:p w14:paraId="5047D1F8"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6. </w:t>
            </w:r>
          </w:p>
        </w:tc>
        <w:tc>
          <w:tcPr>
            <w:tcW w:w="2737" w:type="dxa"/>
            <w:tcBorders>
              <w:top w:val="single" w:sz="4" w:space="0" w:color="000000"/>
              <w:left w:val="single" w:sz="4" w:space="0" w:color="000000"/>
              <w:bottom w:val="single" w:sz="4" w:space="0" w:color="000000"/>
              <w:right w:val="single" w:sz="4" w:space="0" w:color="000000"/>
            </w:tcBorders>
            <w:shd w:val="clear" w:color="auto" w:fill="auto"/>
          </w:tcPr>
          <w:p w14:paraId="6E4EFEB8"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Granulat asfaltowy  </w:t>
            </w:r>
          </w:p>
        </w:tc>
        <w:tc>
          <w:tcPr>
            <w:tcW w:w="581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678EBAB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pkt. 2.1.1. WWiORB,  PN-EN 13108-8, RID I/6 Załącznik nr 9.2.1 i Załącznik nr 9.2.3 </w:t>
            </w:r>
          </w:p>
        </w:tc>
      </w:tr>
      <w:tr w:rsidR="001565C9" w:rsidRPr="001565C9" w14:paraId="39A18ABF" w14:textId="77777777" w:rsidTr="0072451A">
        <w:trPr>
          <w:trHeight w:val="492"/>
        </w:trPr>
        <w:tc>
          <w:tcPr>
            <w:tcW w:w="5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CF0D5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7. </w:t>
            </w:r>
          </w:p>
        </w:tc>
        <w:tc>
          <w:tcPr>
            <w:tcW w:w="27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3ECA8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Środek adhezyjny </w:t>
            </w:r>
          </w:p>
        </w:tc>
        <w:tc>
          <w:tcPr>
            <w:tcW w:w="581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76EB3D74"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wg p. 4.1 PN-EN 13108-1 </w:t>
            </w:r>
          </w:p>
        </w:tc>
      </w:tr>
      <w:tr w:rsidR="001565C9" w:rsidRPr="001565C9" w14:paraId="4D0237A4" w14:textId="77777777" w:rsidTr="0072451A">
        <w:trPr>
          <w:trHeight w:val="1466"/>
        </w:trPr>
        <w:tc>
          <w:tcPr>
            <w:tcW w:w="526" w:type="dxa"/>
            <w:tcBorders>
              <w:top w:val="single" w:sz="4" w:space="0" w:color="000000"/>
              <w:left w:val="single" w:sz="4" w:space="0" w:color="000000"/>
              <w:bottom w:val="single" w:sz="4" w:space="0" w:color="000000"/>
              <w:right w:val="single" w:sz="4" w:space="0" w:color="000000"/>
            </w:tcBorders>
            <w:shd w:val="clear" w:color="auto" w:fill="auto"/>
          </w:tcPr>
          <w:p w14:paraId="055481C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8. </w:t>
            </w:r>
          </w:p>
        </w:tc>
        <w:tc>
          <w:tcPr>
            <w:tcW w:w="2737" w:type="dxa"/>
            <w:tcBorders>
              <w:top w:val="single" w:sz="4" w:space="0" w:color="000000"/>
              <w:left w:val="single" w:sz="4" w:space="0" w:color="000000"/>
              <w:bottom w:val="single" w:sz="4" w:space="0" w:color="000000"/>
              <w:right w:val="single" w:sz="4" w:space="0" w:color="000000"/>
            </w:tcBorders>
            <w:shd w:val="clear" w:color="auto" w:fill="auto"/>
          </w:tcPr>
          <w:p w14:paraId="16027DB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Mieszanka mineralnoasfaltowe </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9D9C9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WT-2 2014– część I pkt </w:t>
            </w:r>
          </w:p>
          <w:p w14:paraId="518D0ECB"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8.2.1.2 tab. 6 i pkt 8.2.1.3. tab. 7 </w:t>
            </w:r>
          </w:p>
        </w:tc>
        <w:tc>
          <w:tcPr>
            <w:tcW w:w="184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7D5598"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WT-2 2014– część I pkt </w:t>
            </w:r>
          </w:p>
          <w:p w14:paraId="02496584"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8.2.1.2 tab. 6 i pkt 8.2.1.3. tab. 8 </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C81C6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WT-2 2014– część I pkt </w:t>
            </w:r>
          </w:p>
          <w:p w14:paraId="1BF6255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8.2.1.2 tab. 6 i pkt 8.2.1.3. tab. 9 </w:t>
            </w:r>
          </w:p>
        </w:tc>
      </w:tr>
      <w:tr w:rsidR="001565C9" w:rsidRPr="001565C9" w14:paraId="6B1A1F1C" w14:textId="77777777" w:rsidTr="0072451A">
        <w:trPr>
          <w:trHeight w:val="1342"/>
        </w:trPr>
        <w:tc>
          <w:tcPr>
            <w:tcW w:w="9074"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691D76A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Jeżeli stosowana jest mieszanka kruszywa drobnego niełamanego i łamanego, to należy przyjąć proporcję kruszywa łamanego do niełamanego co najmniej 50/50. </w:t>
            </w:r>
          </w:p>
          <w:p w14:paraId="2A5DC9F9"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Projektowanie mieszanki mineralno-asfaltowej wg WT-2 2014 – część I pkt. 8.1. W przypadku stosowania granulatu asfaltowego należy dodatkowo stosować się do wytycznych opisanych w Załączniku nr 9.2.1 i Załączniku nr 9.2.3 RID I/6 </w:t>
            </w:r>
          </w:p>
        </w:tc>
      </w:tr>
    </w:tbl>
    <w:p w14:paraId="6428643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 </w:t>
      </w:r>
    </w:p>
    <w:p w14:paraId="7C99734F"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lastRenderedPageBreak/>
        <w:t xml:space="preserve">2.1.1. Granulat asfaltowy  </w:t>
      </w:r>
    </w:p>
    <w:p w14:paraId="25E99C08"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Granulat asfaltowy należy stosować zgodnie z wymaganiami podanymi w normie PN-EN 13108-8 oraz Załączniku nr 9.2.1 i Załączniku nr 9.2.3 RID I/6. </w:t>
      </w:r>
    </w:p>
    <w:p w14:paraId="0E139BFA"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Mieszanki mineralno-asfaltowe zawierające granulat asfaltowy muszą mieć parametry odpowiadające ich rodzajowi oraz przeznaczaniu, zgodnie z wymaganiami niniejszego WWiORB. </w:t>
      </w:r>
    </w:p>
    <w:p w14:paraId="21537AB9"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1565C9">
        <w:rPr>
          <w:rFonts w:ascii="Arial Narrow" w:eastAsia="Times New Roman" w:hAnsi="Arial Narrow" w:cs="Times New Roman"/>
          <w:b/>
          <w:sz w:val="20"/>
          <w:szCs w:val="20"/>
          <w:lang w:eastAsia="pl-PL"/>
        </w:rPr>
        <w:t xml:space="preserve">2.1.1.1. </w:t>
      </w:r>
      <w:r w:rsidRPr="001565C9">
        <w:rPr>
          <w:rFonts w:ascii="Arial Narrow" w:eastAsia="Times New Roman" w:hAnsi="Arial Narrow" w:cs="Times New Roman"/>
          <w:b/>
          <w:sz w:val="20"/>
          <w:szCs w:val="20"/>
          <w:lang w:eastAsia="pl-PL"/>
        </w:rPr>
        <w:tab/>
        <w:t xml:space="preserve">Zasady stosowania granulatu asfaltowego </w:t>
      </w:r>
    </w:p>
    <w:p w14:paraId="1A97C7D4"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Zakres stosowania granulatu asfaltowego w mieszankach mineralno-asfaltowych typu AC P, zależy od następujących czynników:  </w:t>
      </w:r>
    </w:p>
    <w:p w14:paraId="4BD9C178"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pochodzenia granulatu asfaltowego, </w:t>
      </w:r>
    </w:p>
    <w:p w14:paraId="7BDFEDEF"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jakości granulatu asfaltowego, a w szczególności właściwości lepiszcza, właściwości kruszywa i jednorodności granulatu,  </w:t>
      </w:r>
    </w:p>
    <w:p w14:paraId="58B7E5C1"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rodzaju nowego lepiszcza, </w:t>
      </w:r>
    </w:p>
    <w:p w14:paraId="21F607BD"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technologii stosowanej do recyklingu na gorąco (metoda dozowania granulatu na zimno/na gorąco). </w:t>
      </w:r>
    </w:p>
    <w:p w14:paraId="7693A35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Ogólne zasady wykorzystania granulatu asfaltowego określa tabela 2. </w:t>
      </w:r>
      <w:r w:rsidRPr="001565C9">
        <w:rPr>
          <w:rFonts w:ascii="Arial Narrow" w:eastAsia="Times New Roman" w:hAnsi="Arial Narrow" w:cs="Times New Roman"/>
          <w:sz w:val="20"/>
          <w:szCs w:val="20"/>
          <w:lang w:eastAsia="pl-PL"/>
        </w:rPr>
        <w:tab/>
        <w:t xml:space="preserve"> </w:t>
      </w:r>
    </w:p>
    <w:p w14:paraId="18EE3DF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Tabela 2. Ogólne zasady wykorzystania granulatu asfaltowego ze względu na jego pochodzenie  </w:t>
      </w:r>
    </w:p>
    <w:tbl>
      <w:tblPr>
        <w:tblW w:w="5286" w:type="dxa"/>
        <w:tblInd w:w="1906" w:type="dxa"/>
        <w:tblCellMar>
          <w:right w:w="64" w:type="dxa"/>
        </w:tblCellMar>
        <w:tblLook w:val="04A0" w:firstRow="1" w:lastRow="0" w:firstColumn="1" w:lastColumn="0" w:noHBand="0" w:noVBand="1"/>
      </w:tblPr>
      <w:tblGrid>
        <w:gridCol w:w="2547"/>
        <w:gridCol w:w="2739"/>
      </w:tblGrid>
      <w:tr w:rsidR="001565C9" w:rsidRPr="001565C9" w14:paraId="0505B9D5" w14:textId="77777777" w:rsidTr="0072451A">
        <w:trPr>
          <w:trHeight w:val="677"/>
        </w:trPr>
        <w:tc>
          <w:tcPr>
            <w:tcW w:w="254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6CBDBDD"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Pochodzenie granulatu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BE6A6D"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Przeznaczenie mm-a z granulatem </w:t>
            </w:r>
          </w:p>
        </w:tc>
      </w:tr>
      <w:tr w:rsidR="001565C9" w:rsidRPr="001565C9" w14:paraId="529C497F" w14:textId="77777777" w:rsidTr="0072451A">
        <w:trPr>
          <w:trHeight w:val="434"/>
        </w:trPr>
        <w:tc>
          <w:tcPr>
            <w:tcW w:w="0" w:type="auto"/>
            <w:vMerge/>
            <w:tcBorders>
              <w:top w:val="nil"/>
              <w:left w:val="single" w:sz="4" w:space="0" w:color="000000"/>
              <w:bottom w:val="single" w:sz="4" w:space="0" w:color="000000"/>
              <w:right w:val="single" w:sz="4" w:space="0" w:color="000000"/>
            </w:tcBorders>
            <w:shd w:val="clear" w:color="auto" w:fill="auto"/>
          </w:tcPr>
          <w:p w14:paraId="47B6D8E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AAE19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AC P </w:t>
            </w:r>
          </w:p>
        </w:tc>
      </w:tr>
      <w:tr w:rsidR="001565C9" w:rsidRPr="001565C9" w14:paraId="11D06D7C" w14:textId="77777777" w:rsidTr="0072451A">
        <w:trPr>
          <w:trHeight w:val="432"/>
        </w:trPr>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C747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AC P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CCBF3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Tak </w:t>
            </w:r>
          </w:p>
        </w:tc>
      </w:tr>
      <w:tr w:rsidR="001565C9" w:rsidRPr="001565C9" w14:paraId="5739ED9C" w14:textId="77777777" w:rsidTr="0072451A">
        <w:trPr>
          <w:trHeight w:val="432"/>
        </w:trPr>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04F2FC"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AC W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EA6538"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Tak </w:t>
            </w:r>
          </w:p>
        </w:tc>
      </w:tr>
      <w:tr w:rsidR="001565C9" w:rsidRPr="001565C9" w14:paraId="5FA60B42" w14:textId="77777777" w:rsidTr="0072451A">
        <w:trPr>
          <w:trHeight w:val="434"/>
        </w:trPr>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5D527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AC S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315C12"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Tak </w:t>
            </w:r>
          </w:p>
        </w:tc>
      </w:tr>
      <w:tr w:rsidR="001565C9" w:rsidRPr="001565C9" w14:paraId="4FCF3A7C" w14:textId="77777777" w:rsidTr="0072451A">
        <w:trPr>
          <w:trHeight w:val="432"/>
        </w:trPr>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AD26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AC WMS P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364A5A"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Możliwe </w:t>
            </w:r>
          </w:p>
        </w:tc>
      </w:tr>
      <w:tr w:rsidR="001565C9" w:rsidRPr="001565C9" w14:paraId="0A1ECBA7" w14:textId="77777777" w:rsidTr="0072451A">
        <w:trPr>
          <w:trHeight w:val="435"/>
        </w:trPr>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037BB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AC WMS W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ADFF1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Możliwe </w:t>
            </w:r>
          </w:p>
        </w:tc>
      </w:tr>
      <w:tr w:rsidR="001565C9" w:rsidRPr="001565C9" w14:paraId="58FAF29D" w14:textId="77777777" w:rsidTr="0072451A">
        <w:trPr>
          <w:trHeight w:val="432"/>
        </w:trPr>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777A0B"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SMA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91D09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Możliwe </w:t>
            </w:r>
          </w:p>
        </w:tc>
      </w:tr>
    </w:tbl>
    <w:p w14:paraId="2E3A43C2"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Uwaga:</w:t>
      </w:r>
      <w:r w:rsidRPr="001565C9">
        <w:rPr>
          <w:rFonts w:ascii="Arial Narrow" w:eastAsia="Times New Roman" w:hAnsi="Arial Narrow" w:cs="Times New Roman"/>
          <w:sz w:val="20"/>
          <w:szCs w:val="20"/>
          <w:vertAlign w:val="superscript"/>
          <w:lang w:eastAsia="pl-PL"/>
        </w:rPr>
        <w:t xml:space="preserve">  </w:t>
      </w:r>
      <w:r w:rsidRPr="001565C9">
        <w:rPr>
          <w:rFonts w:ascii="Arial Narrow" w:eastAsia="Times New Roman" w:hAnsi="Arial Narrow" w:cs="Times New Roman"/>
          <w:b/>
          <w:sz w:val="20"/>
          <w:szCs w:val="20"/>
          <w:lang w:eastAsia="pl-PL"/>
        </w:rPr>
        <w:t>Tak</w:t>
      </w:r>
      <w:r w:rsidRPr="001565C9">
        <w:rPr>
          <w:rFonts w:ascii="Arial Narrow" w:eastAsia="Times New Roman" w:hAnsi="Arial Narrow" w:cs="Times New Roman"/>
          <w:sz w:val="20"/>
          <w:szCs w:val="20"/>
          <w:lang w:eastAsia="pl-PL"/>
        </w:rPr>
        <w:t xml:space="preserve"> – struktura mieszanki mineralnej i rodzaj standardowo stosowanych lepiszczy nie stanowią przeszkody w zastosowaniu granulatu </w:t>
      </w:r>
    </w:p>
    <w:p w14:paraId="0C463156"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Możliwe</w:t>
      </w:r>
      <w:r w:rsidRPr="001565C9">
        <w:rPr>
          <w:rFonts w:ascii="Arial Narrow" w:eastAsia="Times New Roman" w:hAnsi="Arial Narrow" w:cs="Times New Roman"/>
          <w:sz w:val="20"/>
          <w:szCs w:val="20"/>
          <w:lang w:eastAsia="pl-PL"/>
        </w:rPr>
        <w:t xml:space="preserve"> – struktura mieszanki mineralnej lub rodzaj standardowo stosowanych lepiszczy mogą stanowić przeszkodę w zastosowaniu granulatu  </w:t>
      </w:r>
    </w:p>
    <w:p w14:paraId="7BDF6B22"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Nie</w:t>
      </w:r>
      <w:r w:rsidRPr="001565C9">
        <w:rPr>
          <w:rFonts w:ascii="Arial Narrow" w:eastAsia="Times New Roman" w:hAnsi="Arial Narrow" w:cs="Times New Roman"/>
          <w:sz w:val="20"/>
          <w:szCs w:val="20"/>
          <w:lang w:eastAsia="pl-PL"/>
        </w:rPr>
        <w:t xml:space="preserve"> - struktura mieszanki mineralnej lub rodzaj standardowo stosowanych lepiszczy stanowią przeszkodę w zastosowaniu granulatu  </w:t>
      </w:r>
    </w:p>
    <w:p w14:paraId="451DEEB6"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Procentowe zawartości granulatu asfaltowego określa się na podstawie maksymalnej wartości wskaźnika zastąpienia lepiszcza BR [%], obliczanego następująco: </w:t>
      </w:r>
    </w:p>
    <w:p w14:paraId="285BA398"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BR = (a x b)/c </w:t>
      </w:r>
    </w:p>
    <w:p w14:paraId="5E9FD223"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gdzie: </w:t>
      </w:r>
    </w:p>
    <w:p w14:paraId="344D735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BR – wskaźnik zastąpienia lepiszcza [% (m/m)], a – zawartość lepiszcza rozpuszczalnego w granulacie asfaltowym [% (m/m)],  b – udział granulatu asfaltowego w mieszance mineralno-asfaltowej [% (m/m)],  </w:t>
      </w:r>
    </w:p>
    <w:p w14:paraId="1A4E964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c – całkowita zawartość lepiszcza rozpuszczalnego w mieszance mineralno-asfaltowej [% (m/m)]. </w:t>
      </w:r>
    </w:p>
    <w:p w14:paraId="53E86BE0"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Tabela 3. Dopuszczalne wartości wskaźnika BR [%] </w:t>
      </w:r>
    </w:p>
    <w:tbl>
      <w:tblPr>
        <w:tblW w:w="8082" w:type="dxa"/>
        <w:tblInd w:w="509" w:type="dxa"/>
        <w:tblCellMar>
          <w:right w:w="42" w:type="dxa"/>
        </w:tblCellMar>
        <w:tblLook w:val="04A0" w:firstRow="1" w:lastRow="0" w:firstColumn="1" w:lastColumn="0" w:noHBand="0" w:noVBand="1"/>
      </w:tblPr>
      <w:tblGrid>
        <w:gridCol w:w="2693"/>
        <w:gridCol w:w="2696"/>
        <w:gridCol w:w="2693"/>
      </w:tblGrid>
      <w:tr w:rsidR="001565C9" w:rsidRPr="001565C9" w14:paraId="015F0583" w14:textId="77777777" w:rsidTr="0072451A">
        <w:trPr>
          <w:trHeight w:val="979"/>
        </w:trPr>
        <w:tc>
          <w:tcPr>
            <w:tcW w:w="269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67F45CC"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Typ betonu asfaltowego </w:t>
            </w:r>
          </w:p>
        </w:tc>
        <w:tc>
          <w:tcPr>
            <w:tcW w:w="53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BA55949"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Dopuszczalna wartość wskaźnika zastąpienia lepiszcza BR [%] w przypadku dozowania granulatu asfaltowego w otaczarce metodą </w:t>
            </w:r>
          </w:p>
        </w:tc>
      </w:tr>
      <w:tr w:rsidR="001565C9" w:rsidRPr="001565C9" w14:paraId="51107AB7" w14:textId="77777777" w:rsidTr="0072451A">
        <w:trPr>
          <w:trHeight w:val="495"/>
        </w:trPr>
        <w:tc>
          <w:tcPr>
            <w:tcW w:w="0" w:type="auto"/>
            <w:vMerge/>
            <w:tcBorders>
              <w:top w:val="nil"/>
              <w:left w:val="single" w:sz="4" w:space="0" w:color="000000"/>
              <w:bottom w:val="single" w:sz="4" w:space="0" w:color="000000"/>
              <w:right w:val="single" w:sz="4" w:space="0" w:color="000000"/>
            </w:tcBorders>
            <w:shd w:val="clear" w:color="auto" w:fill="auto"/>
          </w:tcPr>
          <w:p w14:paraId="35632AB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26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6A63D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na zimno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84ADE8"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na gorąco  </w:t>
            </w:r>
          </w:p>
        </w:tc>
      </w:tr>
      <w:tr w:rsidR="001565C9" w:rsidRPr="001565C9" w14:paraId="083B781C" w14:textId="77777777" w:rsidTr="0072451A">
        <w:trPr>
          <w:trHeight w:val="492"/>
        </w:trPr>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40ABBB"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AC P </w:t>
            </w:r>
          </w:p>
        </w:tc>
        <w:tc>
          <w:tcPr>
            <w:tcW w:w="26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08D1F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20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6BD0F2"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40 (50</w:t>
            </w:r>
            <w:r w:rsidRPr="001565C9">
              <w:rPr>
                <w:rFonts w:ascii="Arial Narrow" w:eastAsia="Times New Roman" w:hAnsi="Arial Narrow" w:cs="Times New Roman"/>
                <w:vertAlign w:val="superscript"/>
              </w:rPr>
              <w:t>1)</w:t>
            </w:r>
            <w:r w:rsidRPr="001565C9">
              <w:rPr>
                <w:rFonts w:ascii="Arial Narrow" w:eastAsia="Times New Roman" w:hAnsi="Arial Narrow" w:cs="Times New Roman"/>
              </w:rPr>
              <w:t xml:space="preserve">) </w:t>
            </w:r>
          </w:p>
        </w:tc>
      </w:tr>
    </w:tbl>
    <w:p w14:paraId="6C7B7361"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1) Na zasadzie indywidualnego dopuszczenia przez Zamawiającego po przeprowadzeniu badań dodatkowych określonych w Załączniku nr 9.2.3 RID I/6. </w:t>
      </w:r>
    </w:p>
    <w:p w14:paraId="57064CB1"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Ponieważ dodatek granulatu asfaltowego może wywrzeć niekorzystny wpływ na odporność mieszanek mineralno-asfaltowych na spękania niskotemperaturowe, należy w przypadku mieszanek AC P o podwyższonej wartości wskaźnika BR, odpowiednio do 50% przy dozowaniu granulatu asfaltowego metodą na gorąco, przeprowadzić badania służące ocenie odporności tych mieszanek na spękania niskotemperaturowe. </w:t>
      </w:r>
    </w:p>
    <w:p w14:paraId="27B91744"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Jeżeli w projektowanej mieszance mineralno-asfaltowej przewidziano użycie: </w:t>
      </w:r>
    </w:p>
    <w:p w14:paraId="02BE53F0" w14:textId="77777777" w:rsidR="001565C9" w:rsidRPr="001565C9" w:rsidRDefault="001565C9" w:rsidP="00AD6DA2">
      <w:pPr>
        <w:numPr>
          <w:ilvl w:val="0"/>
          <w:numId w:val="52"/>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asfaltu modyfikowanego,  </w:t>
      </w:r>
    </w:p>
    <w:p w14:paraId="5AA6D58F" w14:textId="77777777" w:rsidR="001565C9" w:rsidRPr="001565C9" w:rsidRDefault="001565C9" w:rsidP="00AD6DA2">
      <w:pPr>
        <w:numPr>
          <w:ilvl w:val="0"/>
          <w:numId w:val="52"/>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lastRenderedPageBreak/>
        <w:t xml:space="preserve">granulatu asfaltowego zawierającego asfalt modyfikowany i w projektowanej mieszance mineralno-asfaltowej przewidziano użycie zwykłego asfaltu drogowego,  </w:t>
      </w:r>
    </w:p>
    <w:p w14:paraId="4D5BB1B5"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zastosowanie granulatu asfaltowego może nastąpić na zasadzie indywidualnego dopuszczenia (wg zasad opisanych w Załączniku nr 9.2.3 RID I/6). </w:t>
      </w:r>
    </w:p>
    <w:p w14:paraId="51BD46A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1565C9">
        <w:rPr>
          <w:rFonts w:ascii="Arial Narrow" w:eastAsia="Times New Roman" w:hAnsi="Arial Narrow" w:cs="Times New Roman"/>
          <w:b/>
          <w:sz w:val="20"/>
          <w:szCs w:val="20"/>
          <w:lang w:eastAsia="pl-PL"/>
        </w:rPr>
        <w:t xml:space="preserve">2.1.1.2. </w:t>
      </w:r>
      <w:r w:rsidRPr="001565C9">
        <w:rPr>
          <w:rFonts w:ascii="Arial Narrow" w:eastAsia="Times New Roman" w:hAnsi="Arial Narrow" w:cs="Times New Roman"/>
          <w:b/>
          <w:sz w:val="20"/>
          <w:szCs w:val="20"/>
          <w:lang w:eastAsia="pl-PL"/>
        </w:rPr>
        <w:tab/>
        <w:t xml:space="preserve">Wymagania dla granulatu asfaltowego </w:t>
      </w:r>
    </w:p>
    <w:p w14:paraId="654CE6C2"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 przypadku stosowania granulatu asfaltowego do produkcji mieszanek mineralnoasfaltowych typu beton asfaltowy do warstwy podbudowy AC P to musi on spełniać wymagania określone w tabeli 4. </w:t>
      </w:r>
    </w:p>
    <w:p w14:paraId="523D9C1C"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Tabela 4. Wymagane właściwości granulatu asfaltowego stosowanego do mieszanek mineralno-asfaltowych typu AC P  </w:t>
      </w:r>
    </w:p>
    <w:tbl>
      <w:tblPr>
        <w:tblW w:w="8848" w:type="dxa"/>
        <w:tblInd w:w="127" w:type="dxa"/>
        <w:tblCellMar>
          <w:top w:w="167" w:type="dxa"/>
          <w:right w:w="42" w:type="dxa"/>
        </w:tblCellMar>
        <w:tblLook w:val="04A0" w:firstRow="1" w:lastRow="0" w:firstColumn="1" w:lastColumn="0" w:noHBand="0" w:noVBand="1"/>
      </w:tblPr>
      <w:tblGrid>
        <w:gridCol w:w="1658"/>
        <w:gridCol w:w="692"/>
        <w:gridCol w:w="4700"/>
        <w:gridCol w:w="1798"/>
      </w:tblGrid>
      <w:tr w:rsidR="001565C9" w:rsidRPr="001565C9" w14:paraId="664F8CCC" w14:textId="77777777" w:rsidTr="0072451A">
        <w:trPr>
          <w:trHeight w:val="742"/>
        </w:trPr>
        <w:tc>
          <w:tcPr>
            <w:tcW w:w="2350"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209AACC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Właściwość </w:t>
            </w:r>
          </w:p>
        </w:tc>
        <w:tc>
          <w:tcPr>
            <w:tcW w:w="470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8E2F029"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Wymagania </w:t>
            </w:r>
          </w:p>
        </w:tc>
        <w:tc>
          <w:tcPr>
            <w:tcW w:w="179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52432A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Dokument </w:t>
            </w:r>
          </w:p>
          <w:p w14:paraId="38B72D3F"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odniesienia </w:t>
            </w:r>
          </w:p>
        </w:tc>
      </w:tr>
      <w:tr w:rsidR="001565C9" w:rsidRPr="001565C9" w14:paraId="0A3760CA" w14:textId="77777777" w:rsidTr="0072451A">
        <w:trPr>
          <w:trHeight w:val="742"/>
        </w:trPr>
        <w:tc>
          <w:tcPr>
            <w:tcW w:w="2350"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14D94FD2"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Zawartość materiałów obcych </w:t>
            </w:r>
          </w:p>
        </w:tc>
        <w:tc>
          <w:tcPr>
            <w:tcW w:w="470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FD7D95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Kategoria FM1 </w:t>
            </w:r>
          </w:p>
        </w:tc>
        <w:tc>
          <w:tcPr>
            <w:tcW w:w="179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6BAE03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PN-EN 13108-8 pkt. 4.1 </w:t>
            </w:r>
          </w:p>
        </w:tc>
      </w:tr>
      <w:tr w:rsidR="001565C9" w:rsidRPr="001565C9" w14:paraId="2F4A7862" w14:textId="77777777" w:rsidTr="0072451A">
        <w:trPr>
          <w:trHeight w:val="1469"/>
        </w:trPr>
        <w:tc>
          <w:tcPr>
            <w:tcW w:w="1658" w:type="dxa"/>
            <w:vMerge w:val="restart"/>
            <w:tcBorders>
              <w:top w:val="single" w:sz="6" w:space="0" w:color="000000"/>
              <w:left w:val="single" w:sz="6" w:space="0" w:color="000000"/>
              <w:bottom w:val="single" w:sz="6" w:space="0" w:color="000000"/>
              <w:right w:val="single" w:sz="6" w:space="0" w:color="000000"/>
            </w:tcBorders>
            <w:shd w:val="clear" w:color="auto" w:fill="auto"/>
            <w:vAlign w:val="center"/>
          </w:tcPr>
          <w:p w14:paraId="0988E69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Właściwości lepiszcza odzyskanego w granulacie asfaltowym </w:t>
            </w:r>
            <w:r w:rsidRPr="001565C9">
              <w:rPr>
                <w:rFonts w:ascii="Arial Narrow" w:eastAsia="Times New Roman" w:hAnsi="Arial Narrow" w:cs="Times New Roman"/>
                <w:vertAlign w:val="superscript"/>
              </w:rPr>
              <w:t>a)</w:t>
            </w:r>
            <w:r w:rsidRPr="001565C9">
              <w:rPr>
                <w:rFonts w:ascii="Arial Narrow" w:eastAsia="Times New Roman" w:hAnsi="Arial Narrow" w:cs="Times New Roman"/>
              </w:rPr>
              <w:t xml:space="preserve"> </w:t>
            </w:r>
          </w:p>
        </w:tc>
        <w:tc>
          <w:tcPr>
            <w:tcW w:w="69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40249ED"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PiK </w:t>
            </w:r>
          </w:p>
        </w:tc>
        <w:tc>
          <w:tcPr>
            <w:tcW w:w="470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6DAEF99"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Kategoria S</w:t>
            </w:r>
            <w:r w:rsidRPr="001565C9">
              <w:rPr>
                <w:rFonts w:ascii="Arial Narrow" w:eastAsia="Times New Roman" w:hAnsi="Arial Narrow" w:cs="Times New Roman"/>
                <w:vertAlign w:val="subscript"/>
              </w:rPr>
              <w:t>70</w:t>
            </w:r>
            <w:r w:rsidRPr="001565C9">
              <w:rPr>
                <w:rFonts w:ascii="Arial Narrow" w:eastAsia="Times New Roman" w:hAnsi="Arial Narrow" w:cs="Times New Roman"/>
              </w:rPr>
              <w:t xml:space="preserve"> </w:t>
            </w:r>
          </w:p>
          <w:p w14:paraId="5826AD0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Wartość średnia temperatury mięknienia nie może być wyższa niż 70</w:t>
            </w:r>
            <w:r w:rsidRPr="001565C9">
              <w:rPr>
                <w:rFonts w:ascii="Arial Narrow" w:eastAsia="Times New Roman" w:hAnsi="Arial Narrow" w:cs="Times New Roman"/>
                <w:vertAlign w:val="superscript"/>
              </w:rPr>
              <w:t>o</w:t>
            </w:r>
            <w:r w:rsidRPr="001565C9">
              <w:rPr>
                <w:rFonts w:ascii="Arial Narrow" w:eastAsia="Times New Roman" w:hAnsi="Arial Narrow" w:cs="Times New Roman"/>
              </w:rPr>
              <w:t>C. Pojedyncze wartości temperatury mięknienia nie mogą przekraczać 77</w:t>
            </w:r>
            <w:r w:rsidRPr="001565C9">
              <w:rPr>
                <w:rFonts w:ascii="Arial Narrow" w:eastAsia="Times New Roman" w:hAnsi="Arial Narrow" w:cs="Times New Roman"/>
                <w:vertAlign w:val="superscript"/>
              </w:rPr>
              <w:t>o</w:t>
            </w:r>
            <w:r w:rsidRPr="001565C9">
              <w:rPr>
                <w:rFonts w:ascii="Arial Narrow" w:eastAsia="Times New Roman" w:hAnsi="Arial Narrow" w:cs="Times New Roman"/>
              </w:rPr>
              <w:t xml:space="preserve">C. </w:t>
            </w:r>
          </w:p>
        </w:tc>
        <w:tc>
          <w:tcPr>
            <w:tcW w:w="1798" w:type="dxa"/>
            <w:vMerge w:val="restart"/>
            <w:tcBorders>
              <w:top w:val="single" w:sz="6" w:space="0" w:color="000000"/>
              <w:left w:val="single" w:sz="6" w:space="0" w:color="000000"/>
              <w:bottom w:val="single" w:sz="6" w:space="0" w:color="000000"/>
              <w:right w:val="single" w:sz="6" w:space="0" w:color="000000"/>
            </w:tcBorders>
            <w:shd w:val="clear" w:color="auto" w:fill="auto"/>
            <w:vAlign w:val="center"/>
          </w:tcPr>
          <w:p w14:paraId="5EC7D2D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PN-EN 13108-8 pkt. 4.2 </w:t>
            </w:r>
          </w:p>
          <w:p w14:paraId="32F01C8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PN-EN 1310820 Załącznik A </w:t>
            </w:r>
          </w:p>
          <w:p w14:paraId="408451FF"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 </w:t>
            </w:r>
          </w:p>
        </w:tc>
      </w:tr>
      <w:tr w:rsidR="001565C9" w:rsidRPr="001565C9" w14:paraId="06EB5EA9" w14:textId="77777777" w:rsidTr="0072451A">
        <w:trPr>
          <w:trHeight w:val="1248"/>
        </w:trPr>
        <w:tc>
          <w:tcPr>
            <w:tcW w:w="0" w:type="auto"/>
            <w:vMerge/>
            <w:tcBorders>
              <w:top w:val="nil"/>
              <w:left w:val="single" w:sz="6" w:space="0" w:color="000000"/>
              <w:bottom w:val="single" w:sz="6" w:space="0" w:color="000000"/>
              <w:right w:val="single" w:sz="6" w:space="0" w:color="000000"/>
            </w:tcBorders>
            <w:shd w:val="clear" w:color="auto" w:fill="auto"/>
          </w:tcPr>
          <w:p w14:paraId="56F90BC9"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69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B460319"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Pen. </w:t>
            </w:r>
          </w:p>
        </w:tc>
        <w:tc>
          <w:tcPr>
            <w:tcW w:w="470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7F1B132"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Kategoria P</w:t>
            </w:r>
            <w:r w:rsidRPr="001565C9">
              <w:rPr>
                <w:rFonts w:ascii="Arial Narrow" w:eastAsia="Times New Roman" w:hAnsi="Arial Narrow" w:cs="Times New Roman"/>
                <w:vertAlign w:val="subscript"/>
              </w:rPr>
              <w:t>15</w:t>
            </w:r>
            <w:r w:rsidRPr="001565C9">
              <w:rPr>
                <w:rFonts w:ascii="Arial Narrow" w:eastAsia="Times New Roman" w:hAnsi="Arial Narrow" w:cs="Times New Roman"/>
              </w:rPr>
              <w:t xml:space="preserve"> </w:t>
            </w:r>
          </w:p>
          <w:p w14:paraId="4E27A03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Wartość średnia nie może być mniejsza niż 15x0,1mm. Pojedyncze wartości penetracji nie mogą być mniejsze niż 10x0,1mm. </w:t>
            </w:r>
          </w:p>
        </w:tc>
        <w:tc>
          <w:tcPr>
            <w:tcW w:w="0" w:type="auto"/>
            <w:vMerge/>
            <w:tcBorders>
              <w:top w:val="nil"/>
              <w:left w:val="single" w:sz="6" w:space="0" w:color="000000"/>
              <w:bottom w:val="single" w:sz="6" w:space="0" w:color="000000"/>
              <w:right w:val="single" w:sz="6" w:space="0" w:color="000000"/>
            </w:tcBorders>
            <w:shd w:val="clear" w:color="auto" w:fill="auto"/>
          </w:tcPr>
          <w:p w14:paraId="6139F14F"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r>
      <w:tr w:rsidR="001565C9" w:rsidRPr="001565C9" w14:paraId="49DEC2C6" w14:textId="77777777" w:rsidTr="0072451A">
        <w:trPr>
          <w:trHeight w:val="912"/>
        </w:trPr>
        <w:tc>
          <w:tcPr>
            <w:tcW w:w="2350" w:type="dxa"/>
            <w:gridSpan w:val="2"/>
            <w:tcBorders>
              <w:top w:val="single" w:sz="6" w:space="0" w:color="000000"/>
              <w:left w:val="single" w:sz="6" w:space="0" w:color="000000"/>
              <w:bottom w:val="single" w:sz="6" w:space="0" w:color="000000"/>
              <w:right w:val="single" w:sz="6" w:space="0" w:color="000000"/>
            </w:tcBorders>
            <w:shd w:val="clear" w:color="auto" w:fill="auto"/>
          </w:tcPr>
          <w:p w14:paraId="0E9B2FA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Jednorodność </w:t>
            </w:r>
          </w:p>
        </w:tc>
        <w:tc>
          <w:tcPr>
            <w:tcW w:w="470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27F93E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Wymagana jednorodność określona na podstawie dopuszczalnego rozstępu wyników badań </w:t>
            </w:r>
          </w:p>
          <w:p w14:paraId="2359B8EC"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określonych właściwości </w:t>
            </w:r>
          </w:p>
        </w:tc>
        <w:tc>
          <w:tcPr>
            <w:tcW w:w="1798" w:type="dxa"/>
            <w:tcBorders>
              <w:top w:val="single" w:sz="6" w:space="0" w:color="000000"/>
              <w:left w:val="single" w:sz="6" w:space="0" w:color="000000"/>
              <w:bottom w:val="single" w:sz="6" w:space="0" w:color="000000"/>
              <w:right w:val="single" w:sz="6" w:space="0" w:color="000000"/>
            </w:tcBorders>
            <w:shd w:val="clear" w:color="auto" w:fill="auto"/>
          </w:tcPr>
          <w:p w14:paraId="4417EB9C"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Załącznik nr </w:t>
            </w:r>
          </w:p>
          <w:p w14:paraId="64B68A2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9.2.1 RID I/6 </w:t>
            </w:r>
          </w:p>
        </w:tc>
      </w:tr>
      <w:tr w:rsidR="001565C9" w:rsidRPr="001565C9" w14:paraId="43F41F3D" w14:textId="77777777" w:rsidTr="0072451A">
        <w:trPr>
          <w:trHeight w:val="2295"/>
        </w:trPr>
        <w:tc>
          <w:tcPr>
            <w:tcW w:w="2350" w:type="dxa"/>
            <w:gridSpan w:val="2"/>
            <w:tcBorders>
              <w:top w:val="single" w:sz="6" w:space="0" w:color="000000"/>
              <w:left w:val="single" w:sz="6" w:space="0" w:color="000000"/>
              <w:bottom w:val="single" w:sz="6" w:space="0" w:color="000000"/>
              <w:right w:val="single" w:sz="6" w:space="0" w:color="000000"/>
            </w:tcBorders>
            <w:shd w:val="clear" w:color="auto" w:fill="auto"/>
          </w:tcPr>
          <w:p w14:paraId="01E3002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Zawartość asfaltu </w:t>
            </w:r>
          </w:p>
          <w:p w14:paraId="7C89599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Uziarnienie kruszywa </w:t>
            </w:r>
          </w:p>
        </w:tc>
        <w:tc>
          <w:tcPr>
            <w:tcW w:w="6498"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3C3EE10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PN-EN 13108-20 Załącznik A </w:t>
            </w:r>
          </w:p>
          <w:p w14:paraId="534ACA8A"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Załącznik nr 9.2.3 RID I/6 </w:t>
            </w:r>
          </w:p>
          <w:p w14:paraId="7748EE8A"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Dopuszcza się deklarowanie właściwości kruszywa mineralnego w granulacie asfaltowym na podstawie zadeklarowanego, wcześniejszego zastosowania. W przypadku braku możliwości takiego zadeklarowania jakości kruszywa w granulacie, oraz wątpliwości co do właściwości fizycznych lub mechanicznych, należy przeprowadzić badania kruszywa w wymaganym przez Zamawiającego zakresie </w:t>
            </w:r>
          </w:p>
        </w:tc>
      </w:tr>
      <w:tr w:rsidR="001565C9" w:rsidRPr="001565C9" w14:paraId="6F383D61" w14:textId="77777777" w:rsidTr="0072451A">
        <w:trPr>
          <w:trHeight w:val="1272"/>
        </w:trPr>
        <w:tc>
          <w:tcPr>
            <w:tcW w:w="8848" w:type="dxa"/>
            <w:gridSpan w:val="4"/>
            <w:tcBorders>
              <w:top w:val="single" w:sz="6" w:space="0" w:color="000000"/>
              <w:left w:val="single" w:sz="6" w:space="0" w:color="000000"/>
              <w:bottom w:val="single" w:sz="6" w:space="0" w:color="000000"/>
              <w:right w:val="single" w:sz="6" w:space="0" w:color="000000"/>
            </w:tcBorders>
            <w:shd w:val="clear" w:color="auto" w:fill="auto"/>
            <w:vAlign w:val="center"/>
          </w:tcPr>
          <w:p w14:paraId="075F51C9"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a) do sklasyfikowania lepiszcza odzyskanego w granulacie asfaltowym należy oznaczyć następujące właściwości w zależności od wskaźnika BR: </w:t>
            </w:r>
          </w:p>
          <w:p w14:paraId="6ED151B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 BR≤15% : temperaturę mięknienia PiK. lub penetrację, - BR&gt;15% : temperaturę mięknienia PiK. i penetrację. </w:t>
            </w:r>
          </w:p>
        </w:tc>
      </w:tr>
    </w:tbl>
    <w:p w14:paraId="5B97AE18"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Właściwości lepiszcza asfaltowego oraz kruszywa, które powstaną z połączenia starych i nowych składników, muszą spełniać wymagania stawiane tym materiałom, ze względu na typ i przeznaczenie mieszanki mineralno-asfaltowej. </w:t>
      </w:r>
    </w:p>
    <w:p w14:paraId="64FEB24C"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Wykonawca może deklarować właściwości kruszyw pochodzących z destruktu na podstawie wcześniejszego ich zastosowania w poszczególnych warstwach asfaltowych pod warunkiem akceptacji przez Zamawiającego. W przypadku gdy Wykonawca nie będzie mógł pozyskać dokumentacji lub nie uzyska na ich podstawie akceptacji, potwierdzenie właściwości kruszyw będzie możliwe na podstawie własnych badań kruszyw w zakresie jak niżej:  </w:t>
      </w:r>
    </w:p>
    <w:p w14:paraId="1A0AF6D0"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mrozoodporność w wodzie (frakcja 4-8 lub 8-16mm), </w:t>
      </w:r>
    </w:p>
    <w:p w14:paraId="31AB3DF0"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odporność na rozdrabnianie wg normy PN-EN 1097-2 (frakcja 4-8, 8-11 lub 10-14mm), </w:t>
      </w:r>
    </w:p>
    <w:p w14:paraId="1173F8C2"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grube zanieczyszczenia lekkie wg normy PN-EN 1744-1+A1:2013-05 pkt 14.2, </w:t>
      </w:r>
    </w:p>
    <w:p w14:paraId="291AD26A"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ocena zawartości drobnych cząstek - badanie błękitem metylenowym wg normy PN-EN 933-9 +A1:2013-07, </w:t>
      </w:r>
    </w:p>
    <w:p w14:paraId="0506FF3C"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lastRenderedPageBreak/>
        <w:t xml:space="preserve">w przypadku granulatu stosowanego do warstw ścieralnych z BA (dla dróg niższych kategorii) wymaga się wykonania badań mrozoodporności w soli na frakcji zgodnie z PNEN 1367-6.  </w:t>
      </w:r>
    </w:p>
    <w:p w14:paraId="787A4249"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Wyniki badań powinny spełniać wymagania podane w WT-1 (dla każdej w wymienionej frakcji). </w:t>
      </w:r>
    </w:p>
    <w:p w14:paraId="054DF225"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2.2. Wymagania wobec innych materiałów </w:t>
      </w:r>
    </w:p>
    <w:p w14:paraId="1A4F203A"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2.2.1. Materiały do połączeń technologicznych </w:t>
      </w:r>
    </w:p>
    <w:p w14:paraId="6894200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Do uszczelniania połączeń technologicznych należy stosować materiały zgodnie z pkt. 7.6.1 WT-2 2016 – część II i tabeli 5. </w:t>
      </w:r>
    </w:p>
    <w:p w14:paraId="159E3112"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Tabela 5. Materiały do połączeń technologicznych do warstwy podbudowy </w:t>
      </w:r>
    </w:p>
    <w:tbl>
      <w:tblPr>
        <w:tblW w:w="9064" w:type="dxa"/>
        <w:tblInd w:w="17" w:type="dxa"/>
        <w:tblCellMar>
          <w:right w:w="45" w:type="dxa"/>
        </w:tblCellMar>
        <w:tblLook w:val="04A0" w:firstRow="1" w:lastRow="0" w:firstColumn="1" w:lastColumn="0" w:noHBand="0" w:noVBand="1"/>
      </w:tblPr>
      <w:tblGrid>
        <w:gridCol w:w="1490"/>
        <w:gridCol w:w="919"/>
        <w:gridCol w:w="2408"/>
        <w:gridCol w:w="992"/>
        <w:gridCol w:w="3255"/>
      </w:tblGrid>
      <w:tr w:rsidR="001565C9" w:rsidRPr="001565C9" w14:paraId="4F7FC526" w14:textId="77777777" w:rsidTr="0072451A">
        <w:trPr>
          <w:trHeight w:val="494"/>
        </w:trPr>
        <w:tc>
          <w:tcPr>
            <w:tcW w:w="14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0CD48AB"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Rodzaj warstwy </w:t>
            </w:r>
          </w:p>
        </w:tc>
        <w:tc>
          <w:tcPr>
            <w:tcW w:w="332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E69ACC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Złącze podłużne </w:t>
            </w:r>
          </w:p>
        </w:tc>
        <w:tc>
          <w:tcPr>
            <w:tcW w:w="4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715197F"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Złącze poprzeczne </w:t>
            </w:r>
          </w:p>
        </w:tc>
      </w:tr>
      <w:tr w:rsidR="001565C9" w:rsidRPr="001565C9" w14:paraId="253E89D7" w14:textId="77777777" w:rsidTr="0072451A">
        <w:trPr>
          <w:trHeight w:val="492"/>
        </w:trPr>
        <w:tc>
          <w:tcPr>
            <w:tcW w:w="0" w:type="auto"/>
            <w:vMerge/>
            <w:tcBorders>
              <w:top w:val="nil"/>
              <w:left w:val="single" w:sz="4" w:space="0" w:color="000000"/>
              <w:bottom w:val="single" w:sz="4" w:space="0" w:color="000000"/>
              <w:right w:val="single" w:sz="4" w:space="0" w:color="000000"/>
            </w:tcBorders>
            <w:shd w:val="clear" w:color="auto" w:fill="auto"/>
          </w:tcPr>
          <w:p w14:paraId="73BB1C7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0F7DF"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Ruch </w:t>
            </w:r>
          </w:p>
        </w:tc>
        <w:tc>
          <w:tcPr>
            <w:tcW w:w="240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7207A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Rodzaj materiału </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9C127F"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Ruch </w:t>
            </w:r>
          </w:p>
        </w:tc>
        <w:tc>
          <w:tcPr>
            <w:tcW w:w="32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7E458A"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Rodzaj materiału </w:t>
            </w:r>
          </w:p>
        </w:tc>
      </w:tr>
      <w:tr w:rsidR="001565C9" w:rsidRPr="001565C9" w14:paraId="630CD59A" w14:textId="77777777" w:rsidTr="0072451A">
        <w:trPr>
          <w:trHeight w:val="979"/>
        </w:trPr>
        <w:tc>
          <w:tcPr>
            <w:tcW w:w="14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B3AB44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Warstwa podbudowy </w:t>
            </w:r>
          </w:p>
        </w:tc>
        <w:tc>
          <w:tcPr>
            <w:tcW w:w="91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621EF7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KR 1-7 </w:t>
            </w:r>
          </w:p>
        </w:tc>
        <w:tc>
          <w:tcPr>
            <w:tcW w:w="240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EEC779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Pasty asfaltowe lub elastyczne taśmy bitumiczne + środek gruntujący </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B4505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KR 1-2 </w:t>
            </w:r>
          </w:p>
        </w:tc>
        <w:tc>
          <w:tcPr>
            <w:tcW w:w="32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7A0E5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Pasty asfaltowe lub </w:t>
            </w:r>
          </w:p>
          <w:p w14:paraId="7583F9A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elastyczne taśmy bitumiczne + środek gruntujący </w:t>
            </w:r>
          </w:p>
        </w:tc>
      </w:tr>
      <w:tr w:rsidR="001565C9" w:rsidRPr="001565C9" w14:paraId="73A5C493" w14:textId="77777777" w:rsidTr="0072451A">
        <w:trPr>
          <w:trHeight w:val="737"/>
        </w:trPr>
        <w:tc>
          <w:tcPr>
            <w:tcW w:w="0" w:type="auto"/>
            <w:vMerge/>
            <w:tcBorders>
              <w:top w:val="nil"/>
              <w:left w:val="single" w:sz="4" w:space="0" w:color="000000"/>
              <w:bottom w:val="single" w:sz="4" w:space="0" w:color="000000"/>
              <w:right w:val="single" w:sz="4" w:space="0" w:color="000000"/>
            </w:tcBorders>
            <w:shd w:val="clear" w:color="auto" w:fill="auto"/>
          </w:tcPr>
          <w:p w14:paraId="7E6B6AA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14:paraId="79E79694"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14:paraId="4488AD2B"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6818C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KR 3-7 </w:t>
            </w:r>
          </w:p>
        </w:tc>
        <w:tc>
          <w:tcPr>
            <w:tcW w:w="32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8B28B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Elastyczne taśmy bitumiczne + środek gruntujący </w:t>
            </w:r>
          </w:p>
        </w:tc>
      </w:tr>
    </w:tbl>
    <w:p w14:paraId="39734246"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Podstawą dopuszczenia do wbudowania elastycznych taśm bitumicznych i past asfaltowych stosowanych do uszczelnienia połączeń technologicznych są wyniki badań określone wg tabel od 10 do 12 WT-2 2016 – część II w zależności od rodzaju materiału. </w:t>
      </w:r>
    </w:p>
    <w:p w14:paraId="15C24F79"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2.2.2. Lepiszcze do skropienia podłoża </w:t>
      </w:r>
    </w:p>
    <w:p w14:paraId="5A6F98D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Lepiszcze do skropienia podłoża powinno spełniać wymagania podane PN-EN 13808 i WWiORB D.04.03.01. </w:t>
      </w:r>
    </w:p>
    <w:p w14:paraId="06475FAD"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2.2.3. Dodatki do mieszanki mineralno-asfaltowej </w:t>
      </w:r>
    </w:p>
    <w:p w14:paraId="7B2E3514"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Za zgodą Zamawiającego mogą być stosowane dodatki stabilizujące lub modyfikujące. Pochodzenie, rodzaj i właściwości dodatków powinny być deklarowane. Skuteczność stosowanych dodatków i modyfikatorów powinna być udokumentowana zgodnie z PN-EN 13108-1 punkt 4.1. </w:t>
      </w:r>
    </w:p>
    <w:p w14:paraId="36B73A2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Zaleca się stosowanie do mieszanek mineralno-asfaltowych, dodatku środka obniżającego temperaturę produkcji i układania – nie dotyczy to produkcji mieszanek mineralnoasfaltowych z dozowaniem granulatu asfaltowego w technologii „na zimno”. </w:t>
      </w:r>
    </w:p>
    <w:p w14:paraId="2E3F9835"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Do mieszanek mineralno-asfaltowych może być stosowany dodatek asfaltu naturalnego, jeżeli spełnia wymagania podane w PN-EN 13108-4 Załącznik B. </w:t>
      </w:r>
    </w:p>
    <w:p w14:paraId="58BEE425"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2.3. Dostawy materiałów </w:t>
      </w:r>
    </w:p>
    <w:p w14:paraId="2E4356CE"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Za dostawy materiałów odpowiedzialny jest Wykonawca robót zgodnie z ustaleniami określonymi w D-M-00.00.00 „Wymagania ogólne”. </w:t>
      </w:r>
    </w:p>
    <w:p w14:paraId="6865DDDF"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Do obowiązku Wykonawcy należy takie zorganizowanie dostaw materiałów do wytwarzania MMA, aby zapewnić nieprzerwaną pracę otaczarki w trakcie wykonywania dziennej działki roboczej. Jakość każdej dostawy kruszywa i wypełniacza musi być potwierdzona deklaracją producenta (oznakowanie CE). Do każdej partii granulatu asfaltowego należy dołączyć dokumenty określone w normie PN-EN 13108-8 pkt. 6 </w:t>
      </w:r>
    </w:p>
    <w:p w14:paraId="26FDA754"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2.4. Składowanie materiałów </w:t>
      </w:r>
    </w:p>
    <w:p w14:paraId="6C0909E5"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2.4.1. Składowanie kruszywa </w:t>
      </w:r>
    </w:p>
    <w:p w14:paraId="31CD81D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Składowanie kruszywa powinno odbywać się w warunkach zabezpieczających je przed zanieczyszczeniem i zmieszaniem z innymi rodzajami lub frakcjami kruszywa. </w:t>
      </w:r>
    </w:p>
    <w:p w14:paraId="33FBD5E0"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2.4.2. Składowanie wypełniacza </w:t>
      </w:r>
    </w:p>
    <w:p w14:paraId="5F48BD01"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Wypełniacz należy składować w silosach wyposażonych w urządzenia do aeracji. </w:t>
      </w:r>
    </w:p>
    <w:p w14:paraId="0487A5E9"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2.4.3. Składowanie asfaltu </w:t>
      </w:r>
    </w:p>
    <w:p w14:paraId="62F48740"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Lepiszcze asfaltowe należy przechowywać zgodnie z zasadami podanymi w pkt. 8.3 WT-2 2014 – część I. Zbiorniki na asfalt modyfikowany winny być wyposażone w mieszadła mechaniczne lub co najmniej winny mieć zapewniony system przepompowywania wprawiający w cyrkulację asfalt z dolnych partii zbiornika. Maksymalne temperatury składowania asfaltu drogowego powinny być zgodne z tabelą 41 w/w wytycznych. Temperatury składowania asfaltów modyfikowanych powinny być zgodne z zaleceniami  producenta.  </w:t>
      </w:r>
    </w:p>
    <w:p w14:paraId="59F59783"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2.4.4. Składowanie środka adhezyjnego </w:t>
      </w:r>
    </w:p>
    <w:p w14:paraId="3DC260B2"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Składowanie środka adhezyjnego jest dozwolone tylko w oryginalnych opakowaniach producenta w warunkach podanych zgodnie z zaleceniami producenta. </w:t>
      </w:r>
    </w:p>
    <w:p w14:paraId="650459EA"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2.4.5. Składowanie granulatu asfaltowego </w:t>
      </w:r>
    </w:p>
    <w:p w14:paraId="72FA4A42"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Składowanie granulatu asfaltowego powinno odbywać się w warunkach zabezpieczających je przed: </w:t>
      </w:r>
    </w:p>
    <w:p w14:paraId="06FFC788"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segregacją – zaleca się formowanie hałd o kształcie stożkowym o wysokości max. do 5m, </w:t>
      </w:r>
    </w:p>
    <w:p w14:paraId="1D966222"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zanieczyszczeniem i zmieszaniem z innymi rodzajami lub frakcjami granulatu, </w:t>
      </w:r>
    </w:p>
    <w:p w14:paraId="2D3F6EE5"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zawilgoceniem – ochrona granulatu asfaltowego przed opadami atmosferycznymi; </w:t>
      </w:r>
    </w:p>
    <w:p w14:paraId="758E1809"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 przypadku dozowania „na zimno” obowiązkowe jest składowanie granulatu pod zadaszeniem. </w:t>
      </w:r>
    </w:p>
    <w:p w14:paraId="673D1118"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lastRenderedPageBreak/>
        <w:t xml:space="preserve">Powierzchnię na której będzie składowany granulat asfaltowy należy utwardzić i ukształtować z wyraźnym spadkiem przeciwdziałającym akumulacji wody w hałdzie. </w:t>
      </w:r>
    </w:p>
    <w:p w14:paraId="2CC5C16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Podczas składowania granulatu asfaltowego należy postępować zgodnie z zasadami określonymi w Załączniku nr 9.2.1 i Załączniku nr 9.2.2 RID I/6. </w:t>
      </w:r>
    </w:p>
    <w:p w14:paraId="399A482B" w14:textId="77777777" w:rsidR="001565C9" w:rsidRPr="001565C9" w:rsidRDefault="001565C9" w:rsidP="001565C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1565C9">
        <w:rPr>
          <w:rFonts w:ascii="Arial Narrow" w:eastAsia="Times New Roman" w:hAnsi="Arial Narrow" w:cs="Times New Roman"/>
          <w:b/>
          <w:caps/>
          <w:kern w:val="28"/>
          <w:sz w:val="28"/>
          <w:szCs w:val="20"/>
          <w:lang w:val="x-none" w:eastAsia="x-none"/>
        </w:rPr>
        <w:t xml:space="preserve">3. </w:t>
      </w:r>
      <w:r w:rsidRPr="001565C9">
        <w:rPr>
          <w:rFonts w:ascii="Arial Narrow" w:eastAsia="Times New Roman" w:hAnsi="Arial Narrow" w:cs="Times New Roman"/>
          <w:b/>
          <w:caps/>
          <w:kern w:val="28"/>
          <w:sz w:val="28"/>
          <w:szCs w:val="20"/>
          <w:lang w:val="x-none" w:eastAsia="x-none"/>
        </w:rPr>
        <w:tab/>
        <w:t xml:space="preserve">SPRZĘT </w:t>
      </w:r>
    </w:p>
    <w:p w14:paraId="6ECF5DBA"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Ogólne wymagania dotyczące sprzętu podano w D-M-00.00.00 „Wymagania ogólne”. </w:t>
      </w:r>
    </w:p>
    <w:p w14:paraId="244BAD0C"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3.1. Wytwórnia mieszanek mineralno-asfaltowych </w:t>
      </w:r>
    </w:p>
    <w:p w14:paraId="063A5E3C"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Produkcja mieszanki mineralno-asfaltowej powinna odbywać się na WMA o cyklicznym systemie produkcji mieszanki. WMA powinna prowadzić system ZKP (Zakładowa Kontrola Produkcji) zgodnie z wymaganiami PN-EN 13108-21, certyfikowany przez jednostkę notyfikowaną. Dozowanie wszystkich składników powinno odbywać się wagowo, dopuszcza się objętościowe dozowanie środka adhezyjnego.   </w:t>
      </w:r>
    </w:p>
    <w:p w14:paraId="083DD21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 przypadku stosowania granulatu asfaltowego w ilości odpowiadającej wskaźnikowi BR≥20%, wytwórnię mieszanek mineralno-asfaltowych należy wyposażyć w dodatkowy bęben, będący elementem otaczarki o działaniu cyklicznym – metoda „równoległego bębna”. </w:t>
      </w:r>
    </w:p>
    <w:p w14:paraId="46B21306"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3.2. Układarka mieszanek mineralno-asfaltowych </w:t>
      </w:r>
    </w:p>
    <w:p w14:paraId="3890B661"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Układanie mieszanki powinno odbywać się możliwie największą szerokością, przy użyciu mechanicznej układarki do układania mieszanki mineralno-asfaltowej lub zespołem układarek pracujących równolegle z przesunięciem roboczym umożliwiającym ułożenie stykających się warstw asfaltowych na gorąco, posiadającej następujące urządzenia: </w:t>
      </w:r>
    </w:p>
    <w:p w14:paraId="22B181FB"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automatyczne sterowanie pozwalające na ułożenie warstwy zgodnie z założoną niweletą i grubością, </w:t>
      </w:r>
    </w:p>
    <w:p w14:paraId="0ED42C64"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płytę wibracyjną do wstępnego zagęszczenia mieszanki, </w:t>
      </w:r>
    </w:p>
    <w:p w14:paraId="7CB7A043"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urządzenia do podgrzewania płyty wibracyjnej. </w:t>
      </w:r>
    </w:p>
    <w:p w14:paraId="2B8C236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Mieszanki mineralno-asfaltowe można rozkładać specjalną maszyną drogową z podwójnym zestawem rozkładającym do układania dwóch warstw technologicznych w jednej operacji (tzw. asfaltowe warstwy kompaktowe). </w:t>
      </w:r>
    </w:p>
    <w:p w14:paraId="3A37D474"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3.3. Walce do zagęszczania </w:t>
      </w:r>
    </w:p>
    <w:p w14:paraId="0ADE476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Wykonawca powinien dysponować sprzętem pozwalającym na uzyskanie wymaganego wskaźnika zagęszczenia warstwy z mieszanki mineralno-asfaltowej.  </w:t>
      </w:r>
    </w:p>
    <w:p w14:paraId="0C65E50E"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3.4. Skrapiarki </w:t>
      </w:r>
    </w:p>
    <w:p w14:paraId="3C110B20"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Wykonawca powinien dysponować skrapiarką spełniającą wymagania WWiORB D.04.03.01, pozwalającą na równomierne i zgodne z wymaganiami równomierne skropienie podłoża. </w:t>
      </w:r>
    </w:p>
    <w:p w14:paraId="74E49793" w14:textId="77777777" w:rsidR="001565C9" w:rsidRPr="001565C9" w:rsidRDefault="001565C9" w:rsidP="001565C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1565C9">
        <w:rPr>
          <w:rFonts w:ascii="Arial Narrow" w:eastAsia="Times New Roman" w:hAnsi="Arial Narrow" w:cs="Times New Roman"/>
          <w:b/>
          <w:caps/>
          <w:kern w:val="28"/>
          <w:sz w:val="28"/>
          <w:szCs w:val="20"/>
          <w:lang w:val="x-none" w:eastAsia="x-none"/>
        </w:rPr>
        <w:t xml:space="preserve">4. TRANSPORT </w:t>
      </w:r>
    </w:p>
    <w:p w14:paraId="0097D12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Ogólne wymagania dotyczące transportu podano w D-M-00.00.00. „Wymagania ogólne”. Mieszanki mineralno-asfaltowe powinny być dowożone na budowę odpowiednio do postępu robót, tak aby zapewnić ciągłość wbudowania. Podczas transportu i postoju przed wbudowaniem mieszanki powinny być zabezpieczone przed ostygnięciem i dopływem powietrza (przykrycie, pojemniki termoizolacyjne lub pojazdy ogrzewane itp.). Mieszanki mineralno-asfaltowe, powinny być przewożone pojazdami samowyładowczymi.  </w:t>
      </w:r>
    </w:p>
    <w:p w14:paraId="5B3F6443"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Podczas transportu mieszanki mineralno-asfaltowej muszą być zachowane dopuszczalne wartości temperatury. Dowieziona do rozkładarki mieszanka musi mieć temperaturę w wymaganym przedziale określonym w WT-2 2014 – część I tab. 42.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29F646C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Powierzchnie skrzyń ładunkowych lub pojemników używanych do transportu mieszanki powinny być czyste. Do zwilżania tych powierzchni można używać tylko tego rodzaju środków antyadhezyjnych, które nie oddziałują szkodliwie na mieszanki mineralnoasfaltowe. Zabrania się skrapiania skrzyń olejem napędowym lub innymi środkami ropopochodnymi. </w:t>
      </w:r>
    </w:p>
    <w:p w14:paraId="6806A0A0" w14:textId="77777777" w:rsidR="001565C9" w:rsidRPr="001565C9" w:rsidRDefault="001565C9" w:rsidP="001565C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1565C9">
        <w:rPr>
          <w:rFonts w:ascii="Arial Narrow" w:eastAsia="Times New Roman" w:hAnsi="Arial Narrow" w:cs="Times New Roman"/>
          <w:b/>
          <w:caps/>
          <w:kern w:val="28"/>
          <w:sz w:val="28"/>
          <w:szCs w:val="20"/>
          <w:lang w:val="x-none" w:eastAsia="x-none"/>
        </w:rPr>
        <w:t xml:space="preserve">5. </w:t>
      </w:r>
      <w:r w:rsidRPr="001565C9">
        <w:rPr>
          <w:rFonts w:ascii="Arial Narrow" w:eastAsia="Times New Roman" w:hAnsi="Arial Narrow" w:cs="Times New Roman"/>
          <w:b/>
          <w:caps/>
          <w:kern w:val="28"/>
          <w:sz w:val="28"/>
          <w:szCs w:val="20"/>
          <w:lang w:val="x-none" w:eastAsia="x-none"/>
        </w:rPr>
        <w:tab/>
        <w:t xml:space="preserve">WYKONANIE ROBÓT </w:t>
      </w:r>
    </w:p>
    <w:p w14:paraId="614D13E2"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Ogólne zasady wykonania robót podano w D-M-00.00.00 „Wymagania ogólne”. </w:t>
      </w:r>
    </w:p>
    <w:p w14:paraId="6500A54F"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5.1. Projektowanie mieszanki mineralno-asfaltowej </w:t>
      </w:r>
    </w:p>
    <w:p w14:paraId="64D2AA3A"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 terminie 7 dni przed rozpoczęciem robót Wykonawca przedstawi Inżynierowi/Inspektorowi Nadzoru do zatwierdzenia projekt MMA (Badanie Typu) oraz wszystkie dokumenty potwierdzające jakość materiałów składowych MMA i reprezentatywne próbki materiałów . MMA powinna być zaprojektowana zgodnie z pkt. 8.1 i 8.2.2  WT-2 2014 – część I w zależności od kategorii ruchu. </w:t>
      </w:r>
    </w:p>
    <w:p w14:paraId="00D96DCF"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 przypadku stosowania granulatu asfaltowego należy na etapie projektowania stosować się do wytycznych określonych w Załączniku nr 9.2.1 i Załączniku nr 9.2.3 RID I/6.   </w:t>
      </w:r>
    </w:p>
    <w:p w14:paraId="30563F8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Wykonawca powinien zapewnić, aby podczas opracowywania Badania Typu MMA, były zastosowane w pełni reprezentatywne próbki materiałów składowych, które zostaną użyte do wykonania robót. </w:t>
      </w:r>
    </w:p>
    <w:p w14:paraId="77D08AD0"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5.2. Wytwarzanie MMA </w:t>
      </w:r>
    </w:p>
    <w:p w14:paraId="166A58A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Produkcja MMA powinna odbywać się na WMA o cyklicznym systemie produkcji mieszanki, zgodnie z wymaganiami opisanymi w p. 3.1. Dozowanie wszystkich składników powinno odbywać się wagowo, dopuszcza się objętościowe dozowanie środka adhezyjnego. W przypadku stosowania granulatu asfaltowego do produkcji MMA należy: </w:t>
      </w:r>
    </w:p>
    <w:p w14:paraId="08D8672D"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stosować się do wytycznych opisanych w Załączniku nr 9.2.2 RID I/6. </w:t>
      </w:r>
    </w:p>
    <w:p w14:paraId="70FACEA9"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przekazywać Inżynierowi/Inspektorowi Nadzoru wydruki z WMB potwierdzające, że ilość zadozowanego granulatu asfaltowego jest zgodna z zaakceptowanym przez Inżyniera/Inspektora Nadzoru Badaniem Typu.  </w:t>
      </w:r>
    </w:p>
    <w:p w14:paraId="60D714C4"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lastRenderedPageBreak/>
        <w:t xml:space="preserve">Temperatury technologiczne wytwarzania MMA powinny być zgodne z wymaganiami podanymi w p. 8.3 WT-2 2014 część I (Tabela 42) lub zgodnie z zaleceniami producenta. Mieszankę MMA zaleca się wbudowywać bezpośrednio po wyprodukowaniu bez magazynowania na zapas. Przechowywanie wyprodukowanej MMA w silosie może mieć miejsce tylko w sytuacjach awaryjnych. </w:t>
      </w:r>
    </w:p>
    <w:p w14:paraId="36448848"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Jeżeli mieszanka mineralno-asfaltowa jest dostarczana z kilku wytwórni lub od kilku producentów, to należy zapewnić zgodność typu i wymiaru mieszanki oraz spełnienie wymagań dokumentacji projektowej. </w:t>
      </w:r>
    </w:p>
    <w:p w14:paraId="7E2D0D44"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5.3. Przygotowanie podłoża </w:t>
      </w:r>
    </w:p>
    <w:p w14:paraId="2162E51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Podłoże pod warstwę wiążącą z MMA powinno być: </w:t>
      </w:r>
    </w:p>
    <w:p w14:paraId="69FC434D"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nośne i ustabilizowane, </w:t>
      </w:r>
    </w:p>
    <w:p w14:paraId="0DAEE2E7"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czyste, bez zanieczyszczeń lub pozostałości luźnego kruszywa, </w:t>
      </w:r>
    </w:p>
    <w:p w14:paraId="09436A0C"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wyprofilowane, równe i bez kolein, </w:t>
      </w:r>
    </w:p>
    <w:p w14:paraId="7A4815B0"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suche – dot. podłoża asfaltowego / dla podłoża z mieszanki niezwiązanej lub związanej hydraulicznie dopuszcza się podłoże o odpowiedniej wilgotności, </w:t>
      </w:r>
    </w:p>
    <w:p w14:paraId="3A74FE25"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skropione emulsją asfaltową lub asfaltem zapewniającym powiązanie warstw, oraz spełniać wymagania pkt. 7.2. WT-2 2016 – część II.  </w:t>
      </w:r>
    </w:p>
    <w:p w14:paraId="35469900"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Podłoże pod warstwy asfaltowe powinno spełniać wymagania określone w tabeli poniżej. Jeżeli nierówności poprzeczne są większe aniżeli dopuszczalne, w przypadku podłoża pod warstwy asfaltowe wałowane, należy odpowiednio wyrównać podłoże poprzez frezowanie lub ułożenie warstwy wyrównawczej. </w:t>
      </w:r>
    </w:p>
    <w:p w14:paraId="70685A62"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Tabela nr 6. Dopuszczalne wartości odchyleń równości podłużnej i poprzecznej podłoża pod warstwę  podbudowy </w:t>
      </w:r>
    </w:p>
    <w:tbl>
      <w:tblPr>
        <w:tblW w:w="8956" w:type="dxa"/>
        <w:tblInd w:w="125" w:type="dxa"/>
        <w:tblCellMar>
          <w:left w:w="120" w:type="dxa"/>
          <w:right w:w="52" w:type="dxa"/>
        </w:tblCellMar>
        <w:tblLook w:val="04A0" w:firstRow="1" w:lastRow="0" w:firstColumn="1" w:lastColumn="0" w:noHBand="0" w:noVBand="1"/>
      </w:tblPr>
      <w:tblGrid>
        <w:gridCol w:w="1406"/>
        <w:gridCol w:w="4523"/>
        <w:gridCol w:w="3027"/>
      </w:tblGrid>
      <w:tr w:rsidR="001565C9" w:rsidRPr="001565C9" w14:paraId="6DD1A083" w14:textId="77777777" w:rsidTr="0072451A">
        <w:trPr>
          <w:trHeight w:val="1464"/>
        </w:trPr>
        <w:tc>
          <w:tcPr>
            <w:tcW w:w="14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60431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Klasa drogi </w:t>
            </w:r>
          </w:p>
        </w:tc>
        <w:tc>
          <w:tcPr>
            <w:tcW w:w="45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FA629A"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Element nawierzchni </w:t>
            </w:r>
          </w:p>
        </w:tc>
        <w:tc>
          <w:tcPr>
            <w:tcW w:w="30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A5B66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Dopuszczalne wartości odchyleń równości </w:t>
            </w:r>
          </w:p>
          <w:p w14:paraId="3552EB54"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podłużnej i poprzecznej </w:t>
            </w:r>
          </w:p>
          <w:p w14:paraId="491AB68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podłoża pod warstwę  </w:t>
            </w:r>
          </w:p>
          <w:p w14:paraId="20DA328A"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podbudowy [mm] </w:t>
            </w:r>
          </w:p>
        </w:tc>
      </w:tr>
      <w:tr w:rsidR="001565C9" w:rsidRPr="001565C9" w14:paraId="2902ACF2" w14:textId="77777777" w:rsidTr="0072451A">
        <w:trPr>
          <w:trHeight w:val="1483"/>
        </w:trPr>
        <w:tc>
          <w:tcPr>
            <w:tcW w:w="14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07AD44"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GP </w:t>
            </w:r>
          </w:p>
        </w:tc>
        <w:tc>
          <w:tcPr>
            <w:tcW w:w="4523" w:type="dxa"/>
            <w:tcBorders>
              <w:top w:val="single" w:sz="4" w:space="0" w:color="000000"/>
              <w:left w:val="single" w:sz="4" w:space="0" w:color="000000"/>
              <w:right w:val="single" w:sz="4" w:space="0" w:color="000000"/>
            </w:tcBorders>
            <w:shd w:val="clear" w:color="auto" w:fill="auto"/>
            <w:vAlign w:val="center"/>
          </w:tcPr>
          <w:p w14:paraId="278EBDE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Pasy ruchu zasadnicze, awaryjne, dodatkowe, włączenia i wyłączenia, jezdnie łącznic,  utwardzone pobocza </w:t>
            </w:r>
          </w:p>
          <w:p w14:paraId="2A191E1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3027" w:type="dxa"/>
            <w:tcBorders>
              <w:top w:val="single" w:sz="4" w:space="0" w:color="000000"/>
              <w:left w:val="single" w:sz="4" w:space="0" w:color="000000"/>
              <w:right w:val="single" w:sz="4" w:space="0" w:color="000000"/>
            </w:tcBorders>
            <w:shd w:val="clear" w:color="auto" w:fill="auto"/>
            <w:vAlign w:val="center"/>
          </w:tcPr>
          <w:p w14:paraId="20A42EE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12 </w:t>
            </w:r>
          </w:p>
          <w:p w14:paraId="55A7FF8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r>
      <w:tr w:rsidR="001565C9" w:rsidRPr="001565C9" w14:paraId="090D8856" w14:textId="77777777" w:rsidTr="0072451A">
        <w:trPr>
          <w:trHeight w:val="979"/>
        </w:trPr>
        <w:tc>
          <w:tcPr>
            <w:tcW w:w="14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B17DA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G, Z </w:t>
            </w:r>
          </w:p>
        </w:tc>
        <w:tc>
          <w:tcPr>
            <w:tcW w:w="45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2E6348"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Pasy ruchu zasadnicze, dodatkowe, włączenia i wyłączenia, postojowe,  utwardzone pobocza </w:t>
            </w:r>
          </w:p>
        </w:tc>
        <w:tc>
          <w:tcPr>
            <w:tcW w:w="30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A3A56A"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15 </w:t>
            </w:r>
          </w:p>
        </w:tc>
      </w:tr>
      <w:tr w:rsidR="001565C9" w:rsidRPr="001565C9" w14:paraId="6A7E0B12" w14:textId="77777777" w:rsidTr="0072451A">
        <w:trPr>
          <w:trHeight w:val="737"/>
        </w:trPr>
        <w:tc>
          <w:tcPr>
            <w:tcW w:w="14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3400E4"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L, D, place, parkingi, zjazdy, zatoki </w:t>
            </w:r>
          </w:p>
        </w:tc>
        <w:tc>
          <w:tcPr>
            <w:tcW w:w="45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1306C4"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Wszystkie pasy ruchu i powierzchnie przeznaczone do ruchu i postoju pojazdów </w:t>
            </w:r>
          </w:p>
        </w:tc>
        <w:tc>
          <w:tcPr>
            <w:tcW w:w="30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F7622C"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18 </w:t>
            </w:r>
          </w:p>
        </w:tc>
      </w:tr>
    </w:tbl>
    <w:p w14:paraId="007BB09F"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Brzegi krawężników i innych urządzeń przylegających do nawierzchni powinny zostać połączone z MMA za pomocą materiałów wymienionych w pkt 2.2.1. niniejszych WWiORB lub gorącego asfaltu. </w:t>
      </w:r>
    </w:p>
    <w:p w14:paraId="243379A3"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5.3.1. Połączenia międzywarstwowe </w:t>
      </w:r>
    </w:p>
    <w:p w14:paraId="65CE2CB1"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Uzyskanie wymaganej trwałości nawierzchni jest uzależnione od zapewnienia połączenia między warstwami oraz ich współpracy w przenoszeniu obciążeń nawierzchni wywołanych ruchem pojazdów.  </w:t>
      </w:r>
    </w:p>
    <w:p w14:paraId="31957CC6"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Zapewnienie połączenia międzywarstwowego wymaga starannego przygotowania podłoża, na którym będą układane kolejne warstwy asfaltowe, zastosowania odpowiedniej emulsji asfaltowej oraz właściwego wykonania skropienia. Podłoże należy przygotować zgodnie z WWiORB D.04.03.01. </w:t>
      </w:r>
    </w:p>
    <w:p w14:paraId="4EE07A7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Skropienie emulsją asfaltową ma na celu zwiększenie siły połączenia pomiędzy warstwami konstrukcyjnymi oraz zabezpieczenie przed wnikaniem i zaleganiem wody pomiędzy warstwami.  </w:t>
      </w:r>
    </w:p>
    <w:p w14:paraId="14C70C76"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Do skropień należy stosować rodzaj emulsji i ilość w zależności od rodzaju warstwy i kategorii ruchu, zgodnie z zasadami określonymi w WWiORB D.04.03.01.  </w:t>
      </w:r>
    </w:p>
    <w:p w14:paraId="3335CD8E"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5.4. Warunki atmosferyczne </w:t>
      </w:r>
    </w:p>
    <w:p w14:paraId="321B8D63"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Warstwa nawierzchni z MMA powinna być układana w temperaturze: </w:t>
      </w:r>
    </w:p>
    <w:p w14:paraId="660BEFC5"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podłoża nie mniejszej niż +5°C, </w:t>
      </w:r>
    </w:p>
    <w:p w14:paraId="72FA4C7A"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temperaturze otoczenie w ciągu doby (pomiary trzy razy dziennie) nie mniejszej niż 0°C (dopuszcza się do -3°C po uprzednim uzyskaniu zgody Inżyniera/Inspektora Nadzoru). </w:t>
      </w:r>
    </w:p>
    <w:p w14:paraId="0754E474"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Nie dopuszcza się układania MMA podczas opadów atmosferycznych i silnego wiatru przekraczającego prędkość 16m/s. </w:t>
      </w:r>
    </w:p>
    <w:p w14:paraId="5ECCDAA1"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5.7. Wbudowywanie mieszanki MMA  </w:t>
      </w:r>
    </w:p>
    <w:p w14:paraId="73EC3DEF"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Transport MMA powinien odbywać się zgodnie z wymaganiami podanymi w pkt. 7.4 WT-2 2016 – część II. Wbudowywanie MMA powinno odbywać się zgodnie z wymaganiami podanymi w pkt. 7.5 WT-2 2016 – część II.  </w:t>
      </w:r>
    </w:p>
    <w:p w14:paraId="4910E5CC"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Prace związane z wbudowaniem mieszanki mineralno-asfaltowej należy tak zaplanować, aby: </w:t>
      </w:r>
    </w:p>
    <w:p w14:paraId="284C9336"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lastRenderedPageBreak/>
        <w:t xml:space="preserve">umożliwiały układanie warstwy całą szerokością jezdni (jedną rozkładarką lub dwoma rozkładarkami pracującymi obok siebie z przesunięciem wg pkt 7.6.3.1. WT2 2016 – część II); w przypadku przebudów i remontów o dopuszczonym ruchu jednokierunkowym (wahadłowym) szerokością pasa ruchu ,   </w:t>
      </w:r>
    </w:p>
    <w:p w14:paraId="1CB838C4"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dzienne działki robocze  (tj. odcinki nawierzchni na których mieszanka mineralnoasfaltowa jest wbudowywana jednego dnia) powinny być możliwie jak najdłuższe min. 200 m, </w:t>
      </w:r>
    </w:p>
    <w:p w14:paraId="626668E1"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organizacja dostaw mieszanki powinna zapewnić pracę rozkładarki bez zatrzymań z jednostajną prędkością. </w:t>
      </w:r>
    </w:p>
    <w:p w14:paraId="0DD269F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Mieszankę mineralno-asfaltową należy wbudowywać w sprzyjających warunkach atmosferycznych określonych w pkt. 5.4. Temperatura otoczenia może być niższa w wypadku stosowania ogrzewania podłoża i obramowania (np. promienniki podczerwieni, urządzenia mikrofalowe). </w:t>
      </w:r>
    </w:p>
    <w:p w14:paraId="5C38D81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 przypadku stosowania mieszanek mineralno-asfaltowych z dodatkiem umożliwiającym obniżenie temperatury mieszania (mieszanki na ciepło) i wbudowania, należy indywidualnie określić wymagane warunki otoczenia. Układarka powinna być stale zasilana w mieszankę tak, aby w zasobniku zawsze znajdowała się odpowiednia jej ilość, a kosz, transporter i stół były zawsze gorące i nie stygły. W miejscach niedostępnych dla sprzętu dopuszcza się wbudowywanie ręczne. </w:t>
      </w:r>
    </w:p>
    <w:p w14:paraId="0BC7BC23"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Podczas rozkładania grubość wykonywanej warstwy powinna być sprawdzana co 25 m, w co najmniej trzech miejscach (w osi i przy brzegach warstwy). Warstwy wałowane powinny być równomiernie zagęszczane walcami drogowymi o charakterystyce zapewniającej skuteczność zagęszczania, potwierdzoną na odcinku próbnym. </w:t>
      </w:r>
    </w:p>
    <w:p w14:paraId="088937E6"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 wykonanej warstwie podbudowy powinien odbywać się wyłącznie ruch pojazdów związanych z układaniem następnej warstwy.  </w:t>
      </w:r>
    </w:p>
    <w:p w14:paraId="13323A5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Dopuszczenie wykonanej warstwy asfaltowej na gorąco do ruchu może nastąpić po jej schłodzeniu do temperatury zapewniającej jej odporność na deformacje trwałe.  </w:t>
      </w:r>
    </w:p>
    <w:p w14:paraId="08F4CF89"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 przypadku konieczności dopuszczenia innego ruchu należy zastosować zabiegi zabezpieczające uzyskanie wymaganego połączenia międzywarstwowego tj. poprzez wykonanie dodatkowego skropienia z użyciem mleczka wapiennego (wg.  pkt. 7.3.4 WT-2  2016 – część II). </w:t>
      </w:r>
    </w:p>
    <w:p w14:paraId="32CA6987"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5.8. Połączenia technologiczne </w:t>
      </w:r>
    </w:p>
    <w:p w14:paraId="1A3F20B5"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Połączenia technologiczne powinny być wykonane przy zastosowaniu materiałów określonych w pkt 2.2.1 niniejszego WWiORB, oraz zgodnie z pkt. 7.6 WT-2 2016 – część II.  </w:t>
      </w:r>
    </w:p>
    <w:p w14:paraId="02D6903B"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5.8.1. Sposób i warunki aplikacji materiałów stosowanych do złączy.  </w:t>
      </w:r>
    </w:p>
    <w:p w14:paraId="7C67DE0E" w14:textId="77777777" w:rsidR="001565C9" w:rsidRPr="001565C9" w:rsidRDefault="001565C9" w:rsidP="001565C9">
      <w:pPr>
        <w:overflowPunct w:val="0"/>
        <w:autoSpaceDE w:val="0"/>
        <w:autoSpaceDN w:val="0"/>
        <w:adjustRightInd w:val="0"/>
        <w:spacing w:after="0" w:line="240" w:lineRule="auto"/>
        <w:jc w:val="both"/>
        <w:textAlignment w:val="baseline"/>
        <w:rPr>
          <w:rFonts w:ascii="Arial Narrow" w:eastAsia="Times New Roman" w:hAnsi="Arial Narrow" w:cs="Times New Roman"/>
          <w:b/>
          <w:sz w:val="20"/>
          <w:szCs w:val="20"/>
          <w:lang w:eastAsia="pl-PL"/>
        </w:rPr>
      </w:pPr>
      <w:r w:rsidRPr="001565C9">
        <w:rPr>
          <w:rFonts w:ascii="Arial Narrow" w:eastAsia="Times New Roman" w:hAnsi="Arial Narrow" w:cs="Times New Roman"/>
          <w:b/>
          <w:sz w:val="20"/>
          <w:szCs w:val="20"/>
          <w:lang w:eastAsia="pl-PL"/>
        </w:rPr>
        <w:t xml:space="preserve">5.8.1.1. </w:t>
      </w:r>
      <w:r w:rsidRPr="001565C9">
        <w:rPr>
          <w:rFonts w:ascii="Arial Narrow" w:eastAsia="Times New Roman" w:hAnsi="Arial Narrow" w:cs="Times New Roman"/>
          <w:b/>
          <w:sz w:val="20"/>
          <w:szCs w:val="20"/>
          <w:lang w:eastAsia="pl-PL"/>
        </w:rPr>
        <w:tab/>
        <w:t xml:space="preserve">Wymagania wobec wbudowania elastycznych taśm bitumicznych </w:t>
      </w:r>
    </w:p>
    <w:p w14:paraId="37BEA8E3"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Krawędź boczna złącza podłużnego winna być uformowana za pomocą rolki dociskowej lub poprzez obcięcie nożem talerzowym. </w:t>
      </w:r>
    </w:p>
    <w:p w14:paraId="2861E94E"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Krawędź boczna złącza poprzecznego powinna być uformowana w taki sposób i za pomocą urządzeń umożliwiających uzyskanie nieregularnej powierzchni. </w:t>
      </w:r>
    </w:p>
    <w:p w14:paraId="4F400AD6"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Powierzchnie krawędzi do których klejona będzie taśma, powinny być czyste i suche. </w:t>
      </w:r>
    </w:p>
    <w:p w14:paraId="66EC81BE"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Przed przyklejeniem taśmy w metodzie „gorące przy zimnym”, krawędzie „zimnej” warstwy na całkowitej grubości, należy zagruntować środkiem gruntującym zgodnie z zaleceniami producenta taśmy. </w:t>
      </w:r>
    </w:p>
    <w:p w14:paraId="1A3A333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Taśma bitumiczna o grubości 10 mm powinna być wstępnie przyklejona do zimnej krawędzi złącza na 2/3 wysokości warstwy licząc od górnej powierzchni warstwy podbudowy. Minimalna wysokość taśmy 4 cm. </w:t>
      </w:r>
    </w:p>
    <w:p w14:paraId="45CC5D23" w14:textId="77777777" w:rsidR="001565C9" w:rsidRPr="001565C9" w:rsidRDefault="001565C9" w:rsidP="001565C9">
      <w:pPr>
        <w:overflowPunct w:val="0"/>
        <w:autoSpaceDE w:val="0"/>
        <w:autoSpaceDN w:val="0"/>
        <w:adjustRightInd w:val="0"/>
        <w:spacing w:after="0" w:line="240" w:lineRule="auto"/>
        <w:jc w:val="both"/>
        <w:textAlignment w:val="baseline"/>
        <w:rPr>
          <w:rFonts w:ascii="Arial Narrow" w:eastAsia="Times New Roman" w:hAnsi="Arial Narrow" w:cs="Times New Roman"/>
          <w:b/>
          <w:sz w:val="20"/>
          <w:szCs w:val="20"/>
          <w:lang w:eastAsia="pl-PL"/>
        </w:rPr>
      </w:pPr>
      <w:r w:rsidRPr="001565C9">
        <w:rPr>
          <w:rFonts w:ascii="Arial Narrow" w:eastAsia="Times New Roman" w:hAnsi="Arial Narrow" w:cs="Times New Roman"/>
          <w:b/>
          <w:sz w:val="20"/>
          <w:szCs w:val="20"/>
          <w:lang w:eastAsia="pl-PL"/>
        </w:rPr>
        <w:t xml:space="preserve">5.8.1.2. </w:t>
      </w:r>
      <w:r w:rsidRPr="001565C9">
        <w:rPr>
          <w:rFonts w:ascii="Arial Narrow" w:eastAsia="Times New Roman" w:hAnsi="Arial Narrow" w:cs="Times New Roman"/>
          <w:b/>
          <w:sz w:val="20"/>
          <w:szCs w:val="20"/>
          <w:lang w:eastAsia="pl-PL"/>
        </w:rPr>
        <w:tab/>
        <w:t xml:space="preserve">Wymagania wobec wbudowania past bitumicznych </w:t>
      </w:r>
    </w:p>
    <w:p w14:paraId="4C1DE779"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Przygotowanie krawędzi bocznych jak w przypadku stosowania taśm bitumicznych. </w:t>
      </w:r>
    </w:p>
    <w:p w14:paraId="3245EC0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Pasta powinna być nanoszona mechanicznie z zapewnieniem równomiernego jej rozprowadzenia na bocznej krawędzi w ilości 3 - 4 kg/m</w:t>
      </w:r>
      <w:r w:rsidRPr="001565C9">
        <w:rPr>
          <w:rFonts w:ascii="Arial Narrow" w:eastAsia="Times New Roman" w:hAnsi="Arial Narrow" w:cs="Times New Roman"/>
          <w:sz w:val="20"/>
          <w:szCs w:val="20"/>
          <w:vertAlign w:val="superscript"/>
          <w:lang w:eastAsia="pl-PL"/>
        </w:rPr>
        <w:t>2</w:t>
      </w:r>
      <w:r w:rsidRPr="001565C9">
        <w:rPr>
          <w:rFonts w:ascii="Arial Narrow" w:eastAsia="Times New Roman" w:hAnsi="Arial Narrow" w:cs="Times New Roman"/>
          <w:sz w:val="20"/>
          <w:szCs w:val="20"/>
          <w:lang w:eastAsia="pl-PL"/>
        </w:rPr>
        <w:t xml:space="preserve"> (warstwa o grubości 3 - 4 mm przy gęstości około 1,0 g/cm</w:t>
      </w:r>
      <w:r w:rsidRPr="001565C9">
        <w:rPr>
          <w:rFonts w:ascii="Arial Narrow" w:eastAsia="Times New Roman" w:hAnsi="Arial Narrow" w:cs="Times New Roman"/>
          <w:sz w:val="20"/>
          <w:szCs w:val="20"/>
          <w:vertAlign w:val="superscript"/>
          <w:lang w:eastAsia="pl-PL"/>
        </w:rPr>
        <w:t>3</w:t>
      </w:r>
      <w:r w:rsidRPr="001565C9">
        <w:rPr>
          <w:rFonts w:ascii="Arial Narrow" w:eastAsia="Times New Roman" w:hAnsi="Arial Narrow" w:cs="Times New Roman"/>
          <w:sz w:val="20"/>
          <w:szCs w:val="20"/>
          <w:lang w:eastAsia="pl-PL"/>
        </w:rPr>
        <w:t xml:space="preserve">). </w:t>
      </w:r>
    </w:p>
    <w:p w14:paraId="3F7D28B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Dopuszcza się ręczne nanoszenie past w miejscach niedostępnych. </w:t>
      </w:r>
    </w:p>
    <w:p w14:paraId="3F905364" w14:textId="77777777" w:rsidR="001565C9" w:rsidRPr="001565C9" w:rsidRDefault="001565C9" w:rsidP="001565C9">
      <w:pPr>
        <w:overflowPunct w:val="0"/>
        <w:autoSpaceDE w:val="0"/>
        <w:autoSpaceDN w:val="0"/>
        <w:adjustRightInd w:val="0"/>
        <w:spacing w:after="0" w:line="240" w:lineRule="auto"/>
        <w:jc w:val="both"/>
        <w:textAlignment w:val="baseline"/>
        <w:rPr>
          <w:rFonts w:ascii="Arial Narrow" w:eastAsia="Times New Roman" w:hAnsi="Arial Narrow" w:cs="Times New Roman"/>
          <w:b/>
          <w:sz w:val="20"/>
          <w:szCs w:val="20"/>
          <w:lang w:eastAsia="pl-PL"/>
        </w:rPr>
      </w:pPr>
      <w:r w:rsidRPr="001565C9">
        <w:rPr>
          <w:rFonts w:ascii="Arial Narrow" w:eastAsia="Times New Roman" w:hAnsi="Arial Narrow" w:cs="Times New Roman"/>
          <w:b/>
          <w:sz w:val="20"/>
          <w:szCs w:val="20"/>
          <w:lang w:eastAsia="pl-PL"/>
        </w:rPr>
        <w:t xml:space="preserve">5.8.2. Sposób wykonania złączy </w:t>
      </w:r>
    </w:p>
    <w:p w14:paraId="1EDC0BC8"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Wymagania ogólne: </w:t>
      </w:r>
    </w:p>
    <w:p w14:paraId="7ABCB312"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złącza w warstwach nawierzchni powinny być wykonane w linii prostej,  </w:t>
      </w:r>
    </w:p>
    <w:p w14:paraId="342EBB51"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złącza podłużnego nie można lokalizować w śladach kół, </w:t>
      </w:r>
    </w:p>
    <w:p w14:paraId="7FD4DCFA"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złącza podłużne w konstrukcji wielowarstwowej należy przesunąć względem siebie w kolejnych warstwach technologicznych o co najmniej 30 cm w kierunku poprzecznym do osi jezdni, </w:t>
      </w:r>
    </w:p>
    <w:p w14:paraId="242E58C2"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złącza muszą być całkowicie związane a powierzchnie przylegających warstw powinny być w jednym poziomie. </w:t>
      </w:r>
    </w:p>
    <w:p w14:paraId="210FE0B9"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1565C9">
        <w:rPr>
          <w:rFonts w:ascii="Arial Narrow" w:eastAsia="Times New Roman" w:hAnsi="Arial Narrow" w:cs="Times New Roman"/>
          <w:b/>
          <w:sz w:val="20"/>
          <w:szCs w:val="20"/>
          <w:lang w:eastAsia="pl-PL"/>
        </w:rPr>
        <w:t xml:space="preserve">A. </w:t>
      </w:r>
      <w:r w:rsidRPr="001565C9">
        <w:rPr>
          <w:rFonts w:ascii="Arial Narrow" w:eastAsia="Times New Roman" w:hAnsi="Arial Narrow" w:cs="Times New Roman"/>
          <w:b/>
          <w:sz w:val="20"/>
          <w:szCs w:val="20"/>
          <w:lang w:eastAsia="pl-PL"/>
        </w:rPr>
        <w:tab/>
        <w:t xml:space="preserve">Metoda rozkładania „gorące przy gorącym” </w:t>
      </w:r>
    </w:p>
    <w:p w14:paraId="792CCF4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Metoda ta ma zastosowanie  w przypadku wykonywania złącza podłużnego – należy ją stosować zgodnie z pkt. 7.6.3.1 WT-2 2016 – część II. </w:t>
      </w:r>
    </w:p>
    <w:p w14:paraId="4719C2B8"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Przy tej metodzie nie stosuje się dodatkowych materiałów do złączy. </w:t>
      </w:r>
    </w:p>
    <w:p w14:paraId="424FEF86"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1565C9">
        <w:rPr>
          <w:rFonts w:ascii="Arial Narrow" w:eastAsia="Times New Roman" w:hAnsi="Arial Narrow" w:cs="Times New Roman"/>
          <w:b/>
          <w:sz w:val="20"/>
          <w:szCs w:val="20"/>
          <w:lang w:eastAsia="pl-PL"/>
        </w:rPr>
        <w:t xml:space="preserve">B. </w:t>
      </w:r>
      <w:r w:rsidRPr="001565C9">
        <w:rPr>
          <w:rFonts w:ascii="Arial Narrow" w:eastAsia="Times New Roman" w:hAnsi="Arial Narrow" w:cs="Times New Roman"/>
          <w:b/>
          <w:sz w:val="20"/>
          <w:szCs w:val="20"/>
          <w:lang w:eastAsia="pl-PL"/>
        </w:rPr>
        <w:tab/>
        <w:t xml:space="preserve">Metoda rozkładania „gorące przy zimnym” </w:t>
      </w:r>
    </w:p>
    <w:p w14:paraId="0FA4C9F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Wykonanie złączy metodą „gorące przy zimnym” stosuje się w przypadkach, gdy ze względu na ruch, względnie z innych uzasadnionych powodów konieczne jest wykonywanie nawierzchni w odstępach czasowych – należy ją stosować zgodnie z pkt. 7.6.3.1 WT-2 2016 – część II. </w:t>
      </w:r>
    </w:p>
    <w:p w14:paraId="3FE5AE60"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1565C9">
        <w:rPr>
          <w:rFonts w:ascii="Arial Narrow" w:eastAsia="Times New Roman" w:hAnsi="Arial Narrow" w:cs="Times New Roman"/>
          <w:b/>
          <w:sz w:val="20"/>
          <w:szCs w:val="20"/>
          <w:lang w:eastAsia="pl-PL"/>
        </w:rPr>
        <w:t xml:space="preserve">C. </w:t>
      </w:r>
      <w:r w:rsidRPr="001565C9">
        <w:rPr>
          <w:rFonts w:ascii="Arial Narrow" w:eastAsia="Times New Roman" w:hAnsi="Arial Narrow" w:cs="Times New Roman"/>
          <w:b/>
          <w:sz w:val="20"/>
          <w:szCs w:val="20"/>
          <w:lang w:eastAsia="pl-PL"/>
        </w:rPr>
        <w:tab/>
        <w:t xml:space="preserve">Sposób zakończenia działki roboczej </w:t>
      </w:r>
    </w:p>
    <w:p w14:paraId="695F6CF1"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Zakończenie działki roboczej należy wykonać w sposób i przy pomocy urządzeń zapewniających uzyskanie nieregularnej, szorstkiej powierzchni spoiny (przy pomocy wstawianej kantówki lub frezarki) oraz szorstkiego podłoża w rejonie planowanego złącza. </w:t>
      </w:r>
    </w:p>
    <w:p w14:paraId="0CE3521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Niedopuszczalne jest posypywanie piaskiem jako sposobu na obniżenie sczepności warstw w rejonie końca działki roboczej oraz obcinanie piłą tarczową zimnej krawędzi działki. </w:t>
      </w:r>
    </w:p>
    <w:p w14:paraId="07D1DFF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lastRenderedPageBreak/>
        <w:t xml:space="preserve">Zakończenie działki roboczej wykonuje się prostopadle do osi drogi. </w:t>
      </w:r>
    </w:p>
    <w:p w14:paraId="198A5190"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Krawędź działki roboczej jest równocześnie krawędzią poprzeczną złącza. </w:t>
      </w:r>
    </w:p>
    <w:p w14:paraId="6A67CFAF"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Złącza poprzeczne między działkami roboczymi układanych pasów kolejnych warstw technologicznych należy przesunąć względem siebie o co najmniej 3 m w kierunku podłużnym do osi jezdni (dotyczy podbudowy układanej w dwóch oddzielnych operacjach technologicznych). </w:t>
      </w:r>
    </w:p>
    <w:p w14:paraId="2B976CA1"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1565C9">
        <w:rPr>
          <w:rFonts w:ascii="Arial Narrow" w:eastAsia="Times New Roman" w:hAnsi="Arial Narrow" w:cs="Times New Roman"/>
          <w:b/>
          <w:sz w:val="20"/>
          <w:szCs w:val="20"/>
          <w:lang w:eastAsia="pl-PL"/>
        </w:rPr>
        <w:t xml:space="preserve">D. </w:t>
      </w:r>
      <w:r w:rsidRPr="001565C9">
        <w:rPr>
          <w:rFonts w:ascii="Arial Narrow" w:eastAsia="Times New Roman" w:hAnsi="Arial Narrow" w:cs="Times New Roman"/>
          <w:b/>
          <w:sz w:val="20"/>
          <w:szCs w:val="20"/>
          <w:lang w:eastAsia="pl-PL"/>
        </w:rPr>
        <w:tab/>
        <w:t xml:space="preserve">Sposób wykonywania spoin </w:t>
      </w:r>
    </w:p>
    <w:p w14:paraId="6B2F2039"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Spoiny wykonuje się z użyciem materiałów wymienionych pkt 2.2.1. lub asfaltu. </w:t>
      </w:r>
    </w:p>
    <w:p w14:paraId="09F40C58"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Ilość lepiszcza do spoin powinna wynosić ok 1,5 kg/m</w:t>
      </w:r>
      <w:r w:rsidRPr="001565C9">
        <w:rPr>
          <w:rFonts w:ascii="Arial Narrow" w:eastAsia="Times New Roman" w:hAnsi="Arial Narrow" w:cs="Times New Roman"/>
          <w:sz w:val="20"/>
          <w:szCs w:val="20"/>
          <w:vertAlign w:val="superscript"/>
          <w:lang w:eastAsia="pl-PL"/>
        </w:rPr>
        <w:t>2</w:t>
      </w:r>
      <w:r w:rsidRPr="001565C9">
        <w:rPr>
          <w:rFonts w:ascii="Arial Narrow" w:eastAsia="Times New Roman" w:hAnsi="Arial Narrow" w:cs="Times New Roman"/>
          <w:sz w:val="20"/>
          <w:szCs w:val="20"/>
          <w:lang w:eastAsia="pl-PL"/>
        </w:rPr>
        <w:t xml:space="preserve">. </w:t>
      </w:r>
    </w:p>
    <w:p w14:paraId="728A332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Materiał powinien być nanoszony mechanicznie z zapewnieniem równomiernego jego rozprowadzenia na bocznej krawędzi. </w:t>
      </w:r>
    </w:p>
    <w:p w14:paraId="3AD95F4C"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5.9. Krawędzie zewnętrzne warstwy podbudowy </w:t>
      </w:r>
    </w:p>
    <w:p w14:paraId="4029B17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Krawędzie zewnętrzne warstwy podbudowy należy wykonać zgodnie z wymaganiami pkt. 7.7 WT-2 2016 – część II </w:t>
      </w:r>
    </w:p>
    <w:p w14:paraId="1A89E751"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 wykonaniu warstwy podbudowy o jednostronnym nachyleniu jezdni należy uszczelnić wyżej położoną krawędź boczną. Niżej położona krawędź boczna powinna pozostać nieuszczelniona. </w:t>
      </w:r>
    </w:p>
    <w:p w14:paraId="377BD409"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Krawędź zewnętrzną oraz powierzchnię odsadzki poziomej należy zabezpieczyć przez pokrycie gorącym asfaltem w ilości: </w:t>
      </w:r>
    </w:p>
    <w:p w14:paraId="24822D4C" w14:textId="77777777" w:rsidR="001565C9" w:rsidRPr="001565C9" w:rsidRDefault="001565C9" w:rsidP="00AD6DA2">
      <w:pPr>
        <w:numPr>
          <w:ilvl w:val="0"/>
          <w:numId w:val="53"/>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powierzchnie odsadzek  </w:t>
      </w:r>
      <w:r w:rsidRPr="001565C9">
        <w:rPr>
          <w:rFonts w:ascii="Arial Narrow" w:eastAsia="Times New Roman" w:hAnsi="Arial Narrow" w:cs="Times New Roman"/>
          <w:sz w:val="20"/>
          <w:szCs w:val="20"/>
          <w:lang w:eastAsia="pl-PL"/>
        </w:rPr>
        <w:tab/>
        <w:t>- 1,5 kg/m</w:t>
      </w:r>
      <w:r w:rsidRPr="001565C9">
        <w:rPr>
          <w:rFonts w:ascii="Arial Narrow" w:eastAsia="Times New Roman" w:hAnsi="Arial Narrow" w:cs="Times New Roman"/>
          <w:sz w:val="20"/>
          <w:szCs w:val="20"/>
          <w:vertAlign w:val="superscript"/>
          <w:lang w:eastAsia="pl-PL"/>
        </w:rPr>
        <w:t>2</w:t>
      </w:r>
      <w:r w:rsidRPr="001565C9">
        <w:rPr>
          <w:rFonts w:ascii="Arial Narrow" w:eastAsia="Times New Roman" w:hAnsi="Arial Narrow" w:cs="Times New Roman"/>
          <w:sz w:val="20"/>
          <w:szCs w:val="20"/>
          <w:lang w:eastAsia="pl-PL"/>
        </w:rPr>
        <w:t xml:space="preserve"> </w:t>
      </w:r>
    </w:p>
    <w:p w14:paraId="31106FC9" w14:textId="77777777" w:rsidR="001565C9" w:rsidRPr="001565C9" w:rsidRDefault="001565C9" w:rsidP="00AD6DA2">
      <w:pPr>
        <w:numPr>
          <w:ilvl w:val="0"/>
          <w:numId w:val="53"/>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krawędzie zewnętrzne  </w:t>
      </w:r>
      <w:r w:rsidRPr="001565C9">
        <w:rPr>
          <w:rFonts w:ascii="Arial Narrow" w:eastAsia="Times New Roman" w:hAnsi="Arial Narrow" w:cs="Times New Roman"/>
          <w:sz w:val="20"/>
          <w:szCs w:val="20"/>
          <w:lang w:eastAsia="pl-PL"/>
        </w:rPr>
        <w:tab/>
        <w:t>- 4 kg/m</w:t>
      </w:r>
      <w:r w:rsidRPr="001565C9">
        <w:rPr>
          <w:rFonts w:ascii="Arial Narrow" w:eastAsia="Times New Roman" w:hAnsi="Arial Narrow" w:cs="Times New Roman"/>
          <w:sz w:val="20"/>
          <w:szCs w:val="20"/>
          <w:vertAlign w:val="superscript"/>
          <w:lang w:eastAsia="pl-PL"/>
        </w:rPr>
        <w:t>2</w:t>
      </w:r>
      <w:r w:rsidRPr="001565C9">
        <w:rPr>
          <w:rFonts w:ascii="Arial Narrow" w:eastAsia="Times New Roman" w:hAnsi="Arial Narrow" w:cs="Times New Roman"/>
          <w:sz w:val="20"/>
          <w:szCs w:val="20"/>
          <w:lang w:eastAsia="pl-PL"/>
        </w:rPr>
        <w:t xml:space="preserve">, </w:t>
      </w:r>
    </w:p>
    <w:p w14:paraId="5E9D4E2E"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zgodnie z rys. 1 pkt. 7.7 WT-2 2016 – część II. </w:t>
      </w:r>
    </w:p>
    <w:p w14:paraId="53CD2495"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 przypadku nawierzchni o dwustronnym nachyleniu (przekrój daszkowy)  decyzję o potrzebie i sposobie uszczelnienia krawędzi zewnętrznych podejmie Projektant w uzgodnieniu z Zamawiającym. </w:t>
      </w:r>
    </w:p>
    <w:p w14:paraId="00015B39" w14:textId="77777777" w:rsidR="001565C9" w:rsidRPr="001565C9" w:rsidRDefault="001565C9" w:rsidP="001565C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1565C9">
        <w:rPr>
          <w:rFonts w:ascii="Arial Narrow" w:eastAsia="Times New Roman" w:hAnsi="Arial Narrow" w:cs="Times New Roman"/>
          <w:b/>
          <w:caps/>
          <w:kern w:val="28"/>
          <w:sz w:val="28"/>
          <w:szCs w:val="20"/>
          <w:lang w:val="x-none" w:eastAsia="x-none"/>
        </w:rPr>
        <w:t xml:space="preserve">6. KONTROLA JAKOŚCI ROBÓT </w:t>
      </w:r>
    </w:p>
    <w:p w14:paraId="4F154D2F"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6.1. Ogólne wymagania dotyczące kontroli jakości robót </w:t>
      </w:r>
    </w:p>
    <w:p w14:paraId="7F3ED5BE"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Ogólne zasady kontroli jakości robót podano w D-M-00.00.00 „Wymagania ogólne” Badania mieszanki mineralno-asfaltowej należy wykonywać zgodnie z normami podanymi w pkt. 8.2.1. WT-2 2014 Nawierzchnie Asfaltowe (Tabela 7, 8, 9 w zależności od kategorii ruchu). </w:t>
      </w:r>
    </w:p>
    <w:p w14:paraId="289AE7A4"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Badania i pomiary dzielą się na: </w:t>
      </w:r>
    </w:p>
    <w:p w14:paraId="59B53DBE"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badania i pomiary Wykonawcy – w ramach własnego nadzoru </w:t>
      </w:r>
    </w:p>
    <w:p w14:paraId="190E8096"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badania i pomiary kontrolne – w ramach nadzoru Zamawiającego. </w:t>
      </w:r>
    </w:p>
    <w:p w14:paraId="5C67B6CF"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 uzasadnionych przypadkach w ramach badań i pomiarów kontrolnych dopuszcza się wykonanie badań i pomiarów kontrolnych dodatkowych i/lub badań i pomiarów arbitrażowych. </w:t>
      </w:r>
    </w:p>
    <w:p w14:paraId="11DD0582"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Badania obejmują: </w:t>
      </w:r>
    </w:p>
    <w:p w14:paraId="67290BB0"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pobranie próbek, </w:t>
      </w:r>
    </w:p>
    <w:p w14:paraId="2CB2595F"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zapakowanie próbek do wysyłki, </w:t>
      </w:r>
    </w:p>
    <w:p w14:paraId="511B63B5"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transport próbek z miejsca pobrania do placówki wykonującej badania, </w:t>
      </w:r>
    </w:p>
    <w:p w14:paraId="22CCFA8F"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przeprowadzenie badania, </w:t>
      </w:r>
    </w:p>
    <w:p w14:paraId="2CB517B1"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sprawozdanie z badań.  </w:t>
      </w:r>
    </w:p>
    <w:p w14:paraId="3A5AAFA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Pomiary obejmują terenową weryfikację cech nawierzchni. </w:t>
      </w:r>
    </w:p>
    <w:p w14:paraId="44125989"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6.2. Badania i pomiary Wykonawcy </w:t>
      </w:r>
    </w:p>
    <w:p w14:paraId="0F01C6DF"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Wykonawca jest zobowiązany do przeprowadzania na bieżąco badań i pomiarów w celu sprawdzania czy jakość wykonanych Robót jest zgodna z postawionymi wymaganiami.  </w:t>
      </w:r>
    </w:p>
    <w:p w14:paraId="5237144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WWiORB. Wyniki badań będą dokumentowane i archiwizowane przez Wykonawcę. Wyniki badań Wykonawca jest zobowiązany przekazywać Inżynierowi/Inspektorowi Nadzoru. </w:t>
      </w:r>
    </w:p>
    <w:p w14:paraId="2611DBA2"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Zakres badań i pomiarów Wykonawcy powinien: </w:t>
      </w:r>
    </w:p>
    <w:p w14:paraId="1623A8A6"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być nie mniejszy niż określony w Zakładowej Kontroli Produkcji dla dostarczanych na budowę materiałów i wyrobów budowlanych - mieszanki mineralno-asfaltowe, kruszywa, lepiszcze, materiały do uszczelnień, itd., </w:t>
      </w:r>
    </w:p>
    <w:p w14:paraId="7109B720"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dla wykonanej warstwy być nie mniejszy niż określony zakres i częstotliwość badań i pomiarów kontrolnych określony w tab. 7.  </w:t>
      </w:r>
    </w:p>
    <w:p w14:paraId="1CC34A20"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Zakres badań Wykonawcy związany z wykonywaniem nawierzchni: </w:t>
      </w:r>
    </w:p>
    <w:p w14:paraId="0AFF7F13"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pomiar temperatury powietrza, </w:t>
      </w:r>
    </w:p>
    <w:p w14:paraId="06BAC064"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pomiar temperatury mieszanki mineralno-asfaltowej podczas wykonywania nawierzchni, </w:t>
      </w:r>
    </w:p>
    <w:p w14:paraId="4573708E"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ocena wizualna mieszanki mineralno-asfaltowej, </w:t>
      </w:r>
    </w:p>
    <w:p w14:paraId="78B1C236"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wykaz ilości materiałów lub grubości wykonanych warstw, </w:t>
      </w:r>
    </w:p>
    <w:p w14:paraId="56748E86"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pomiar spadku poprzecznego poszczególnych warstw asfaltowych, </w:t>
      </w:r>
    </w:p>
    <w:p w14:paraId="508C7CBA"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pomiar równości warstwy podbudowy, </w:t>
      </w:r>
    </w:p>
    <w:p w14:paraId="3899C170"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pomiar rzędnych wysokościowych i pomiary sytuacyjne, </w:t>
      </w:r>
    </w:p>
    <w:p w14:paraId="7D9EC5AB"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badania zagęszczenia warstwy i zawartości wolnej przestrzeni, </w:t>
      </w:r>
    </w:p>
    <w:p w14:paraId="4F12251C"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pomiar sczepności warstw asfaltowych (dotyczy podbudowy układanej w dwóch oddzielnych operacjach technologicznych) </w:t>
      </w:r>
    </w:p>
    <w:p w14:paraId="062683E8"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ocena wizualna jednorodności powierzchni warstwy, </w:t>
      </w:r>
    </w:p>
    <w:p w14:paraId="0E9F21DE"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ocena wizualna jakości wykonania połączeń technologicznych. </w:t>
      </w:r>
    </w:p>
    <w:p w14:paraId="09E2F92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637DD750"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lastRenderedPageBreak/>
        <w:t xml:space="preserve">Tabela 7. Minimalna częstotliwość badań ze strony Wykonawcy dla warstwy podbudowy </w:t>
      </w:r>
    </w:p>
    <w:tbl>
      <w:tblPr>
        <w:tblW w:w="9622" w:type="dxa"/>
        <w:tblInd w:w="125" w:type="dxa"/>
        <w:tblCellMar>
          <w:top w:w="170" w:type="dxa"/>
          <w:bottom w:w="3" w:type="dxa"/>
          <w:right w:w="50" w:type="dxa"/>
        </w:tblCellMar>
        <w:tblLook w:val="04A0" w:firstRow="1" w:lastRow="0" w:firstColumn="1" w:lastColumn="0" w:noHBand="0" w:noVBand="1"/>
      </w:tblPr>
      <w:tblGrid>
        <w:gridCol w:w="614"/>
        <w:gridCol w:w="2593"/>
        <w:gridCol w:w="3155"/>
        <w:gridCol w:w="3260"/>
      </w:tblGrid>
      <w:tr w:rsidR="001565C9" w:rsidRPr="001565C9" w14:paraId="36B4547E" w14:textId="77777777" w:rsidTr="0072451A">
        <w:trPr>
          <w:trHeight w:val="57"/>
        </w:trPr>
        <w:tc>
          <w:tcPr>
            <w:tcW w:w="6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B9F918"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Lp.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95F02D"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Badana cecha </w:t>
            </w:r>
          </w:p>
        </w:tc>
        <w:tc>
          <w:tcPr>
            <w:tcW w:w="31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2BBBE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Metoda </w:t>
            </w:r>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D44052"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Częstotliwość </w:t>
            </w:r>
          </w:p>
        </w:tc>
      </w:tr>
      <w:tr w:rsidR="001565C9" w:rsidRPr="001565C9" w14:paraId="734961B1" w14:textId="77777777" w:rsidTr="0072451A">
        <w:trPr>
          <w:trHeight w:val="57"/>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3F1A4349"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b/>
              </w:rPr>
              <w:t xml:space="preserve">1.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94155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b/>
              </w:rPr>
              <w:t>Zagęszczenie MMA</w:t>
            </w:r>
            <w:r w:rsidRPr="001565C9">
              <w:rPr>
                <w:rFonts w:ascii="Arial Narrow" w:eastAsia="Times New Roman" w:hAnsi="Arial Narrow" w:cs="Times New Roman"/>
              </w:rPr>
              <w:t xml:space="preserve"> oraz zawartość wolnych przestrzeni w warstwie </w:t>
            </w:r>
          </w:p>
        </w:tc>
        <w:tc>
          <w:tcPr>
            <w:tcW w:w="31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04ACC9"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Porównanie gęstości objętościowej referencyjnej do rzeczywistej </w:t>
            </w:r>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657BC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- 2 razy na kilometr każdego pasa ruchu, </w:t>
            </w:r>
          </w:p>
        </w:tc>
      </w:tr>
      <w:tr w:rsidR="001565C9" w:rsidRPr="001565C9" w14:paraId="5762298F" w14:textId="77777777" w:rsidTr="0072451A">
        <w:trPr>
          <w:trHeight w:val="57"/>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6135C7B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b/>
              </w:rPr>
              <w:t xml:space="preserve">2.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3AF65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b/>
              </w:rPr>
              <w:t>Sczepność</w:t>
            </w:r>
            <w:r w:rsidRPr="001565C9">
              <w:rPr>
                <w:rFonts w:ascii="Arial Narrow" w:eastAsia="Times New Roman" w:hAnsi="Arial Narrow" w:cs="Times New Roman"/>
              </w:rPr>
              <w:t xml:space="preserve"> warstw asfaltowych dla dróg KR </w:t>
            </w:r>
          </w:p>
          <w:p w14:paraId="5C0A53E8"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4-7 </w:t>
            </w:r>
          </w:p>
        </w:tc>
        <w:tc>
          <w:tcPr>
            <w:tcW w:w="3155" w:type="dxa"/>
            <w:tcBorders>
              <w:top w:val="single" w:sz="4" w:space="0" w:color="000000"/>
              <w:left w:val="single" w:sz="4" w:space="0" w:color="000000"/>
              <w:bottom w:val="single" w:sz="4" w:space="0" w:color="000000"/>
              <w:right w:val="single" w:sz="4" w:space="0" w:color="000000"/>
            </w:tcBorders>
            <w:shd w:val="clear" w:color="auto" w:fill="auto"/>
          </w:tcPr>
          <w:p w14:paraId="1341CA5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Metoda Leutnera </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5DFD3EE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- 2 razy na kilometr każdego pasa ruchu,</w:t>
            </w:r>
          </w:p>
        </w:tc>
      </w:tr>
      <w:tr w:rsidR="001565C9" w:rsidRPr="001565C9" w14:paraId="64922AF6" w14:textId="77777777" w:rsidTr="0072451A">
        <w:trPr>
          <w:trHeight w:val="57"/>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6BE13B6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b/>
              </w:rPr>
              <w:t xml:space="preserve">3. </w:t>
            </w:r>
          </w:p>
        </w:tc>
        <w:tc>
          <w:tcPr>
            <w:tcW w:w="2593" w:type="dxa"/>
            <w:tcBorders>
              <w:top w:val="single" w:sz="4" w:space="0" w:color="000000"/>
              <w:left w:val="single" w:sz="4" w:space="0" w:color="000000"/>
              <w:bottom w:val="single" w:sz="4" w:space="0" w:color="000000"/>
              <w:right w:val="single" w:sz="4" w:space="0" w:color="000000"/>
            </w:tcBorders>
            <w:shd w:val="clear" w:color="auto" w:fill="auto"/>
          </w:tcPr>
          <w:p w14:paraId="3AB099D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b/>
              </w:rPr>
              <w:t>Grubość</w:t>
            </w:r>
            <w:r w:rsidRPr="001565C9">
              <w:rPr>
                <w:rFonts w:ascii="Arial Narrow" w:eastAsia="Times New Roman" w:hAnsi="Arial Narrow" w:cs="Times New Roman"/>
              </w:rPr>
              <w:t xml:space="preserve"> (grubości poszczególnych warstw i grubość pakietu warstw asfaltowych) </w:t>
            </w:r>
          </w:p>
        </w:tc>
        <w:tc>
          <w:tcPr>
            <w:tcW w:w="31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0A823B"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Rzędne wysokościowe, </w:t>
            </w:r>
          </w:p>
          <w:p w14:paraId="4232E2F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Przymiarem na wyciętych próbach </w:t>
            </w:r>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399C7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nie rzadziej niż co 50 m  </w:t>
            </w:r>
          </w:p>
          <w:p w14:paraId="7E340AF8"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p w14:paraId="2D95BD7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2 razy na kilometr każdego pasa ruchu, </w:t>
            </w:r>
          </w:p>
        </w:tc>
      </w:tr>
      <w:tr w:rsidR="001565C9" w:rsidRPr="001565C9" w14:paraId="1F475FFE" w14:textId="77777777" w:rsidTr="0072451A">
        <w:trPr>
          <w:trHeight w:val="57"/>
        </w:trPr>
        <w:tc>
          <w:tcPr>
            <w:tcW w:w="6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870A1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b/>
              </w:rPr>
              <w:t>4.</w:t>
            </w:r>
            <w:r w:rsidRPr="001565C9">
              <w:rPr>
                <w:rFonts w:ascii="Arial Narrow" w:eastAsia="Times New Roman" w:hAnsi="Arial Narrow" w:cs="Times New Roman"/>
              </w:rPr>
              <w:t xml:space="preserve">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99FAD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b/>
              </w:rPr>
              <w:t>Równość podłużna</w:t>
            </w:r>
            <w:r w:rsidRPr="001565C9">
              <w:rPr>
                <w:rFonts w:ascii="Arial Narrow" w:eastAsia="Times New Roman" w:hAnsi="Arial Narrow" w:cs="Times New Roman"/>
              </w:rPr>
              <w:t xml:space="preserve"> </w:t>
            </w:r>
          </w:p>
        </w:tc>
        <w:tc>
          <w:tcPr>
            <w:tcW w:w="31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3869E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 </w:t>
            </w:r>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42FF42"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 </w:t>
            </w:r>
          </w:p>
        </w:tc>
      </w:tr>
      <w:tr w:rsidR="001565C9" w:rsidRPr="001565C9" w14:paraId="00333287" w14:textId="77777777" w:rsidTr="0072451A">
        <w:trPr>
          <w:trHeight w:val="57"/>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103A650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4.1. </w:t>
            </w:r>
          </w:p>
        </w:tc>
        <w:tc>
          <w:tcPr>
            <w:tcW w:w="2593" w:type="dxa"/>
            <w:tcBorders>
              <w:top w:val="single" w:sz="4" w:space="0" w:color="000000"/>
              <w:left w:val="single" w:sz="4" w:space="0" w:color="000000"/>
              <w:bottom w:val="single" w:sz="4" w:space="0" w:color="000000"/>
              <w:right w:val="single" w:sz="4" w:space="0" w:color="000000"/>
            </w:tcBorders>
            <w:shd w:val="clear" w:color="auto" w:fill="auto"/>
          </w:tcPr>
          <w:p w14:paraId="2B42512D"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Wszystkie klasy dróg </w:t>
            </w:r>
          </w:p>
        </w:tc>
        <w:tc>
          <w:tcPr>
            <w:tcW w:w="31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30F574"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4 metrową łatą i klinem</w:t>
            </w:r>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452F4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 każdy pas układania warstwy w sposób ciągły </w:t>
            </w:r>
          </w:p>
        </w:tc>
      </w:tr>
      <w:tr w:rsidR="001565C9" w:rsidRPr="001565C9" w14:paraId="6DF72CFF" w14:textId="77777777" w:rsidTr="0072451A">
        <w:trPr>
          <w:trHeight w:val="57"/>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47260AF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b/>
              </w:rPr>
              <w:t xml:space="preserve">5. </w:t>
            </w:r>
          </w:p>
        </w:tc>
        <w:tc>
          <w:tcPr>
            <w:tcW w:w="2593" w:type="dxa"/>
            <w:tcBorders>
              <w:top w:val="single" w:sz="4" w:space="0" w:color="000000"/>
              <w:left w:val="single" w:sz="4" w:space="0" w:color="000000"/>
              <w:bottom w:val="single" w:sz="4" w:space="0" w:color="000000"/>
              <w:right w:val="single" w:sz="4" w:space="0" w:color="000000"/>
            </w:tcBorders>
            <w:shd w:val="clear" w:color="auto" w:fill="auto"/>
          </w:tcPr>
          <w:p w14:paraId="197F2F6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b/>
              </w:rPr>
              <w:t xml:space="preserve">Równość poprzeczna </w:t>
            </w:r>
          </w:p>
        </w:tc>
        <w:tc>
          <w:tcPr>
            <w:tcW w:w="31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4A2E7A"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- 2 metrową łatą i pochyłomierzem </w:t>
            </w:r>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E5D0AB"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 każdy pas układania warstwy w sposób ciągły - nie rzadziej niż  </w:t>
            </w:r>
          </w:p>
          <w:p w14:paraId="5A82FB7F"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co 5 m </w:t>
            </w:r>
          </w:p>
        </w:tc>
      </w:tr>
      <w:tr w:rsidR="001565C9" w:rsidRPr="001565C9" w14:paraId="64E00375" w14:textId="77777777" w:rsidTr="0072451A">
        <w:trPr>
          <w:trHeight w:val="57"/>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3E86282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b/>
              </w:rPr>
              <w:t xml:space="preserve">6. </w:t>
            </w:r>
          </w:p>
        </w:tc>
        <w:tc>
          <w:tcPr>
            <w:tcW w:w="2593" w:type="dxa"/>
            <w:tcBorders>
              <w:top w:val="single" w:sz="4" w:space="0" w:color="000000"/>
              <w:left w:val="single" w:sz="4" w:space="0" w:color="000000"/>
              <w:bottom w:val="single" w:sz="4" w:space="0" w:color="000000"/>
              <w:right w:val="single" w:sz="4" w:space="0" w:color="000000"/>
            </w:tcBorders>
            <w:shd w:val="clear" w:color="auto" w:fill="auto"/>
          </w:tcPr>
          <w:p w14:paraId="3BBE264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b/>
              </w:rPr>
              <w:t xml:space="preserve">Spadki poprzeczne </w:t>
            </w:r>
          </w:p>
        </w:tc>
        <w:tc>
          <w:tcPr>
            <w:tcW w:w="31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CF0C52"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- 2 metrową łatą i pochyłomierzem </w:t>
            </w:r>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A1864CF"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50 razy na 1 km dodatkowe pomiary w punktach głównych łuków poziomych </w:t>
            </w:r>
          </w:p>
        </w:tc>
      </w:tr>
      <w:tr w:rsidR="001565C9" w:rsidRPr="001565C9" w14:paraId="0D4263E4" w14:textId="77777777" w:rsidTr="0072451A">
        <w:trPr>
          <w:trHeight w:val="57"/>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00F18A6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b/>
              </w:rPr>
              <w:t xml:space="preserve">7. </w:t>
            </w:r>
          </w:p>
        </w:tc>
        <w:tc>
          <w:tcPr>
            <w:tcW w:w="2593" w:type="dxa"/>
            <w:tcBorders>
              <w:top w:val="single" w:sz="4" w:space="0" w:color="000000"/>
              <w:left w:val="single" w:sz="4" w:space="0" w:color="000000"/>
              <w:bottom w:val="single" w:sz="4" w:space="0" w:color="000000"/>
              <w:right w:val="single" w:sz="4" w:space="0" w:color="000000"/>
            </w:tcBorders>
            <w:shd w:val="clear" w:color="auto" w:fill="auto"/>
          </w:tcPr>
          <w:p w14:paraId="4D58592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b/>
              </w:rPr>
              <w:t xml:space="preserve">Szerokość warstwy </w:t>
            </w:r>
          </w:p>
        </w:tc>
        <w:tc>
          <w:tcPr>
            <w:tcW w:w="3155" w:type="dxa"/>
            <w:tcBorders>
              <w:top w:val="single" w:sz="4" w:space="0" w:color="000000"/>
              <w:left w:val="single" w:sz="4" w:space="0" w:color="000000"/>
              <w:bottom w:val="single" w:sz="4" w:space="0" w:color="000000"/>
              <w:right w:val="single" w:sz="4" w:space="0" w:color="000000"/>
            </w:tcBorders>
            <w:shd w:val="clear" w:color="auto" w:fill="auto"/>
          </w:tcPr>
          <w:p w14:paraId="51611A0A"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Taśmą mierniczą </w:t>
            </w:r>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530D404"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 pomiar co 50 m, na łukach poziomych w punktach  charakterystycznych </w:t>
            </w:r>
          </w:p>
        </w:tc>
      </w:tr>
    </w:tbl>
    <w:p w14:paraId="46FECB6A"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 </w:t>
      </w:r>
    </w:p>
    <w:p w14:paraId="37CE7414"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6.3. Badania i pomiary kontrolne </w:t>
      </w:r>
    </w:p>
    <w:p w14:paraId="0648038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Badania i pomiary kontrolne są zlecane przez Inżyniera/Inspektora Nadzoru, a których celem jest sprawdzenie, czy jakość zastosowanych materiałów i wyrobów budowlanych (mieszanek mineralno-asfaltowych i ich składników, lepiszczy i materiałów do uszczelnień itp.) oraz gotowej warstwy (wbudowane warstwy asfaltowe, połączenia itp.) spełniają wymagania określone w kontrakcie.   </w:t>
      </w:r>
    </w:p>
    <w:p w14:paraId="13BCFB5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Pobieraniem próbek, wykonaniem badań i pomiarów na miejscu budowy zajmuje się Laboratorium Zamawiającego/Inżynier/Inspektor Nadzoru przy udziale lub po poinformowaniu przedstawicieli Wykonawcy. Zamawiający decyduje o wyborze Laboratorium Zamawiającego. </w:t>
      </w:r>
    </w:p>
    <w:p w14:paraId="5403C8AB"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6.4. Badania i pomiary kontrolne dodatkowe </w:t>
      </w:r>
    </w:p>
    <w:p w14:paraId="30363691"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 wypadku uznania, że jeden z wyników badań lub pomiarów kontrolnych nie jest reprezentatywny dla ocenianego odcinka budowy, strony kontraktu mogą wystąpić o przeprowadzenia badań lub pomiarów kontrolnych dodatkowych. Badania kontrolne dodatkowe są wykonywane przez Laboratorium Zamawiającego. </w:t>
      </w:r>
    </w:p>
    <w:p w14:paraId="2AD8287A"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Strony Kontraktu decydują wspólnie o miejscach pobierania próbek i wyznaczeniu odcinków częściowych ocenianego odcinka budowy tzn. dziennej działki roboczej. Jeżeli odcinek częściowy przyporządkowany do badań kontrolnych nie może być jednoznacznie i zgodnie wyznaczony, to odcinek ten nie powinien być mniejszy niż 20% ocenianego odcinka budowy. </w:t>
      </w:r>
    </w:p>
    <w:p w14:paraId="419594F4"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6.5. Badania i pomiary arbitrażowe </w:t>
      </w:r>
    </w:p>
    <w:p w14:paraId="22803D2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Badania i pomiary arbitrażowe są powtórzeniem badań lub pomiarów kontrolnych i/lub kontrolnych dodatkowych, co do których istnieją uzasadnione wątpliwości ze strony Inżyniera/Inspektora Nadzoru, Zamawiającego lub Wykonawcy (np. na podstawie własnych badań). </w:t>
      </w:r>
    </w:p>
    <w:p w14:paraId="2CB75D02"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Badania i pomiary arbitrażowe wykonuje się na wniosek strony kontraktu. Badania i pomiary arbitrażowe wykonuje bezstronne, akredytowane laboratorium , które nie wykonywało badań lub pomiarów kontrolnych, przy udziale lub po poinformowaniu przedstawicieli stron. </w:t>
      </w:r>
    </w:p>
    <w:p w14:paraId="1177ED05"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 przypadku wniosku Wykonawcy zgodę na przeprowadzenie badań i pomiarów arbitrażowych wyraża Inżynier/Inspektor Nadzoru po wcześniejszej analizie zasadności wniosku. Zamawiający akceptuje laboratorium, które przeprowadzi badania lub pomiary arbitrażowe.  </w:t>
      </w:r>
    </w:p>
    <w:p w14:paraId="40CCA3BF"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6.6. Badania i pomiary przed przystąpieniem do robót </w:t>
      </w:r>
    </w:p>
    <w:p w14:paraId="05B2A271"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Przed przystąpieniem do robót Wykonawca powinien przedstawić Inżynierowi/Inspektorowi Nadzoru do akceptacji źródła poboru kruszyw oraz wszystkich dodatkowych materiałów, dołączając wszystkie dokumenty potwierdzające jakość materiałów składowych. </w:t>
      </w:r>
    </w:p>
    <w:p w14:paraId="310E8A8A"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lastRenderedPageBreak/>
        <w:t xml:space="preserve">6.7. Badania w czasie robót </w:t>
      </w:r>
    </w:p>
    <w:p w14:paraId="15E5A089"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1565C9">
        <w:rPr>
          <w:rFonts w:ascii="Arial Narrow" w:eastAsia="Times New Roman" w:hAnsi="Arial Narrow" w:cs="Times New Roman"/>
          <w:b/>
          <w:sz w:val="20"/>
          <w:szCs w:val="20"/>
          <w:lang w:eastAsia="pl-PL"/>
        </w:rPr>
        <w:t xml:space="preserve">6.7.1. Zawartość lepiszcza rozpuszczalnego </w:t>
      </w:r>
    </w:p>
    <w:p w14:paraId="254C576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Badanie polega na wykonaniu ekstrakcji lepiszcza, zgodnie PN-EN 12697-1, z próbki pobranej z mieszanki mineralno-asfaltowej.  </w:t>
      </w:r>
    </w:p>
    <w:p w14:paraId="7CC2B82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Jakości wbudowanej mieszanki mineralno-asfaltowej należy ocenić na podstawie: </w:t>
      </w:r>
    </w:p>
    <w:p w14:paraId="551F9BEA" w14:textId="77777777" w:rsidR="001565C9" w:rsidRPr="001565C9" w:rsidRDefault="001565C9" w:rsidP="00AD6DA2">
      <w:pPr>
        <w:numPr>
          <w:ilvl w:val="0"/>
          <w:numId w:val="54"/>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wielkości odchyłki obliczonej dla wartości średniej (średnia arytmetyczna wszystkich wyników z całej drogi dla danego typu MMA i danej warstwy asfaltowej) z dokładnością do 0,01 %, </w:t>
      </w:r>
    </w:p>
    <w:p w14:paraId="38AD41A4" w14:textId="77777777" w:rsidR="001565C9" w:rsidRPr="001565C9" w:rsidRDefault="001565C9" w:rsidP="00AD6DA2">
      <w:pPr>
        <w:numPr>
          <w:ilvl w:val="0"/>
          <w:numId w:val="54"/>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wielkości odchyłki obliczonej dla pojedynczego wyniku (próbki) z dokładnością do 0,1 %. </w:t>
      </w:r>
    </w:p>
    <w:p w14:paraId="69BBFE0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Wyżej wymienione kryteria należy stosować jednocześnie</w:t>
      </w:r>
      <w:r w:rsidRPr="001565C9">
        <w:rPr>
          <w:rFonts w:ascii="Arial Narrow" w:eastAsia="Times New Roman" w:hAnsi="Arial Narrow" w:cs="Times New Roman"/>
          <w:sz w:val="20"/>
          <w:szCs w:val="20"/>
          <w:lang w:eastAsia="pl-PL"/>
        </w:rPr>
        <w:t xml:space="preserve"> (oba podlegają ocenie jakości MMA). </w:t>
      </w:r>
    </w:p>
    <w:p w14:paraId="6C0E31E1"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i/>
          <w:sz w:val="20"/>
          <w:szCs w:val="20"/>
          <w:lang w:eastAsia="pl-PL"/>
        </w:rPr>
        <w:t xml:space="preserve">Odchyłka jest to różnica wartości bezwzględnej pomiędzy procentową zawartością lepiszcza rozpuszczalnego uzyskaną z badań laboratoryjnych a procentową zawartością lepiszcza rozpuszczalnego podaną w Badaniu Typu (%). </w:t>
      </w:r>
    </w:p>
    <w:p w14:paraId="779C79EC"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Tabela 8. Dopuszczalne odchyłki do odbioru dla </w:t>
      </w:r>
      <w:r w:rsidRPr="001565C9">
        <w:rPr>
          <w:rFonts w:ascii="Arial Narrow" w:eastAsia="Times New Roman" w:hAnsi="Arial Narrow" w:cs="Times New Roman"/>
          <w:sz w:val="20"/>
          <w:szCs w:val="20"/>
          <w:u w:val="single"/>
          <w:lang w:eastAsia="pl-PL"/>
        </w:rPr>
        <w:t>wartości średniej</w:t>
      </w:r>
      <w:r w:rsidRPr="001565C9">
        <w:rPr>
          <w:rFonts w:ascii="Arial Narrow" w:eastAsia="Times New Roman" w:hAnsi="Arial Narrow" w:cs="Times New Roman"/>
          <w:sz w:val="20"/>
          <w:szCs w:val="20"/>
          <w:lang w:eastAsia="pl-PL"/>
        </w:rPr>
        <w:t xml:space="preserve"> policzonej z dokładnością do 0,01 % </w:t>
      </w:r>
    </w:p>
    <w:tbl>
      <w:tblPr>
        <w:tblW w:w="8932" w:type="dxa"/>
        <w:tblInd w:w="84" w:type="dxa"/>
        <w:tblCellMar>
          <w:left w:w="0" w:type="dxa"/>
          <w:right w:w="83" w:type="dxa"/>
        </w:tblCellMar>
        <w:tblLook w:val="04A0" w:firstRow="1" w:lastRow="0" w:firstColumn="1" w:lastColumn="0" w:noHBand="0" w:noVBand="1"/>
      </w:tblPr>
      <w:tblGrid>
        <w:gridCol w:w="3828"/>
        <w:gridCol w:w="2552"/>
        <w:gridCol w:w="2552"/>
      </w:tblGrid>
      <w:tr w:rsidR="001565C9" w:rsidRPr="001565C9" w14:paraId="6DEBEE5E" w14:textId="77777777" w:rsidTr="0072451A">
        <w:trPr>
          <w:trHeight w:val="528"/>
        </w:trPr>
        <w:tc>
          <w:tcPr>
            <w:tcW w:w="382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8FE563C"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Oceniany parametr </w:t>
            </w: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03F0D3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Wielkość odchyłki dla wartości średniej ; % </w:t>
            </w:r>
          </w:p>
        </w:tc>
      </w:tr>
      <w:tr w:rsidR="001565C9" w:rsidRPr="001565C9" w14:paraId="7D0E3450" w14:textId="77777777" w:rsidTr="0072451A">
        <w:trPr>
          <w:trHeight w:val="531"/>
        </w:trPr>
        <w:tc>
          <w:tcPr>
            <w:tcW w:w="0" w:type="auto"/>
            <w:vMerge/>
            <w:tcBorders>
              <w:top w:val="nil"/>
              <w:left w:val="single" w:sz="4" w:space="0" w:color="000000"/>
              <w:bottom w:val="nil"/>
              <w:right w:val="single" w:sz="4" w:space="0" w:color="000000"/>
            </w:tcBorders>
            <w:shd w:val="clear" w:color="auto" w:fill="auto"/>
          </w:tcPr>
          <w:p w14:paraId="0F248D1A"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845E92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AC </w:t>
            </w:r>
          </w:p>
        </w:tc>
      </w:tr>
      <w:tr w:rsidR="001565C9" w:rsidRPr="001565C9" w14:paraId="00AC0B61" w14:textId="77777777" w:rsidTr="0072451A">
        <w:trPr>
          <w:trHeight w:val="530"/>
        </w:trPr>
        <w:tc>
          <w:tcPr>
            <w:tcW w:w="0" w:type="auto"/>
            <w:vMerge/>
            <w:tcBorders>
              <w:top w:val="nil"/>
              <w:left w:val="single" w:sz="4" w:space="0" w:color="000000"/>
              <w:bottom w:val="single" w:sz="4" w:space="0" w:color="000000"/>
              <w:right w:val="single" w:sz="4" w:space="0" w:color="000000"/>
            </w:tcBorders>
            <w:shd w:val="clear" w:color="auto" w:fill="auto"/>
          </w:tcPr>
          <w:p w14:paraId="24F9D54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77D42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KR3÷KR7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1250A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KR1÷KR2 </w:t>
            </w:r>
          </w:p>
        </w:tc>
      </w:tr>
      <w:tr w:rsidR="001565C9" w:rsidRPr="001565C9" w14:paraId="0AFC26BC" w14:textId="77777777" w:rsidTr="0072451A">
        <w:trPr>
          <w:trHeight w:val="809"/>
        </w:trPr>
        <w:tc>
          <w:tcPr>
            <w:tcW w:w="38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3D486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zawartość lepiszcza rozpuszczalnego S </w:t>
            </w:r>
          </w:p>
          <w:p w14:paraId="410E774C"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 niedomiar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037D8B"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0,15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41CA8"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0,20  </w:t>
            </w:r>
          </w:p>
        </w:tc>
      </w:tr>
      <w:tr w:rsidR="001565C9" w:rsidRPr="001565C9" w14:paraId="200E7A9D" w14:textId="77777777" w:rsidTr="0072451A">
        <w:trPr>
          <w:trHeight w:val="809"/>
        </w:trPr>
        <w:tc>
          <w:tcPr>
            <w:tcW w:w="38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66BBA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zawartość lepiszcza rozpuszczalnego S </w:t>
            </w:r>
          </w:p>
          <w:p w14:paraId="2E391EAD"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 nadmiar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5AB11B"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0,20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4945FB"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0,20  </w:t>
            </w:r>
          </w:p>
        </w:tc>
      </w:tr>
    </w:tbl>
    <w:p w14:paraId="66829700"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 </w:t>
      </w:r>
    </w:p>
    <w:p w14:paraId="3AE7BD28"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Tabela 9. Dopuszczalne odchyłki do odbioru </w:t>
      </w:r>
      <w:r w:rsidRPr="001565C9">
        <w:rPr>
          <w:rFonts w:ascii="Arial Narrow" w:eastAsia="Times New Roman" w:hAnsi="Arial Narrow" w:cs="Times New Roman"/>
          <w:sz w:val="20"/>
          <w:szCs w:val="20"/>
          <w:u w:val="single"/>
          <w:lang w:eastAsia="pl-PL"/>
        </w:rPr>
        <w:t>dla pojedynczego</w:t>
      </w:r>
      <w:r w:rsidRPr="001565C9">
        <w:rPr>
          <w:rFonts w:ascii="Arial Narrow" w:eastAsia="Times New Roman" w:hAnsi="Arial Narrow" w:cs="Times New Roman"/>
          <w:sz w:val="20"/>
          <w:szCs w:val="20"/>
          <w:lang w:eastAsia="pl-PL"/>
        </w:rPr>
        <w:t xml:space="preserve"> wyniku określonego z dokładnością do 0,1 % </w:t>
      </w:r>
    </w:p>
    <w:tbl>
      <w:tblPr>
        <w:tblW w:w="8932" w:type="dxa"/>
        <w:tblInd w:w="84" w:type="dxa"/>
        <w:tblCellMar>
          <w:left w:w="144" w:type="dxa"/>
          <w:right w:w="74" w:type="dxa"/>
        </w:tblCellMar>
        <w:tblLook w:val="04A0" w:firstRow="1" w:lastRow="0" w:firstColumn="1" w:lastColumn="0" w:noHBand="0" w:noVBand="1"/>
      </w:tblPr>
      <w:tblGrid>
        <w:gridCol w:w="3829"/>
        <w:gridCol w:w="5103"/>
      </w:tblGrid>
      <w:tr w:rsidR="001565C9" w:rsidRPr="001565C9" w14:paraId="1147824F" w14:textId="77777777" w:rsidTr="0072451A">
        <w:trPr>
          <w:trHeight w:val="531"/>
        </w:trPr>
        <w:tc>
          <w:tcPr>
            <w:tcW w:w="382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7507F6C"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Oceniany parametr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352E8D"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Wielkość odchyłki dla pojedynczego wyniku ; % </w:t>
            </w:r>
          </w:p>
        </w:tc>
      </w:tr>
      <w:tr w:rsidR="001565C9" w:rsidRPr="001565C9" w14:paraId="5514B276" w14:textId="77777777" w:rsidTr="0072451A">
        <w:trPr>
          <w:trHeight w:val="530"/>
        </w:trPr>
        <w:tc>
          <w:tcPr>
            <w:tcW w:w="0" w:type="auto"/>
            <w:vMerge/>
            <w:tcBorders>
              <w:top w:val="nil"/>
              <w:left w:val="single" w:sz="4" w:space="0" w:color="000000"/>
              <w:bottom w:val="nil"/>
              <w:right w:val="single" w:sz="4" w:space="0" w:color="000000"/>
            </w:tcBorders>
            <w:shd w:val="clear" w:color="auto" w:fill="auto"/>
          </w:tcPr>
          <w:p w14:paraId="7F5ED52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2546A9"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AC  </w:t>
            </w:r>
          </w:p>
        </w:tc>
      </w:tr>
      <w:tr w:rsidR="001565C9" w:rsidRPr="001565C9" w14:paraId="47FEAC85" w14:textId="77777777" w:rsidTr="0072451A">
        <w:trPr>
          <w:trHeight w:val="528"/>
        </w:trPr>
        <w:tc>
          <w:tcPr>
            <w:tcW w:w="0" w:type="auto"/>
            <w:vMerge/>
            <w:tcBorders>
              <w:top w:val="nil"/>
              <w:left w:val="single" w:sz="4" w:space="0" w:color="000000"/>
              <w:bottom w:val="single" w:sz="4" w:space="0" w:color="000000"/>
              <w:right w:val="single" w:sz="4" w:space="0" w:color="000000"/>
            </w:tcBorders>
            <w:shd w:val="clear" w:color="auto" w:fill="auto"/>
          </w:tcPr>
          <w:p w14:paraId="160F367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A8D4F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KR1÷KR7 </w:t>
            </w:r>
          </w:p>
        </w:tc>
      </w:tr>
      <w:tr w:rsidR="001565C9" w:rsidRPr="001565C9" w14:paraId="02A9E3E6" w14:textId="77777777" w:rsidTr="0072451A">
        <w:trPr>
          <w:trHeight w:val="809"/>
        </w:trPr>
        <w:tc>
          <w:tcPr>
            <w:tcW w:w="38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2D4B4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Zawartość lepiszcza rozpuszczalnego S - niedomiar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AD97EB"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0,3 </w:t>
            </w:r>
          </w:p>
        </w:tc>
      </w:tr>
      <w:tr w:rsidR="001565C9" w:rsidRPr="001565C9" w14:paraId="6E745926" w14:textId="77777777" w:rsidTr="0072451A">
        <w:trPr>
          <w:trHeight w:val="811"/>
        </w:trPr>
        <w:tc>
          <w:tcPr>
            <w:tcW w:w="38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9893A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Zawartość lepiszcza rozpuszczalnego S - nadmiar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64F769"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0,3 </w:t>
            </w:r>
          </w:p>
        </w:tc>
      </w:tr>
    </w:tbl>
    <w:p w14:paraId="008CF720"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 przypadku przekroczenia wielkości dopuszczalnych odchyłek dla wartości średniej  i dla pojedynczego wyniku w zakresie zawartości lepiszcza rozpuszczalnego należy postępować zgodnie z Instrukcją DP-T14 </w:t>
      </w:r>
      <w:r w:rsidRPr="001565C9">
        <w:rPr>
          <w:rFonts w:ascii="Arial Narrow" w:eastAsia="Times New Roman" w:hAnsi="Arial Narrow" w:cs="Times New Roman"/>
          <w:i/>
          <w:sz w:val="20"/>
          <w:szCs w:val="20"/>
          <w:lang w:eastAsia="pl-PL"/>
        </w:rPr>
        <w:t>Ocena jakości na drogach krajowych. Część I-Roboty drogowe. 2017</w:t>
      </w:r>
      <w:r w:rsidRPr="001565C9">
        <w:rPr>
          <w:rFonts w:ascii="Arial Narrow" w:eastAsia="Times New Roman" w:hAnsi="Arial Narrow" w:cs="Times New Roman"/>
          <w:sz w:val="20"/>
          <w:szCs w:val="20"/>
          <w:lang w:eastAsia="pl-PL"/>
        </w:rPr>
        <w:t xml:space="preserve">. </w:t>
      </w:r>
    </w:p>
    <w:p w14:paraId="3AF144E4"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6.7.2. Uziarnienie mieszanki mineralnej </w:t>
      </w:r>
    </w:p>
    <w:p w14:paraId="54ECB67F"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 wykonaniu ekstrakcji lepiszcza należy przeprowadzić kontrolę uziarnienia mieszanki kruszywa mineralnego wg PN-EN 12697-2.  </w:t>
      </w:r>
    </w:p>
    <w:p w14:paraId="1821F903"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Jakości mieszanki mineralnej należy ocenić na podstawie: </w:t>
      </w:r>
    </w:p>
    <w:p w14:paraId="6A5A9784" w14:textId="77777777" w:rsidR="001565C9" w:rsidRPr="001565C9" w:rsidRDefault="001565C9" w:rsidP="00AD6DA2">
      <w:pPr>
        <w:numPr>
          <w:ilvl w:val="0"/>
          <w:numId w:val="55"/>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wielkości odchyłki obliczonej dla wartości średniej (średnia arytmetyczna wszystkich wyników z całej drogi dla danego typu MMA i danej warstwy asfaltowej) z dokładnością do 0,1 % </w:t>
      </w:r>
    </w:p>
    <w:p w14:paraId="3073A255" w14:textId="77777777" w:rsidR="001565C9" w:rsidRPr="001565C9" w:rsidRDefault="001565C9" w:rsidP="00AD6DA2">
      <w:pPr>
        <w:numPr>
          <w:ilvl w:val="0"/>
          <w:numId w:val="55"/>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wielkości odchyłki obliczonej dla pojedynczego wyniku (próbki) z dokładnością do 0,1 % dla sita 0,063mm i z dokładnością do 1 % dla pozostałych sit. </w:t>
      </w:r>
    </w:p>
    <w:p w14:paraId="5F2768A0"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b/>
          <w:sz w:val="20"/>
          <w:szCs w:val="20"/>
          <w:lang w:eastAsia="pl-PL"/>
        </w:rPr>
        <w:t>Wyżej wymienione kryteria należy stosować jednocześnie</w:t>
      </w:r>
      <w:r w:rsidRPr="001565C9">
        <w:rPr>
          <w:rFonts w:ascii="Arial Narrow" w:eastAsia="Times New Roman" w:hAnsi="Arial Narrow" w:cs="Times New Roman"/>
          <w:sz w:val="20"/>
          <w:szCs w:val="20"/>
          <w:lang w:eastAsia="pl-PL"/>
        </w:rPr>
        <w:t xml:space="preserve"> (oba podlegają ocenie jakości MMA). </w:t>
      </w:r>
    </w:p>
    <w:p w14:paraId="05E5A27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i/>
          <w:sz w:val="20"/>
          <w:szCs w:val="20"/>
          <w:lang w:eastAsia="pl-PL"/>
        </w:rPr>
        <w:t xml:space="preserve">Odchyłka jest to różnica wartości bezwzględnej pomiędzy procentową zawartością ziaren w wyekstrahowanej mieszance mineralnej uzyskaną z badań laboratoryjnych a procentową zawartością ziaren w mieszance mineralnej podaną w Badaniu Typu (%). </w:t>
      </w:r>
    </w:p>
    <w:p w14:paraId="55973926"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Dopuszczalne odchyłki w zakresie uziarnienia podano w tabeli 10. </w:t>
      </w:r>
    </w:p>
    <w:p w14:paraId="2578594C"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Tabela 10. Dopuszczalne odchyłki w zakresie uziarnienia. </w:t>
      </w:r>
    </w:p>
    <w:tbl>
      <w:tblPr>
        <w:tblW w:w="8956" w:type="dxa"/>
        <w:tblInd w:w="125" w:type="dxa"/>
        <w:tblCellMar>
          <w:top w:w="174" w:type="dxa"/>
          <w:left w:w="115" w:type="dxa"/>
          <w:right w:w="55" w:type="dxa"/>
        </w:tblCellMar>
        <w:tblLook w:val="04A0" w:firstRow="1" w:lastRow="0" w:firstColumn="1" w:lastColumn="0" w:noHBand="0" w:noVBand="1"/>
      </w:tblPr>
      <w:tblGrid>
        <w:gridCol w:w="2287"/>
        <w:gridCol w:w="2189"/>
        <w:gridCol w:w="2168"/>
        <w:gridCol w:w="2312"/>
      </w:tblGrid>
      <w:tr w:rsidR="001565C9" w:rsidRPr="001565C9" w14:paraId="7D5840CD" w14:textId="77777777" w:rsidTr="0072451A">
        <w:trPr>
          <w:trHeight w:val="554"/>
        </w:trPr>
        <w:tc>
          <w:tcPr>
            <w:tcW w:w="2287"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1506811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Przechodzi przez sito #, mm </w:t>
            </w:r>
          </w:p>
        </w:tc>
        <w:tc>
          <w:tcPr>
            <w:tcW w:w="4357" w:type="dxa"/>
            <w:gridSpan w:val="2"/>
            <w:tcBorders>
              <w:top w:val="single" w:sz="4" w:space="0" w:color="000000"/>
              <w:left w:val="single" w:sz="4" w:space="0" w:color="000000"/>
              <w:bottom w:val="single" w:sz="4" w:space="0" w:color="000000"/>
              <w:right w:val="single" w:sz="4" w:space="0" w:color="000000"/>
            </w:tcBorders>
            <w:shd w:val="clear" w:color="auto" w:fill="auto"/>
          </w:tcPr>
          <w:p w14:paraId="35923574"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Odchyłki dopuszczalne dla pojedynczego wyniku, %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197988"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Odchyłki dopuszczalne dla wartości średniej, % </w:t>
            </w:r>
          </w:p>
        </w:tc>
      </w:tr>
      <w:tr w:rsidR="001565C9" w:rsidRPr="001565C9" w14:paraId="78D4F5DA" w14:textId="77777777" w:rsidTr="0072451A">
        <w:trPr>
          <w:trHeight w:val="90"/>
        </w:trPr>
        <w:tc>
          <w:tcPr>
            <w:tcW w:w="0" w:type="auto"/>
            <w:vMerge/>
            <w:tcBorders>
              <w:top w:val="nil"/>
              <w:left w:val="single" w:sz="4" w:space="0" w:color="000000"/>
              <w:bottom w:val="single" w:sz="4" w:space="0" w:color="000000"/>
              <w:right w:val="single" w:sz="4" w:space="0" w:color="000000"/>
            </w:tcBorders>
            <w:shd w:val="clear" w:color="auto" w:fill="auto"/>
          </w:tcPr>
          <w:p w14:paraId="3DBAF5FA"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7B5B4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KR 3-7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68818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KR 1-2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3D6192"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KR 1-7 </w:t>
            </w:r>
          </w:p>
        </w:tc>
      </w:tr>
      <w:tr w:rsidR="001565C9" w:rsidRPr="001565C9" w14:paraId="1CFFEE09" w14:textId="77777777" w:rsidTr="0072451A">
        <w:trPr>
          <w:trHeight w:val="270"/>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E8A7E8"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0,063 </w:t>
            </w: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7E1E9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2,5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67456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3,0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DDE75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1,5 </w:t>
            </w:r>
          </w:p>
        </w:tc>
      </w:tr>
      <w:tr w:rsidR="001565C9" w:rsidRPr="001565C9" w14:paraId="0DD20BC2" w14:textId="77777777" w:rsidTr="0072451A">
        <w:trPr>
          <w:trHeight w:val="39"/>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5BA06B"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0,125 </w:t>
            </w: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25F7D8"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4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A2048A"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5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9511A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2,0 </w:t>
            </w:r>
          </w:p>
        </w:tc>
      </w:tr>
      <w:tr w:rsidR="001565C9" w:rsidRPr="001565C9" w14:paraId="79E3E032" w14:textId="77777777" w:rsidTr="0072451A">
        <w:trPr>
          <w:trHeight w:val="31"/>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19C2C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2 </w:t>
            </w: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523A1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5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8A559F"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6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039E7C"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3,0 </w:t>
            </w:r>
          </w:p>
        </w:tc>
      </w:tr>
      <w:tr w:rsidR="001565C9" w:rsidRPr="001565C9" w14:paraId="1286863C" w14:textId="77777777" w:rsidTr="0072451A">
        <w:trPr>
          <w:trHeight w:val="279"/>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1CE69C"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D/2 lub sito charakterystycze </w:t>
            </w:r>
          </w:p>
        </w:tc>
        <w:tc>
          <w:tcPr>
            <w:tcW w:w="2189" w:type="dxa"/>
            <w:tcBorders>
              <w:top w:val="single" w:sz="4" w:space="0" w:color="000000"/>
              <w:left w:val="single" w:sz="4" w:space="0" w:color="000000"/>
              <w:bottom w:val="single" w:sz="4" w:space="0" w:color="000000"/>
              <w:right w:val="single" w:sz="4" w:space="0" w:color="000000"/>
            </w:tcBorders>
            <w:shd w:val="clear" w:color="auto" w:fill="auto"/>
          </w:tcPr>
          <w:p w14:paraId="0DC7BFAC"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6 </w:t>
            </w:r>
          </w:p>
        </w:tc>
        <w:tc>
          <w:tcPr>
            <w:tcW w:w="2168" w:type="dxa"/>
            <w:tcBorders>
              <w:top w:val="single" w:sz="4" w:space="0" w:color="000000"/>
              <w:left w:val="single" w:sz="4" w:space="0" w:color="000000"/>
              <w:bottom w:val="single" w:sz="4" w:space="0" w:color="000000"/>
              <w:right w:val="single" w:sz="4" w:space="0" w:color="000000"/>
            </w:tcBorders>
            <w:shd w:val="clear" w:color="auto" w:fill="auto"/>
          </w:tcPr>
          <w:p w14:paraId="4310EA8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7 </w:t>
            </w:r>
          </w:p>
        </w:tc>
        <w:tc>
          <w:tcPr>
            <w:tcW w:w="2312" w:type="dxa"/>
            <w:tcBorders>
              <w:top w:val="single" w:sz="4" w:space="0" w:color="000000"/>
              <w:left w:val="single" w:sz="4" w:space="0" w:color="000000"/>
              <w:bottom w:val="single" w:sz="4" w:space="0" w:color="000000"/>
              <w:right w:val="single" w:sz="4" w:space="0" w:color="000000"/>
            </w:tcBorders>
            <w:shd w:val="clear" w:color="auto" w:fill="auto"/>
          </w:tcPr>
          <w:p w14:paraId="7B01E3A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4,0 </w:t>
            </w:r>
          </w:p>
        </w:tc>
      </w:tr>
      <w:tr w:rsidR="001565C9" w:rsidRPr="001565C9" w14:paraId="0ED92969" w14:textId="77777777" w:rsidTr="0072451A">
        <w:trPr>
          <w:trHeight w:val="31"/>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D8714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D </w:t>
            </w: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7DB31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7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4B4E99"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8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12F8A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5,0 </w:t>
            </w:r>
          </w:p>
        </w:tc>
      </w:tr>
    </w:tbl>
    <w:p w14:paraId="3C164A5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Wymagania dotyczące udziału kruszywa grubego, drobnego i wypełniacza powinny być spełnione jednocześnie. </w:t>
      </w:r>
    </w:p>
    <w:p w14:paraId="3E2F5B2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 przypadku przekroczenia wielkości dopuszczalnych odchyłek dla wartości średniej  w zakresie uziarnienia należy postępować zgodnie z Instrukcją DP-T14 </w:t>
      </w:r>
      <w:r w:rsidRPr="001565C9">
        <w:rPr>
          <w:rFonts w:ascii="Arial Narrow" w:eastAsia="Times New Roman" w:hAnsi="Arial Narrow" w:cs="Times New Roman"/>
          <w:i/>
          <w:sz w:val="20"/>
          <w:szCs w:val="20"/>
          <w:lang w:eastAsia="pl-PL"/>
        </w:rPr>
        <w:t xml:space="preserve">Ocena jakości na drogach krajowych. Część I-Roboty drogowe. 2017. </w:t>
      </w:r>
    </w:p>
    <w:p w14:paraId="39C8B5B2"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Dla kryterium dotyczącego pojedynczego wyniku nie stosuje się potrąceń – należy je spełnić wg wyżej wymienionych wymagań. </w:t>
      </w:r>
    </w:p>
    <w:p w14:paraId="63EF2EED"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6.7.3. Zawartość wolnych przestrzeni w mieszance MMA </w:t>
      </w:r>
    </w:p>
    <w:p w14:paraId="69E81BF4"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Zawartość wolnych przestrzeni w próbkach Marshalla oblicza się zgodnie z PN-EN 126978. Zawartość wolnych przestrzeni nie może przekroczyć wartości podanych w WT-2 2014 Tabela 7, 8, 9 w zależności od kategorii ruchu. </w:t>
      </w:r>
    </w:p>
    <w:p w14:paraId="08854206"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6.7.4. Pomiar grubości warstwy wg PN-EN 12697-36 </w:t>
      </w:r>
    </w:p>
    <w:p w14:paraId="7B42A69C"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Grubości wykonanej warstwy należy określać na wyciętych próbkach (nie wycinać próbek na obiektach mostowych wiertnicą mechaniczną) lub metodą elektromagnetyczną z częstotliwością określoną w tab. 7. Sposób oceny grubości warstwy i pakietu warstw należy dokonać zgodnie  WT-2 2016 – część II pkt 8.2 i Instrukcją DP-T14 pkt. 2.3.  </w:t>
      </w:r>
    </w:p>
    <w:p w14:paraId="46FEA4FC"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Grubości warstwy należy ocenić na podstawie wielkości odchyłki obliczonej dla: </w:t>
      </w:r>
    </w:p>
    <w:p w14:paraId="320C2A32" w14:textId="77777777" w:rsidR="001565C9" w:rsidRPr="001565C9" w:rsidRDefault="001565C9" w:rsidP="00AD6DA2">
      <w:pPr>
        <w:numPr>
          <w:ilvl w:val="0"/>
          <w:numId w:val="56"/>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pojedynczego wyniku pomiaru grubości warstwy i pakietu warstw asfaltowych, </w:t>
      </w:r>
    </w:p>
    <w:p w14:paraId="17BB810E" w14:textId="77777777" w:rsidR="001565C9" w:rsidRPr="001565C9" w:rsidRDefault="001565C9" w:rsidP="00AD6DA2">
      <w:pPr>
        <w:numPr>
          <w:ilvl w:val="0"/>
          <w:numId w:val="56"/>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wartości średniej ze wszystkich pomiarów grubości danej warstwy i wartości średniej pomiarów pakietu warstw asfaltowych. </w:t>
      </w:r>
    </w:p>
    <w:p w14:paraId="0F52B51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Odchyłka w zakresie grubości danej warstwy lub pakietu warstw z mieszanek mineralnoasfaltowych jest to procentowe </w:t>
      </w:r>
      <w:r w:rsidRPr="001565C9">
        <w:rPr>
          <w:rFonts w:ascii="Arial Narrow" w:eastAsia="Times New Roman" w:hAnsi="Arial Narrow" w:cs="Times New Roman"/>
          <w:b/>
          <w:sz w:val="20"/>
          <w:szCs w:val="20"/>
          <w:lang w:eastAsia="pl-PL"/>
        </w:rPr>
        <w:t>przekroczenie w dół</w:t>
      </w:r>
      <w:r w:rsidRPr="001565C9">
        <w:rPr>
          <w:rFonts w:ascii="Arial Narrow" w:eastAsia="Times New Roman" w:hAnsi="Arial Narrow" w:cs="Times New Roman"/>
          <w:sz w:val="20"/>
          <w:szCs w:val="20"/>
          <w:lang w:eastAsia="pl-PL"/>
        </w:rPr>
        <w:t xml:space="preserve"> projektowanej grubości warstwy lub pakietu i obliczona wg pkt 2.3. Instrukcji DP-T14 2017 – część I z dokładnością do 1%. </w:t>
      </w:r>
    </w:p>
    <w:p w14:paraId="72FA7711"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Tolerancja dla pojedynczego wyniku w zakresie: </w:t>
      </w:r>
    </w:p>
    <w:p w14:paraId="0DB6B21A" w14:textId="77777777" w:rsidR="001565C9" w:rsidRPr="001565C9" w:rsidRDefault="001565C9" w:rsidP="00AD6DA2">
      <w:pPr>
        <w:numPr>
          <w:ilvl w:val="0"/>
          <w:numId w:val="56"/>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grubości warstwy może wynosić 1÷10% grubości projektowanej. </w:t>
      </w:r>
    </w:p>
    <w:p w14:paraId="34DB4AB7" w14:textId="77777777" w:rsidR="001565C9" w:rsidRPr="001565C9" w:rsidRDefault="001565C9" w:rsidP="00AD6DA2">
      <w:pPr>
        <w:numPr>
          <w:ilvl w:val="0"/>
          <w:numId w:val="56"/>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pakietu wszystkich warstw asfaltowych wynosi 0÷10% grubości projektowanej, lecz nie więcej niż 1 cm. </w:t>
      </w:r>
    </w:p>
    <w:p w14:paraId="5BCE1BF4"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Wartość średnia ze wszystkich pomiarów grubości danej warstwy lub pakietu warstw powinna być równa bądź większa w stosunku do grubości przyjętej w projekcie konstrukcji nawierzchni. </w:t>
      </w:r>
    </w:p>
    <w:p w14:paraId="0D1358CE"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 przypadku przekroczenia wartości dopuszczalnych w zakresie grubości należy postępować zgodnie z Instrukcją DP-T 14. </w:t>
      </w:r>
    </w:p>
    <w:p w14:paraId="3A427F4C"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6.7.5. Wskaźnik zagęszczenia warstwy wg PN-EN 13108-20 załącznik C4 </w:t>
      </w:r>
    </w:p>
    <w:p w14:paraId="241A63BF"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Wskaźnik zagęszczenia warstwy należy sprawdzać na próbkach wyciętych z zagęszczonej warstwy z częstością podaną w pkt 6.2. tab. 7. Wskaźnik zagęszczenia nie może być niższy niż 98,0%. Dopuszcza się za zgodą Inżyniera/Inspektora Nadzoru badania zagęszczenia warstwy metodami izotopowymi (zamiennie do cięcia próbek). Metodą referencyjną jest badanie na próbkach wyciętych z zagęszczonej warstwy. Wykonawca wytnie próbki na każde życzenie Inżyniera/Inspektora Nadzoru w miejscach wątpliwych przez niego wskazanych. </w:t>
      </w:r>
    </w:p>
    <w:p w14:paraId="237167C3"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 przypadku jeśli wskaźnik zagęszczenia jest niższy niż 98,0% należy postępować zgodnie z Instrukcją DP-T 14 Ocena jakości na drogach krajowych. Część I - Roboty drogowe. 2017. </w:t>
      </w:r>
    </w:p>
    <w:p w14:paraId="50A6615B"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6.7.6. Wolna przestrzeń w zagęszczonej warstwie wg PN-EN 12697-8. </w:t>
      </w:r>
    </w:p>
    <w:p w14:paraId="19F1BEC5"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Do obliczenia wolnej przestrzeni w warstwie należy przyjmować gęstość mieszanki mineralno asfaltowej oznaczonej w dniu wykonywania kontrolowanej działki roboczej. Zawartość wolnej przestrzeni w warstwie powinna mieścić się w granicach dla KR 1-2: 3,09,0%, dla KR≥3: 3,0-8,0%. Zawartość wolnej przestrzeni w warstwie należy sprawdzać z częstością podaną w pkt. 6.2. tab. 7. </w:t>
      </w:r>
    </w:p>
    <w:p w14:paraId="6A3055D1"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6.7.7. Wytrzymałość na ścinanie połączeń międzywarstwowych. </w:t>
      </w:r>
    </w:p>
    <w:p w14:paraId="5B59335A"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Badanie sczepności międzywarstwowej wymagane jest w przypadku wykonywania warstwy podbudowy w dwóch oddzielnych operacjach technologicznych lub w przypadku wykonania warstwy podbudowy na starej nawierzchni asfaltowej. W takim przypadku badanie należy wykonać wg pkt. 7.3.5. WT-2 2016 – część II. </w:t>
      </w:r>
    </w:p>
    <w:p w14:paraId="0813EA4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Wymagana wartość dla połączenia: </w:t>
      </w:r>
    </w:p>
    <w:p w14:paraId="7F0F4C74"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 wiążąca – podbudowa wynosi nie mniej niż 0,7 MPa, </w:t>
      </w:r>
    </w:p>
    <w:p w14:paraId="08F4F3D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 podbudowa – podbudowa wynosi nie mniej niż 0,6 MPa. </w:t>
      </w:r>
    </w:p>
    <w:p w14:paraId="383BD9D2"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Dopuszcza się też inne sprawdzone metody badania sczepności, przy czym metodą referencyjną jest metoda Leutnera na próbkach Ø  150±2mm. </w:t>
      </w:r>
    </w:p>
    <w:p w14:paraId="6B202F25"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Badanie sczepności międzywarstwowej należy sprawdzać z częstością podaną w pkt. 6.2. </w:t>
      </w:r>
    </w:p>
    <w:p w14:paraId="4CBD80D2"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tab. 7. </w:t>
      </w:r>
    </w:p>
    <w:p w14:paraId="1D03E52A"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lastRenderedPageBreak/>
        <w:t xml:space="preserve">6.7.8. Temperatura mięknienia lepiszcza odzyskanego. </w:t>
      </w:r>
    </w:p>
    <w:p w14:paraId="397B2CD0"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Wymagania dla temperatury mięknienia lepiszcza odzyskanego zgodnie z pkt. 8.1.1. WT-2 2016 – część II. Dla lepiszcza wyekstrahowanego należy kontrolować następujące właściwości: </w:t>
      </w:r>
    </w:p>
    <w:p w14:paraId="4572F603" w14:textId="77777777" w:rsidR="001565C9" w:rsidRPr="001565C9" w:rsidRDefault="001565C9" w:rsidP="00AD6DA2">
      <w:pPr>
        <w:numPr>
          <w:ilvl w:val="0"/>
          <w:numId w:val="57"/>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temperaturę mięknienia, </w:t>
      </w:r>
    </w:p>
    <w:p w14:paraId="6654B1BF" w14:textId="77777777" w:rsidR="001565C9" w:rsidRPr="001565C9" w:rsidRDefault="001565C9" w:rsidP="00AD6DA2">
      <w:pPr>
        <w:numPr>
          <w:ilvl w:val="0"/>
          <w:numId w:val="57"/>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nawrót sprężysty – dot. polimeroasfaltów. </w:t>
      </w:r>
    </w:p>
    <w:p w14:paraId="5A33D25D"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6.8. Badania i pomiary cech geometrycznych warstwy z MMA </w:t>
      </w:r>
    </w:p>
    <w:p w14:paraId="111A1BCB"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6.8.1. Częstość oraz zakres badań i pomiarów </w:t>
      </w:r>
    </w:p>
    <w:p w14:paraId="31A904B4"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Częstość oraz zakres badań i pomiarów podano na warstwie podbudowy podano w tabeli 7. </w:t>
      </w:r>
    </w:p>
    <w:p w14:paraId="3C262B95"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6.8.2. Szerokość warstwy </w:t>
      </w:r>
    </w:p>
    <w:p w14:paraId="1F62C3D4"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Szerokość wykonanej warstwy powinna być zgodna z szerokością projektowaną z tolerancją + 5 cm. Wymaga się, aby co najmniej 95% wykonanych pomiarów nie przekraczało dopuszczalnego odchylenia. 100% wykonanych pomiarów szerokości wykonanej warstwy powinna być zgodna z szerokością projektowaną z tolerancją + 7 cm.</w:t>
      </w:r>
      <w:r w:rsidRPr="001565C9">
        <w:rPr>
          <w:rFonts w:ascii="Arial Narrow" w:eastAsia="Times New Roman" w:hAnsi="Arial Narrow" w:cs="Times New Roman"/>
          <w:sz w:val="20"/>
          <w:szCs w:val="20"/>
          <w:vertAlign w:val="subscript"/>
          <w:lang w:eastAsia="pl-PL"/>
        </w:rPr>
        <w:t xml:space="preserve"> </w:t>
      </w:r>
    </w:p>
    <w:p w14:paraId="2AFF678C"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6.8.3. Równość podłużna i poprzeczna warstwy podbudowy </w:t>
      </w:r>
    </w:p>
    <w:p w14:paraId="23341CEF"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1565C9">
        <w:rPr>
          <w:rFonts w:ascii="Arial Narrow" w:eastAsia="Times New Roman" w:hAnsi="Arial Narrow" w:cs="Times New Roman"/>
          <w:b/>
          <w:sz w:val="20"/>
          <w:szCs w:val="20"/>
          <w:lang w:eastAsia="pl-PL"/>
        </w:rPr>
        <w:t xml:space="preserve">6.8.3.1. </w:t>
      </w:r>
      <w:r w:rsidRPr="001565C9">
        <w:rPr>
          <w:rFonts w:ascii="Arial Narrow" w:eastAsia="Times New Roman" w:hAnsi="Arial Narrow" w:cs="Times New Roman"/>
          <w:b/>
          <w:sz w:val="20"/>
          <w:szCs w:val="20"/>
          <w:lang w:eastAsia="pl-PL"/>
        </w:rPr>
        <w:tab/>
        <w:t xml:space="preserve">Ocena równości podłużnej warstwy podbudowy </w:t>
      </w:r>
    </w:p>
    <w:p w14:paraId="2146C3B5"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Do oceny równości podłużnej warstwy podbudowy nawierzchni dróg wszystkich klas technicznych, należy stosować metodę pomiaru ciągłego równoważną użyciu łaty i klina z wykorzystaniem planografu, umożliwiającego wyznaczanie odchyleń równości podłużnej jako największej odległości (prześwitu) pomiędzy teoretyczną linią łączącą spody kółek jezdnych urządzenia a mierzoną powierzchnią warstwy [mm].  </w:t>
      </w:r>
    </w:p>
    <w:p w14:paraId="32CECA26"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Pomiar równości podłużnej warstwy podbudowy nawierzchni należy wykonać w sposób ciągły z użyciem łaty i klina. Długość łaty w pomiarze równości podłużnej powinna wynosić 4 m. </w:t>
      </w:r>
    </w:p>
    <w:p w14:paraId="422DF403"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Wymagana równość podłużna jest określona przez maksymalne dopuszczalne wartości odchyleń dla warstwy podbudowy zostały podane w tabeli 11.  </w:t>
      </w:r>
    </w:p>
    <w:p w14:paraId="77F6F99E"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Tabela 11. Dopuszczalne wartości odchyleń dla warstwy podbudowy  </w:t>
      </w:r>
    </w:p>
    <w:tbl>
      <w:tblPr>
        <w:tblW w:w="9488" w:type="dxa"/>
        <w:tblInd w:w="125" w:type="dxa"/>
        <w:tblCellMar>
          <w:left w:w="115" w:type="dxa"/>
          <w:right w:w="40" w:type="dxa"/>
        </w:tblCellMar>
        <w:tblLook w:val="04A0" w:firstRow="1" w:lastRow="0" w:firstColumn="1" w:lastColumn="0" w:noHBand="0" w:noVBand="1"/>
      </w:tblPr>
      <w:tblGrid>
        <w:gridCol w:w="2909"/>
        <w:gridCol w:w="3075"/>
        <w:gridCol w:w="3504"/>
      </w:tblGrid>
      <w:tr w:rsidR="001565C9" w:rsidRPr="001565C9" w14:paraId="4A9ABAE5" w14:textId="77777777" w:rsidTr="0072451A">
        <w:trPr>
          <w:trHeight w:val="978"/>
        </w:trPr>
        <w:tc>
          <w:tcPr>
            <w:tcW w:w="29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D31D2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Klasa drogi </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11693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Element nawierzchni </w:t>
            </w:r>
          </w:p>
        </w:tc>
        <w:tc>
          <w:tcPr>
            <w:tcW w:w="35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FDF78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Dopuszczalne wartości odchyleń równości </w:t>
            </w:r>
          </w:p>
          <w:p w14:paraId="2E0D2D9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podłużnej warstwy podbudowy [mm] </w:t>
            </w:r>
          </w:p>
        </w:tc>
      </w:tr>
      <w:tr w:rsidR="001565C9" w:rsidRPr="001565C9" w14:paraId="2C60E11A" w14:textId="77777777" w:rsidTr="0072451A">
        <w:trPr>
          <w:trHeight w:val="1968"/>
        </w:trPr>
        <w:tc>
          <w:tcPr>
            <w:tcW w:w="29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00B02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GP </w:t>
            </w:r>
          </w:p>
        </w:tc>
        <w:tc>
          <w:tcPr>
            <w:tcW w:w="3075" w:type="dxa"/>
            <w:tcBorders>
              <w:top w:val="single" w:sz="4" w:space="0" w:color="000000"/>
              <w:left w:val="single" w:sz="4" w:space="0" w:color="000000"/>
              <w:right w:val="single" w:sz="4" w:space="0" w:color="000000"/>
            </w:tcBorders>
            <w:shd w:val="clear" w:color="auto" w:fill="auto"/>
            <w:vAlign w:val="center"/>
          </w:tcPr>
          <w:p w14:paraId="0E7243D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Pasy ruchu zasadnicze, awaryjne, dodatkowe, </w:t>
            </w:r>
          </w:p>
          <w:p w14:paraId="50A0BAF6"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włącznie i wyłączenia, </w:t>
            </w:r>
          </w:p>
          <w:p w14:paraId="413149E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jezdnie łącznic utwardzone </w:t>
            </w:r>
          </w:p>
          <w:p w14:paraId="1AEC26C4"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pobocza </w:t>
            </w:r>
          </w:p>
          <w:p w14:paraId="7097E18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3504" w:type="dxa"/>
            <w:tcBorders>
              <w:top w:val="single" w:sz="4" w:space="0" w:color="000000"/>
              <w:left w:val="single" w:sz="4" w:space="0" w:color="000000"/>
              <w:right w:val="single" w:sz="4" w:space="0" w:color="000000"/>
            </w:tcBorders>
            <w:shd w:val="clear" w:color="auto" w:fill="auto"/>
            <w:vAlign w:val="center"/>
          </w:tcPr>
          <w:p w14:paraId="0DB2E37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9 </w:t>
            </w:r>
          </w:p>
          <w:p w14:paraId="22CCF85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r>
      <w:tr w:rsidR="001565C9" w:rsidRPr="001565C9" w14:paraId="1329CFCB" w14:textId="77777777" w:rsidTr="0072451A">
        <w:trPr>
          <w:trHeight w:val="1467"/>
        </w:trPr>
        <w:tc>
          <w:tcPr>
            <w:tcW w:w="29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A869B4"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G, Z </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BEE44"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Pasy ruchu zasadnicze, dodatkowe, włączenia i wyłączenia, postojowe, </w:t>
            </w:r>
          </w:p>
          <w:p w14:paraId="4420724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jezdnie łącznic, utwardzone </w:t>
            </w:r>
          </w:p>
          <w:p w14:paraId="2BCDFEB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pobocza </w:t>
            </w:r>
          </w:p>
        </w:tc>
        <w:tc>
          <w:tcPr>
            <w:tcW w:w="35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B281CA"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12 </w:t>
            </w:r>
          </w:p>
        </w:tc>
      </w:tr>
      <w:tr w:rsidR="001565C9" w:rsidRPr="001565C9" w14:paraId="4B23466B" w14:textId="77777777" w:rsidTr="0072451A">
        <w:trPr>
          <w:trHeight w:val="787"/>
        </w:trPr>
        <w:tc>
          <w:tcPr>
            <w:tcW w:w="29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155512"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L, D, place, parkingi, zjazdy, zatoki</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6D617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Wszystkie pasy ruchu i powierzchnie przeznaczone do ruchu i postoju pojazdów </w:t>
            </w:r>
          </w:p>
        </w:tc>
        <w:tc>
          <w:tcPr>
            <w:tcW w:w="35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40E878"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15 </w:t>
            </w:r>
          </w:p>
        </w:tc>
      </w:tr>
    </w:tbl>
    <w:p w14:paraId="23515668"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 </w:t>
      </w:r>
    </w:p>
    <w:p w14:paraId="026C9DF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1565C9">
        <w:rPr>
          <w:rFonts w:ascii="Arial Narrow" w:eastAsia="Times New Roman" w:hAnsi="Arial Narrow" w:cs="Times New Roman"/>
          <w:b/>
          <w:sz w:val="20"/>
          <w:szCs w:val="20"/>
          <w:lang w:eastAsia="pl-PL"/>
        </w:rPr>
        <w:t xml:space="preserve">Pomiar równości podłużnej nawierzchni metodą łaty i klina </w:t>
      </w:r>
    </w:p>
    <w:p w14:paraId="1BF4B97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Pomiar równości podłużnej warstw nawierzchni z użyciem łaty (o długości 4 m) i klina należy wykonywać jedynie w miejscach niedostępnych dla sprzętu pomiarowego (stanowiska postojowe, zatoki autobusowe itp.). Pomiary równości podłużnej z wykorzystaniem łaty i klina należy wykonywać w osi podłużnej elementu drogi/pasa ruchu, w płaszczyźnie prostopadłej do powierzchni badanej warstwy. Pomiar należy wykonywać w sposób ciągły (początek każdego pomiaru łatą w miejscu zakończenia poprzedniego pomiaru). Klin należy podkładać pod łatę w miejscu, w którym prześwit jest największy (największe odchylenie równości). Wielkość prześwitu jest równa najmniejszej liczbie widocznej na klinie podłożonym pod łatę. Zasady oceny wyników pomiaru jak w tabeli 11. </w:t>
      </w:r>
    </w:p>
    <w:p w14:paraId="167BCE92"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1565C9">
        <w:rPr>
          <w:rFonts w:ascii="Arial Narrow" w:eastAsia="Times New Roman" w:hAnsi="Arial Narrow" w:cs="Times New Roman"/>
          <w:b/>
          <w:sz w:val="20"/>
          <w:szCs w:val="20"/>
          <w:lang w:eastAsia="pl-PL"/>
        </w:rPr>
        <w:t xml:space="preserve">6.8.3.2. </w:t>
      </w:r>
      <w:r w:rsidRPr="001565C9">
        <w:rPr>
          <w:rFonts w:ascii="Arial Narrow" w:eastAsia="Times New Roman" w:hAnsi="Arial Narrow" w:cs="Times New Roman"/>
          <w:b/>
          <w:sz w:val="20"/>
          <w:szCs w:val="20"/>
          <w:lang w:eastAsia="pl-PL"/>
        </w:rPr>
        <w:tab/>
        <w:t xml:space="preserve">Pomiar równości poprzecznej warstwy podbudowy </w:t>
      </w:r>
    </w:p>
    <w:p w14:paraId="26B07455"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Do oceny równości poprzecznej warstw nawierzchni dróg wszystkich klas technicznych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2m) a zarejestrowanym profilem poprzecznym warstwy.  </w:t>
      </w:r>
    </w:p>
    <w:p w14:paraId="5A6BAAAF"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Efektywna szerokość pomiarowa jest równa szerokości mierzonego pasa (elementu) nawierzchni z tolerancją ±15%. Wartość odchylenia równości poprzecznej należy wyznaczać z krokiem co 1 m. </w:t>
      </w:r>
    </w:p>
    <w:p w14:paraId="6F7FD230"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lastRenderedPageBreak/>
        <w:t xml:space="preserve">W miejscach niedostępnych dla profilografu pomiar równości porzecznej warstwy podbudowy nawierzchni należy wykonać z użyciem łaty i klina. Długość łaty w pomiarze równości poprzecznej powinna wynosić 2 m, Pomiar powinien być wykonany nie rzadziej niż co 5 m. </w:t>
      </w:r>
    </w:p>
    <w:p w14:paraId="15AF7ABE"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Dopuszczalne wartości odchyleń zostały podane w tabeli 12. </w:t>
      </w:r>
    </w:p>
    <w:p w14:paraId="080495E1"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Tabela 12. Dopuszczalne wartości odchyleń dla warstwy podbudowy  </w:t>
      </w:r>
    </w:p>
    <w:tbl>
      <w:tblPr>
        <w:tblW w:w="8956" w:type="dxa"/>
        <w:tblInd w:w="125" w:type="dxa"/>
        <w:tblCellMar>
          <w:left w:w="115" w:type="dxa"/>
          <w:right w:w="40" w:type="dxa"/>
        </w:tblCellMar>
        <w:tblLook w:val="04A0" w:firstRow="1" w:lastRow="0" w:firstColumn="1" w:lastColumn="0" w:noHBand="0" w:noVBand="1"/>
      </w:tblPr>
      <w:tblGrid>
        <w:gridCol w:w="2909"/>
        <w:gridCol w:w="3075"/>
        <w:gridCol w:w="2972"/>
      </w:tblGrid>
      <w:tr w:rsidR="001565C9" w:rsidRPr="001565C9" w14:paraId="4E0C9C50" w14:textId="77777777" w:rsidTr="0072451A">
        <w:trPr>
          <w:trHeight w:val="1368"/>
        </w:trPr>
        <w:tc>
          <w:tcPr>
            <w:tcW w:w="29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F69DD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Klasa drogi </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116D4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Element nawierzchni </w:t>
            </w:r>
          </w:p>
        </w:tc>
        <w:tc>
          <w:tcPr>
            <w:tcW w:w="2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99735D"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Dopuszczalne wartości odchyleń równości </w:t>
            </w:r>
          </w:p>
          <w:p w14:paraId="1EEB9054"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poprzecznej warstwy podbudowy [mm] </w:t>
            </w:r>
          </w:p>
        </w:tc>
      </w:tr>
      <w:tr w:rsidR="001565C9" w:rsidRPr="001565C9" w14:paraId="54FDC72D" w14:textId="77777777" w:rsidTr="0072451A">
        <w:trPr>
          <w:trHeight w:val="2187"/>
        </w:trPr>
        <w:tc>
          <w:tcPr>
            <w:tcW w:w="29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D592EF"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GP </w:t>
            </w:r>
          </w:p>
        </w:tc>
        <w:tc>
          <w:tcPr>
            <w:tcW w:w="3075" w:type="dxa"/>
            <w:tcBorders>
              <w:top w:val="single" w:sz="4" w:space="0" w:color="000000"/>
              <w:left w:val="single" w:sz="4" w:space="0" w:color="000000"/>
              <w:right w:val="single" w:sz="4" w:space="0" w:color="000000"/>
            </w:tcBorders>
            <w:shd w:val="clear" w:color="auto" w:fill="auto"/>
            <w:vAlign w:val="center"/>
          </w:tcPr>
          <w:p w14:paraId="2072CDEB"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Pasy ruchu zasadnicze, awaryjne, dodatkowe, </w:t>
            </w:r>
          </w:p>
          <w:p w14:paraId="6F5263D8"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włączenia i wyłączenia, </w:t>
            </w:r>
          </w:p>
          <w:p w14:paraId="46CD4D81"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jezdnia łącznic, utwardzone </w:t>
            </w:r>
          </w:p>
          <w:p w14:paraId="4D232767"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pobocza  </w:t>
            </w:r>
          </w:p>
          <w:p w14:paraId="58AB7694"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2972" w:type="dxa"/>
            <w:tcBorders>
              <w:top w:val="single" w:sz="4" w:space="0" w:color="000000"/>
              <w:left w:val="single" w:sz="4" w:space="0" w:color="000000"/>
              <w:right w:val="single" w:sz="4" w:space="0" w:color="000000"/>
            </w:tcBorders>
            <w:shd w:val="clear" w:color="auto" w:fill="auto"/>
            <w:vAlign w:val="center"/>
          </w:tcPr>
          <w:p w14:paraId="44F0F5A4"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9 </w:t>
            </w:r>
          </w:p>
          <w:p w14:paraId="6B0C614D"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p>
        </w:tc>
      </w:tr>
      <w:tr w:rsidR="001565C9" w:rsidRPr="001565C9" w14:paraId="49374E8C" w14:textId="77777777" w:rsidTr="0072451A">
        <w:trPr>
          <w:trHeight w:val="1649"/>
        </w:trPr>
        <w:tc>
          <w:tcPr>
            <w:tcW w:w="29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CEDB19"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G, Z </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B8081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Pasy ruchu zasadnicze, dodatkowe, włączenia i wyłączenia, postojowe, </w:t>
            </w:r>
          </w:p>
          <w:p w14:paraId="771AB15E"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jezdnie łącznic, utwardzone </w:t>
            </w:r>
          </w:p>
          <w:p w14:paraId="561355A3"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pobocza </w:t>
            </w:r>
          </w:p>
        </w:tc>
        <w:tc>
          <w:tcPr>
            <w:tcW w:w="2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C93D09"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12 </w:t>
            </w:r>
          </w:p>
        </w:tc>
      </w:tr>
      <w:tr w:rsidR="001565C9" w:rsidRPr="001565C9" w14:paraId="2E5D7FD8" w14:textId="77777777" w:rsidTr="0072451A">
        <w:trPr>
          <w:trHeight w:val="1090"/>
        </w:trPr>
        <w:tc>
          <w:tcPr>
            <w:tcW w:w="29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CD2740"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L, D, place, parkingi, zjazdy i zatoki</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67ACA5"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Wszystkie pasy ruchu i powierzchnie przeznaczone do ruchu i postoju pojazdów </w:t>
            </w:r>
          </w:p>
        </w:tc>
        <w:tc>
          <w:tcPr>
            <w:tcW w:w="2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573372" w14:textId="77777777" w:rsidR="001565C9" w:rsidRPr="001565C9" w:rsidRDefault="001565C9" w:rsidP="001565C9">
            <w:pPr>
              <w:overflowPunct w:val="0"/>
              <w:autoSpaceDE w:val="0"/>
              <w:autoSpaceDN w:val="0"/>
              <w:adjustRightInd w:val="0"/>
              <w:spacing w:after="0" w:line="240" w:lineRule="auto"/>
              <w:textAlignment w:val="baseline"/>
              <w:rPr>
                <w:rFonts w:ascii="Arial Narrow" w:eastAsia="Times New Roman" w:hAnsi="Arial Narrow" w:cs="Times New Roman"/>
              </w:rPr>
            </w:pPr>
            <w:r w:rsidRPr="001565C9">
              <w:rPr>
                <w:rFonts w:ascii="Arial Narrow" w:eastAsia="Times New Roman" w:hAnsi="Arial Narrow" w:cs="Times New Roman"/>
              </w:rPr>
              <w:t xml:space="preserve">15 </w:t>
            </w:r>
          </w:p>
        </w:tc>
      </w:tr>
    </w:tbl>
    <w:p w14:paraId="53FE5CB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 </w:t>
      </w:r>
    </w:p>
    <w:p w14:paraId="603854EA"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1565C9">
        <w:rPr>
          <w:rFonts w:ascii="Arial Narrow" w:eastAsia="Times New Roman" w:hAnsi="Arial Narrow" w:cs="Times New Roman"/>
          <w:b/>
          <w:sz w:val="20"/>
          <w:szCs w:val="20"/>
          <w:lang w:eastAsia="pl-PL"/>
        </w:rPr>
        <w:t xml:space="preserve">Pomiar równości poprzecznej warstw nawierzchni z użyciem łaty i klina </w:t>
      </w:r>
    </w:p>
    <w:p w14:paraId="6C1E6CD2"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Pomiar równości poprzecznej warstw nawierzchni z użyciem łaty (o długości 2 m) i klina należy wykonywać jedynie w miejscach niedostępnych dla sprzętu pomiarowego takich jak: stanowiska postojowe, zatoki autobusowe itp. Pomiary równości poprzecznej z wykorzystaniem łaty i klina należy wykonywać z krokiem nie rzadziej niż co 5 m. W czasie pomiaru łata powinna leżeć prostopadle do osi drogi i w płaszczyźnie prostopadłej do powierzchni badanej warstwy. </w:t>
      </w:r>
    </w:p>
    <w:p w14:paraId="6641AFFE"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Klin należy podkładać pod łatę w miejscu, w którym prześwit jest największy (największe odchylenie równości). Wielkość prześwitu jest równa najmniejszej liczbie widocznej na klinie podłożonym pod łatę. Zasady oceny wyników podano w tabeli 12. </w:t>
      </w:r>
    </w:p>
    <w:p w14:paraId="01099F49"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6.8.4. Spadki poprzeczne </w:t>
      </w:r>
    </w:p>
    <w:p w14:paraId="6930583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Sprawdzenie polega na przyłożeniu łaty i pomiar prześwitu klinem lub pomiar profilografem laserowym. Spadki poprzeczne warstwy podbudowy na odcinkach prostych i na łukach powinny być zgodne ze spadkami poprzecznymi z tolerancją ± 0,5%.  </w:t>
      </w:r>
    </w:p>
    <w:p w14:paraId="7EB5CFC9"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Wymaga się, aby co najmniej 95% wykonanych pomiarów nie przekraczało przedziału dopuszczalnych odchyleń. Dla 100% wykonanych pomiarów spadki poprzeczne warstwy podbudowy na odcinkach prostych i na łukach powinny być zgodne z spadkami poprzecznymi z tolerancją ± 0,7%. Spadek poprzeczny musi być wystarczający do zapewnienia sprawnego spływu wody. </w:t>
      </w:r>
    </w:p>
    <w:p w14:paraId="1FF13D18"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6.8.6. Rzędne wysokościowe nawierzchni </w:t>
      </w:r>
    </w:p>
    <w:p w14:paraId="04C18AE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Rzędne wysokościowe warstwy podbudowy powinny być mierzone w przekrojach co 10m w osi i na krawędziach jezdni. Przed przystąpieniem do robót Wykonawca przedstawi schemat punktów pomiarowych do akceptacji. </w:t>
      </w:r>
    </w:p>
    <w:p w14:paraId="0FFB6B56"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6.8.7. Złącza podłużne i poprzeczne </w:t>
      </w:r>
    </w:p>
    <w:p w14:paraId="3B516F6D"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Złącza w nawierzchni powinny być wykonane w linii prostej, prostopadle do osi drogi.  </w:t>
      </w:r>
    </w:p>
    <w:p w14:paraId="3E2C7061"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 konstrukcji wielowarstwowej: </w:t>
      </w:r>
    </w:p>
    <w:p w14:paraId="49E01387" w14:textId="77777777" w:rsidR="001565C9" w:rsidRPr="001565C9" w:rsidRDefault="001565C9" w:rsidP="00AD6DA2">
      <w:pPr>
        <w:numPr>
          <w:ilvl w:val="0"/>
          <w:numId w:val="58"/>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złącza poprzeczne powinny być przesunięte względem siebie co najmniej o 3 m, </w:t>
      </w:r>
    </w:p>
    <w:p w14:paraId="3459F72A" w14:textId="77777777" w:rsidR="001565C9" w:rsidRPr="001565C9" w:rsidRDefault="001565C9" w:rsidP="00AD6DA2">
      <w:pPr>
        <w:numPr>
          <w:ilvl w:val="0"/>
          <w:numId w:val="58"/>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złącza podłużne powinny być przesunięte względem siebie w kolejnych warstwach technologicznych o co najmniej o 30 cm w kierunku poprzecznym do osi jezdni.  </w:t>
      </w:r>
    </w:p>
    <w:p w14:paraId="7A6BC6E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Nie można lokalizować złącza podłużnego w śladach kół. Złącza powinny być całkowicie związane, a przylegające warstwy powinny być w jednym poziomie. </w:t>
      </w:r>
    </w:p>
    <w:p w14:paraId="13BB1C36" w14:textId="77777777" w:rsidR="001565C9" w:rsidRPr="001565C9" w:rsidRDefault="001565C9" w:rsidP="001565C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565C9">
        <w:rPr>
          <w:rFonts w:ascii="Arial Narrow" w:eastAsia="Times New Roman" w:hAnsi="Arial Narrow" w:cs="Times New Roman"/>
          <w:b/>
          <w:sz w:val="24"/>
          <w:szCs w:val="20"/>
          <w:lang w:val="x-none" w:eastAsia="x-none"/>
        </w:rPr>
        <w:t xml:space="preserve">6.8.8. Wygląd warstwy </w:t>
      </w:r>
    </w:p>
    <w:p w14:paraId="0C35FA65"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Wygląd warstwy z MMA powinien być jednorodny, bez miejsc „przeasfaltowanych”, porowatych, łuszczących się i spękanych.  </w:t>
      </w:r>
    </w:p>
    <w:p w14:paraId="0DD39FB4" w14:textId="77777777" w:rsidR="001565C9" w:rsidRPr="001565C9" w:rsidRDefault="001565C9" w:rsidP="001565C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1565C9">
        <w:rPr>
          <w:rFonts w:ascii="Arial Narrow" w:eastAsia="Times New Roman" w:hAnsi="Arial Narrow" w:cs="Times New Roman"/>
          <w:b/>
          <w:caps/>
          <w:kern w:val="28"/>
          <w:sz w:val="28"/>
          <w:szCs w:val="20"/>
          <w:lang w:val="x-none" w:eastAsia="x-none"/>
        </w:rPr>
        <w:lastRenderedPageBreak/>
        <w:t xml:space="preserve">7. OBMIAR ROBÓT </w:t>
      </w:r>
    </w:p>
    <w:p w14:paraId="0AA279E9"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7.1. Ogólne zasady obmiaru robót </w:t>
      </w:r>
    </w:p>
    <w:p w14:paraId="162B97FE"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Ogólne zasady obmiaru robót podano w D-M-00.00.00 „Wymagania ogólne”. </w:t>
      </w:r>
    </w:p>
    <w:p w14:paraId="2172B588"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7.2. Jednostka obmiarowa </w:t>
      </w:r>
    </w:p>
    <w:p w14:paraId="48AAD61B"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Jednostką obmiarową jest m</w:t>
      </w:r>
      <w:r w:rsidRPr="001565C9">
        <w:rPr>
          <w:rFonts w:ascii="Arial Narrow" w:eastAsia="Times New Roman" w:hAnsi="Arial Narrow" w:cs="Times New Roman"/>
          <w:sz w:val="20"/>
          <w:szCs w:val="20"/>
          <w:vertAlign w:val="superscript"/>
          <w:lang w:eastAsia="pl-PL"/>
        </w:rPr>
        <w:t>2</w:t>
      </w:r>
      <w:r w:rsidRPr="001565C9">
        <w:rPr>
          <w:rFonts w:ascii="Arial Narrow" w:eastAsia="Times New Roman" w:hAnsi="Arial Narrow" w:cs="Times New Roman"/>
          <w:sz w:val="20"/>
          <w:szCs w:val="20"/>
          <w:lang w:eastAsia="pl-PL"/>
        </w:rPr>
        <w:t xml:space="preserve"> (metr kwadratowy) wykonanej warstwy podbudowy z betonu asfaltowego (AC P). </w:t>
      </w:r>
    </w:p>
    <w:p w14:paraId="5CE4B062" w14:textId="77777777" w:rsidR="001565C9" w:rsidRPr="001565C9" w:rsidRDefault="001565C9" w:rsidP="001565C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1565C9">
        <w:rPr>
          <w:rFonts w:ascii="Arial Narrow" w:eastAsia="Times New Roman" w:hAnsi="Arial Narrow" w:cs="Times New Roman"/>
          <w:b/>
          <w:caps/>
          <w:kern w:val="28"/>
          <w:sz w:val="28"/>
          <w:szCs w:val="20"/>
          <w:lang w:val="x-none" w:eastAsia="x-none"/>
        </w:rPr>
        <w:t xml:space="preserve">8. ODBIÓR ROBÓT </w:t>
      </w:r>
    </w:p>
    <w:p w14:paraId="4C4F92FE"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Ogólne zasady odbioru robót podano w D-M-00.00.00 „Wymagania ogólne”. Roboty uznaje się za wykonane zgodnie z Dokumentacją Projektową i WWiORB, jeżeli wszystkie badania i pomiary z zachowaniem tolerancji wg pkt. 6 niniejszej WWiORB dały wyniki pozytywne.  </w:t>
      </w:r>
    </w:p>
    <w:p w14:paraId="23C6E9A0"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Do odbioru ostatecznego uwzględniane są wyniki badań i pomiarów kontrolnych, badań i pomiarów kontrolnych dodatkowych oraz badań i pomiarów arbitrażowych do wyznaczonych odcinków częściowych. </w:t>
      </w:r>
    </w:p>
    <w:p w14:paraId="20FD6051"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8.1. Zasady postępowania z wadliwie wykonanymi robotami </w:t>
      </w:r>
    </w:p>
    <w:p w14:paraId="3364B7F4"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Jeżeli wystąpią wyniki negatywne dla materiałów i robót (nie spełniające wymagań określonych w WWiORB i opracowanych na ich podstawie STWiORB), to Inżynier/Inspektor Nadzoru/Zamawiający wydaje Wykonawcy polecenie przedstawienia programu naprawczego, chyba że na wniosek jednej ze stron kontraktu zostaną wykonane badania lub pomiary arbitrażowe (zgodnie z pkt. 6.5 niniejszego WWiORB), a ich wyniki będą pozytywne. Wykonawca w programie tym jest zobowiązany dokonać oceny wpływu na trwałość konstrukcji nawierzchni i przedstawić sposób naprawienia wady lub wnioskować o zredukowanie ceny kontraktowej – naliczenie potrąceń według zasad określonych w Instrukcji DP-T14 Ocena Jakości na Drogach Krajowych. Część I Roboty Drogowe. </w:t>
      </w:r>
    </w:p>
    <w:p w14:paraId="39F1CBC8"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Na </w:t>
      </w:r>
      <w:r w:rsidRPr="001565C9">
        <w:rPr>
          <w:rFonts w:ascii="Arial Narrow" w:eastAsia="Times New Roman" w:hAnsi="Arial Narrow" w:cs="Times New Roman"/>
          <w:sz w:val="20"/>
          <w:szCs w:val="20"/>
          <w:lang w:eastAsia="pl-PL"/>
        </w:rPr>
        <w:tab/>
        <w:t xml:space="preserve">zastosowanie </w:t>
      </w:r>
      <w:r w:rsidRPr="001565C9">
        <w:rPr>
          <w:rFonts w:ascii="Arial Narrow" w:eastAsia="Times New Roman" w:hAnsi="Arial Narrow" w:cs="Times New Roman"/>
          <w:sz w:val="20"/>
          <w:szCs w:val="20"/>
          <w:lang w:eastAsia="pl-PL"/>
        </w:rPr>
        <w:tab/>
        <w:t xml:space="preserve">programu </w:t>
      </w:r>
      <w:r w:rsidRPr="001565C9">
        <w:rPr>
          <w:rFonts w:ascii="Arial Narrow" w:eastAsia="Times New Roman" w:hAnsi="Arial Narrow" w:cs="Times New Roman"/>
          <w:sz w:val="20"/>
          <w:szCs w:val="20"/>
          <w:lang w:eastAsia="pl-PL"/>
        </w:rPr>
        <w:tab/>
        <w:t xml:space="preserve">naprawczego </w:t>
      </w:r>
      <w:r w:rsidRPr="001565C9">
        <w:rPr>
          <w:rFonts w:ascii="Arial Narrow" w:eastAsia="Times New Roman" w:hAnsi="Arial Narrow" w:cs="Times New Roman"/>
          <w:sz w:val="20"/>
          <w:szCs w:val="20"/>
          <w:lang w:eastAsia="pl-PL"/>
        </w:rPr>
        <w:tab/>
        <w:t xml:space="preserve">wyraża </w:t>
      </w:r>
      <w:r w:rsidRPr="001565C9">
        <w:rPr>
          <w:rFonts w:ascii="Arial Narrow" w:eastAsia="Times New Roman" w:hAnsi="Arial Narrow" w:cs="Times New Roman"/>
          <w:sz w:val="20"/>
          <w:szCs w:val="20"/>
          <w:lang w:eastAsia="pl-PL"/>
        </w:rPr>
        <w:tab/>
        <w:t xml:space="preserve">zgodę </w:t>
      </w:r>
      <w:r w:rsidRPr="001565C9">
        <w:rPr>
          <w:rFonts w:ascii="Arial Narrow" w:eastAsia="Times New Roman" w:hAnsi="Arial Narrow" w:cs="Times New Roman"/>
          <w:sz w:val="20"/>
          <w:szCs w:val="20"/>
          <w:lang w:eastAsia="pl-PL"/>
        </w:rPr>
        <w:tab/>
        <w:t xml:space="preserve">Inżynier/Inspektor Nadzoru/Zamawiający.  </w:t>
      </w:r>
    </w:p>
    <w:p w14:paraId="0C237DB8"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W przypadku braku zgody Inżyniera/Inspektora Nadzoru/Zamawiającego na zastosowanie programu naprawczego wszystkie materiały i roboty nie spełniające wymagań podanych w odpowiednich punktach WWiORB zostaną odrzucone. Wykonawca wymieni materiały na właściwe i wykona prawidłowo roboty na własny koszt. </w:t>
      </w:r>
    </w:p>
    <w:p w14:paraId="489AA8F3"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Jeżeli wymiana materiałów niespełniających wymagań lub wadliwie wykonane roboty spowodowują szkodę w innych, prawidłowo wykonanych robotach, to również te roboty powinny być ponownie wykonane przez Wykonawcę na jego koszt. </w:t>
      </w:r>
    </w:p>
    <w:p w14:paraId="70505973" w14:textId="77777777" w:rsidR="001565C9" w:rsidRPr="001565C9" w:rsidRDefault="001565C9" w:rsidP="001565C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1565C9">
        <w:rPr>
          <w:rFonts w:ascii="Arial Narrow" w:eastAsia="Times New Roman" w:hAnsi="Arial Narrow" w:cs="Times New Roman"/>
          <w:b/>
          <w:caps/>
          <w:kern w:val="28"/>
          <w:sz w:val="28"/>
          <w:szCs w:val="20"/>
          <w:lang w:val="x-none" w:eastAsia="x-none"/>
        </w:rPr>
        <w:t xml:space="preserve">9. PODSTAWA PŁATNOŚCI </w:t>
      </w:r>
    </w:p>
    <w:p w14:paraId="5584958D"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9.1. Ogólne ustalenia dotyczące podstawy płatności </w:t>
      </w:r>
    </w:p>
    <w:p w14:paraId="5A6A16F7"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Ogólne ustalenia dotyczące podstawy płatności podano w D-M-00.00.00 „Wymagania ogólne”. </w:t>
      </w:r>
    </w:p>
    <w:p w14:paraId="32FFEC48"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9.2. Cena jednostki obmiarowej </w:t>
      </w:r>
    </w:p>
    <w:p w14:paraId="1F1844E0"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Cena wykonania 1 m</w:t>
      </w:r>
      <w:r w:rsidRPr="001565C9">
        <w:rPr>
          <w:rFonts w:ascii="Arial Narrow" w:eastAsia="Times New Roman" w:hAnsi="Arial Narrow" w:cs="Times New Roman"/>
          <w:sz w:val="20"/>
          <w:szCs w:val="20"/>
          <w:vertAlign w:val="superscript"/>
          <w:lang w:eastAsia="pl-PL"/>
        </w:rPr>
        <w:t>2</w:t>
      </w:r>
      <w:r w:rsidRPr="001565C9">
        <w:rPr>
          <w:rFonts w:ascii="Arial Narrow" w:eastAsia="Times New Roman" w:hAnsi="Arial Narrow" w:cs="Times New Roman"/>
          <w:sz w:val="20"/>
          <w:szCs w:val="20"/>
          <w:lang w:eastAsia="pl-PL"/>
        </w:rPr>
        <w:t xml:space="preserve"> warstwy podbudowy z betonu asfaltowego (AC P) obejmuje: </w:t>
      </w:r>
    </w:p>
    <w:p w14:paraId="0116FA21"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prace pomiarowe i roboty przygotowawcze,  </w:t>
      </w:r>
    </w:p>
    <w:p w14:paraId="698672AB"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oznakowanie robót, </w:t>
      </w:r>
    </w:p>
    <w:p w14:paraId="65E9EA2E"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dostarczenie materiałów i sprzętu, </w:t>
      </w:r>
    </w:p>
    <w:p w14:paraId="59C9C6C5"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opracowanie recepty laboratoryjnej, </w:t>
      </w:r>
    </w:p>
    <w:p w14:paraId="2CDB4829"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wykonanie próby technologicznej i odcinka próbnego, </w:t>
      </w:r>
    </w:p>
    <w:p w14:paraId="736C2981"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wyprodukowanie mieszanki betonu asfaltowego i jej transport na miejsce wbudowania, </w:t>
      </w:r>
    </w:p>
    <w:p w14:paraId="17812730"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posmarowanie lepiszczem lub pokrycie taśmą asfaltową krawędzi urządzeń obcych i krawężników, </w:t>
      </w:r>
    </w:p>
    <w:p w14:paraId="50C91083"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rozłożenie i zagęszczenie mieszanki betonu asfaltowego, </w:t>
      </w:r>
    </w:p>
    <w:p w14:paraId="4C8B54A5"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uformowanie złączy, zagruntowanie środkiem gruntującym i przymocowanie taśm bitumicznych, </w:t>
      </w:r>
    </w:p>
    <w:p w14:paraId="183B1CBA"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posmarowanie krawędzi bocznych asfaltem, </w:t>
      </w:r>
    </w:p>
    <w:p w14:paraId="2EC9DCCB"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przeprowadzenie pomiarów i badań  wymaganych w specyfikacji technicznej, </w:t>
      </w:r>
    </w:p>
    <w:p w14:paraId="11282DB1"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odwiezienie sprzętu, </w:t>
      </w:r>
    </w:p>
    <w:p w14:paraId="4D6D9FE3"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wszelkie inne czynności związane z prawidłowym wykonaniem warstwy zgodnie z wymaganiami niniejszych WWiORB. </w:t>
      </w:r>
    </w:p>
    <w:p w14:paraId="019BB756"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9.3. Sposób rozliczenia robót tymczasowych i prac towarzyszących </w:t>
      </w:r>
    </w:p>
    <w:p w14:paraId="4DD518FC" w14:textId="77777777" w:rsidR="001565C9" w:rsidRPr="001565C9" w:rsidRDefault="001565C9" w:rsidP="001565C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565C9">
        <w:rPr>
          <w:rFonts w:ascii="Arial Narrow" w:eastAsia="Times New Roman" w:hAnsi="Arial Narrow" w:cs="Times New Roman"/>
          <w:sz w:val="20"/>
          <w:szCs w:val="20"/>
          <w:lang w:eastAsia="pl-PL"/>
        </w:rPr>
        <w:t xml:space="preserve">Cena wykonania robót określonych niniejszymi WWiORB obejmuje: </w:t>
      </w:r>
    </w:p>
    <w:p w14:paraId="032C64FA"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roboty tymczasowe, które są potrzebne do wykonania robót podstawowych, ale nie są przekazywane Zamawiającemu i są usuwane po wykonaniu robót podstawowych, </w:t>
      </w:r>
    </w:p>
    <w:p w14:paraId="592A7933" w14:textId="77777777" w:rsidR="001565C9" w:rsidRPr="001565C9" w:rsidRDefault="001565C9" w:rsidP="001565C9">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prace towarzyszące, które są niezbędne do wykonania robót podstawowych, niezaliczane do robót tymczasowych, jak geodezyjne wytyczenie robót itd. </w:t>
      </w:r>
    </w:p>
    <w:p w14:paraId="4D788414" w14:textId="77777777" w:rsidR="001565C9" w:rsidRPr="001565C9" w:rsidRDefault="001565C9" w:rsidP="001565C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1565C9">
        <w:rPr>
          <w:rFonts w:ascii="Arial Narrow" w:eastAsia="Times New Roman" w:hAnsi="Arial Narrow" w:cs="Times New Roman"/>
          <w:b/>
          <w:caps/>
          <w:kern w:val="28"/>
          <w:sz w:val="28"/>
          <w:szCs w:val="20"/>
          <w:lang w:val="x-none" w:eastAsia="x-none"/>
        </w:rPr>
        <w:t xml:space="preserve">10. PRZEPISY ZWIĄZANE </w:t>
      </w:r>
    </w:p>
    <w:p w14:paraId="236FC8FC"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10.1. </w:t>
      </w:r>
      <w:r w:rsidRPr="001565C9">
        <w:rPr>
          <w:rFonts w:ascii="Arial Narrow" w:eastAsia="Times New Roman" w:hAnsi="Arial Narrow" w:cs="Times New Roman"/>
          <w:b/>
          <w:sz w:val="28"/>
          <w:szCs w:val="20"/>
          <w:lang w:val="x-none" w:eastAsia="x-none"/>
        </w:rPr>
        <w:tab/>
        <w:t xml:space="preserve">Normy </w:t>
      </w:r>
    </w:p>
    <w:p w14:paraId="127E3D99" w14:textId="77777777" w:rsidR="001565C9" w:rsidRPr="001565C9" w:rsidRDefault="001565C9" w:rsidP="001565C9">
      <w:pPr>
        <w:numPr>
          <w:ilvl w:val="0"/>
          <w:numId w:val="5"/>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12591 Asfalty i produkty asfaltowe - Wymagania dla asfaltów drogowych </w:t>
      </w:r>
    </w:p>
    <w:p w14:paraId="100DC617"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12597 Asfalty i produkty asfaltowe - Terminologia </w:t>
      </w:r>
    </w:p>
    <w:p w14:paraId="7B7519F9"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13808 Asfalty i lepiszcza asfaltowe - Zasady klasyfikacji kationowych emulsji asfaltowych </w:t>
      </w:r>
    </w:p>
    <w:p w14:paraId="56725972"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14023 Asfalty i lepiszcza asfaltowe - Zasady klasyfikacji asfaltów modyfikowanych polimerami </w:t>
      </w:r>
    </w:p>
    <w:p w14:paraId="7BDE4B25"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13924-2 Asfalty i lepiszcza asfaltowe - Zasady klasyfikacji asfaltów drogowych specjalnych - Część 2: Asfalty drogowe wielorodzajowe </w:t>
      </w:r>
    </w:p>
    <w:p w14:paraId="19F5B764"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lastRenderedPageBreak/>
        <w:t xml:space="preserve">PN-EN 13043 Kruszywa do mieszanek bitumicznych i powierzchniowych utrwaleń stosowanych na drogach, lotniskach i innych powierzchniach przeznaczonych do ruchu </w:t>
      </w:r>
    </w:p>
    <w:p w14:paraId="02892F01"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932-3 Badania podstawowych właściwości kruszyw – Procedura i terminologia uproszczonego opisu petrograficznego </w:t>
      </w:r>
    </w:p>
    <w:p w14:paraId="63DCEB43"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932-5 Badania podstawowych właściwości kruszyw – Część 5: Wyposażenie podstawowe i wzorcowanie </w:t>
      </w:r>
    </w:p>
    <w:p w14:paraId="2D3A687F"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933-1 Badania geometrycznych właściwości kruszyw – Oznaczanie składu ziarnowego. Metoda przesiewania </w:t>
      </w:r>
    </w:p>
    <w:p w14:paraId="34C7A3FC"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933-3 Badania geometrycznych właściwości kruszyw – Oznaczanie kształtu ziaren za pomocą wskaźnika płaskości </w:t>
      </w:r>
    </w:p>
    <w:p w14:paraId="69EAB7D6"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933-4 Badania geometrycznych właściwości kruszyw – Część 4: Oznaczanie kształtu ziaren – Wskaźnik kształtu </w:t>
      </w:r>
    </w:p>
    <w:p w14:paraId="6C9B7CE8"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933-5 Badania geometrycznych właściwości kruszyw – Oznaczanie procentowej zawartości ziaren o powierzchniach powstałych w wyniku przekruszenia lub łamania kruszyw grubych </w:t>
      </w:r>
    </w:p>
    <w:p w14:paraId="2413CD43"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933-6 Badania geometrycznych właściwości kruszyw – Część 6: Ocena właściwości powierzchni – Wskaźnik przepływu kruszywa </w:t>
      </w:r>
    </w:p>
    <w:p w14:paraId="26B65C48"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933-9 Badania geometrycznych właściwości kruszyw – Ocena zawartości drobnych cząstek – Badania błękitem metylenowym </w:t>
      </w:r>
    </w:p>
    <w:p w14:paraId="3CFF00EF"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EN 933-10 Badania geometrycznych właściwości kruszyw – Część 10: Ocena zawartość drobnych cząstek – Uziarnienie wypełniaczy (przesiewanie w strumieniu powietrza) </w:t>
      </w:r>
    </w:p>
    <w:p w14:paraId="1DD3B54E"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1097-2 Badania mechanicznych i fizycznych właściwości kruszyw – Metody oznaczania odporności na rozdrabianie </w:t>
      </w:r>
    </w:p>
    <w:p w14:paraId="5DDF3B10"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1097-3 Badania mechanicznych i fizycznych właściwości kruszyw – Oznaczanie gęstości nasypowej i jamistości </w:t>
      </w:r>
    </w:p>
    <w:p w14:paraId="57E9CAD3"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1097-4 Badania mechanicznych i fizycznych właściwości kruszyw – Część 4: Oznaczanie pustych przestrzeni suchego, zagęszczonego wypełniacza </w:t>
      </w:r>
    </w:p>
    <w:p w14:paraId="3F16DDB7"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1097-5 Badania mechanicznych i fizycznych właściwości kruszyw – Część 5: Oznaczanie zawartości wody przez suszenie w suszarce z wentylacją </w:t>
      </w:r>
    </w:p>
    <w:p w14:paraId="6B447FE2"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1097-6 Badania mechanicznych i fizycznych właściwości kruszyw – Część 6: </w:t>
      </w:r>
    </w:p>
    <w:p w14:paraId="3DEAE91A"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12697-1 Mieszanki mineralno-asfaltowe - Metody badań mieszanek mineralnoasfaltowych na gorąco – Część 1: Zawartość lepiszcza rozpuszczalnego </w:t>
      </w:r>
    </w:p>
    <w:p w14:paraId="77FD68C7"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12697-2 Mieszanki mineralno-asfaltowe - Metody badań mieszanek mineralnoasfaltowych na gorąco – Część 2: Oznaczanie składu ziarnowego </w:t>
      </w:r>
    </w:p>
    <w:p w14:paraId="4FA98E6E"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12697-3 Mieszanki mineralno-asfaltowe - Metody badań mieszanek mineralnoasfaltowych na gorąco – Część 3: Odzyskiwanie asfaltu - Wyparka obrotowa </w:t>
      </w:r>
    </w:p>
    <w:p w14:paraId="36CA00C8"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12697-4 Mieszanki mineralno-asfaltowe - Metody badań mieszanek mineralnoasfaltowych na gorąco – Część 4: Odzyskiwanie asfaltu - Kolumna do destylacji frakcyjnej </w:t>
      </w:r>
    </w:p>
    <w:p w14:paraId="7E8CC4EE"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12697-5 Mieszanki mineralno-asfaltowe - Metody badań mieszanek mineralnoasfaltowych na gorąco – Część 5: Oznaczanie gęstości </w:t>
      </w:r>
    </w:p>
    <w:p w14:paraId="796BDB37"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12697-6 Mieszanki mineralno-asfaltowe - Metody badań mieszanek mineralnoasfaltowych na gorąco – Część 6: Oznaczanie gęstości objętościowej metodą hydrostatyczną </w:t>
      </w:r>
    </w:p>
    <w:p w14:paraId="39C5B774"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12697-8 Mieszanki mineralno-asfaltowe - Metody badań mieszanek mineralnoasfaltowych na gorąco – Część 8: Oznaczanie zawartości wolnej przestrzeni </w:t>
      </w:r>
    </w:p>
    <w:p w14:paraId="711BBB53"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12697-10 Mieszanki mineralno-asfaltowe - Metody badań mieszanek mineralno-asfaltowych na gorąco – Część 10: Zagęszczalność </w:t>
      </w:r>
    </w:p>
    <w:p w14:paraId="4FEE455B"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12697-11 Mieszanki mineralno-asfaltowe - Metody badań mieszanek mineralno-asfaltowych na gorąco – Część 11: Określenie powiązania pomiędzy kruszywem i asfaltem </w:t>
      </w:r>
    </w:p>
    <w:p w14:paraId="02E7849C"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12697-12 Mieszanki mineralno-asfaltowe - Metody badania mieszanek mineralno-asfaltowych na gorąco – Część 12: Określanie wrażliwości na wodę </w:t>
      </w:r>
    </w:p>
    <w:p w14:paraId="06D71244"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12697-17 Mieszanki mineralno-asfaltowe - Metody badań mieszanek mineralno-asfaltowych na gorąco – Część 17: Ubytek ziaren </w:t>
      </w:r>
    </w:p>
    <w:p w14:paraId="03E47A06"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12697-18 Mieszanki mineralno-asfaltowe - Metody badań mieszanek mineralno-asfaltowych na gorąco – Część 18: Spływanie lepiszcza </w:t>
      </w:r>
    </w:p>
    <w:p w14:paraId="6F29EEF1"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EN 12697-20 Mieszanki mineralno-asfaltowe - Metody badań mieszanek mineralno-asfaltowych na gorąco – Część 20: Penetracja próbek sześciennych lub Marshalla </w:t>
      </w:r>
    </w:p>
    <w:p w14:paraId="36C07C08"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12697-22 Mieszanki mineralno-asfaltowe - Metody badań mieszanek mineralno-asfaltowych na gorąco – Część 22: Koleinowanie </w:t>
      </w:r>
    </w:p>
    <w:p w14:paraId="116301D2"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12697-23 Mieszanki mineralno-asfaltowe - Metody badania mieszanek mineralno-asfaltowych na gorąco – Część 23: Określanie pośredniej wytrzymałości na rozciąganie próbek asfaltowych </w:t>
      </w:r>
    </w:p>
    <w:p w14:paraId="1E4990A2"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12697-24 Mieszanki mineralno-asfaltowe - Metody badań mieszanek mineralno-asfaltowych na gorąco – Część 24: Odporność na zmęczenie </w:t>
      </w:r>
    </w:p>
    <w:p w14:paraId="073E6B4D"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12697-25 Mieszanki mineralno-asfaltowe - Metody badań mieszanek mineralno-asfaltowych na gorąco – Część 25: Penetracja dynamiczna  </w:t>
      </w:r>
    </w:p>
    <w:p w14:paraId="00A7114A"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12697-26 Mieszanki mineralno-asfaltowe - Metody badań mieszanek mineralno-asfaltowych na gorąco – Część 26: Sztywność </w:t>
      </w:r>
    </w:p>
    <w:p w14:paraId="244EECB9"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12697-27 Mieszanki mineralno-asfaltowe - Metody badań mieszanek mineralno-asfaltowych na gorąco – Część 27: Pobieranie próbek </w:t>
      </w:r>
    </w:p>
    <w:p w14:paraId="02DC2877"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12697-28 Mieszanki mineralno-asfaltowe - Metody badań mieszanek mineralno-asfaltowych na gorąco – Część 28: Przygotowanie próbek do oznaczania zawartości lepiszcza, zawartości wody i uziarnienia </w:t>
      </w:r>
    </w:p>
    <w:p w14:paraId="5308FF22"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lastRenderedPageBreak/>
        <w:t xml:space="preserve">PN-EN 12697-29 Mieszanki mineralno-asfaltowe - Metoda badania mieszanek mineralno-asfaltowych na gorąco – Część 29: Pomiar próbki z zagęszczonej mieszanki mineralno-asfaltowej </w:t>
      </w:r>
    </w:p>
    <w:p w14:paraId="1B30AFC2"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12697-30 Mieszanki mineralno-asfaltowe - Metody badań mieszanek mineralno-asfaltowych na gorąco – Część 30: Przygotowanie próbek zagęszczonych przez ubijanie </w:t>
      </w:r>
    </w:p>
    <w:p w14:paraId="35D36398"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12697-31 Mieszanki mineralno-asfaltowe - Metody badań mieszanek mineralno-asfaltowych na gorąco – Część 31: Próbki przygotowane w prasie żyratorowej </w:t>
      </w:r>
    </w:p>
    <w:p w14:paraId="09A087F4"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12697-33 Mieszanki mineralno-asfaltowe - Metody badań mieszanek mineralno-asfaltowych na gorąco – Część 33: Przygotowanie próbek zagęszczanych walcem </w:t>
      </w:r>
    </w:p>
    <w:p w14:paraId="6E8C44EC"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12697-35 Mieszanki mineralno-asfaltowe - Metody badań mieszanek mineralno-asfaltowych na gorąco – Część 35: Mieszanie laboratoryjne </w:t>
      </w:r>
    </w:p>
    <w:p w14:paraId="163D1529"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12697-38 Mieszanki mineralno-asfaltowe - Metody badań mieszanek mineralno-asfaltowych na gorąco – Część 38: Podstawowe wyposażenie i kalibracja </w:t>
      </w:r>
    </w:p>
    <w:p w14:paraId="40619073"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12697-40 Mieszanki mineralno-asfaltowe - Metody badań mieszanek mineralno-asfaltowych na gorąco – Część 40: Wodoprzepuszczalność „in-situ” </w:t>
      </w:r>
    </w:p>
    <w:p w14:paraId="79EF5B59"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12697-42 Mieszanki mineralno-asfaltowe - Metody badań mieszanek mineralno-asfaltowych na gorąco – Część 42: Zawartość zanieczyszczeń w destrukcie asfaltowym </w:t>
      </w:r>
    </w:p>
    <w:p w14:paraId="6E9061C9"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14188-1 Wypełniacze szczelin i zalewy drogowe - Część 1: Wymagania wobec zalew drogowych na gorąco </w:t>
      </w:r>
    </w:p>
    <w:p w14:paraId="340450FC"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EN 12272-1 Powierzchniowe utrwalanie - Metody badań - Część 1: Dozowanie i poprzeczny rozkład lepiszcza i kruszywa </w:t>
      </w:r>
    </w:p>
    <w:p w14:paraId="24A39BDB"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13108-1 Mieszanki mineralno-asfaltowe - Wymagania - Część 1: Beton asfaltowy </w:t>
      </w:r>
    </w:p>
    <w:p w14:paraId="339EDEE6"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13108-8 Mieszanki mineralno-asfaltowe - Wymagania - Część 8: Destrukt asfaltowy </w:t>
      </w:r>
    </w:p>
    <w:p w14:paraId="70D9FC30"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13108-20 Mieszanki mineralno-asfaltowe - Wymagania - Część 20: Badanie typu </w:t>
      </w:r>
    </w:p>
    <w:p w14:paraId="75ACA715"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PN-EN 13108-21 Mieszanki mineralno-asfaltowe - Wymagania - Część 21: Zakładowa Kontrola Produkcji </w:t>
      </w:r>
    </w:p>
    <w:p w14:paraId="7B92D553" w14:textId="77777777" w:rsidR="001565C9" w:rsidRPr="001565C9" w:rsidRDefault="001565C9" w:rsidP="001565C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565C9">
        <w:rPr>
          <w:rFonts w:ascii="Arial Narrow" w:eastAsia="Times New Roman" w:hAnsi="Arial Narrow" w:cs="Times New Roman"/>
          <w:b/>
          <w:sz w:val="28"/>
          <w:szCs w:val="20"/>
          <w:lang w:val="x-none" w:eastAsia="x-none"/>
        </w:rPr>
        <w:t xml:space="preserve">10.2. Inne dokumenty </w:t>
      </w:r>
    </w:p>
    <w:p w14:paraId="4B0EC55E" w14:textId="77777777" w:rsidR="001565C9" w:rsidRPr="001565C9" w:rsidRDefault="001565C9" w:rsidP="001565C9">
      <w:pPr>
        <w:numPr>
          <w:ilvl w:val="0"/>
          <w:numId w:val="5"/>
        </w:numPr>
        <w:overflowPunct w:val="0"/>
        <w:autoSpaceDE w:val="0"/>
        <w:autoSpaceDN w:val="0"/>
        <w:adjustRightInd w:val="0"/>
        <w:spacing w:after="0" w:line="240" w:lineRule="auto"/>
        <w:ind w:left="644"/>
        <w:jc w:val="both"/>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Rozporządzenie Ministra Transportu i Gospodarki Morskiej z dnia 2 marca 1999 r. w sprawie warunków technicznych, jakim powinny odpowiadać drogi publiczne i ich usytuowanie (Dz. U. z 2016 r. poz. 124, z późn. zm.)</w:t>
      </w:r>
      <w:r w:rsidRPr="001565C9">
        <w:rPr>
          <w:rFonts w:ascii="Arial Narrow" w:eastAsia="Times New Roman" w:hAnsi="Arial Narrow" w:cs="Times New Roman"/>
          <w:b/>
          <w:sz w:val="20"/>
          <w:szCs w:val="20"/>
          <w:lang w:val="x-none" w:eastAsia="x-none"/>
        </w:rPr>
        <w:t xml:space="preserve"> </w:t>
      </w:r>
    </w:p>
    <w:p w14:paraId="10B67680"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WT-1  2014 Kruszywa do nawierzchni drogowych i powierzchniowych utrwaleń na drogach krajowych  </w:t>
      </w:r>
    </w:p>
    <w:p w14:paraId="42ECCDB0"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WT-2 2014 – część I Mieszanki mineralno-asfaltowe. Wymagania Techniczne. Nawierzchnie asfaltowe na drogach krajowych.  </w:t>
      </w:r>
    </w:p>
    <w:p w14:paraId="119BB3D4"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WT-2  2016 – część II Wykonanie warstw nawierzchni asfaltowych. Wymagania techniczne. </w:t>
      </w:r>
    </w:p>
    <w:p w14:paraId="1D4E8C28"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Instrukcja laboratoryjnego badania sczepności międzywarstwowej warstw asfaltowych wg. metody Leutnera i wymagania techniczne sczepności” Politechnika Gdańska 2014. </w:t>
      </w:r>
    </w:p>
    <w:p w14:paraId="6963A096" w14:textId="77777777" w:rsidR="001565C9" w:rsidRPr="001565C9" w:rsidRDefault="001565C9" w:rsidP="001565C9">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Instrukcja DP-T14 Ocena jakości na drogach krajowych. Część I-Roboty drogowe. 2017. </w:t>
      </w:r>
    </w:p>
    <w:p w14:paraId="2E149454" w14:textId="77777777" w:rsidR="001565C9" w:rsidRPr="001565C9" w:rsidRDefault="001565C9" w:rsidP="001565C9">
      <w:pPr>
        <w:overflowPunct w:val="0"/>
        <w:autoSpaceDE w:val="0"/>
        <w:autoSpaceDN w:val="0"/>
        <w:adjustRightInd w:val="0"/>
        <w:spacing w:after="0" w:line="240" w:lineRule="auto"/>
        <w:ind w:left="717" w:hanging="360"/>
        <w:textAlignment w:val="baseline"/>
        <w:rPr>
          <w:rFonts w:ascii="Arial Narrow" w:eastAsia="Times New Roman" w:hAnsi="Arial Narrow" w:cs="Times New Roman"/>
          <w:sz w:val="20"/>
          <w:szCs w:val="20"/>
          <w:lang w:val="x-none" w:eastAsia="x-none"/>
        </w:rPr>
      </w:pPr>
      <w:r w:rsidRPr="001565C9">
        <w:rPr>
          <w:rFonts w:ascii="Arial Narrow" w:eastAsia="Times New Roman" w:hAnsi="Arial Narrow" w:cs="Times New Roman"/>
          <w:sz w:val="20"/>
          <w:szCs w:val="20"/>
          <w:lang w:val="x-none" w:eastAsia="x-none"/>
        </w:rPr>
        <w:t xml:space="preserve">Projekt RIB I/6 Wykorzystanie materiałów pochodzących z recyklingu. Zadanie 2. Recykling na gorąco. Załącznik nr 9.2.1, Załącznik nr 9.2.2, Załącznik nr 9.2.3 </w:t>
      </w:r>
    </w:p>
    <w:p w14:paraId="05F0E36A" w14:textId="247B48E8"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28A8B291" w14:textId="6AD726AF"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5AF408C0" w14:textId="5F008D48"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3338F3B3" w14:textId="2AE9ED20"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6B3AA8F5" w14:textId="4470B205"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326A3CC3" w14:textId="30A9E19A"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0040A5D8" w14:textId="4B26FB3A"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3180BCE9" w14:textId="32DBFA88"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3C26FC9D" w14:textId="3EB5D845"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6136A29C" w14:textId="080928D2"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626FB436" w14:textId="72617719"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2022E11C" w14:textId="7522BFB8"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5121D9CC" w14:textId="1AAD4CF1"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056D6743" w14:textId="511F212C"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324878CA" w14:textId="214EB520"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63875B00" w14:textId="5ABAE8B0"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4F7D9209" w14:textId="1F5844E7"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18581F66" w14:textId="07B9387E"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67B8E23C" w14:textId="3ACBF4EF"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3D804632" w14:textId="7D11D00A"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2F6714B5" w14:textId="20922E03" w:rsidR="001565C9" w:rsidRDefault="001565C9"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p>
    <w:p w14:paraId="28A1280D" w14:textId="74A4B19D"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r w:rsidRPr="00AD1E0F">
        <w:rPr>
          <w:rFonts w:ascii="Arial Narrow" w:eastAsia="Times New Roman" w:hAnsi="Arial Narrow" w:cs="Times New Roman"/>
          <w:b/>
          <w:sz w:val="28"/>
          <w:szCs w:val="20"/>
          <w:lang w:eastAsia="pl-PL"/>
        </w:rPr>
        <w:lastRenderedPageBreak/>
        <w:t>D – 05.03.11 FREZOWANIE NAWIERZCHNI BITUMICZNYCH NA ZIMNO</w:t>
      </w:r>
      <w:bookmarkEnd w:id="618"/>
    </w:p>
    <w:p w14:paraId="498A4AB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Kod CPV: 45233000-9</w:t>
      </w:r>
    </w:p>
    <w:p w14:paraId="59625AE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Roboty w zakresie konstruowania, fundamentowania oraz wykonywania nawierzchni autostrad, dróg</w:t>
      </w:r>
    </w:p>
    <w:p w14:paraId="2D471243" w14:textId="77777777" w:rsidR="00AD1E0F" w:rsidRPr="00AD1E0F" w:rsidRDefault="00AD1E0F" w:rsidP="00AD1E0F">
      <w:pPr>
        <w:spacing w:after="0" w:line="240" w:lineRule="auto"/>
        <w:ind w:firstLine="454"/>
        <w:jc w:val="center"/>
        <w:rPr>
          <w:rFonts w:ascii="Arial Narrow" w:eastAsia="Calibri" w:hAnsi="Arial Narrow" w:cs="Times New Roman"/>
        </w:rPr>
      </w:pPr>
    </w:p>
    <w:p w14:paraId="1A9457DA"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AD1E0F">
        <w:rPr>
          <w:rFonts w:ascii="Arial Narrow" w:eastAsia="Times New Roman" w:hAnsi="Arial Narrow" w:cs="Times New Roman"/>
          <w:b/>
          <w:caps/>
          <w:kern w:val="28"/>
          <w:sz w:val="28"/>
          <w:szCs w:val="20"/>
          <w:lang w:eastAsia="x-none"/>
        </w:rPr>
        <w:t xml:space="preserve">1. </w:t>
      </w:r>
      <w:r w:rsidRPr="00AD1E0F">
        <w:rPr>
          <w:rFonts w:ascii="Arial Narrow" w:eastAsia="Times New Roman" w:hAnsi="Arial Narrow" w:cs="Times New Roman"/>
          <w:b/>
          <w:caps/>
          <w:kern w:val="28"/>
          <w:sz w:val="28"/>
          <w:szCs w:val="20"/>
          <w:lang w:val="x-none" w:eastAsia="x-none"/>
        </w:rPr>
        <w:t>wstęp</w:t>
      </w:r>
    </w:p>
    <w:p w14:paraId="47FB12EC"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eastAsia="x-none"/>
        </w:rPr>
        <w:t xml:space="preserve">1.1 </w:t>
      </w:r>
      <w:r w:rsidRPr="00AD1E0F">
        <w:rPr>
          <w:rFonts w:ascii="Arial Narrow" w:eastAsia="Times New Roman" w:hAnsi="Arial Narrow" w:cs="Times New Roman"/>
          <w:b/>
          <w:sz w:val="28"/>
          <w:szCs w:val="20"/>
          <w:lang w:val="x-none" w:eastAsia="x-none"/>
        </w:rPr>
        <w:t>Przedmiot STWiORB</w:t>
      </w:r>
    </w:p>
    <w:p w14:paraId="0611C194" w14:textId="77777777" w:rsidR="00AD1E0F" w:rsidRPr="00AD1E0F" w:rsidRDefault="00AD1E0F" w:rsidP="00AD1E0F">
      <w:pPr>
        <w:spacing w:after="0" w:line="240" w:lineRule="auto"/>
        <w:ind w:firstLine="454"/>
        <w:jc w:val="both"/>
        <w:rPr>
          <w:rFonts w:ascii="Arial Narrow" w:eastAsia="Calibri" w:hAnsi="Arial Narrow" w:cs="Times New Roman"/>
          <w:sz w:val="20"/>
        </w:rPr>
      </w:pPr>
      <w:r w:rsidRPr="00AD1E0F">
        <w:rPr>
          <w:rFonts w:ascii="Arial Narrow" w:eastAsia="Times New Roman" w:hAnsi="Arial Narrow" w:cs="Times New Roman"/>
          <w:sz w:val="20"/>
          <w:szCs w:val="20"/>
          <w:lang w:eastAsia="pl-PL"/>
        </w:rPr>
        <w:t>Przedmiotem niniejszej szczegółowej specyfikacji technicznej (SST) są wymagania dotyczące wykonania i odbioru robót związanych wykonywaniem frezowanie nawierzchni bitumicznych na zimno</w:t>
      </w:r>
      <w:r w:rsidRPr="00AD1E0F">
        <w:rPr>
          <w:rFonts w:ascii="Arial Narrow" w:eastAsia="Calibri" w:hAnsi="Arial Narrow" w:cs="Times New Roman"/>
          <w:sz w:val="20"/>
        </w:rPr>
        <w:t>.</w:t>
      </w:r>
    </w:p>
    <w:p w14:paraId="723BF612"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eastAsia="x-none"/>
        </w:rPr>
        <w:t xml:space="preserve">1.2 </w:t>
      </w:r>
      <w:r w:rsidRPr="00AD1E0F">
        <w:rPr>
          <w:rFonts w:ascii="Arial Narrow" w:eastAsia="Times New Roman" w:hAnsi="Arial Narrow" w:cs="Times New Roman"/>
          <w:b/>
          <w:sz w:val="28"/>
          <w:szCs w:val="20"/>
          <w:lang w:val="x-none" w:eastAsia="x-none"/>
        </w:rPr>
        <w:t>Zakres stosowania STWiORB</w:t>
      </w:r>
    </w:p>
    <w:p w14:paraId="015C104C" w14:textId="0C97EE18" w:rsidR="00AD1E0F" w:rsidRPr="00AD1E0F" w:rsidRDefault="00AD1E0F" w:rsidP="00AD1E0F">
      <w:pPr>
        <w:tabs>
          <w:tab w:val="left" w:pos="-1440"/>
          <w:tab w:val="left" w:pos="-720"/>
          <w:tab w:val="left" w:pos="0"/>
        </w:tabs>
        <w:spacing w:after="0" w:line="240" w:lineRule="auto"/>
        <w:ind w:firstLine="454"/>
        <w:jc w:val="both"/>
        <w:rPr>
          <w:rFonts w:ascii="Arial Narrow" w:eastAsia="Calibri" w:hAnsi="Arial Narrow" w:cs="Arial"/>
          <w:spacing w:val="-3"/>
          <w:sz w:val="20"/>
        </w:rPr>
      </w:pPr>
      <w:r w:rsidRPr="00AD1E0F">
        <w:rPr>
          <w:rFonts w:ascii="Arial Narrow" w:eastAsia="Calibri" w:hAnsi="Arial Narrow" w:cs="Arial"/>
          <w:sz w:val="20"/>
        </w:rPr>
        <w:t xml:space="preserve">Specyfikacje Techniczne Wykonania i Odbioru Robót Budowlanych </w:t>
      </w:r>
      <w:r w:rsidRPr="00AD1E0F">
        <w:rPr>
          <w:rFonts w:ascii="Arial Narrow" w:eastAsia="Calibri" w:hAnsi="Arial Narrow" w:cs="Arial"/>
          <w:spacing w:val="-3"/>
          <w:sz w:val="20"/>
        </w:rPr>
        <w:t>stanowią Dokument Przetargowy i Kontraktowy przy zlecaniu i realizacji robót na drogach.</w:t>
      </w:r>
    </w:p>
    <w:p w14:paraId="43E9DB8C" w14:textId="77777777" w:rsidR="00AD1E0F" w:rsidRPr="00AD1E0F" w:rsidRDefault="00AD1E0F" w:rsidP="00AD1E0F">
      <w:pPr>
        <w:tabs>
          <w:tab w:val="left" w:pos="-1440"/>
          <w:tab w:val="left" w:pos="-720"/>
          <w:tab w:val="left" w:pos="0"/>
        </w:tabs>
        <w:spacing w:after="0" w:line="240" w:lineRule="auto"/>
        <w:ind w:firstLine="454"/>
        <w:jc w:val="both"/>
        <w:rPr>
          <w:rFonts w:ascii="Arial Narrow" w:eastAsia="Calibri" w:hAnsi="Arial Narrow" w:cs="Arial"/>
          <w:spacing w:val="-3"/>
          <w:sz w:val="20"/>
        </w:rPr>
      </w:pPr>
    </w:p>
    <w:p w14:paraId="7D985C94"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72" w:name="_Toc495830283"/>
      <w:r w:rsidRPr="00AD1E0F">
        <w:rPr>
          <w:rFonts w:ascii="Arial Narrow" w:eastAsia="Times New Roman" w:hAnsi="Arial Narrow" w:cs="Times New Roman"/>
          <w:b/>
          <w:sz w:val="28"/>
          <w:szCs w:val="20"/>
          <w:lang w:val="x-none" w:eastAsia="x-none"/>
        </w:rPr>
        <w:t>1.3. Zakres robót objętych SST</w:t>
      </w:r>
      <w:bookmarkEnd w:id="672"/>
    </w:p>
    <w:p w14:paraId="5924937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Ustalenia zawarte w niniejszej specyfikacji dotyczą zasad prowadzenia robót związanych z frezowaniem nawierzchni asfaltowych na zimno.</w:t>
      </w:r>
    </w:p>
    <w:p w14:paraId="6B397C04"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73" w:name="_Toc495830284"/>
      <w:r w:rsidRPr="00AD1E0F">
        <w:rPr>
          <w:rFonts w:ascii="Arial Narrow" w:eastAsia="Times New Roman" w:hAnsi="Arial Narrow" w:cs="Times New Roman"/>
          <w:b/>
          <w:sz w:val="28"/>
          <w:szCs w:val="20"/>
          <w:lang w:val="x-none" w:eastAsia="x-none"/>
        </w:rPr>
        <w:t>1.4. Określenia podstawowe</w:t>
      </w:r>
      <w:bookmarkEnd w:id="673"/>
    </w:p>
    <w:p w14:paraId="17578C1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1.4.1. </w:t>
      </w:r>
      <w:r w:rsidRPr="00AD1E0F">
        <w:rPr>
          <w:rFonts w:ascii="Arial Narrow" w:eastAsia="Times New Roman" w:hAnsi="Arial Narrow" w:cs="Times New Roman"/>
          <w:sz w:val="20"/>
          <w:szCs w:val="20"/>
          <w:lang w:eastAsia="pl-PL"/>
        </w:rPr>
        <w:t>Recykling nawierzchni asfaltowej - powtórne użycie mieszanki mineralno-asfaltowej odzyskanej z nawierzchni.</w:t>
      </w:r>
    </w:p>
    <w:p w14:paraId="14A6BBF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1.4.2. </w:t>
      </w:r>
      <w:r w:rsidRPr="00AD1E0F">
        <w:rPr>
          <w:rFonts w:ascii="Arial Narrow" w:eastAsia="Times New Roman" w:hAnsi="Arial Narrow" w:cs="Times New Roman"/>
          <w:sz w:val="20"/>
          <w:szCs w:val="20"/>
          <w:lang w:eastAsia="pl-PL"/>
        </w:rPr>
        <w:t>Frezowanie nawierzchni asfaltowej na zimno - kontrolowany proces skrawania górnej warstwy nawierzchni asfaltowej, bez jej ogrzania, na określoną głębokość.</w:t>
      </w:r>
    </w:p>
    <w:p w14:paraId="5B8558C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1.4.3. </w:t>
      </w:r>
      <w:r w:rsidRPr="00AD1E0F">
        <w:rPr>
          <w:rFonts w:ascii="Arial Narrow" w:eastAsia="Times New Roman" w:hAnsi="Arial Narrow" w:cs="Times New Roman"/>
          <w:sz w:val="20"/>
          <w:szCs w:val="20"/>
          <w:lang w:eastAsia="pl-PL"/>
        </w:rPr>
        <w:t>Pozostałe określenia są zgodne z obowiązującymi, odpowiednimi polskimi normami i z definicjami podanymi w SST D-M-00.00.00 „Wymagania ogólne” pkt 1.4.</w:t>
      </w:r>
    </w:p>
    <w:p w14:paraId="25ACB685"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74" w:name="_Toc495830285"/>
      <w:r w:rsidRPr="00AD1E0F">
        <w:rPr>
          <w:rFonts w:ascii="Arial Narrow" w:eastAsia="Times New Roman" w:hAnsi="Arial Narrow" w:cs="Times New Roman"/>
          <w:b/>
          <w:sz w:val="28"/>
          <w:szCs w:val="20"/>
          <w:lang w:val="x-none" w:eastAsia="x-none"/>
        </w:rPr>
        <w:t>1.5. Ogólne wymagania dotyczące robót</w:t>
      </w:r>
      <w:bookmarkEnd w:id="674"/>
    </w:p>
    <w:p w14:paraId="6DE2E46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Ogólne wymagania dotyczące robót podano w SST D-M-00.00.00 „Wymagania ogólne” pkt 1.5.</w:t>
      </w:r>
    </w:p>
    <w:p w14:paraId="3462412E"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75" w:name="_Toc495830286"/>
      <w:r w:rsidRPr="00AD1E0F">
        <w:rPr>
          <w:rFonts w:ascii="Arial Narrow" w:eastAsia="Times New Roman" w:hAnsi="Arial Narrow" w:cs="Times New Roman"/>
          <w:b/>
          <w:caps/>
          <w:kern w:val="28"/>
          <w:sz w:val="28"/>
          <w:szCs w:val="20"/>
          <w:lang w:val="x-none" w:eastAsia="x-none"/>
        </w:rPr>
        <w:t>2. materiały</w:t>
      </w:r>
      <w:bookmarkEnd w:id="675"/>
    </w:p>
    <w:p w14:paraId="386B46D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Nie występują.</w:t>
      </w:r>
    </w:p>
    <w:p w14:paraId="068AA598"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76" w:name="_Toc495830287"/>
      <w:r w:rsidRPr="00AD1E0F">
        <w:rPr>
          <w:rFonts w:ascii="Arial Narrow" w:eastAsia="Times New Roman" w:hAnsi="Arial Narrow" w:cs="Times New Roman"/>
          <w:b/>
          <w:caps/>
          <w:kern w:val="28"/>
          <w:sz w:val="28"/>
          <w:szCs w:val="20"/>
          <w:lang w:val="x-none" w:eastAsia="x-none"/>
        </w:rPr>
        <w:t>3. sprzęt</w:t>
      </w:r>
      <w:bookmarkEnd w:id="676"/>
    </w:p>
    <w:p w14:paraId="0FFF5DC3"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77" w:name="_Toc495830288"/>
      <w:r w:rsidRPr="00AD1E0F">
        <w:rPr>
          <w:rFonts w:ascii="Arial Narrow" w:eastAsia="Times New Roman" w:hAnsi="Arial Narrow" w:cs="Times New Roman"/>
          <w:b/>
          <w:sz w:val="28"/>
          <w:szCs w:val="20"/>
          <w:lang w:val="x-none" w:eastAsia="x-none"/>
        </w:rPr>
        <w:t>3.1. Ogólne wymagania dotyczące sprzętu</w:t>
      </w:r>
      <w:bookmarkEnd w:id="677"/>
    </w:p>
    <w:p w14:paraId="52BCB56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Ogólne wymagania dotyczące sprzętu podano w SST D-M-00.00.00 „Wymagania ogólne” pkt 3.</w:t>
      </w:r>
    </w:p>
    <w:p w14:paraId="2C8795F8"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78" w:name="_Toc495830289"/>
      <w:r w:rsidRPr="00AD1E0F">
        <w:rPr>
          <w:rFonts w:ascii="Arial Narrow" w:eastAsia="Times New Roman" w:hAnsi="Arial Narrow" w:cs="Times New Roman"/>
          <w:b/>
          <w:sz w:val="28"/>
          <w:szCs w:val="20"/>
          <w:lang w:val="x-none" w:eastAsia="x-none"/>
        </w:rPr>
        <w:t>3.2. Sprzęt do frezowania</w:t>
      </w:r>
      <w:bookmarkEnd w:id="678"/>
    </w:p>
    <w:p w14:paraId="6891205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Należy stosować frezarki drogowe umożliwiające frezowanie nawierzchni asfaltowej na zimno na określoną głębokość.</w:t>
      </w:r>
    </w:p>
    <w:p w14:paraId="22935E6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Frezarka powinna być sterowana elektronicznie i zapewniać zachowanie wymaganej równości oraz pochyleń poprzecznych i podłużnych powierzchni po frezowaniu. Do małych robót (naprawy części jezdni) Inżynier może dopuścić frezarki sterowane mechanicznie.</w:t>
      </w:r>
    </w:p>
    <w:p w14:paraId="0A98C43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Szerokość bębna frezującego powinna być dobrana zależnie od zakresu robót. Przy lokalnych naprawach szerokość bębna może być dostosowana do szerokości skrawanych elementów nawierzchni. Przy frezowaniu całej jezdni szerokość bębna skrawającego powinna być dostosowana do warunków terenowych.</w:t>
      </w:r>
    </w:p>
    <w:p w14:paraId="21AB8FE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Przy dużych robotach frezarki muszą być wyposażone w przenośnik sfrezowanego materiału, podający go z jezdni na środki transportu.</w:t>
      </w:r>
    </w:p>
    <w:p w14:paraId="4DBC4D4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Wykonawca może używać tylko frezarki zaakceptowane przez Inżyniera. Wykonawca powinien przedstawić dane techniczne frezarek, a w przypadkach jakichkolwiek wątpliwości przeprowadzić demonstrację pracy frezarki, na własny koszt.</w:t>
      </w:r>
    </w:p>
    <w:p w14:paraId="4BEEB8F9"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79" w:name="_Toc495830290"/>
      <w:r w:rsidRPr="00AD1E0F">
        <w:rPr>
          <w:rFonts w:ascii="Arial Narrow" w:eastAsia="Times New Roman" w:hAnsi="Arial Narrow" w:cs="Times New Roman"/>
          <w:b/>
          <w:caps/>
          <w:kern w:val="28"/>
          <w:sz w:val="28"/>
          <w:szCs w:val="20"/>
          <w:lang w:val="x-none" w:eastAsia="x-none"/>
        </w:rPr>
        <w:t>4. transport</w:t>
      </w:r>
      <w:bookmarkEnd w:id="679"/>
    </w:p>
    <w:p w14:paraId="203B0A2A"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80" w:name="_Toc495830291"/>
      <w:r w:rsidRPr="00AD1E0F">
        <w:rPr>
          <w:rFonts w:ascii="Arial Narrow" w:eastAsia="Times New Roman" w:hAnsi="Arial Narrow" w:cs="Times New Roman"/>
          <w:b/>
          <w:sz w:val="28"/>
          <w:szCs w:val="20"/>
          <w:lang w:val="x-none" w:eastAsia="x-none"/>
        </w:rPr>
        <w:t>4.1. Ogólne wymagania dotyczące transportu</w:t>
      </w:r>
      <w:bookmarkEnd w:id="680"/>
    </w:p>
    <w:p w14:paraId="1401C1B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Ogólne wymagania dotyczące transportu podano w SST D-M-00.00.00 „Wymagania ogólne” pkt 4.</w:t>
      </w:r>
    </w:p>
    <w:p w14:paraId="2270E511"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81" w:name="_Toc495830292"/>
      <w:r w:rsidRPr="00AD1E0F">
        <w:rPr>
          <w:rFonts w:ascii="Arial Narrow" w:eastAsia="Times New Roman" w:hAnsi="Arial Narrow" w:cs="Times New Roman"/>
          <w:b/>
          <w:sz w:val="28"/>
          <w:szCs w:val="20"/>
          <w:lang w:val="x-none" w:eastAsia="x-none"/>
        </w:rPr>
        <w:t>4.2. Transport sfrezowanego materiału</w:t>
      </w:r>
      <w:bookmarkEnd w:id="681"/>
    </w:p>
    <w:p w14:paraId="60108C6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Transport sfrezowanego materiału powinien być tak zorganizowany, aby zapewnić pracę frezarki bez postojów. Materiał może być wywożony dowolnymi środkami transportowymi.</w:t>
      </w:r>
    </w:p>
    <w:p w14:paraId="75E6187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Materiał z frezowania stanowi własność Zamawiającego.</w:t>
      </w:r>
    </w:p>
    <w:p w14:paraId="1746568B"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82" w:name="_Toc495830293"/>
      <w:r w:rsidRPr="00AD1E0F">
        <w:rPr>
          <w:rFonts w:ascii="Arial Narrow" w:eastAsia="Times New Roman" w:hAnsi="Arial Narrow" w:cs="Times New Roman"/>
          <w:b/>
          <w:caps/>
          <w:kern w:val="28"/>
          <w:sz w:val="28"/>
          <w:szCs w:val="20"/>
          <w:lang w:val="x-none" w:eastAsia="x-none"/>
        </w:rPr>
        <w:t>5. wykonanie robót</w:t>
      </w:r>
      <w:bookmarkEnd w:id="682"/>
    </w:p>
    <w:p w14:paraId="0072D1F7"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83" w:name="_Toc495830294"/>
      <w:r w:rsidRPr="00AD1E0F">
        <w:rPr>
          <w:rFonts w:ascii="Arial Narrow" w:eastAsia="Times New Roman" w:hAnsi="Arial Narrow" w:cs="Times New Roman"/>
          <w:b/>
          <w:sz w:val="28"/>
          <w:szCs w:val="20"/>
          <w:lang w:val="x-none" w:eastAsia="x-none"/>
        </w:rPr>
        <w:t>5.1. Ogólne zasady wykonania robót</w:t>
      </w:r>
      <w:bookmarkEnd w:id="683"/>
    </w:p>
    <w:p w14:paraId="4FED9E7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Ogólne zasady wykonania robót podano w SST D-M-00.00.00 „Wymagania ogólne” pkt 5.</w:t>
      </w:r>
    </w:p>
    <w:p w14:paraId="69E400E2"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84" w:name="_Toc495830295"/>
      <w:r w:rsidRPr="00AD1E0F">
        <w:rPr>
          <w:rFonts w:ascii="Arial Narrow" w:eastAsia="Times New Roman" w:hAnsi="Arial Narrow" w:cs="Times New Roman"/>
          <w:b/>
          <w:sz w:val="28"/>
          <w:szCs w:val="20"/>
          <w:lang w:val="x-none" w:eastAsia="x-none"/>
        </w:rPr>
        <w:t>5.2. Wykonanie frezowania</w:t>
      </w:r>
      <w:bookmarkEnd w:id="684"/>
    </w:p>
    <w:p w14:paraId="6B02CD5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Nawierzchnia powinna być frezowana na pełną głębokość, szerokość.</w:t>
      </w:r>
    </w:p>
    <w:p w14:paraId="658D853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Jeżeli frezowana nawierzchnia ma być oddana do ruchu bez ułożenia nowej warstwy ścieralnej, to jej tekstura powinna być jednorodna, złożona z nieciągłych prążków podłużnych lub innych form geometrycznych, gwarantujących równość, szorstkość i estetyczny wygląd.</w:t>
      </w:r>
    </w:p>
    <w:p w14:paraId="013D32D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lastRenderedPageBreak/>
        <w:t>Jeżeli ruch drogowy ma być dopuszczony po sfrezowanej części jezdni, to wówczas, ze względów bezpieczeństwa należy spełnić następujące warunki:</w:t>
      </w:r>
    </w:p>
    <w:p w14:paraId="23D3B54D"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należy usunąć ścięty materiał i oczyścić nawierzchnię,</w:t>
      </w:r>
    </w:p>
    <w:p w14:paraId="0BDF0CFD"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przy frezowaniu poszczególnych pasów ruchu, wysokość podłużnych pionowych krawędzi nie może przekraczać </w:t>
      </w:r>
      <w:smartTag w:uri="urn:schemas-microsoft-com:office:smarttags" w:element="metricconverter">
        <w:smartTagPr>
          <w:attr w:name="ProductID" w:val="40 mm"/>
        </w:smartTagPr>
        <w:r w:rsidRPr="00AD1E0F">
          <w:rPr>
            <w:rFonts w:ascii="Arial Narrow" w:eastAsia="Times New Roman" w:hAnsi="Arial Narrow" w:cs="Times New Roman"/>
            <w:sz w:val="20"/>
            <w:szCs w:val="20"/>
            <w:lang w:val="x-none" w:eastAsia="x-none"/>
          </w:rPr>
          <w:t>40 mm</w:t>
        </w:r>
      </w:smartTag>
      <w:r w:rsidRPr="00AD1E0F">
        <w:rPr>
          <w:rFonts w:ascii="Arial Narrow" w:eastAsia="Times New Roman" w:hAnsi="Arial Narrow" w:cs="Times New Roman"/>
          <w:sz w:val="20"/>
          <w:szCs w:val="20"/>
          <w:lang w:val="x-none" w:eastAsia="x-none"/>
        </w:rPr>
        <w:t>,</w:t>
      </w:r>
    </w:p>
    <w:p w14:paraId="070205DE"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przy lokalnych naprawach polegających na sfrezowaniu nawierzchni przy linii krawężnika (ścieku) dopuszcza się większy uskok niż określono w pkt b), ale przy głębokości większej od </w:t>
      </w:r>
      <w:smartTag w:uri="urn:schemas-microsoft-com:office:smarttags" w:element="metricconverter">
        <w:smartTagPr>
          <w:attr w:name="ProductID" w:val="75 mm"/>
        </w:smartTagPr>
        <w:r w:rsidRPr="00AD1E0F">
          <w:rPr>
            <w:rFonts w:ascii="Arial Narrow" w:eastAsia="Times New Roman" w:hAnsi="Arial Narrow" w:cs="Times New Roman"/>
            <w:sz w:val="20"/>
            <w:szCs w:val="20"/>
            <w:lang w:val="x-none" w:eastAsia="x-none"/>
          </w:rPr>
          <w:t>75 mm</w:t>
        </w:r>
      </w:smartTag>
      <w:r w:rsidRPr="00AD1E0F">
        <w:rPr>
          <w:rFonts w:ascii="Arial Narrow" w:eastAsia="Times New Roman" w:hAnsi="Arial Narrow" w:cs="Times New Roman"/>
          <w:sz w:val="20"/>
          <w:szCs w:val="20"/>
          <w:lang w:val="x-none" w:eastAsia="x-none"/>
        </w:rPr>
        <w:t xml:space="preserve"> wymaga on specjalnego oznakowania,</w:t>
      </w:r>
    </w:p>
    <w:p w14:paraId="73A7B71A"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krawędzie poprzeczne na zakończenie dnia roboczego powinny być klinowo ścięte.</w:t>
      </w:r>
    </w:p>
    <w:p w14:paraId="04285167"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85" w:name="_Toc495830300"/>
      <w:r w:rsidRPr="00AD1E0F">
        <w:rPr>
          <w:rFonts w:ascii="Arial Narrow" w:eastAsia="Times New Roman" w:hAnsi="Arial Narrow" w:cs="Times New Roman"/>
          <w:b/>
          <w:caps/>
          <w:kern w:val="28"/>
          <w:sz w:val="28"/>
          <w:szCs w:val="20"/>
          <w:lang w:val="x-none" w:eastAsia="x-none"/>
        </w:rPr>
        <w:t>6. kontrola jakości robót</w:t>
      </w:r>
      <w:bookmarkEnd w:id="685"/>
    </w:p>
    <w:p w14:paraId="19C79C56"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86" w:name="_Toc495830301"/>
      <w:r w:rsidRPr="00AD1E0F">
        <w:rPr>
          <w:rFonts w:ascii="Arial Narrow" w:eastAsia="Times New Roman" w:hAnsi="Arial Narrow" w:cs="Times New Roman"/>
          <w:b/>
          <w:sz w:val="28"/>
          <w:szCs w:val="20"/>
          <w:lang w:val="x-none" w:eastAsia="x-none"/>
        </w:rPr>
        <w:t>6.1. Ogólne zasady kontroli jakości robót</w:t>
      </w:r>
      <w:bookmarkEnd w:id="686"/>
    </w:p>
    <w:p w14:paraId="19C5406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Ogólne zasady kontroli jakości robót podano w SST D-M-00.00.00 „Wymagania ogólne” pkt 6.</w:t>
      </w:r>
    </w:p>
    <w:p w14:paraId="3F444286"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87" w:name="_Toc495830302"/>
      <w:r w:rsidRPr="00AD1E0F">
        <w:rPr>
          <w:rFonts w:ascii="Arial Narrow" w:eastAsia="Times New Roman" w:hAnsi="Arial Narrow" w:cs="Times New Roman"/>
          <w:b/>
          <w:sz w:val="28"/>
          <w:szCs w:val="20"/>
          <w:lang w:val="x-none" w:eastAsia="x-none"/>
        </w:rPr>
        <w:t>6.2. Częstotliwość oraz zakres pomiarów kontrolnych</w:t>
      </w:r>
      <w:bookmarkEnd w:id="687"/>
    </w:p>
    <w:p w14:paraId="38B8F4B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Nie dotyczy.</w:t>
      </w:r>
    </w:p>
    <w:p w14:paraId="2A9192E9"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88" w:name="_Toc495830303"/>
      <w:r w:rsidRPr="00AD1E0F">
        <w:rPr>
          <w:rFonts w:ascii="Arial Narrow" w:eastAsia="Times New Roman" w:hAnsi="Arial Narrow" w:cs="Times New Roman"/>
          <w:b/>
          <w:caps/>
          <w:kern w:val="28"/>
          <w:sz w:val="28"/>
          <w:szCs w:val="20"/>
          <w:lang w:val="x-none" w:eastAsia="x-none"/>
        </w:rPr>
        <w:t>7. obmiar robót</w:t>
      </w:r>
      <w:bookmarkEnd w:id="688"/>
    </w:p>
    <w:p w14:paraId="2DBDBA7B"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89" w:name="_Toc495830304"/>
      <w:r w:rsidRPr="00AD1E0F">
        <w:rPr>
          <w:rFonts w:ascii="Arial Narrow" w:eastAsia="Times New Roman" w:hAnsi="Arial Narrow" w:cs="Times New Roman"/>
          <w:b/>
          <w:sz w:val="28"/>
          <w:szCs w:val="20"/>
          <w:lang w:val="x-none" w:eastAsia="x-none"/>
        </w:rPr>
        <w:t>7.1. Ogólne zasady obmiaru robót</w:t>
      </w:r>
      <w:bookmarkEnd w:id="689"/>
    </w:p>
    <w:p w14:paraId="62A7BF3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Ogólne zasady obmiaru robót podano w SST D-M-00.00.00 „Wymagania ogólne” pkt 7.</w:t>
      </w:r>
    </w:p>
    <w:p w14:paraId="5860C76D"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90" w:name="_Toc495830305"/>
      <w:r w:rsidRPr="00AD1E0F">
        <w:rPr>
          <w:rFonts w:ascii="Arial Narrow" w:eastAsia="Times New Roman" w:hAnsi="Arial Narrow" w:cs="Times New Roman"/>
          <w:b/>
          <w:sz w:val="28"/>
          <w:szCs w:val="20"/>
          <w:lang w:val="x-none" w:eastAsia="x-none"/>
        </w:rPr>
        <w:t>7.2. Jednostka obmiarowa</w:t>
      </w:r>
      <w:bookmarkEnd w:id="690"/>
    </w:p>
    <w:p w14:paraId="13CF7DE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Jednostką obmiarową jest m</w:t>
      </w:r>
      <w:r w:rsidRPr="00AD1E0F">
        <w:rPr>
          <w:rFonts w:ascii="Arial Narrow" w:eastAsia="Times New Roman" w:hAnsi="Arial Narrow" w:cs="Times New Roman"/>
          <w:sz w:val="20"/>
          <w:szCs w:val="20"/>
          <w:vertAlign w:val="superscript"/>
          <w:lang w:eastAsia="pl-PL"/>
        </w:rPr>
        <w:t>2</w:t>
      </w:r>
      <w:r w:rsidRPr="00AD1E0F">
        <w:rPr>
          <w:rFonts w:ascii="Arial Narrow" w:eastAsia="Times New Roman" w:hAnsi="Arial Narrow" w:cs="Times New Roman"/>
          <w:sz w:val="20"/>
          <w:szCs w:val="20"/>
          <w:lang w:eastAsia="pl-PL"/>
        </w:rPr>
        <w:t xml:space="preserve"> (metr kwadratowy).</w:t>
      </w:r>
    </w:p>
    <w:p w14:paraId="1A1D266A"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91" w:name="_Toc495830306"/>
      <w:r w:rsidRPr="00AD1E0F">
        <w:rPr>
          <w:rFonts w:ascii="Arial Narrow" w:eastAsia="Times New Roman" w:hAnsi="Arial Narrow" w:cs="Times New Roman"/>
          <w:b/>
          <w:caps/>
          <w:kern w:val="28"/>
          <w:sz w:val="28"/>
          <w:szCs w:val="20"/>
          <w:lang w:val="x-none" w:eastAsia="x-none"/>
        </w:rPr>
        <w:t>8. odbiór robót</w:t>
      </w:r>
      <w:bookmarkEnd w:id="691"/>
    </w:p>
    <w:p w14:paraId="6B5765C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Ogólne zasady odbioru robót podano w SST D-M-00.00.00 „Wymagania ogólne” pkt 8.</w:t>
      </w:r>
    </w:p>
    <w:p w14:paraId="12E8891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Roboty uznaje się za wykonane zgodnie z dokumentacją projektową, SST i wymaganiami Inżyniera, jeżeli wszystkie pomiary i badania z zachowaniem tolerancji wg pkt 6 dały wyniki pozytywne.</w:t>
      </w:r>
    </w:p>
    <w:p w14:paraId="7DE10741"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92" w:name="_Toc495830307"/>
      <w:r w:rsidRPr="00AD1E0F">
        <w:rPr>
          <w:rFonts w:ascii="Arial Narrow" w:eastAsia="Times New Roman" w:hAnsi="Arial Narrow" w:cs="Times New Roman"/>
          <w:b/>
          <w:caps/>
          <w:kern w:val="28"/>
          <w:sz w:val="28"/>
          <w:szCs w:val="20"/>
          <w:lang w:val="x-none" w:eastAsia="x-none"/>
        </w:rPr>
        <w:t>9. podstawa płatności</w:t>
      </w:r>
      <w:bookmarkEnd w:id="692"/>
    </w:p>
    <w:p w14:paraId="3CE05421"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93" w:name="_Toc495830308"/>
      <w:r w:rsidRPr="00AD1E0F">
        <w:rPr>
          <w:rFonts w:ascii="Arial Narrow" w:eastAsia="Times New Roman" w:hAnsi="Arial Narrow" w:cs="Times New Roman"/>
          <w:b/>
          <w:sz w:val="28"/>
          <w:szCs w:val="20"/>
          <w:lang w:val="x-none" w:eastAsia="x-none"/>
        </w:rPr>
        <w:t>9.1. Ogólne ustalenia dotyczące podstawy płatności</w:t>
      </w:r>
      <w:bookmarkEnd w:id="693"/>
    </w:p>
    <w:p w14:paraId="0508583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bookmarkStart w:id="694" w:name="_Toc495830309"/>
      <w:r w:rsidRPr="00AD1E0F">
        <w:rPr>
          <w:rFonts w:ascii="Arial Narrow" w:eastAsia="Times New Roman" w:hAnsi="Arial Narrow" w:cs="Times New Roman"/>
          <w:sz w:val="20"/>
          <w:szCs w:val="20"/>
          <w:lang w:eastAsia="pl-PL"/>
        </w:rPr>
        <w:t>Ogólne ustalenia dotyczące podstawy płatności podano w SST D-M-00.00.00 „Wymagania ogólne” pkt 9.</w:t>
      </w:r>
      <w:bookmarkEnd w:id="694"/>
    </w:p>
    <w:p w14:paraId="2C2D3B34"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95" w:name="_Toc495830310"/>
      <w:r w:rsidRPr="00AD1E0F">
        <w:rPr>
          <w:rFonts w:ascii="Arial Narrow" w:eastAsia="Times New Roman" w:hAnsi="Arial Narrow" w:cs="Times New Roman"/>
          <w:b/>
          <w:sz w:val="28"/>
          <w:szCs w:val="20"/>
          <w:lang w:val="x-none" w:eastAsia="x-none"/>
        </w:rPr>
        <w:t>9.2. Cena jednostki obmiarowej</w:t>
      </w:r>
      <w:bookmarkEnd w:id="695"/>
    </w:p>
    <w:p w14:paraId="5E45121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Cena wykonania </w:t>
      </w:r>
      <w:smartTag w:uri="urn:schemas-microsoft-com:office:smarttags" w:element="metricconverter">
        <w:smartTagPr>
          <w:attr w:name="ProductID" w:val="1 m2"/>
        </w:smartTagPr>
        <w:r w:rsidRPr="00AD1E0F">
          <w:rPr>
            <w:rFonts w:ascii="Arial Narrow" w:eastAsia="Times New Roman" w:hAnsi="Arial Narrow" w:cs="Times New Roman"/>
            <w:sz w:val="20"/>
            <w:szCs w:val="20"/>
            <w:lang w:eastAsia="pl-PL"/>
          </w:rPr>
          <w:t>1 m</w:t>
        </w:r>
        <w:r w:rsidRPr="00AD1E0F">
          <w:rPr>
            <w:rFonts w:ascii="Arial Narrow" w:eastAsia="Times New Roman" w:hAnsi="Arial Narrow" w:cs="Times New Roman"/>
            <w:sz w:val="20"/>
            <w:szCs w:val="20"/>
            <w:vertAlign w:val="superscript"/>
            <w:lang w:eastAsia="pl-PL"/>
          </w:rPr>
          <w:t>2</w:t>
        </w:r>
      </w:smartTag>
      <w:r w:rsidRPr="00AD1E0F">
        <w:rPr>
          <w:rFonts w:ascii="Arial Narrow" w:eastAsia="Times New Roman" w:hAnsi="Arial Narrow" w:cs="Times New Roman"/>
          <w:sz w:val="20"/>
          <w:szCs w:val="20"/>
          <w:vertAlign w:val="superscript"/>
          <w:lang w:eastAsia="pl-PL"/>
        </w:rPr>
        <w:t xml:space="preserve"> </w:t>
      </w:r>
      <w:r w:rsidRPr="00AD1E0F">
        <w:rPr>
          <w:rFonts w:ascii="Arial Narrow" w:eastAsia="Times New Roman" w:hAnsi="Arial Narrow" w:cs="Times New Roman"/>
          <w:sz w:val="20"/>
          <w:szCs w:val="20"/>
          <w:lang w:eastAsia="pl-PL"/>
        </w:rPr>
        <w:t xml:space="preserve"> frezowania na zimno nawierzchni asfaltowej obejmuje:</w:t>
      </w:r>
    </w:p>
    <w:p w14:paraId="1AD38174"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prace pomiarowe,</w:t>
      </w:r>
    </w:p>
    <w:p w14:paraId="3F1A001B"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oznakowanie robót,</w:t>
      </w:r>
    </w:p>
    <w:p w14:paraId="6382D1CA"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frezowanie,</w:t>
      </w:r>
    </w:p>
    <w:p w14:paraId="2CB72540"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transport sfrezowanego materiału</w:t>
      </w:r>
      <w:r w:rsidRPr="00AD1E0F">
        <w:rPr>
          <w:rFonts w:ascii="Arial Narrow" w:eastAsia="Times New Roman" w:hAnsi="Arial Narrow" w:cs="Times New Roman"/>
          <w:sz w:val="20"/>
          <w:szCs w:val="20"/>
          <w:lang w:eastAsia="x-none"/>
        </w:rPr>
        <w:t xml:space="preserve"> na bazę ZDW wskazaną przez Zamawiającego</w:t>
      </w:r>
      <w:r w:rsidRPr="00AD1E0F">
        <w:rPr>
          <w:rFonts w:ascii="Arial Narrow" w:eastAsia="Times New Roman" w:hAnsi="Arial Narrow" w:cs="Times New Roman"/>
          <w:sz w:val="20"/>
          <w:szCs w:val="20"/>
          <w:lang w:val="x-none" w:eastAsia="x-none"/>
        </w:rPr>
        <w:t>,</w:t>
      </w:r>
    </w:p>
    <w:p w14:paraId="091CCD30"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ew. utylizacja materiału</w:t>
      </w:r>
      <w:r w:rsidRPr="00AD1E0F">
        <w:rPr>
          <w:rFonts w:ascii="Arial Narrow" w:eastAsia="Times New Roman" w:hAnsi="Arial Narrow" w:cs="Times New Roman"/>
          <w:sz w:val="20"/>
          <w:szCs w:val="20"/>
          <w:lang w:eastAsia="x-none"/>
        </w:rPr>
        <w:t xml:space="preserve"> zgodnie z ustawą o odpadach</w:t>
      </w:r>
      <w:r w:rsidRPr="00AD1E0F">
        <w:rPr>
          <w:rFonts w:ascii="Arial Narrow" w:eastAsia="Times New Roman" w:hAnsi="Arial Narrow" w:cs="Times New Roman"/>
          <w:sz w:val="20"/>
          <w:szCs w:val="20"/>
          <w:lang w:val="x-none" w:eastAsia="x-none"/>
        </w:rPr>
        <w:t>,</w:t>
      </w:r>
    </w:p>
    <w:p w14:paraId="30F8621C" w14:textId="77777777" w:rsidR="00AD1E0F" w:rsidRPr="00AD1E0F" w:rsidRDefault="00AD1E0F" w:rsidP="00AD1E0F">
      <w:pPr>
        <w:numPr>
          <w:ilvl w:val="0"/>
          <w:numId w:val="2"/>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przeprowadzenie pomiarów wymaganych w specyfikacji technicznej.</w:t>
      </w:r>
    </w:p>
    <w:p w14:paraId="43D8A470"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696" w:name="_Toc495830311"/>
      <w:r w:rsidRPr="00AD1E0F">
        <w:rPr>
          <w:rFonts w:ascii="Arial Narrow" w:eastAsia="Times New Roman" w:hAnsi="Arial Narrow" w:cs="Times New Roman"/>
          <w:b/>
          <w:caps/>
          <w:kern w:val="28"/>
          <w:sz w:val="28"/>
          <w:szCs w:val="20"/>
          <w:lang w:val="x-none" w:eastAsia="x-none"/>
        </w:rPr>
        <w:t>10. przepisy związane</w:t>
      </w:r>
      <w:bookmarkEnd w:id="696"/>
    </w:p>
    <w:p w14:paraId="6929357A"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10.1 Normy</w:t>
      </w:r>
    </w:p>
    <w:p w14:paraId="6CF56C86" w14:textId="590051E7" w:rsidR="00AD1E0F" w:rsidRDefault="00AD1E0F" w:rsidP="00AD1E0F">
      <w:pPr>
        <w:numPr>
          <w:ilvl w:val="0"/>
          <w:numId w:val="5"/>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 BN-68/8931-04Drogi samochodowe. Pomiar równości nawierzchni planografem i łatą.</w:t>
      </w:r>
    </w:p>
    <w:p w14:paraId="7C5300DA" w14:textId="1754A7A7" w:rsidR="00A01C08" w:rsidRDefault="00A01C08"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25B08045" w14:textId="7F359F4B" w:rsidR="00A01C08" w:rsidRDefault="00A01C08"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472D0458" w14:textId="250C86CD" w:rsidR="00A01C08" w:rsidRDefault="00A01C08"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6C9C3059" w14:textId="3EF7CA48" w:rsidR="00A01C08" w:rsidRDefault="00A01C08"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4318010D" w14:textId="0AED21D9" w:rsidR="00A01C08" w:rsidRDefault="00A01C08"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4638384E" w14:textId="75D4E432" w:rsidR="00A01C08" w:rsidRDefault="00A01C08"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03434688" w14:textId="46F58654" w:rsidR="00A01C08" w:rsidRDefault="00A01C08"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542F23D3" w14:textId="2F7E484B" w:rsidR="00A01C08" w:rsidRDefault="00A01C08"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1AA83BA4" w14:textId="4304C69D" w:rsidR="00A01C08" w:rsidRDefault="00A01C08"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29444C2E" w14:textId="74D41DB4" w:rsidR="00A01C08" w:rsidRDefault="00A01C08"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08846BBE" w14:textId="5B261A7C" w:rsidR="002271D7" w:rsidRDefault="002271D7"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5FD2E54E" w14:textId="38B3CE82" w:rsidR="002271D7" w:rsidRDefault="002271D7"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65061DA7" w14:textId="36AC73FF" w:rsidR="002271D7" w:rsidRDefault="002271D7"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10EADFCC" w14:textId="1D9846A4" w:rsidR="002271D7" w:rsidRDefault="002271D7"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75DAB786" w14:textId="77777777" w:rsidR="002271D7" w:rsidRDefault="002271D7"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61EAF6AF" w14:textId="0E067EAE" w:rsidR="00A01C08" w:rsidRDefault="00A01C08"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2A368A4A" w14:textId="096411C0" w:rsidR="00A01C08" w:rsidRDefault="00A01C08"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5F09B68F" w14:textId="12AD748D" w:rsidR="00A01C08" w:rsidRDefault="00A01C08"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235D0E94" w14:textId="440516F0" w:rsidR="00A01C08" w:rsidRDefault="00A01C08"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124DC07E" w14:textId="4BDE6A4E" w:rsidR="00A01C08" w:rsidRDefault="00A01C08"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2EA10595" w14:textId="77777777" w:rsidR="00A01C08" w:rsidRPr="00AD1E0F" w:rsidRDefault="00A01C08" w:rsidP="00A01C0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p>
    <w:p w14:paraId="1E513D67" w14:textId="77777777" w:rsidR="00AD1E0F" w:rsidRPr="00AD1E0F" w:rsidRDefault="00AD1E0F" w:rsidP="00AD1E0F">
      <w:pPr>
        <w:tabs>
          <w:tab w:val="left" w:pos="-1440"/>
          <w:tab w:val="left" w:pos="-720"/>
          <w:tab w:val="left" w:pos="0"/>
        </w:tabs>
        <w:spacing w:after="0" w:line="240" w:lineRule="auto"/>
        <w:ind w:firstLine="454"/>
        <w:jc w:val="both"/>
        <w:rPr>
          <w:rFonts w:ascii="Arial Narrow" w:eastAsia="Calibri" w:hAnsi="Arial Narrow" w:cs="Arial"/>
          <w:spacing w:val="-3"/>
          <w:sz w:val="20"/>
        </w:rPr>
      </w:pPr>
    </w:p>
    <w:p w14:paraId="7FCA8BE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bookmarkStart w:id="697" w:name="_Toc58533536"/>
      <w:r w:rsidRPr="00AD1E0F">
        <w:rPr>
          <w:rFonts w:ascii="Arial Narrow" w:eastAsia="Times New Roman" w:hAnsi="Arial Narrow" w:cs="Times New Roman"/>
          <w:b/>
          <w:sz w:val="28"/>
          <w:szCs w:val="20"/>
          <w:lang w:eastAsia="pl-PL"/>
        </w:rPr>
        <w:lastRenderedPageBreak/>
        <w:t>D – 05.03.05a WARSTWA ŚCIERALNA</w:t>
      </w:r>
      <w:bookmarkEnd w:id="697"/>
    </w:p>
    <w:p w14:paraId="1866FAF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Kod CPV: 45233000-9</w:t>
      </w:r>
    </w:p>
    <w:p w14:paraId="41B7610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Roboty w zakresie konstruowania, fundamentowania oraz wykonywania nawierzchni autostrad, dróg</w:t>
      </w:r>
    </w:p>
    <w:p w14:paraId="33111378" w14:textId="77777777" w:rsidR="00AD1E0F" w:rsidRPr="00AD1E0F" w:rsidRDefault="00AD1E0F" w:rsidP="00AD1E0F">
      <w:pPr>
        <w:spacing w:after="0" w:line="240" w:lineRule="auto"/>
        <w:ind w:firstLine="454"/>
        <w:jc w:val="center"/>
        <w:rPr>
          <w:rFonts w:ascii="Arial Narrow" w:eastAsia="Calibri" w:hAnsi="Arial Narrow" w:cs="Times New Roman"/>
        </w:rPr>
      </w:pPr>
    </w:p>
    <w:p w14:paraId="3124AD99"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AD1E0F">
        <w:rPr>
          <w:rFonts w:ascii="Arial Narrow" w:eastAsia="Times New Roman" w:hAnsi="Arial Narrow" w:cs="Times New Roman"/>
          <w:b/>
          <w:caps/>
          <w:kern w:val="28"/>
          <w:sz w:val="28"/>
          <w:szCs w:val="20"/>
          <w:lang w:eastAsia="x-none"/>
        </w:rPr>
        <w:t xml:space="preserve">1. </w:t>
      </w:r>
      <w:r w:rsidRPr="00AD1E0F">
        <w:rPr>
          <w:rFonts w:ascii="Arial Narrow" w:eastAsia="Times New Roman" w:hAnsi="Arial Narrow" w:cs="Times New Roman"/>
          <w:b/>
          <w:caps/>
          <w:kern w:val="28"/>
          <w:sz w:val="28"/>
          <w:szCs w:val="20"/>
          <w:lang w:val="x-none" w:eastAsia="x-none"/>
        </w:rPr>
        <w:t>wstęp</w:t>
      </w:r>
    </w:p>
    <w:p w14:paraId="6724999A"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eastAsia="x-none"/>
        </w:rPr>
        <w:t xml:space="preserve">1.1 </w:t>
      </w:r>
      <w:r w:rsidRPr="00AD1E0F">
        <w:rPr>
          <w:rFonts w:ascii="Arial Narrow" w:eastAsia="Times New Roman" w:hAnsi="Arial Narrow" w:cs="Times New Roman"/>
          <w:b/>
          <w:sz w:val="28"/>
          <w:szCs w:val="20"/>
          <w:lang w:val="x-none" w:eastAsia="x-none"/>
        </w:rPr>
        <w:t>Przedmiot STWiORB</w:t>
      </w:r>
    </w:p>
    <w:p w14:paraId="02258CAE" w14:textId="77777777" w:rsidR="00AD1E0F" w:rsidRPr="00AD1E0F" w:rsidRDefault="00AD1E0F" w:rsidP="00AD1E0F">
      <w:pPr>
        <w:spacing w:after="0" w:line="240" w:lineRule="auto"/>
        <w:ind w:firstLine="454"/>
        <w:jc w:val="both"/>
        <w:rPr>
          <w:rFonts w:ascii="Arial Narrow" w:eastAsia="Calibri" w:hAnsi="Arial Narrow" w:cs="Times New Roman"/>
          <w:sz w:val="20"/>
        </w:rPr>
      </w:pPr>
      <w:r w:rsidRPr="00AD1E0F">
        <w:rPr>
          <w:rFonts w:ascii="Arial Narrow" w:eastAsia="Times New Roman" w:hAnsi="Arial Narrow" w:cs="Times New Roman"/>
          <w:sz w:val="20"/>
          <w:szCs w:val="20"/>
          <w:lang w:eastAsia="pl-PL"/>
        </w:rPr>
        <w:t>Przedmiotem niniejszej szczegółowej specyfikacji technicznej (SST) są wymagania dotyczące wykonania i odbioru robót związanych wykonywaniem warstwy ścieralnej</w:t>
      </w:r>
      <w:r w:rsidRPr="00AD1E0F">
        <w:rPr>
          <w:rFonts w:ascii="Arial Narrow" w:eastAsia="Calibri" w:hAnsi="Arial Narrow" w:cs="Times New Roman"/>
          <w:sz w:val="20"/>
        </w:rPr>
        <w:t>.</w:t>
      </w:r>
    </w:p>
    <w:p w14:paraId="7592999E"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eastAsia="x-none"/>
        </w:rPr>
        <w:t xml:space="preserve">1.2 </w:t>
      </w:r>
      <w:r w:rsidRPr="00AD1E0F">
        <w:rPr>
          <w:rFonts w:ascii="Arial Narrow" w:eastAsia="Times New Roman" w:hAnsi="Arial Narrow" w:cs="Times New Roman"/>
          <w:b/>
          <w:sz w:val="28"/>
          <w:szCs w:val="20"/>
          <w:lang w:val="x-none" w:eastAsia="x-none"/>
        </w:rPr>
        <w:t>Zakres stosowania STWiORB</w:t>
      </w:r>
    </w:p>
    <w:p w14:paraId="1BAB67F7" w14:textId="77777777" w:rsidR="00DB0468" w:rsidRDefault="00AD1E0F" w:rsidP="00AD1E0F">
      <w:pPr>
        <w:tabs>
          <w:tab w:val="left" w:pos="-1440"/>
          <w:tab w:val="left" w:pos="-720"/>
          <w:tab w:val="left" w:pos="0"/>
        </w:tabs>
        <w:spacing w:after="0" w:line="240" w:lineRule="auto"/>
        <w:ind w:firstLine="454"/>
        <w:jc w:val="both"/>
        <w:rPr>
          <w:rFonts w:ascii="Arial Narrow" w:eastAsia="Calibri" w:hAnsi="Arial Narrow" w:cs="Arial"/>
          <w:spacing w:val="-3"/>
          <w:sz w:val="20"/>
        </w:rPr>
      </w:pPr>
      <w:r w:rsidRPr="00AD1E0F">
        <w:rPr>
          <w:rFonts w:ascii="Arial Narrow" w:eastAsia="Calibri" w:hAnsi="Arial Narrow" w:cs="Arial"/>
          <w:sz w:val="20"/>
        </w:rPr>
        <w:t xml:space="preserve">Specyfikacje Techniczne Wykonania i Odbioru Robót Budowlanych </w:t>
      </w:r>
      <w:r w:rsidRPr="00AD1E0F">
        <w:rPr>
          <w:rFonts w:ascii="Arial Narrow" w:eastAsia="Calibri" w:hAnsi="Arial Narrow" w:cs="Arial"/>
          <w:spacing w:val="-3"/>
          <w:sz w:val="20"/>
        </w:rPr>
        <w:t>stanowią Dokument Przetargowy i Kontraktowy przy zlecaniu i realizacji robót na drogach</w:t>
      </w:r>
    </w:p>
    <w:p w14:paraId="141C3B43" w14:textId="19C03996" w:rsidR="00AD1E0F" w:rsidRPr="00AD1E0F" w:rsidRDefault="00AD1E0F" w:rsidP="00AD1E0F">
      <w:pPr>
        <w:tabs>
          <w:tab w:val="left" w:pos="-1440"/>
          <w:tab w:val="left" w:pos="-720"/>
          <w:tab w:val="left" w:pos="0"/>
        </w:tabs>
        <w:spacing w:after="0" w:line="240" w:lineRule="auto"/>
        <w:ind w:firstLine="454"/>
        <w:jc w:val="both"/>
        <w:rPr>
          <w:rFonts w:ascii="Arial Narrow" w:eastAsia="Calibri" w:hAnsi="Arial Narrow" w:cs="Arial"/>
          <w:spacing w:val="-3"/>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1539"/>
        <w:gridCol w:w="1399"/>
        <w:gridCol w:w="1680"/>
        <w:gridCol w:w="1478"/>
        <w:gridCol w:w="1238"/>
        <w:gridCol w:w="1238"/>
      </w:tblGrid>
      <w:tr w:rsidR="00AD1E0F" w:rsidRPr="00AD1E0F" w14:paraId="7069D5D9" w14:textId="77777777" w:rsidTr="00855929">
        <w:tc>
          <w:tcPr>
            <w:tcW w:w="534" w:type="dxa"/>
            <w:shd w:val="clear" w:color="auto" w:fill="auto"/>
          </w:tcPr>
          <w:p w14:paraId="1A1A434C"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Lp</w:t>
            </w:r>
          </w:p>
        </w:tc>
        <w:tc>
          <w:tcPr>
            <w:tcW w:w="1539" w:type="dxa"/>
            <w:tcBorders>
              <w:bottom w:val="single" w:sz="4" w:space="0" w:color="auto"/>
            </w:tcBorders>
            <w:shd w:val="clear" w:color="auto" w:fill="auto"/>
          </w:tcPr>
          <w:p w14:paraId="7C9478CC"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Typ mieszanki</w:t>
            </w:r>
          </w:p>
        </w:tc>
        <w:tc>
          <w:tcPr>
            <w:tcW w:w="1399" w:type="dxa"/>
            <w:tcBorders>
              <w:bottom w:val="single" w:sz="4" w:space="0" w:color="auto"/>
            </w:tcBorders>
            <w:shd w:val="clear" w:color="auto" w:fill="auto"/>
          </w:tcPr>
          <w:p w14:paraId="66EB212B"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asfalt</w:t>
            </w:r>
          </w:p>
        </w:tc>
        <w:tc>
          <w:tcPr>
            <w:tcW w:w="1680" w:type="dxa"/>
            <w:tcBorders>
              <w:bottom w:val="single" w:sz="4" w:space="0" w:color="auto"/>
            </w:tcBorders>
            <w:shd w:val="clear" w:color="auto" w:fill="auto"/>
          </w:tcPr>
          <w:p w14:paraId="65646096" w14:textId="69538B24"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polimeroasfa</w:t>
            </w:r>
            <w:r w:rsidR="003C4044">
              <w:rPr>
                <w:rFonts w:ascii="Arial Narrow" w:eastAsia="Times New Roman" w:hAnsi="Arial Narrow" w:cs="Times New Roman"/>
                <w:sz w:val="20"/>
                <w:szCs w:val="20"/>
                <w:lang w:eastAsia="pl-PL"/>
              </w:rPr>
              <w:t>l</w:t>
            </w:r>
            <w:r w:rsidRPr="00AD1E0F">
              <w:rPr>
                <w:rFonts w:ascii="Arial Narrow" w:eastAsia="Times New Roman" w:hAnsi="Arial Narrow" w:cs="Times New Roman"/>
                <w:sz w:val="20"/>
                <w:szCs w:val="20"/>
                <w:lang w:eastAsia="pl-PL"/>
              </w:rPr>
              <w:t>t</w:t>
            </w:r>
          </w:p>
        </w:tc>
        <w:tc>
          <w:tcPr>
            <w:tcW w:w="1478" w:type="dxa"/>
            <w:tcBorders>
              <w:bottom w:val="single" w:sz="4" w:space="0" w:color="auto"/>
            </w:tcBorders>
            <w:shd w:val="clear" w:color="auto" w:fill="auto"/>
          </w:tcPr>
          <w:p w14:paraId="56DA3EE5"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grubość</w:t>
            </w:r>
          </w:p>
        </w:tc>
        <w:tc>
          <w:tcPr>
            <w:tcW w:w="1238" w:type="dxa"/>
            <w:tcBorders>
              <w:bottom w:val="single" w:sz="4" w:space="0" w:color="auto"/>
            </w:tcBorders>
            <w:shd w:val="clear" w:color="auto" w:fill="auto"/>
          </w:tcPr>
          <w:p w14:paraId="0DABC052"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KR</w:t>
            </w:r>
          </w:p>
        </w:tc>
        <w:tc>
          <w:tcPr>
            <w:tcW w:w="1238" w:type="dxa"/>
            <w:tcBorders>
              <w:bottom w:val="single" w:sz="4" w:space="0" w:color="auto"/>
            </w:tcBorders>
            <w:shd w:val="clear" w:color="auto" w:fill="auto"/>
          </w:tcPr>
          <w:p w14:paraId="10FDB733"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Miejsce wbudowania</w:t>
            </w:r>
          </w:p>
        </w:tc>
      </w:tr>
      <w:tr w:rsidR="00AD1E0F" w:rsidRPr="00AD1E0F" w14:paraId="02C46C60" w14:textId="77777777" w:rsidTr="00855929">
        <w:tc>
          <w:tcPr>
            <w:tcW w:w="534" w:type="dxa"/>
            <w:shd w:val="clear" w:color="auto" w:fill="auto"/>
          </w:tcPr>
          <w:p w14:paraId="273DDA1F"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1</w:t>
            </w:r>
          </w:p>
        </w:tc>
        <w:tc>
          <w:tcPr>
            <w:tcW w:w="1539" w:type="dxa"/>
            <w:shd w:val="clear" w:color="auto" w:fill="FFC000"/>
          </w:tcPr>
          <w:p w14:paraId="0AE5AD82" w14:textId="34AF5EF0"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AC</w:t>
            </w:r>
            <w:r w:rsidR="001A76FC">
              <w:rPr>
                <w:rFonts w:ascii="Arial Narrow" w:eastAsia="Times New Roman" w:hAnsi="Arial Narrow" w:cs="Times New Roman"/>
                <w:sz w:val="20"/>
                <w:szCs w:val="20"/>
                <w:lang w:eastAsia="pl-PL"/>
              </w:rPr>
              <w:t>11S</w:t>
            </w:r>
          </w:p>
        </w:tc>
        <w:tc>
          <w:tcPr>
            <w:tcW w:w="1399" w:type="dxa"/>
            <w:shd w:val="clear" w:color="auto" w:fill="FFC000"/>
          </w:tcPr>
          <w:p w14:paraId="283E0A54"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50/70</w:t>
            </w:r>
          </w:p>
        </w:tc>
        <w:tc>
          <w:tcPr>
            <w:tcW w:w="1680" w:type="dxa"/>
            <w:shd w:val="clear" w:color="auto" w:fill="FFC000"/>
          </w:tcPr>
          <w:p w14:paraId="6F1EF189" w14:textId="77777777" w:rsidR="00AD1E0F" w:rsidRPr="00AD1E0F" w:rsidRDefault="00AD1E0F"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w:t>
            </w:r>
          </w:p>
        </w:tc>
        <w:tc>
          <w:tcPr>
            <w:tcW w:w="1478" w:type="dxa"/>
            <w:shd w:val="clear" w:color="auto" w:fill="FFC000"/>
          </w:tcPr>
          <w:p w14:paraId="1124F761" w14:textId="300C8591" w:rsidR="00AD1E0F" w:rsidRPr="00AD1E0F" w:rsidRDefault="001A76FC"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4</w:t>
            </w:r>
          </w:p>
        </w:tc>
        <w:tc>
          <w:tcPr>
            <w:tcW w:w="1238" w:type="dxa"/>
            <w:shd w:val="clear" w:color="auto" w:fill="FFC000"/>
          </w:tcPr>
          <w:p w14:paraId="5232F936" w14:textId="49B10184" w:rsidR="00AD1E0F" w:rsidRPr="00AD1E0F" w:rsidRDefault="001A76FC"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1</w:t>
            </w:r>
          </w:p>
        </w:tc>
        <w:tc>
          <w:tcPr>
            <w:tcW w:w="1238" w:type="dxa"/>
            <w:shd w:val="clear" w:color="auto" w:fill="FFC000"/>
          </w:tcPr>
          <w:p w14:paraId="088F7692" w14:textId="34B0943C" w:rsidR="00AD1E0F" w:rsidRPr="00AD1E0F" w:rsidRDefault="001A76FC" w:rsidP="00AD1E0F">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Zjazdy</w:t>
            </w:r>
          </w:p>
        </w:tc>
      </w:tr>
    </w:tbl>
    <w:p w14:paraId="7C2F8F90" w14:textId="77777777" w:rsidR="00AD1E0F" w:rsidRPr="00AD1E0F" w:rsidRDefault="00AD1E0F" w:rsidP="00AD1E0F">
      <w:pPr>
        <w:tabs>
          <w:tab w:val="left" w:pos="-1440"/>
          <w:tab w:val="left" w:pos="-720"/>
          <w:tab w:val="left" w:pos="0"/>
        </w:tabs>
        <w:spacing w:after="0" w:line="240" w:lineRule="auto"/>
        <w:ind w:firstLine="454"/>
        <w:jc w:val="both"/>
        <w:rPr>
          <w:rFonts w:ascii="Arial Narrow" w:eastAsia="Calibri" w:hAnsi="Arial Narrow" w:cs="Arial"/>
          <w:spacing w:val="-3"/>
          <w:sz w:val="20"/>
        </w:rPr>
      </w:pPr>
      <w:r w:rsidRPr="00AD1E0F">
        <w:rPr>
          <w:rFonts w:ascii="Arial Narrow" w:eastAsia="Calibri" w:hAnsi="Arial Narrow" w:cs="Arial"/>
          <w:spacing w:val="-3"/>
          <w:sz w:val="20"/>
        </w:rPr>
        <w:t>Nie dopuszcza się zastosowania granulatu do powyższych warstw.</w:t>
      </w:r>
    </w:p>
    <w:p w14:paraId="47A37755"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98" w:name="_Toc495830182"/>
      <w:r w:rsidRPr="00AD1E0F">
        <w:rPr>
          <w:rFonts w:ascii="Arial Narrow" w:eastAsia="Times New Roman" w:hAnsi="Arial Narrow" w:cs="Times New Roman"/>
          <w:b/>
          <w:sz w:val="28"/>
          <w:szCs w:val="20"/>
          <w:lang w:val="x-none" w:eastAsia="x-none"/>
        </w:rPr>
        <w:t xml:space="preserve">1.3. Zakres robót objętych </w:t>
      </w:r>
      <w:bookmarkEnd w:id="698"/>
      <w:r w:rsidRPr="00AD1E0F">
        <w:rPr>
          <w:rFonts w:ascii="Arial Narrow" w:eastAsia="Times New Roman" w:hAnsi="Arial Narrow" w:cs="Times New Roman"/>
          <w:b/>
          <w:sz w:val="28"/>
          <w:szCs w:val="20"/>
          <w:lang w:val="x-none" w:eastAsia="x-none"/>
        </w:rPr>
        <w:t>STWiORB</w:t>
      </w:r>
    </w:p>
    <w:p w14:paraId="6525C0A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Ustalenia zawarte w niniejszej specyfikacji dotyczą zasad prowadzenia robót związanych z wykonaniem i odbiorem warstwy ścieralnej z betonu asfaltowego wg [47] i [65] z mieszanki mineralno-asfaltowej dostarczonej od producenta. W przypadku produkcji mieszanki mineralno-asfaltowej przez Wykonawcę dla potrzeb budowy, Wykonawca zobowiązany jest prowadzić Zakładową kontrolę produkcji (ZKP) zgodnie z [65].</w:t>
      </w:r>
    </w:p>
    <w:p w14:paraId="745BEF00"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699" w:name="_Toc495830183"/>
      <w:r w:rsidRPr="00AD1E0F">
        <w:rPr>
          <w:rFonts w:ascii="Arial Narrow" w:eastAsia="Times New Roman" w:hAnsi="Arial Narrow" w:cs="Times New Roman"/>
          <w:b/>
          <w:sz w:val="28"/>
          <w:szCs w:val="20"/>
          <w:lang w:val="x-none" w:eastAsia="x-none"/>
        </w:rPr>
        <w:t>1.4. Określenia podstawowe</w:t>
      </w:r>
      <w:bookmarkEnd w:id="699"/>
    </w:p>
    <w:p w14:paraId="05ECBF4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1.4.1. </w:t>
      </w:r>
      <w:r w:rsidRPr="00AD1E0F">
        <w:rPr>
          <w:rFonts w:ascii="Arial Narrow" w:eastAsia="Times New Roman" w:hAnsi="Arial Narrow" w:cs="Times New Roman"/>
          <w:sz w:val="20"/>
          <w:szCs w:val="20"/>
          <w:lang w:eastAsia="pl-PL"/>
        </w:rPr>
        <w:t>Nawierzchnia – konstrukcja składająca się z jednej lub kilku warstw służących do przejmowania i rozkładania obciążeń od ruchu pojazdów na podłoże.</w:t>
      </w:r>
    </w:p>
    <w:p w14:paraId="6672A609" w14:textId="77777777" w:rsidR="00AD1E0F" w:rsidRPr="00AD1E0F" w:rsidRDefault="00AD1E0F" w:rsidP="00AD1E0F">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1.4.2. </w:t>
      </w:r>
      <w:r w:rsidRPr="00AD1E0F">
        <w:rPr>
          <w:rFonts w:ascii="Arial Narrow" w:eastAsia="Times New Roman" w:hAnsi="Arial Narrow" w:cs="Times New Roman"/>
          <w:sz w:val="20"/>
          <w:szCs w:val="20"/>
          <w:lang w:eastAsia="pl-PL"/>
        </w:rPr>
        <w:t>Warstwa ścieralna – górna warstwa nawierzchni będąca w bezpośrednim kontakcie z kołami pojazdów.</w:t>
      </w:r>
    </w:p>
    <w:p w14:paraId="57589DA8" w14:textId="77777777" w:rsidR="00AD1E0F" w:rsidRPr="00AD1E0F" w:rsidRDefault="00AD1E0F" w:rsidP="00AD1E0F">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1.4.3. </w:t>
      </w:r>
      <w:r w:rsidRPr="00AD1E0F">
        <w:rPr>
          <w:rFonts w:ascii="Arial Narrow" w:eastAsia="Times New Roman" w:hAnsi="Arial Narrow" w:cs="Times New Roman"/>
          <w:sz w:val="20"/>
          <w:szCs w:val="20"/>
          <w:lang w:eastAsia="pl-PL"/>
        </w:rPr>
        <w:t>Mieszanka mineralno-asfaltowa – mieszanka kruszyw i lepiszcza asfaltowego.</w:t>
      </w:r>
    </w:p>
    <w:p w14:paraId="7DA50F91" w14:textId="77777777" w:rsidR="00AD1E0F" w:rsidRPr="00AD1E0F" w:rsidRDefault="00AD1E0F" w:rsidP="00AD1E0F">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1.4.4. </w:t>
      </w:r>
      <w:r w:rsidRPr="00AD1E0F">
        <w:rPr>
          <w:rFonts w:ascii="Arial Narrow" w:eastAsia="Times New Roman" w:hAnsi="Arial Narrow" w:cs="Times New Roman"/>
          <w:sz w:val="20"/>
          <w:szCs w:val="20"/>
          <w:lang w:eastAsia="pl-PL"/>
        </w:rPr>
        <w:t>Wymiar mieszanki mineralno-asfaltowej – określenie mieszanki mineralno-asfaltowej, wyróżniające tę mieszankę ze zbioru mieszanek tego samego typu ze względu na największy wymiar kruszywa, np. wymiar 8 lub 11.</w:t>
      </w:r>
    </w:p>
    <w:p w14:paraId="40533034" w14:textId="77777777" w:rsidR="00AD1E0F" w:rsidRPr="00AD1E0F" w:rsidRDefault="00AD1E0F" w:rsidP="00AD1E0F">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1.4.5. </w:t>
      </w:r>
      <w:r w:rsidRPr="00AD1E0F">
        <w:rPr>
          <w:rFonts w:ascii="Arial Narrow" w:eastAsia="Times New Roman" w:hAnsi="Arial Narrow" w:cs="Times New Roman"/>
          <w:sz w:val="20"/>
          <w:szCs w:val="20"/>
          <w:lang w:eastAsia="pl-PL"/>
        </w:rPr>
        <w:t>Beton asfaltowy – mieszanka mineralno-asfaltowa, w której kruszywo o uziarnieniu ciągłym lub nieciągłym tworzy strukturę wzajemnie klinującą się.</w:t>
      </w:r>
    </w:p>
    <w:p w14:paraId="526CFE8D" w14:textId="77777777" w:rsidR="00AD1E0F" w:rsidRPr="00AD1E0F" w:rsidRDefault="00AD1E0F" w:rsidP="00AD1E0F">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1.4.6. </w:t>
      </w:r>
      <w:r w:rsidRPr="00AD1E0F">
        <w:rPr>
          <w:rFonts w:ascii="Arial Narrow" w:eastAsia="Times New Roman" w:hAnsi="Arial Narrow" w:cs="Times New Roman"/>
          <w:sz w:val="20"/>
          <w:szCs w:val="20"/>
          <w:lang w:eastAsia="pl-PL"/>
        </w:rPr>
        <w:t>Uziarnienie – skład ziarnowy kruszywa, wyrażony w procentach masy ziaren przechodzących przez określony zestaw sit.</w:t>
      </w:r>
    </w:p>
    <w:p w14:paraId="3A6E41E3" w14:textId="77777777" w:rsidR="00AD1E0F" w:rsidRPr="00AD1E0F" w:rsidRDefault="00AD1E0F" w:rsidP="00AD1E0F">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1.4.7. </w:t>
      </w:r>
      <w:r w:rsidRPr="00AD1E0F">
        <w:rPr>
          <w:rFonts w:ascii="Arial Narrow" w:eastAsia="Times New Roman" w:hAnsi="Arial Narrow" w:cs="Times New Roman"/>
          <w:sz w:val="20"/>
          <w:szCs w:val="20"/>
          <w:lang w:eastAsia="pl-PL"/>
        </w:rPr>
        <w:t>Kategoria ruchu – obciążenie drogi ruchem samochodowym, wyrażone w osiach obliczeniowych (100 kN) wg „Katalogu typowych konstrukcji nawierzchni podatnych i półsztywnych” GDDP-IBDiM [68].</w:t>
      </w:r>
    </w:p>
    <w:p w14:paraId="32E27310" w14:textId="77777777" w:rsidR="00AD1E0F" w:rsidRPr="00AD1E0F" w:rsidRDefault="00AD1E0F" w:rsidP="00AD1E0F">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1.4.8. </w:t>
      </w:r>
      <w:r w:rsidRPr="00AD1E0F">
        <w:rPr>
          <w:rFonts w:ascii="Arial Narrow" w:eastAsia="Times New Roman" w:hAnsi="Arial Narrow" w:cs="Times New Roman"/>
          <w:sz w:val="20"/>
          <w:szCs w:val="20"/>
          <w:lang w:eastAsia="pl-PL"/>
        </w:rPr>
        <w:t>Wymiar kruszywa – wielkość ziaren kruszywa, określona przez dolny (d) i górny (D) wymiar sita.</w:t>
      </w:r>
    </w:p>
    <w:p w14:paraId="3464FF3C" w14:textId="77777777" w:rsidR="00AD1E0F" w:rsidRPr="00AD1E0F" w:rsidRDefault="00AD1E0F" w:rsidP="00AD1E0F">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1.4.9. </w:t>
      </w:r>
      <w:r w:rsidRPr="00AD1E0F">
        <w:rPr>
          <w:rFonts w:ascii="Arial Narrow" w:eastAsia="Times New Roman" w:hAnsi="Arial Narrow" w:cs="Times New Roman"/>
          <w:sz w:val="20"/>
          <w:szCs w:val="20"/>
          <w:lang w:eastAsia="pl-PL"/>
        </w:rPr>
        <w:t xml:space="preserve">Kruszywo grube – kruszywo z ziaren o wymiarze: D ≤ </w:t>
      </w:r>
      <w:smartTag w:uri="urn:schemas-microsoft-com:office:smarttags" w:element="metricconverter">
        <w:smartTagPr>
          <w:attr w:name="ProductID" w:val="45 mm"/>
        </w:smartTagPr>
        <w:r w:rsidRPr="00AD1E0F">
          <w:rPr>
            <w:rFonts w:ascii="Arial Narrow" w:eastAsia="Times New Roman" w:hAnsi="Arial Narrow" w:cs="Times New Roman"/>
            <w:sz w:val="20"/>
            <w:szCs w:val="20"/>
            <w:lang w:eastAsia="pl-PL"/>
          </w:rPr>
          <w:t>45 mm</w:t>
        </w:r>
      </w:smartTag>
      <w:r w:rsidRPr="00AD1E0F">
        <w:rPr>
          <w:rFonts w:ascii="Arial Narrow" w:eastAsia="Times New Roman" w:hAnsi="Arial Narrow" w:cs="Times New Roman"/>
          <w:sz w:val="20"/>
          <w:szCs w:val="20"/>
          <w:lang w:eastAsia="pl-PL"/>
        </w:rPr>
        <w:t xml:space="preserve"> oraz d &gt; </w:t>
      </w:r>
      <w:smartTag w:uri="urn:schemas-microsoft-com:office:smarttags" w:element="metricconverter">
        <w:smartTagPr>
          <w:attr w:name="ProductID" w:val="2 mm"/>
        </w:smartTagPr>
        <w:r w:rsidRPr="00AD1E0F">
          <w:rPr>
            <w:rFonts w:ascii="Arial Narrow" w:eastAsia="Times New Roman" w:hAnsi="Arial Narrow" w:cs="Times New Roman"/>
            <w:sz w:val="20"/>
            <w:szCs w:val="20"/>
            <w:lang w:eastAsia="pl-PL"/>
          </w:rPr>
          <w:t>2 mm</w:t>
        </w:r>
      </w:smartTag>
      <w:r w:rsidRPr="00AD1E0F">
        <w:rPr>
          <w:rFonts w:ascii="Arial Narrow" w:eastAsia="Times New Roman" w:hAnsi="Arial Narrow" w:cs="Times New Roman"/>
          <w:sz w:val="20"/>
          <w:szCs w:val="20"/>
          <w:lang w:eastAsia="pl-PL"/>
        </w:rPr>
        <w:t>.</w:t>
      </w:r>
    </w:p>
    <w:p w14:paraId="21A07325" w14:textId="77777777" w:rsidR="00AD1E0F" w:rsidRPr="00AD1E0F" w:rsidRDefault="00AD1E0F" w:rsidP="00AD1E0F">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1.4.10. </w:t>
      </w:r>
      <w:r w:rsidRPr="00AD1E0F">
        <w:rPr>
          <w:rFonts w:ascii="Arial Narrow" w:eastAsia="Times New Roman" w:hAnsi="Arial Narrow" w:cs="Times New Roman"/>
          <w:sz w:val="20"/>
          <w:szCs w:val="20"/>
          <w:lang w:eastAsia="pl-PL"/>
        </w:rPr>
        <w:t xml:space="preserve">Kruszywo drobne – kruszywo z ziaren o wymiarze: D ≤ </w:t>
      </w:r>
      <w:smartTag w:uri="urn:schemas-microsoft-com:office:smarttags" w:element="metricconverter">
        <w:smartTagPr>
          <w:attr w:name="ProductID" w:val="2 mm"/>
        </w:smartTagPr>
        <w:r w:rsidRPr="00AD1E0F">
          <w:rPr>
            <w:rFonts w:ascii="Arial Narrow" w:eastAsia="Times New Roman" w:hAnsi="Arial Narrow" w:cs="Times New Roman"/>
            <w:sz w:val="20"/>
            <w:szCs w:val="20"/>
            <w:lang w:eastAsia="pl-PL"/>
          </w:rPr>
          <w:t>2 mm</w:t>
        </w:r>
      </w:smartTag>
      <w:r w:rsidRPr="00AD1E0F">
        <w:rPr>
          <w:rFonts w:ascii="Arial Narrow" w:eastAsia="Times New Roman" w:hAnsi="Arial Narrow" w:cs="Times New Roman"/>
          <w:sz w:val="20"/>
          <w:szCs w:val="20"/>
          <w:lang w:eastAsia="pl-PL"/>
        </w:rPr>
        <w:t xml:space="preserve">, którego większa część pozostaje na sicie </w:t>
      </w:r>
      <w:smartTag w:uri="urn:schemas-microsoft-com:office:smarttags" w:element="metricconverter">
        <w:smartTagPr>
          <w:attr w:name="ProductID" w:val="0,063 mm"/>
        </w:smartTagPr>
        <w:r w:rsidRPr="00AD1E0F">
          <w:rPr>
            <w:rFonts w:ascii="Arial Narrow" w:eastAsia="Times New Roman" w:hAnsi="Arial Narrow" w:cs="Times New Roman"/>
            <w:sz w:val="20"/>
            <w:szCs w:val="20"/>
            <w:lang w:eastAsia="pl-PL"/>
          </w:rPr>
          <w:t>0,063 mm</w:t>
        </w:r>
      </w:smartTag>
      <w:r w:rsidRPr="00AD1E0F">
        <w:rPr>
          <w:rFonts w:ascii="Arial Narrow" w:eastAsia="Times New Roman" w:hAnsi="Arial Narrow" w:cs="Times New Roman"/>
          <w:sz w:val="20"/>
          <w:szCs w:val="20"/>
          <w:lang w:eastAsia="pl-PL"/>
        </w:rPr>
        <w:t>.</w:t>
      </w:r>
    </w:p>
    <w:p w14:paraId="236E1DD2" w14:textId="77777777" w:rsidR="00AD1E0F" w:rsidRPr="00AD1E0F" w:rsidRDefault="00AD1E0F" w:rsidP="00AD1E0F">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1.4.11. </w:t>
      </w:r>
      <w:r w:rsidRPr="00AD1E0F">
        <w:rPr>
          <w:rFonts w:ascii="Arial Narrow" w:eastAsia="Times New Roman" w:hAnsi="Arial Narrow" w:cs="Times New Roman"/>
          <w:sz w:val="20"/>
          <w:szCs w:val="20"/>
          <w:lang w:eastAsia="pl-PL"/>
        </w:rPr>
        <w:t xml:space="preserve">Pył – kruszywo z ziaren przechodzących przez sito </w:t>
      </w:r>
      <w:smartTag w:uri="urn:schemas-microsoft-com:office:smarttags" w:element="metricconverter">
        <w:smartTagPr>
          <w:attr w:name="ProductID" w:val="0,063 mm"/>
        </w:smartTagPr>
        <w:r w:rsidRPr="00AD1E0F">
          <w:rPr>
            <w:rFonts w:ascii="Arial Narrow" w:eastAsia="Times New Roman" w:hAnsi="Arial Narrow" w:cs="Times New Roman"/>
            <w:sz w:val="20"/>
            <w:szCs w:val="20"/>
            <w:lang w:eastAsia="pl-PL"/>
          </w:rPr>
          <w:t>0,063 mm</w:t>
        </w:r>
      </w:smartTag>
      <w:r w:rsidRPr="00AD1E0F">
        <w:rPr>
          <w:rFonts w:ascii="Arial Narrow" w:eastAsia="Times New Roman" w:hAnsi="Arial Narrow" w:cs="Times New Roman"/>
          <w:sz w:val="20"/>
          <w:szCs w:val="20"/>
          <w:lang w:eastAsia="pl-PL"/>
        </w:rPr>
        <w:t>.</w:t>
      </w:r>
    </w:p>
    <w:p w14:paraId="527AD0CA" w14:textId="77777777" w:rsidR="00AD1E0F" w:rsidRPr="00AD1E0F" w:rsidRDefault="00AD1E0F" w:rsidP="00AD1E0F">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1.4.12. </w:t>
      </w:r>
      <w:r w:rsidRPr="00AD1E0F">
        <w:rPr>
          <w:rFonts w:ascii="Arial Narrow" w:eastAsia="Times New Roman" w:hAnsi="Arial Narrow" w:cs="Times New Roman"/>
          <w:sz w:val="20"/>
          <w:szCs w:val="20"/>
          <w:lang w:eastAsia="pl-PL"/>
        </w:rPr>
        <w:t xml:space="preserve">Wypełniacz – kruszywo, którego większa część przechodzi przez sito </w:t>
      </w:r>
      <w:smartTag w:uri="urn:schemas-microsoft-com:office:smarttags" w:element="metricconverter">
        <w:smartTagPr>
          <w:attr w:name="ProductID" w:val="0,063 mm"/>
        </w:smartTagPr>
        <w:r w:rsidRPr="00AD1E0F">
          <w:rPr>
            <w:rFonts w:ascii="Arial Narrow" w:eastAsia="Times New Roman" w:hAnsi="Arial Narrow" w:cs="Times New Roman"/>
            <w:sz w:val="20"/>
            <w:szCs w:val="20"/>
            <w:lang w:eastAsia="pl-PL"/>
          </w:rPr>
          <w:t>0,063 mm</w:t>
        </w:r>
      </w:smartTag>
      <w:r w:rsidRPr="00AD1E0F">
        <w:rPr>
          <w:rFonts w:ascii="Arial Narrow" w:eastAsia="Times New Roman" w:hAnsi="Arial Narrow" w:cs="Times New Roman"/>
          <w:sz w:val="20"/>
          <w:szCs w:val="20"/>
          <w:lang w:eastAsia="pl-PL"/>
        </w:rPr>
        <w:t>. (Wypełniacz mieszany – kruszywo, które składa się z wypełniacza pochodzenia mineralnego i wodorotlenku wapnia. Wypełniacz dodany – wypełniacz pochodzenia mineralnego, wyprodukowany oddzielnie).</w:t>
      </w:r>
    </w:p>
    <w:p w14:paraId="4CA8A482" w14:textId="77777777" w:rsidR="00AD1E0F" w:rsidRPr="00AD1E0F" w:rsidRDefault="00AD1E0F" w:rsidP="00AD1E0F">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1.4.13. </w:t>
      </w:r>
      <w:r w:rsidRPr="00AD1E0F">
        <w:rPr>
          <w:rFonts w:ascii="Arial Narrow" w:eastAsia="Times New Roman" w:hAnsi="Arial Narrow" w:cs="Times New Roman"/>
          <w:sz w:val="20"/>
          <w:szCs w:val="20"/>
          <w:lang w:eastAsia="pl-PL"/>
        </w:rPr>
        <w:t>Kationowa emulsja asfaltowa – emulsja, w której emulgator nadaje dodatnie ładunki cząstkom zdyspergowanego asfaltu.</w:t>
      </w:r>
    </w:p>
    <w:p w14:paraId="7CBBE1DE" w14:textId="77777777" w:rsidR="00AD1E0F" w:rsidRPr="00AD1E0F" w:rsidRDefault="00AD1E0F" w:rsidP="00AD1E0F">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1.4.14. </w:t>
      </w:r>
      <w:r w:rsidRPr="00AD1E0F">
        <w:rPr>
          <w:rFonts w:ascii="Arial Narrow" w:eastAsia="Times New Roman" w:hAnsi="Arial Narrow" w:cs="Times New Roman"/>
          <w:sz w:val="20"/>
          <w:szCs w:val="20"/>
          <w:lang w:eastAsia="pl-PL"/>
        </w:rPr>
        <w:t>Pozostałe określenia podstawowe są zgodne z obowiązującymi, odpowiednimi polskimi normami i z definicjami podanymi w STWiORB D-M-00.00.00 „Wymagania ogólne” pkt 1.4.</w:t>
      </w:r>
    </w:p>
    <w:p w14:paraId="4ED50F43" w14:textId="77777777" w:rsidR="00AD1E0F" w:rsidRPr="00AD1E0F" w:rsidRDefault="00AD1E0F" w:rsidP="00AD1E0F">
      <w:pPr>
        <w:overflowPunct w:val="0"/>
        <w:autoSpaceDE w:val="0"/>
        <w:autoSpaceDN w:val="0"/>
        <w:adjustRightInd w:val="0"/>
        <w:spacing w:before="120" w:after="12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b/>
          <w:sz w:val="20"/>
          <w:szCs w:val="20"/>
          <w:lang w:eastAsia="pl-PL"/>
        </w:rPr>
        <w:t xml:space="preserve">1.4.15. </w:t>
      </w:r>
      <w:r w:rsidRPr="00AD1E0F">
        <w:rPr>
          <w:rFonts w:ascii="Arial Narrow" w:eastAsia="Times New Roman" w:hAnsi="Arial Narrow" w:cs="Times New Roman"/>
          <w:sz w:val="20"/>
          <w:szCs w:val="20"/>
          <w:lang w:eastAsia="pl-PL"/>
        </w:rPr>
        <w:t>Symbole i skróty dodatkowe</w:t>
      </w:r>
    </w:p>
    <w:tbl>
      <w:tblPr>
        <w:tblW w:w="0" w:type="auto"/>
        <w:tblLook w:val="04A0" w:firstRow="1" w:lastRow="0" w:firstColumn="1" w:lastColumn="0" w:noHBand="0" w:noVBand="1"/>
      </w:tblPr>
      <w:tblGrid>
        <w:gridCol w:w="675"/>
        <w:gridCol w:w="6912"/>
      </w:tblGrid>
      <w:tr w:rsidR="00AD1E0F" w:rsidRPr="00AD1E0F" w14:paraId="335F7CF0" w14:textId="77777777" w:rsidTr="00855929">
        <w:tc>
          <w:tcPr>
            <w:tcW w:w="675" w:type="dxa"/>
          </w:tcPr>
          <w:p w14:paraId="5EB762D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ACS</w:t>
            </w:r>
          </w:p>
        </w:tc>
        <w:tc>
          <w:tcPr>
            <w:tcW w:w="6912" w:type="dxa"/>
          </w:tcPr>
          <w:p w14:paraId="3C58BD3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beton asfaltowy do warstwy ścieralnej</w:t>
            </w:r>
          </w:p>
        </w:tc>
      </w:tr>
      <w:tr w:rsidR="00AD1E0F" w:rsidRPr="00AD1E0F" w14:paraId="3EB23812" w14:textId="77777777" w:rsidTr="00855929">
        <w:tc>
          <w:tcPr>
            <w:tcW w:w="675" w:type="dxa"/>
          </w:tcPr>
          <w:p w14:paraId="7148BF2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PMB</w:t>
            </w:r>
          </w:p>
        </w:tc>
        <w:tc>
          <w:tcPr>
            <w:tcW w:w="6912" w:type="dxa"/>
          </w:tcPr>
          <w:p w14:paraId="0ED93AD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polimeroasfalt,</w:t>
            </w:r>
          </w:p>
        </w:tc>
      </w:tr>
      <w:tr w:rsidR="00AD1E0F" w:rsidRPr="00AD1E0F" w14:paraId="6DCDC104" w14:textId="77777777" w:rsidTr="00855929">
        <w:tc>
          <w:tcPr>
            <w:tcW w:w="675" w:type="dxa"/>
          </w:tcPr>
          <w:p w14:paraId="561DE3B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D</w:t>
            </w:r>
          </w:p>
        </w:tc>
        <w:tc>
          <w:tcPr>
            <w:tcW w:w="6912" w:type="dxa"/>
          </w:tcPr>
          <w:p w14:paraId="53B5501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górny wymiar sita (przy określaniu wielkości ziaren kruszywa),</w:t>
            </w:r>
          </w:p>
        </w:tc>
      </w:tr>
      <w:tr w:rsidR="00AD1E0F" w:rsidRPr="00AD1E0F" w14:paraId="5A182484" w14:textId="77777777" w:rsidTr="00855929">
        <w:tc>
          <w:tcPr>
            <w:tcW w:w="675" w:type="dxa"/>
          </w:tcPr>
          <w:p w14:paraId="0972A7A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d</w:t>
            </w:r>
          </w:p>
        </w:tc>
        <w:tc>
          <w:tcPr>
            <w:tcW w:w="6912" w:type="dxa"/>
          </w:tcPr>
          <w:p w14:paraId="0E9736A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dolny wymiar sita (przy określaniu wielkości ziaren kruszywa),</w:t>
            </w:r>
          </w:p>
        </w:tc>
      </w:tr>
      <w:tr w:rsidR="00AD1E0F" w:rsidRPr="00AD1E0F" w14:paraId="1F9F009E" w14:textId="77777777" w:rsidTr="00855929">
        <w:tc>
          <w:tcPr>
            <w:tcW w:w="675" w:type="dxa"/>
          </w:tcPr>
          <w:p w14:paraId="6B3DCE3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C</w:t>
            </w:r>
          </w:p>
        </w:tc>
        <w:tc>
          <w:tcPr>
            <w:tcW w:w="6912" w:type="dxa"/>
          </w:tcPr>
          <w:p w14:paraId="3D1D144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kationowa emulsja asfaltowa,</w:t>
            </w:r>
          </w:p>
        </w:tc>
      </w:tr>
      <w:tr w:rsidR="00AD1E0F" w:rsidRPr="00AD1E0F" w14:paraId="44318970" w14:textId="77777777" w:rsidTr="00855929">
        <w:tc>
          <w:tcPr>
            <w:tcW w:w="675" w:type="dxa"/>
          </w:tcPr>
          <w:p w14:paraId="31E782A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lastRenderedPageBreak/>
              <w:t>NPD</w:t>
            </w:r>
          </w:p>
        </w:tc>
        <w:tc>
          <w:tcPr>
            <w:tcW w:w="6912" w:type="dxa"/>
          </w:tcPr>
          <w:p w14:paraId="198CA8B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właściwość użytkowa nie określana (ang. No Performance Determined; producent może jej nie określać),</w:t>
            </w:r>
          </w:p>
        </w:tc>
      </w:tr>
      <w:tr w:rsidR="00AD1E0F" w:rsidRPr="00AD1E0F" w14:paraId="401D032F" w14:textId="77777777" w:rsidTr="00855929">
        <w:tc>
          <w:tcPr>
            <w:tcW w:w="675" w:type="dxa"/>
          </w:tcPr>
          <w:p w14:paraId="3B726B6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TBR</w:t>
            </w:r>
          </w:p>
        </w:tc>
        <w:tc>
          <w:tcPr>
            <w:tcW w:w="6912" w:type="dxa"/>
          </w:tcPr>
          <w:p w14:paraId="2F8FF0F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do zadeklarowania (ang. To Be Reported; producent może dostarczyć odpowiednie informacje, jednak nie jest do tego zobowiązany),</w:t>
            </w:r>
          </w:p>
        </w:tc>
      </w:tr>
      <w:tr w:rsidR="00AD1E0F" w:rsidRPr="00AD1E0F" w14:paraId="43D4881F" w14:textId="77777777" w:rsidTr="00855929">
        <w:tc>
          <w:tcPr>
            <w:tcW w:w="675" w:type="dxa"/>
          </w:tcPr>
          <w:p w14:paraId="341003C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IRI</w:t>
            </w:r>
          </w:p>
        </w:tc>
        <w:tc>
          <w:tcPr>
            <w:tcW w:w="6912" w:type="dxa"/>
          </w:tcPr>
          <w:p w14:paraId="656DE41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(International Roughness Index) międzynarodowy wskaźnik równości,</w:t>
            </w:r>
          </w:p>
        </w:tc>
      </w:tr>
      <w:tr w:rsidR="00AD1E0F" w:rsidRPr="00AD1E0F" w14:paraId="222575D1" w14:textId="77777777" w:rsidTr="00855929">
        <w:tc>
          <w:tcPr>
            <w:tcW w:w="675" w:type="dxa"/>
          </w:tcPr>
          <w:p w14:paraId="4B76DC7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6912" w:type="dxa"/>
          </w:tcPr>
          <w:p w14:paraId="29F4747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r>
    </w:tbl>
    <w:p w14:paraId="12259251"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00" w:name="_Toc495830184"/>
      <w:r w:rsidRPr="00AD1E0F">
        <w:rPr>
          <w:rFonts w:ascii="Arial Narrow" w:eastAsia="Times New Roman" w:hAnsi="Arial Narrow" w:cs="Times New Roman"/>
          <w:b/>
          <w:sz w:val="28"/>
          <w:szCs w:val="20"/>
          <w:lang w:val="x-none" w:eastAsia="x-none"/>
        </w:rPr>
        <w:t>1.5. Ogólne wymagania dotyczące robót</w:t>
      </w:r>
      <w:bookmarkEnd w:id="700"/>
    </w:p>
    <w:p w14:paraId="466AFA8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Ogólne wymagania dotyczące robót podano w STWiORB D-M-00.00.00 „Wymagania ogólne” [1] pkt 1.5.</w:t>
      </w:r>
    </w:p>
    <w:p w14:paraId="1119E35D" w14:textId="77777777" w:rsidR="00AD1E0F" w:rsidRPr="00AD1E0F" w:rsidRDefault="00AD1E0F" w:rsidP="00AD1E0F">
      <w:pPr>
        <w:keepNext/>
        <w:keepLines/>
        <w:tabs>
          <w:tab w:val="center" w:pos="1235"/>
        </w:tabs>
        <w:suppressAutoHyphens/>
        <w:overflowPunct w:val="0"/>
        <w:autoSpaceDE w:val="0"/>
        <w:autoSpaceDN w:val="0"/>
        <w:adjustRightInd w:val="0"/>
        <w:spacing w:after="0" w:line="240" w:lineRule="auto"/>
        <w:ind w:left="-3"/>
        <w:jc w:val="both"/>
        <w:textAlignment w:val="baseline"/>
        <w:outlineLvl w:val="0"/>
        <w:rPr>
          <w:rFonts w:ascii="Arial Narrow" w:eastAsia="Times New Roman" w:hAnsi="Arial Narrow" w:cs="Times New Roman"/>
          <w:b/>
          <w:caps/>
          <w:kern w:val="28"/>
          <w:sz w:val="28"/>
          <w:szCs w:val="20"/>
          <w:lang w:val="x-none" w:eastAsia="x-none"/>
        </w:rPr>
      </w:pPr>
      <w:bookmarkStart w:id="701" w:name="_Toc60600"/>
      <w:r w:rsidRPr="00AD1E0F">
        <w:rPr>
          <w:rFonts w:ascii="Arial Narrow" w:eastAsia="Times New Roman" w:hAnsi="Arial Narrow" w:cs="Times New Roman"/>
          <w:b/>
          <w:caps/>
          <w:kern w:val="28"/>
          <w:sz w:val="28"/>
          <w:szCs w:val="20"/>
          <w:lang w:val="x-none" w:eastAsia="x-none"/>
        </w:rPr>
        <w:t>2.</w:t>
      </w:r>
      <w:r w:rsidRPr="00AD1E0F">
        <w:rPr>
          <w:rFonts w:ascii="Arial Narrow" w:eastAsia="Arial" w:hAnsi="Arial Narrow" w:cs="Arial"/>
          <w:b/>
          <w:caps/>
          <w:kern w:val="28"/>
          <w:sz w:val="28"/>
          <w:szCs w:val="20"/>
          <w:lang w:val="x-none" w:eastAsia="x-none"/>
        </w:rPr>
        <w:t xml:space="preserve"> </w:t>
      </w:r>
      <w:r w:rsidRPr="00AD1E0F">
        <w:rPr>
          <w:rFonts w:ascii="Arial Narrow" w:eastAsia="Arial" w:hAnsi="Arial Narrow" w:cs="Arial"/>
          <w:b/>
          <w:caps/>
          <w:kern w:val="28"/>
          <w:sz w:val="28"/>
          <w:szCs w:val="20"/>
          <w:lang w:val="x-none" w:eastAsia="x-none"/>
        </w:rPr>
        <w:tab/>
      </w:r>
      <w:r w:rsidRPr="00AD1E0F">
        <w:rPr>
          <w:rFonts w:ascii="Arial Narrow" w:eastAsia="Times New Roman" w:hAnsi="Arial Narrow" w:cs="Times New Roman"/>
          <w:b/>
          <w:caps/>
          <w:kern w:val="28"/>
          <w:sz w:val="28"/>
          <w:szCs w:val="20"/>
          <w:lang w:val="x-none" w:eastAsia="x-none"/>
        </w:rPr>
        <w:t xml:space="preserve">MATERIAŁY </w:t>
      </w:r>
      <w:bookmarkEnd w:id="701"/>
    </w:p>
    <w:p w14:paraId="293423DA"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Ogólne wymagania dotyczące materiałów, ich pozyskiwania i składowania podano w D-M00.00.00 „Wymagania ogólne”. Poszczególne rodzaje materiałów powinny pochodzić ze źródeł zatwierdzonych przez Inżyniera/Inspektora Nadzoru. W przypadku wystąpienia zmian w materiałach składowych (rodzaj, kategoria, typ petrograficzny, gęstość, zmiana złoża) należy postępować zgodnie z zasadami określonymi w punkcie 4.2. normy PN-EN 13108-20. </w:t>
      </w:r>
    </w:p>
    <w:p w14:paraId="50503D75"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02" w:name="_Toc60601"/>
      <w:r w:rsidRPr="00AD1E0F">
        <w:rPr>
          <w:rFonts w:ascii="Arial Narrow" w:eastAsia="Times New Roman" w:hAnsi="Arial Narrow" w:cs="Times New Roman"/>
          <w:b/>
          <w:sz w:val="28"/>
          <w:szCs w:val="20"/>
          <w:lang w:val="x-none" w:eastAsia="x-none"/>
        </w:rPr>
        <w:t>2.1.</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Rodzaje materiałów </w:t>
      </w:r>
      <w:bookmarkEnd w:id="702"/>
    </w:p>
    <w:p w14:paraId="3152947C" w14:textId="77777777" w:rsidR="00AD1E0F" w:rsidRPr="00AD1E0F" w:rsidRDefault="00AD1E0F" w:rsidP="00AD1E0F">
      <w:pPr>
        <w:overflowPunct w:val="0"/>
        <w:autoSpaceDE w:val="0"/>
        <w:autoSpaceDN w:val="0"/>
        <w:adjustRightInd w:val="0"/>
        <w:spacing w:after="129"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Rodzaje materiałów stosowanych do mieszanki mineralno-asfaltowej podano w tabeli 1. </w:t>
      </w:r>
    </w:p>
    <w:p w14:paraId="481730DD"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Tabela 1. Rodzaje materiałów do mieszanki mineralno-asfaltowej </w:t>
      </w:r>
    </w:p>
    <w:tbl>
      <w:tblPr>
        <w:tblW w:w="9074" w:type="dxa"/>
        <w:tblInd w:w="125" w:type="dxa"/>
        <w:tblCellMar>
          <w:top w:w="165" w:type="dxa"/>
          <w:right w:w="38" w:type="dxa"/>
        </w:tblCellMar>
        <w:tblLook w:val="04A0" w:firstRow="1" w:lastRow="0" w:firstColumn="1" w:lastColumn="0" w:noHBand="0" w:noVBand="1"/>
      </w:tblPr>
      <w:tblGrid>
        <w:gridCol w:w="526"/>
        <w:gridCol w:w="2737"/>
        <w:gridCol w:w="2904"/>
        <w:gridCol w:w="2907"/>
      </w:tblGrid>
      <w:tr w:rsidR="00AD1E0F" w:rsidRPr="00AD1E0F" w14:paraId="682E2C3E" w14:textId="77777777" w:rsidTr="00855929">
        <w:trPr>
          <w:trHeight w:val="124"/>
        </w:trPr>
        <w:tc>
          <w:tcPr>
            <w:tcW w:w="526"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3CBA63A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Lp. </w:t>
            </w:r>
          </w:p>
          <w:p w14:paraId="558CED0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 </w:t>
            </w:r>
          </w:p>
        </w:tc>
        <w:tc>
          <w:tcPr>
            <w:tcW w:w="2737"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1A6F1C9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Rodzaj materiału </w:t>
            </w:r>
          </w:p>
          <w:p w14:paraId="33A7780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 </w:t>
            </w:r>
          </w:p>
        </w:tc>
        <w:tc>
          <w:tcPr>
            <w:tcW w:w="581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AB5B6A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Wymagania wg / dokument odniesienia </w:t>
            </w:r>
          </w:p>
        </w:tc>
      </w:tr>
      <w:tr w:rsidR="00AD1E0F" w:rsidRPr="00AD1E0F" w14:paraId="38E86377" w14:textId="77777777" w:rsidTr="00855929">
        <w:trPr>
          <w:trHeight w:val="162"/>
        </w:trPr>
        <w:tc>
          <w:tcPr>
            <w:tcW w:w="0" w:type="auto"/>
            <w:vMerge/>
            <w:tcBorders>
              <w:top w:val="nil"/>
              <w:left w:val="single" w:sz="4" w:space="0" w:color="000000"/>
              <w:bottom w:val="single" w:sz="4" w:space="0" w:color="000000"/>
              <w:right w:val="single" w:sz="4" w:space="0" w:color="000000"/>
            </w:tcBorders>
            <w:shd w:val="clear" w:color="auto" w:fill="auto"/>
          </w:tcPr>
          <w:p w14:paraId="4E642A1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0" w:type="auto"/>
            <w:vMerge/>
            <w:tcBorders>
              <w:top w:val="nil"/>
              <w:left w:val="single" w:sz="4" w:space="0" w:color="000000"/>
              <w:bottom w:val="single" w:sz="4" w:space="0" w:color="000000"/>
              <w:right w:val="single" w:sz="4" w:space="0" w:color="000000"/>
            </w:tcBorders>
            <w:shd w:val="clear" w:color="auto" w:fill="auto"/>
          </w:tcPr>
          <w:p w14:paraId="73B010A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9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7B64A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KR 1-2 </w:t>
            </w:r>
          </w:p>
        </w:tc>
        <w:tc>
          <w:tcPr>
            <w:tcW w:w="290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D23FD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KR 3-4 </w:t>
            </w:r>
          </w:p>
        </w:tc>
      </w:tr>
      <w:tr w:rsidR="00AD1E0F" w:rsidRPr="00AD1E0F" w14:paraId="61398B89" w14:textId="77777777" w:rsidTr="00855929">
        <w:trPr>
          <w:trHeight w:val="22"/>
        </w:trPr>
        <w:tc>
          <w:tcPr>
            <w:tcW w:w="5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3C9AD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1. </w:t>
            </w:r>
          </w:p>
        </w:tc>
        <w:tc>
          <w:tcPr>
            <w:tcW w:w="27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0CA59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Kruszywo grube  </w:t>
            </w:r>
          </w:p>
        </w:tc>
        <w:tc>
          <w:tcPr>
            <w:tcW w:w="581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63A2F6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WT-1 Kruszywa 2014, tabela 12 </w:t>
            </w:r>
          </w:p>
        </w:tc>
      </w:tr>
      <w:tr w:rsidR="00AD1E0F" w:rsidRPr="00AD1E0F" w14:paraId="6A249FF0" w14:textId="77777777" w:rsidTr="00855929">
        <w:trPr>
          <w:trHeight w:val="56"/>
        </w:trPr>
        <w:tc>
          <w:tcPr>
            <w:tcW w:w="526" w:type="dxa"/>
            <w:tcBorders>
              <w:top w:val="single" w:sz="4" w:space="0" w:color="000000"/>
              <w:left w:val="single" w:sz="4" w:space="0" w:color="000000"/>
              <w:bottom w:val="single" w:sz="4" w:space="0" w:color="000000"/>
              <w:right w:val="single" w:sz="4" w:space="0" w:color="000000"/>
            </w:tcBorders>
            <w:shd w:val="clear" w:color="auto" w:fill="auto"/>
          </w:tcPr>
          <w:p w14:paraId="77AAF00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2. </w:t>
            </w:r>
          </w:p>
        </w:tc>
        <w:tc>
          <w:tcPr>
            <w:tcW w:w="27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C7B7B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Kruszywo drobne lub o ciągłym uziarnieniu D≤8 </w:t>
            </w:r>
          </w:p>
        </w:tc>
        <w:tc>
          <w:tcPr>
            <w:tcW w:w="29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DF48D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WT-1 Kruszywa 2014, tabela 13 i 14 </w:t>
            </w:r>
          </w:p>
        </w:tc>
        <w:tc>
          <w:tcPr>
            <w:tcW w:w="290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FA087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WT-1 Kruszywa 2014, tabela 14 </w:t>
            </w:r>
          </w:p>
        </w:tc>
      </w:tr>
      <w:tr w:rsidR="00AD1E0F" w:rsidRPr="00AD1E0F" w14:paraId="3B68D3CB" w14:textId="77777777" w:rsidTr="00855929">
        <w:trPr>
          <w:trHeight w:val="264"/>
        </w:trPr>
        <w:tc>
          <w:tcPr>
            <w:tcW w:w="5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18B60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3. </w:t>
            </w:r>
          </w:p>
        </w:tc>
        <w:tc>
          <w:tcPr>
            <w:tcW w:w="27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0CA78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Wypełniacz  </w:t>
            </w:r>
          </w:p>
        </w:tc>
        <w:tc>
          <w:tcPr>
            <w:tcW w:w="581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D82BBB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WT-1 Kruszywa 2014, tabela 15 </w:t>
            </w:r>
          </w:p>
        </w:tc>
      </w:tr>
      <w:tr w:rsidR="00AD1E0F" w:rsidRPr="00AD1E0F" w14:paraId="53EF2611" w14:textId="77777777" w:rsidTr="00855929">
        <w:trPr>
          <w:trHeight w:val="398"/>
        </w:trPr>
        <w:tc>
          <w:tcPr>
            <w:tcW w:w="526" w:type="dxa"/>
            <w:tcBorders>
              <w:top w:val="single" w:sz="4" w:space="0" w:color="000000"/>
              <w:left w:val="single" w:sz="4" w:space="0" w:color="000000"/>
              <w:bottom w:val="single" w:sz="4" w:space="0" w:color="000000"/>
              <w:right w:val="single" w:sz="4" w:space="0" w:color="000000"/>
            </w:tcBorders>
            <w:shd w:val="clear" w:color="auto" w:fill="auto"/>
          </w:tcPr>
          <w:p w14:paraId="3F91EAF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4. </w:t>
            </w:r>
          </w:p>
        </w:tc>
        <w:tc>
          <w:tcPr>
            <w:tcW w:w="2737" w:type="dxa"/>
            <w:tcBorders>
              <w:top w:val="single" w:sz="4" w:space="0" w:color="000000"/>
              <w:left w:val="single" w:sz="4" w:space="0" w:color="000000"/>
              <w:bottom w:val="single" w:sz="4" w:space="0" w:color="000000"/>
              <w:right w:val="single" w:sz="4" w:space="0" w:color="000000"/>
            </w:tcBorders>
            <w:shd w:val="clear" w:color="auto" w:fill="auto"/>
          </w:tcPr>
          <w:p w14:paraId="5BEECB0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Lepiszcze </w:t>
            </w:r>
          </w:p>
        </w:tc>
        <w:tc>
          <w:tcPr>
            <w:tcW w:w="581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2EEF30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WT-2 2014 – część I pkt 8.2.3.1 tab. 15, PN-EN 14023, PN-EN 13924-2, PN-EN 12591 </w:t>
            </w:r>
          </w:p>
        </w:tc>
      </w:tr>
      <w:tr w:rsidR="00AD1E0F" w:rsidRPr="00AD1E0F" w14:paraId="7D2AA3CE" w14:textId="77777777" w:rsidTr="00855929">
        <w:trPr>
          <w:trHeight w:val="336"/>
        </w:trPr>
        <w:tc>
          <w:tcPr>
            <w:tcW w:w="526" w:type="dxa"/>
            <w:tcBorders>
              <w:top w:val="single" w:sz="4" w:space="0" w:color="000000"/>
              <w:left w:val="single" w:sz="4" w:space="0" w:color="000000"/>
              <w:bottom w:val="single" w:sz="4" w:space="0" w:color="000000"/>
              <w:right w:val="single" w:sz="4" w:space="0" w:color="000000"/>
            </w:tcBorders>
            <w:shd w:val="clear" w:color="auto" w:fill="auto"/>
          </w:tcPr>
          <w:p w14:paraId="18944D3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5. </w:t>
            </w:r>
          </w:p>
        </w:tc>
        <w:tc>
          <w:tcPr>
            <w:tcW w:w="2737" w:type="dxa"/>
            <w:tcBorders>
              <w:top w:val="single" w:sz="4" w:space="0" w:color="000000"/>
              <w:left w:val="single" w:sz="4" w:space="0" w:color="000000"/>
              <w:bottom w:val="single" w:sz="4" w:space="0" w:color="000000"/>
              <w:right w:val="single" w:sz="4" w:space="0" w:color="000000"/>
            </w:tcBorders>
            <w:shd w:val="clear" w:color="auto" w:fill="auto"/>
          </w:tcPr>
          <w:p w14:paraId="0C6223A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Granulat asfaltowy  </w:t>
            </w:r>
          </w:p>
        </w:tc>
        <w:tc>
          <w:tcPr>
            <w:tcW w:w="581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BFF534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pkt. 2.1.1. STWiORB,  PN-EN 13108-8, RID I/6 Załącznik nr 9.2.1 i Załącznik nr 9.2.3 </w:t>
            </w:r>
          </w:p>
        </w:tc>
      </w:tr>
      <w:tr w:rsidR="00AD1E0F" w:rsidRPr="00AD1E0F" w14:paraId="32FF0DCA" w14:textId="77777777" w:rsidTr="00855929">
        <w:trPr>
          <w:trHeight w:val="118"/>
        </w:trPr>
        <w:tc>
          <w:tcPr>
            <w:tcW w:w="5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DB0DF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6. </w:t>
            </w:r>
          </w:p>
        </w:tc>
        <w:tc>
          <w:tcPr>
            <w:tcW w:w="27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B2DD5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Środek adhezyjny </w:t>
            </w:r>
          </w:p>
        </w:tc>
        <w:tc>
          <w:tcPr>
            <w:tcW w:w="581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DE2706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wg p. 4.1 PN-EN 13108-1 </w:t>
            </w:r>
          </w:p>
        </w:tc>
      </w:tr>
      <w:tr w:rsidR="00AD1E0F" w:rsidRPr="00AD1E0F" w14:paraId="2E48D452" w14:textId="77777777" w:rsidTr="00855929">
        <w:trPr>
          <w:trHeight w:val="564"/>
        </w:trPr>
        <w:tc>
          <w:tcPr>
            <w:tcW w:w="526" w:type="dxa"/>
            <w:tcBorders>
              <w:top w:val="single" w:sz="4" w:space="0" w:color="000000"/>
              <w:left w:val="single" w:sz="4" w:space="0" w:color="000000"/>
              <w:bottom w:val="single" w:sz="4" w:space="0" w:color="000000"/>
              <w:right w:val="single" w:sz="4" w:space="0" w:color="000000"/>
            </w:tcBorders>
            <w:shd w:val="clear" w:color="auto" w:fill="auto"/>
          </w:tcPr>
          <w:p w14:paraId="7DC0C73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7. </w:t>
            </w:r>
          </w:p>
        </w:tc>
        <w:tc>
          <w:tcPr>
            <w:tcW w:w="2737" w:type="dxa"/>
            <w:tcBorders>
              <w:top w:val="single" w:sz="4" w:space="0" w:color="000000"/>
              <w:left w:val="single" w:sz="4" w:space="0" w:color="000000"/>
              <w:bottom w:val="single" w:sz="4" w:space="0" w:color="000000"/>
              <w:right w:val="single" w:sz="4" w:space="0" w:color="000000"/>
            </w:tcBorders>
            <w:shd w:val="clear" w:color="auto" w:fill="auto"/>
          </w:tcPr>
          <w:p w14:paraId="67A751B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Mieszanka </w:t>
            </w:r>
            <w:r w:rsidRPr="00AD1E0F">
              <w:rPr>
                <w:rFonts w:ascii="Arial Narrow" w:eastAsia="Times New Roman" w:hAnsi="Arial Narrow" w:cs="Times New Roman"/>
                <w:sz w:val="20"/>
              </w:rPr>
              <w:tab/>
              <w:t xml:space="preserve">mineralnoasfaltowe </w:t>
            </w:r>
          </w:p>
        </w:tc>
        <w:tc>
          <w:tcPr>
            <w:tcW w:w="29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F7818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WT-2 2014 – część I pkt </w:t>
            </w:r>
          </w:p>
          <w:p w14:paraId="6A30BE8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8.2.3.2 tab. 16 i pkt </w:t>
            </w:r>
          </w:p>
          <w:p w14:paraId="6B0B355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8.2.3.3 tab. 18 </w:t>
            </w:r>
          </w:p>
        </w:tc>
        <w:tc>
          <w:tcPr>
            <w:tcW w:w="290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0AFA3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WT-2 2014 – część I pkt </w:t>
            </w:r>
          </w:p>
          <w:p w14:paraId="482DEA1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8.2.3.2 tab. 17 i pkt </w:t>
            </w:r>
          </w:p>
          <w:p w14:paraId="247B6E7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8.2.3.3 tab. 19 </w:t>
            </w:r>
          </w:p>
        </w:tc>
      </w:tr>
      <w:tr w:rsidR="00AD1E0F" w:rsidRPr="00AD1E0F" w14:paraId="47E8B00B" w14:textId="77777777" w:rsidTr="00855929">
        <w:trPr>
          <w:trHeight w:val="561"/>
        </w:trPr>
        <w:tc>
          <w:tcPr>
            <w:tcW w:w="907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3B061D8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16"/>
              </w:rPr>
              <w:t xml:space="preserve">Jeżeli stosowana jest mieszanka kruszywa drobnego niełamanego i łamanego, to należy przyjąć proporcję kruszywa łamanego do niełamanego co najmniej 50/50. </w:t>
            </w:r>
          </w:p>
          <w:p w14:paraId="74A70E9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16"/>
              </w:rPr>
              <w:t>Projektowanie mieszanki mineralno-asfaltowej wg WT-2 2014 – część I pkt. 8.1. W przypadku stosowania granulatu asfaltowego należy dodatkowo stosować się do wytycznych opisanych w Załączniku nr 9.2.1 i Załączniku nr 9.2.3 RID I/6</w:t>
            </w:r>
            <w:r w:rsidRPr="00AD1E0F">
              <w:rPr>
                <w:rFonts w:ascii="Arial Narrow" w:eastAsia="Times New Roman" w:hAnsi="Arial Narrow" w:cs="Times New Roman"/>
                <w:sz w:val="20"/>
              </w:rPr>
              <w:t xml:space="preserve"> </w:t>
            </w:r>
          </w:p>
        </w:tc>
      </w:tr>
    </w:tbl>
    <w:p w14:paraId="44B67E85"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2.1.1.</w:t>
      </w:r>
      <w:r w:rsidRPr="00AD1E0F">
        <w:rPr>
          <w:rFonts w:ascii="Arial Narrow" w:eastAsia="Arial" w:hAnsi="Arial Narrow" w:cs="Times New Roman"/>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Granulat asfaltowy  </w:t>
      </w:r>
    </w:p>
    <w:p w14:paraId="28209D1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Granulat asfaltowy należy stosować zgodnie z wymaganiami podanymi w normie PN-EN 13108-8 oraz Załączniku nr 9.2.1 i Załączniku nr 9.2.3 RID I/6. </w:t>
      </w:r>
    </w:p>
    <w:p w14:paraId="06366C7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Mieszanki mineralno-asfaltowe zawierające granulat asfaltowy muszą mieć parametry odpowiadające ich rodzajowi oraz przeznaczaniu, zgodnie z wymaganiami niniejszego WWiORB. </w:t>
      </w:r>
    </w:p>
    <w:p w14:paraId="70EC0285" w14:textId="77777777" w:rsidR="00AD1E0F" w:rsidRPr="00AD1E0F" w:rsidRDefault="00AD1E0F" w:rsidP="00AD1E0F">
      <w:pPr>
        <w:keepNext/>
        <w:tabs>
          <w:tab w:val="center" w:pos="3514"/>
        </w:tabs>
        <w:overflowPunct w:val="0"/>
        <w:autoSpaceDE w:val="0"/>
        <w:autoSpaceDN w:val="0"/>
        <w:adjustRightInd w:val="0"/>
        <w:spacing w:after="0" w:line="240" w:lineRule="auto"/>
        <w:ind w:left="-3" w:firstLine="709"/>
        <w:jc w:val="both"/>
        <w:textAlignment w:val="baseline"/>
        <w:outlineLvl w:val="5"/>
        <w:rPr>
          <w:rFonts w:ascii="Arial Narrow" w:eastAsia="Times New Roman" w:hAnsi="Arial Narrow" w:cs="Times New Roman"/>
          <w:b/>
          <w:sz w:val="18"/>
          <w:szCs w:val="20"/>
          <w:lang w:val="x-none" w:eastAsia="x-none"/>
        </w:rPr>
      </w:pPr>
      <w:r w:rsidRPr="00AD1E0F">
        <w:rPr>
          <w:rFonts w:ascii="Arial Narrow" w:eastAsia="Times New Roman" w:hAnsi="Arial Narrow" w:cs="Times New Roman"/>
          <w:b/>
          <w:sz w:val="18"/>
          <w:szCs w:val="20"/>
          <w:lang w:val="x-none" w:eastAsia="x-none"/>
        </w:rPr>
        <w:t>2.1.1.1.</w:t>
      </w:r>
      <w:r w:rsidRPr="00AD1E0F">
        <w:rPr>
          <w:rFonts w:ascii="Arial Narrow" w:eastAsia="Arial" w:hAnsi="Arial Narrow" w:cs="Arial"/>
          <w:b/>
          <w:sz w:val="18"/>
          <w:szCs w:val="20"/>
          <w:lang w:val="x-none" w:eastAsia="x-none"/>
        </w:rPr>
        <w:t xml:space="preserve"> </w:t>
      </w:r>
      <w:r w:rsidRPr="00AD1E0F">
        <w:rPr>
          <w:rFonts w:ascii="Arial Narrow" w:eastAsia="Times New Roman" w:hAnsi="Arial Narrow" w:cs="Times New Roman"/>
          <w:b/>
          <w:sz w:val="18"/>
          <w:szCs w:val="20"/>
          <w:lang w:val="x-none" w:eastAsia="x-none"/>
        </w:rPr>
        <w:t xml:space="preserve">Zasady stosowania granulatu asfaltowego </w:t>
      </w:r>
    </w:p>
    <w:p w14:paraId="29299AB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Zakres stosowania granulatu asfaltowego w mieszankach mineralno-asfaltowych typu AC W, zależy od następujących czynników:  </w:t>
      </w:r>
    </w:p>
    <w:p w14:paraId="3C21DFDC"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pochodzenia granulatu asfaltowego, </w:t>
      </w:r>
    </w:p>
    <w:p w14:paraId="7A95D249"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jakości granulatu asfaltowego, a w szczególności właściwości lepiszcza, właściwości kruszywa i jednorodności granulatu,  </w:t>
      </w:r>
    </w:p>
    <w:p w14:paraId="60B132C7"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rodzaju nowego lepiszcza, </w:t>
      </w:r>
    </w:p>
    <w:p w14:paraId="08F5EAA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Ogólne zasady wykorzystania granulatu asfaltowego określa tabela 2. </w:t>
      </w:r>
    </w:p>
    <w:p w14:paraId="5D384496"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Tabela 2. Ogólne zasady wykorzystania granulatu asfaltowego ze względu na jego pochodzenie  </w:t>
      </w:r>
    </w:p>
    <w:tbl>
      <w:tblPr>
        <w:tblW w:w="5286" w:type="dxa"/>
        <w:tblInd w:w="1906" w:type="dxa"/>
        <w:tblCellMar>
          <w:right w:w="64" w:type="dxa"/>
        </w:tblCellMar>
        <w:tblLook w:val="04A0" w:firstRow="1" w:lastRow="0" w:firstColumn="1" w:lastColumn="0" w:noHBand="0" w:noVBand="1"/>
      </w:tblPr>
      <w:tblGrid>
        <w:gridCol w:w="2547"/>
        <w:gridCol w:w="2739"/>
      </w:tblGrid>
      <w:tr w:rsidR="00AD1E0F" w:rsidRPr="00AD1E0F" w14:paraId="7796518F" w14:textId="77777777" w:rsidTr="00855929">
        <w:trPr>
          <w:trHeight w:val="737"/>
        </w:trPr>
        <w:tc>
          <w:tcPr>
            <w:tcW w:w="254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2AC1D9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Pochodzenie granulatu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F8D1D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Przeznaczenie mm-a z granulatem </w:t>
            </w:r>
          </w:p>
        </w:tc>
      </w:tr>
      <w:tr w:rsidR="00AD1E0F" w:rsidRPr="00AD1E0F" w14:paraId="4CF65120" w14:textId="77777777" w:rsidTr="00855929">
        <w:trPr>
          <w:trHeight w:val="492"/>
        </w:trPr>
        <w:tc>
          <w:tcPr>
            <w:tcW w:w="0" w:type="auto"/>
            <w:vMerge/>
            <w:tcBorders>
              <w:top w:val="nil"/>
              <w:left w:val="single" w:sz="4" w:space="0" w:color="000000"/>
              <w:bottom w:val="single" w:sz="4" w:space="0" w:color="000000"/>
              <w:right w:val="single" w:sz="4" w:space="0" w:color="000000"/>
            </w:tcBorders>
            <w:shd w:val="clear" w:color="auto" w:fill="auto"/>
          </w:tcPr>
          <w:p w14:paraId="5CC3C6D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B03BE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AC S </w:t>
            </w:r>
          </w:p>
        </w:tc>
      </w:tr>
      <w:tr w:rsidR="00AD1E0F" w:rsidRPr="00AD1E0F" w14:paraId="4ADFA877" w14:textId="77777777" w:rsidTr="00855929">
        <w:trPr>
          <w:trHeight w:val="495"/>
        </w:trPr>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93146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lastRenderedPageBreak/>
              <w:t xml:space="preserve">AC P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82ED8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Nie </w:t>
            </w:r>
          </w:p>
        </w:tc>
      </w:tr>
      <w:tr w:rsidR="00AD1E0F" w:rsidRPr="00AD1E0F" w14:paraId="25583CBE" w14:textId="77777777" w:rsidTr="00855929">
        <w:trPr>
          <w:trHeight w:val="492"/>
        </w:trPr>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4EB53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AC W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8A227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Nie </w:t>
            </w:r>
          </w:p>
        </w:tc>
      </w:tr>
      <w:tr w:rsidR="00AD1E0F" w:rsidRPr="00AD1E0F" w14:paraId="38016948" w14:textId="77777777" w:rsidTr="00855929">
        <w:trPr>
          <w:trHeight w:val="494"/>
        </w:trPr>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1F155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AC S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82C66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Tak </w:t>
            </w:r>
          </w:p>
        </w:tc>
      </w:tr>
      <w:tr w:rsidR="00AD1E0F" w:rsidRPr="00AD1E0F" w14:paraId="6250A27C" w14:textId="77777777" w:rsidTr="00855929">
        <w:trPr>
          <w:trHeight w:val="492"/>
        </w:trPr>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30B42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AC WMS P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7C944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Nie </w:t>
            </w:r>
          </w:p>
        </w:tc>
      </w:tr>
      <w:tr w:rsidR="00AD1E0F" w:rsidRPr="00AD1E0F" w14:paraId="1066A517" w14:textId="77777777" w:rsidTr="00855929">
        <w:trPr>
          <w:trHeight w:val="494"/>
        </w:trPr>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76483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AC WMS W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BD1F4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Nie </w:t>
            </w:r>
          </w:p>
        </w:tc>
      </w:tr>
      <w:tr w:rsidR="00AD1E0F" w:rsidRPr="00AD1E0F" w14:paraId="4C15C900" w14:textId="77777777" w:rsidTr="00855929">
        <w:trPr>
          <w:trHeight w:val="495"/>
        </w:trPr>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D82E3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SMA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7192B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Możliwe </w:t>
            </w:r>
          </w:p>
        </w:tc>
      </w:tr>
    </w:tbl>
    <w:p w14:paraId="7ACCD505" w14:textId="77777777" w:rsidR="00AD1E0F" w:rsidRPr="00AD1E0F" w:rsidRDefault="00AD1E0F" w:rsidP="00AD1E0F">
      <w:pPr>
        <w:overflowPunct w:val="0"/>
        <w:autoSpaceDE w:val="0"/>
        <w:autoSpaceDN w:val="0"/>
        <w:adjustRightInd w:val="0"/>
        <w:spacing w:after="117" w:line="274" w:lineRule="auto"/>
        <w:ind w:left="1413" w:right="-12" w:hanging="1409"/>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Uwaga:</w:t>
      </w:r>
      <w:r w:rsidRPr="00AD1E0F">
        <w:rPr>
          <w:rFonts w:ascii="Arial Narrow" w:eastAsia="Times New Roman" w:hAnsi="Arial Narrow" w:cs="Times New Roman"/>
          <w:sz w:val="20"/>
          <w:szCs w:val="20"/>
          <w:vertAlign w:val="superscript"/>
          <w:lang w:eastAsia="pl-PL"/>
        </w:rPr>
        <w:t xml:space="preserve">  </w:t>
      </w:r>
      <w:r w:rsidRPr="00AD1E0F">
        <w:rPr>
          <w:rFonts w:ascii="Arial Narrow" w:eastAsia="Verdana" w:hAnsi="Arial Narrow" w:cs="Verdana"/>
          <w:b/>
          <w:sz w:val="16"/>
          <w:szCs w:val="20"/>
          <w:lang w:eastAsia="pl-PL"/>
        </w:rPr>
        <w:t>Tak</w:t>
      </w:r>
      <w:r w:rsidRPr="00AD1E0F">
        <w:rPr>
          <w:rFonts w:ascii="Arial Narrow" w:eastAsia="Times New Roman" w:hAnsi="Arial Narrow" w:cs="Times New Roman"/>
          <w:sz w:val="16"/>
          <w:szCs w:val="20"/>
          <w:lang w:eastAsia="pl-PL"/>
        </w:rPr>
        <w:t xml:space="preserve"> – struktura mieszanki mineralnej i rodzaj standardowo stosowanych lepiszczy nie stanowią przeszkody w zastosowaniu granulatu </w:t>
      </w:r>
    </w:p>
    <w:p w14:paraId="1F1520B9" w14:textId="77777777" w:rsidR="00AD1E0F" w:rsidRPr="00AD1E0F" w:rsidRDefault="00AD1E0F" w:rsidP="00AD1E0F">
      <w:pPr>
        <w:overflowPunct w:val="0"/>
        <w:autoSpaceDE w:val="0"/>
        <w:autoSpaceDN w:val="0"/>
        <w:adjustRightInd w:val="0"/>
        <w:spacing w:after="117" w:line="274" w:lineRule="auto"/>
        <w:ind w:left="1438" w:right="-12" w:firstLine="709"/>
        <w:textAlignment w:val="baseline"/>
        <w:rPr>
          <w:rFonts w:ascii="Arial Narrow" w:eastAsia="Times New Roman" w:hAnsi="Arial Narrow" w:cs="Times New Roman"/>
          <w:sz w:val="20"/>
          <w:szCs w:val="20"/>
          <w:lang w:eastAsia="pl-PL"/>
        </w:rPr>
      </w:pPr>
      <w:r w:rsidRPr="00AD1E0F">
        <w:rPr>
          <w:rFonts w:ascii="Arial Narrow" w:eastAsia="Verdana" w:hAnsi="Arial Narrow" w:cs="Verdana"/>
          <w:b/>
          <w:sz w:val="16"/>
          <w:szCs w:val="20"/>
          <w:lang w:eastAsia="pl-PL"/>
        </w:rPr>
        <w:t>Możliwe</w:t>
      </w:r>
      <w:r w:rsidRPr="00AD1E0F">
        <w:rPr>
          <w:rFonts w:ascii="Arial Narrow" w:eastAsia="Times New Roman" w:hAnsi="Arial Narrow" w:cs="Times New Roman"/>
          <w:sz w:val="16"/>
          <w:szCs w:val="20"/>
          <w:lang w:eastAsia="pl-PL"/>
        </w:rPr>
        <w:t xml:space="preserve"> – struktura mieszanki mineralnej lub rodzaj standardowo stosowanych lepiszczy mogą stanowić przeszkodę w zastosowaniu granulatu  </w:t>
      </w:r>
    </w:p>
    <w:p w14:paraId="08950F16" w14:textId="77777777" w:rsidR="00AD1E0F" w:rsidRPr="00AD1E0F" w:rsidRDefault="00AD1E0F" w:rsidP="00AD1E0F">
      <w:pPr>
        <w:overflowPunct w:val="0"/>
        <w:autoSpaceDE w:val="0"/>
        <w:autoSpaceDN w:val="0"/>
        <w:adjustRightInd w:val="0"/>
        <w:spacing w:after="158" w:line="274" w:lineRule="auto"/>
        <w:ind w:left="1438" w:right="-12" w:firstLine="709"/>
        <w:textAlignment w:val="baseline"/>
        <w:rPr>
          <w:rFonts w:ascii="Arial Narrow" w:eastAsia="Times New Roman" w:hAnsi="Arial Narrow" w:cs="Times New Roman"/>
          <w:sz w:val="20"/>
          <w:szCs w:val="20"/>
          <w:lang w:eastAsia="pl-PL"/>
        </w:rPr>
      </w:pPr>
      <w:r w:rsidRPr="00AD1E0F">
        <w:rPr>
          <w:rFonts w:ascii="Arial Narrow" w:eastAsia="Verdana" w:hAnsi="Arial Narrow" w:cs="Verdana"/>
          <w:b/>
          <w:sz w:val="16"/>
          <w:szCs w:val="20"/>
          <w:lang w:eastAsia="pl-PL"/>
        </w:rPr>
        <w:t>Nie</w:t>
      </w:r>
      <w:r w:rsidRPr="00AD1E0F">
        <w:rPr>
          <w:rFonts w:ascii="Arial Narrow" w:eastAsia="Times New Roman" w:hAnsi="Arial Narrow" w:cs="Times New Roman"/>
          <w:sz w:val="16"/>
          <w:szCs w:val="20"/>
          <w:lang w:eastAsia="pl-PL"/>
        </w:rPr>
        <w:t xml:space="preserve"> - struktura mieszanki mineralnej lub rodzaj standardowo stosowanych lepiszczy stanowią przeszkodę w zastosowaniu granulatu  </w:t>
      </w:r>
    </w:p>
    <w:p w14:paraId="5970631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Procentowe zawartości granulatu asfaltowego określa się na podstawie maksymalnej wartości wskaźnika zastąpienia lepiszcza BR [%], obliczanego następująco: </w:t>
      </w:r>
    </w:p>
    <w:p w14:paraId="4796F1C7" w14:textId="77777777" w:rsidR="00AD1E0F" w:rsidRPr="00AD1E0F" w:rsidRDefault="00AD1E0F" w:rsidP="00AD1E0F">
      <w:pPr>
        <w:overflowPunct w:val="0"/>
        <w:autoSpaceDE w:val="0"/>
        <w:autoSpaceDN w:val="0"/>
        <w:adjustRightInd w:val="0"/>
        <w:spacing w:after="139"/>
        <w:ind w:left="77" w:right="63" w:firstLine="709"/>
        <w:jc w:val="center"/>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BR = (a x b)/c </w:t>
      </w:r>
    </w:p>
    <w:p w14:paraId="04C6398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gdzie: </w:t>
      </w:r>
    </w:p>
    <w:p w14:paraId="4398FE6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BR – wskaźnik zastąpienia lepiszcza [% (m/m)], a – zawartość lepiszcza rozpuszczalnego w granulacie asfaltowym [% (m/m)],  b – udział granulatu asfaltowego w mieszance mineralno-asfaltowej [% (m/m)],  </w:t>
      </w:r>
    </w:p>
    <w:p w14:paraId="5F63940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c – całkowita zawartość lepiszcza rozpuszczalnego w mieszance mineralno-asfaltowej [% (m/m)]. </w:t>
      </w:r>
    </w:p>
    <w:p w14:paraId="0A327A4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Tabela 3. Dopuszczalne wartości wskaźnika BR [%] </w:t>
      </w:r>
    </w:p>
    <w:tbl>
      <w:tblPr>
        <w:tblW w:w="8082" w:type="dxa"/>
        <w:tblInd w:w="509" w:type="dxa"/>
        <w:tblCellMar>
          <w:right w:w="38" w:type="dxa"/>
        </w:tblCellMar>
        <w:tblLook w:val="04A0" w:firstRow="1" w:lastRow="0" w:firstColumn="1" w:lastColumn="0" w:noHBand="0" w:noVBand="1"/>
      </w:tblPr>
      <w:tblGrid>
        <w:gridCol w:w="2693"/>
        <w:gridCol w:w="2696"/>
        <w:gridCol w:w="2693"/>
      </w:tblGrid>
      <w:tr w:rsidR="00AD1E0F" w:rsidRPr="00AD1E0F" w14:paraId="5FABFD56" w14:textId="77777777" w:rsidTr="00855929">
        <w:trPr>
          <w:trHeight w:val="979"/>
        </w:trPr>
        <w:tc>
          <w:tcPr>
            <w:tcW w:w="269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D89D64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Typ betonu asfaltowego </w:t>
            </w:r>
          </w:p>
        </w:tc>
        <w:tc>
          <w:tcPr>
            <w:tcW w:w="53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BEF200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Dopuszczalna wartość wskaźnika zastąpienia lepiszcza BR [%] w przypadku dozowania granulatu asfaltowego w otaczarce metodą </w:t>
            </w:r>
          </w:p>
        </w:tc>
      </w:tr>
      <w:tr w:rsidR="00AD1E0F" w:rsidRPr="00AD1E0F" w14:paraId="785CBCCF" w14:textId="77777777" w:rsidTr="00855929">
        <w:trPr>
          <w:trHeight w:val="495"/>
        </w:trPr>
        <w:tc>
          <w:tcPr>
            <w:tcW w:w="0" w:type="auto"/>
            <w:vMerge/>
            <w:tcBorders>
              <w:top w:val="nil"/>
              <w:left w:val="single" w:sz="4" w:space="0" w:color="000000"/>
              <w:bottom w:val="single" w:sz="4" w:space="0" w:color="000000"/>
              <w:right w:val="single" w:sz="4" w:space="0" w:color="000000"/>
            </w:tcBorders>
            <w:shd w:val="clear" w:color="auto" w:fill="auto"/>
          </w:tcPr>
          <w:p w14:paraId="6422BBC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6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8BDFC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na zimno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1568A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na gorąco  </w:t>
            </w:r>
          </w:p>
        </w:tc>
      </w:tr>
      <w:tr w:rsidR="00AD1E0F" w:rsidRPr="00AD1E0F" w14:paraId="1F9095B9" w14:textId="77777777" w:rsidTr="00855929">
        <w:trPr>
          <w:trHeight w:val="492"/>
        </w:trPr>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C451D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AC S </w:t>
            </w:r>
          </w:p>
        </w:tc>
        <w:tc>
          <w:tcPr>
            <w:tcW w:w="26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84ED6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93DCF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20</w:t>
            </w:r>
            <w:r w:rsidRPr="00AD1E0F">
              <w:rPr>
                <w:rFonts w:ascii="Arial Narrow" w:eastAsia="Times New Roman" w:hAnsi="Arial Narrow" w:cs="Times New Roman"/>
                <w:sz w:val="20"/>
                <w:vertAlign w:val="superscript"/>
              </w:rPr>
              <w:t>1)</w:t>
            </w:r>
            <w:r w:rsidRPr="00AD1E0F">
              <w:rPr>
                <w:rFonts w:ascii="Arial Narrow" w:eastAsia="Times New Roman" w:hAnsi="Arial Narrow" w:cs="Times New Roman"/>
                <w:sz w:val="20"/>
              </w:rPr>
              <w:t xml:space="preserve"> </w:t>
            </w:r>
          </w:p>
        </w:tc>
      </w:tr>
    </w:tbl>
    <w:p w14:paraId="08CC9135" w14:textId="77777777" w:rsidR="00AD1E0F" w:rsidRPr="00AD1E0F" w:rsidRDefault="00AD1E0F" w:rsidP="00AD1E0F">
      <w:pPr>
        <w:overflowPunct w:val="0"/>
        <w:autoSpaceDE w:val="0"/>
        <w:autoSpaceDN w:val="0"/>
        <w:adjustRightInd w:val="0"/>
        <w:spacing w:after="158" w:line="274" w:lineRule="auto"/>
        <w:ind w:left="14" w:right="-12" w:firstLine="709"/>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16"/>
          <w:szCs w:val="20"/>
          <w:lang w:eastAsia="pl-PL"/>
        </w:rPr>
        <w:t xml:space="preserve">1) Na zasadzie indywidualnego dopuszczenia przez Zamawiającego po przeprowadzeniu badań dodatkowych określonych w Załączniku nr 9.2.1 i Załączniku nr 9.2.3 RID I/6. </w:t>
      </w:r>
    </w:p>
    <w:p w14:paraId="2AEB5E2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Ponieważ dodatek granulatu asfaltowego może wywrzeć niekorzystny wpływ na odporność mieszanek mineralno-asfaltowych na spękania niskotemperaturowe, należy przeprowadzić badania służące ocenie odporności tych mieszanek na spękania niskotemperaturowe. </w:t>
      </w:r>
    </w:p>
    <w:p w14:paraId="22886F2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Jeżeli w projektowanej mieszance mineralno-asfaltowej przewidziano użycie: </w:t>
      </w:r>
    </w:p>
    <w:p w14:paraId="671C718C"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asfaltu modyfikowanego,  </w:t>
      </w:r>
    </w:p>
    <w:p w14:paraId="493CEDE9"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granulatu asfaltowego zawierającego asfalt modyfikowany i w projektowanej mieszance mineralno-asfaltowej przewidziano użycie zwykłego asfaltu drogowego,  </w:t>
      </w:r>
    </w:p>
    <w:p w14:paraId="417FEC9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zastosowanie granulatu asfaltowego może nastąpić na zasadzie indywidualnego dopuszczenia (wg zasad opisanych w Załączniku nr 9.2.1 i Załączniku nr 9.2.3 RID I/6). </w:t>
      </w:r>
    </w:p>
    <w:p w14:paraId="63A55598" w14:textId="77777777" w:rsidR="00AD1E0F" w:rsidRPr="00AD1E0F" w:rsidRDefault="00AD1E0F" w:rsidP="00AD1E0F">
      <w:pPr>
        <w:keepNext/>
        <w:tabs>
          <w:tab w:val="center" w:pos="3308"/>
        </w:tabs>
        <w:overflowPunct w:val="0"/>
        <w:autoSpaceDE w:val="0"/>
        <w:autoSpaceDN w:val="0"/>
        <w:adjustRightInd w:val="0"/>
        <w:spacing w:after="0" w:line="240" w:lineRule="auto"/>
        <w:ind w:left="-3" w:firstLine="709"/>
        <w:jc w:val="both"/>
        <w:textAlignment w:val="baseline"/>
        <w:outlineLvl w:val="5"/>
        <w:rPr>
          <w:rFonts w:ascii="Arial Narrow" w:eastAsia="Times New Roman" w:hAnsi="Arial Narrow" w:cs="Times New Roman"/>
          <w:b/>
          <w:sz w:val="18"/>
          <w:szCs w:val="20"/>
          <w:lang w:val="x-none" w:eastAsia="x-none"/>
        </w:rPr>
      </w:pPr>
      <w:r w:rsidRPr="00AD1E0F">
        <w:rPr>
          <w:rFonts w:ascii="Arial Narrow" w:eastAsia="Times New Roman" w:hAnsi="Arial Narrow" w:cs="Times New Roman"/>
          <w:b/>
          <w:sz w:val="18"/>
          <w:szCs w:val="20"/>
          <w:lang w:val="x-none" w:eastAsia="x-none"/>
        </w:rPr>
        <w:t>2.1.1.2.</w:t>
      </w:r>
      <w:r w:rsidRPr="00AD1E0F">
        <w:rPr>
          <w:rFonts w:ascii="Arial Narrow" w:eastAsia="Arial" w:hAnsi="Arial Narrow" w:cs="Arial"/>
          <w:b/>
          <w:sz w:val="18"/>
          <w:szCs w:val="20"/>
          <w:lang w:val="x-none" w:eastAsia="x-none"/>
        </w:rPr>
        <w:t xml:space="preserve"> </w:t>
      </w:r>
      <w:r w:rsidRPr="00AD1E0F">
        <w:rPr>
          <w:rFonts w:ascii="Arial Narrow" w:eastAsia="Times New Roman" w:hAnsi="Arial Narrow" w:cs="Times New Roman"/>
          <w:b/>
          <w:sz w:val="18"/>
          <w:szCs w:val="20"/>
          <w:lang w:val="x-none" w:eastAsia="x-none"/>
        </w:rPr>
        <w:t xml:space="preserve">Wymagania dla granulatu asfaltowego </w:t>
      </w:r>
    </w:p>
    <w:p w14:paraId="58D18D2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przypadku stosowania granulatu asfaltowego do produkcji mieszanek mineralnoasfaltowych typu beton asfaltowy do warstwy ścieralnej AC S to musi on spełniać wymagania określone w tabeli 4. </w:t>
      </w:r>
    </w:p>
    <w:p w14:paraId="7A20B7FA"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Tabela 4. Wymagane właściwości granulatu asfaltowego stosowanego do mieszanek mineralno-asfaltowych typu AC S  </w:t>
      </w:r>
    </w:p>
    <w:tbl>
      <w:tblPr>
        <w:tblW w:w="8848" w:type="dxa"/>
        <w:tblInd w:w="127" w:type="dxa"/>
        <w:tblCellMar>
          <w:top w:w="167" w:type="dxa"/>
          <w:right w:w="43" w:type="dxa"/>
        </w:tblCellMar>
        <w:tblLook w:val="04A0" w:firstRow="1" w:lastRow="0" w:firstColumn="1" w:lastColumn="0" w:noHBand="0" w:noVBand="1"/>
      </w:tblPr>
      <w:tblGrid>
        <w:gridCol w:w="1658"/>
        <w:gridCol w:w="692"/>
        <w:gridCol w:w="4700"/>
        <w:gridCol w:w="1798"/>
      </w:tblGrid>
      <w:tr w:rsidR="00AD1E0F" w:rsidRPr="00AD1E0F" w14:paraId="430B52D9" w14:textId="77777777" w:rsidTr="00855929">
        <w:trPr>
          <w:trHeight w:val="331"/>
        </w:trPr>
        <w:tc>
          <w:tcPr>
            <w:tcW w:w="2350"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543EF57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Właściwość </w:t>
            </w:r>
          </w:p>
        </w:tc>
        <w:tc>
          <w:tcPr>
            <w:tcW w:w="470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E5BDBF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Wymagania </w:t>
            </w:r>
          </w:p>
        </w:tc>
        <w:tc>
          <w:tcPr>
            <w:tcW w:w="179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512E86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Dokument </w:t>
            </w:r>
          </w:p>
          <w:p w14:paraId="716B78E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odniesienia </w:t>
            </w:r>
          </w:p>
        </w:tc>
      </w:tr>
      <w:tr w:rsidR="00AD1E0F" w:rsidRPr="00AD1E0F" w14:paraId="199A2965" w14:textId="77777777" w:rsidTr="00855929">
        <w:trPr>
          <w:trHeight w:val="814"/>
        </w:trPr>
        <w:tc>
          <w:tcPr>
            <w:tcW w:w="2350"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2476299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Zawartość materiałów obcych </w:t>
            </w:r>
          </w:p>
        </w:tc>
        <w:tc>
          <w:tcPr>
            <w:tcW w:w="470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4259E9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18"/>
              </w:rPr>
              <w:t xml:space="preserve">Kategoria FM1 </w:t>
            </w:r>
          </w:p>
        </w:tc>
        <w:tc>
          <w:tcPr>
            <w:tcW w:w="179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2426E9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PN-EN 13108-8 pkt. 4.1 </w:t>
            </w:r>
          </w:p>
        </w:tc>
      </w:tr>
      <w:tr w:rsidR="00AD1E0F" w:rsidRPr="00AD1E0F" w14:paraId="51038804" w14:textId="77777777" w:rsidTr="00855929">
        <w:trPr>
          <w:trHeight w:val="514"/>
        </w:trPr>
        <w:tc>
          <w:tcPr>
            <w:tcW w:w="1658" w:type="dxa"/>
            <w:vMerge w:val="restart"/>
            <w:tcBorders>
              <w:top w:val="single" w:sz="6" w:space="0" w:color="000000"/>
              <w:left w:val="single" w:sz="6" w:space="0" w:color="000000"/>
              <w:bottom w:val="single" w:sz="6" w:space="0" w:color="000000"/>
              <w:right w:val="single" w:sz="6" w:space="0" w:color="000000"/>
            </w:tcBorders>
            <w:shd w:val="clear" w:color="auto" w:fill="auto"/>
            <w:vAlign w:val="center"/>
          </w:tcPr>
          <w:p w14:paraId="4A32CF8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Właściwości lepiszcza </w:t>
            </w:r>
            <w:r w:rsidRPr="00AD1E0F">
              <w:rPr>
                <w:rFonts w:ascii="Arial Narrow" w:eastAsia="Times New Roman" w:hAnsi="Arial Narrow" w:cs="Times New Roman"/>
                <w:sz w:val="20"/>
              </w:rPr>
              <w:lastRenderedPageBreak/>
              <w:t xml:space="preserve">odzyskanego w granulacie asfaltowym </w:t>
            </w:r>
            <w:r w:rsidRPr="00AD1E0F">
              <w:rPr>
                <w:rFonts w:ascii="Arial Narrow" w:eastAsia="Times New Roman" w:hAnsi="Arial Narrow" w:cs="Times New Roman"/>
                <w:sz w:val="20"/>
                <w:vertAlign w:val="superscript"/>
              </w:rPr>
              <w:t>a)</w:t>
            </w:r>
            <w:r w:rsidRPr="00AD1E0F">
              <w:rPr>
                <w:rFonts w:ascii="Arial Narrow" w:eastAsia="Times New Roman" w:hAnsi="Arial Narrow" w:cs="Times New Roman"/>
                <w:sz w:val="20"/>
              </w:rPr>
              <w:t xml:space="preserve"> </w:t>
            </w:r>
          </w:p>
        </w:tc>
        <w:tc>
          <w:tcPr>
            <w:tcW w:w="69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A510F1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lastRenderedPageBreak/>
              <w:t xml:space="preserve">PiK </w:t>
            </w:r>
          </w:p>
        </w:tc>
        <w:tc>
          <w:tcPr>
            <w:tcW w:w="470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2BDC2E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18"/>
              </w:rPr>
              <w:t>Kategoria S</w:t>
            </w:r>
            <w:r w:rsidRPr="00AD1E0F">
              <w:rPr>
                <w:rFonts w:ascii="Arial Narrow" w:eastAsia="Times New Roman" w:hAnsi="Arial Narrow" w:cs="Times New Roman"/>
                <w:sz w:val="18"/>
                <w:vertAlign w:val="subscript"/>
              </w:rPr>
              <w:t>70</w:t>
            </w:r>
            <w:r w:rsidRPr="00AD1E0F">
              <w:rPr>
                <w:rFonts w:ascii="Arial Narrow" w:eastAsia="Times New Roman" w:hAnsi="Arial Narrow" w:cs="Times New Roman"/>
                <w:sz w:val="18"/>
              </w:rPr>
              <w:t xml:space="preserve"> </w:t>
            </w:r>
          </w:p>
          <w:p w14:paraId="34EAB29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18"/>
              </w:rPr>
              <w:lastRenderedPageBreak/>
              <w:t>Wartość średnia temperatury mięknienia nie może być wyższa niż 70</w:t>
            </w:r>
            <w:r w:rsidRPr="00AD1E0F">
              <w:rPr>
                <w:rFonts w:ascii="Arial Narrow" w:eastAsia="Times New Roman" w:hAnsi="Arial Narrow" w:cs="Times New Roman"/>
                <w:sz w:val="18"/>
                <w:vertAlign w:val="superscript"/>
              </w:rPr>
              <w:t>o</w:t>
            </w:r>
            <w:r w:rsidRPr="00AD1E0F">
              <w:rPr>
                <w:rFonts w:ascii="Arial Narrow" w:eastAsia="Times New Roman" w:hAnsi="Arial Narrow" w:cs="Times New Roman"/>
                <w:sz w:val="18"/>
              </w:rPr>
              <w:t>C. Pojedyncze wartości temperatury mięknienia nie mogą przekraczać 77</w:t>
            </w:r>
            <w:r w:rsidRPr="00AD1E0F">
              <w:rPr>
                <w:rFonts w:ascii="Arial Narrow" w:eastAsia="Times New Roman" w:hAnsi="Arial Narrow" w:cs="Times New Roman"/>
                <w:sz w:val="18"/>
                <w:vertAlign w:val="superscript"/>
              </w:rPr>
              <w:t>o</w:t>
            </w:r>
            <w:r w:rsidRPr="00AD1E0F">
              <w:rPr>
                <w:rFonts w:ascii="Arial Narrow" w:eastAsia="Times New Roman" w:hAnsi="Arial Narrow" w:cs="Times New Roman"/>
                <w:sz w:val="18"/>
              </w:rPr>
              <w:t xml:space="preserve">C. </w:t>
            </w:r>
          </w:p>
        </w:tc>
        <w:tc>
          <w:tcPr>
            <w:tcW w:w="1798" w:type="dxa"/>
            <w:vMerge w:val="restart"/>
            <w:tcBorders>
              <w:top w:val="single" w:sz="6" w:space="0" w:color="000000"/>
              <w:left w:val="single" w:sz="6" w:space="0" w:color="000000"/>
              <w:bottom w:val="single" w:sz="6" w:space="0" w:color="000000"/>
              <w:right w:val="single" w:sz="6" w:space="0" w:color="000000"/>
            </w:tcBorders>
            <w:shd w:val="clear" w:color="auto" w:fill="auto"/>
            <w:vAlign w:val="center"/>
          </w:tcPr>
          <w:p w14:paraId="2AD23E2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lastRenderedPageBreak/>
              <w:t xml:space="preserve">PN-EN 13108-8 pkt. 4.2 </w:t>
            </w:r>
          </w:p>
          <w:p w14:paraId="5EA7E65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lastRenderedPageBreak/>
              <w:t xml:space="preserve">PN-EN 1310820 Załącznik A </w:t>
            </w:r>
          </w:p>
          <w:p w14:paraId="6A3D697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 </w:t>
            </w:r>
          </w:p>
        </w:tc>
      </w:tr>
      <w:tr w:rsidR="00AD1E0F" w:rsidRPr="00AD1E0F" w14:paraId="3795813B" w14:textId="77777777" w:rsidTr="00855929">
        <w:trPr>
          <w:trHeight w:val="499"/>
        </w:trPr>
        <w:tc>
          <w:tcPr>
            <w:tcW w:w="0" w:type="auto"/>
            <w:vMerge/>
            <w:tcBorders>
              <w:top w:val="nil"/>
              <w:left w:val="single" w:sz="6" w:space="0" w:color="000000"/>
              <w:bottom w:val="single" w:sz="6" w:space="0" w:color="000000"/>
              <w:right w:val="single" w:sz="6" w:space="0" w:color="000000"/>
            </w:tcBorders>
            <w:shd w:val="clear" w:color="auto" w:fill="auto"/>
          </w:tcPr>
          <w:p w14:paraId="0F85EB7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69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FA781F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Pen. </w:t>
            </w:r>
          </w:p>
        </w:tc>
        <w:tc>
          <w:tcPr>
            <w:tcW w:w="470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832722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18"/>
              </w:rPr>
              <w:t>Kategoria P</w:t>
            </w:r>
            <w:r w:rsidRPr="00AD1E0F">
              <w:rPr>
                <w:rFonts w:ascii="Arial Narrow" w:eastAsia="Times New Roman" w:hAnsi="Arial Narrow" w:cs="Times New Roman"/>
                <w:sz w:val="18"/>
                <w:vertAlign w:val="subscript"/>
              </w:rPr>
              <w:t>15</w:t>
            </w:r>
            <w:r w:rsidRPr="00AD1E0F">
              <w:rPr>
                <w:rFonts w:ascii="Arial Narrow" w:eastAsia="Times New Roman" w:hAnsi="Arial Narrow" w:cs="Times New Roman"/>
                <w:sz w:val="18"/>
              </w:rPr>
              <w:t xml:space="preserve"> </w:t>
            </w:r>
          </w:p>
          <w:p w14:paraId="4251C7D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18"/>
              </w:rPr>
              <w:t xml:space="preserve">Wartość średnia nie może być mniejsza niż 15x0,1mm. Pojedyncze wartości penetracji nie mogą być mniejsze niż 10x0,1mm. </w:t>
            </w:r>
          </w:p>
        </w:tc>
        <w:tc>
          <w:tcPr>
            <w:tcW w:w="0" w:type="auto"/>
            <w:vMerge/>
            <w:tcBorders>
              <w:top w:val="nil"/>
              <w:left w:val="single" w:sz="6" w:space="0" w:color="000000"/>
              <w:bottom w:val="single" w:sz="6" w:space="0" w:color="000000"/>
              <w:right w:val="single" w:sz="6" w:space="0" w:color="000000"/>
            </w:tcBorders>
            <w:shd w:val="clear" w:color="auto" w:fill="auto"/>
          </w:tcPr>
          <w:p w14:paraId="566D3BA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r>
      <w:tr w:rsidR="00AD1E0F" w:rsidRPr="00AD1E0F" w14:paraId="31FA0044" w14:textId="77777777" w:rsidTr="00855929">
        <w:trPr>
          <w:trHeight w:val="553"/>
        </w:trPr>
        <w:tc>
          <w:tcPr>
            <w:tcW w:w="2350" w:type="dxa"/>
            <w:gridSpan w:val="2"/>
            <w:tcBorders>
              <w:top w:val="single" w:sz="6" w:space="0" w:color="000000"/>
              <w:left w:val="single" w:sz="6" w:space="0" w:color="000000"/>
              <w:bottom w:val="single" w:sz="6" w:space="0" w:color="000000"/>
              <w:right w:val="single" w:sz="6" w:space="0" w:color="000000"/>
            </w:tcBorders>
            <w:shd w:val="clear" w:color="auto" w:fill="auto"/>
          </w:tcPr>
          <w:p w14:paraId="7D8B83E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Jednorodność </w:t>
            </w:r>
          </w:p>
        </w:tc>
        <w:tc>
          <w:tcPr>
            <w:tcW w:w="4700" w:type="dxa"/>
            <w:tcBorders>
              <w:top w:val="single" w:sz="6" w:space="0" w:color="000000"/>
              <w:left w:val="single" w:sz="6" w:space="0" w:color="000000"/>
              <w:bottom w:val="single" w:sz="6" w:space="0" w:color="000000"/>
              <w:right w:val="single" w:sz="6" w:space="0" w:color="000000"/>
            </w:tcBorders>
            <w:shd w:val="clear" w:color="auto" w:fill="auto"/>
          </w:tcPr>
          <w:p w14:paraId="6C5136F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18"/>
              </w:rPr>
              <w:t xml:space="preserve">Wymagana jednorodność określona na podstawie dopuszczalnego rozstępu wyników badań </w:t>
            </w:r>
          </w:p>
          <w:p w14:paraId="02B5DAE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18"/>
              </w:rPr>
              <w:t xml:space="preserve">określonych właściwości </w:t>
            </w:r>
          </w:p>
        </w:tc>
        <w:tc>
          <w:tcPr>
            <w:tcW w:w="179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59C771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Załącznik nr 9.2.1 i </w:t>
            </w:r>
          </w:p>
          <w:p w14:paraId="2E9066C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Załącznik nr </w:t>
            </w:r>
          </w:p>
          <w:p w14:paraId="74C4839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9.2.3 RID I/6 </w:t>
            </w:r>
          </w:p>
        </w:tc>
      </w:tr>
      <w:tr w:rsidR="00AD1E0F" w:rsidRPr="00AD1E0F" w14:paraId="0F7C9154" w14:textId="77777777" w:rsidTr="00855929">
        <w:trPr>
          <w:trHeight w:val="1090"/>
        </w:trPr>
        <w:tc>
          <w:tcPr>
            <w:tcW w:w="2350" w:type="dxa"/>
            <w:gridSpan w:val="2"/>
            <w:tcBorders>
              <w:top w:val="single" w:sz="6" w:space="0" w:color="000000"/>
              <w:left w:val="single" w:sz="6" w:space="0" w:color="000000"/>
              <w:bottom w:val="single" w:sz="6" w:space="0" w:color="000000"/>
              <w:right w:val="single" w:sz="6" w:space="0" w:color="000000"/>
            </w:tcBorders>
            <w:shd w:val="clear" w:color="auto" w:fill="auto"/>
          </w:tcPr>
          <w:p w14:paraId="5EE90FA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Zawartość asfaltu </w:t>
            </w:r>
          </w:p>
          <w:p w14:paraId="2E09BF6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Uziarnienie kruszywa </w:t>
            </w:r>
          </w:p>
        </w:tc>
        <w:tc>
          <w:tcPr>
            <w:tcW w:w="6498"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46FF939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PN-EN 13108-20 Załącznik A </w:t>
            </w:r>
          </w:p>
          <w:p w14:paraId="55CD561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Załącznik nr 9.2.1 i Załącznik nr 9.2.3 RID I/6 </w:t>
            </w:r>
          </w:p>
          <w:p w14:paraId="416D0C4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18"/>
              </w:rPr>
              <w:t>Dopuszcza się deklarowanie właściwości kruszywa mineralnego w granulacie asfaltowym na podstawie zadeklarowanego, wcześniejszego zastosowania. W przypadku braku możliwości takiego zadeklarowania jakości kruszywa w granulacie, oraz wątpliwości co do właściwości fizycznych lub mechanicznych, należy przeprowadzić badania kruszywa w wymaganym przez Zamawiającego zakresie</w:t>
            </w:r>
            <w:r w:rsidRPr="00AD1E0F">
              <w:rPr>
                <w:rFonts w:ascii="Arial Narrow" w:eastAsia="Times New Roman" w:hAnsi="Arial Narrow" w:cs="Times New Roman"/>
                <w:sz w:val="20"/>
              </w:rPr>
              <w:t xml:space="preserve"> </w:t>
            </w:r>
          </w:p>
        </w:tc>
      </w:tr>
      <w:tr w:rsidR="00AD1E0F" w:rsidRPr="00AD1E0F" w14:paraId="377FB818" w14:textId="77777777" w:rsidTr="00855929">
        <w:trPr>
          <w:trHeight w:val="263"/>
        </w:trPr>
        <w:tc>
          <w:tcPr>
            <w:tcW w:w="8848" w:type="dxa"/>
            <w:gridSpan w:val="4"/>
            <w:tcBorders>
              <w:top w:val="single" w:sz="6" w:space="0" w:color="000000"/>
              <w:left w:val="single" w:sz="6" w:space="0" w:color="000000"/>
              <w:bottom w:val="single" w:sz="6" w:space="0" w:color="000000"/>
              <w:right w:val="single" w:sz="6" w:space="0" w:color="000000"/>
            </w:tcBorders>
            <w:shd w:val="clear" w:color="auto" w:fill="auto"/>
            <w:vAlign w:val="center"/>
          </w:tcPr>
          <w:p w14:paraId="38E00A5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16"/>
              </w:rPr>
              <w:t>a)</w:t>
            </w:r>
            <w:r w:rsidRPr="00AD1E0F">
              <w:rPr>
                <w:rFonts w:ascii="Arial Narrow" w:eastAsia="Arial" w:hAnsi="Arial Narrow" w:cs="Arial"/>
                <w:sz w:val="16"/>
              </w:rPr>
              <w:t xml:space="preserve"> </w:t>
            </w:r>
            <w:r w:rsidRPr="00AD1E0F">
              <w:rPr>
                <w:rFonts w:ascii="Arial Narrow" w:eastAsia="Times New Roman" w:hAnsi="Arial Narrow" w:cs="Times New Roman"/>
                <w:sz w:val="16"/>
              </w:rPr>
              <w:t xml:space="preserve">do sklasyfikowania lepiszcza odzyskanego w granulacie asfaltowym należy oznaczyć następujące właściwości w zależności od wskaźnika BR: </w:t>
            </w:r>
          </w:p>
          <w:p w14:paraId="05F8DE9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16"/>
              </w:rPr>
              <w:t>- BR≤15% : temperaturę mięknienia PiK. lub penetrację, - BR&gt;15% : temperaturę mięknienia PiK. i penetrację.</w:t>
            </w:r>
            <w:r w:rsidRPr="00AD1E0F">
              <w:rPr>
                <w:rFonts w:ascii="Arial Narrow" w:eastAsia="Times New Roman" w:hAnsi="Arial Narrow" w:cs="Times New Roman"/>
                <w:sz w:val="20"/>
              </w:rPr>
              <w:t xml:space="preserve"> </w:t>
            </w:r>
          </w:p>
        </w:tc>
      </w:tr>
    </w:tbl>
    <w:p w14:paraId="39C652E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Właściwości lepiszcza asfaltowego oraz kruszywa, które powstaną z połączenia starych i nowych składników, muszą spełniać wymagania stawiane tym materiałom, ze względu na typ i przeznaczenie mieszanki mineralno-asfaltowej. </w:t>
      </w:r>
    </w:p>
    <w:p w14:paraId="0866334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Wykonawca może deklarować właściwości kruszyw pochodzących z destruktu na podstawie wcześniejszego ich zastosowania w poszczególnych warstwach asfaltowych pod warunkiem akceptacji przez Zamawiającego. W przypadku gdy Wykonawca nie będzie mógł pozyskać dokumentacji lub nie uzyska na ich podstawie akceptacji, potwierdzenie właściwości kruszyw będzie możliwe na podstawie własnych badań kruszyw w zakresie jak niżej:  </w:t>
      </w:r>
    </w:p>
    <w:p w14:paraId="53C99404"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mrozoodporność w wodzie (frakcja 4-8 lub 8-16mm), </w:t>
      </w:r>
    </w:p>
    <w:p w14:paraId="77402EE6"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odporność na rozdrabnianie wg normy PN-EN 1097-2 (frakcja 4-8, 8-11 lub 10-14mm), </w:t>
      </w:r>
    </w:p>
    <w:p w14:paraId="74541866"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grube zanieczyszczenia lekkie wg normy PN-EN 1744-1+A1:2013-05 pkt 14.2, </w:t>
      </w:r>
    </w:p>
    <w:p w14:paraId="59390228"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ocena zawartości drobnych cząstek - badanie błękitem metylenowym wg normy PN-EN </w:t>
      </w:r>
    </w:p>
    <w:p w14:paraId="7B14912B"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933-9 +A1:2013-07, </w:t>
      </w:r>
    </w:p>
    <w:p w14:paraId="5F121A40"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 przypadku granulatu stosowanego do warstw ścieralnych z BA (dla dróg niższych kategorii) wymaga się wykonania badań mrozoodporności w soli na frakcji zgodnie z PNEN 1367-6.  </w:t>
      </w:r>
    </w:p>
    <w:p w14:paraId="5485FE5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Wyniki badań powinny spełniać wymagania podane w WT-1 (dla każdej w wymienionej frakcji).  </w:t>
      </w:r>
    </w:p>
    <w:p w14:paraId="337C0BF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38E36522"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AD1E0F">
        <w:rPr>
          <w:rFonts w:ascii="Arial Narrow" w:eastAsia="Times New Roman" w:hAnsi="Arial Narrow" w:cs="Times New Roman"/>
          <w:b/>
          <w:sz w:val="28"/>
          <w:szCs w:val="20"/>
          <w:lang w:val="x-none" w:eastAsia="x-none"/>
        </w:rPr>
        <w:t xml:space="preserve"> </w:t>
      </w:r>
      <w:bookmarkStart w:id="703" w:name="_Toc60602"/>
      <w:r w:rsidRPr="00AD1E0F">
        <w:rPr>
          <w:rFonts w:ascii="Arial Narrow" w:eastAsia="Times New Roman" w:hAnsi="Arial Narrow" w:cs="Times New Roman"/>
          <w:b/>
          <w:sz w:val="28"/>
          <w:szCs w:val="20"/>
          <w:lang w:val="x-none" w:eastAsia="x-none"/>
        </w:rPr>
        <w:t>2.2.</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Wymagania wobec innych materiałów </w:t>
      </w:r>
      <w:bookmarkEnd w:id="703"/>
    </w:p>
    <w:p w14:paraId="06ABACDC"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2.2.1.</w:t>
      </w:r>
      <w:r w:rsidRPr="00AD1E0F">
        <w:rPr>
          <w:rFonts w:ascii="Arial Narrow" w:eastAsia="Arial" w:hAnsi="Arial Narrow" w:cs="Times New Roman"/>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Materiały do połączeń technologicznych </w:t>
      </w:r>
    </w:p>
    <w:p w14:paraId="03132FC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Do uszczelniania połączeń technologicznych należy stosować materiały zgodnie z pkt. 7.6.1 WT-2 2016 – część II wg tabel 5 i 6. </w:t>
      </w:r>
    </w:p>
    <w:p w14:paraId="121D373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Tabela 5. Materiały do złączy (podłużnych i poprzecznych wykonywanych metodą „gorące przy zimnym”) </w:t>
      </w:r>
    </w:p>
    <w:tbl>
      <w:tblPr>
        <w:tblW w:w="9064" w:type="dxa"/>
        <w:tblInd w:w="17" w:type="dxa"/>
        <w:tblCellMar>
          <w:right w:w="39" w:type="dxa"/>
        </w:tblCellMar>
        <w:tblLook w:val="04A0" w:firstRow="1" w:lastRow="0" w:firstColumn="1" w:lastColumn="0" w:noHBand="0" w:noVBand="1"/>
      </w:tblPr>
      <w:tblGrid>
        <w:gridCol w:w="1490"/>
        <w:gridCol w:w="919"/>
        <w:gridCol w:w="2408"/>
        <w:gridCol w:w="992"/>
        <w:gridCol w:w="3255"/>
      </w:tblGrid>
      <w:tr w:rsidR="00AD1E0F" w:rsidRPr="00AD1E0F" w14:paraId="5F889863" w14:textId="77777777" w:rsidTr="00855929">
        <w:trPr>
          <w:trHeight w:val="494"/>
        </w:trPr>
        <w:tc>
          <w:tcPr>
            <w:tcW w:w="14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5DD1DB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Rodzaj warstwy </w:t>
            </w:r>
          </w:p>
        </w:tc>
        <w:tc>
          <w:tcPr>
            <w:tcW w:w="332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EC9DE4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Złącze podłużne </w:t>
            </w:r>
          </w:p>
        </w:tc>
        <w:tc>
          <w:tcPr>
            <w:tcW w:w="4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162349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Złącze poprzeczne </w:t>
            </w:r>
          </w:p>
        </w:tc>
      </w:tr>
      <w:tr w:rsidR="00AD1E0F" w:rsidRPr="00AD1E0F" w14:paraId="5464E135" w14:textId="77777777" w:rsidTr="00855929">
        <w:trPr>
          <w:trHeight w:val="492"/>
        </w:trPr>
        <w:tc>
          <w:tcPr>
            <w:tcW w:w="0" w:type="auto"/>
            <w:vMerge/>
            <w:tcBorders>
              <w:top w:val="nil"/>
              <w:left w:val="single" w:sz="4" w:space="0" w:color="000000"/>
              <w:bottom w:val="single" w:sz="4" w:space="0" w:color="000000"/>
              <w:right w:val="single" w:sz="4" w:space="0" w:color="000000"/>
            </w:tcBorders>
            <w:shd w:val="clear" w:color="auto" w:fill="auto"/>
          </w:tcPr>
          <w:p w14:paraId="164B00D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6BB05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Ruch </w:t>
            </w:r>
          </w:p>
        </w:tc>
        <w:tc>
          <w:tcPr>
            <w:tcW w:w="240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57CB1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Rodzaj materiału </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17565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Ruch </w:t>
            </w:r>
          </w:p>
        </w:tc>
        <w:tc>
          <w:tcPr>
            <w:tcW w:w="32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586D4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Rodzaj materiału </w:t>
            </w:r>
          </w:p>
        </w:tc>
      </w:tr>
      <w:tr w:rsidR="00AD1E0F" w:rsidRPr="00AD1E0F" w14:paraId="6E4CAA74" w14:textId="77777777" w:rsidTr="00855929">
        <w:trPr>
          <w:trHeight w:val="653"/>
        </w:trPr>
        <w:tc>
          <w:tcPr>
            <w:tcW w:w="14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D2092B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Warstwa ścieralna </w:t>
            </w:r>
          </w:p>
        </w:tc>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AA000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KR 1-2 </w:t>
            </w:r>
          </w:p>
        </w:tc>
        <w:tc>
          <w:tcPr>
            <w:tcW w:w="240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CFDC3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Pasty asfaltowe lub elastyczne taśmy bitumiczne + środek gruntujący </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3F20D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KR 1-2 </w:t>
            </w:r>
          </w:p>
        </w:tc>
        <w:tc>
          <w:tcPr>
            <w:tcW w:w="32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DC88B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Pasty asfaltowe lub </w:t>
            </w:r>
          </w:p>
          <w:p w14:paraId="1974AFF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elastyczne taśmy bitumiczne </w:t>
            </w:r>
          </w:p>
          <w:p w14:paraId="2C8E688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 środek gruntujący </w:t>
            </w:r>
          </w:p>
        </w:tc>
      </w:tr>
      <w:tr w:rsidR="00AD1E0F" w:rsidRPr="00AD1E0F" w14:paraId="3349E9BD" w14:textId="77777777" w:rsidTr="00855929">
        <w:trPr>
          <w:trHeight w:val="521"/>
        </w:trPr>
        <w:tc>
          <w:tcPr>
            <w:tcW w:w="0" w:type="auto"/>
            <w:vMerge/>
            <w:tcBorders>
              <w:top w:val="nil"/>
              <w:left w:val="single" w:sz="4" w:space="0" w:color="000000"/>
              <w:bottom w:val="single" w:sz="4" w:space="0" w:color="000000"/>
              <w:right w:val="single" w:sz="4" w:space="0" w:color="000000"/>
            </w:tcBorders>
            <w:shd w:val="clear" w:color="auto" w:fill="auto"/>
          </w:tcPr>
          <w:p w14:paraId="0E3412D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C273F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KR 3-7 </w:t>
            </w:r>
          </w:p>
        </w:tc>
        <w:tc>
          <w:tcPr>
            <w:tcW w:w="240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E8236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Elastyczne taśmy bitumiczne + środek gruntujący </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A3CBC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KR 3-7 </w:t>
            </w:r>
          </w:p>
        </w:tc>
        <w:tc>
          <w:tcPr>
            <w:tcW w:w="32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CCD66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Elastyczne taśmy bitumiczne + środek gruntujący </w:t>
            </w:r>
          </w:p>
        </w:tc>
      </w:tr>
    </w:tbl>
    <w:p w14:paraId="3598B39B" w14:textId="77777777" w:rsidR="00AD1E0F" w:rsidRPr="00AD1E0F" w:rsidRDefault="00AD1E0F" w:rsidP="00AD1E0F">
      <w:pPr>
        <w:overflowPunct w:val="0"/>
        <w:autoSpaceDE w:val="0"/>
        <w:autoSpaceDN w:val="0"/>
        <w:adjustRightInd w:val="0"/>
        <w:spacing w:after="103"/>
        <w:ind w:left="12" w:firstLine="709"/>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t>
      </w:r>
    </w:p>
    <w:p w14:paraId="3E2F00C6"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Tabela 6. Materiały do spoin między fragmentami zagęszczonej MMA i elementami wyposażenia drogi </w:t>
      </w:r>
    </w:p>
    <w:tbl>
      <w:tblPr>
        <w:tblW w:w="9064" w:type="dxa"/>
        <w:tblInd w:w="17" w:type="dxa"/>
        <w:tblCellMar>
          <w:right w:w="38" w:type="dxa"/>
        </w:tblCellMar>
        <w:tblLook w:val="04A0" w:firstRow="1" w:lastRow="0" w:firstColumn="1" w:lastColumn="0" w:noHBand="0" w:noVBand="1"/>
      </w:tblPr>
      <w:tblGrid>
        <w:gridCol w:w="1978"/>
        <w:gridCol w:w="1136"/>
        <w:gridCol w:w="5950"/>
      </w:tblGrid>
      <w:tr w:rsidR="00AD1E0F" w:rsidRPr="00AD1E0F" w14:paraId="434DA0D6" w14:textId="77777777" w:rsidTr="00855929">
        <w:trPr>
          <w:trHeight w:val="494"/>
        </w:trPr>
        <w:tc>
          <w:tcPr>
            <w:tcW w:w="19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3D800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Rodzaj warstwy </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64523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Ruch </w:t>
            </w:r>
          </w:p>
        </w:tc>
        <w:tc>
          <w:tcPr>
            <w:tcW w:w="59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B22BF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Rodzaj materiału </w:t>
            </w:r>
          </w:p>
        </w:tc>
      </w:tr>
      <w:tr w:rsidR="00AD1E0F" w:rsidRPr="00AD1E0F" w14:paraId="56593EB0" w14:textId="77777777" w:rsidTr="00855929">
        <w:trPr>
          <w:trHeight w:val="318"/>
        </w:trPr>
        <w:tc>
          <w:tcPr>
            <w:tcW w:w="197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420003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Warstwa ścieralna </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B4387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KR 1-2 </w:t>
            </w:r>
          </w:p>
        </w:tc>
        <w:tc>
          <w:tcPr>
            <w:tcW w:w="59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E6C67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Pasta asfaltowa </w:t>
            </w:r>
          </w:p>
        </w:tc>
      </w:tr>
      <w:tr w:rsidR="00AD1E0F" w:rsidRPr="00AD1E0F" w14:paraId="7A556F50" w14:textId="77777777" w:rsidTr="00855929">
        <w:trPr>
          <w:trHeight w:val="549"/>
        </w:trPr>
        <w:tc>
          <w:tcPr>
            <w:tcW w:w="0" w:type="auto"/>
            <w:vMerge/>
            <w:tcBorders>
              <w:top w:val="nil"/>
              <w:left w:val="single" w:sz="4" w:space="0" w:color="000000"/>
              <w:bottom w:val="single" w:sz="4" w:space="0" w:color="000000"/>
              <w:right w:val="single" w:sz="4" w:space="0" w:color="000000"/>
            </w:tcBorders>
            <w:shd w:val="clear" w:color="auto" w:fill="auto"/>
          </w:tcPr>
          <w:p w14:paraId="38C6D64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16602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KR 3-7 </w:t>
            </w:r>
          </w:p>
        </w:tc>
        <w:tc>
          <w:tcPr>
            <w:tcW w:w="59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74225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Elastyczna taśma bitumiczna + środek gruntujący lub zalewa drogowa na gorąco </w:t>
            </w:r>
          </w:p>
        </w:tc>
      </w:tr>
    </w:tbl>
    <w:p w14:paraId="3A9C53D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Uwaga: W przypadku elastycznych taśm bitumicznych należy zastosować środek do gruntowania powierzchni połączeń technologicznych przewidziany przez producenta taśmy. </w:t>
      </w:r>
    </w:p>
    <w:p w14:paraId="1A4A0C3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lastRenderedPageBreak/>
        <w:t xml:space="preserve">Materiały do połączeń technologicznych muszą spełniać wymagania sformułowane w tabelach 10, 11 i 12  z WT-2 2016 – część II. Zalewy drogowe na gorąco muszą spełniać wymagania dla typu N1 wg normy PN-EN 14188-1 tablica 2 punkty od 1 do 11.2.8 </w:t>
      </w:r>
    </w:p>
    <w:p w14:paraId="25C480E4"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2.2.2.</w:t>
      </w:r>
      <w:r w:rsidRPr="00AD1E0F">
        <w:rPr>
          <w:rFonts w:ascii="Arial Narrow" w:eastAsia="Arial" w:hAnsi="Arial Narrow" w:cs="Times New Roman"/>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Lepiszcze do skropienia podłoża </w:t>
      </w:r>
    </w:p>
    <w:p w14:paraId="7E91608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Lepiszcze do skropienia podłoża powinno spełniać wymagania podane PN-EN 13808 i STWiORB D.04.03.01. </w:t>
      </w:r>
    </w:p>
    <w:p w14:paraId="2A31E421"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2.2.3.</w:t>
      </w:r>
      <w:r w:rsidRPr="00AD1E0F">
        <w:rPr>
          <w:rFonts w:ascii="Arial Narrow" w:eastAsia="Arial" w:hAnsi="Arial Narrow" w:cs="Times New Roman"/>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Dodatki do mieszanki mineralno-asfaltowej </w:t>
      </w:r>
    </w:p>
    <w:p w14:paraId="570996D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Za zgodą Zamawiającego mogą być stosowane dodatki stabilizujące lub modyfikujące. Pochodzenie, rodzaj i właściwości dodatków powinny być deklarowane. Skuteczność stosowanych dodatków i modyfikatorów powinna być udokumentowana zgodnie z PN-EN 13108-1 punkt 4.1. </w:t>
      </w:r>
    </w:p>
    <w:p w14:paraId="25EC693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Zaleca się stosowanie do mieszanek mineralno-asfaltowych, dodatku środka obniżającego temperaturę produkcji i układania – nie dotyczy to produkcji mieszanek mineralnoasfaltowych z dozowaniem granulatu asfaltowego w technologii „na zimno”. </w:t>
      </w:r>
    </w:p>
    <w:p w14:paraId="798CEB7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Do mieszanek mineralno-asfaltowych może być stosowany dodatek asfaltu naturalnego, jeżeli spełnia wymagania podane w PN-EN 13108-4 Załącznik B. </w:t>
      </w:r>
    </w:p>
    <w:p w14:paraId="2E316269"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04" w:name="_Toc60603"/>
      <w:r w:rsidRPr="00AD1E0F">
        <w:rPr>
          <w:rFonts w:ascii="Arial Narrow" w:eastAsia="Times New Roman" w:hAnsi="Arial Narrow" w:cs="Times New Roman"/>
          <w:b/>
          <w:sz w:val="28"/>
          <w:szCs w:val="20"/>
          <w:lang w:val="x-none" w:eastAsia="x-none"/>
        </w:rPr>
        <w:t>2.3.</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Dostawy materiałów </w:t>
      </w:r>
      <w:bookmarkEnd w:id="704"/>
    </w:p>
    <w:p w14:paraId="3799227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Za dostawy materiałów odpowiedzialny jest Wykonawca robót zgodnie z ustaleniami określonymi w D-M-00.00.00 „Wymagania ogólne”. </w:t>
      </w:r>
    </w:p>
    <w:p w14:paraId="08CD3F8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Do obowiązku Wykonawcy należy takie zorganizowanie dostaw materiałów do wytwarzania MMA, aby zapewnić nieprzerwaną pracę otaczarki w trakcie wykonywania dziennej działki roboczej. Jakość każdej dostawy kruszywa i wypełniacza musi być potwierdzona deklaracją producenta (oznakowanie CE). Do każdej partii granulatu asfaltowego należy dołączyć dokumenty określone w normie PN-EN 13108-8 pkt. 6 </w:t>
      </w:r>
    </w:p>
    <w:p w14:paraId="4509D16A" w14:textId="77777777" w:rsidR="00AD1E0F" w:rsidRPr="00AD1E0F" w:rsidRDefault="00AD1E0F" w:rsidP="00AD1E0F">
      <w:pPr>
        <w:keepNext/>
        <w:shd w:val="clear" w:color="auto" w:fill="BFBFBF"/>
        <w:overflowPunct w:val="0"/>
        <w:autoSpaceDE w:val="0"/>
        <w:autoSpaceDN w:val="0"/>
        <w:adjustRightInd w:val="0"/>
        <w:spacing w:after="156" w:line="240" w:lineRule="auto"/>
        <w:ind w:left="7"/>
        <w:jc w:val="both"/>
        <w:textAlignment w:val="baseline"/>
        <w:outlineLvl w:val="1"/>
        <w:rPr>
          <w:rFonts w:ascii="Arial Narrow" w:eastAsia="Times New Roman" w:hAnsi="Arial Narrow" w:cs="Times New Roman"/>
          <w:b/>
          <w:sz w:val="28"/>
          <w:szCs w:val="20"/>
          <w:lang w:val="x-none" w:eastAsia="x-none"/>
        </w:rPr>
      </w:pPr>
      <w:bookmarkStart w:id="705" w:name="_Toc60604"/>
      <w:r w:rsidRPr="00AD1E0F">
        <w:rPr>
          <w:rFonts w:ascii="Arial Narrow" w:eastAsia="Times New Roman" w:hAnsi="Arial Narrow" w:cs="Times New Roman"/>
          <w:b/>
          <w:sz w:val="28"/>
          <w:szCs w:val="20"/>
          <w:lang w:val="x-none" w:eastAsia="x-none"/>
        </w:rPr>
        <w:t>2.4.</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Składowanie materiałów </w:t>
      </w:r>
      <w:bookmarkEnd w:id="705"/>
    </w:p>
    <w:p w14:paraId="24B3A707"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2.4.1.</w:t>
      </w:r>
      <w:r w:rsidRPr="00AD1E0F">
        <w:rPr>
          <w:rFonts w:ascii="Arial Narrow" w:eastAsia="Arial" w:hAnsi="Arial Narrow" w:cs="Times New Roman"/>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Składowanie kruszywa </w:t>
      </w:r>
    </w:p>
    <w:p w14:paraId="1B1B710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Składowanie kruszywa powinno odbywać się w warunkach zabezpieczających je przed zanieczyszczeniem i zmieszaniem z innymi rodzajami lub frakcjami kruszywa. </w:t>
      </w:r>
    </w:p>
    <w:p w14:paraId="06CB6625"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Verdana" w:hAnsi="Arial Narrow" w:cs="Times New Roman"/>
          <w:b/>
          <w:sz w:val="24"/>
          <w:szCs w:val="20"/>
          <w:lang w:val="x-none" w:eastAsia="x-none"/>
        </w:rPr>
        <w:t>2.4.2.</w:t>
      </w:r>
      <w:r w:rsidRPr="00AD1E0F">
        <w:rPr>
          <w:rFonts w:ascii="Arial Narrow" w:eastAsia="Arial" w:hAnsi="Arial Narrow" w:cs="Arial"/>
          <w:b/>
          <w:sz w:val="24"/>
          <w:szCs w:val="20"/>
          <w:lang w:val="x-none" w:eastAsia="x-none"/>
        </w:rPr>
        <w:t xml:space="preserve"> </w:t>
      </w:r>
      <w:r w:rsidRPr="00AD1E0F">
        <w:rPr>
          <w:rFonts w:ascii="Arial Narrow" w:eastAsia="Verdana" w:hAnsi="Arial Narrow" w:cs="Times New Roman"/>
          <w:b/>
          <w:sz w:val="24"/>
          <w:szCs w:val="20"/>
          <w:lang w:val="x-none" w:eastAsia="x-none"/>
        </w:rPr>
        <w:t xml:space="preserve">Składowanie wypełniacza </w:t>
      </w:r>
    </w:p>
    <w:p w14:paraId="441A5C0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Wypełniacz należy składować w silosach wyposażonych w urządzenia do aeracji. </w:t>
      </w:r>
    </w:p>
    <w:p w14:paraId="424A4AEB"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2.4.3.</w:t>
      </w:r>
      <w:r w:rsidRPr="00AD1E0F">
        <w:rPr>
          <w:rFonts w:ascii="Arial Narrow" w:eastAsia="Arial" w:hAnsi="Arial Narrow" w:cs="Times New Roman"/>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Składowanie asfaltu </w:t>
      </w:r>
    </w:p>
    <w:p w14:paraId="3728FE4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Lepiszcze asfaltowe należy przechowywać zgodnie z zasadami podanymi w pkt. 8.3 WT-2 2014 – część I. Zbiorniki na asfalt modyfikowany winny być wyposażone w mieszadła mechaniczne lub co najmniej winny mieć zapewniony system przepompowywania wprawiający w cyrkulację asfalt z dolnych partii zbiornika. Maksymalne temperatury składowania asfaltu drogowego powinny być zgodne z tabelą 41 ww. wytycznych. Temperatury składowania asfaltów modyfikowanych powinny być zgodne z zaleceniami  producenta.  </w:t>
      </w:r>
    </w:p>
    <w:p w14:paraId="3AB09D26"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2.4.4.</w:t>
      </w:r>
      <w:r w:rsidRPr="00AD1E0F">
        <w:rPr>
          <w:rFonts w:ascii="Arial Narrow" w:eastAsia="Arial" w:hAnsi="Arial Narrow" w:cs="Times New Roman"/>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Składowanie środka adhezyjnego </w:t>
      </w:r>
    </w:p>
    <w:p w14:paraId="2489981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Składowanie środka adhezyjnego jest dozwolone tylko w oryginalnych opakowaniach producenta w warunkach podanych zgodnie z zaleceniami producenta. </w:t>
      </w:r>
    </w:p>
    <w:p w14:paraId="4D9C89AA"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2.4.5.</w:t>
      </w:r>
      <w:r w:rsidRPr="00AD1E0F">
        <w:rPr>
          <w:rFonts w:ascii="Arial Narrow" w:eastAsia="Arial" w:hAnsi="Arial Narrow" w:cs="Times New Roman"/>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Składowanie granulatu asfaltowego </w:t>
      </w:r>
    </w:p>
    <w:p w14:paraId="095A1A6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Składowanie granulatu asfaltowego powinno odbywać się w warunkach zabezpieczających je przed: </w:t>
      </w:r>
    </w:p>
    <w:p w14:paraId="60B37426"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segregacją – zaleca się formowanie hałd o kształcie stożkowym o wysokości max. </w:t>
      </w:r>
    </w:p>
    <w:p w14:paraId="5F7BBF61"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do 5m, </w:t>
      </w:r>
    </w:p>
    <w:p w14:paraId="2969C375"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zanieczyszczeniem i zmieszaniem z innymi rodzajami lub frakcjami granulatu, </w:t>
      </w:r>
    </w:p>
    <w:p w14:paraId="597C2376"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zawilgoceniem – ochrona granulatu asfaltowego przed opadami atmosferycznymi; </w:t>
      </w:r>
    </w:p>
    <w:p w14:paraId="0A695C6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przypadku dozowania „na zimno” obowiązkowe jest składowanie granulatu pod zadaszeniem. </w:t>
      </w:r>
    </w:p>
    <w:p w14:paraId="070AC2E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Powierzchnię na której będzie składowany granulat asfaltowy należy utwardzić i ukształtować z wyraźnym spadkiem przeciwdziałającym akumulacji wody w hałdzie. </w:t>
      </w:r>
    </w:p>
    <w:p w14:paraId="42E39F1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Podczas składowania granulatu asfaltowego należy postępować zgodnie z zasadami określonymi w Załączniku nr 9.2.1 i Załączniku nr 9.2.2 RID I/6. </w:t>
      </w:r>
    </w:p>
    <w:p w14:paraId="315BDFCC"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706" w:name="_Toc60605"/>
      <w:r w:rsidRPr="00AD1E0F">
        <w:rPr>
          <w:rFonts w:ascii="Arial Narrow" w:eastAsia="Times New Roman" w:hAnsi="Arial Narrow" w:cs="Times New Roman"/>
          <w:b/>
          <w:caps/>
          <w:kern w:val="28"/>
          <w:sz w:val="28"/>
          <w:szCs w:val="20"/>
          <w:lang w:val="x-none" w:eastAsia="x-none"/>
        </w:rPr>
        <w:t>3.</w:t>
      </w:r>
      <w:r w:rsidRPr="00AD1E0F">
        <w:rPr>
          <w:rFonts w:ascii="Arial Narrow" w:eastAsia="Arial" w:hAnsi="Arial Narrow" w:cs="Arial"/>
          <w:b/>
          <w:caps/>
          <w:kern w:val="28"/>
          <w:sz w:val="28"/>
          <w:szCs w:val="20"/>
          <w:lang w:val="x-none" w:eastAsia="x-none"/>
        </w:rPr>
        <w:t xml:space="preserve"> </w:t>
      </w:r>
      <w:r w:rsidRPr="00AD1E0F">
        <w:rPr>
          <w:rFonts w:ascii="Arial Narrow" w:eastAsia="Arial" w:hAnsi="Arial Narrow" w:cs="Arial"/>
          <w:b/>
          <w:caps/>
          <w:kern w:val="28"/>
          <w:sz w:val="28"/>
          <w:szCs w:val="20"/>
          <w:lang w:val="x-none" w:eastAsia="x-none"/>
        </w:rPr>
        <w:tab/>
      </w:r>
      <w:r w:rsidRPr="00AD1E0F">
        <w:rPr>
          <w:rFonts w:ascii="Arial Narrow" w:eastAsia="Times New Roman" w:hAnsi="Arial Narrow" w:cs="Times New Roman"/>
          <w:b/>
          <w:caps/>
          <w:kern w:val="28"/>
          <w:sz w:val="28"/>
          <w:szCs w:val="20"/>
          <w:lang w:val="x-none" w:eastAsia="x-none"/>
        </w:rPr>
        <w:t xml:space="preserve">SPRZĘT </w:t>
      </w:r>
      <w:bookmarkEnd w:id="706"/>
    </w:p>
    <w:p w14:paraId="2CA55AC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Ogólne wymagania dotyczące sprzętu podano w D-M-00.00.00 „Wymagania ogólne”. </w:t>
      </w:r>
    </w:p>
    <w:p w14:paraId="5E98F4BC"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07" w:name="_Toc60606"/>
      <w:r w:rsidRPr="00AD1E0F">
        <w:rPr>
          <w:rFonts w:ascii="Arial Narrow" w:eastAsia="Times New Roman" w:hAnsi="Arial Narrow" w:cs="Times New Roman"/>
          <w:b/>
          <w:sz w:val="28"/>
          <w:szCs w:val="20"/>
          <w:lang w:val="x-none" w:eastAsia="x-none"/>
        </w:rPr>
        <w:t>3.1.</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Wytwórnia mieszanek mineralno-asfaltowych </w:t>
      </w:r>
      <w:bookmarkEnd w:id="707"/>
    </w:p>
    <w:p w14:paraId="2CF1CC1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Produkcja mieszanki mineralno-asfaltowej powinna odbywać się na WMA o cyklicznym systemie produkcji mieszanki. WMA powinna prowadzić system ZKP (Zakładowa Kontrola Produkcji) zgodnie z wymaganiami PN-EN 13108-21, certyfikowany przez jednostkę notyfikowaną. Dozowanie wszystkich składników powinno odbywać się wagowo, dopuszcza się objętościowe dozowanie środka adhezyjnego.   </w:t>
      </w:r>
    </w:p>
    <w:p w14:paraId="532EF7C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przypadku stosowania granulatu asfaltowego wytwórnię mieszanek mineralno asfaltowych należy wyposażyć w dodatkowy bęben, będący elementem otaczarki  o działaniu cyklicznym – metoda „równoległego bębna”. </w:t>
      </w:r>
    </w:p>
    <w:p w14:paraId="4BE559D3" w14:textId="77777777" w:rsidR="00AD1E0F" w:rsidRPr="00AD1E0F" w:rsidRDefault="00AD1E0F" w:rsidP="00AD1E0F">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08" w:name="_Toc60607"/>
      <w:r w:rsidRPr="00AD1E0F">
        <w:rPr>
          <w:rFonts w:ascii="Arial Narrow" w:eastAsia="Times New Roman" w:hAnsi="Arial Narrow" w:cs="Times New Roman"/>
          <w:b/>
          <w:sz w:val="28"/>
          <w:szCs w:val="20"/>
          <w:lang w:val="x-none" w:eastAsia="x-none"/>
        </w:rPr>
        <w:t>3.2.</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Układarka mieszanek mineralno-asfaltowych </w:t>
      </w:r>
      <w:bookmarkEnd w:id="708"/>
    </w:p>
    <w:p w14:paraId="38B3D22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Układanie mieszanki powinno odbywać się możliwie największą szerokością, przy użyciu mechanicznej układarki do układania mieszanki mineralno-asfaltowej lub zespołem układarek pracujących równolegle z przesunięciem roboczym umożliwiającym ułożenie stykających się warstw asfaltowych na gorąco, posiadającej następujące urządzenia: </w:t>
      </w:r>
    </w:p>
    <w:p w14:paraId="6591646D"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lastRenderedPageBreak/>
        <w:t xml:space="preserve">automatyczne sterowanie pozwalające na ułożenie warstwy zgodnie z założoną niweletą i grubością, </w:t>
      </w:r>
    </w:p>
    <w:p w14:paraId="15C69007"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płytę wibracyjną do wstępnego zagęszczenia mieszanki, </w:t>
      </w:r>
    </w:p>
    <w:p w14:paraId="7D901BA1"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urządzenia do podgrzewania płyty wibracyjnej. </w:t>
      </w:r>
    </w:p>
    <w:p w14:paraId="1C80ED7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Mieszanki mineralno-asfaltowe można rozkładać specjalną maszyną drogową z podwójnym zestawem rozkładającym do układania dwóch warstw technologicznych w jednej operacji (tzw. asfaltowe warstwy kompaktowe). </w:t>
      </w:r>
    </w:p>
    <w:p w14:paraId="1921EEEE"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09" w:name="_Toc60608"/>
      <w:r w:rsidRPr="00AD1E0F">
        <w:rPr>
          <w:rFonts w:ascii="Arial Narrow" w:eastAsia="Times New Roman" w:hAnsi="Arial Narrow" w:cs="Times New Roman"/>
          <w:b/>
          <w:sz w:val="28"/>
          <w:szCs w:val="20"/>
          <w:lang w:val="x-none" w:eastAsia="x-none"/>
        </w:rPr>
        <w:t>3.3.</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Walce do zagęszczania </w:t>
      </w:r>
      <w:bookmarkEnd w:id="709"/>
    </w:p>
    <w:p w14:paraId="45D7E2F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Wykonawca powinien dysponować sprzętem pozwalającym na uzyskanie wymaganego wskaźnika zagęszczenia warstwy z mieszanki mineralno-asfaltowej.  </w:t>
      </w:r>
    </w:p>
    <w:p w14:paraId="062C35DE"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10" w:name="_Toc60609"/>
      <w:r w:rsidRPr="00AD1E0F">
        <w:rPr>
          <w:rFonts w:ascii="Arial Narrow" w:eastAsia="Times New Roman" w:hAnsi="Arial Narrow" w:cs="Times New Roman"/>
          <w:b/>
          <w:sz w:val="28"/>
          <w:szCs w:val="20"/>
          <w:lang w:val="x-none" w:eastAsia="x-none"/>
        </w:rPr>
        <w:t>3.4.</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Skrapiarki </w:t>
      </w:r>
      <w:bookmarkEnd w:id="710"/>
    </w:p>
    <w:p w14:paraId="691B485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Wykonawca powinien dysponować skrapiarką spełniającą wymagania STWiORB D.04.03.01, pozwalającą na równomierne i zgodne z wymaganiami równomierne skropienie podłoża. </w:t>
      </w:r>
    </w:p>
    <w:p w14:paraId="56B2D80B" w14:textId="77777777" w:rsidR="00AD1E0F" w:rsidRPr="00AD1E0F" w:rsidRDefault="00AD1E0F" w:rsidP="00AD1E0F">
      <w:pPr>
        <w:keepNext/>
        <w:keepLines/>
        <w:tabs>
          <w:tab w:val="center" w:pos="1261"/>
        </w:tabs>
        <w:suppressAutoHyphens/>
        <w:overflowPunct w:val="0"/>
        <w:autoSpaceDE w:val="0"/>
        <w:autoSpaceDN w:val="0"/>
        <w:adjustRightInd w:val="0"/>
        <w:spacing w:after="0" w:line="240" w:lineRule="auto"/>
        <w:ind w:left="-3"/>
        <w:jc w:val="both"/>
        <w:textAlignment w:val="baseline"/>
        <w:outlineLvl w:val="0"/>
        <w:rPr>
          <w:rFonts w:ascii="Arial Narrow" w:eastAsia="Times New Roman" w:hAnsi="Arial Narrow" w:cs="Times New Roman"/>
          <w:b/>
          <w:caps/>
          <w:kern w:val="28"/>
          <w:sz w:val="28"/>
          <w:szCs w:val="20"/>
          <w:lang w:val="x-none" w:eastAsia="x-none"/>
        </w:rPr>
      </w:pPr>
      <w:bookmarkStart w:id="711" w:name="_Toc60610"/>
      <w:r w:rsidRPr="00AD1E0F">
        <w:rPr>
          <w:rFonts w:ascii="Arial Narrow" w:eastAsia="Times New Roman" w:hAnsi="Arial Narrow" w:cs="Times New Roman"/>
          <w:b/>
          <w:caps/>
          <w:kern w:val="28"/>
          <w:sz w:val="28"/>
          <w:szCs w:val="20"/>
          <w:lang w:val="x-none" w:eastAsia="x-none"/>
        </w:rPr>
        <w:t>4.</w:t>
      </w:r>
      <w:r w:rsidRPr="00AD1E0F">
        <w:rPr>
          <w:rFonts w:ascii="Arial Narrow" w:eastAsia="Arial" w:hAnsi="Arial Narrow" w:cs="Arial"/>
          <w:b/>
          <w:caps/>
          <w:kern w:val="28"/>
          <w:sz w:val="28"/>
          <w:szCs w:val="20"/>
          <w:lang w:val="x-none" w:eastAsia="x-none"/>
        </w:rPr>
        <w:t xml:space="preserve"> </w:t>
      </w:r>
      <w:r w:rsidRPr="00AD1E0F">
        <w:rPr>
          <w:rFonts w:ascii="Arial Narrow" w:eastAsia="Times New Roman" w:hAnsi="Arial Narrow" w:cs="Times New Roman"/>
          <w:b/>
          <w:caps/>
          <w:kern w:val="28"/>
          <w:sz w:val="28"/>
          <w:szCs w:val="20"/>
          <w:lang w:val="x-none" w:eastAsia="x-none"/>
        </w:rPr>
        <w:t xml:space="preserve">TRANSPORT </w:t>
      </w:r>
      <w:bookmarkEnd w:id="711"/>
    </w:p>
    <w:p w14:paraId="2616FEC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Ogólne wymagania dotyczące transportu podano w D-M-00.00.00 „Wymagania ogólne”. Mieszanki mineralno-asfaltowe powinny być dowożone na budowę odpowiednio do postępu robót, tak aby zapewnić ciągłość wbudowania. Podczas transportu i postoju przed wbudowaniem mieszanki powinny być zabezpieczone przed ostygnięciem i dopływem powietrza (przykrycie, pojemniki termoizolacyjne lub pojazdy ogrzewane itp.). Mieszanki mineralno-asfaltowe, powinny być przewożone pojazdami samowyładowczymi.  </w:t>
      </w:r>
    </w:p>
    <w:p w14:paraId="5B39F26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Podczas transportu mieszanki mineralno-asfaltowej muszą być zachowane dopuszczalne wartości temperatury. Dowieziona do rozkładarki mieszanka musi mieć temperaturę w wymaganym przedziale określonym w WT-2 2014 – część I tab. 42.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591499B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Powierzchnie skrzyń ładunkowych lub pojemników używanych do transportu mieszanki powinny być czyste. Do zwilżania tych powierzchni można używać tylko tego rodzaju środków antyadhezyjnych, które nie oddziałują szkodliwie na mieszanki mineralnoasfaltowe. Zabrania się skrapiania skrzyń olejem napędowym lub innymi środkami ropopochodnymi. </w:t>
      </w:r>
    </w:p>
    <w:p w14:paraId="065A65A4" w14:textId="77777777" w:rsidR="00AD1E0F" w:rsidRPr="00AD1E0F" w:rsidRDefault="00AD1E0F" w:rsidP="00AD1E0F">
      <w:pPr>
        <w:keepNext/>
        <w:keepLines/>
        <w:tabs>
          <w:tab w:val="center" w:pos="1722"/>
        </w:tabs>
        <w:suppressAutoHyphens/>
        <w:overflowPunct w:val="0"/>
        <w:autoSpaceDE w:val="0"/>
        <w:autoSpaceDN w:val="0"/>
        <w:adjustRightInd w:val="0"/>
        <w:spacing w:after="0" w:line="240" w:lineRule="auto"/>
        <w:ind w:left="-3"/>
        <w:jc w:val="both"/>
        <w:textAlignment w:val="baseline"/>
        <w:outlineLvl w:val="0"/>
        <w:rPr>
          <w:rFonts w:ascii="Arial Narrow" w:eastAsia="Times New Roman" w:hAnsi="Arial Narrow" w:cs="Times New Roman"/>
          <w:b/>
          <w:caps/>
          <w:kern w:val="28"/>
          <w:sz w:val="28"/>
          <w:szCs w:val="20"/>
          <w:lang w:val="x-none" w:eastAsia="x-none"/>
        </w:rPr>
      </w:pPr>
      <w:bookmarkStart w:id="712" w:name="_Toc60611"/>
      <w:r w:rsidRPr="00AD1E0F">
        <w:rPr>
          <w:rFonts w:ascii="Arial Narrow" w:eastAsia="Times New Roman" w:hAnsi="Arial Narrow" w:cs="Times New Roman"/>
          <w:b/>
          <w:caps/>
          <w:kern w:val="28"/>
          <w:sz w:val="28"/>
          <w:szCs w:val="20"/>
          <w:lang w:val="x-none" w:eastAsia="x-none"/>
        </w:rPr>
        <w:t>5.</w:t>
      </w:r>
      <w:r w:rsidRPr="00AD1E0F">
        <w:rPr>
          <w:rFonts w:ascii="Arial Narrow" w:eastAsia="Arial" w:hAnsi="Arial Narrow" w:cs="Arial"/>
          <w:b/>
          <w:caps/>
          <w:kern w:val="28"/>
          <w:sz w:val="28"/>
          <w:szCs w:val="20"/>
          <w:lang w:val="x-none" w:eastAsia="x-none"/>
        </w:rPr>
        <w:t xml:space="preserve"> </w:t>
      </w:r>
      <w:r w:rsidRPr="00AD1E0F">
        <w:rPr>
          <w:rFonts w:ascii="Arial Narrow" w:eastAsia="Times New Roman" w:hAnsi="Arial Narrow" w:cs="Times New Roman"/>
          <w:b/>
          <w:caps/>
          <w:kern w:val="28"/>
          <w:sz w:val="28"/>
          <w:szCs w:val="20"/>
          <w:lang w:val="x-none" w:eastAsia="x-none"/>
        </w:rPr>
        <w:t xml:space="preserve">WYKONANIE ROBÓT </w:t>
      </w:r>
      <w:bookmarkEnd w:id="712"/>
    </w:p>
    <w:p w14:paraId="54F9FBB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Ogólne zasady wykonania robót podano w D-M-00.00.00 „Wymagania ogólne”. </w:t>
      </w:r>
    </w:p>
    <w:p w14:paraId="153ADC6C"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13" w:name="_Toc60612"/>
      <w:r w:rsidRPr="00AD1E0F">
        <w:rPr>
          <w:rFonts w:ascii="Arial Narrow" w:eastAsia="Times New Roman" w:hAnsi="Arial Narrow" w:cs="Times New Roman"/>
          <w:b/>
          <w:sz w:val="28"/>
          <w:szCs w:val="20"/>
          <w:lang w:val="x-none" w:eastAsia="x-none"/>
        </w:rPr>
        <w:t>5.1.</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Projektowanie mieszanki mineralno-asfaltowej </w:t>
      </w:r>
      <w:bookmarkEnd w:id="713"/>
    </w:p>
    <w:p w14:paraId="0E26EA8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terminie 7 dni przed rozpoczęciem robót Wykonawca przedstawi Inżynierowi/Inspektorowi Nadzoru do zatwierdzenia projekt MMA (Badanie Typu) oraz wszystkie dokumenty potwierdzające jakość materiałów składowych MMA i reprezentatywne próbki materiałów . MMA powinna być zaprojektowana zgodnie z pkt. </w:t>
      </w:r>
    </w:p>
    <w:p w14:paraId="05FF5DD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8.1 i 8.2.3  WT-2 2014 – część I w zależności od kategorii ruchu. </w:t>
      </w:r>
    </w:p>
    <w:p w14:paraId="30BEAD3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przypadku stosowania granulatu asfaltowego należy na etapie projektowania stosować się do wytycznych określonych w Załączniku nr 9.2.1 i Załączniku nr 9.2.3 RID I/6.   </w:t>
      </w:r>
    </w:p>
    <w:p w14:paraId="1E07B06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Wykonawca powinien zapewnić, aby podczas opracowywania Badania Typu MMA, były zastosowane w pełni reprezentatywne próbki materiałów składowych, które zostaną użyte do wykonania robót. </w:t>
      </w:r>
    </w:p>
    <w:p w14:paraId="2806692F"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14" w:name="_Toc60613"/>
      <w:r w:rsidRPr="00AD1E0F">
        <w:rPr>
          <w:rFonts w:ascii="Arial Narrow" w:eastAsia="Times New Roman" w:hAnsi="Arial Narrow" w:cs="Times New Roman"/>
          <w:b/>
          <w:sz w:val="28"/>
          <w:szCs w:val="20"/>
          <w:lang w:val="x-none" w:eastAsia="x-none"/>
        </w:rPr>
        <w:t>5.2.</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Wytwarzanie MMA </w:t>
      </w:r>
      <w:bookmarkEnd w:id="714"/>
    </w:p>
    <w:p w14:paraId="18FDF1CA"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Produkcja MMA powinna odbywać się na WMA o cyklicznym systemie produkcji mieszanki, zgodnie z wymaganiami opisanymi w p. 3.1. Dozowanie wszystkich składników powinno odbywać się wagowo, dopuszcza się objętościowe dozowanie środka adhezyjnego. W przypadku stosowania granulatu asfaltowego do produkcji MMA należy: </w:t>
      </w:r>
    </w:p>
    <w:p w14:paraId="61319152"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stosować się do wytycznych opisanych w Załączniku nr 9.2.2 RID I/6. </w:t>
      </w:r>
    </w:p>
    <w:p w14:paraId="45A0E6C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Temperatury technologiczne wytwarzania MMA powinny być zgodne z wymaganiami podanymi w p. 8.3 WT-2 2014 część I (Tabela 42) lub zgodnie z zaleceniami producenta. </w:t>
      </w:r>
    </w:p>
    <w:p w14:paraId="48C35BE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Mieszankę MMA zaleca się wbudowywać bezpośrednio po wyprodukowaniu bez magazynowania na zapas. Przechowywanie wyprodukowanej MMA w silosie może mieć miejsce tylko w sytuacjach awaryjnych. </w:t>
      </w:r>
    </w:p>
    <w:p w14:paraId="09A8A7E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Jeżeli mieszanka mineralno-asfaltowa jest dostarczana z kilku wytwórni lub od kilku producentów, to należy zapewnić zgodność typu i wymiaru mieszanki oraz spełnienie wymagań dokumentacji projektowej. </w:t>
      </w:r>
    </w:p>
    <w:p w14:paraId="263ED2C4"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15" w:name="_Toc60614"/>
      <w:r w:rsidRPr="00AD1E0F">
        <w:rPr>
          <w:rFonts w:ascii="Arial Narrow" w:eastAsia="Times New Roman" w:hAnsi="Arial Narrow" w:cs="Times New Roman"/>
          <w:b/>
          <w:sz w:val="28"/>
          <w:szCs w:val="20"/>
          <w:lang w:val="x-none" w:eastAsia="x-none"/>
        </w:rPr>
        <w:t>5.3.</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Przygotowanie podłoża </w:t>
      </w:r>
      <w:bookmarkEnd w:id="715"/>
    </w:p>
    <w:p w14:paraId="53286E5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Podłoże pod warstwę ścieralną z MMA powinno być: </w:t>
      </w:r>
    </w:p>
    <w:p w14:paraId="511EB25C"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nośne i ustabilizowane, </w:t>
      </w:r>
    </w:p>
    <w:p w14:paraId="21AD65B1"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czyste, bez zanieczyszczeń lub pozostałości luźnego kruszywa, </w:t>
      </w:r>
    </w:p>
    <w:p w14:paraId="1422EADB"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wyprofilowane, równe i bez kolein, </w:t>
      </w:r>
    </w:p>
    <w:p w14:paraId="1A9885D7"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suche, </w:t>
      </w:r>
    </w:p>
    <w:p w14:paraId="68533802"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skropione emulsją asfaltową zapewniającą powiązanie warstw, oraz spełniać wymagania pkt. 7.2. WT-2 2016 – część II.  </w:t>
      </w:r>
    </w:p>
    <w:p w14:paraId="5B9899B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Brzegi krawężników i innych urządzeń przylegających do nawierzchni powinny zostać połączone z MMA zgodnie z pkt. 7.6.4 WT-2 2016 – część II (sposób wykonania spoin) i przy zastosowaniu materiałów określonych w pkt. 2.2.1 niniejszych STWiORB. </w:t>
      </w:r>
    </w:p>
    <w:p w14:paraId="084CE389"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5.3.1.</w:t>
      </w:r>
      <w:r w:rsidRPr="00AD1E0F">
        <w:rPr>
          <w:rFonts w:ascii="Arial Narrow" w:eastAsia="Arial" w:hAnsi="Arial Narrow" w:cs="Times New Roman"/>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Połączenia międzywarstwowe </w:t>
      </w:r>
    </w:p>
    <w:p w14:paraId="08C1B62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Uzyskanie wymaganej trwałości nawierzchni jest uzależnione od zapewnienia połączenia między warstwami oraz ich współpracy w przenoszeniu obciążeń nawierzchni wywołanych ruchem pojazdów.  </w:t>
      </w:r>
    </w:p>
    <w:p w14:paraId="0A7565D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lastRenderedPageBreak/>
        <w:t xml:space="preserve">Zapewnienie połączenia międzywarstwowego wymaga starannego przygotowania podłoża, na którym będą układane kolejne warstwy asfaltowe, zastosowania odpowiedniej emulsji asfaltowej oraz właściwego wykonania skropienia. Podłoże należy przygotować zgodnie z STWiORB D.04.03.01. </w:t>
      </w:r>
    </w:p>
    <w:p w14:paraId="54D085A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Skropienie emulsją asfaltową ma na celu zwiększenie siły połączenia pomiędzy warstwami konstrukcyjnymi oraz zabezpieczenie przed wnikaniem i zaleganiem wody pomiędzy warstwami.  </w:t>
      </w:r>
    </w:p>
    <w:p w14:paraId="5EA4395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Do skropień należy stosować rodzaj emulsji i ilość w zależności od rodzaju warstwy i kategorii ruchu, zgodnie z zasadami określonymi w STWiORB D.04.03.01.  </w:t>
      </w:r>
    </w:p>
    <w:p w14:paraId="5D39EC51"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16" w:name="_Toc60615"/>
      <w:r w:rsidRPr="00AD1E0F">
        <w:rPr>
          <w:rFonts w:ascii="Arial Narrow" w:eastAsia="Times New Roman" w:hAnsi="Arial Narrow" w:cs="Times New Roman"/>
          <w:b/>
          <w:sz w:val="28"/>
          <w:szCs w:val="20"/>
          <w:lang w:val="x-none" w:eastAsia="x-none"/>
        </w:rPr>
        <w:t>5.4.</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Warunki atmosferyczne </w:t>
      </w:r>
      <w:bookmarkEnd w:id="716"/>
    </w:p>
    <w:p w14:paraId="122BD47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Warstwa nawierzchni z MMA powinna być układana w temperaturze: </w:t>
      </w:r>
    </w:p>
    <w:p w14:paraId="3682A86E"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podłoża nie mniejszej niż +5°C, </w:t>
      </w:r>
    </w:p>
    <w:p w14:paraId="4D845D93"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temperaturze otoczenie w ciągu doby (pomiary trzy razy dziennie) nie mniejszej niż +5°C. </w:t>
      </w:r>
    </w:p>
    <w:p w14:paraId="6A06B38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Nie dopuszcza się układania MMA podczas opadów atmosferycznych i silnego wiatru przekraczającego prędkość 16m/s. </w:t>
      </w:r>
    </w:p>
    <w:p w14:paraId="1E224E29"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17" w:name="_Toc60616"/>
      <w:r w:rsidRPr="00AD1E0F">
        <w:rPr>
          <w:rFonts w:ascii="Arial Narrow" w:eastAsia="Times New Roman" w:hAnsi="Arial Narrow" w:cs="Times New Roman"/>
          <w:b/>
          <w:sz w:val="28"/>
          <w:szCs w:val="20"/>
          <w:lang w:val="x-none" w:eastAsia="x-none"/>
        </w:rPr>
        <w:t>5.5.</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Próba technologiczna </w:t>
      </w:r>
      <w:bookmarkEnd w:id="717"/>
    </w:p>
    <w:p w14:paraId="251D47F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Nie dotyczy.</w:t>
      </w:r>
    </w:p>
    <w:p w14:paraId="6F5FD7F4"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18" w:name="_Toc60617"/>
      <w:r w:rsidRPr="00AD1E0F">
        <w:rPr>
          <w:rFonts w:ascii="Arial Narrow" w:eastAsia="Times New Roman" w:hAnsi="Arial Narrow" w:cs="Times New Roman"/>
          <w:b/>
          <w:sz w:val="28"/>
          <w:szCs w:val="20"/>
          <w:lang w:val="x-none" w:eastAsia="x-none"/>
        </w:rPr>
        <w:t>5.6.</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Odcinek próbny </w:t>
      </w:r>
      <w:bookmarkEnd w:id="718"/>
    </w:p>
    <w:p w14:paraId="4AEC8F12"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Nie dotyczy</w:t>
      </w:r>
      <w:r w:rsidRPr="00AD1E0F" w:rsidDel="008B0256">
        <w:rPr>
          <w:rFonts w:ascii="Arial Narrow" w:eastAsia="Times New Roman" w:hAnsi="Arial Narrow" w:cs="Times New Roman"/>
          <w:sz w:val="20"/>
          <w:szCs w:val="20"/>
          <w:lang w:eastAsia="pl-PL"/>
        </w:rPr>
        <w:t xml:space="preserve"> </w:t>
      </w:r>
      <w:r w:rsidRPr="00AD1E0F">
        <w:rPr>
          <w:rFonts w:ascii="Arial Narrow" w:eastAsia="Times New Roman" w:hAnsi="Arial Narrow" w:cs="Times New Roman"/>
          <w:sz w:val="20"/>
          <w:szCs w:val="20"/>
          <w:lang w:eastAsia="pl-PL"/>
        </w:rPr>
        <w:t xml:space="preserve">. </w:t>
      </w:r>
    </w:p>
    <w:p w14:paraId="703980E0"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19" w:name="_Toc60618"/>
      <w:r w:rsidRPr="00AD1E0F">
        <w:rPr>
          <w:rFonts w:ascii="Arial Narrow" w:eastAsia="Times New Roman" w:hAnsi="Arial Narrow" w:cs="Times New Roman"/>
          <w:b/>
          <w:sz w:val="28"/>
          <w:szCs w:val="20"/>
          <w:lang w:val="x-none" w:eastAsia="x-none"/>
        </w:rPr>
        <w:t>5.7.</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Wbudowywanie mieszanki MMA  </w:t>
      </w:r>
      <w:bookmarkEnd w:id="719"/>
    </w:p>
    <w:p w14:paraId="6911FB5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Transport MMA powinien odbywać się zgodnie z wymaganiami podanymi w pkt. 7.4 WT-2 2016 – część II. Wbudowywanie MMA powinno odbywać się zgodnie z wymaganiami podanymi w pkt. 7.5 WT-2 2016 – część II.  </w:t>
      </w:r>
    </w:p>
    <w:p w14:paraId="71E372F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Prace związane z wbudowaniem mieszanki mineralno-asfaltowej należy tak zaplanować, aby: </w:t>
      </w:r>
    </w:p>
    <w:p w14:paraId="3DBF844B"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umożliwiały układanie warstwy całą szerokością jezdni (jedną rozkładarką lub dwoma rozkładarkami pracującymi obok siebie z przesunięciem wg pkt 7.6.3.1. WT2 2016 – część II); w przypadku przebudów i remontów o dopuszczonym ruchu jednokierunkowym (wahadłowym) szerokością pasa ruchu ,   </w:t>
      </w:r>
    </w:p>
    <w:p w14:paraId="7742FB33"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dzienne działki robocze  (tj. odcinki nawierzchni na których mieszanka mineralnoasfaltowa jest wbudowywana jednego dnia) powinny być możliwie jak najdłuższe min. 200 m, </w:t>
      </w:r>
    </w:p>
    <w:p w14:paraId="5FABB814"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organizacja dostaw mieszanki powinna zapewnić pracę rozkładarki bez zatrzymań z jednostajną prędkością. </w:t>
      </w:r>
    </w:p>
    <w:p w14:paraId="59C1CE7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Mieszankę mineralno-asfaltową należy wbudowywać w sprzyjających warunkach atmosferycznych określonych w pkt. 5.4. Temperatura otoczenia może być niższa w wypadku stosowania ogrzewania podłoża i obramowania (np. promienniki podczerwieni, urządzenia mikrofalowe). </w:t>
      </w:r>
    </w:p>
    <w:p w14:paraId="7B1AF7C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celu poprawy właściwości przeciwpoślizgowych warstwę ścieralną należy układać  w kierunku przeciwnym do przewidywanego ruchu – dotyczy nawierzchni dwujezdniowych oraz jednojezdniowych w przypadku przebudów i remontów układanych szerokością pasa ruchu. </w:t>
      </w:r>
    </w:p>
    <w:p w14:paraId="54A0AF3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przypadku stosowania mieszanek mineralno-asfaltowych z dodatkiem umożliwiającym obniżenie temperatury mieszania (mieszanki na ciepło) i wbudowania, należy indywidualnie określić wymagane warunki otoczenia. Układarka powinna być stale zasilana w mieszankę tak, aby w zasobniku zawsze znajdowała się odpowiednia jej ilość, a kosz, transporter i stół były zawsze gorące i nie stygły. W miejscach niedostępnych dla sprzętu dopuszcza się wbudowywanie ręczne. </w:t>
      </w:r>
    </w:p>
    <w:p w14:paraId="336E98B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Podczas rozkładania grubość wykonywanej warstwy powinna być sprawdzana co 25 m, w co najmniej trzech miejscach (w osi i przy brzegach warstwy). Warstwy wałowane powinny być równomiernie zagęszczane walcami drogowymi o charakterystyce zapewniającej skuteczność zagęszczania, potwierdzoną na odcinku próbnym. </w:t>
      </w:r>
    </w:p>
    <w:p w14:paraId="34E46B4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Dopuszczenie wykonanej warstwy asfaltowej na gorąco do ruchu może nastąpić po jej schłodzeniu do temperatury zapewniającej jej odporność na deformacje trwałe.  </w:t>
      </w:r>
    </w:p>
    <w:p w14:paraId="39F39C38"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20" w:name="_Toc60619"/>
      <w:r w:rsidRPr="00AD1E0F">
        <w:rPr>
          <w:rFonts w:ascii="Arial Narrow" w:eastAsia="Times New Roman" w:hAnsi="Arial Narrow" w:cs="Times New Roman"/>
          <w:b/>
          <w:sz w:val="28"/>
          <w:szCs w:val="20"/>
          <w:lang w:val="x-none" w:eastAsia="x-none"/>
        </w:rPr>
        <w:t>5.8.</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Połączenia technologiczne </w:t>
      </w:r>
      <w:bookmarkEnd w:id="720"/>
    </w:p>
    <w:p w14:paraId="51BCD0A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Połączenia technologiczne powinny być wykonane przy zastosowaniu materiałów określonych w pkt 2.2.1 niniejszego STWiORB, oraz zgodnie z pkt. 7.6 WT-2 2016 – część II.  </w:t>
      </w:r>
    </w:p>
    <w:p w14:paraId="539CAAD8"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Verdana" w:hAnsi="Arial Narrow" w:cs="Times New Roman"/>
          <w:b/>
          <w:sz w:val="24"/>
          <w:szCs w:val="20"/>
          <w:lang w:val="x-none" w:eastAsia="x-none"/>
        </w:rPr>
        <w:t>5.8.1.</w:t>
      </w:r>
      <w:r w:rsidRPr="00AD1E0F">
        <w:rPr>
          <w:rFonts w:ascii="Arial Narrow" w:eastAsia="Arial" w:hAnsi="Arial Narrow" w:cs="Arial"/>
          <w:b/>
          <w:sz w:val="24"/>
          <w:szCs w:val="20"/>
          <w:lang w:val="x-none" w:eastAsia="x-none"/>
        </w:rPr>
        <w:t xml:space="preserve"> </w:t>
      </w:r>
      <w:r w:rsidRPr="00AD1E0F">
        <w:rPr>
          <w:rFonts w:ascii="Arial Narrow" w:eastAsia="Verdana" w:hAnsi="Arial Narrow" w:cs="Times New Roman"/>
          <w:b/>
          <w:sz w:val="24"/>
          <w:szCs w:val="20"/>
          <w:lang w:val="x-none" w:eastAsia="x-none"/>
        </w:rPr>
        <w:t xml:space="preserve">Sposób i warunki aplikacji materiałów stosowanych do złączy.  </w:t>
      </w:r>
    </w:p>
    <w:p w14:paraId="3C531210" w14:textId="77777777" w:rsidR="00AD1E0F" w:rsidRPr="00AD1E0F" w:rsidRDefault="00AD1E0F" w:rsidP="00AD1E0F">
      <w:pPr>
        <w:keepNext/>
        <w:keepLines/>
        <w:tabs>
          <w:tab w:val="center" w:pos="4795"/>
        </w:tabs>
        <w:spacing w:before="120" w:after="120" w:line="360" w:lineRule="auto"/>
        <w:ind w:left="-3" w:firstLine="709"/>
        <w:jc w:val="both"/>
        <w:outlineLvl w:val="4"/>
        <w:rPr>
          <w:rFonts w:ascii="Arial Narrow" w:eastAsia="Times New Roman" w:hAnsi="Arial Narrow" w:cs="Times New Roman"/>
          <w:bCs/>
          <w:sz w:val="24"/>
          <w:szCs w:val="20"/>
          <w:lang w:val="x-none" w:eastAsia="x-none"/>
        </w:rPr>
      </w:pPr>
      <w:r w:rsidRPr="00AD1E0F">
        <w:rPr>
          <w:rFonts w:ascii="Arial Narrow" w:eastAsia="Times New Roman" w:hAnsi="Arial Narrow" w:cs="Times New Roman"/>
          <w:bCs/>
          <w:sz w:val="24"/>
          <w:szCs w:val="20"/>
          <w:lang w:val="x-none" w:eastAsia="x-none"/>
        </w:rPr>
        <w:t>5.8.1.1.</w:t>
      </w:r>
      <w:r w:rsidRPr="00AD1E0F">
        <w:rPr>
          <w:rFonts w:ascii="Arial Narrow" w:eastAsia="Arial" w:hAnsi="Arial Narrow" w:cs="Times New Roman"/>
          <w:bCs/>
          <w:sz w:val="24"/>
          <w:szCs w:val="20"/>
          <w:lang w:val="x-none" w:eastAsia="x-none"/>
        </w:rPr>
        <w:t xml:space="preserve"> </w:t>
      </w:r>
      <w:r w:rsidRPr="00AD1E0F">
        <w:rPr>
          <w:rFonts w:ascii="Arial Narrow" w:eastAsia="Times New Roman" w:hAnsi="Arial Narrow" w:cs="Times New Roman"/>
          <w:bCs/>
          <w:sz w:val="24"/>
          <w:szCs w:val="20"/>
          <w:lang w:val="x-none" w:eastAsia="x-none"/>
        </w:rPr>
        <w:t xml:space="preserve">Wymagania wobec wbudowania elastycznych taśm bitumicznych </w:t>
      </w:r>
    </w:p>
    <w:p w14:paraId="59E8B16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Krawędź boczna złącza podłużnego winna być uformowana za pomocą rolki dociskowej lub poprzez obcięcie nożem talerzowym. </w:t>
      </w:r>
    </w:p>
    <w:p w14:paraId="4EE9873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Krawędź boczna złącza poprzecznego powinna być uformowana w taki sposób i za pomocą urządzeń umożliwiających uzyskanie nieregularnej powierzchni. </w:t>
      </w:r>
    </w:p>
    <w:p w14:paraId="6FF6276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Powierzchnie krawędzi do których klejona będzie taśma, powinny być czyste i suche. </w:t>
      </w:r>
    </w:p>
    <w:p w14:paraId="5153222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Przed przyklejeniem taśmy w metodzie „gorące przy zimnym”, krawędzie „zimnej” warstwy na całkowitej grubości, należy zagruntować środkiem gruntującym zgodnie z zaleceniami producenta taśmy. </w:t>
      </w:r>
    </w:p>
    <w:p w14:paraId="7D528D7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Taśma bitumiczna o grubości 10 mm powinna być wstępnie przyklejona do zimnej krawędzi złącza na całej jego wysokości oraz wystawać ponad powierzchnię warstwy do 5 mm lub wg zaleceń Producenta. </w:t>
      </w:r>
    </w:p>
    <w:p w14:paraId="630A9AEC" w14:textId="77777777" w:rsidR="00AD1E0F" w:rsidRPr="00AD1E0F" w:rsidRDefault="00AD1E0F" w:rsidP="00AD1E0F">
      <w:pPr>
        <w:keepNext/>
        <w:keepLines/>
        <w:tabs>
          <w:tab w:val="center" w:pos="4002"/>
        </w:tabs>
        <w:spacing w:before="120" w:after="120" w:line="360" w:lineRule="auto"/>
        <w:ind w:left="-3" w:firstLine="709"/>
        <w:jc w:val="both"/>
        <w:outlineLvl w:val="4"/>
        <w:rPr>
          <w:rFonts w:ascii="Arial Narrow" w:eastAsia="Times New Roman" w:hAnsi="Arial Narrow" w:cs="Times New Roman"/>
          <w:bCs/>
          <w:sz w:val="24"/>
          <w:szCs w:val="20"/>
          <w:lang w:val="x-none" w:eastAsia="x-none"/>
        </w:rPr>
      </w:pPr>
      <w:r w:rsidRPr="00AD1E0F">
        <w:rPr>
          <w:rFonts w:ascii="Arial Narrow" w:eastAsia="Times New Roman" w:hAnsi="Arial Narrow" w:cs="Times New Roman"/>
          <w:bCs/>
          <w:sz w:val="24"/>
          <w:szCs w:val="20"/>
          <w:lang w:val="x-none" w:eastAsia="x-none"/>
        </w:rPr>
        <w:t>5.8.1.2.</w:t>
      </w:r>
      <w:r w:rsidRPr="00AD1E0F">
        <w:rPr>
          <w:rFonts w:ascii="Arial Narrow" w:eastAsia="Arial" w:hAnsi="Arial Narrow" w:cs="Times New Roman"/>
          <w:bCs/>
          <w:sz w:val="24"/>
          <w:szCs w:val="20"/>
          <w:lang w:val="x-none" w:eastAsia="x-none"/>
        </w:rPr>
        <w:t xml:space="preserve"> </w:t>
      </w:r>
      <w:r w:rsidRPr="00AD1E0F">
        <w:rPr>
          <w:rFonts w:ascii="Arial Narrow" w:eastAsia="Times New Roman" w:hAnsi="Arial Narrow" w:cs="Times New Roman"/>
          <w:bCs/>
          <w:sz w:val="24"/>
          <w:szCs w:val="20"/>
          <w:lang w:val="x-none" w:eastAsia="x-none"/>
        </w:rPr>
        <w:t xml:space="preserve">Wymagania wobec wbudowania past bitumicznych </w:t>
      </w:r>
    </w:p>
    <w:p w14:paraId="28E637A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Przygotowanie krawędzi bocznych jak w przypadku stosowania taśm bitumicznych. </w:t>
      </w:r>
    </w:p>
    <w:p w14:paraId="22F225C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lastRenderedPageBreak/>
        <w:t>Pasta powinna być nanoszona mechanicznie z zapewnieniem równomiernego jej rozprowadzenia na bocznej krawędzi w ilości 3 - 4 kg/m</w:t>
      </w:r>
      <w:r w:rsidRPr="00AD1E0F">
        <w:rPr>
          <w:rFonts w:ascii="Arial Narrow" w:eastAsia="Times New Roman" w:hAnsi="Arial Narrow" w:cs="Times New Roman"/>
          <w:sz w:val="20"/>
          <w:szCs w:val="20"/>
          <w:vertAlign w:val="superscript"/>
          <w:lang w:eastAsia="pl-PL"/>
        </w:rPr>
        <w:t>2</w:t>
      </w:r>
      <w:r w:rsidRPr="00AD1E0F">
        <w:rPr>
          <w:rFonts w:ascii="Arial Narrow" w:eastAsia="Times New Roman" w:hAnsi="Arial Narrow" w:cs="Times New Roman"/>
          <w:sz w:val="20"/>
          <w:szCs w:val="20"/>
          <w:lang w:eastAsia="pl-PL"/>
        </w:rPr>
        <w:t xml:space="preserve"> (warstwa o grubości 3 - 4 mm przy gęstości około 1,0 g/cm</w:t>
      </w:r>
      <w:r w:rsidRPr="00AD1E0F">
        <w:rPr>
          <w:rFonts w:ascii="Arial Narrow" w:eastAsia="Times New Roman" w:hAnsi="Arial Narrow" w:cs="Times New Roman"/>
          <w:sz w:val="20"/>
          <w:szCs w:val="20"/>
          <w:vertAlign w:val="superscript"/>
          <w:lang w:eastAsia="pl-PL"/>
        </w:rPr>
        <w:t>3</w:t>
      </w:r>
      <w:r w:rsidRPr="00AD1E0F">
        <w:rPr>
          <w:rFonts w:ascii="Arial Narrow" w:eastAsia="Times New Roman" w:hAnsi="Arial Narrow" w:cs="Times New Roman"/>
          <w:sz w:val="20"/>
          <w:szCs w:val="20"/>
          <w:lang w:eastAsia="pl-PL"/>
        </w:rPr>
        <w:t xml:space="preserve">). </w:t>
      </w:r>
    </w:p>
    <w:p w14:paraId="3E9F7BB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Dopuszcza się ręczne nanoszenie past w miejscach niedostępnych. </w:t>
      </w:r>
    </w:p>
    <w:p w14:paraId="075AC998"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5.8.2.</w:t>
      </w:r>
      <w:r w:rsidRPr="00AD1E0F">
        <w:rPr>
          <w:rFonts w:ascii="Arial Narrow" w:eastAsia="Arial" w:hAnsi="Arial Narrow" w:cs="Times New Roman"/>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Sposób wykonania złączy </w:t>
      </w:r>
    </w:p>
    <w:p w14:paraId="40F48E1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Wymagania ogólne: </w:t>
      </w:r>
    </w:p>
    <w:p w14:paraId="00FB8882"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złącza w warstwach nawierzchni powinny być wykonane w linii prostej,  </w:t>
      </w:r>
    </w:p>
    <w:p w14:paraId="4CB0A4A3"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złącza podłużnego nie można lokalizować w śladach kół, a także w obszarze poziomego oznakowania jezdni, </w:t>
      </w:r>
    </w:p>
    <w:p w14:paraId="2FA8F103"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złącza podłużne w konstrukcji wielowarstwowej należy przesunąć względem siebie w kolejnych warstwach technologicznych o co najmniej 30 cm w kierunku poprzecznym do osi jezdni, </w:t>
      </w:r>
    </w:p>
    <w:p w14:paraId="7F32BF53"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złącza muszą być całkowicie związane a powierzchnie przylegających warstw powinny być w jednym poziomie. </w:t>
      </w:r>
    </w:p>
    <w:p w14:paraId="58E2DF0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A.</w:t>
      </w:r>
      <w:r w:rsidRPr="00AD1E0F">
        <w:rPr>
          <w:rFonts w:ascii="Arial Narrow" w:eastAsia="Arial" w:hAnsi="Arial Narrow" w:cs="Arial"/>
          <w:sz w:val="20"/>
          <w:szCs w:val="20"/>
          <w:lang w:eastAsia="pl-PL"/>
        </w:rPr>
        <w:t xml:space="preserve"> </w:t>
      </w:r>
      <w:r w:rsidRPr="00AD1E0F">
        <w:rPr>
          <w:rFonts w:ascii="Arial Narrow" w:eastAsia="Arial" w:hAnsi="Arial Narrow" w:cs="Arial"/>
          <w:sz w:val="20"/>
          <w:szCs w:val="20"/>
          <w:lang w:eastAsia="pl-PL"/>
        </w:rPr>
        <w:tab/>
      </w:r>
      <w:r w:rsidRPr="00AD1E0F">
        <w:rPr>
          <w:rFonts w:ascii="Arial Narrow" w:eastAsia="Times New Roman" w:hAnsi="Arial Narrow" w:cs="Times New Roman"/>
          <w:sz w:val="20"/>
          <w:szCs w:val="20"/>
          <w:lang w:eastAsia="pl-PL"/>
        </w:rPr>
        <w:t xml:space="preserve">Metoda rozkładania „gorące przy gorącym” </w:t>
      </w:r>
    </w:p>
    <w:p w14:paraId="129387A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Metoda ta ma zastosowanie  w przypadku wykonywania złącza podłużnego – należy ją stosować zgodnie z pkt. 7.6.3.1 WT-2 2016 – część II. </w:t>
      </w:r>
    </w:p>
    <w:p w14:paraId="40C7152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Przy tej metodzie nie stosuje się dodatkowych materiałów do złączy. </w:t>
      </w:r>
    </w:p>
    <w:p w14:paraId="3082BDE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B.</w:t>
      </w:r>
      <w:r w:rsidRPr="00AD1E0F">
        <w:rPr>
          <w:rFonts w:ascii="Arial Narrow" w:eastAsia="Arial" w:hAnsi="Arial Narrow" w:cs="Arial"/>
          <w:sz w:val="20"/>
          <w:szCs w:val="20"/>
          <w:lang w:eastAsia="pl-PL"/>
        </w:rPr>
        <w:t xml:space="preserve"> </w:t>
      </w:r>
      <w:r w:rsidRPr="00AD1E0F">
        <w:rPr>
          <w:rFonts w:ascii="Arial Narrow" w:eastAsia="Arial" w:hAnsi="Arial Narrow" w:cs="Arial"/>
          <w:sz w:val="20"/>
          <w:szCs w:val="20"/>
          <w:lang w:eastAsia="pl-PL"/>
        </w:rPr>
        <w:tab/>
      </w:r>
      <w:r w:rsidRPr="00AD1E0F">
        <w:rPr>
          <w:rFonts w:ascii="Arial Narrow" w:eastAsia="Times New Roman" w:hAnsi="Arial Narrow" w:cs="Times New Roman"/>
          <w:sz w:val="20"/>
          <w:szCs w:val="20"/>
          <w:lang w:eastAsia="pl-PL"/>
        </w:rPr>
        <w:t xml:space="preserve">Metoda rozkładania „gorące przy zimnym” </w:t>
      </w:r>
    </w:p>
    <w:p w14:paraId="22BC06C2"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Wykonanie złączy metodą „gorące przy zimnym” stosuje się w przypadkach, gdy ze względu na ruch, względnie z innych uzasadnionych powodów konieczne jest wykonywanie nawierzchni w odstępach czasowych – należy ją stosować zgodnie z pkt. 7.6.3.2 WT-2 2016 – część II. </w:t>
      </w:r>
    </w:p>
    <w:p w14:paraId="225C110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C.</w:t>
      </w:r>
      <w:r w:rsidRPr="00AD1E0F">
        <w:rPr>
          <w:rFonts w:ascii="Arial Narrow" w:eastAsia="Arial" w:hAnsi="Arial Narrow" w:cs="Arial"/>
          <w:sz w:val="20"/>
          <w:szCs w:val="20"/>
          <w:lang w:eastAsia="pl-PL"/>
        </w:rPr>
        <w:t xml:space="preserve"> </w:t>
      </w:r>
      <w:r w:rsidRPr="00AD1E0F">
        <w:rPr>
          <w:rFonts w:ascii="Arial Narrow" w:eastAsia="Arial" w:hAnsi="Arial Narrow" w:cs="Arial"/>
          <w:sz w:val="20"/>
          <w:szCs w:val="20"/>
          <w:lang w:eastAsia="pl-PL"/>
        </w:rPr>
        <w:tab/>
      </w:r>
      <w:r w:rsidRPr="00AD1E0F">
        <w:rPr>
          <w:rFonts w:ascii="Arial Narrow" w:eastAsia="Times New Roman" w:hAnsi="Arial Narrow" w:cs="Times New Roman"/>
          <w:sz w:val="20"/>
          <w:szCs w:val="20"/>
          <w:lang w:eastAsia="pl-PL"/>
        </w:rPr>
        <w:t xml:space="preserve">Sposób zakończenia działki roboczej </w:t>
      </w:r>
    </w:p>
    <w:p w14:paraId="4105F72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Zakończenie działki roboczej należy wykonać w sposób i przy pomocy urządzeń zapewniających uzyskanie nieregularnej, szorstkiej powierzchni spoiny (przy pomocy wstawianej kantówki lub frezarki) oraz szorstkiego podłoża w rejonie planowanego złącza. </w:t>
      </w:r>
    </w:p>
    <w:p w14:paraId="1CE6B90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Niedopuszczalne jest posypywanie piaskiem jako sposobu na obniżenie sczepności warstw w rejonie końca działki roboczej oraz obcinanie piłą tarczową zimnej krawędzi działki. </w:t>
      </w:r>
    </w:p>
    <w:p w14:paraId="5A552E0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Zakończenie działki roboczej wykonuje się prostopadle do osi drogi. </w:t>
      </w:r>
    </w:p>
    <w:p w14:paraId="10D4101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Krawędź działki roboczej jest równocześnie krawędzią poprzeczną złącza. </w:t>
      </w:r>
    </w:p>
    <w:p w14:paraId="3279659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Złącza poprzeczne między działkami roboczymi układanych pasów kolejnych warstw technologicznych należy przesunąć względem siebie o co najmniej 3 m w kierunku podłużnym do osi jezdni. </w:t>
      </w:r>
    </w:p>
    <w:p w14:paraId="763B570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D.</w:t>
      </w:r>
      <w:r w:rsidRPr="00AD1E0F">
        <w:rPr>
          <w:rFonts w:ascii="Arial Narrow" w:eastAsia="Arial" w:hAnsi="Arial Narrow" w:cs="Arial"/>
          <w:sz w:val="20"/>
          <w:szCs w:val="20"/>
          <w:lang w:eastAsia="pl-PL"/>
        </w:rPr>
        <w:t xml:space="preserve"> </w:t>
      </w:r>
      <w:r w:rsidRPr="00AD1E0F">
        <w:rPr>
          <w:rFonts w:ascii="Arial Narrow" w:eastAsia="Arial" w:hAnsi="Arial Narrow" w:cs="Arial"/>
          <w:sz w:val="20"/>
          <w:szCs w:val="20"/>
          <w:lang w:eastAsia="pl-PL"/>
        </w:rPr>
        <w:tab/>
      </w:r>
      <w:r w:rsidRPr="00AD1E0F">
        <w:rPr>
          <w:rFonts w:ascii="Arial Narrow" w:eastAsia="Times New Roman" w:hAnsi="Arial Narrow" w:cs="Times New Roman"/>
          <w:sz w:val="20"/>
          <w:szCs w:val="20"/>
          <w:lang w:eastAsia="pl-PL"/>
        </w:rPr>
        <w:t xml:space="preserve">Sposób wykonywania spoin </w:t>
      </w:r>
    </w:p>
    <w:p w14:paraId="5D85929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Spoiny wykonuje się z użyciem materiałów wymienionych w punkcie 2.2.1. </w:t>
      </w:r>
    </w:p>
    <w:p w14:paraId="68555A6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Grubość elastycznej taśmy bitumicznej do spoin powinna wynosić: </w:t>
      </w:r>
    </w:p>
    <w:p w14:paraId="2D7B3B47"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nie mniej niż 10 mm w warstwie ścieralnej. </w:t>
      </w:r>
    </w:p>
    <w:p w14:paraId="6B9DDC4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Pasta powinna być nanoszona mechanicznie z zapewnieniem równomiernego jej rozprowadzenia na bocznej krawędzi w ilości 3 - 4 kg/m</w:t>
      </w:r>
      <w:r w:rsidRPr="00AD1E0F">
        <w:rPr>
          <w:rFonts w:ascii="Arial Narrow" w:eastAsia="Times New Roman" w:hAnsi="Arial Narrow" w:cs="Times New Roman"/>
          <w:sz w:val="20"/>
          <w:szCs w:val="20"/>
          <w:vertAlign w:val="superscript"/>
          <w:lang w:eastAsia="pl-PL"/>
        </w:rPr>
        <w:t>2</w:t>
      </w:r>
      <w:r w:rsidRPr="00AD1E0F">
        <w:rPr>
          <w:rFonts w:ascii="Arial Narrow" w:eastAsia="Times New Roman" w:hAnsi="Arial Narrow" w:cs="Times New Roman"/>
          <w:sz w:val="20"/>
          <w:szCs w:val="20"/>
          <w:lang w:eastAsia="pl-PL"/>
        </w:rPr>
        <w:t xml:space="preserve"> (warstwa o grubości 3 - 4 mm przy gęstości około 1,0 g/cm</w:t>
      </w:r>
      <w:r w:rsidRPr="00AD1E0F">
        <w:rPr>
          <w:rFonts w:ascii="Arial Narrow" w:eastAsia="Times New Roman" w:hAnsi="Arial Narrow" w:cs="Times New Roman"/>
          <w:sz w:val="20"/>
          <w:szCs w:val="20"/>
          <w:vertAlign w:val="superscript"/>
          <w:lang w:eastAsia="pl-PL"/>
        </w:rPr>
        <w:t>3</w:t>
      </w:r>
      <w:r w:rsidRPr="00AD1E0F">
        <w:rPr>
          <w:rFonts w:ascii="Arial Narrow" w:eastAsia="Times New Roman" w:hAnsi="Arial Narrow" w:cs="Times New Roman"/>
          <w:sz w:val="20"/>
          <w:szCs w:val="20"/>
          <w:lang w:eastAsia="pl-PL"/>
        </w:rPr>
        <w:t xml:space="preserve">). </w:t>
      </w:r>
    </w:p>
    <w:p w14:paraId="221930B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Wymagania dla wbudowywania zalew drogowych na gorąco: </w:t>
      </w:r>
    </w:p>
    <w:p w14:paraId="3B6EC5E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Zabrudzone szczeliny należy oczyścić za pomocą sprężonego powietrza. </w:t>
      </w:r>
    </w:p>
    <w:p w14:paraId="23AB1E9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Zimne  krawędzie winny uprzednio być posmarowane gruntownikiem wg zaleceń producenta zalewy drogowej na gorąco. Szczelinę należy zalać do pełna: z meniskiem wklęsłym w przypadku prac wykonywanych w niskich temperaturach otoczenia, bez menisku w przypadku prac wykonywanych w wysokich temperaturach. </w:t>
      </w:r>
    </w:p>
    <w:p w14:paraId="76C04683"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21" w:name="_Toc60620"/>
      <w:r w:rsidRPr="00AD1E0F">
        <w:rPr>
          <w:rFonts w:ascii="Arial Narrow" w:eastAsia="Times New Roman" w:hAnsi="Arial Narrow" w:cs="Times New Roman"/>
          <w:b/>
          <w:sz w:val="28"/>
          <w:szCs w:val="20"/>
          <w:lang w:val="x-none" w:eastAsia="x-none"/>
        </w:rPr>
        <w:t>5.9.</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Krawędzie zewnętrzne warstwy ścieralnej </w:t>
      </w:r>
      <w:bookmarkEnd w:id="721"/>
    </w:p>
    <w:p w14:paraId="495E056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Krawędzie zewnętrzne warstwy ścieralnej należy wykonać zgodnie z wymaganiami pkt. 7.7 WT-2 2016 – część II </w:t>
      </w:r>
    </w:p>
    <w:p w14:paraId="3701226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Po wykonaniu warstwy ścieralnej o jednostronnym nachyleniu jezdni należy uszczelnić wyżej położoną krawędź boczną. Niżej położona krawędź boczna powinna pozostać nieuszczelniona. </w:t>
      </w:r>
    </w:p>
    <w:p w14:paraId="4191537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Krawędź zewnętrzną oraz powierzchnię odsadzki poziomej należy zabezpieczyć przez pokrycie gorącym asfaltem w ilości: </w:t>
      </w:r>
    </w:p>
    <w:p w14:paraId="7F3B9660"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powierzchnie odsadzek  </w:t>
      </w:r>
      <w:r w:rsidRPr="00AD1E0F">
        <w:rPr>
          <w:rFonts w:ascii="Arial Narrow" w:eastAsia="Times New Roman" w:hAnsi="Arial Narrow" w:cs="Times New Roman"/>
          <w:sz w:val="20"/>
          <w:szCs w:val="20"/>
          <w:lang w:val="x-none" w:eastAsia="x-none"/>
        </w:rPr>
        <w:tab/>
        <w:t>- 1,5 kg/m</w:t>
      </w:r>
      <w:r w:rsidRPr="00AD1E0F">
        <w:rPr>
          <w:rFonts w:ascii="Arial Narrow" w:eastAsia="Times New Roman" w:hAnsi="Arial Narrow" w:cs="Times New Roman"/>
          <w:sz w:val="20"/>
          <w:szCs w:val="20"/>
          <w:vertAlign w:val="superscript"/>
          <w:lang w:val="x-none" w:eastAsia="x-none"/>
        </w:rPr>
        <w:t>2</w:t>
      </w:r>
      <w:r w:rsidRPr="00AD1E0F">
        <w:rPr>
          <w:rFonts w:ascii="Arial Narrow" w:eastAsia="Times New Roman" w:hAnsi="Arial Narrow" w:cs="Times New Roman"/>
          <w:sz w:val="20"/>
          <w:szCs w:val="20"/>
          <w:lang w:val="x-none" w:eastAsia="x-none"/>
        </w:rPr>
        <w:t xml:space="preserve"> </w:t>
      </w:r>
    </w:p>
    <w:p w14:paraId="2C04F024"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krawędzie zewnętrzne  </w:t>
      </w:r>
      <w:r w:rsidRPr="00AD1E0F">
        <w:rPr>
          <w:rFonts w:ascii="Arial Narrow" w:eastAsia="Times New Roman" w:hAnsi="Arial Narrow" w:cs="Times New Roman"/>
          <w:sz w:val="20"/>
          <w:szCs w:val="20"/>
          <w:lang w:val="x-none" w:eastAsia="x-none"/>
        </w:rPr>
        <w:tab/>
        <w:t>- 4 kg/m</w:t>
      </w:r>
      <w:r w:rsidRPr="00AD1E0F">
        <w:rPr>
          <w:rFonts w:ascii="Arial Narrow" w:eastAsia="Times New Roman" w:hAnsi="Arial Narrow" w:cs="Times New Roman"/>
          <w:sz w:val="20"/>
          <w:szCs w:val="20"/>
          <w:vertAlign w:val="superscript"/>
          <w:lang w:val="x-none" w:eastAsia="x-none"/>
        </w:rPr>
        <w:t>2</w:t>
      </w:r>
      <w:r w:rsidRPr="00AD1E0F">
        <w:rPr>
          <w:rFonts w:ascii="Arial Narrow" w:eastAsia="Times New Roman" w:hAnsi="Arial Narrow" w:cs="Times New Roman"/>
          <w:sz w:val="20"/>
          <w:szCs w:val="20"/>
          <w:lang w:val="x-none" w:eastAsia="x-none"/>
        </w:rPr>
        <w:t xml:space="preserve">, </w:t>
      </w:r>
    </w:p>
    <w:p w14:paraId="547D53F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zgodnie z rys. 1 pkt. 7.7 WT-2 2016 – część II. </w:t>
      </w:r>
    </w:p>
    <w:p w14:paraId="670A2D9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przypadku nawierzchni o dwustronnym nachyleniu (przekrój daszkowy)  decyzję o potrzebie i sposobie uszczelnienia krawędzi zewnętrznych podejmie Projektant w uzgodnieniu z Zamawiającym. </w:t>
      </w:r>
    </w:p>
    <w:p w14:paraId="0C8439C0" w14:textId="77777777" w:rsidR="00AD1E0F" w:rsidRPr="00AD1E0F" w:rsidRDefault="00AD1E0F" w:rsidP="00AD1E0F">
      <w:pPr>
        <w:keepNext/>
        <w:keepLines/>
        <w:tabs>
          <w:tab w:val="center" w:pos="2150"/>
        </w:tabs>
        <w:suppressAutoHyphens/>
        <w:overflowPunct w:val="0"/>
        <w:autoSpaceDE w:val="0"/>
        <w:autoSpaceDN w:val="0"/>
        <w:adjustRightInd w:val="0"/>
        <w:spacing w:after="163" w:line="240" w:lineRule="auto"/>
        <w:ind w:left="-3"/>
        <w:jc w:val="both"/>
        <w:textAlignment w:val="baseline"/>
        <w:outlineLvl w:val="0"/>
        <w:rPr>
          <w:rFonts w:ascii="Arial Narrow" w:eastAsia="Times New Roman" w:hAnsi="Arial Narrow" w:cs="Times New Roman"/>
          <w:b/>
          <w:caps/>
          <w:kern w:val="28"/>
          <w:sz w:val="28"/>
          <w:szCs w:val="20"/>
          <w:lang w:val="x-none" w:eastAsia="x-none"/>
        </w:rPr>
      </w:pPr>
      <w:bookmarkStart w:id="722" w:name="_Toc60621"/>
      <w:r w:rsidRPr="00AD1E0F">
        <w:rPr>
          <w:rFonts w:ascii="Arial Narrow" w:eastAsia="Times New Roman" w:hAnsi="Arial Narrow" w:cs="Times New Roman"/>
          <w:b/>
          <w:caps/>
          <w:kern w:val="28"/>
          <w:sz w:val="28"/>
          <w:szCs w:val="20"/>
          <w:lang w:val="x-none" w:eastAsia="x-none"/>
        </w:rPr>
        <w:t>6.</w:t>
      </w:r>
      <w:r w:rsidRPr="00AD1E0F">
        <w:rPr>
          <w:rFonts w:ascii="Arial Narrow" w:eastAsia="Arial" w:hAnsi="Arial Narrow" w:cs="Arial"/>
          <w:b/>
          <w:caps/>
          <w:kern w:val="28"/>
          <w:sz w:val="28"/>
          <w:szCs w:val="20"/>
          <w:lang w:val="x-none" w:eastAsia="x-none"/>
        </w:rPr>
        <w:t xml:space="preserve"> </w:t>
      </w:r>
      <w:r w:rsidRPr="00AD1E0F">
        <w:rPr>
          <w:rFonts w:ascii="Arial Narrow" w:eastAsia="Times New Roman" w:hAnsi="Arial Narrow" w:cs="Times New Roman"/>
          <w:b/>
          <w:caps/>
          <w:kern w:val="28"/>
          <w:sz w:val="28"/>
          <w:szCs w:val="20"/>
          <w:lang w:val="x-none" w:eastAsia="x-none"/>
        </w:rPr>
        <w:t xml:space="preserve">KONTROLA JAKOŚCI ROBÓT </w:t>
      </w:r>
      <w:bookmarkEnd w:id="722"/>
    </w:p>
    <w:p w14:paraId="47A83532"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23" w:name="_Toc60622"/>
      <w:r w:rsidRPr="00AD1E0F">
        <w:rPr>
          <w:rFonts w:ascii="Arial Narrow" w:eastAsia="Times New Roman" w:hAnsi="Arial Narrow" w:cs="Times New Roman"/>
          <w:b/>
          <w:sz w:val="28"/>
          <w:szCs w:val="20"/>
          <w:lang w:val="x-none" w:eastAsia="x-none"/>
        </w:rPr>
        <w:t>6.1.</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Ogólne wymagania dotyczące kontroli jakości robót </w:t>
      </w:r>
      <w:bookmarkEnd w:id="723"/>
    </w:p>
    <w:p w14:paraId="1B0D8CB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Ogólne zasady kontroli jakości robót podano w D-M-00.00.00 „Wymagania ogólne”. </w:t>
      </w:r>
    </w:p>
    <w:p w14:paraId="71DC223E" w14:textId="77777777" w:rsidR="00AD1E0F" w:rsidRPr="00AD1E0F" w:rsidRDefault="00AD1E0F" w:rsidP="00AD1E0F">
      <w:pPr>
        <w:overflowPunct w:val="0"/>
        <w:autoSpaceDE w:val="0"/>
        <w:autoSpaceDN w:val="0"/>
        <w:adjustRightInd w:val="0"/>
        <w:spacing w:after="125"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Badania mieszanki mineralno-asfaltowej należy wykonywać zgodnie z normami podanymi w pkt. 8.2.3 WT-2 2014 Nawierzchnie Asfaltowe (Tabela 18, 19 – dla mieszanki typu AC). </w:t>
      </w:r>
    </w:p>
    <w:p w14:paraId="251A959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Badania i pomiary dzielą się na: </w:t>
      </w:r>
    </w:p>
    <w:p w14:paraId="07E99F72"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badania i pomiary Wykonawcy – w ramach własnego nadzoru </w:t>
      </w:r>
    </w:p>
    <w:p w14:paraId="289686DF"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badania i pomiary kontrolne – w ramach nadzoru Zamawiającego. </w:t>
      </w:r>
    </w:p>
    <w:p w14:paraId="31C0E42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uzasadnionych przypadkach w ramach badań i pomiarów kontrolnych dopuszcza się wykonanie badań i pomiarów kontrolnych dodatkowych i/lub badań i pomiarów arbitrażowych. </w:t>
      </w:r>
    </w:p>
    <w:p w14:paraId="4FFE003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Badania obejmują: </w:t>
      </w:r>
    </w:p>
    <w:p w14:paraId="5E5B1977"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pobranie próbek, </w:t>
      </w:r>
    </w:p>
    <w:p w14:paraId="67ECE21D"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lastRenderedPageBreak/>
        <w:t xml:space="preserve">zapakowanie próbek do wysyłki, </w:t>
      </w:r>
    </w:p>
    <w:p w14:paraId="05AB645B"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transport próbek z miejsca pobrania do placówki wykonującej badania, </w:t>
      </w:r>
    </w:p>
    <w:p w14:paraId="1B35A72A"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przeprowadzenie badania, </w:t>
      </w:r>
    </w:p>
    <w:p w14:paraId="745AC142"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sprawozdanie z badań.  </w:t>
      </w:r>
    </w:p>
    <w:p w14:paraId="58B4FA5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Pomiary obejmują terenową weryfikację cech nawierzchni. </w:t>
      </w:r>
    </w:p>
    <w:p w14:paraId="31F57F27"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24" w:name="_Toc60623"/>
      <w:r w:rsidRPr="00AD1E0F">
        <w:rPr>
          <w:rFonts w:ascii="Arial Narrow" w:eastAsia="Times New Roman" w:hAnsi="Arial Narrow" w:cs="Times New Roman"/>
          <w:b/>
          <w:sz w:val="28"/>
          <w:szCs w:val="20"/>
          <w:lang w:val="x-none" w:eastAsia="x-none"/>
        </w:rPr>
        <w:t>6.2.</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Badania i pomiary Wykonawcy </w:t>
      </w:r>
      <w:bookmarkEnd w:id="724"/>
    </w:p>
    <w:p w14:paraId="321BCBF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Wykonawca jest zobowiązany do przeprowadzania na bieżąco badań i pomiarów w celu sprawdzania czy jakość wykonanych Robót jest zgodna z postawionymi wymaganiami.  </w:t>
      </w:r>
    </w:p>
    <w:p w14:paraId="6F6BAF0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STWiORB. Wyniki badań będą dokumentowane i archiwizowane przez Wykonawcę. Wyniki badań Wykonawca jest zobowiązany przekazywać Inżynierowi/Inspektorowi Nadzoru. </w:t>
      </w:r>
    </w:p>
    <w:p w14:paraId="112738A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Zakres badań i pomiarów Wykonawcy powinien: </w:t>
      </w:r>
    </w:p>
    <w:p w14:paraId="28B60C1B"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być nie mniejszy niż określony w Zakładowej Kontroli Produkcji dla dostarczanych na budowę materiałów i wyrobów budowlanych - mieszanki mineralno-asfaltowe, kruszywa, lepiszcze, materiały do uszczelnień, itd., </w:t>
      </w:r>
    </w:p>
    <w:p w14:paraId="6AFB37AE"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dla wykonanej warstwy być nie mniejszy niż określony zakres i częstotliwość badań i pomiarów kontrolnych określony w tab. 7.  </w:t>
      </w:r>
    </w:p>
    <w:p w14:paraId="4294002D"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Zakres badań Wykonawcy związany z wykonywaniem nawierzchni: </w:t>
      </w:r>
    </w:p>
    <w:p w14:paraId="42D7A2D4"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pomiar temperatury powietrza, </w:t>
      </w:r>
    </w:p>
    <w:p w14:paraId="658E68BE"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pomiar temperatury mieszanki mineralno-asfaltowej podczas wykonywania nawierzchni, </w:t>
      </w:r>
    </w:p>
    <w:p w14:paraId="2355370A"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ocena wizualna mieszanki mineralno-asfaltowej, </w:t>
      </w:r>
    </w:p>
    <w:p w14:paraId="172D3155"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wykaz ilości materiałów lub grubości wykonanych warstw, </w:t>
      </w:r>
    </w:p>
    <w:p w14:paraId="3BCA5449"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pomiar spadku poprzecznego poszczególnych warstw asfaltowych, </w:t>
      </w:r>
    </w:p>
    <w:p w14:paraId="5C103628"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pomiar równości warstwy ścieralnej, </w:t>
      </w:r>
    </w:p>
    <w:p w14:paraId="74FA7ADD"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pomiar właściwości przeciwpoślizgowych, </w:t>
      </w:r>
    </w:p>
    <w:p w14:paraId="4848646D"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pomiar rzędnych wysokościowych i pomiary sytuacyjne, </w:t>
      </w:r>
    </w:p>
    <w:p w14:paraId="1C41720E"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badania zagęszczenia warstwy i zawartości wolnej przestrzeni, </w:t>
      </w:r>
    </w:p>
    <w:p w14:paraId="15C14F5E"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pomiar sczepności warstw asfaltowych </w:t>
      </w:r>
    </w:p>
    <w:p w14:paraId="340E792E"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ocena wizualna jednorodności powierzchni warstwy, </w:t>
      </w:r>
    </w:p>
    <w:p w14:paraId="2A4B9DBF"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ocena wizualna jakości wykonania połączeń technologicznych. </w:t>
      </w:r>
    </w:p>
    <w:p w14:paraId="31EF7F8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Tabela 7. Minimalna częstotliwość badań ze strony Wykonawcy dla warstwy ścieralnej </w:t>
      </w:r>
    </w:p>
    <w:tbl>
      <w:tblPr>
        <w:tblW w:w="8956" w:type="dxa"/>
        <w:tblInd w:w="125" w:type="dxa"/>
        <w:tblCellMar>
          <w:right w:w="115" w:type="dxa"/>
        </w:tblCellMar>
        <w:tblLook w:val="04A0" w:firstRow="1" w:lastRow="0" w:firstColumn="1" w:lastColumn="0" w:noHBand="0" w:noVBand="1"/>
      </w:tblPr>
      <w:tblGrid>
        <w:gridCol w:w="614"/>
        <w:gridCol w:w="2593"/>
        <w:gridCol w:w="2717"/>
        <w:gridCol w:w="3032"/>
      </w:tblGrid>
      <w:tr w:rsidR="00AD1E0F" w:rsidRPr="00AD1E0F" w14:paraId="0AC4B412" w14:textId="77777777" w:rsidTr="00855929">
        <w:trPr>
          <w:trHeight w:val="530"/>
        </w:trPr>
        <w:tc>
          <w:tcPr>
            <w:tcW w:w="6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FC416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Lp.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65BA5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Badana cecha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AACF7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Metoda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E4ACC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Częstotliwość </w:t>
            </w:r>
          </w:p>
        </w:tc>
      </w:tr>
    </w:tbl>
    <w:p w14:paraId="373CDA5A" w14:textId="77777777" w:rsidR="00AD1E0F" w:rsidRPr="00AD1E0F" w:rsidRDefault="00AD1E0F" w:rsidP="00AD1E0F">
      <w:pPr>
        <w:overflowPunct w:val="0"/>
        <w:autoSpaceDE w:val="0"/>
        <w:autoSpaceDN w:val="0"/>
        <w:adjustRightInd w:val="0"/>
        <w:spacing w:after="0"/>
        <w:ind w:left="-1404" w:right="8" w:firstLine="709"/>
        <w:textAlignment w:val="baseline"/>
        <w:rPr>
          <w:rFonts w:ascii="Arial Narrow" w:eastAsia="Times New Roman" w:hAnsi="Arial Narrow" w:cs="Times New Roman"/>
          <w:sz w:val="20"/>
          <w:szCs w:val="20"/>
          <w:lang w:eastAsia="pl-PL"/>
        </w:rPr>
      </w:pPr>
    </w:p>
    <w:tbl>
      <w:tblPr>
        <w:tblW w:w="8956" w:type="dxa"/>
        <w:tblInd w:w="125" w:type="dxa"/>
        <w:tblCellMar>
          <w:top w:w="170" w:type="dxa"/>
          <w:bottom w:w="3" w:type="dxa"/>
          <w:right w:w="42" w:type="dxa"/>
        </w:tblCellMar>
        <w:tblLook w:val="04A0" w:firstRow="1" w:lastRow="0" w:firstColumn="1" w:lastColumn="0" w:noHBand="0" w:noVBand="1"/>
      </w:tblPr>
      <w:tblGrid>
        <w:gridCol w:w="614"/>
        <w:gridCol w:w="2593"/>
        <w:gridCol w:w="2717"/>
        <w:gridCol w:w="3032"/>
      </w:tblGrid>
      <w:tr w:rsidR="00AD1E0F" w:rsidRPr="00AD1E0F" w14:paraId="1ECAE450" w14:textId="77777777" w:rsidTr="00855929">
        <w:trPr>
          <w:trHeight w:val="500"/>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349170E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Verdana" w:hAnsi="Arial Narrow" w:cs="Times New Roman"/>
                <w:sz w:val="20"/>
              </w:rPr>
              <w:t xml:space="preserve">1.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A64A2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Verdana" w:hAnsi="Arial Narrow" w:cs="Times New Roman"/>
                <w:sz w:val="20"/>
              </w:rPr>
              <w:t>Zagęszczenie MMA</w:t>
            </w:r>
            <w:r w:rsidRPr="00AD1E0F">
              <w:rPr>
                <w:rFonts w:ascii="Arial Narrow" w:eastAsia="Times New Roman" w:hAnsi="Arial Narrow" w:cs="Times New Roman"/>
                <w:sz w:val="20"/>
              </w:rPr>
              <w:t xml:space="preserve"> oraz zawartość wolnych przestrzeni w warstwie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7899E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Porównanie gęstości objętościowej referencyjnej do rzeczywistej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B43E6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- 2 razy na kilometr każdego pasa ruchu </w:t>
            </w:r>
          </w:p>
        </w:tc>
      </w:tr>
      <w:tr w:rsidR="00AD1E0F" w:rsidRPr="00AD1E0F" w14:paraId="5517D118" w14:textId="77777777" w:rsidTr="00855929">
        <w:trPr>
          <w:trHeight w:val="485"/>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68A5A44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Verdana" w:hAnsi="Arial Narrow" w:cs="Times New Roman"/>
                <w:sz w:val="20"/>
              </w:rPr>
              <w:t xml:space="preserve">2.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D3CF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Verdana" w:hAnsi="Arial Narrow" w:cs="Times New Roman"/>
                <w:sz w:val="20"/>
              </w:rPr>
              <w:t>Sczepność</w:t>
            </w:r>
            <w:r w:rsidRPr="00AD1E0F">
              <w:rPr>
                <w:rFonts w:ascii="Arial Narrow" w:eastAsia="Times New Roman" w:hAnsi="Arial Narrow" w:cs="Times New Roman"/>
                <w:sz w:val="20"/>
              </w:rPr>
              <w:t xml:space="preserve"> warstw asfaltowych dla dróg KR </w:t>
            </w:r>
          </w:p>
          <w:p w14:paraId="6C38E0D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4-7 </w:t>
            </w:r>
          </w:p>
        </w:tc>
        <w:tc>
          <w:tcPr>
            <w:tcW w:w="2717" w:type="dxa"/>
            <w:tcBorders>
              <w:top w:val="single" w:sz="4" w:space="0" w:color="000000"/>
              <w:left w:val="single" w:sz="4" w:space="0" w:color="000000"/>
              <w:bottom w:val="single" w:sz="4" w:space="0" w:color="000000"/>
              <w:right w:val="single" w:sz="4" w:space="0" w:color="000000"/>
            </w:tcBorders>
            <w:shd w:val="clear" w:color="auto" w:fill="auto"/>
          </w:tcPr>
          <w:p w14:paraId="5D17784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Metoda Leutnera </w:t>
            </w:r>
          </w:p>
        </w:tc>
        <w:tc>
          <w:tcPr>
            <w:tcW w:w="3032" w:type="dxa"/>
            <w:tcBorders>
              <w:top w:val="single" w:sz="4" w:space="0" w:color="000000"/>
              <w:left w:val="single" w:sz="4" w:space="0" w:color="000000"/>
              <w:bottom w:val="single" w:sz="4" w:space="0" w:color="000000"/>
              <w:right w:val="single" w:sz="4" w:space="0" w:color="000000"/>
            </w:tcBorders>
            <w:shd w:val="clear" w:color="auto" w:fill="auto"/>
          </w:tcPr>
          <w:p w14:paraId="686DBDD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- 2 razy na kilometr każdego pasa ruchu</w:t>
            </w:r>
          </w:p>
        </w:tc>
      </w:tr>
      <w:tr w:rsidR="00AD1E0F" w:rsidRPr="00AD1E0F" w14:paraId="555E0A39" w14:textId="77777777" w:rsidTr="00855929">
        <w:trPr>
          <w:trHeight w:val="880"/>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0DBD5B3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Verdana" w:hAnsi="Arial Narrow" w:cs="Times New Roman"/>
                <w:sz w:val="20"/>
              </w:rPr>
              <w:t xml:space="preserve">3. </w:t>
            </w:r>
          </w:p>
        </w:tc>
        <w:tc>
          <w:tcPr>
            <w:tcW w:w="2593" w:type="dxa"/>
            <w:tcBorders>
              <w:top w:val="single" w:sz="4" w:space="0" w:color="000000"/>
              <w:left w:val="single" w:sz="4" w:space="0" w:color="000000"/>
              <w:bottom w:val="single" w:sz="4" w:space="0" w:color="000000"/>
              <w:right w:val="single" w:sz="4" w:space="0" w:color="000000"/>
            </w:tcBorders>
            <w:shd w:val="clear" w:color="auto" w:fill="auto"/>
          </w:tcPr>
          <w:p w14:paraId="34610A1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Verdana" w:hAnsi="Arial Narrow" w:cs="Times New Roman"/>
                <w:sz w:val="20"/>
              </w:rPr>
              <w:t>Grubość</w:t>
            </w:r>
            <w:r w:rsidRPr="00AD1E0F">
              <w:rPr>
                <w:rFonts w:ascii="Arial Narrow" w:eastAsia="Times New Roman" w:hAnsi="Arial Narrow" w:cs="Times New Roman"/>
                <w:sz w:val="20"/>
              </w:rPr>
              <w:t xml:space="preserve"> (grubości poszczególnych warstw i grubość pakietu warstw asfaltowych)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CE297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Rzędne wysokościowe, </w:t>
            </w:r>
          </w:p>
          <w:p w14:paraId="451AA5A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p w14:paraId="2A51100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Przymiarem na wyciętych próbach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E147D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nie rzadziej niż co 50 m  </w:t>
            </w:r>
          </w:p>
          <w:p w14:paraId="178D044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p>
          <w:p w14:paraId="17E8F79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2 razy na kilometr każdej jezdni, nie   rzadziej niż 1 raz </w:t>
            </w:r>
          </w:p>
          <w:p w14:paraId="5F6F8C1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na 6000 m</w:t>
            </w:r>
            <w:r w:rsidRPr="00AD1E0F">
              <w:rPr>
                <w:rFonts w:ascii="Arial Narrow" w:eastAsia="Times New Roman" w:hAnsi="Arial Narrow" w:cs="Times New Roman"/>
                <w:sz w:val="20"/>
                <w:vertAlign w:val="superscript"/>
              </w:rPr>
              <w:t>2</w:t>
            </w:r>
            <w:r w:rsidRPr="00AD1E0F">
              <w:rPr>
                <w:rFonts w:ascii="Arial Narrow" w:eastAsia="Times New Roman" w:hAnsi="Arial Narrow" w:cs="Times New Roman"/>
                <w:sz w:val="20"/>
              </w:rPr>
              <w:t xml:space="preserve"> </w:t>
            </w:r>
          </w:p>
        </w:tc>
      </w:tr>
      <w:tr w:rsidR="00AD1E0F" w:rsidRPr="00AD1E0F" w14:paraId="6F3F58B7" w14:textId="77777777" w:rsidTr="00855929">
        <w:trPr>
          <w:trHeight w:val="24"/>
        </w:trPr>
        <w:tc>
          <w:tcPr>
            <w:tcW w:w="6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BB0B9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Verdana" w:hAnsi="Arial Narrow" w:cs="Times New Roman"/>
                <w:sz w:val="20"/>
              </w:rPr>
              <w:t>4.</w:t>
            </w:r>
            <w:r w:rsidRPr="00AD1E0F">
              <w:rPr>
                <w:rFonts w:ascii="Arial Narrow" w:eastAsia="Times New Roman" w:hAnsi="Arial Narrow" w:cs="Times New Roman"/>
                <w:sz w:val="20"/>
              </w:rPr>
              <w:t xml:space="preserve">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B791D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Verdana" w:hAnsi="Arial Narrow" w:cs="Times New Roman"/>
                <w:sz w:val="20"/>
              </w:rPr>
              <w:t>Równość podłużna</w:t>
            </w:r>
            <w:r w:rsidRPr="00AD1E0F">
              <w:rPr>
                <w:rFonts w:ascii="Arial Narrow" w:eastAsia="Times New Roman" w:hAnsi="Arial Narrow" w:cs="Times New Roman"/>
                <w:sz w:val="20"/>
              </w:rPr>
              <w:t xml:space="preserve">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63C37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4EB9E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 </w:t>
            </w:r>
          </w:p>
        </w:tc>
      </w:tr>
      <w:tr w:rsidR="00AD1E0F" w:rsidRPr="00AD1E0F" w14:paraId="0D70E4FC" w14:textId="77777777" w:rsidTr="00855929">
        <w:trPr>
          <w:trHeight w:val="395"/>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6C3B575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4.1. </w:t>
            </w:r>
          </w:p>
        </w:tc>
        <w:tc>
          <w:tcPr>
            <w:tcW w:w="2593" w:type="dxa"/>
            <w:tcBorders>
              <w:top w:val="single" w:sz="4" w:space="0" w:color="000000"/>
              <w:left w:val="single" w:sz="4" w:space="0" w:color="000000"/>
              <w:bottom w:val="single" w:sz="4" w:space="0" w:color="000000"/>
              <w:right w:val="single" w:sz="4" w:space="0" w:color="000000"/>
            </w:tcBorders>
            <w:shd w:val="clear" w:color="auto" w:fill="auto"/>
          </w:tcPr>
          <w:p w14:paraId="3B92B65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Klasy dróg:  GP,G, Z,L,D</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6A0CB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metrową łatą i klinem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7570B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 w sposób ciągły (początek każdego   pomiaru łatą w  miejscu zakończenia  poprzedniego pomiaru)</w:t>
            </w:r>
          </w:p>
        </w:tc>
      </w:tr>
      <w:tr w:rsidR="00AD1E0F" w:rsidRPr="00AD1E0F" w14:paraId="0D43CC4D" w14:textId="77777777" w:rsidTr="00855929">
        <w:trPr>
          <w:trHeight w:val="57"/>
        </w:trPr>
        <w:tc>
          <w:tcPr>
            <w:tcW w:w="6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0D513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Verdana" w:hAnsi="Arial Narrow" w:cs="Times New Roman"/>
                <w:sz w:val="20"/>
              </w:rPr>
              <w:t xml:space="preserve">5.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F28C1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Verdana" w:hAnsi="Arial Narrow" w:cs="Times New Roman"/>
                <w:sz w:val="20"/>
              </w:rPr>
              <w:t xml:space="preserve">Równość poprzeczna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F6378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C638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 </w:t>
            </w:r>
          </w:p>
        </w:tc>
      </w:tr>
      <w:tr w:rsidR="00AD1E0F" w:rsidRPr="00AD1E0F" w14:paraId="06D97EDE" w14:textId="77777777" w:rsidTr="00855929">
        <w:trPr>
          <w:trHeight w:val="333"/>
        </w:trPr>
        <w:tc>
          <w:tcPr>
            <w:tcW w:w="6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0162A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5.1.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32F28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Wszystkie klasy dróg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8F8FC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2 metrową łatą i klinem</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88C3BA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nie rzadziej niż co 5 m</w:t>
            </w:r>
          </w:p>
        </w:tc>
      </w:tr>
      <w:tr w:rsidR="00AD1E0F" w:rsidRPr="00AD1E0F" w14:paraId="13BF353B" w14:textId="77777777" w:rsidTr="00855929">
        <w:trPr>
          <w:trHeight w:val="570"/>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60E4AE2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Verdana" w:hAnsi="Arial Narrow" w:cs="Times New Roman"/>
                <w:sz w:val="20"/>
              </w:rPr>
              <w:t xml:space="preserve">6. </w:t>
            </w:r>
          </w:p>
        </w:tc>
        <w:tc>
          <w:tcPr>
            <w:tcW w:w="2593" w:type="dxa"/>
            <w:tcBorders>
              <w:top w:val="single" w:sz="4" w:space="0" w:color="000000"/>
              <w:left w:val="single" w:sz="4" w:space="0" w:color="000000"/>
              <w:bottom w:val="single" w:sz="4" w:space="0" w:color="000000"/>
              <w:right w:val="single" w:sz="4" w:space="0" w:color="000000"/>
            </w:tcBorders>
            <w:shd w:val="clear" w:color="auto" w:fill="auto"/>
          </w:tcPr>
          <w:p w14:paraId="3FFA5ED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Verdana" w:hAnsi="Arial Narrow" w:cs="Times New Roman"/>
                <w:sz w:val="20"/>
              </w:rPr>
              <w:t xml:space="preserve">Spadki poprzeczne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15594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- 2 metrową łatą i pochyłomierzem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50F370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50 razy na 1 km dodatkowe pomiary w punktach głównych łuków poziomych </w:t>
            </w:r>
          </w:p>
        </w:tc>
      </w:tr>
      <w:tr w:rsidR="00AD1E0F" w:rsidRPr="00AD1E0F" w14:paraId="768D34D0" w14:textId="77777777" w:rsidTr="00855929">
        <w:trPr>
          <w:trHeight w:val="413"/>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2969E49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Verdana" w:hAnsi="Arial Narrow" w:cs="Times New Roman"/>
                <w:sz w:val="20"/>
              </w:rPr>
              <w:lastRenderedPageBreak/>
              <w:t xml:space="preserve">7.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7230C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Verdana" w:hAnsi="Arial Narrow" w:cs="Times New Roman"/>
                <w:sz w:val="20"/>
              </w:rPr>
              <w:t xml:space="preserve">Właściwości przeciwpoślizgowe </w:t>
            </w:r>
          </w:p>
          <w:p w14:paraId="5DC5C1D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Klasy dróg:  GP,G</w:t>
            </w:r>
            <w:r w:rsidRPr="00AD1E0F">
              <w:rPr>
                <w:rFonts w:ascii="Arial Narrow" w:eastAsia="Verdana" w:hAnsi="Arial Narrow" w:cs="Times New Roman"/>
                <w:sz w:val="20"/>
              </w:rPr>
              <w:t xml:space="preserve">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AA51D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Urządzeniem SRT-3 lub równoważnym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F134F5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każdy pas układania warstwy,  </w:t>
            </w:r>
          </w:p>
          <w:p w14:paraId="32D6D3E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pomiar co 50 m </w:t>
            </w:r>
          </w:p>
        </w:tc>
      </w:tr>
      <w:tr w:rsidR="00AD1E0F" w:rsidRPr="00AD1E0F" w14:paraId="3337189D" w14:textId="77777777" w:rsidTr="00855929">
        <w:trPr>
          <w:trHeight w:val="54"/>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22300A3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Verdana" w:hAnsi="Arial Narrow" w:cs="Times New Roman"/>
                <w:sz w:val="20"/>
              </w:rPr>
              <w:t xml:space="preserve">8. </w:t>
            </w:r>
          </w:p>
        </w:tc>
        <w:tc>
          <w:tcPr>
            <w:tcW w:w="2593" w:type="dxa"/>
            <w:tcBorders>
              <w:top w:val="single" w:sz="4" w:space="0" w:color="000000"/>
              <w:left w:val="single" w:sz="4" w:space="0" w:color="000000"/>
              <w:bottom w:val="single" w:sz="4" w:space="0" w:color="000000"/>
              <w:right w:val="single" w:sz="4" w:space="0" w:color="000000"/>
            </w:tcBorders>
            <w:shd w:val="clear" w:color="auto" w:fill="auto"/>
          </w:tcPr>
          <w:p w14:paraId="2804ED8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Verdana" w:hAnsi="Arial Narrow" w:cs="Times New Roman"/>
                <w:sz w:val="20"/>
              </w:rPr>
              <w:t xml:space="preserve">Szerokość warstwy </w:t>
            </w:r>
          </w:p>
        </w:tc>
        <w:tc>
          <w:tcPr>
            <w:tcW w:w="2717" w:type="dxa"/>
            <w:tcBorders>
              <w:top w:val="single" w:sz="4" w:space="0" w:color="000000"/>
              <w:left w:val="single" w:sz="4" w:space="0" w:color="000000"/>
              <w:bottom w:val="single" w:sz="4" w:space="0" w:color="000000"/>
              <w:right w:val="single" w:sz="4" w:space="0" w:color="000000"/>
            </w:tcBorders>
            <w:shd w:val="clear" w:color="auto" w:fill="auto"/>
          </w:tcPr>
          <w:p w14:paraId="6018E5B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Taśmą mierniczą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631E55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rPr>
            </w:pPr>
            <w:r w:rsidRPr="00AD1E0F">
              <w:rPr>
                <w:rFonts w:ascii="Arial Narrow" w:eastAsia="Times New Roman" w:hAnsi="Arial Narrow" w:cs="Times New Roman"/>
                <w:sz w:val="20"/>
              </w:rPr>
              <w:t xml:space="preserve">- pomiar co 50 m, na łukach poziomych w punktach  charakterystycznych </w:t>
            </w:r>
          </w:p>
        </w:tc>
      </w:tr>
    </w:tbl>
    <w:p w14:paraId="63B7FDC0" w14:textId="77777777" w:rsidR="00AD1E0F" w:rsidRPr="00AD1E0F" w:rsidRDefault="00AD1E0F" w:rsidP="00AD1E0F">
      <w:pPr>
        <w:overflowPunct w:val="0"/>
        <w:autoSpaceDE w:val="0"/>
        <w:autoSpaceDN w:val="0"/>
        <w:adjustRightInd w:val="0"/>
        <w:spacing w:after="164"/>
        <w:ind w:left="12" w:firstLine="709"/>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t>
      </w:r>
    </w:p>
    <w:p w14:paraId="248E89DD"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25" w:name="_Toc60624"/>
      <w:r w:rsidRPr="00AD1E0F">
        <w:rPr>
          <w:rFonts w:ascii="Arial Narrow" w:eastAsia="Times New Roman" w:hAnsi="Arial Narrow" w:cs="Times New Roman"/>
          <w:b/>
          <w:sz w:val="28"/>
          <w:szCs w:val="20"/>
          <w:lang w:val="x-none" w:eastAsia="x-none"/>
        </w:rPr>
        <w:t>6.3.</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Badania i pomiary kontrolne </w:t>
      </w:r>
      <w:bookmarkEnd w:id="725"/>
    </w:p>
    <w:p w14:paraId="0B4BB85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Badania i pomiary kontrolne są zlecane przez Inżyniera/Inspektora Nadzoru, a których celem jest sprawdzenie, czy jakość zastosowanych materiałów i wyrobów budowlanych (mieszanek mineralno-asfaltowych i ich składników, lepiszczy i materiałów do uszczelnień itp.) oraz gotowej warstwy (wbudowane warstwy asfaltowe, połączenia itp.) spełniają wymagania określone w kontrakcie.   </w:t>
      </w:r>
    </w:p>
    <w:p w14:paraId="72EB4E9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Pobieraniem próbek, wykonaniem badań i pomiarów na miejscu budowy zajmuje się Laboratorium Zamawiającego/Inżynier/Inspektor Nadzoru przy udziale lub po poinformowaniu przedstawicieli Wykonawcy. Zamawiający decyduje o wyborze Laboratorium Zamawiającego. </w:t>
      </w:r>
    </w:p>
    <w:p w14:paraId="483231FF"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26" w:name="_Toc60625"/>
      <w:r w:rsidRPr="00AD1E0F">
        <w:rPr>
          <w:rFonts w:ascii="Arial Narrow" w:eastAsia="Times New Roman" w:hAnsi="Arial Narrow" w:cs="Times New Roman"/>
          <w:b/>
          <w:sz w:val="28"/>
          <w:szCs w:val="20"/>
          <w:lang w:val="x-none" w:eastAsia="x-none"/>
        </w:rPr>
        <w:t>6.4.</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Badania i pomiary kontrolne dodatkowe </w:t>
      </w:r>
      <w:bookmarkEnd w:id="726"/>
    </w:p>
    <w:p w14:paraId="48B4E05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wypadku uznania, że jeden z wyników badań lub pomiarów kontrolnych nie jest reprezentatywny dla ocenianego odcinka budowy, strony kontraktu mogą wystąpić o przeprowadzenia badań lub pomiarów kontrolnych dodatkowych. Badania kontrolne dodatkowe są wykonywane przez Laboratorium Zamawiającego. </w:t>
      </w:r>
    </w:p>
    <w:p w14:paraId="5E0E9E1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Strony Kontraktu decydują wspólnie o miejscach pobierania próbek i wyznaczeniu odcinków częściowych ocenianego odcinka budowy tzn. dziennej działki roboczej. Jeżeli odcinek częściowy przyporządkowany do badań kontrolnych nie może być jednoznacznie i zgodnie wyznaczony, to odcinek ten nie powinien być mniejszy niż 20% ocenianego odcinka budowy. </w:t>
      </w:r>
    </w:p>
    <w:p w14:paraId="71D33B81"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27" w:name="_Toc60626"/>
      <w:r w:rsidRPr="00AD1E0F">
        <w:rPr>
          <w:rFonts w:ascii="Arial Narrow" w:eastAsia="Times New Roman" w:hAnsi="Arial Narrow" w:cs="Times New Roman"/>
          <w:b/>
          <w:sz w:val="28"/>
          <w:szCs w:val="20"/>
          <w:lang w:val="x-none" w:eastAsia="x-none"/>
        </w:rPr>
        <w:t>6.5.</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Badania i pomiary arbitrażowe </w:t>
      </w:r>
      <w:bookmarkEnd w:id="727"/>
    </w:p>
    <w:p w14:paraId="4F9EC6B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Badania i pomiary arbitrażowe są powtórzeniem badań lub pomiarów kontrolnych i/lub kontrolnych dodatkowych, co do których istnieją uzasadnione wątpliwości ze strony Inżyniera/Inspektora Nadzoru, Zamawiającego lub Wykonawcy (np. na podstawie własnych badań). </w:t>
      </w:r>
    </w:p>
    <w:p w14:paraId="19392D7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Badania i pomiary arbitrażowe wykonuje się na wniosek strony kontraktu. Badania i pomiary arbitrażowe wykonuje bezstronne, akredytowane laboratorium, które nie wykonywało badań lub pomiarów kontrolnych, przy udziale lub po poinformowaniu przedstawicieli stron. </w:t>
      </w:r>
    </w:p>
    <w:p w14:paraId="4192452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przypadku wniosku Wykonawcy zgodę na przeprowadzenie badań i pomiarów arbitrażowych wyraża Inżynier/Inspektor Nadzoru po wcześniejszej analizie zasadności wniosku. Zamawiający akceptuje laboratorium, które przeprowadzi badania lub pomiary arbitrażowe.  </w:t>
      </w:r>
    </w:p>
    <w:p w14:paraId="237322D0"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28" w:name="_Toc60627"/>
      <w:r w:rsidRPr="00AD1E0F">
        <w:rPr>
          <w:rFonts w:ascii="Arial Narrow" w:eastAsia="Times New Roman" w:hAnsi="Arial Narrow" w:cs="Times New Roman"/>
          <w:b/>
          <w:sz w:val="28"/>
          <w:szCs w:val="20"/>
          <w:lang w:val="x-none" w:eastAsia="x-none"/>
        </w:rPr>
        <w:t>6.6.</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Badania i pomiary przed przystąpieniem do robót </w:t>
      </w:r>
      <w:bookmarkEnd w:id="728"/>
    </w:p>
    <w:p w14:paraId="130B49E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Przed przystąpieniem do robót Wykonawca powinien przedstawić Inżynierowi/Inspektorowi Nadzoru do akceptacji źródła poboru kruszyw oraz wszystkich dodatkowych materiałów, dołączając wszystkie dokumenty potwierdzające jakość materiałów składowych. </w:t>
      </w:r>
    </w:p>
    <w:p w14:paraId="331EC935" w14:textId="77777777" w:rsidR="00AD1E0F" w:rsidRPr="00AD1E0F" w:rsidRDefault="00AD1E0F" w:rsidP="00AD1E0F">
      <w:pPr>
        <w:keepNext/>
        <w:shd w:val="clear" w:color="auto" w:fill="BFBFBF"/>
        <w:overflowPunct w:val="0"/>
        <w:autoSpaceDE w:val="0"/>
        <w:autoSpaceDN w:val="0"/>
        <w:adjustRightInd w:val="0"/>
        <w:spacing w:after="159" w:line="240" w:lineRule="auto"/>
        <w:ind w:left="7"/>
        <w:jc w:val="both"/>
        <w:textAlignment w:val="baseline"/>
        <w:outlineLvl w:val="1"/>
        <w:rPr>
          <w:rFonts w:ascii="Arial Narrow" w:eastAsia="Times New Roman" w:hAnsi="Arial Narrow" w:cs="Times New Roman"/>
          <w:b/>
          <w:sz w:val="28"/>
          <w:szCs w:val="20"/>
          <w:lang w:val="x-none" w:eastAsia="x-none"/>
        </w:rPr>
      </w:pPr>
      <w:bookmarkStart w:id="729" w:name="_Toc60628"/>
      <w:r w:rsidRPr="00AD1E0F">
        <w:rPr>
          <w:rFonts w:ascii="Arial Narrow" w:eastAsia="Times New Roman" w:hAnsi="Arial Narrow" w:cs="Times New Roman"/>
          <w:b/>
          <w:sz w:val="28"/>
          <w:szCs w:val="20"/>
          <w:lang w:val="x-none" w:eastAsia="x-none"/>
        </w:rPr>
        <w:t>6.7.</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Badania w czasie robót </w:t>
      </w:r>
      <w:bookmarkEnd w:id="729"/>
    </w:p>
    <w:p w14:paraId="3F19C920"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6.7.1.</w:t>
      </w:r>
      <w:r w:rsidRPr="00AD1E0F">
        <w:rPr>
          <w:rFonts w:ascii="Arial Narrow" w:eastAsia="Arial" w:hAnsi="Arial Narrow" w:cs="Times New Roman"/>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Zawartość lepiszcza rozpuszczalnego </w:t>
      </w:r>
    </w:p>
    <w:p w14:paraId="5B45A66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Badanie polega na wykonaniu ekstrakcji lepiszcza, zgodnie PN-EN 12697-1, z próbki pobranej z mieszanki mineralno-asfaltowej.  </w:t>
      </w:r>
    </w:p>
    <w:p w14:paraId="1A0E2FE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Jakości wbudowanej mieszanki mineralno-asfaltowej należy ocenić na podstawie: </w:t>
      </w:r>
    </w:p>
    <w:p w14:paraId="2D4FE937"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wielkości odchyłki obliczonej dla wartości średniej (średnia arytmetyczna wszystkich wyników z całej drogi dla danego typu MMA i danej warstwy asfaltowej) z dokładnością do 0,01 %, </w:t>
      </w:r>
    </w:p>
    <w:p w14:paraId="6DB29CF9"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wielkości odchyłki obliczonej dla pojedynczego wyniku (próbki) z dokładnością do 0,1 %. </w:t>
      </w:r>
    </w:p>
    <w:p w14:paraId="783CECEC" w14:textId="77777777" w:rsidR="00AD1E0F" w:rsidRPr="00AD1E0F" w:rsidRDefault="00AD1E0F" w:rsidP="00AD1E0F">
      <w:pPr>
        <w:overflowPunct w:val="0"/>
        <w:autoSpaceDE w:val="0"/>
        <w:autoSpaceDN w:val="0"/>
        <w:adjustRightInd w:val="0"/>
        <w:spacing w:after="133" w:line="240" w:lineRule="auto"/>
        <w:ind w:left="7" w:firstLine="709"/>
        <w:textAlignment w:val="baseline"/>
        <w:rPr>
          <w:rFonts w:ascii="Arial Narrow" w:eastAsia="Times New Roman" w:hAnsi="Arial Narrow" w:cs="Times New Roman"/>
          <w:sz w:val="20"/>
          <w:szCs w:val="20"/>
          <w:lang w:eastAsia="pl-PL"/>
        </w:rPr>
      </w:pPr>
      <w:r w:rsidRPr="00AD1E0F">
        <w:rPr>
          <w:rFonts w:ascii="Arial Narrow" w:eastAsia="Verdana" w:hAnsi="Arial Narrow" w:cs="Verdana"/>
          <w:b/>
          <w:sz w:val="20"/>
          <w:szCs w:val="20"/>
          <w:lang w:eastAsia="pl-PL"/>
        </w:rPr>
        <w:t>Wyżej wymienione kryteria należy stosować jednocześnie</w:t>
      </w:r>
      <w:r w:rsidRPr="00AD1E0F">
        <w:rPr>
          <w:rFonts w:ascii="Arial Narrow" w:eastAsia="Times New Roman" w:hAnsi="Arial Narrow" w:cs="Times New Roman"/>
          <w:sz w:val="20"/>
          <w:szCs w:val="20"/>
          <w:lang w:eastAsia="pl-PL"/>
        </w:rPr>
        <w:t xml:space="preserve"> (oba podlegają ocenie jakości MMA). </w:t>
      </w:r>
    </w:p>
    <w:p w14:paraId="545A0C4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Verdana" w:hAnsi="Arial Narrow" w:cs="Times New Roman"/>
          <w:sz w:val="20"/>
          <w:szCs w:val="20"/>
          <w:lang w:eastAsia="pl-PL"/>
        </w:rPr>
        <w:t xml:space="preserve">Odchyłka jest to różnica wartości bezwzględnej pomiędzy procentową zawartością lepiszcza rozpuszczalnego uzyskaną z badań laboratoryjnych a procentową zawartością lepiszcza rozpuszczalnego podaną w Badaniu Typu (%). </w:t>
      </w:r>
    </w:p>
    <w:p w14:paraId="1D96B579"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Tabela 8. Dopuszczalne odchyłki do odbioru dla </w:t>
      </w:r>
      <w:r w:rsidRPr="00AD1E0F">
        <w:rPr>
          <w:rFonts w:ascii="Arial Narrow" w:eastAsia="Times New Roman" w:hAnsi="Arial Narrow" w:cs="Times New Roman"/>
          <w:sz w:val="20"/>
          <w:szCs w:val="20"/>
          <w:u w:val="single" w:color="000000"/>
          <w:lang w:eastAsia="pl-PL"/>
        </w:rPr>
        <w:t>wartości średniej</w:t>
      </w:r>
      <w:r w:rsidRPr="00AD1E0F">
        <w:rPr>
          <w:rFonts w:ascii="Arial Narrow" w:eastAsia="Times New Roman" w:hAnsi="Arial Narrow" w:cs="Times New Roman"/>
          <w:sz w:val="20"/>
          <w:szCs w:val="20"/>
          <w:lang w:eastAsia="pl-PL"/>
        </w:rPr>
        <w:t xml:space="preserve"> policzonej z dokładnością do 0,01 % </w:t>
      </w:r>
    </w:p>
    <w:tbl>
      <w:tblPr>
        <w:tblW w:w="8932" w:type="dxa"/>
        <w:tblInd w:w="84" w:type="dxa"/>
        <w:tblCellMar>
          <w:left w:w="0" w:type="dxa"/>
          <w:right w:w="79" w:type="dxa"/>
        </w:tblCellMar>
        <w:tblLook w:val="04A0" w:firstRow="1" w:lastRow="0" w:firstColumn="1" w:lastColumn="0" w:noHBand="0" w:noVBand="1"/>
      </w:tblPr>
      <w:tblGrid>
        <w:gridCol w:w="3828"/>
        <w:gridCol w:w="2552"/>
        <w:gridCol w:w="2552"/>
      </w:tblGrid>
      <w:tr w:rsidR="00AD1E0F" w:rsidRPr="00AD1E0F" w14:paraId="41463EAE" w14:textId="77777777" w:rsidTr="00855929">
        <w:trPr>
          <w:trHeight w:val="175"/>
        </w:trPr>
        <w:tc>
          <w:tcPr>
            <w:tcW w:w="382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9BCB21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Oceniany parametr </w:t>
            </w: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708A24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Wielkość odchyłki dla wartości średniej ; % </w:t>
            </w:r>
          </w:p>
        </w:tc>
      </w:tr>
      <w:tr w:rsidR="00AD1E0F" w:rsidRPr="00AD1E0F" w14:paraId="19452E3F" w14:textId="77777777" w:rsidTr="00855929">
        <w:trPr>
          <w:trHeight w:val="211"/>
        </w:trPr>
        <w:tc>
          <w:tcPr>
            <w:tcW w:w="0" w:type="auto"/>
            <w:vMerge/>
            <w:tcBorders>
              <w:top w:val="nil"/>
              <w:left w:val="single" w:sz="4" w:space="0" w:color="000000"/>
              <w:bottom w:val="nil"/>
              <w:right w:val="single" w:sz="4" w:space="0" w:color="000000"/>
            </w:tcBorders>
            <w:shd w:val="clear" w:color="auto" w:fill="auto"/>
          </w:tcPr>
          <w:p w14:paraId="3EDF7E9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F08377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AC </w:t>
            </w:r>
          </w:p>
        </w:tc>
      </w:tr>
      <w:tr w:rsidR="00AD1E0F" w:rsidRPr="00AD1E0F" w14:paraId="095C6C4E" w14:textId="77777777" w:rsidTr="00855929">
        <w:trPr>
          <w:trHeight w:val="125"/>
        </w:trPr>
        <w:tc>
          <w:tcPr>
            <w:tcW w:w="0" w:type="auto"/>
            <w:vMerge/>
            <w:tcBorders>
              <w:top w:val="nil"/>
              <w:left w:val="single" w:sz="4" w:space="0" w:color="000000"/>
              <w:bottom w:val="single" w:sz="4" w:space="0" w:color="000000"/>
              <w:right w:val="single" w:sz="4" w:space="0" w:color="000000"/>
            </w:tcBorders>
            <w:shd w:val="clear" w:color="auto" w:fill="auto"/>
          </w:tcPr>
          <w:p w14:paraId="0E0BE21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ED062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KR3÷KR4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1143A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KR1 ÷KR2 </w:t>
            </w:r>
          </w:p>
        </w:tc>
      </w:tr>
      <w:tr w:rsidR="00AD1E0F" w:rsidRPr="00AD1E0F" w14:paraId="3E730617" w14:textId="77777777" w:rsidTr="00855929">
        <w:trPr>
          <w:trHeight w:val="255"/>
        </w:trPr>
        <w:tc>
          <w:tcPr>
            <w:tcW w:w="38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B3A6A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zawartość lepiszcza rozpuszczalnego S </w:t>
            </w:r>
          </w:p>
          <w:p w14:paraId="3C0C547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 niedomiar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113B3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0,15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1A5D1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0,20  </w:t>
            </w:r>
          </w:p>
        </w:tc>
      </w:tr>
      <w:tr w:rsidR="00AD1E0F" w:rsidRPr="00AD1E0F" w14:paraId="580A3B3D" w14:textId="77777777" w:rsidTr="00855929">
        <w:trPr>
          <w:trHeight w:val="420"/>
        </w:trPr>
        <w:tc>
          <w:tcPr>
            <w:tcW w:w="38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BD713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zawartość lepiszcza rozpuszczalnego S </w:t>
            </w:r>
          </w:p>
          <w:p w14:paraId="47ACB15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 nadmiar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1CC54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0,20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C8163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0,20  </w:t>
            </w:r>
          </w:p>
        </w:tc>
      </w:tr>
    </w:tbl>
    <w:p w14:paraId="1B8F7086" w14:textId="77777777" w:rsidR="00AD1E0F" w:rsidRPr="00AD1E0F" w:rsidRDefault="00AD1E0F" w:rsidP="00AD1E0F">
      <w:pPr>
        <w:overflowPunct w:val="0"/>
        <w:autoSpaceDE w:val="0"/>
        <w:autoSpaceDN w:val="0"/>
        <w:adjustRightInd w:val="0"/>
        <w:spacing w:after="137"/>
        <w:ind w:left="12" w:firstLine="709"/>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t>
      </w:r>
    </w:p>
    <w:p w14:paraId="68DC8497"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Tabela 9. Dopuszczalne odchyłki do odbioru </w:t>
      </w:r>
      <w:r w:rsidRPr="00AD1E0F">
        <w:rPr>
          <w:rFonts w:ascii="Arial Narrow" w:eastAsia="Times New Roman" w:hAnsi="Arial Narrow" w:cs="Times New Roman"/>
          <w:sz w:val="20"/>
          <w:szCs w:val="20"/>
          <w:u w:val="single" w:color="000000"/>
          <w:lang w:eastAsia="pl-PL"/>
        </w:rPr>
        <w:t>dla pojedynczego</w:t>
      </w:r>
      <w:r w:rsidRPr="00AD1E0F">
        <w:rPr>
          <w:rFonts w:ascii="Arial Narrow" w:eastAsia="Times New Roman" w:hAnsi="Arial Narrow" w:cs="Times New Roman"/>
          <w:sz w:val="20"/>
          <w:szCs w:val="20"/>
          <w:lang w:eastAsia="pl-PL"/>
        </w:rPr>
        <w:t xml:space="preserve"> wyniku określonego z dokładnością do 0,1 % </w:t>
      </w:r>
    </w:p>
    <w:tbl>
      <w:tblPr>
        <w:tblW w:w="8932" w:type="dxa"/>
        <w:tblInd w:w="84" w:type="dxa"/>
        <w:tblCellMar>
          <w:left w:w="144" w:type="dxa"/>
          <w:right w:w="74" w:type="dxa"/>
        </w:tblCellMar>
        <w:tblLook w:val="04A0" w:firstRow="1" w:lastRow="0" w:firstColumn="1" w:lastColumn="0" w:noHBand="0" w:noVBand="1"/>
      </w:tblPr>
      <w:tblGrid>
        <w:gridCol w:w="3829"/>
        <w:gridCol w:w="5103"/>
      </w:tblGrid>
      <w:tr w:rsidR="00AD1E0F" w:rsidRPr="00AD1E0F" w14:paraId="2CCED61E" w14:textId="77777777" w:rsidTr="00855929">
        <w:trPr>
          <w:trHeight w:val="165"/>
        </w:trPr>
        <w:tc>
          <w:tcPr>
            <w:tcW w:w="382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ED792B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Oceniany parametr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25162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Wielkość odchyłki dla pojedynczego wyniku ; % </w:t>
            </w:r>
          </w:p>
        </w:tc>
      </w:tr>
      <w:tr w:rsidR="00AD1E0F" w:rsidRPr="00AD1E0F" w14:paraId="2A842DFF" w14:textId="77777777" w:rsidTr="00855929">
        <w:trPr>
          <w:trHeight w:val="201"/>
        </w:trPr>
        <w:tc>
          <w:tcPr>
            <w:tcW w:w="0" w:type="auto"/>
            <w:vMerge/>
            <w:tcBorders>
              <w:top w:val="nil"/>
              <w:left w:val="single" w:sz="4" w:space="0" w:color="000000"/>
              <w:bottom w:val="nil"/>
              <w:right w:val="single" w:sz="4" w:space="0" w:color="000000"/>
            </w:tcBorders>
            <w:shd w:val="clear" w:color="auto" w:fill="auto"/>
          </w:tcPr>
          <w:p w14:paraId="15F9067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7A5E6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AC  </w:t>
            </w:r>
          </w:p>
        </w:tc>
      </w:tr>
      <w:tr w:rsidR="00AD1E0F" w:rsidRPr="00AD1E0F" w14:paraId="34701748" w14:textId="77777777" w:rsidTr="00855929">
        <w:trPr>
          <w:trHeight w:val="115"/>
        </w:trPr>
        <w:tc>
          <w:tcPr>
            <w:tcW w:w="0" w:type="auto"/>
            <w:vMerge/>
            <w:tcBorders>
              <w:top w:val="nil"/>
              <w:left w:val="single" w:sz="4" w:space="0" w:color="000000"/>
              <w:bottom w:val="single" w:sz="4" w:space="0" w:color="000000"/>
              <w:right w:val="single" w:sz="4" w:space="0" w:color="000000"/>
            </w:tcBorders>
            <w:shd w:val="clear" w:color="auto" w:fill="auto"/>
          </w:tcPr>
          <w:p w14:paraId="2BE5594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9F5AE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KR1÷KR4 </w:t>
            </w:r>
          </w:p>
        </w:tc>
      </w:tr>
      <w:tr w:rsidR="00AD1E0F" w:rsidRPr="00AD1E0F" w14:paraId="0ED7BF29" w14:textId="77777777" w:rsidTr="00855929">
        <w:trPr>
          <w:trHeight w:val="290"/>
        </w:trPr>
        <w:tc>
          <w:tcPr>
            <w:tcW w:w="38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39EF2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Zawartość lepiszcza rozpuszczalnego S - niedomiar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99C99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w:t>
            </w:r>
          </w:p>
        </w:tc>
      </w:tr>
      <w:tr w:rsidR="00AD1E0F" w:rsidRPr="00AD1E0F" w14:paraId="7D5925D1" w14:textId="77777777" w:rsidTr="00855929">
        <w:trPr>
          <w:trHeight w:val="261"/>
        </w:trPr>
        <w:tc>
          <w:tcPr>
            <w:tcW w:w="38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CD53C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Zawartość lepiszcza rozpuszczalnego S - nadmiar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14930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0,3 </w:t>
            </w:r>
          </w:p>
        </w:tc>
      </w:tr>
    </w:tbl>
    <w:p w14:paraId="600CBE8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przypadku przekroczenia wielkości dopuszczalnych odchyłek dla wartości średniej  i dla pojedynczego wyniku w zakresie zawartości lepiszcza rozpuszczalnego należy postępować zgodnie z Instrukcją DP-T14 </w:t>
      </w:r>
      <w:r w:rsidRPr="00AD1E0F">
        <w:rPr>
          <w:rFonts w:ascii="Arial Narrow" w:eastAsia="Verdana" w:hAnsi="Arial Narrow" w:cs="Verdana"/>
          <w:i/>
          <w:sz w:val="20"/>
          <w:szCs w:val="20"/>
          <w:lang w:eastAsia="pl-PL"/>
        </w:rPr>
        <w:t>Ocena jakości na drogach krajowych. Część I-Roboty drogowe. 2017</w:t>
      </w:r>
      <w:r w:rsidRPr="00AD1E0F">
        <w:rPr>
          <w:rFonts w:ascii="Arial Narrow" w:eastAsia="Times New Roman" w:hAnsi="Arial Narrow" w:cs="Times New Roman"/>
          <w:sz w:val="20"/>
          <w:szCs w:val="20"/>
          <w:lang w:eastAsia="pl-PL"/>
        </w:rPr>
        <w:t xml:space="preserve">. </w:t>
      </w:r>
    </w:p>
    <w:p w14:paraId="63F742B2"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6.7.2.</w:t>
      </w:r>
      <w:r w:rsidRPr="00AD1E0F">
        <w:rPr>
          <w:rFonts w:ascii="Arial Narrow" w:eastAsia="Arial" w:hAnsi="Arial Narrow" w:cs="Times New Roman"/>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Uziarnienie mieszanki mineralnej </w:t>
      </w:r>
    </w:p>
    <w:p w14:paraId="1FC6A33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Po wykonaniu ekstrakcji lepiszcza należy przeprowadzić kontrolę uziarnienia mieszanki kruszywa mineralnego wg PN-EN 12697-2.  </w:t>
      </w:r>
    </w:p>
    <w:p w14:paraId="226F8AA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Jakości mieszanki mineralnej należy ocenić na podstawie: </w:t>
      </w:r>
    </w:p>
    <w:p w14:paraId="2C27328A"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wielkości odchyłki obliczonej dla wartości średniej (średnia arytmetyczna wszystkich wyników z całej drogi dla danego typu MMA i danej warstwy asfaltowej) z dokładnością do 0,1 % </w:t>
      </w:r>
    </w:p>
    <w:p w14:paraId="76CA93FF"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wielkości odchyłki obliczonej dla pojedynczego wyniku (próbki) z dokładnością do 0,1 % dla sita 0,063mm i z dokładnością do 1 % dla pozostałych sit. </w:t>
      </w:r>
    </w:p>
    <w:p w14:paraId="549CA2DC" w14:textId="77777777" w:rsidR="00AD1E0F" w:rsidRPr="00AD1E0F" w:rsidRDefault="00AD1E0F" w:rsidP="00AD1E0F">
      <w:pPr>
        <w:overflowPunct w:val="0"/>
        <w:autoSpaceDE w:val="0"/>
        <w:autoSpaceDN w:val="0"/>
        <w:adjustRightInd w:val="0"/>
        <w:spacing w:after="133" w:line="240" w:lineRule="auto"/>
        <w:ind w:left="7" w:firstLine="709"/>
        <w:textAlignment w:val="baseline"/>
        <w:rPr>
          <w:rFonts w:ascii="Arial Narrow" w:eastAsia="Times New Roman" w:hAnsi="Arial Narrow" w:cs="Times New Roman"/>
          <w:sz w:val="20"/>
          <w:szCs w:val="20"/>
          <w:lang w:eastAsia="pl-PL"/>
        </w:rPr>
      </w:pPr>
      <w:r w:rsidRPr="00AD1E0F">
        <w:rPr>
          <w:rFonts w:ascii="Arial Narrow" w:eastAsia="Verdana" w:hAnsi="Arial Narrow" w:cs="Verdana"/>
          <w:b/>
          <w:sz w:val="20"/>
          <w:szCs w:val="20"/>
          <w:lang w:eastAsia="pl-PL"/>
        </w:rPr>
        <w:t>Wyżej wymienione kryteria należy stosować jednocześnie</w:t>
      </w:r>
      <w:r w:rsidRPr="00AD1E0F">
        <w:rPr>
          <w:rFonts w:ascii="Arial Narrow" w:eastAsia="Times New Roman" w:hAnsi="Arial Narrow" w:cs="Times New Roman"/>
          <w:sz w:val="20"/>
          <w:szCs w:val="20"/>
          <w:lang w:eastAsia="pl-PL"/>
        </w:rPr>
        <w:t xml:space="preserve"> (oba podlegają ocenie jakości MMA). </w:t>
      </w:r>
    </w:p>
    <w:p w14:paraId="1820AA44" w14:textId="77777777" w:rsidR="00AD1E0F" w:rsidRPr="00AD1E0F" w:rsidRDefault="00AD1E0F" w:rsidP="00AD1E0F">
      <w:pPr>
        <w:overflowPunct w:val="0"/>
        <w:autoSpaceDE w:val="0"/>
        <w:autoSpaceDN w:val="0"/>
        <w:adjustRightInd w:val="0"/>
        <w:spacing w:after="127" w:line="268"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Verdana" w:hAnsi="Arial Narrow" w:cs="Times New Roman"/>
          <w:sz w:val="20"/>
          <w:szCs w:val="20"/>
          <w:lang w:eastAsia="pl-PL"/>
        </w:rPr>
        <w:t>Odchyłka jest to różnica wartości bezwzględnej pomiędzy procentową zawartością ziaren w wyekstrahowanej mieszance mineralnej uzyskaną z badań</w:t>
      </w:r>
      <w:r w:rsidRPr="00AD1E0F">
        <w:rPr>
          <w:rFonts w:ascii="Arial Narrow" w:eastAsia="Verdana" w:hAnsi="Arial Narrow" w:cs="Verdana"/>
          <w:i/>
          <w:sz w:val="20"/>
          <w:szCs w:val="20"/>
          <w:lang w:eastAsia="pl-PL"/>
        </w:rPr>
        <w:t xml:space="preserve"> laboratoryjnych a procentową zawartością ziaren w mieszance mineralnej podaną w Badaniu Typu (%). </w:t>
      </w:r>
    </w:p>
    <w:p w14:paraId="3830AC19" w14:textId="77777777" w:rsidR="00AD1E0F" w:rsidRPr="00AD1E0F" w:rsidRDefault="00AD1E0F" w:rsidP="00AD1E0F">
      <w:pPr>
        <w:overflowPunct w:val="0"/>
        <w:autoSpaceDE w:val="0"/>
        <w:autoSpaceDN w:val="0"/>
        <w:adjustRightInd w:val="0"/>
        <w:spacing w:after="129"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Dopuszczalne odchyłki w zakresie uziarnienia podano w tabeli 10. </w:t>
      </w:r>
    </w:p>
    <w:p w14:paraId="3E471A2B"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Tabela 10. Dopuszczalne odchyłki w zakresie uziarnienia. </w:t>
      </w:r>
    </w:p>
    <w:tbl>
      <w:tblPr>
        <w:tblW w:w="8956" w:type="dxa"/>
        <w:tblInd w:w="125" w:type="dxa"/>
        <w:tblCellMar>
          <w:top w:w="174" w:type="dxa"/>
          <w:left w:w="115" w:type="dxa"/>
          <w:right w:w="55" w:type="dxa"/>
        </w:tblCellMar>
        <w:tblLook w:val="04A0" w:firstRow="1" w:lastRow="0" w:firstColumn="1" w:lastColumn="0" w:noHBand="0" w:noVBand="1"/>
      </w:tblPr>
      <w:tblGrid>
        <w:gridCol w:w="2287"/>
        <w:gridCol w:w="2189"/>
        <w:gridCol w:w="2168"/>
        <w:gridCol w:w="2312"/>
      </w:tblGrid>
      <w:tr w:rsidR="00AD1E0F" w:rsidRPr="00AD1E0F" w14:paraId="15423B34" w14:textId="77777777" w:rsidTr="00855929">
        <w:trPr>
          <w:trHeight w:val="178"/>
        </w:trPr>
        <w:tc>
          <w:tcPr>
            <w:tcW w:w="2287"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48C3AA5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Przechodzi przez sito #, mm </w:t>
            </w:r>
          </w:p>
        </w:tc>
        <w:tc>
          <w:tcPr>
            <w:tcW w:w="4357" w:type="dxa"/>
            <w:gridSpan w:val="2"/>
            <w:tcBorders>
              <w:top w:val="single" w:sz="4" w:space="0" w:color="000000"/>
              <w:left w:val="single" w:sz="4" w:space="0" w:color="000000"/>
              <w:bottom w:val="single" w:sz="4" w:space="0" w:color="000000"/>
              <w:right w:val="single" w:sz="4" w:space="0" w:color="000000"/>
            </w:tcBorders>
            <w:shd w:val="clear" w:color="auto" w:fill="auto"/>
          </w:tcPr>
          <w:p w14:paraId="156B2A8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Odchyłki dopuszczalne dla pojedynczego wyniku, %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4AF26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Odchyłki dopuszczalne dla wartości średniej, % </w:t>
            </w:r>
          </w:p>
        </w:tc>
      </w:tr>
      <w:tr w:rsidR="00AD1E0F" w:rsidRPr="00AD1E0F" w14:paraId="3C7D9531" w14:textId="77777777" w:rsidTr="00855929">
        <w:trPr>
          <w:trHeight w:val="20"/>
        </w:trPr>
        <w:tc>
          <w:tcPr>
            <w:tcW w:w="0" w:type="auto"/>
            <w:vMerge/>
            <w:tcBorders>
              <w:top w:val="nil"/>
              <w:left w:val="single" w:sz="4" w:space="0" w:color="000000"/>
              <w:bottom w:val="single" w:sz="4" w:space="0" w:color="000000"/>
              <w:right w:val="single" w:sz="4" w:space="0" w:color="000000"/>
            </w:tcBorders>
            <w:shd w:val="clear" w:color="auto" w:fill="auto"/>
          </w:tcPr>
          <w:p w14:paraId="28E5EEF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0C5E1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KR 3-4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83016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KR 1-2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D8E2B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KR 1-4 </w:t>
            </w:r>
          </w:p>
        </w:tc>
      </w:tr>
      <w:tr w:rsidR="00AD1E0F" w:rsidRPr="00AD1E0F" w14:paraId="43E4D18F" w14:textId="77777777" w:rsidTr="00855929">
        <w:trPr>
          <w:trHeight w:val="170"/>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D13A1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0,063 </w:t>
            </w: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AD59A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2,5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55D78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3,0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39364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1,5 </w:t>
            </w:r>
          </w:p>
        </w:tc>
      </w:tr>
      <w:tr w:rsidR="00AD1E0F" w:rsidRPr="00AD1E0F" w14:paraId="4FD312D2" w14:textId="77777777" w:rsidTr="00855929">
        <w:trPr>
          <w:trHeight w:val="170"/>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482D8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0,125 </w:t>
            </w: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07279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4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87021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5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67AFE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2,0 </w:t>
            </w:r>
          </w:p>
        </w:tc>
      </w:tr>
      <w:tr w:rsidR="00AD1E0F" w:rsidRPr="00AD1E0F" w14:paraId="3CA07111" w14:textId="77777777" w:rsidTr="00855929">
        <w:trPr>
          <w:trHeight w:val="170"/>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85D21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2 </w:t>
            </w: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D980F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5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36526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6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05552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3,0 </w:t>
            </w:r>
          </w:p>
        </w:tc>
      </w:tr>
      <w:tr w:rsidR="00AD1E0F" w:rsidRPr="00AD1E0F" w14:paraId="3A61213D" w14:textId="77777777" w:rsidTr="00855929">
        <w:trPr>
          <w:trHeight w:val="170"/>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1E5FF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D/2 lub sito charakterystycze </w:t>
            </w:r>
          </w:p>
        </w:tc>
        <w:tc>
          <w:tcPr>
            <w:tcW w:w="2189" w:type="dxa"/>
            <w:tcBorders>
              <w:top w:val="single" w:sz="4" w:space="0" w:color="000000"/>
              <w:left w:val="single" w:sz="4" w:space="0" w:color="000000"/>
              <w:bottom w:val="single" w:sz="4" w:space="0" w:color="000000"/>
              <w:right w:val="single" w:sz="4" w:space="0" w:color="000000"/>
            </w:tcBorders>
            <w:shd w:val="clear" w:color="auto" w:fill="auto"/>
          </w:tcPr>
          <w:p w14:paraId="125512F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6 </w:t>
            </w:r>
          </w:p>
        </w:tc>
        <w:tc>
          <w:tcPr>
            <w:tcW w:w="2168" w:type="dxa"/>
            <w:tcBorders>
              <w:top w:val="single" w:sz="4" w:space="0" w:color="000000"/>
              <w:left w:val="single" w:sz="4" w:space="0" w:color="000000"/>
              <w:bottom w:val="single" w:sz="4" w:space="0" w:color="000000"/>
              <w:right w:val="single" w:sz="4" w:space="0" w:color="000000"/>
            </w:tcBorders>
            <w:shd w:val="clear" w:color="auto" w:fill="auto"/>
          </w:tcPr>
          <w:p w14:paraId="64C5BEC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7 </w:t>
            </w:r>
          </w:p>
        </w:tc>
        <w:tc>
          <w:tcPr>
            <w:tcW w:w="2312" w:type="dxa"/>
            <w:tcBorders>
              <w:top w:val="single" w:sz="4" w:space="0" w:color="000000"/>
              <w:left w:val="single" w:sz="4" w:space="0" w:color="000000"/>
              <w:bottom w:val="single" w:sz="4" w:space="0" w:color="000000"/>
              <w:right w:val="single" w:sz="4" w:space="0" w:color="000000"/>
            </w:tcBorders>
            <w:shd w:val="clear" w:color="auto" w:fill="auto"/>
          </w:tcPr>
          <w:p w14:paraId="1135072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4,0 </w:t>
            </w:r>
          </w:p>
        </w:tc>
      </w:tr>
      <w:tr w:rsidR="00AD1E0F" w:rsidRPr="00AD1E0F" w14:paraId="7F5DFCDF" w14:textId="77777777" w:rsidTr="00855929">
        <w:trPr>
          <w:trHeight w:val="170"/>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44FD7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D </w:t>
            </w: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BCDC6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7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60464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8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74794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5,0 </w:t>
            </w:r>
          </w:p>
        </w:tc>
      </w:tr>
    </w:tbl>
    <w:p w14:paraId="53BAF3E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Wymagania dotyczące udziału kruszywa grubego, drobnego i wypełniacza powinny być spełnione jednocześnie. </w:t>
      </w:r>
    </w:p>
    <w:p w14:paraId="462C506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przypadku przekroczenia wielkości dopuszczalnych odchyłek dla wartości średniej  w zakresie uziarnienia należy postępować zgodnie z Instrukcją DP-T14 </w:t>
      </w:r>
      <w:r w:rsidRPr="00AD1E0F">
        <w:rPr>
          <w:rFonts w:ascii="Arial Narrow" w:eastAsia="Verdana" w:hAnsi="Arial Narrow" w:cs="Verdana"/>
          <w:i/>
          <w:sz w:val="20"/>
          <w:szCs w:val="20"/>
          <w:lang w:eastAsia="pl-PL"/>
        </w:rPr>
        <w:t xml:space="preserve">Ocena jakości na drogach krajowych. Część I-Roboty drogowe. 2017. </w:t>
      </w:r>
    </w:p>
    <w:p w14:paraId="2D15EEB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Dla kryterium dotyczącego pojedynczego wyniku nie stosuje się potrąceń – należy je spełnić wg wyżej wymienionych wymagań. </w:t>
      </w:r>
    </w:p>
    <w:p w14:paraId="3D74A8A5"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6.7.3.</w:t>
      </w:r>
      <w:r w:rsidRPr="00AD1E0F">
        <w:rPr>
          <w:rFonts w:ascii="Arial Narrow" w:eastAsia="Arial" w:hAnsi="Arial Narrow" w:cs="Times New Roman"/>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Zawartość wolnych przestrzeni w mieszance MMA </w:t>
      </w:r>
    </w:p>
    <w:p w14:paraId="3F768F9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Zawartość wolnych przestrzeni w próbkach Marshalla oblicza się zgodnie z PN-EN 126978. Zawartość wolnych przestrzeni nie może przekroczyć wartości podanych w WT-2 2014 Tabela 18 i 19 w zależności od kategorii ruchu. </w:t>
      </w:r>
    </w:p>
    <w:p w14:paraId="426E8E69"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6.7.4.</w:t>
      </w:r>
      <w:r w:rsidRPr="00AD1E0F">
        <w:rPr>
          <w:rFonts w:ascii="Arial Narrow" w:eastAsia="Arial" w:hAnsi="Arial Narrow" w:cs="Times New Roman"/>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Pomiar grubości warstwy wg PN-EN 12697-36 </w:t>
      </w:r>
    </w:p>
    <w:p w14:paraId="265A18B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Grubości wykonanej warstwy należy określać na wyciętych próbkach (nie wycinać próbek na obiektach mostowych wiertnicą mechaniczną) lub metodą elektromagnetyczną z częstotliwością określoną w tab. 7. Sposób oceny grubości warstwy i pakietu warstw należy dokonać zgodnie  WT-2 2016 – część II pkt 8.2 i Instrukcją DP-T14 pkt. 2.3.  </w:t>
      </w:r>
    </w:p>
    <w:p w14:paraId="6973757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Grubości warstwy należy ocenić na podstawie wielkości odchyłki obliczonej dla: </w:t>
      </w:r>
    </w:p>
    <w:p w14:paraId="0D6DD3D6"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pojedynczego wyniku pomiaru grubości warstwy i pakietu warstw asfaltowych, </w:t>
      </w:r>
    </w:p>
    <w:p w14:paraId="49647369"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wartości średniej ze wszystkich pomiarów grubości danej warstwy i wartości średniej pomiarów pakietu warstw asfaltowych. </w:t>
      </w:r>
    </w:p>
    <w:p w14:paraId="2DAC659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Odchyłka w zakresie grubości danej warstwy lub pakietu warstw z mieszanek mineralnoasfaltowych jest to procentowe </w:t>
      </w:r>
      <w:r w:rsidRPr="00AD1E0F">
        <w:rPr>
          <w:rFonts w:ascii="Arial Narrow" w:eastAsia="Verdana" w:hAnsi="Arial Narrow" w:cs="Verdana"/>
          <w:b/>
          <w:sz w:val="20"/>
          <w:szCs w:val="20"/>
          <w:lang w:eastAsia="pl-PL"/>
        </w:rPr>
        <w:t>przekroczenie w dół</w:t>
      </w:r>
      <w:r w:rsidRPr="00AD1E0F">
        <w:rPr>
          <w:rFonts w:ascii="Arial Narrow" w:eastAsia="Times New Roman" w:hAnsi="Arial Narrow" w:cs="Times New Roman"/>
          <w:sz w:val="20"/>
          <w:szCs w:val="20"/>
          <w:lang w:eastAsia="pl-PL"/>
        </w:rPr>
        <w:t xml:space="preserve"> projektowanej grubości warstwy lub pakietu i obliczona wg pkt 2.3. Instrukcji DP-T14 2017 – część I z dokładnością do 1%. </w:t>
      </w:r>
    </w:p>
    <w:p w14:paraId="49C2925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Tolerancja dla pojedynczego wyniku w zakresie: </w:t>
      </w:r>
    </w:p>
    <w:p w14:paraId="48752C29"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grubości warstwy może wynosić 1÷5% grubości projektowanej. </w:t>
      </w:r>
    </w:p>
    <w:p w14:paraId="522BF3D7"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pakietu wszystkich warstw asfaltowych wynosi 0÷10% grubości projektowanej, lecz nie więcej niż 1 cm. </w:t>
      </w:r>
    </w:p>
    <w:p w14:paraId="7B365BD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Wartość średnia ze wszystkich pomiarów grubości danej warstwy lub pakietu warstw powinna być równa bądź większa w stosunku do grubości przyjętej w projekcie konstrukcji nawierzchni. </w:t>
      </w:r>
    </w:p>
    <w:p w14:paraId="6F6F288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przypadku przekroczenia wartości dopuszczalnych w zakresie grubości należy postępować zgodnie z Instrukcją DP-T 14. </w:t>
      </w:r>
    </w:p>
    <w:p w14:paraId="16732EB2"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lastRenderedPageBreak/>
        <w:t>6.7.5.</w:t>
      </w:r>
      <w:r w:rsidRPr="00AD1E0F">
        <w:rPr>
          <w:rFonts w:ascii="Arial Narrow" w:eastAsia="Arial" w:hAnsi="Arial Narrow" w:cs="Times New Roman"/>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Wskaźnik zagęszczenia warstwy wg PN-EN 13108-20 załącznik C4 </w:t>
      </w:r>
    </w:p>
    <w:p w14:paraId="5BD3202E"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Wskaźnik zagęszczenia warstwy należy sprawdzać na próbkach wyciętych z zagęszczonej warstwy z częstością podaną w pkt. 6.2. tab. 7. Wskaźnik zagęszczenia nie może być niższy niż 98,0%. Dopuszcza się za zgodą Inżyniera/Inspektora Nadzoru badania zagęszczenia warstwy metodami izotopowymi (zamiennie do cięcia próbek). Metodą referencyjną jest badanie na próbkach wyciętych z zagęszczonej warstwy. Wykonawca wytnie próbki na każde życzenie Inżyniera/Inspektora Nadzoru w miejscach wątpliwych przez niego wskazanych. </w:t>
      </w:r>
    </w:p>
    <w:p w14:paraId="4D86636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przypadku jeśli wskaźnik zagęszczenia jest niższy niż 98,0% należy postępować zgodnie z Instrukcją DP-T14 Ocena jakości na drogach krajowych. Część I - Roboty drogowe. 2017. </w:t>
      </w:r>
    </w:p>
    <w:p w14:paraId="37A0F07D"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Verdana" w:hAnsi="Arial Narrow" w:cs="Times New Roman"/>
          <w:b/>
          <w:sz w:val="24"/>
          <w:szCs w:val="20"/>
          <w:lang w:val="x-none" w:eastAsia="x-none"/>
        </w:rPr>
        <w:t>6.7.6.</w:t>
      </w:r>
      <w:r w:rsidRPr="00AD1E0F">
        <w:rPr>
          <w:rFonts w:ascii="Arial Narrow" w:eastAsia="Arial" w:hAnsi="Arial Narrow" w:cs="Arial"/>
          <w:b/>
          <w:sz w:val="24"/>
          <w:szCs w:val="20"/>
          <w:lang w:val="x-none" w:eastAsia="x-none"/>
        </w:rPr>
        <w:t xml:space="preserve"> </w:t>
      </w:r>
      <w:r w:rsidRPr="00AD1E0F">
        <w:rPr>
          <w:rFonts w:ascii="Arial Narrow" w:eastAsia="Verdana" w:hAnsi="Arial Narrow" w:cs="Times New Roman"/>
          <w:b/>
          <w:sz w:val="24"/>
          <w:szCs w:val="20"/>
          <w:lang w:val="x-none" w:eastAsia="x-none"/>
        </w:rPr>
        <w:t xml:space="preserve">Wolna przestrzeń w zagęszczonej warstwie wg PN-EN 12697-8. </w:t>
      </w:r>
    </w:p>
    <w:p w14:paraId="3436C57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Do obliczenia wolnej przestrzeni w warstwie należy przyjmować gęstość mieszanki mineralno asfaltowej oznaczonej w dniu wykonywania kontrolowanej działki roboczej. Zawartość wolnej przestrzeni w warstwie powinna mieścić się w granicach AC 5 S KR 1-2 1,0-5,0%, dla AC 8 S oraz AC 11 S KR 1-2 1,0-4,5%, dla KR 3-4 2,0-5,0%. Zawartość wolnej przestrzeni w warstwie należy sprawdzać z częstością podaną w pkt. 6.2. tab. 7. </w:t>
      </w:r>
    </w:p>
    <w:p w14:paraId="34429989"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Verdana" w:hAnsi="Arial Narrow" w:cs="Times New Roman"/>
          <w:b/>
          <w:sz w:val="24"/>
          <w:szCs w:val="20"/>
          <w:lang w:val="x-none" w:eastAsia="x-none"/>
        </w:rPr>
        <w:t>6.7.7.</w:t>
      </w:r>
      <w:r w:rsidRPr="00AD1E0F">
        <w:rPr>
          <w:rFonts w:ascii="Arial Narrow" w:eastAsia="Arial" w:hAnsi="Arial Narrow" w:cs="Arial"/>
          <w:b/>
          <w:sz w:val="24"/>
          <w:szCs w:val="20"/>
          <w:lang w:val="x-none" w:eastAsia="x-none"/>
        </w:rPr>
        <w:t xml:space="preserve"> </w:t>
      </w:r>
      <w:r w:rsidRPr="00AD1E0F">
        <w:rPr>
          <w:rFonts w:ascii="Arial Narrow" w:eastAsia="Verdana" w:hAnsi="Arial Narrow" w:cs="Times New Roman"/>
          <w:b/>
          <w:sz w:val="24"/>
          <w:szCs w:val="20"/>
          <w:lang w:val="x-none" w:eastAsia="x-none"/>
        </w:rPr>
        <w:t xml:space="preserve">Wytrzymałość na ścinanie połączeń międzywarstwowych. </w:t>
      </w:r>
    </w:p>
    <w:p w14:paraId="7A08E9C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Badanie sczepności międzywarstwowej należy wykonać wg metody Leutnera na próbkach Ø 150±2mm lub Ø 100±2mm zgodnie z „Instrukcją laboratoryjnego badania sczepności międzywarstwowej warstw asfaltowych wg metody Leutnera i wymagania techniczne sczepności. 2014”. Wymagana wartość dla połączenia ścieralna – wiążąca wynosi nie mniej niż 1,0 MPa – kryterium należy spełnić. Dopuszcza się też inne sprawdzone metody badania sczepności, przy czym metodą referencyjną jest metoda Leutnera na próbkach Ø 150±2mm. </w:t>
      </w:r>
    </w:p>
    <w:p w14:paraId="42FE067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Badanie sczepności międzywarstwowej należy sprawdzać zgodnie z częstością podaną w pkt. 6.2. tab. 7. </w:t>
      </w:r>
    </w:p>
    <w:p w14:paraId="264A9E22"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Verdana" w:hAnsi="Arial Narrow" w:cs="Times New Roman"/>
          <w:b/>
          <w:sz w:val="24"/>
          <w:szCs w:val="20"/>
          <w:lang w:val="x-none" w:eastAsia="x-none"/>
        </w:rPr>
        <w:t>6.7.8.</w:t>
      </w:r>
      <w:r w:rsidRPr="00AD1E0F">
        <w:rPr>
          <w:rFonts w:ascii="Arial Narrow" w:eastAsia="Arial" w:hAnsi="Arial Narrow" w:cs="Arial"/>
          <w:b/>
          <w:sz w:val="24"/>
          <w:szCs w:val="20"/>
          <w:lang w:val="x-none" w:eastAsia="x-none"/>
        </w:rPr>
        <w:t xml:space="preserve"> </w:t>
      </w:r>
      <w:r w:rsidRPr="00AD1E0F">
        <w:rPr>
          <w:rFonts w:ascii="Arial Narrow" w:eastAsia="Verdana" w:hAnsi="Arial Narrow" w:cs="Times New Roman"/>
          <w:b/>
          <w:sz w:val="24"/>
          <w:szCs w:val="20"/>
          <w:lang w:val="x-none" w:eastAsia="x-none"/>
        </w:rPr>
        <w:t xml:space="preserve">Temperatura mięknienia lepiszcza odzyskanego. </w:t>
      </w:r>
    </w:p>
    <w:p w14:paraId="17A139D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Wymagania dla temperatury mięknienia lepiszcza odzyskanego zgodnie z pkt. 8.1.1. WT-2 2016 – część II. Dla lepiszcza wyekstrahowanego należy kontrolować następujące właściwości: </w:t>
      </w:r>
    </w:p>
    <w:p w14:paraId="1F34F5DA"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temperaturę mięknienia, </w:t>
      </w:r>
    </w:p>
    <w:p w14:paraId="4DC872A1"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nawrót sprężysty – dot. polimeroasfaltów. </w:t>
      </w:r>
    </w:p>
    <w:p w14:paraId="1DE25A70" w14:textId="77777777" w:rsidR="00AD1E0F" w:rsidRPr="00AD1E0F" w:rsidRDefault="00AD1E0F" w:rsidP="00AD1E0F">
      <w:pPr>
        <w:keepNext/>
        <w:shd w:val="clear" w:color="auto" w:fill="BFBFBF"/>
        <w:overflowPunct w:val="0"/>
        <w:autoSpaceDE w:val="0"/>
        <w:autoSpaceDN w:val="0"/>
        <w:adjustRightInd w:val="0"/>
        <w:spacing w:after="156" w:line="240" w:lineRule="auto"/>
        <w:ind w:left="7"/>
        <w:jc w:val="both"/>
        <w:textAlignment w:val="baseline"/>
        <w:outlineLvl w:val="1"/>
        <w:rPr>
          <w:rFonts w:ascii="Arial Narrow" w:eastAsia="Times New Roman" w:hAnsi="Arial Narrow" w:cs="Times New Roman"/>
          <w:b/>
          <w:sz w:val="28"/>
          <w:szCs w:val="20"/>
          <w:lang w:val="x-none" w:eastAsia="x-none"/>
        </w:rPr>
      </w:pPr>
      <w:bookmarkStart w:id="730" w:name="_Toc60629"/>
      <w:r w:rsidRPr="00AD1E0F">
        <w:rPr>
          <w:rFonts w:ascii="Arial Narrow" w:eastAsia="Times New Roman" w:hAnsi="Arial Narrow" w:cs="Times New Roman"/>
          <w:b/>
          <w:sz w:val="28"/>
          <w:szCs w:val="20"/>
          <w:lang w:val="x-none" w:eastAsia="x-none"/>
        </w:rPr>
        <w:t>6.8.</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Badania i pomiary cech geometrycznych warstwy z MMA </w:t>
      </w:r>
      <w:bookmarkEnd w:id="730"/>
    </w:p>
    <w:p w14:paraId="0FB44D43"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Verdana" w:hAnsi="Arial Narrow" w:cs="Times New Roman"/>
          <w:b/>
          <w:sz w:val="24"/>
          <w:szCs w:val="20"/>
          <w:lang w:val="x-none" w:eastAsia="x-none"/>
        </w:rPr>
        <w:t>6.8.1.</w:t>
      </w:r>
      <w:r w:rsidRPr="00AD1E0F">
        <w:rPr>
          <w:rFonts w:ascii="Arial Narrow" w:eastAsia="Arial" w:hAnsi="Arial Narrow" w:cs="Arial"/>
          <w:b/>
          <w:sz w:val="24"/>
          <w:szCs w:val="20"/>
          <w:lang w:val="x-none" w:eastAsia="x-none"/>
        </w:rPr>
        <w:t xml:space="preserve"> </w:t>
      </w:r>
      <w:r w:rsidRPr="00AD1E0F">
        <w:rPr>
          <w:rFonts w:ascii="Arial Narrow" w:eastAsia="Verdana" w:hAnsi="Arial Narrow" w:cs="Times New Roman"/>
          <w:b/>
          <w:sz w:val="24"/>
          <w:szCs w:val="20"/>
          <w:lang w:val="x-none" w:eastAsia="x-none"/>
        </w:rPr>
        <w:t xml:space="preserve">Częstość oraz zakres badań i pomiarów </w:t>
      </w:r>
    </w:p>
    <w:p w14:paraId="1304BD4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Częstość oraz zakres badań i pomiarów podano na warstwie ścieralnej podano w tabeli 7. </w:t>
      </w:r>
    </w:p>
    <w:p w14:paraId="37DD767A"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6.8.2.</w:t>
      </w:r>
      <w:r w:rsidRPr="00AD1E0F">
        <w:rPr>
          <w:rFonts w:ascii="Arial Narrow" w:eastAsia="Arial" w:hAnsi="Arial Narrow" w:cs="Times New Roman"/>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Szerokość warstwy </w:t>
      </w:r>
    </w:p>
    <w:p w14:paraId="4616F692"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Szerokość wykonanej warstwy powinna być zgodna z szerokością projektowaną z tolerancją + 5 cm. Wymaga się, aby co najmniej 95% wykonanych pomiarów nie przekraczało dopuszczalnego odchylenia. 100% wykonanych pomiarów szerokości wykonanej warstwy powinna być zgodna z szerokością projektowaną z tolerancją + 7 cm.</w:t>
      </w:r>
      <w:r w:rsidRPr="00AD1E0F">
        <w:rPr>
          <w:rFonts w:ascii="Arial Narrow" w:eastAsia="Times New Roman" w:hAnsi="Arial Narrow" w:cs="Times New Roman"/>
          <w:sz w:val="20"/>
          <w:szCs w:val="20"/>
          <w:vertAlign w:val="subscript"/>
          <w:lang w:eastAsia="pl-PL"/>
        </w:rPr>
        <w:t xml:space="preserve"> </w:t>
      </w:r>
    </w:p>
    <w:p w14:paraId="79FE071E"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Verdana" w:hAnsi="Arial Narrow" w:cs="Times New Roman"/>
          <w:b/>
          <w:sz w:val="24"/>
          <w:szCs w:val="20"/>
          <w:lang w:val="x-none" w:eastAsia="x-none"/>
        </w:rPr>
      </w:pPr>
      <w:r w:rsidRPr="00AD1E0F">
        <w:rPr>
          <w:rFonts w:ascii="Arial Narrow" w:eastAsia="Verdana" w:hAnsi="Arial Narrow" w:cs="Times New Roman"/>
          <w:b/>
          <w:sz w:val="24"/>
          <w:szCs w:val="20"/>
          <w:lang w:val="x-none" w:eastAsia="x-none"/>
        </w:rPr>
        <w:t>6.8.3.</w:t>
      </w:r>
      <w:r w:rsidRPr="00AD1E0F">
        <w:rPr>
          <w:rFonts w:ascii="Arial Narrow" w:eastAsia="Arial" w:hAnsi="Arial Narrow" w:cs="Arial"/>
          <w:b/>
          <w:sz w:val="24"/>
          <w:szCs w:val="20"/>
          <w:lang w:val="x-none" w:eastAsia="x-none"/>
        </w:rPr>
        <w:t xml:space="preserve"> </w:t>
      </w:r>
      <w:r w:rsidRPr="00AD1E0F">
        <w:rPr>
          <w:rFonts w:ascii="Arial Narrow" w:eastAsia="Verdana" w:hAnsi="Arial Narrow" w:cs="Times New Roman"/>
          <w:b/>
          <w:sz w:val="24"/>
          <w:szCs w:val="20"/>
          <w:lang w:val="x-none" w:eastAsia="x-none"/>
        </w:rPr>
        <w:t xml:space="preserve">Równość podłużna i poprzeczna warstwy ścieralnej </w:t>
      </w:r>
    </w:p>
    <w:p w14:paraId="2164001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Verdana" w:hAnsi="Arial Narrow" w:cs="Times New Roman"/>
          <w:sz w:val="20"/>
          <w:szCs w:val="20"/>
          <w:lang w:eastAsia="pl-PL"/>
        </w:rPr>
        <w:t>A.</w:t>
      </w:r>
      <w:r w:rsidRPr="00AD1E0F">
        <w:rPr>
          <w:rFonts w:ascii="Arial Narrow" w:eastAsia="Arial" w:hAnsi="Arial Narrow" w:cs="Arial"/>
          <w:sz w:val="20"/>
          <w:szCs w:val="20"/>
          <w:lang w:eastAsia="pl-PL"/>
        </w:rPr>
        <w:t xml:space="preserve"> </w:t>
      </w:r>
      <w:r w:rsidRPr="00AD1E0F">
        <w:rPr>
          <w:rFonts w:ascii="Arial Narrow" w:eastAsia="Verdana" w:hAnsi="Arial Narrow" w:cs="Times New Roman"/>
          <w:sz w:val="20"/>
          <w:szCs w:val="20"/>
          <w:lang w:eastAsia="pl-PL"/>
        </w:rPr>
        <w:t xml:space="preserve">Ocena równości podłużnej warstwy ścieralnej. </w:t>
      </w:r>
    </w:p>
    <w:p w14:paraId="14632A86" w14:textId="77777777" w:rsidR="00AD1E0F" w:rsidRPr="00AD1E0F" w:rsidRDefault="00AD1E0F" w:rsidP="00AD1E0F">
      <w:pPr>
        <w:overflowPunct w:val="0"/>
        <w:autoSpaceDE w:val="0"/>
        <w:autoSpaceDN w:val="0"/>
        <w:adjustRightInd w:val="0"/>
        <w:spacing w:after="37"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pomiarach równości nawierzchni należy stosować metody: </w:t>
      </w:r>
    </w:p>
    <w:p w14:paraId="3B631FCF"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profilometryczną bazującą na wskaźnikach równości IRI; </w:t>
      </w:r>
    </w:p>
    <w:p w14:paraId="64C82CD3"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pomiar ciągły z użyciem laty o długości 4 m i klina. </w:t>
      </w:r>
    </w:p>
    <w:p w14:paraId="6E6C98AE" w14:textId="77777777" w:rsidR="00AD1E0F" w:rsidRPr="00AD1E0F" w:rsidRDefault="00AD1E0F" w:rsidP="00AD1E0F">
      <w:pPr>
        <w:overflowPunct w:val="0"/>
        <w:autoSpaceDE w:val="0"/>
        <w:autoSpaceDN w:val="0"/>
        <w:adjustRightInd w:val="0"/>
        <w:spacing w:after="17"/>
        <w:ind w:left="12" w:firstLine="709"/>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t>
      </w:r>
    </w:p>
    <w:p w14:paraId="572A38F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Do oceny równości podłużnej warstwy ścieralnej nawierzchni dróg klasy GP oraz G należy stosować metodę profilometryczną bazującą na wskaźnikach równości IRI [mm/m]. Kierunek pomiaru powinien być zgodny z projektowanym kierunkiem jazdy. Profil nierówności warstwy nawierzchni należy rejestrować z krokiem co 10 cm. </w:t>
      </w:r>
    </w:p>
    <w:p w14:paraId="09D8D31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Wartość IRI należy wyznaczać z krokiem co 50 m. Długość ocenianego odcinka nawierzchni nie powinna być większa niż 1 000 m. Odcinek końcowy o długości mniejszej niż 500 m należy oceniać łącznie z odcinkiem poprzedzającym. Do oceny równości odcinka nawierzchni ustala się minimalną liczbę wskaźników IRI równą 5. W przypadku odbioru robót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 Wymagana równość podłużna jest określona przez dopuszczalną wartość średnią wyników pomiaru IRIśr oraz dopuszczalną wartość maksymalną pojedynczego pomiaru IRImax, których nie można przekroczyć na długości ocenianego odcinka nawierzchni. Wartości dopuszczalne przy odbiorze warstwy ścieralnej metodą profilometryczną określa tabela 11. </w:t>
      </w:r>
    </w:p>
    <w:p w14:paraId="5E2623DE" w14:textId="77777777" w:rsidR="00AD1E0F" w:rsidRPr="00AD1E0F" w:rsidRDefault="00AD1E0F" w:rsidP="00AD1E0F">
      <w:pPr>
        <w:overflowPunct w:val="0"/>
        <w:autoSpaceDE w:val="0"/>
        <w:autoSpaceDN w:val="0"/>
        <w:adjustRightInd w:val="0"/>
        <w:spacing w:after="0"/>
        <w:ind w:left="12" w:firstLine="709"/>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t>
      </w:r>
    </w:p>
    <w:p w14:paraId="783ADCAD"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Tabela 11. Wartości dopuszczalne przy odbiorze warstwy ścieralnej metodą profilometryczną </w:t>
      </w:r>
    </w:p>
    <w:tbl>
      <w:tblPr>
        <w:tblW w:w="8550" w:type="dxa"/>
        <w:tblInd w:w="535" w:type="dxa"/>
        <w:tblCellMar>
          <w:top w:w="54" w:type="dxa"/>
          <w:left w:w="163" w:type="dxa"/>
          <w:right w:w="95" w:type="dxa"/>
        </w:tblCellMar>
        <w:tblLook w:val="04A0" w:firstRow="1" w:lastRow="0" w:firstColumn="1" w:lastColumn="0" w:noHBand="0" w:noVBand="1"/>
      </w:tblPr>
      <w:tblGrid>
        <w:gridCol w:w="1619"/>
        <w:gridCol w:w="3599"/>
        <w:gridCol w:w="1723"/>
        <w:gridCol w:w="1609"/>
      </w:tblGrid>
      <w:tr w:rsidR="00AD1E0F" w:rsidRPr="00AD1E0F" w14:paraId="65831D26" w14:textId="77777777" w:rsidTr="00855929">
        <w:trPr>
          <w:trHeight w:val="741"/>
        </w:trPr>
        <w:tc>
          <w:tcPr>
            <w:tcW w:w="161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530E1A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Klasa drogi </w:t>
            </w:r>
          </w:p>
        </w:tc>
        <w:tc>
          <w:tcPr>
            <w:tcW w:w="359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F4E2AA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Element nawierzchni </w:t>
            </w:r>
          </w:p>
        </w:tc>
        <w:tc>
          <w:tcPr>
            <w:tcW w:w="3332" w:type="dxa"/>
            <w:gridSpan w:val="2"/>
            <w:tcBorders>
              <w:top w:val="single" w:sz="4" w:space="0" w:color="000000"/>
              <w:left w:val="single" w:sz="4" w:space="0" w:color="000000"/>
              <w:bottom w:val="single" w:sz="4" w:space="0" w:color="000000"/>
              <w:right w:val="single" w:sz="4" w:space="0" w:color="000000"/>
            </w:tcBorders>
            <w:shd w:val="clear" w:color="auto" w:fill="auto"/>
          </w:tcPr>
          <w:p w14:paraId="34C7E24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Dopuszczalne odbiorcze wartości wskaźników dla </w:t>
            </w:r>
          </w:p>
          <w:p w14:paraId="733F7BF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zadanego zakresu długości odcinka drogi [mm/m] </w:t>
            </w:r>
          </w:p>
        </w:tc>
      </w:tr>
      <w:tr w:rsidR="00AD1E0F" w:rsidRPr="00AD1E0F" w14:paraId="632A8212" w14:textId="77777777" w:rsidTr="00855929">
        <w:trPr>
          <w:trHeight w:val="288"/>
        </w:trPr>
        <w:tc>
          <w:tcPr>
            <w:tcW w:w="0" w:type="auto"/>
            <w:vMerge/>
            <w:tcBorders>
              <w:top w:val="nil"/>
              <w:left w:val="single" w:sz="4" w:space="0" w:color="000000"/>
              <w:bottom w:val="single" w:sz="4" w:space="0" w:color="000000"/>
              <w:right w:val="single" w:sz="4" w:space="0" w:color="000000"/>
            </w:tcBorders>
            <w:shd w:val="clear" w:color="auto" w:fill="auto"/>
          </w:tcPr>
          <w:p w14:paraId="72022F0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0" w:type="auto"/>
            <w:vMerge/>
            <w:tcBorders>
              <w:top w:val="nil"/>
              <w:left w:val="single" w:sz="4" w:space="0" w:color="000000"/>
              <w:bottom w:val="single" w:sz="4" w:space="0" w:color="000000"/>
              <w:right w:val="single" w:sz="4" w:space="0" w:color="000000"/>
            </w:tcBorders>
            <w:shd w:val="clear" w:color="auto" w:fill="auto"/>
          </w:tcPr>
          <w:p w14:paraId="58D2A21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1723" w:type="dxa"/>
            <w:tcBorders>
              <w:top w:val="single" w:sz="4" w:space="0" w:color="000000"/>
              <w:left w:val="single" w:sz="4" w:space="0" w:color="000000"/>
              <w:bottom w:val="single" w:sz="4" w:space="0" w:color="000000"/>
              <w:right w:val="single" w:sz="4" w:space="0" w:color="000000"/>
            </w:tcBorders>
            <w:shd w:val="clear" w:color="auto" w:fill="auto"/>
          </w:tcPr>
          <w:p w14:paraId="23A12D1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IRIśr* </w:t>
            </w:r>
          </w:p>
        </w:tc>
        <w:tc>
          <w:tcPr>
            <w:tcW w:w="1609" w:type="dxa"/>
            <w:tcBorders>
              <w:top w:val="single" w:sz="4" w:space="0" w:color="000000"/>
              <w:left w:val="single" w:sz="4" w:space="0" w:color="000000"/>
              <w:bottom w:val="single" w:sz="4" w:space="0" w:color="000000"/>
              <w:right w:val="single" w:sz="4" w:space="0" w:color="000000"/>
            </w:tcBorders>
            <w:shd w:val="clear" w:color="auto" w:fill="auto"/>
          </w:tcPr>
          <w:p w14:paraId="794B91E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IRImax </w:t>
            </w:r>
          </w:p>
        </w:tc>
      </w:tr>
      <w:tr w:rsidR="00AD1E0F" w:rsidRPr="00AD1E0F" w14:paraId="1C3799AD" w14:textId="77777777" w:rsidTr="00855929">
        <w:trPr>
          <w:trHeight w:val="290"/>
        </w:trPr>
        <w:tc>
          <w:tcPr>
            <w:tcW w:w="1619" w:type="dxa"/>
            <w:tcBorders>
              <w:top w:val="single" w:sz="4" w:space="0" w:color="000000"/>
              <w:left w:val="single" w:sz="4" w:space="0" w:color="000000"/>
              <w:bottom w:val="single" w:sz="4" w:space="0" w:color="000000"/>
              <w:right w:val="single" w:sz="4" w:space="0" w:color="000000"/>
            </w:tcBorders>
            <w:shd w:val="clear" w:color="auto" w:fill="auto"/>
          </w:tcPr>
          <w:p w14:paraId="70CCDD4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1 </w:t>
            </w:r>
          </w:p>
        </w:tc>
        <w:tc>
          <w:tcPr>
            <w:tcW w:w="3599" w:type="dxa"/>
            <w:tcBorders>
              <w:top w:val="single" w:sz="4" w:space="0" w:color="000000"/>
              <w:left w:val="single" w:sz="4" w:space="0" w:color="000000"/>
              <w:bottom w:val="single" w:sz="4" w:space="0" w:color="000000"/>
              <w:right w:val="single" w:sz="4" w:space="0" w:color="000000"/>
            </w:tcBorders>
            <w:shd w:val="clear" w:color="auto" w:fill="auto"/>
          </w:tcPr>
          <w:p w14:paraId="7E52E15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2 </w:t>
            </w:r>
          </w:p>
        </w:tc>
        <w:tc>
          <w:tcPr>
            <w:tcW w:w="1723" w:type="dxa"/>
            <w:tcBorders>
              <w:top w:val="single" w:sz="4" w:space="0" w:color="000000"/>
              <w:left w:val="single" w:sz="4" w:space="0" w:color="000000"/>
              <w:bottom w:val="single" w:sz="4" w:space="0" w:color="000000"/>
              <w:right w:val="single" w:sz="4" w:space="0" w:color="000000"/>
            </w:tcBorders>
            <w:shd w:val="clear" w:color="auto" w:fill="auto"/>
          </w:tcPr>
          <w:p w14:paraId="4C9B7E9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3 </w:t>
            </w:r>
          </w:p>
        </w:tc>
        <w:tc>
          <w:tcPr>
            <w:tcW w:w="1609" w:type="dxa"/>
            <w:tcBorders>
              <w:top w:val="single" w:sz="4" w:space="0" w:color="000000"/>
              <w:left w:val="single" w:sz="4" w:space="0" w:color="000000"/>
              <w:bottom w:val="single" w:sz="4" w:space="0" w:color="000000"/>
              <w:right w:val="single" w:sz="4" w:space="0" w:color="000000"/>
            </w:tcBorders>
            <w:shd w:val="clear" w:color="auto" w:fill="auto"/>
          </w:tcPr>
          <w:p w14:paraId="0453C19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4 </w:t>
            </w:r>
          </w:p>
        </w:tc>
      </w:tr>
      <w:tr w:rsidR="00AD1E0F" w:rsidRPr="00AD1E0F" w14:paraId="14D33D6F" w14:textId="77777777" w:rsidTr="00855929">
        <w:trPr>
          <w:trHeight w:val="1235"/>
        </w:trPr>
        <w:tc>
          <w:tcPr>
            <w:tcW w:w="16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0F3C1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lastRenderedPageBreak/>
              <w:t xml:space="preserve">GP </w:t>
            </w:r>
          </w:p>
        </w:tc>
        <w:tc>
          <w:tcPr>
            <w:tcW w:w="3599" w:type="dxa"/>
            <w:tcBorders>
              <w:top w:val="single" w:sz="4" w:space="0" w:color="000000"/>
              <w:left w:val="single" w:sz="4" w:space="0" w:color="000000"/>
              <w:right w:val="single" w:sz="4" w:space="0" w:color="000000"/>
            </w:tcBorders>
            <w:shd w:val="clear" w:color="auto" w:fill="auto"/>
          </w:tcPr>
          <w:p w14:paraId="0F80373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Pasy ruchu zasadnicze, awaryjne, dodatkowe, włączenia i wyłączenia, jezdnie łącznic </w:t>
            </w:r>
          </w:p>
          <w:p w14:paraId="44D1EC3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445F507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1723" w:type="dxa"/>
            <w:tcBorders>
              <w:top w:val="single" w:sz="4" w:space="0" w:color="000000"/>
              <w:left w:val="single" w:sz="4" w:space="0" w:color="000000"/>
              <w:right w:val="single" w:sz="4" w:space="0" w:color="000000"/>
            </w:tcBorders>
            <w:shd w:val="clear" w:color="auto" w:fill="auto"/>
            <w:vAlign w:val="center"/>
          </w:tcPr>
          <w:p w14:paraId="179EF3A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1,1 </w:t>
            </w:r>
          </w:p>
          <w:p w14:paraId="47F6CC6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620D3B4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1609" w:type="dxa"/>
            <w:tcBorders>
              <w:top w:val="single" w:sz="4" w:space="0" w:color="000000"/>
              <w:left w:val="single" w:sz="4" w:space="0" w:color="000000"/>
              <w:right w:val="single" w:sz="4" w:space="0" w:color="000000"/>
            </w:tcBorders>
            <w:shd w:val="clear" w:color="auto" w:fill="auto"/>
            <w:vAlign w:val="center"/>
          </w:tcPr>
          <w:p w14:paraId="30A6F54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2,4 </w:t>
            </w:r>
          </w:p>
          <w:p w14:paraId="101D1F6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484B88F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r>
      <w:tr w:rsidR="00AD1E0F" w:rsidRPr="00AD1E0F" w14:paraId="79DF7272" w14:textId="77777777" w:rsidTr="00855929">
        <w:trPr>
          <w:trHeight w:val="657"/>
        </w:trPr>
        <w:tc>
          <w:tcPr>
            <w:tcW w:w="161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6E897E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G </w:t>
            </w:r>
          </w:p>
        </w:tc>
        <w:tc>
          <w:tcPr>
            <w:tcW w:w="3599" w:type="dxa"/>
            <w:tcBorders>
              <w:top w:val="single" w:sz="4" w:space="0" w:color="000000"/>
              <w:left w:val="single" w:sz="4" w:space="0" w:color="000000"/>
              <w:bottom w:val="single" w:sz="4" w:space="0" w:color="000000"/>
              <w:right w:val="single" w:sz="4" w:space="0" w:color="000000"/>
            </w:tcBorders>
            <w:shd w:val="clear" w:color="auto" w:fill="auto"/>
          </w:tcPr>
          <w:p w14:paraId="241844D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Pasy ruchu zasadnicze, dodatkowe, włączenia i wyłączenia, postojowe, jezdnie </w:t>
            </w:r>
          </w:p>
          <w:p w14:paraId="5215063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łącznic </w:t>
            </w:r>
          </w:p>
        </w:tc>
        <w:tc>
          <w:tcPr>
            <w:tcW w:w="17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9BD18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1,5 </w:t>
            </w:r>
          </w:p>
        </w:tc>
        <w:tc>
          <w:tcPr>
            <w:tcW w:w="16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C223A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3,4 </w:t>
            </w:r>
          </w:p>
        </w:tc>
      </w:tr>
      <w:tr w:rsidR="00AD1E0F" w:rsidRPr="00AD1E0F" w14:paraId="0D32848D" w14:textId="77777777" w:rsidTr="00855929">
        <w:trPr>
          <w:trHeight w:val="290"/>
        </w:trPr>
        <w:tc>
          <w:tcPr>
            <w:tcW w:w="0" w:type="auto"/>
            <w:vMerge/>
            <w:tcBorders>
              <w:top w:val="nil"/>
              <w:left w:val="single" w:sz="4" w:space="0" w:color="000000"/>
              <w:bottom w:val="single" w:sz="4" w:space="0" w:color="000000"/>
              <w:right w:val="single" w:sz="4" w:space="0" w:color="000000"/>
            </w:tcBorders>
            <w:shd w:val="clear" w:color="auto" w:fill="auto"/>
          </w:tcPr>
          <w:p w14:paraId="0C366E1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3599" w:type="dxa"/>
            <w:tcBorders>
              <w:top w:val="single" w:sz="4" w:space="0" w:color="000000"/>
              <w:left w:val="single" w:sz="4" w:space="0" w:color="000000"/>
              <w:bottom w:val="single" w:sz="4" w:space="0" w:color="000000"/>
              <w:right w:val="single" w:sz="4" w:space="0" w:color="000000"/>
            </w:tcBorders>
            <w:shd w:val="clear" w:color="auto" w:fill="auto"/>
          </w:tcPr>
          <w:p w14:paraId="1F2A0069"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Utwardzone pobocza </w:t>
            </w:r>
          </w:p>
        </w:tc>
        <w:tc>
          <w:tcPr>
            <w:tcW w:w="1723" w:type="dxa"/>
            <w:tcBorders>
              <w:top w:val="single" w:sz="4" w:space="0" w:color="000000"/>
              <w:left w:val="single" w:sz="4" w:space="0" w:color="000000"/>
              <w:bottom w:val="single" w:sz="4" w:space="0" w:color="000000"/>
              <w:right w:val="single" w:sz="4" w:space="0" w:color="000000"/>
            </w:tcBorders>
            <w:shd w:val="clear" w:color="auto" w:fill="auto"/>
          </w:tcPr>
          <w:p w14:paraId="295E7B6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1,7 </w:t>
            </w:r>
          </w:p>
        </w:tc>
        <w:tc>
          <w:tcPr>
            <w:tcW w:w="1609" w:type="dxa"/>
            <w:tcBorders>
              <w:top w:val="single" w:sz="4" w:space="0" w:color="000000"/>
              <w:left w:val="single" w:sz="4" w:space="0" w:color="000000"/>
              <w:bottom w:val="single" w:sz="4" w:space="0" w:color="000000"/>
              <w:right w:val="single" w:sz="4" w:space="0" w:color="000000"/>
            </w:tcBorders>
            <w:shd w:val="clear" w:color="auto" w:fill="auto"/>
          </w:tcPr>
          <w:p w14:paraId="28B0442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3,4 </w:t>
            </w:r>
          </w:p>
        </w:tc>
      </w:tr>
    </w:tbl>
    <w:p w14:paraId="6613D18A" w14:textId="77777777" w:rsidR="00AD1E0F" w:rsidRPr="00AD1E0F" w:rsidRDefault="00AD1E0F" w:rsidP="00AD1E0F">
      <w:pPr>
        <w:overflowPunct w:val="0"/>
        <w:autoSpaceDE w:val="0"/>
        <w:autoSpaceDN w:val="0"/>
        <w:adjustRightInd w:val="0"/>
        <w:spacing w:after="9"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 przypadku: </w:t>
      </w:r>
    </w:p>
    <w:p w14:paraId="215A7D7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Segoe UI Symbol" w:hAnsi="Arial Narrow" w:cs="Segoe UI Symbol"/>
          <w:sz w:val="20"/>
          <w:szCs w:val="20"/>
          <w:lang w:eastAsia="pl-PL"/>
        </w:rPr>
        <w:t></w:t>
      </w:r>
      <w:r w:rsidRPr="00AD1E0F">
        <w:rPr>
          <w:rFonts w:ascii="Arial Narrow" w:eastAsia="Times New Roman" w:hAnsi="Arial Narrow" w:cs="Times New Roman"/>
          <w:sz w:val="20"/>
          <w:szCs w:val="20"/>
          <w:lang w:eastAsia="pl-PL"/>
        </w:rPr>
        <w:t xml:space="preserve">odbioru odcinków warstwy nawierzchni o całkowitej długości mniejszej niż 500 m, </w:t>
      </w:r>
      <w:r w:rsidRPr="00AD1E0F">
        <w:rPr>
          <w:rFonts w:ascii="Arial Narrow" w:eastAsia="Segoe UI Symbol" w:hAnsi="Arial Narrow" w:cs="Segoe UI Symbol"/>
          <w:sz w:val="20"/>
          <w:szCs w:val="20"/>
          <w:lang w:eastAsia="pl-PL"/>
        </w:rPr>
        <w:t></w:t>
      </w:r>
      <w:r w:rsidRPr="00AD1E0F">
        <w:rPr>
          <w:rFonts w:ascii="Arial Narrow" w:eastAsia="Times New Roman" w:hAnsi="Arial Narrow" w:cs="Times New Roman"/>
          <w:sz w:val="20"/>
          <w:szCs w:val="20"/>
          <w:lang w:eastAsia="pl-PL"/>
        </w:rPr>
        <w:t xml:space="preserve">odbioru robót polegających na ułożeniu na istniejącej nawierzchni jedynie warstwy ścieralnej (niezależnie od długości odcinka robót), dopuszczalną wartość IRIśr wg tabeli należy zwiększyć o 0,2 mm/m. </w:t>
      </w:r>
    </w:p>
    <w:p w14:paraId="278B1784"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t>
      </w:r>
    </w:p>
    <w:p w14:paraId="1E11F70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przypadku odbioru odcinków warstwy nawierzchni, na których występują dylatacje mostowe, dopuszcza się weryfikację równości podłużnej w miejscu dylatacji z użyciem łaty (o długości 4 m) i klina. Maksymalna wielkość zmierzonego prześwitu nie może przekroczyć wartości określonych w tabeli 12: </w:t>
      </w:r>
    </w:p>
    <w:p w14:paraId="323E7361" w14:textId="77777777" w:rsidR="00AD1E0F" w:rsidRPr="00AD1E0F" w:rsidRDefault="00AD1E0F" w:rsidP="00AD1E0F">
      <w:pPr>
        <w:overflowPunct w:val="0"/>
        <w:autoSpaceDE w:val="0"/>
        <w:autoSpaceDN w:val="0"/>
        <w:adjustRightInd w:val="0"/>
        <w:spacing w:after="0"/>
        <w:ind w:left="12" w:firstLine="709"/>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t>
      </w:r>
    </w:p>
    <w:p w14:paraId="20DD0DAF" w14:textId="77777777" w:rsidR="00AD1E0F" w:rsidRPr="00AD1E0F" w:rsidRDefault="00AD1E0F" w:rsidP="00AD1E0F">
      <w:pPr>
        <w:overflowPunct w:val="0"/>
        <w:autoSpaceDE w:val="0"/>
        <w:autoSpaceDN w:val="0"/>
        <w:adjustRightInd w:val="0"/>
        <w:spacing w:after="0" w:line="240" w:lineRule="auto"/>
        <w:ind w:left="991" w:hanging="994"/>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Tabela 12. Dopuszczalne odbiorcze wartości odchyleń równości podłużnej na odcinkach gdzie występują dylatacje </w:t>
      </w:r>
    </w:p>
    <w:p w14:paraId="5B62A3F3" w14:textId="77777777" w:rsidR="00AD1E0F" w:rsidRPr="00AD1E0F" w:rsidRDefault="00AD1E0F" w:rsidP="00AD1E0F">
      <w:pPr>
        <w:overflowPunct w:val="0"/>
        <w:autoSpaceDE w:val="0"/>
        <w:autoSpaceDN w:val="0"/>
        <w:adjustRightInd w:val="0"/>
        <w:spacing w:after="0"/>
        <w:ind w:left="12" w:firstLine="709"/>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t>
      </w:r>
    </w:p>
    <w:tbl>
      <w:tblPr>
        <w:tblW w:w="9045" w:type="dxa"/>
        <w:tblInd w:w="26" w:type="dxa"/>
        <w:tblCellMar>
          <w:top w:w="59" w:type="dxa"/>
          <w:left w:w="115" w:type="dxa"/>
          <w:right w:w="115" w:type="dxa"/>
        </w:tblCellMar>
        <w:tblLook w:val="04A0" w:firstRow="1" w:lastRow="0" w:firstColumn="1" w:lastColumn="0" w:noHBand="0" w:noVBand="1"/>
      </w:tblPr>
      <w:tblGrid>
        <w:gridCol w:w="1747"/>
        <w:gridCol w:w="7298"/>
      </w:tblGrid>
      <w:tr w:rsidR="00AD1E0F" w:rsidRPr="00AD1E0F" w14:paraId="33386BED" w14:textId="77777777" w:rsidTr="00855929">
        <w:trPr>
          <w:trHeight w:val="754"/>
        </w:trPr>
        <w:tc>
          <w:tcPr>
            <w:tcW w:w="1747" w:type="dxa"/>
            <w:tcBorders>
              <w:top w:val="single" w:sz="12" w:space="0" w:color="000000"/>
              <w:left w:val="single" w:sz="12" w:space="0" w:color="000000"/>
              <w:bottom w:val="single" w:sz="8" w:space="0" w:color="000000"/>
              <w:right w:val="single" w:sz="8" w:space="0" w:color="000000"/>
            </w:tcBorders>
            <w:shd w:val="clear" w:color="auto" w:fill="auto"/>
          </w:tcPr>
          <w:p w14:paraId="72389603"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Klasa drogi </w:t>
            </w:r>
          </w:p>
        </w:tc>
        <w:tc>
          <w:tcPr>
            <w:tcW w:w="7298" w:type="dxa"/>
            <w:tcBorders>
              <w:top w:val="single" w:sz="12" w:space="0" w:color="000000"/>
              <w:left w:val="single" w:sz="8" w:space="0" w:color="000000"/>
              <w:bottom w:val="single" w:sz="8" w:space="0" w:color="000000"/>
              <w:right w:val="single" w:sz="12" w:space="0" w:color="000000"/>
            </w:tcBorders>
            <w:shd w:val="clear" w:color="auto" w:fill="auto"/>
          </w:tcPr>
          <w:p w14:paraId="7FDFF12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Dopuszczalne odbiorcze wartości odchyleń równości podłużnej warstwy nawierzchniowej z betonu cementowego dla odcinków z </w:t>
            </w:r>
          </w:p>
          <w:p w14:paraId="4D32DC4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dylatacjami [mm] </w:t>
            </w:r>
          </w:p>
        </w:tc>
      </w:tr>
      <w:tr w:rsidR="00AD1E0F" w:rsidRPr="00AD1E0F" w14:paraId="39FC0D33" w14:textId="77777777" w:rsidTr="00855929">
        <w:trPr>
          <w:trHeight w:val="264"/>
        </w:trPr>
        <w:tc>
          <w:tcPr>
            <w:tcW w:w="1747" w:type="dxa"/>
            <w:tcBorders>
              <w:top w:val="single" w:sz="8" w:space="0" w:color="000000"/>
              <w:left w:val="single" w:sz="12" w:space="0" w:color="000000"/>
              <w:bottom w:val="single" w:sz="8" w:space="0" w:color="000000"/>
              <w:right w:val="single" w:sz="8" w:space="0" w:color="000000"/>
            </w:tcBorders>
            <w:shd w:val="clear" w:color="auto" w:fill="auto"/>
          </w:tcPr>
          <w:p w14:paraId="1691336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GP </w:t>
            </w:r>
          </w:p>
        </w:tc>
        <w:tc>
          <w:tcPr>
            <w:tcW w:w="7298" w:type="dxa"/>
            <w:tcBorders>
              <w:top w:val="single" w:sz="8" w:space="0" w:color="000000"/>
              <w:left w:val="single" w:sz="8" w:space="0" w:color="000000"/>
              <w:bottom w:val="single" w:sz="8" w:space="0" w:color="000000"/>
              <w:right w:val="single" w:sz="12" w:space="0" w:color="000000"/>
            </w:tcBorders>
            <w:shd w:val="clear" w:color="auto" w:fill="auto"/>
          </w:tcPr>
          <w:p w14:paraId="5B6E854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4 </w:t>
            </w:r>
          </w:p>
        </w:tc>
      </w:tr>
      <w:tr w:rsidR="00AD1E0F" w:rsidRPr="00AD1E0F" w14:paraId="5AF66E13" w14:textId="77777777" w:rsidTr="00855929">
        <w:trPr>
          <w:trHeight w:val="266"/>
        </w:trPr>
        <w:tc>
          <w:tcPr>
            <w:tcW w:w="1747" w:type="dxa"/>
            <w:tcBorders>
              <w:top w:val="single" w:sz="8" w:space="0" w:color="000000"/>
              <w:left w:val="single" w:sz="12" w:space="0" w:color="000000"/>
              <w:bottom w:val="single" w:sz="12" w:space="0" w:color="000000"/>
              <w:right w:val="single" w:sz="8" w:space="0" w:color="000000"/>
            </w:tcBorders>
            <w:shd w:val="clear" w:color="auto" w:fill="auto"/>
          </w:tcPr>
          <w:p w14:paraId="1593228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G </w:t>
            </w:r>
          </w:p>
        </w:tc>
        <w:tc>
          <w:tcPr>
            <w:tcW w:w="7298" w:type="dxa"/>
            <w:tcBorders>
              <w:top w:val="single" w:sz="8" w:space="0" w:color="000000"/>
              <w:left w:val="single" w:sz="8" w:space="0" w:color="000000"/>
              <w:bottom w:val="single" w:sz="12" w:space="0" w:color="000000"/>
              <w:right w:val="single" w:sz="12" w:space="0" w:color="000000"/>
            </w:tcBorders>
            <w:shd w:val="clear" w:color="auto" w:fill="auto"/>
          </w:tcPr>
          <w:p w14:paraId="48A0C6C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6 </w:t>
            </w:r>
          </w:p>
        </w:tc>
      </w:tr>
    </w:tbl>
    <w:p w14:paraId="3AE9A811" w14:textId="77777777" w:rsidR="00AD1E0F" w:rsidRPr="00AD1E0F" w:rsidRDefault="00AD1E0F" w:rsidP="00AD1E0F">
      <w:pPr>
        <w:overflowPunct w:val="0"/>
        <w:autoSpaceDE w:val="0"/>
        <w:autoSpaceDN w:val="0"/>
        <w:adjustRightInd w:val="0"/>
        <w:spacing w:after="17"/>
        <w:ind w:left="12" w:firstLine="709"/>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t>
      </w:r>
    </w:p>
    <w:p w14:paraId="30E173D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Do oceny równości podłużnej warstwy ścieralnej nawierzchni dróg klasy Z, L, D oraz placów i parkingów należy stosować metodę pomiaru ciągłego równoważną użyciu łaty i klina z wykorzystaniem planografu, umożliwiającego wyznaczanie odchyleń równości podłużnej jako największej odległości (prześwitu) pomiędzy teoretyczną linią łączącą spody kółek jezdnych urządzenia a mierzoną powierzchnią warstwy [mm]. Pomiar równości podłużnej warstw nawierzchni należy wykonać w sposób ciągły z użyciem łaty (o długości 4 m) i klina. </w:t>
      </w:r>
    </w:p>
    <w:p w14:paraId="54269709"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Wartości dopuszczalne odchyleń równości podłużnej przy odbiorze warstwy planografem (łatą i klinem) określa tabela 13. </w:t>
      </w:r>
    </w:p>
    <w:p w14:paraId="677D257C" w14:textId="77777777" w:rsidR="00AD1E0F" w:rsidRPr="00AD1E0F" w:rsidRDefault="00AD1E0F" w:rsidP="00AD1E0F">
      <w:pPr>
        <w:overflowPunct w:val="0"/>
        <w:autoSpaceDE w:val="0"/>
        <w:autoSpaceDN w:val="0"/>
        <w:adjustRightInd w:val="0"/>
        <w:spacing w:after="0"/>
        <w:ind w:left="12" w:firstLine="709"/>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t>
      </w:r>
    </w:p>
    <w:p w14:paraId="4713F17E"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Tabela 13. Dopuszczalne wartości odchyleń równości podłużnej przy odbiorze warstwy planografem (łatą i klinem) </w:t>
      </w:r>
    </w:p>
    <w:p w14:paraId="63245ABE" w14:textId="77777777" w:rsidR="00AD1E0F" w:rsidRPr="00AD1E0F" w:rsidRDefault="00AD1E0F" w:rsidP="00AD1E0F">
      <w:pPr>
        <w:overflowPunct w:val="0"/>
        <w:autoSpaceDE w:val="0"/>
        <w:autoSpaceDN w:val="0"/>
        <w:adjustRightInd w:val="0"/>
        <w:spacing w:after="0"/>
        <w:ind w:left="12" w:firstLine="709"/>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t>
      </w:r>
    </w:p>
    <w:tbl>
      <w:tblPr>
        <w:tblW w:w="9064" w:type="dxa"/>
        <w:tblInd w:w="17" w:type="dxa"/>
        <w:tblCellMar>
          <w:top w:w="54" w:type="dxa"/>
          <w:left w:w="134" w:type="dxa"/>
          <w:right w:w="68" w:type="dxa"/>
        </w:tblCellMar>
        <w:tblLook w:val="04A0" w:firstRow="1" w:lastRow="0" w:firstColumn="1" w:lastColumn="0" w:noHBand="0" w:noVBand="1"/>
      </w:tblPr>
      <w:tblGrid>
        <w:gridCol w:w="2974"/>
        <w:gridCol w:w="3044"/>
        <w:gridCol w:w="3046"/>
      </w:tblGrid>
      <w:tr w:rsidR="00AD1E0F" w:rsidRPr="00AD1E0F" w14:paraId="08565953" w14:textId="77777777" w:rsidTr="00855929">
        <w:trPr>
          <w:trHeight w:val="982"/>
        </w:trPr>
        <w:tc>
          <w:tcPr>
            <w:tcW w:w="29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BA216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Klasa drogi </w:t>
            </w:r>
          </w:p>
        </w:tc>
        <w:tc>
          <w:tcPr>
            <w:tcW w:w="30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A092A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Element nawierzchni </w:t>
            </w:r>
          </w:p>
        </w:tc>
        <w:tc>
          <w:tcPr>
            <w:tcW w:w="3046" w:type="dxa"/>
            <w:tcBorders>
              <w:top w:val="single" w:sz="4" w:space="0" w:color="000000"/>
              <w:left w:val="single" w:sz="4" w:space="0" w:color="000000"/>
              <w:bottom w:val="single" w:sz="4" w:space="0" w:color="000000"/>
              <w:right w:val="single" w:sz="4" w:space="0" w:color="000000"/>
            </w:tcBorders>
            <w:shd w:val="clear" w:color="auto" w:fill="auto"/>
          </w:tcPr>
          <w:p w14:paraId="72281FB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Dopuszczalne odbiorcze wartości odchyleń równości podłużnej warstwy ścieralnej [mm] </w:t>
            </w:r>
          </w:p>
        </w:tc>
      </w:tr>
      <w:tr w:rsidR="00AD1E0F" w:rsidRPr="00AD1E0F" w14:paraId="235CA157" w14:textId="77777777" w:rsidTr="00855929">
        <w:trPr>
          <w:trHeight w:val="623"/>
        </w:trPr>
        <w:tc>
          <w:tcPr>
            <w:tcW w:w="29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AD798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Z </w:t>
            </w:r>
          </w:p>
        </w:tc>
        <w:tc>
          <w:tcPr>
            <w:tcW w:w="3044" w:type="dxa"/>
            <w:tcBorders>
              <w:top w:val="single" w:sz="4" w:space="0" w:color="000000"/>
              <w:left w:val="single" w:sz="4" w:space="0" w:color="000000"/>
              <w:bottom w:val="single" w:sz="4" w:space="0" w:color="000000"/>
              <w:right w:val="single" w:sz="4" w:space="0" w:color="000000"/>
            </w:tcBorders>
            <w:shd w:val="clear" w:color="auto" w:fill="auto"/>
          </w:tcPr>
          <w:p w14:paraId="611C089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Pasy ruchu zasadnicze, dodatkowe, włączenia i wyłączenia, postojowe, </w:t>
            </w:r>
          </w:p>
          <w:p w14:paraId="0B83172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jezdnie łącznic, utwardzone </w:t>
            </w:r>
          </w:p>
          <w:p w14:paraId="3F1AE0E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pobocza </w:t>
            </w:r>
          </w:p>
        </w:tc>
        <w:tc>
          <w:tcPr>
            <w:tcW w:w="30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337D5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6 </w:t>
            </w:r>
          </w:p>
        </w:tc>
      </w:tr>
      <w:tr w:rsidR="00AD1E0F" w:rsidRPr="00AD1E0F" w14:paraId="6E89C2D6" w14:textId="77777777" w:rsidTr="00855929">
        <w:trPr>
          <w:trHeight w:val="339"/>
        </w:trPr>
        <w:tc>
          <w:tcPr>
            <w:tcW w:w="29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A6509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L, D, place, parkingi </w:t>
            </w:r>
          </w:p>
        </w:tc>
        <w:tc>
          <w:tcPr>
            <w:tcW w:w="3044" w:type="dxa"/>
            <w:tcBorders>
              <w:top w:val="single" w:sz="4" w:space="0" w:color="000000"/>
              <w:left w:val="single" w:sz="4" w:space="0" w:color="000000"/>
              <w:bottom w:val="single" w:sz="4" w:space="0" w:color="000000"/>
              <w:right w:val="single" w:sz="4" w:space="0" w:color="000000"/>
            </w:tcBorders>
            <w:shd w:val="clear" w:color="auto" w:fill="auto"/>
          </w:tcPr>
          <w:p w14:paraId="0E6D628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Wszystkie pasy ruchu i powierzchnie przeznaczone do ruchu i postoju pojazdów </w:t>
            </w:r>
          </w:p>
        </w:tc>
        <w:tc>
          <w:tcPr>
            <w:tcW w:w="30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68BF90"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9 </w:t>
            </w:r>
          </w:p>
        </w:tc>
      </w:tr>
    </w:tbl>
    <w:p w14:paraId="36048F8B" w14:textId="77777777" w:rsidR="00AD1E0F" w:rsidRPr="00AD1E0F" w:rsidRDefault="00AD1E0F" w:rsidP="00AD1E0F">
      <w:pPr>
        <w:overflowPunct w:val="0"/>
        <w:autoSpaceDE w:val="0"/>
        <w:autoSpaceDN w:val="0"/>
        <w:adjustRightInd w:val="0"/>
        <w:spacing w:after="164"/>
        <w:ind w:left="12" w:firstLine="709"/>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t>
      </w:r>
    </w:p>
    <w:p w14:paraId="68038E7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B.</w:t>
      </w:r>
      <w:r w:rsidRPr="00AD1E0F">
        <w:rPr>
          <w:rFonts w:ascii="Arial Narrow" w:eastAsia="Arial" w:hAnsi="Arial Narrow" w:cs="Arial"/>
          <w:sz w:val="20"/>
          <w:szCs w:val="20"/>
          <w:lang w:eastAsia="pl-PL"/>
        </w:rPr>
        <w:t xml:space="preserve"> </w:t>
      </w:r>
      <w:r w:rsidRPr="00AD1E0F">
        <w:rPr>
          <w:rFonts w:ascii="Arial Narrow" w:eastAsia="Times New Roman" w:hAnsi="Arial Narrow" w:cs="Times New Roman"/>
          <w:sz w:val="20"/>
          <w:szCs w:val="20"/>
          <w:lang w:eastAsia="pl-PL"/>
        </w:rPr>
        <w:t xml:space="preserve">Pomiar równości poprzecznej warstwy ścieralnej </w:t>
      </w:r>
    </w:p>
    <w:p w14:paraId="6B7CD28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Do oceny równości poprzecznej warstw nawierzchni dróg klasy GP oraz G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w:t>
      </w:r>
    </w:p>
    <w:p w14:paraId="2EA47AF4" w14:textId="77777777" w:rsidR="00AD1E0F" w:rsidRPr="00AD1E0F" w:rsidRDefault="00AD1E0F" w:rsidP="00AD1E0F">
      <w:pPr>
        <w:overflowPunct w:val="0"/>
        <w:autoSpaceDE w:val="0"/>
        <w:autoSpaceDN w:val="0"/>
        <w:adjustRightInd w:val="0"/>
        <w:spacing w:after="126"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Efektywna szerokość pomiarowa jest równa szerokości mierzonego pasa (elementu) nawierzchni z tolerancją ±15%. Wartość odchylenia równości poprzecznej należy wyznaczać z krokiem co 1 m, natomiast ocenie podlega wartość średnia z kolejnych 5 metrów. </w:t>
      </w:r>
    </w:p>
    <w:p w14:paraId="770D9F4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lastRenderedPageBreak/>
        <w:t>Pomiar równości porzecznej warstwy ścieralnej nawierzchni należy wykonać z użyciem łaty i klina. Długość łaty w pomiarze równości poprzecznej powinna wynosić 2 m, Pomiar powinien być wykonany nie rzadziej niż co 5 m. Dopuszczalne wartości odchyleń zostały podane w tabeli 14.</w:t>
      </w:r>
    </w:p>
    <w:p w14:paraId="60A37ECA" w14:textId="7E6DF493" w:rsidR="00AD1E0F" w:rsidRPr="00AD1E0F" w:rsidRDefault="00AD1E0F" w:rsidP="00DB0468">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Tabela 14. Dopuszczalne wartości odchyleń dla warstwy ścieralnej  </w:t>
      </w:r>
    </w:p>
    <w:tbl>
      <w:tblPr>
        <w:tblW w:w="9629" w:type="dxa"/>
        <w:tblInd w:w="125" w:type="dxa"/>
        <w:tblCellMar>
          <w:left w:w="115" w:type="dxa"/>
          <w:right w:w="40" w:type="dxa"/>
        </w:tblCellMar>
        <w:tblLook w:val="04A0" w:firstRow="1" w:lastRow="0" w:firstColumn="1" w:lastColumn="0" w:noHBand="0" w:noVBand="1"/>
      </w:tblPr>
      <w:tblGrid>
        <w:gridCol w:w="2117"/>
        <w:gridCol w:w="4252"/>
        <w:gridCol w:w="3260"/>
      </w:tblGrid>
      <w:tr w:rsidR="00AD1E0F" w:rsidRPr="00AD1E0F" w14:paraId="402857AC" w14:textId="77777777" w:rsidTr="00855929">
        <w:trPr>
          <w:trHeight w:val="284"/>
        </w:trPr>
        <w:tc>
          <w:tcPr>
            <w:tcW w:w="21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440716"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Klasa drogi </w:t>
            </w:r>
          </w:p>
        </w:tc>
        <w:tc>
          <w:tcPr>
            <w:tcW w:w="42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D0D2E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Element nawierzchni </w:t>
            </w:r>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38925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Dopuszczalne wartości odchyleń równości </w:t>
            </w:r>
          </w:p>
          <w:p w14:paraId="3653992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poprzecznej warstwy ścieralnej [mm] </w:t>
            </w:r>
          </w:p>
        </w:tc>
      </w:tr>
      <w:tr w:rsidR="00AD1E0F" w:rsidRPr="00AD1E0F" w14:paraId="04DB3A66" w14:textId="77777777" w:rsidTr="00855929">
        <w:trPr>
          <w:trHeight w:val="316"/>
        </w:trPr>
        <w:tc>
          <w:tcPr>
            <w:tcW w:w="2117" w:type="dxa"/>
            <w:tcBorders>
              <w:top w:val="single" w:sz="4" w:space="0" w:color="000000"/>
              <w:left w:val="single" w:sz="4" w:space="0" w:color="000000"/>
              <w:right w:val="single" w:sz="4" w:space="0" w:color="000000"/>
            </w:tcBorders>
            <w:shd w:val="clear" w:color="auto" w:fill="auto"/>
            <w:vAlign w:val="center"/>
          </w:tcPr>
          <w:p w14:paraId="66B832C8"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GP </w:t>
            </w:r>
          </w:p>
        </w:tc>
        <w:tc>
          <w:tcPr>
            <w:tcW w:w="4252" w:type="dxa"/>
            <w:tcBorders>
              <w:top w:val="single" w:sz="4" w:space="0" w:color="000000"/>
              <w:left w:val="single" w:sz="4" w:space="0" w:color="000000"/>
              <w:right w:val="single" w:sz="4" w:space="0" w:color="000000"/>
            </w:tcBorders>
            <w:shd w:val="clear" w:color="auto" w:fill="auto"/>
            <w:vAlign w:val="bottom"/>
          </w:tcPr>
          <w:p w14:paraId="4380FF91"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Pasy ruchu zasadnicze, awaryjne, dodatkowe, włączenia i wyłączenia, </w:t>
            </w:r>
          </w:p>
        </w:tc>
        <w:tc>
          <w:tcPr>
            <w:tcW w:w="3260" w:type="dxa"/>
            <w:tcBorders>
              <w:top w:val="single" w:sz="4" w:space="0" w:color="000000"/>
              <w:left w:val="single" w:sz="4" w:space="0" w:color="000000"/>
              <w:right w:val="single" w:sz="4" w:space="0" w:color="000000"/>
            </w:tcBorders>
            <w:shd w:val="clear" w:color="auto" w:fill="auto"/>
            <w:vAlign w:val="center"/>
          </w:tcPr>
          <w:p w14:paraId="46D9408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4 </w:t>
            </w:r>
          </w:p>
          <w:p w14:paraId="178C851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r>
      <w:tr w:rsidR="00AD1E0F" w:rsidRPr="00AD1E0F" w14:paraId="77EDC62D" w14:textId="77777777" w:rsidTr="00855929">
        <w:trPr>
          <w:trHeight w:val="284"/>
        </w:trPr>
        <w:tc>
          <w:tcPr>
            <w:tcW w:w="21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5C098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G, Z </w:t>
            </w:r>
          </w:p>
        </w:tc>
        <w:tc>
          <w:tcPr>
            <w:tcW w:w="42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E5B1B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Pasy ruchu zasadnicze, dodatkowe, włączenia i wyłączenia, postojowe, </w:t>
            </w:r>
          </w:p>
          <w:p w14:paraId="28E0A6F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jezdnie łącznic, utwardzone </w:t>
            </w:r>
          </w:p>
          <w:p w14:paraId="4D72C6AC"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pobocza </w:t>
            </w:r>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3C860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6 </w:t>
            </w:r>
          </w:p>
        </w:tc>
      </w:tr>
      <w:tr w:rsidR="00AD1E0F" w:rsidRPr="00AD1E0F" w14:paraId="10935CE3" w14:textId="77777777" w:rsidTr="00855929">
        <w:trPr>
          <w:trHeight w:val="284"/>
        </w:trPr>
        <w:tc>
          <w:tcPr>
            <w:tcW w:w="21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D8A92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L, D, place, parkingi </w:t>
            </w:r>
          </w:p>
        </w:tc>
        <w:tc>
          <w:tcPr>
            <w:tcW w:w="42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DF14DD"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Wszystkie pasy ruchu i powierzchnie przeznaczone do ruchu i postoju pojazdów </w:t>
            </w:r>
          </w:p>
        </w:tc>
        <w:tc>
          <w:tcPr>
            <w:tcW w:w="32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30435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9 </w:t>
            </w:r>
          </w:p>
        </w:tc>
      </w:tr>
    </w:tbl>
    <w:p w14:paraId="005F1782" w14:textId="77777777" w:rsidR="00AD1E0F" w:rsidRPr="00AD1E0F" w:rsidRDefault="00AD1E0F" w:rsidP="00AD1E0F">
      <w:pPr>
        <w:overflowPunct w:val="0"/>
        <w:autoSpaceDE w:val="0"/>
        <w:autoSpaceDN w:val="0"/>
        <w:adjustRightInd w:val="0"/>
        <w:spacing w:after="139"/>
        <w:ind w:left="12" w:firstLine="709"/>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t>
      </w:r>
    </w:p>
    <w:p w14:paraId="5B1592B1"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Pomiar równości poprzecznej warstw nawierzchni z użyciem łaty i klina.</w:t>
      </w:r>
    </w:p>
    <w:p w14:paraId="65A9808B" w14:textId="77777777" w:rsidR="00AD1E0F" w:rsidRPr="00AD1E0F" w:rsidRDefault="00AD1E0F" w:rsidP="00AD1E0F">
      <w:pPr>
        <w:overflowPunct w:val="0"/>
        <w:autoSpaceDE w:val="0"/>
        <w:autoSpaceDN w:val="0"/>
        <w:adjustRightInd w:val="0"/>
        <w:spacing w:after="126"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Pomiary równości poprzecznej z wykorzystaniem łaty i klina należy wykonywać z krokiem nie rzadziej niż co 5 m. W czasie pomiaru łata powinna leżeć prostopadle do osi drogi i w płaszczyźnie prostopadłej do powierzchni badanej warstwy. </w:t>
      </w:r>
    </w:p>
    <w:p w14:paraId="32B54078"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Klin należy podkładać pod łatę w miejscu, w którym prześwit jest największy (największe odchylenie równości). Wielkość prześwitu jest równa najmniejszej liczbie widocznej na klinie podłożonym pod łatę. Zasady oceny wyników podano w tabeli 14. </w:t>
      </w:r>
    </w:p>
    <w:p w14:paraId="6E770B9D"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6.8.4.</w:t>
      </w:r>
      <w:r w:rsidRPr="00AD1E0F">
        <w:rPr>
          <w:rFonts w:ascii="Arial Narrow" w:eastAsia="Arial" w:hAnsi="Arial Narrow" w:cs="Arial"/>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Spadki poprzeczne </w:t>
      </w:r>
    </w:p>
    <w:p w14:paraId="680585F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Sprawdzenie polega na przyłożeniu łaty i pomiar prześwitu klinem lub pomiar profilografem laserowym. Spadki poprzeczne warstwy ścieralnej na odcinkach prostych i na łukach powinny być zgodne z spadkami poprzecznymi z tolerancją ± 0,5%.  </w:t>
      </w:r>
    </w:p>
    <w:p w14:paraId="36F0246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Wymaga się, aby co najmniej 95% wykonanych pomiarów nie przekraczało przedziału dopuszczalnych odchyleń. Dla 100% wykonanych pomiarów spadki poprzeczne warstwy ścieralnej na odcinkach prostych i na łukach powinny być zgodne z spadkami poprzecznymi z tolerancją ± 0,7%. Spadek poprzeczny musi być wystarczający do zapewnienia sprawnego spływu wody. </w:t>
      </w:r>
    </w:p>
    <w:p w14:paraId="35B23414"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6.8.5.</w:t>
      </w:r>
      <w:r w:rsidRPr="00AD1E0F">
        <w:rPr>
          <w:rFonts w:ascii="Arial Narrow" w:eastAsia="Arial" w:hAnsi="Arial Narrow" w:cs="Arial"/>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Ukształtowanie osi w planie </w:t>
      </w:r>
    </w:p>
    <w:p w14:paraId="1084ABE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Nie dotyczy.</w:t>
      </w:r>
    </w:p>
    <w:p w14:paraId="4CC2643A"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6.8.6.</w:t>
      </w:r>
      <w:r w:rsidRPr="00AD1E0F">
        <w:rPr>
          <w:rFonts w:ascii="Arial Narrow" w:eastAsia="Arial" w:hAnsi="Arial Narrow" w:cs="Arial"/>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Rzędne wysokościowe nawierzchni </w:t>
      </w:r>
    </w:p>
    <w:p w14:paraId="588BD33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Rzędne wysokościowe warstwy ścieralnej powinny być mierzone w przekrojach co 10m w osi i na krawędziach jezdni. Przed przystąpieniem do robót Wykonawca przedstawi schemat punktów pomiarowych do akceptacji. </w:t>
      </w:r>
    </w:p>
    <w:p w14:paraId="0732F67F"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6.8.7.</w:t>
      </w:r>
      <w:r w:rsidRPr="00AD1E0F">
        <w:rPr>
          <w:rFonts w:ascii="Arial Narrow" w:eastAsia="Arial" w:hAnsi="Arial Narrow" w:cs="Arial"/>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Złącza podłużne i poprzeczne </w:t>
      </w:r>
    </w:p>
    <w:p w14:paraId="49270FD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Złącza w nawierzchni powinny być wykonane w linii prostej, prostopadle do osi drogi.  </w:t>
      </w:r>
    </w:p>
    <w:p w14:paraId="7A98BE84"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konstrukcji wielowarstwowej: </w:t>
      </w:r>
    </w:p>
    <w:p w14:paraId="50D1CC5B"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złącza poprzeczne powinny być przesunięte względem siebie co najmniej o 3 m, </w:t>
      </w:r>
    </w:p>
    <w:p w14:paraId="1B99A962"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złącza podłużne powinny być przesunięte względem siebie w kolejnych warstwach technologicznych o co najmniej o 30 cm w kierunku poprzecznym do osi jezdni.  </w:t>
      </w:r>
    </w:p>
    <w:p w14:paraId="7103E4C6"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Nie można lokalizować złącza podłużnego w śladach kół, a także w obszarze poziomego oznakowania jezdni. Złącza powinny być całkowicie związane, a przylegające warstwy powinny być w jednym poziomie. </w:t>
      </w:r>
    </w:p>
    <w:p w14:paraId="3D6C6768"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6.8.8.</w:t>
      </w:r>
      <w:r w:rsidRPr="00AD1E0F">
        <w:rPr>
          <w:rFonts w:ascii="Arial Narrow" w:eastAsia="Arial" w:hAnsi="Arial Narrow" w:cs="Arial"/>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Wygląd warstwy </w:t>
      </w:r>
    </w:p>
    <w:p w14:paraId="02C7D4C8"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Wygląd warstwy z MMA powinien być jednorodny, bez miejsc „przeasfaltowanych”, porowatych, łuszczących się i spękanych. </w:t>
      </w:r>
    </w:p>
    <w:p w14:paraId="473AA185" w14:textId="77777777" w:rsidR="00AD1E0F" w:rsidRPr="00AD1E0F" w:rsidRDefault="00AD1E0F" w:rsidP="00AD1E0F">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AD1E0F">
        <w:rPr>
          <w:rFonts w:ascii="Arial Narrow" w:eastAsia="Times New Roman" w:hAnsi="Arial Narrow" w:cs="Times New Roman"/>
          <w:b/>
          <w:sz w:val="24"/>
          <w:szCs w:val="20"/>
          <w:lang w:val="x-none" w:eastAsia="x-none"/>
        </w:rPr>
        <w:t>6.8.9.</w:t>
      </w:r>
      <w:r w:rsidRPr="00AD1E0F">
        <w:rPr>
          <w:rFonts w:ascii="Arial Narrow" w:eastAsia="Arial" w:hAnsi="Arial Narrow" w:cs="Arial"/>
          <w:b/>
          <w:sz w:val="24"/>
          <w:szCs w:val="20"/>
          <w:lang w:val="x-none" w:eastAsia="x-none"/>
        </w:rPr>
        <w:t xml:space="preserve"> </w:t>
      </w:r>
      <w:r w:rsidRPr="00AD1E0F">
        <w:rPr>
          <w:rFonts w:ascii="Arial Narrow" w:eastAsia="Times New Roman" w:hAnsi="Arial Narrow" w:cs="Times New Roman"/>
          <w:b/>
          <w:sz w:val="24"/>
          <w:szCs w:val="20"/>
          <w:lang w:val="x-none" w:eastAsia="x-none"/>
        </w:rPr>
        <w:t xml:space="preserve">Właściwości przeciwpoślizgowe </w:t>
      </w:r>
    </w:p>
    <w:p w14:paraId="2F53533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Przy ocenie właściwości przeciwpoślizgowych nawierzchni drogi klasy GP i G powinien być określony współczynnik tarcia na mokrej nawierzchni przy całkowitym poślizgu opony testowej. Pomiar wykonuje się urządzeniem SRT-3 nie rzadziej niż co 50 m na nawierzchni zwilżanej wodą w ilości 0,5 l/m2, przy 100% poślizgu opony testowej rowkowanej (ribbed tyre) rozmiaru 165 R 15 </w:t>
      </w:r>
      <w:r w:rsidRPr="00AD1E0F">
        <w:rPr>
          <w:rFonts w:ascii="Arial Narrow" w:eastAsia="Segoe UI Symbol" w:hAnsi="Arial Narrow" w:cs="Segoe UI Symbol"/>
          <w:sz w:val="20"/>
          <w:szCs w:val="20"/>
          <w:lang w:eastAsia="pl-PL"/>
        </w:rPr>
        <w:t></w:t>
      </w:r>
      <w:r w:rsidRPr="00AD1E0F">
        <w:rPr>
          <w:rFonts w:ascii="Arial Narrow" w:eastAsia="Times New Roman" w:hAnsi="Arial Narrow" w:cs="Times New Roman"/>
          <w:sz w:val="20"/>
          <w:szCs w:val="20"/>
          <w:lang w:eastAsia="pl-PL"/>
        </w:rPr>
        <w:t xml:space="preserve"> zalecanej przez World Road Association PIARC, lub za pomocą innej wiarygodnej metody równoważnej, jeśli dysponuje się sprawdzoną zależnością korelacyjną umożlwiającą przeliczenie wyników pomiarów na wartości uzyskiwane zestawem o pełnej blokadzie koła pozytywnie zaopiniowanej przez Zamawiającego. Pomiary powinny być wykonywane w temperaturze otoczenia od 5ºC do 30ºC, na czystej nawierzchni. Badanie należy wykonać w śladzie koła przed dopuszczeniem nawierzchni do ruchu drogowego oraz powtórnie w okresie od 4 do 8 tygodni od oddania nawierzchni do eksploatacji. Jeżeli warunki atmosferyczne uniemożliwiają wykonanie pomiaru  w wymienionym terminie, powinien być on zrealizowany z najmniejszym możliwym opóźnieniem. Uzyskane wartości współczynnika tarcia należy rejestrować  z dokładnością do trzech miejsc po przecinku. Miarą właściwości przeciwpoślizgowych jest miarodajny współczynnik tarcia. Za miarodajny współczynnik tarcia przyjmuje się różnicę wartości średniej E(m) i odchylenia standardowego D : E(m) - D. Wyniki podaje się z dokładnością do dwóch miejsc po przecinku. Długość ocenianego odcinka nawierzchni nie powinna być większa niż 1000 m a liczba pomiarów nie mniejsza niż 10. Odcinek końcowy o długości mniejszej niż 500 m należy oceniać łącznie z odcinkiem poprzedzającym. Wymagane minimalne parametry miarodajnego współczynnika tarcia nawierzchni określa tabela 15: </w:t>
      </w:r>
    </w:p>
    <w:p w14:paraId="2AAD5FE5" w14:textId="77777777" w:rsidR="00AD1E0F" w:rsidRPr="00AD1E0F" w:rsidRDefault="00AD1E0F" w:rsidP="00AD1E0F">
      <w:pPr>
        <w:overflowPunct w:val="0"/>
        <w:autoSpaceDE w:val="0"/>
        <w:autoSpaceDN w:val="0"/>
        <w:adjustRightInd w:val="0"/>
        <w:spacing w:after="0"/>
        <w:ind w:left="12" w:firstLine="709"/>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t>
      </w:r>
    </w:p>
    <w:p w14:paraId="58449D05"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Tabela 15. Minimalne wartości miarodajnego  współczynnika tarcia nawierzchni dla konkretnej prędkości zablokowanej opony względem nawierzchni. </w:t>
      </w:r>
    </w:p>
    <w:tbl>
      <w:tblPr>
        <w:tblW w:w="9069" w:type="dxa"/>
        <w:tblInd w:w="17" w:type="dxa"/>
        <w:tblCellMar>
          <w:left w:w="110" w:type="dxa"/>
          <w:right w:w="38" w:type="dxa"/>
        </w:tblCellMar>
        <w:tblLook w:val="04A0" w:firstRow="1" w:lastRow="0" w:firstColumn="1" w:lastColumn="0" w:noHBand="0" w:noVBand="1"/>
      </w:tblPr>
      <w:tblGrid>
        <w:gridCol w:w="792"/>
        <w:gridCol w:w="4150"/>
        <w:gridCol w:w="2141"/>
        <w:gridCol w:w="1986"/>
      </w:tblGrid>
      <w:tr w:rsidR="00AD1E0F" w:rsidRPr="00AD1E0F" w14:paraId="23819EA7" w14:textId="77777777" w:rsidTr="00855929">
        <w:trPr>
          <w:trHeight w:val="284"/>
        </w:trPr>
        <w:tc>
          <w:tcPr>
            <w:tcW w:w="79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B48B7E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lastRenderedPageBreak/>
              <w:t xml:space="preserve">Klasa drogi </w:t>
            </w:r>
          </w:p>
        </w:tc>
        <w:tc>
          <w:tcPr>
            <w:tcW w:w="41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FC533F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Element nawierzchni </w:t>
            </w:r>
          </w:p>
        </w:tc>
        <w:tc>
          <w:tcPr>
            <w:tcW w:w="412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B67C3BB"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Minimalna wartość miarodajnego współczynnika tarcia przy prędkości zablokowanej opony względem </w:t>
            </w:r>
          </w:p>
          <w:p w14:paraId="76CCA277"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nawierzchni </w:t>
            </w:r>
          </w:p>
        </w:tc>
      </w:tr>
      <w:tr w:rsidR="00AD1E0F" w:rsidRPr="00AD1E0F" w14:paraId="12D92F19" w14:textId="77777777" w:rsidTr="00855929">
        <w:trPr>
          <w:trHeight w:val="284"/>
        </w:trPr>
        <w:tc>
          <w:tcPr>
            <w:tcW w:w="0" w:type="auto"/>
            <w:vMerge/>
            <w:tcBorders>
              <w:top w:val="nil"/>
              <w:left w:val="single" w:sz="4" w:space="0" w:color="000000"/>
              <w:bottom w:val="single" w:sz="4" w:space="0" w:color="000000"/>
              <w:right w:val="single" w:sz="4" w:space="0" w:color="000000"/>
            </w:tcBorders>
            <w:shd w:val="clear" w:color="auto" w:fill="auto"/>
          </w:tcPr>
          <w:p w14:paraId="3EB0240A"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0" w:type="auto"/>
            <w:vMerge/>
            <w:tcBorders>
              <w:top w:val="nil"/>
              <w:left w:val="single" w:sz="4" w:space="0" w:color="000000"/>
              <w:bottom w:val="single" w:sz="4" w:space="0" w:color="000000"/>
              <w:right w:val="single" w:sz="4" w:space="0" w:color="000000"/>
            </w:tcBorders>
            <w:shd w:val="clear" w:color="auto" w:fill="auto"/>
          </w:tcPr>
          <w:p w14:paraId="06637664"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14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19D3E"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30 km/h </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BA0ED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60 km/h </w:t>
            </w:r>
          </w:p>
        </w:tc>
      </w:tr>
      <w:tr w:rsidR="00AD1E0F" w:rsidRPr="00AD1E0F" w14:paraId="60308776" w14:textId="77777777" w:rsidTr="00855929">
        <w:trPr>
          <w:trHeight w:val="284"/>
        </w:trPr>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F07A6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GP, G </w:t>
            </w:r>
          </w:p>
        </w:tc>
        <w:tc>
          <w:tcPr>
            <w:tcW w:w="41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9443E5"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Pasy ruchu, pasy dodatkowe, jezdnie łącznic, utwardzone pobocza*</w:t>
            </w:r>
            <w:r w:rsidRPr="00AD1E0F">
              <w:rPr>
                <w:rFonts w:ascii="Arial Narrow" w:eastAsia="Times New Roman" w:hAnsi="Arial Narrow" w:cs="Times New Roman"/>
                <w:sz w:val="20"/>
                <w:vertAlign w:val="superscript"/>
              </w:rPr>
              <w:t xml:space="preserve">) </w:t>
            </w:r>
          </w:p>
        </w:tc>
        <w:tc>
          <w:tcPr>
            <w:tcW w:w="214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FD5B72"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0,48** </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A9E12F" w14:textId="77777777" w:rsidR="00AD1E0F" w:rsidRPr="00AD1E0F" w:rsidRDefault="00AD1E0F" w:rsidP="00AD1E0F">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AD1E0F">
              <w:rPr>
                <w:rFonts w:ascii="Arial Narrow" w:eastAsia="Times New Roman" w:hAnsi="Arial Narrow" w:cs="Times New Roman"/>
                <w:sz w:val="20"/>
              </w:rPr>
              <w:t xml:space="preserve">0,41 </w:t>
            </w:r>
          </w:p>
        </w:tc>
      </w:tr>
    </w:tbl>
    <w:p w14:paraId="40C9AD5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 przypadku utwardzonych poboczy wykonywanych w jednym ciągu technologicznym, wymagania można uznać za spełnione na podstawie pozytywnych parametrów nawierzchni pasów ruchu, </w:t>
      </w:r>
    </w:p>
    <w:p w14:paraId="140B6C3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wartości wymagań dla odcinków nawierzchni, na których nie można wykonać pomiarów z prędkością 60 km/h.  </w:t>
      </w:r>
    </w:p>
    <w:p w14:paraId="15429D99"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731" w:name="_Toc60630"/>
      <w:r w:rsidRPr="00AD1E0F">
        <w:rPr>
          <w:rFonts w:ascii="Arial Narrow" w:eastAsia="Times New Roman" w:hAnsi="Arial Narrow" w:cs="Times New Roman"/>
          <w:b/>
          <w:caps/>
          <w:kern w:val="28"/>
          <w:sz w:val="28"/>
          <w:szCs w:val="20"/>
          <w:lang w:val="x-none" w:eastAsia="x-none"/>
        </w:rPr>
        <w:t>7.</w:t>
      </w:r>
      <w:r w:rsidRPr="00AD1E0F">
        <w:rPr>
          <w:rFonts w:ascii="Arial Narrow" w:eastAsia="Arial" w:hAnsi="Arial Narrow" w:cs="Arial"/>
          <w:b/>
          <w:caps/>
          <w:kern w:val="28"/>
          <w:sz w:val="28"/>
          <w:szCs w:val="20"/>
          <w:lang w:val="x-none" w:eastAsia="x-none"/>
        </w:rPr>
        <w:t xml:space="preserve"> </w:t>
      </w:r>
      <w:r w:rsidRPr="00AD1E0F">
        <w:rPr>
          <w:rFonts w:ascii="Arial Narrow" w:eastAsia="Times New Roman" w:hAnsi="Arial Narrow" w:cs="Times New Roman"/>
          <w:b/>
          <w:caps/>
          <w:kern w:val="28"/>
          <w:sz w:val="28"/>
          <w:szCs w:val="20"/>
          <w:lang w:val="x-none" w:eastAsia="x-none"/>
        </w:rPr>
        <w:t xml:space="preserve">OBMIAR ROBÓT </w:t>
      </w:r>
      <w:bookmarkEnd w:id="731"/>
    </w:p>
    <w:p w14:paraId="37A4AB7B"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32" w:name="_Toc60631"/>
      <w:r w:rsidRPr="00AD1E0F">
        <w:rPr>
          <w:rFonts w:ascii="Arial Narrow" w:eastAsia="Times New Roman" w:hAnsi="Arial Narrow" w:cs="Times New Roman"/>
          <w:b/>
          <w:sz w:val="28"/>
          <w:szCs w:val="20"/>
          <w:lang w:val="x-none" w:eastAsia="x-none"/>
        </w:rPr>
        <w:t>7.1.</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Ogólne zasady obmiaru robót </w:t>
      </w:r>
      <w:bookmarkEnd w:id="732"/>
    </w:p>
    <w:p w14:paraId="435370A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Ogólne zasady obmiaru robót podano w D-M-00.00.00 „Wymagania ogólne”. </w:t>
      </w:r>
    </w:p>
    <w:p w14:paraId="73160192"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33" w:name="_Toc60632"/>
      <w:r w:rsidRPr="00AD1E0F">
        <w:rPr>
          <w:rFonts w:ascii="Arial Narrow" w:eastAsia="Times New Roman" w:hAnsi="Arial Narrow" w:cs="Times New Roman"/>
          <w:b/>
          <w:sz w:val="28"/>
          <w:szCs w:val="20"/>
          <w:lang w:val="x-none" w:eastAsia="x-none"/>
        </w:rPr>
        <w:t>7.2.</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Jednostka obmiarowa </w:t>
      </w:r>
      <w:bookmarkEnd w:id="733"/>
    </w:p>
    <w:p w14:paraId="2E4739B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Jednostką obmiarową jest m</w:t>
      </w:r>
      <w:r w:rsidRPr="00AD1E0F">
        <w:rPr>
          <w:rFonts w:ascii="Arial Narrow" w:eastAsia="Times New Roman" w:hAnsi="Arial Narrow" w:cs="Times New Roman"/>
          <w:sz w:val="20"/>
          <w:szCs w:val="20"/>
          <w:vertAlign w:val="superscript"/>
          <w:lang w:eastAsia="pl-PL"/>
        </w:rPr>
        <w:t>2</w:t>
      </w:r>
      <w:r w:rsidRPr="00AD1E0F">
        <w:rPr>
          <w:rFonts w:ascii="Arial Narrow" w:eastAsia="Times New Roman" w:hAnsi="Arial Narrow" w:cs="Times New Roman"/>
          <w:sz w:val="20"/>
          <w:szCs w:val="20"/>
          <w:lang w:eastAsia="pl-PL"/>
        </w:rPr>
        <w:t xml:space="preserve"> (metr kwadratowy) wykonanej warstwy ścieralnej z betonu asfaltowego (AC S). </w:t>
      </w:r>
    </w:p>
    <w:p w14:paraId="7D7F2A07" w14:textId="77777777" w:rsidR="00AD1E0F" w:rsidRPr="00AD1E0F" w:rsidRDefault="00AD1E0F" w:rsidP="00AD1E0F">
      <w:pPr>
        <w:keepNext/>
        <w:keepLines/>
        <w:tabs>
          <w:tab w:val="center" w:pos="1465"/>
        </w:tabs>
        <w:suppressAutoHyphens/>
        <w:overflowPunct w:val="0"/>
        <w:autoSpaceDE w:val="0"/>
        <w:autoSpaceDN w:val="0"/>
        <w:adjustRightInd w:val="0"/>
        <w:spacing w:after="0" w:line="240" w:lineRule="auto"/>
        <w:ind w:left="-3"/>
        <w:jc w:val="both"/>
        <w:textAlignment w:val="baseline"/>
        <w:outlineLvl w:val="0"/>
        <w:rPr>
          <w:rFonts w:ascii="Arial Narrow" w:eastAsia="Times New Roman" w:hAnsi="Arial Narrow" w:cs="Times New Roman"/>
          <w:b/>
          <w:caps/>
          <w:kern w:val="28"/>
          <w:sz w:val="28"/>
          <w:szCs w:val="20"/>
          <w:lang w:val="x-none" w:eastAsia="x-none"/>
        </w:rPr>
      </w:pPr>
      <w:bookmarkStart w:id="734" w:name="_Toc60633"/>
      <w:r w:rsidRPr="00AD1E0F">
        <w:rPr>
          <w:rFonts w:ascii="Arial Narrow" w:eastAsia="Times New Roman" w:hAnsi="Arial Narrow" w:cs="Times New Roman"/>
          <w:b/>
          <w:caps/>
          <w:kern w:val="28"/>
          <w:sz w:val="28"/>
          <w:szCs w:val="20"/>
          <w:lang w:val="x-none" w:eastAsia="x-none"/>
        </w:rPr>
        <w:t>8.</w:t>
      </w:r>
      <w:r w:rsidRPr="00AD1E0F">
        <w:rPr>
          <w:rFonts w:ascii="Arial Narrow" w:eastAsia="Arial" w:hAnsi="Arial Narrow" w:cs="Arial"/>
          <w:b/>
          <w:caps/>
          <w:kern w:val="28"/>
          <w:sz w:val="28"/>
          <w:szCs w:val="20"/>
          <w:lang w:val="x-none" w:eastAsia="x-none"/>
        </w:rPr>
        <w:t xml:space="preserve"> </w:t>
      </w:r>
      <w:r w:rsidRPr="00AD1E0F">
        <w:rPr>
          <w:rFonts w:ascii="Arial Narrow" w:eastAsia="Times New Roman" w:hAnsi="Arial Narrow" w:cs="Times New Roman"/>
          <w:b/>
          <w:caps/>
          <w:kern w:val="28"/>
          <w:sz w:val="28"/>
          <w:szCs w:val="20"/>
          <w:lang w:val="x-none" w:eastAsia="x-none"/>
        </w:rPr>
        <w:t xml:space="preserve">ODBIÓR ROBÓT </w:t>
      </w:r>
      <w:bookmarkEnd w:id="734"/>
    </w:p>
    <w:p w14:paraId="127C3FF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Ogólne zasady odbioru robót podano w D-M-00.00.00 „Wymagania ogólne”. Roboty uznaje się za wykonane zgodnie z Dokumentacją Projektową i STWiORB, jeżeli wszystkie badania i pomiary z zachowaniem tolerancji wg pkt. 6 niniejszej STWiORB dały wyniki pozytywne.  </w:t>
      </w:r>
    </w:p>
    <w:p w14:paraId="43AF80B0"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Do odbioru ostatecznego uwzględniane są wyniki badań i pomiarów kontrolnych, badań i pomiarów kontrolnych dodatkowych oraz badań i pomiarów arbitrażowych do wyznaczonych odcinków częściowych. </w:t>
      </w:r>
    </w:p>
    <w:p w14:paraId="3EE8A71F"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35" w:name="_Toc60634"/>
      <w:r w:rsidRPr="00AD1E0F">
        <w:rPr>
          <w:rFonts w:ascii="Arial Narrow" w:eastAsia="Times New Roman" w:hAnsi="Arial Narrow" w:cs="Times New Roman"/>
          <w:b/>
          <w:sz w:val="28"/>
          <w:szCs w:val="20"/>
          <w:lang w:val="x-none" w:eastAsia="x-none"/>
        </w:rPr>
        <w:t>8.1.</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Zasady postępowania z wadliwie wykonanymi robotami </w:t>
      </w:r>
      <w:bookmarkEnd w:id="735"/>
    </w:p>
    <w:p w14:paraId="7E60192A"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Jeżeli wystąpią wyniki negatywne dla materiałów i robót (nie spełniające wymagań określonych w STWiORB i opracowanych na ich podstawie STWiORB), to Inżynier/Inspektor Nadzoru/Zamawiający wydaje Wykonawcy polecenie przedstawienia programu naprawczego, chyba że na wniosek jednej ze stron kontraktu zostaną wykonane badania lub pomiary arbitrażowe (zgodnie z pkt. 6.5 niniejszego STWiORB), a ich wyniki będą pozytywne. Wykonawca w programie tym jest zobowiązany dokonać oceny wpływu na trwałość konstrukcji nawierzchni, przedstawić sposób naprawienia wady lub wnioskować  o zredukowanie ceny kontraktowej – naliczenie potrąceń według zasad określonych  w Instrukcji DP-T14 Ocena Jakości na Drogach Krajowych. Część I Roboty Drogowe.  W przypadku przekroczenia wartości IRI wskazanych w tabeli 11, a mieszczących się  w zakresie wartości podanych w Dz. U. Nr 43 poz. 430 ze zm. (Dz. U. 2016 poz. 124 – Załącznik nr 6) należy zastosować potrącenia zgodnie z poniższym wzorem: </w:t>
      </w:r>
    </w:p>
    <w:p w14:paraId="47B25658"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P</w:t>
      </w:r>
      <w:r w:rsidRPr="00AD1E0F">
        <w:rPr>
          <w:rFonts w:ascii="Arial Narrow" w:eastAsia="Times New Roman" w:hAnsi="Arial Narrow" w:cs="Times New Roman"/>
          <w:sz w:val="13"/>
          <w:szCs w:val="20"/>
          <w:lang w:eastAsia="pl-PL"/>
        </w:rPr>
        <w:t>IRIśr</w:t>
      </w:r>
      <w:r w:rsidRPr="00AD1E0F">
        <w:rPr>
          <w:rFonts w:ascii="Arial Narrow" w:eastAsia="Times New Roman" w:hAnsi="Arial Narrow" w:cs="Times New Roman"/>
          <w:sz w:val="20"/>
          <w:szCs w:val="20"/>
          <w:lang w:eastAsia="pl-PL"/>
        </w:rPr>
        <w:t xml:space="preserve"> = (IRI</w:t>
      </w:r>
      <w:r w:rsidRPr="00AD1E0F">
        <w:rPr>
          <w:rFonts w:ascii="Arial Narrow" w:eastAsia="Times New Roman" w:hAnsi="Arial Narrow" w:cs="Times New Roman"/>
          <w:sz w:val="13"/>
          <w:szCs w:val="20"/>
          <w:lang w:eastAsia="pl-PL"/>
        </w:rPr>
        <w:t>śr</w:t>
      </w:r>
      <w:r w:rsidRPr="00AD1E0F">
        <w:rPr>
          <w:rFonts w:ascii="Arial Narrow" w:eastAsia="Times New Roman" w:hAnsi="Arial Narrow" w:cs="Times New Roman"/>
          <w:sz w:val="20"/>
          <w:szCs w:val="20"/>
          <w:lang w:eastAsia="pl-PL"/>
        </w:rPr>
        <w:t>-IRI</w:t>
      </w:r>
      <w:r w:rsidRPr="00AD1E0F">
        <w:rPr>
          <w:rFonts w:ascii="Arial Narrow" w:eastAsia="Times New Roman" w:hAnsi="Arial Narrow" w:cs="Times New Roman"/>
          <w:sz w:val="13"/>
          <w:szCs w:val="20"/>
          <w:lang w:eastAsia="pl-PL"/>
        </w:rPr>
        <w:t>śr dop</w:t>
      </w:r>
      <w:r w:rsidRPr="00AD1E0F">
        <w:rPr>
          <w:rFonts w:ascii="Arial Narrow" w:eastAsia="Times New Roman" w:hAnsi="Arial Narrow" w:cs="Times New Roman"/>
          <w:sz w:val="20"/>
          <w:szCs w:val="20"/>
          <w:lang w:eastAsia="pl-PL"/>
        </w:rPr>
        <w:t xml:space="preserve">) x K x F </w:t>
      </w:r>
    </w:p>
    <w:p w14:paraId="1FA75200" w14:textId="77777777" w:rsidR="00AD1E0F" w:rsidRPr="00AD1E0F" w:rsidRDefault="00AD1E0F" w:rsidP="00AD1E0F">
      <w:pPr>
        <w:overflowPunct w:val="0"/>
        <w:autoSpaceDE w:val="0"/>
        <w:autoSpaceDN w:val="0"/>
        <w:adjustRightInd w:val="0"/>
        <w:spacing w:after="7" w:line="392" w:lineRule="auto"/>
        <w:ind w:left="7" w:right="1295"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P</w:t>
      </w:r>
      <w:r w:rsidRPr="00AD1E0F">
        <w:rPr>
          <w:rFonts w:ascii="Arial Narrow" w:eastAsia="Times New Roman" w:hAnsi="Arial Narrow" w:cs="Times New Roman"/>
          <w:sz w:val="20"/>
          <w:szCs w:val="20"/>
          <w:vertAlign w:val="subscript"/>
          <w:lang w:eastAsia="pl-PL"/>
        </w:rPr>
        <w:t>IRI śr</w:t>
      </w:r>
      <w:r w:rsidRPr="00AD1E0F">
        <w:rPr>
          <w:rFonts w:ascii="Arial Narrow" w:eastAsia="Times New Roman" w:hAnsi="Arial Narrow" w:cs="Times New Roman"/>
          <w:sz w:val="20"/>
          <w:szCs w:val="20"/>
          <w:lang w:eastAsia="pl-PL"/>
        </w:rPr>
        <w:t xml:space="preserve"> – potrącenie za przekroczenie dopuszczalnej wartości średniej IRI</w:t>
      </w:r>
      <w:r w:rsidRPr="00AD1E0F">
        <w:rPr>
          <w:rFonts w:ascii="Arial Narrow" w:eastAsia="Times New Roman" w:hAnsi="Arial Narrow" w:cs="Times New Roman"/>
          <w:sz w:val="20"/>
          <w:szCs w:val="20"/>
          <w:vertAlign w:val="subscript"/>
          <w:lang w:eastAsia="pl-PL"/>
        </w:rPr>
        <w:t>śr</w:t>
      </w:r>
      <w:r w:rsidRPr="00AD1E0F">
        <w:rPr>
          <w:rFonts w:ascii="Arial Narrow" w:eastAsia="Times New Roman" w:hAnsi="Arial Narrow" w:cs="Times New Roman"/>
          <w:sz w:val="20"/>
          <w:szCs w:val="20"/>
          <w:lang w:eastAsia="pl-PL"/>
        </w:rPr>
        <w:t xml:space="preserve"> na odcinkach 1000 m   </w:t>
      </w:r>
    </w:p>
    <w:p w14:paraId="71019048"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IRI</w:t>
      </w:r>
      <w:r w:rsidRPr="00AD1E0F">
        <w:rPr>
          <w:rFonts w:ascii="Arial Narrow" w:eastAsia="Times New Roman" w:hAnsi="Arial Narrow" w:cs="Times New Roman"/>
          <w:sz w:val="20"/>
          <w:szCs w:val="20"/>
          <w:vertAlign w:val="subscript"/>
          <w:lang w:eastAsia="pl-PL"/>
        </w:rPr>
        <w:t>śr</w:t>
      </w:r>
      <w:r w:rsidRPr="00AD1E0F">
        <w:rPr>
          <w:rFonts w:ascii="Arial Narrow" w:eastAsia="Times New Roman" w:hAnsi="Arial Narrow" w:cs="Times New Roman"/>
          <w:sz w:val="20"/>
          <w:szCs w:val="20"/>
          <w:lang w:eastAsia="pl-PL"/>
        </w:rPr>
        <w:t xml:space="preserve"> – uzyskana wartość średnia wyników pomiaru dla odcinka 1000 m </w:t>
      </w:r>
    </w:p>
    <w:p w14:paraId="64090288" w14:textId="77777777" w:rsidR="00AD1E0F" w:rsidRPr="00AD1E0F" w:rsidRDefault="00AD1E0F" w:rsidP="00AD1E0F">
      <w:pPr>
        <w:tabs>
          <w:tab w:val="center" w:pos="4594"/>
        </w:tabs>
        <w:overflowPunct w:val="0"/>
        <w:autoSpaceDE w:val="0"/>
        <w:autoSpaceDN w:val="0"/>
        <w:adjustRightInd w:val="0"/>
        <w:spacing w:after="0" w:line="240" w:lineRule="auto"/>
        <w:ind w:left="-3" w:firstLine="709"/>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IRI</w:t>
      </w:r>
      <w:r w:rsidRPr="00AD1E0F">
        <w:rPr>
          <w:rFonts w:ascii="Arial Narrow" w:eastAsia="Times New Roman" w:hAnsi="Arial Narrow" w:cs="Times New Roman"/>
          <w:sz w:val="20"/>
          <w:szCs w:val="20"/>
          <w:vertAlign w:val="subscript"/>
          <w:lang w:eastAsia="pl-PL"/>
        </w:rPr>
        <w:t>śr dop</w:t>
      </w:r>
      <w:r w:rsidRPr="00AD1E0F">
        <w:rPr>
          <w:rFonts w:ascii="Arial Narrow" w:eastAsia="Times New Roman" w:hAnsi="Arial Narrow" w:cs="Times New Roman"/>
          <w:sz w:val="20"/>
          <w:szCs w:val="20"/>
          <w:lang w:eastAsia="pl-PL"/>
        </w:rPr>
        <w:t xml:space="preserve"> </w:t>
      </w:r>
      <w:r w:rsidRPr="00AD1E0F">
        <w:rPr>
          <w:rFonts w:ascii="Arial Narrow" w:eastAsia="Times New Roman" w:hAnsi="Arial Narrow" w:cs="Times New Roman"/>
          <w:sz w:val="20"/>
          <w:szCs w:val="20"/>
          <w:lang w:eastAsia="pl-PL"/>
        </w:rPr>
        <w:tab/>
        <w:t xml:space="preserve">– dopuszczalna wartość średnia wyników pomiaru wg tabeli 11 </w:t>
      </w:r>
    </w:p>
    <w:p w14:paraId="48B2F64B"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F –  powierzchnia elementu nawierzchni, na którym nie został dotrzymany parametr IRI</w:t>
      </w:r>
      <w:r w:rsidRPr="00AD1E0F">
        <w:rPr>
          <w:rFonts w:ascii="Arial Narrow" w:eastAsia="Times New Roman" w:hAnsi="Arial Narrow" w:cs="Times New Roman"/>
          <w:sz w:val="20"/>
          <w:szCs w:val="20"/>
          <w:vertAlign w:val="subscript"/>
          <w:lang w:eastAsia="pl-PL"/>
        </w:rPr>
        <w:t>śr</w:t>
      </w:r>
      <w:r w:rsidRPr="00AD1E0F">
        <w:rPr>
          <w:rFonts w:ascii="Arial Narrow" w:eastAsia="Times New Roman" w:hAnsi="Arial Narrow" w:cs="Times New Roman"/>
          <w:sz w:val="20"/>
          <w:szCs w:val="20"/>
          <w:lang w:eastAsia="pl-PL"/>
        </w:rPr>
        <w:t>, [m</w:t>
      </w:r>
      <w:r w:rsidRPr="00AD1E0F">
        <w:rPr>
          <w:rFonts w:ascii="Arial Narrow" w:eastAsia="Times New Roman" w:hAnsi="Arial Narrow" w:cs="Times New Roman"/>
          <w:sz w:val="20"/>
          <w:szCs w:val="20"/>
          <w:vertAlign w:val="superscript"/>
          <w:lang w:eastAsia="pl-PL"/>
        </w:rPr>
        <w:t>2</w:t>
      </w:r>
      <w:r w:rsidRPr="00AD1E0F">
        <w:rPr>
          <w:rFonts w:ascii="Arial Narrow" w:eastAsia="Times New Roman" w:hAnsi="Arial Narrow" w:cs="Times New Roman"/>
          <w:sz w:val="20"/>
          <w:szCs w:val="20"/>
          <w:lang w:eastAsia="pl-PL"/>
        </w:rPr>
        <w:t xml:space="preserve">] </w:t>
      </w:r>
    </w:p>
    <w:p w14:paraId="149F81C0" w14:textId="77777777" w:rsidR="00AD1E0F" w:rsidRPr="00AD1E0F" w:rsidRDefault="00AD1E0F" w:rsidP="00AD1E0F">
      <w:pPr>
        <w:overflowPunct w:val="0"/>
        <w:autoSpaceDE w:val="0"/>
        <w:autoSpaceDN w:val="0"/>
        <w:adjustRightInd w:val="0"/>
        <w:spacing w:after="133"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K</w:t>
      </w:r>
      <w:r w:rsidRPr="00AD1E0F">
        <w:rPr>
          <w:rFonts w:ascii="Arial Narrow" w:eastAsia="Times New Roman" w:hAnsi="Arial Narrow" w:cs="Times New Roman"/>
          <w:sz w:val="20"/>
          <w:szCs w:val="20"/>
          <w:vertAlign w:val="subscript"/>
          <w:lang w:eastAsia="pl-PL"/>
        </w:rPr>
        <w:t xml:space="preserve"> </w:t>
      </w:r>
      <w:r w:rsidRPr="00AD1E0F">
        <w:rPr>
          <w:rFonts w:ascii="Arial Narrow" w:eastAsia="Times New Roman" w:hAnsi="Arial Narrow" w:cs="Times New Roman"/>
          <w:sz w:val="20"/>
          <w:szCs w:val="20"/>
          <w:lang w:eastAsia="pl-PL"/>
        </w:rPr>
        <w:t>– jednostkowa (średnia) cena 1 m</w:t>
      </w:r>
      <w:r w:rsidRPr="00AD1E0F">
        <w:rPr>
          <w:rFonts w:ascii="Arial Narrow" w:eastAsia="Times New Roman" w:hAnsi="Arial Narrow" w:cs="Times New Roman"/>
          <w:sz w:val="20"/>
          <w:szCs w:val="20"/>
          <w:vertAlign w:val="superscript"/>
          <w:lang w:eastAsia="pl-PL"/>
        </w:rPr>
        <w:t>2</w:t>
      </w:r>
      <w:r w:rsidRPr="00AD1E0F">
        <w:rPr>
          <w:rFonts w:ascii="Arial Narrow" w:eastAsia="Times New Roman" w:hAnsi="Arial Narrow" w:cs="Times New Roman"/>
          <w:sz w:val="20"/>
          <w:szCs w:val="20"/>
          <w:lang w:eastAsia="pl-PL"/>
        </w:rPr>
        <w:t xml:space="preserve"> wykonania ocenianego elementu nawierzchni wg biuletynu SEKOCENBUD (aktualnego na dzień złożenia oferty), [PLN/m</w:t>
      </w:r>
      <w:r w:rsidRPr="00AD1E0F">
        <w:rPr>
          <w:rFonts w:ascii="Arial Narrow" w:eastAsia="Times New Roman" w:hAnsi="Arial Narrow" w:cs="Times New Roman"/>
          <w:sz w:val="20"/>
          <w:szCs w:val="20"/>
          <w:vertAlign w:val="superscript"/>
          <w:lang w:eastAsia="pl-PL"/>
        </w:rPr>
        <w:t>2</w:t>
      </w:r>
      <w:r w:rsidRPr="00AD1E0F">
        <w:rPr>
          <w:rFonts w:ascii="Arial Narrow" w:eastAsia="Times New Roman" w:hAnsi="Arial Narrow" w:cs="Times New Roman"/>
          <w:sz w:val="20"/>
          <w:szCs w:val="20"/>
          <w:lang w:eastAsia="pl-PL"/>
        </w:rPr>
        <w:t xml:space="preserve">] (dla kontraktów w formule projektuj i buduj), lub </w:t>
      </w:r>
    </w:p>
    <w:p w14:paraId="464168CF"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K</w:t>
      </w:r>
      <w:r w:rsidRPr="00AD1E0F">
        <w:rPr>
          <w:rFonts w:ascii="Arial Narrow" w:eastAsia="Times New Roman" w:hAnsi="Arial Narrow" w:cs="Times New Roman"/>
          <w:sz w:val="20"/>
          <w:szCs w:val="20"/>
          <w:vertAlign w:val="subscript"/>
          <w:lang w:eastAsia="pl-PL"/>
        </w:rPr>
        <w:t xml:space="preserve"> </w:t>
      </w:r>
      <w:r w:rsidRPr="00AD1E0F">
        <w:rPr>
          <w:rFonts w:ascii="Arial Narrow" w:eastAsia="Times New Roman" w:hAnsi="Arial Narrow" w:cs="Times New Roman"/>
          <w:sz w:val="20"/>
          <w:szCs w:val="20"/>
          <w:lang w:eastAsia="pl-PL"/>
        </w:rPr>
        <w:t>– jednostkowa (średnia) cena 1 m</w:t>
      </w:r>
      <w:r w:rsidRPr="00AD1E0F">
        <w:rPr>
          <w:rFonts w:ascii="Arial Narrow" w:eastAsia="Times New Roman" w:hAnsi="Arial Narrow" w:cs="Times New Roman"/>
          <w:sz w:val="20"/>
          <w:szCs w:val="20"/>
          <w:vertAlign w:val="superscript"/>
          <w:lang w:eastAsia="pl-PL"/>
        </w:rPr>
        <w:t>2</w:t>
      </w:r>
      <w:r w:rsidRPr="00AD1E0F">
        <w:rPr>
          <w:rFonts w:ascii="Arial Narrow" w:eastAsia="Times New Roman" w:hAnsi="Arial Narrow" w:cs="Times New Roman"/>
          <w:sz w:val="20"/>
          <w:szCs w:val="20"/>
          <w:lang w:eastAsia="pl-PL"/>
        </w:rPr>
        <w:t xml:space="preserve"> wykonania ocenianego elementu nawierzchni wg kosztorysu ofertowego, [PLN/m</w:t>
      </w:r>
      <w:r w:rsidRPr="00AD1E0F">
        <w:rPr>
          <w:rFonts w:ascii="Arial Narrow" w:eastAsia="Times New Roman" w:hAnsi="Arial Narrow" w:cs="Times New Roman"/>
          <w:sz w:val="20"/>
          <w:szCs w:val="20"/>
          <w:vertAlign w:val="superscript"/>
          <w:lang w:eastAsia="pl-PL"/>
        </w:rPr>
        <w:t>2</w:t>
      </w:r>
      <w:r w:rsidRPr="00AD1E0F">
        <w:rPr>
          <w:rFonts w:ascii="Arial Narrow" w:eastAsia="Times New Roman" w:hAnsi="Arial Narrow" w:cs="Times New Roman"/>
          <w:sz w:val="20"/>
          <w:szCs w:val="20"/>
          <w:lang w:eastAsia="pl-PL"/>
        </w:rPr>
        <w:t xml:space="preserve">] (dla kontraktów w formule buduj) </w:t>
      </w:r>
    </w:p>
    <w:p w14:paraId="565EA0AB"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Na </w:t>
      </w:r>
      <w:r w:rsidRPr="00AD1E0F">
        <w:rPr>
          <w:rFonts w:ascii="Arial Narrow" w:eastAsia="Times New Roman" w:hAnsi="Arial Narrow" w:cs="Times New Roman"/>
          <w:sz w:val="20"/>
          <w:szCs w:val="20"/>
          <w:lang w:eastAsia="pl-PL"/>
        </w:rPr>
        <w:tab/>
        <w:t xml:space="preserve">zastosowanie </w:t>
      </w:r>
      <w:r w:rsidRPr="00AD1E0F">
        <w:rPr>
          <w:rFonts w:ascii="Arial Narrow" w:eastAsia="Times New Roman" w:hAnsi="Arial Narrow" w:cs="Times New Roman"/>
          <w:sz w:val="20"/>
          <w:szCs w:val="20"/>
          <w:lang w:eastAsia="pl-PL"/>
        </w:rPr>
        <w:tab/>
        <w:t xml:space="preserve">programu </w:t>
      </w:r>
      <w:r w:rsidRPr="00AD1E0F">
        <w:rPr>
          <w:rFonts w:ascii="Arial Narrow" w:eastAsia="Times New Roman" w:hAnsi="Arial Narrow" w:cs="Times New Roman"/>
          <w:sz w:val="20"/>
          <w:szCs w:val="20"/>
          <w:lang w:eastAsia="pl-PL"/>
        </w:rPr>
        <w:tab/>
        <w:t xml:space="preserve">naprawczego </w:t>
      </w:r>
      <w:r w:rsidRPr="00AD1E0F">
        <w:rPr>
          <w:rFonts w:ascii="Arial Narrow" w:eastAsia="Times New Roman" w:hAnsi="Arial Narrow" w:cs="Times New Roman"/>
          <w:sz w:val="20"/>
          <w:szCs w:val="20"/>
          <w:lang w:eastAsia="pl-PL"/>
        </w:rPr>
        <w:tab/>
        <w:t xml:space="preserve">wyraża </w:t>
      </w:r>
      <w:r w:rsidRPr="00AD1E0F">
        <w:rPr>
          <w:rFonts w:ascii="Arial Narrow" w:eastAsia="Times New Roman" w:hAnsi="Arial Narrow" w:cs="Times New Roman"/>
          <w:sz w:val="20"/>
          <w:szCs w:val="20"/>
          <w:lang w:eastAsia="pl-PL"/>
        </w:rPr>
        <w:tab/>
        <w:t xml:space="preserve">zgodę </w:t>
      </w:r>
      <w:r w:rsidRPr="00AD1E0F">
        <w:rPr>
          <w:rFonts w:ascii="Arial Narrow" w:eastAsia="Times New Roman" w:hAnsi="Arial Narrow" w:cs="Times New Roman"/>
          <w:sz w:val="20"/>
          <w:szCs w:val="20"/>
          <w:lang w:eastAsia="pl-PL"/>
        </w:rPr>
        <w:tab/>
        <w:t xml:space="preserve">Inżynier/Inspektor Nadzoru/Zamawiający.  </w:t>
      </w:r>
    </w:p>
    <w:p w14:paraId="0746A74D"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 przypadku braku zgody Inżyniera/Inspektora Nadzoru/Zamawiającego na zastosowanie programu naprawczego wszystkie materiały i roboty nie spełniające wymagań podanych w odpowiednich punktach STWiORB zostaną odrzucone. Wykonawca wymieni materiały na właściwe i wykona prawidłowo roboty na własny koszt. </w:t>
      </w:r>
    </w:p>
    <w:p w14:paraId="3C8CED05"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Jeżeli wymiana materiałów niespełniających wymagań lub wadliwie wykonane roboty spowodowują szkodę w innych, prawidłowo wykonanych robotach, to również te roboty powinny być ponownie wykonane przez Wykonawcę na jego koszt. </w:t>
      </w:r>
    </w:p>
    <w:p w14:paraId="056DAD90"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736" w:name="_Toc60635"/>
      <w:r w:rsidRPr="00AD1E0F">
        <w:rPr>
          <w:rFonts w:ascii="Arial Narrow" w:eastAsia="Times New Roman" w:hAnsi="Arial Narrow" w:cs="Times New Roman"/>
          <w:b/>
          <w:caps/>
          <w:kern w:val="28"/>
          <w:sz w:val="28"/>
          <w:szCs w:val="20"/>
          <w:lang w:val="x-none" w:eastAsia="x-none"/>
        </w:rPr>
        <w:t>9.</w:t>
      </w:r>
      <w:r w:rsidRPr="00AD1E0F">
        <w:rPr>
          <w:rFonts w:ascii="Arial Narrow" w:eastAsia="Arial" w:hAnsi="Arial Narrow" w:cs="Arial"/>
          <w:b/>
          <w:caps/>
          <w:kern w:val="28"/>
          <w:sz w:val="28"/>
          <w:szCs w:val="20"/>
          <w:lang w:val="x-none" w:eastAsia="x-none"/>
        </w:rPr>
        <w:t xml:space="preserve"> </w:t>
      </w:r>
      <w:r w:rsidRPr="00AD1E0F">
        <w:rPr>
          <w:rFonts w:ascii="Arial Narrow" w:eastAsia="Times New Roman" w:hAnsi="Arial Narrow" w:cs="Times New Roman"/>
          <w:b/>
          <w:caps/>
          <w:kern w:val="28"/>
          <w:sz w:val="28"/>
          <w:szCs w:val="20"/>
          <w:lang w:val="x-none" w:eastAsia="x-none"/>
        </w:rPr>
        <w:t xml:space="preserve">PODSTAWA PŁATNOŚCI </w:t>
      </w:r>
      <w:bookmarkEnd w:id="736"/>
    </w:p>
    <w:p w14:paraId="5BA8317F"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37" w:name="_Toc60636"/>
      <w:r w:rsidRPr="00AD1E0F">
        <w:rPr>
          <w:rFonts w:ascii="Arial Narrow" w:eastAsia="Times New Roman" w:hAnsi="Arial Narrow" w:cs="Times New Roman"/>
          <w:b/>
          <w:sz w:val="28"/>
          <w:szCs w:val="20"/>
          <w:lang w:val="x-none" w:eastAsia="x-none"/>
        </w:rPr>
        <w:t>9.1.</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Ogólne ustalenia dotyczące podstawy płatności </w:t>
      </w:r>
      <w:bookmarkEnd w:id="737"/>
    </w:p>
    <w:p w14:paraId="5E7FBA37"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Ogólne ustalenia dotyczące podstawy płatności podano w D-M-00.00.00 „Wymagania ogólne”. </w:t>
      </w:r>
    </w:p>
    <w:p w14:paraId="6517AB17"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38" w:name="_Toc60637"/>
      <w:r w:rsidRPr="00AD1E0F">
        <w:rPr>
          <w:rFonts w:ascii="Arial Narrow" w:eastAsia="Times New Roman" w:hAnsi="Arial Narrow" w:cs="Times New Roman"/>
          <w:b/>
          <w:sz w:val="28"/>
          <w:szCs w:val="20"/>
          <w:lang w:val="x-none" w:eastAsia="x-none"/>
        </w:rPr>
        <w:t>9.2.</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Cena jednostki obmiarowej </w:t>
      </w:r>
      <w:bookmarkEnd w:id="738"/>
    </w:p>
    <w:p w14:paraId="580B8CC3"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Cena wykonania 1 m</w:t>
      </w:r>
      <w:r w:rsidRPr="00AD1E0F">
        <w:rPr>
          <w:rFonts w:ascii="Arial Narrow" w:eastAsia="Times New Roman" w:hAnsi="Arial Narrow" w:cs="Times New Roman"/>
          <w:sz w:val="20"/>
          <w:szCs w:val="20"/>
          <w:vertAlign w:val="superscript"/>
          <w:lang w:eastAsia="pl-PL"/>
        </w:rPr>
        <w:t>2</w:t>
      </w:r>
      <w:r w:rsidRPr="00AD1E0F">
        <w:rPr>
          <w:rFonts w:ascii="Arial Narrow" w:eastAsia="Times New Roman" w:hAnsi="Arial Narrow" w:cs="Times New Roman"/>
          <w:sz w:val="20"/>
          <w:szCs w:val="20"/>
          <w:lang w:eastAsia="pl-PL"/>
        </w:rPr>
        <w:t xml:space="preserve"> warstwy ścieralnej z betonu asfaltowego (AC S) obejmuje: </w:t>
      </w:r>
    </w:p>
    <w:p w14:paraId="4E23F4E6"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prace pomiarowe i roboty przygotowawcze,  </w:t>
      </w:r>
    </w:p>
    <w:p w14:paraId="5476F026"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oznakowanie robót, </w:t>
      </w:r>
    </w:p>
    <w:p w14:paraId="71E7BE6A"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dostarczenie materiałów i sprzętu, </w:t>
      </w:r>
    </w:p>
    <w:p w14:paraId="6280D5D4"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opracowanie recepty laboratoryjnej, </w:t>
      </w:r>
    </w:p>
    <w:p w14:paraId="03980075"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wykonanie próby technologicznej i odcinka próbnego, </w:t>
      </w:r>
    </w:p>
    <w:p w14:paraId="79564531"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wyprodukowanie mieszanki betonu asfaltowego i jej transport na miejsce wbudowania, </w:t>
      </w:r>
    </w:p>
    <w:p w14:paraId="7DA96DF2"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posmarowanie lepiszczem lub pokrycie taśmą asfaltową krawędzi urządzeń obcych i krawężników, </w:t>
      </w:r>
    </w:p>
    <w:p w14:paraId="67EBD493"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rozłożenie i zagęszczenie mieszanki betonu asfaltowego, </w:t>
      </w:r>
    </w:p>
    <w:p w14:paraId="5D46E863"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lastRenderedPageBreak/>
        <w:t xml:space="preserve">uformowanie złączy, zagruntowanie środkiem gruntującym i przymocowanie taśm bitumicznych, </w:t>
      </w:r>
    </w:p>
    <w:p w14:paraId="044E07C4"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posmarowanie krawędzi bocznych asfaltem, </w:t>
      </w:r>
    </w:p>
    <w:p w14:paraId="408CAFF6"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przeprowadzenie pomiarów i badań  wymaganych w specyfikacji technicznej, </w:t>
      </w:r>
    </w:p>
    <w:p w14:paraId="70474E53"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odwiezienie sprzętu, </w:t>
      </w:r>
    </w:p>
    <w:p w14:paraId="7A94BDCF"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zawiera wszelkie inne czynności związane z prawidłowym wykonaniem warstwy zgodnie z wymaganiami niniejszych STWiORB. </w:t>
      </w:r>
    </w:p>
    <w:p w14:paraId="3742B18D" w14:textId="77777777" w:rsidR="00AD1E0F" w:rsidRPr="00AD1E0F" w:rsidRDefault="00AD1E0F" w:rsidP="00AD1E0F">
      <w:pPr>
        <w:keepNext/>
        <w:shd w:val="clear" w:color="auto" w:fill="BFBFBF"/>
        <w:overflowPunct w:val="0"/>
        <w:autoSpaceDE w:val="0"/>
        <w:autoSpaceDN w:val="0"/>
        <w:adjustRightInd w:val="0"/>
        <w:spacing w:after="0" w:line="240" w:lineRule="auto"/>
        <w:ind w:left="7"/>
        <w:jc w:val="both"/>
        <w:textAlignment w:val="baseline"/>
        <w:outlineLvl w:val="1"/>
        <w:rPr>
          <w:rFonts w:ascii="Arial Narrow" w:eastAsia="Times New Roman" w:hAnsi="Arial Narrow" w:cs="Times New Roman"/>
          <w:b/>
          <w:sz w:val="28"/>
          <w:szCs w:val="20"/>
          <w:lang w:val="x-none" w:eastAsia="x-none"/>
        </w:rPr>
      </w:pPr>
      <w:bookmarkStart w:id="739" w:name="_Toc60638"/>
      <w:r w:rsidRPr="00AD1E0F">
        <w:rPr>
          <w:rFonts w:ascii="Arial Narrow" w:eastAsia="Times New Roman" w:hAnsi="Arial Narrow" w:cs="Times New Roman"/>
          <w:b/>
          <w:sz w:val="28"/>
          <w:szCs w:val="20"/>
          <w:lang w:val="x-none" w:eastAsia="x-none"/>
        </w:rPr>
        <w:t>9.3.</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Sposób rozliczenia robót tymczasowych i prac towarzyszących </w:t>
      </w:r>
      <w:bookmarkEnd w:id="739"/>
    </w:p>
    <w:p w14:paraId="14A231BC" w14:textId="77777777" w:rsidR="00AD1E0F" w:rsidRPr="00AD1E0F" w:rsidRDefault="00AD1E0F" w:rsidP="00AD1E0F">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 Cena wykonania robót określonych niniejszymi STWiORB obejmuje: </w:t>
      </w:r>
    </w:p>
    <w:p w14:paraId="2D5AC606"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roboty tymczasowe, które są potrzebne do wykonania robót podstawowych, ale nie są przekazywane Zamawiającemu i są usuwane po wykonaniu robót podstawowych, </w:t>
      </w:r>
    </w:p>
    <w:p w14:paraId="0E6BAE06" w14:textId="77777777" w:rsidR="00AD1E0F" w:rsidRPr="00AD1E0F" w:rsidRDefault="00AD1E0F" w:rsidP="00AD1E0F">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prace towarzyszące, które są niezbędne do wykonania robót podstawowych, niezaliczane do robót tymczasowych, jak geodezyjne wytyczenie robót itd. </w:t>
      </w:r>
    </w:p>
    <w:p w14:paraId="53FFC77D" w14:textId="77777777" w:rsidR="00AD1E0F" w:rsidRPr="00AD1E0F" w:rsidRDefault="00AD1E0F" w:rsidP="00AD1E0F">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740" w:name="_Toc60639"/>
      <w:r w:rsidRPr="00AD1E0F">
        <w:rPr>
          <w:rFonts w:ascii="Arial Narrow" w:eastAsia="Times New Roman" w:hAnsi="Arial Narrow" w:cs="Times New Roman"/>
          <w:b/>
          <w:caps/>
          <w:kern w:val="28"/>
          <w:sz w:val="28"/>
          <w:szCs w:val="20"/>
          <w:lang w:val="x-none" w:eastAsia="x-none"/>
        </w:rPr>
        <w:t>10.</w:t>
      </w:r>
      <w:r w:rsidRPr="00AD1E0F">
        <w:rPr>
          <w:rFonts w:ascii="Arial Narrow" w:eastAsia="Arial" w:hAnsi="Arial Narrow" w:cs="Arial"/>
          <w:b/>
          <w:caps/>
          <w:kern w:val="28"/>
          <w:sz w:val="28"/>
          <w:szCs w:val="20"/>
          <w:lang w:val="x-none" w:eastAsia="x-none"/>
        </w:rPr>
        <w:t xml:space="preserve"> </w:t>
      </w:r>
      <w:r w:rsidRPr="00AD1E0F">
        <w:rPr>
          <w:rFonts w:ascii="Arial Narrow" w:eastAsia="Times New Roman" w:hAnsi="Arial Narrow" w:cs="Times New Roman"/>
          <w:b/>
          <w:caps/>
          <w:kern w:val="28"/>
          <w:sz w:val="28"/>
          <w:szCs w:val="20"/>
          <w:lang w:val="x-none" w:eastAsia="x-none"/>
        </w:rPr>
        <w:t xml:space="preserve">PRZEPISY ZWIĄZANE </w:t>
      </w:r>
      <w:bookmarkEnd w:id="740"/>
    </w:p>
    <w:p w14:paraId="1694DFCD" w14:textId="77777777" w:rsidR="00AD1E0F" w:rsidRPr="00AD1E0F" w:rsidRDefault="00AD1E0F" w:rsidP="00AD1E0F">
      <w:pPr>
        <w:keepNext/>
        <w:shd w:val="clear" w:color="auto" w:fill="BFBFBF"/>
        <w:tabs>
          <w:tab w:val="center" w:pos="1237"/>
        </w:tabs>
        <w:overflowPunct w:val="0"/>
        <w:autoSpaceDE w:val="0"/>
        <w:autoSpaceDN w:val="0"/>
        <w:adjustRightInd w:val="0"/>
        <w:spacing w:after="163" w:line="240" w:lineRule="auto"/>
        <w:ind w:left="-3"/>
        <w:jc w:val="both"/>
        <w:textAlignment w:val="baseline"/>
        <w:outlineLvl w:val="1"/>
        <w:rPr>
          <w:rFonts w:ascii="Arial Narrow" w:eastAsia="Times New Roman" w:hAnsi="Arial Narrow" w:cs="Times New Roman"/>
          <w:b/>
          <w:sz w:val="28"/>
          <w:szCs w:val="20"/>
          <w:lang w:val="x-none" w:eastAsia="x-none"/>
        </w:rPr>
      </w:pPr>
      <w:bookmarkStart w:id="741" w:name="_Toc60640"/>
      <w:r w:rsidRPr="00AD1E0F">
        <w:rPr>
          <w:rFonts w:ascii="Arial Narrow" w:eastAsia="Times New Roman" w:hAnsi="Arial Narrow" w:cs="Times New Roman"/>
          <w:b/>
          <w:sz w:val="28"/>
          <w:szCs w:val="20"/>
          <w:lang w:val="x-none" w:eastAsia="x-none"/>
        </w:rPr>
        <w:t>10.1.</w:t>
      </w:r>
      <w:r w:rsidRPr="00AD1E0F">
        <w:rPr>
          <w:rFonts w:ascii="Arial Narrow" w:eastAsia="Arial" w:hAnsi="Arial Narrow" w:cs="Arial"/>
          <w:b/>
          <w:sz w:val="28"/>
          <w:szCs w:val="20"/>
          <w:lang w:val="x-none" w:eastAsia="x-none"/>
        </w:rPr>
        <w:t xml:space="preserve"> </w:t>
      </w:r>
      <w:r w:rsidRPr="00AD1E0F">
        <w:rPr>
          <w:rFonts w:ascii="Arial Narrow" w:eastAsia="Times New Roman" w:hAnsi="Arial Narrow" w:cs="Times New Roman"/>
          <w:b/>
          <w:sz w:val="28"/>
          <w:szCs w:val="20"/>
          <w:lang w:val="x-none" w:eastAsia="x-none"/>
        </w:rPr>
        <w:t xml:space="preserve">Normy </w:t>
      </w:r>
      <w:bookmarkEnd w:id="741"/>
    </w:p>
    <w:p w14:paraId="685A89B2" w14:textId="77777777" w:rsidR="00AD1E0F" w:rsidRPr="00AD1E0F" w:rsidRDefault="00AD1E0F" w:rsidP="00AD1E0F">
      <w:pPr>
        <w:numPr>
          <w:ilvl w:val="0"/>
          <w:numId w:val="5"/>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12591 Asfalty i produkty asfaltowe - Wymagania dla asfaltów drogowych </w:t>
      </w:r>
    </w:p>
    <w:p w14:paraId="746163C7"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12597 Asfalty i produkty asfaltowe - Terminologia </w:t>
      </w:r>
    </w:p>
    <w:p w14:paraId="573DBBA2"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13808 Asfalty i lepiszcza asfaltowe - Zasady klasyfikacji kationowych emulsji asfaltowych </w:t>
      </w:r>
    </w:p>
    <w:p w14:paraId="765416E1"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14023 Asfalty i lepiszcza asfaltowe - Zasady klasyfikacji asfaltów modyfikowanych polimerami </w:t>
      </w:r>
    </w:p>
    <w:p w14:paraId="12FEBE8F"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13924-2 Asfalty i lepiszcza asfaltowe - Zasady klasyfikacji asfaltów drogowych specjalnych - Część 2: Asfalty drogowe wielorodzajowe </w:t>
      </w:r>
    </w:p>
    <w:p w14:paraId="51E14180"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13043 Kruszywa do mieszanek bitumicznych i powierzchniowych utrwaleń stosowanych na drogach, lotniskach i innych powierzchniach przeznaczonych do ruchu </w:t>
      </w:r>
    </w:p>
    <w:p w14:paraId="499AA544"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932-3 Badania podstawowych właściwości kruszyw – Procedura i terminologia uproszczonego opisu petrograficznego </w:t>
      </w:r>
    </w:p>
    <w:p w14:paraId="4CC2EC68"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932-5 Badania podstawowych właściwości kruszyw – Część 5: Wyposażenie podstawowe i wzorcowanie </w:t>
      </w:r>
    </w:p>
    <w:p w14:paraId="6CF42F4A"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933-1 Badania geometrycznych właściwości kruszyw – Oznaczanie składu ziarnowego. Metoda przesiewania </w:t>
      </w:r>
    </w:p>
    <w:p w14:paraId="6EC71E18"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933-3 Badania geometrycznych właściwości kruszyw – Oznaczanie kształtu ziaren za pomocą wskaźnika płaskości </w:t>
      </w:r>
    </w:p>
    <w:p w14:paraId="67DA746E"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933-4 Badania geometrycznych właściwości kruszyw – Część 4: Oznaczanie kształtu ziaren – Wskaźnik kształtu </w:t>
      </w:r>
    </w:p>
    <w:p w14:paraId="42B18796"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933-5 Badania geometrycznych właściwości kruszyw – Oznaczanie procentowej zawartości ziaren o powierzchniach powstałych w wyniku przekruszenia lub łamania kruszyw grubych </w:t>
      </w:r>
    </w:p>
    <w:p w14:paraId="2FAB675A"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EN 933-6 Badania geometrycznych właściwości kruszyw – Część 6: Ocena właściwości powierzchni – Wskaźnik przepływu kruszywa </w:t>
      </w:r>
    </w:p>
    <w:p w14:paraId="5DA8A3B6"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933-9 Badania geometrycznych właściwości kruszyw – Ocena zawartości drobnych cząstek – Badania błękitem metylenowym </w:t>
      </w:r>
    </w:p>
    <w:p w14:paraId="299D69EA"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933-10 Badania geometrycznych właściwości kruszyw – Część 10: Ocena zawartość drobnych cząstek – Uziarnienie wypełniaczy (przesiewanie w strumieniu powietrza) </w:t>
      </w:r>
    </w:p>
    <w:p w14:paraId="16F505F6"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1097-2 Badania mechanicznych i fizycznych właściwości kruszyw – Metody oznaczania odporności na rozdrabianie </w:t>
      </w:r>
    </w:p>
    <w:p w14:paraId="50F25A93"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1097-3 Badania mechanicznych i fizycznych właściwości kruszyw – Oznaczanie gęstości nasypowej i jamistości </w:t>
      </w:r>
    </w:p>
    <w:p w14:paraId="7C8999AF"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1097-4 Badania mechanicznych i fizycznych właściwości kruszyw – Część 4: Oznaczanie pustych przestrzeni suchego, zagęszczonego wypełniacza </w:t>
      </w:r>
    </w:p>
    <w:p w14:paraId="45D9B813"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1097-5 Badania mechanicznych i fizycznych właściwości kruszyw – Część 5: Oznaczanie zawartości wody przez suszenie w suszarce z wentylacją </w:t>
      </w:r>
    </w:p>
    <w:p w14:paraId="4C778126"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1097-6 Badania mechanicznych i fizycznych właściwości kruszyw – Część 6: </w:t>
      </w:r>
    </w:p>
    <w:p w14:paraId="1FA27D40"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12697-1 Mieszanki mineralno-asfaltowe - Metody badań mieszanek mineralnoasfaltowych na gorąco – Część 1: Zawartość lepiszcza rozpuszczalnego </w:t>
      </w:r>
    </w:p>
    <w:p w14:paraId="37ABD00D"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12697-2 Mieszanki mineralno-asfaltowe - Metody badań mieszanek mineralnoasfaltowych na gorąco – Część 2: Oznaczanie składu ziarnowego </w:t>
      </w:r>
    </w:p>
    <w:p w14:paraId="5559475B"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12697-3 Mieszanki mineralno-asfaltowe - Metody badań mieszanek mineralnoasfaltowych na gorąco – Część 3: Odzyskiwanie asfaltu - Wyparka obrotowa </w:t>
      </w:r>
    </w:p>
    <w:p w14:paraId="5D135695"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12697-4 Mieszanki mineralno-asfaltowe - Metody badań mieszanek mineralnoasfaltowych na gorąco – Część 4: Odzyskiwanie asfaltu - Kolumna do destylacji frakcyjnej </w:t>
      </w:r>
    </w:p>
    <w:p w14:paraId="49ED7AE1"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12697-5 Mieszanki mineralno-asfaltowe - Metody badań mieszanek mineralnoasfaltowych na gorąco – Część 5: Oznaczanie gęstości </w:t>
      </w:r>
    </w:p>
    <w:p w14:paraId="368FE108"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12697-6 Mieszanki mineralno-asfaltowe - Metody badań mieszanek mineralnoasfaltowych na gorąco – Część 6: Oznaczanie gęstości objętościowej metodą hydrostatyczną </w:t>
      </w:r>
    </w:p>
    <w:p w14:paraId="48B8BAD6"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12697-8 Mieszanki mineralno-asfaltowe - Metody badań mieszanek mineralnoasfaltowych na gorąco – Część 8: Oznaczanie zawartości wolnej przestrzeni </w:t>
      </w:r>
    </w:p>
    <w:p w14:paraId="71E46FCB"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12697-10 Mieszanki mineralno-asfaltowe - Metody badań mieszanek mineralno-asfaltowych na gorąco – Część 10: Zagęszczalność </w:t>
      </w:r>
    </w:p>
    <w:p w14:paraId="63A1A698"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12697-11 Mieszanki mineralno-asfaltowe - Metody badań mieszanek mineralno-asfaltowych na gorąco – Część 11: Określenie powiązania pomiędzy kruszywem i asfaltem </w:t>
      </w:r>
    </w:p>
    <w:p w14:paraId="4B810C21"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12697-12 Mieszanki mineralno-asfaltowe - Metody badania mieszanek mineralno-asfaltowych na gorąco – Część 12: Określanie wrażliwości na wodę </w:t>
      </w:r>
    </w:p>
    <w:p w14:paraId="30BB31F2"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12697-17 Mieszanki mineralno-asfaltowe - Metody badań mieszanek mineralno-asfaltowych na gorąco – Część 17: Ubytek ziaren </w:t>
      </w:r>
    </w:p>
    <w:p w14:paraId="1877D03B"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lastRenderedPageBreak/>
        <w:t xml:space="preserve">EN 12697-18 Mieszanki mineralno-asfaltowe - Metody badań mieszanek mineralno-asfaltowych na gorąco – Część 18: Spływanie lepiszcza </w:t>
      </w:r>
    </w:p>
    <w:p w14:paraId="477C2D91"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12697-20 Mieszanki mineralno-asfaltowe - Metody badań mieszanek mineralno-asfaltowych na gorąco – Część 20: Penetracja próbek sześciennych lub Marshalla </w:t>
      </w:r>
    </w:p>
    <w:p w14:paraId="01ECEE1E"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12697-22 Mieszanki mineralno-asfaltowe - Metody badań mieszanek mineralno-asfaltowych na gorąco – Część 22: Koleinowanie </w:t>
      </w:r>
    </w:p>
    <w:p w14:paraId="7977B196"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12697-23 Mieszanki mineralno-asfaltowe - Metody badania mieszanek mineralno-asfaltowych na gorąco – Część 23: Określanie pośredniej wytrzymałości na rozciąganie próbek asfaltowych </w:t>
      </w:r>
    </w:p>
    <w:p w14:paraId="7FE4CCA3"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12697-24 Mieszanki mineralno-asfaltowe - Metody badań mieszanek mineralno-asfaltowych na gorąco – Część 24: Odporność na zmęczenie </w:t>
      </w:r>
    </w:p>
    <w:p w14:paraId="078B97CF"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12697-25 Mieszanki mineralno-asfaltowe - Metody badań mieszanek mineralno-asfaltowych na gorąco – Część 25: Penetracja dynamiczna  </w:t>
      </w:r>
    </w:p>
    <w:p w14:paraId="114B86CA"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12697-26 Mieszanki mineralno-asfaltowe - Metody badań mieszanek mineralno-asfaltowych na gorąco – Część 26: Sztywność </w:t>
      </w:r>
    </w:p>
    <w:p w14:paraId="197EBBC4"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12697-27 Mieszanki mineralno-asfaltowe - Metody badań mieszanek mineralno-asfaltowych na gorąco – Część 27: Pobieranie próbek </w:t>
      </w:r>
    </w:p>
    <w:p w14:paraId="2DF61383"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12697-28 Mieszanki mineralno-asfaltowe - Metody badań mieszanek mineralno-asfaltowych na gorąco – Część 28: Przygotowanie próbek do oznaczania zawartości lepiszcza, zawartości wody i uziarnienia </w:t>
      </w:r>
    </w:p>
    <w:p w14:paraId="5457631A"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12697-29 Mieszanki mineralno-asfaltowe - Metoda badania mieszanek mineralno-asfaltowych na gorąco – Część 29: Pomiar próbki z zagęszczonej mieszanki mineralno-asfaltowej </w:t>
      </w:r>
    </w:p>
    <w:p w14:paraId="3781C678"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12697-30 Mieszanki mineralno-asfaltowe - Metody badań mieszanek mineralno-asfaltowych na gorąco – Część 30: Przygotowanie próbek zagęszczonych przez ubijanie </w:t>
      </w:r>
    </w:p>
    <w:p w14:paraId="08A7C443"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12697-31 Mieszanki mineralno-asfaltowe - Metody badań mieszanek mineralno-asfaltowych na gorąco – Część 31: Próbki przygotowane w prasie żyratorowej </w:t>
      </w:r>
    </w:p>
    <w:p w14:paraId="2720E993"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12697-33 Mieszanki mineralno-asfaltowe - Metody badań mieszanek mineralno-asfaltowych na gorąco – Część 33: Przygotowanie próbek zagęszczanych walcem </w:t>
      </w:r>
    </w:p>
    <w:p w14:paraId="34AD7ED3"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12697-35 Mieszanki mineralno-asfaltowe - Metody badań mieszanek mineralno-asfaltowych na gorąco – Część 35: Mieszanie laboratoryjne </w:t>
      </w:r>
    </w:p>
    <w:p w14:paraId="7EE736FF"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12697-38 Mieszanki mineralno-asfaltowe - Metody badań mieszanek mineralno-asfaltowych na gorąco – Część 38: Podstawowe wyposażenie i kalibracja </w:t>
      </w:r>
    </w:p>
    <w:p w14:paraId="0735C662"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12697-40 Mieszanki mineralno-asfaltowe - Metody badań mieszanek mineralno-asfaltowych na gorąco – Część 40: Wodoprzepuszczalność „in-situ” </w:t>
      </w:r>
    </w:p>
    <w:p w14:paraId="350846E3"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12697-42 Mieszanki mineralno-asfaltowe - Metody badań mieszanek mineralno-asfaltowych na gorąco – Część 42: Zawartość zanieczyszczeń w destrukcie asfaltowym </w:t>
      </w:r>
    </w:p>
    <w:p w14:paraId="19944F87"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EN 14188-1 Wypełniacze szczelin i zalewy drogowe - Część 1: Wymagania wobec zalew drogowych na gorąco </w:t>
      </w:r>
    </w:p>
    <w:p w14:paraId="69BBB872"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12272-1 Powierzchniowe utrwalanie - Metody badań - Część 1: Dozowanie i poprzeczny rozkład lepiszcza i kruszywa </w:t>
      </w:r>
    </w:p>
    <w:p w14:paraId="619FD56A"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13108-1 Mieszanki mineralno-asfaltowe - Wymagania - Część 1: Beton asfaltowy </w:t>
      </w:r>
    </w:p>
    <w:p w14:paraId="4BCB21D8"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13108-8 Mieszanki mineralno-asfaltowe - Wymagania - Część 8: Destrukt asfaltowy </w:t>
      </w:r>
    </w:p>
    <w:p w14:paraId="4ADE293E"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13108-20 Mieszanki mineralno-asfaltowe - Wymagania - Część 20: Badanie typu </w:t>
      </w:r>
    </w:p>
    <w:p w14:paraId="47E11E31" w14:textId="77777777" w:rsidR="00AD1E0F" w:rsidRPr="00AD1E0F" w:rsidRDefault="00AD1E0F" w:rsidP="00AD1E0F">
      <w:pPr>
        <w:overflowPunct w:val="0"/>
        <w:autoSpaceDE w:val="0"/>
        <w:autoSpaceDN w:val="0"/>
        <w:adjustRightInd w:val="0"/>
        <w:spacing w:after="0" w:line="240" w:lineRule="auto"/>
        <w:ind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PN-EN 13108-21 Mieszanki mineralno-asfaltowe - Wymagania - Część 21: Zakładowa Kontrola Produkcji </w:t>
      </w:r>
    </w:p>
    <w:p w14:paraId="22502282" w14:textId="77777777" w:rsidR="00AD1E0F" w:rsidRPr="00AD1E0F" w:rsidRDefault="00AD1E0F" w:rsidP="00AD1E0F">
      <w:pPr>
        <w:overflowPunct w:val="0"/>
        <w:autoSpaceDE w:val="0"/>
        <w:autoSpaceDN w:val="0"/>
        <w:adjustRightInd w:val="0"/>
        <w:spacing w:after="125"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Obowiązują wydania przywołanych powyżej norm i innych dokumentów na dzień złożenia przez Wykonawcę oferty. </w:t>
      </w:r>
    </w:p>
    <w:p w14:paraId="77488D7F" w14:textId="77777777" w:rsidR="00AD1E0F" w:rsidRPr="00AD1E0F" w:rsidRDefault="00AD1E0F" w:rsidP="00AD1E0F">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AD1E0F">
        <w:rPr>
          <w:rFonts w:ascii="Arial Narrow" w:eastAsia="Times New Roman" w:hAnsi="Arial Narrow" w:cs="Times New Roman"/>
          <w:sz w:val="20"/>
          <w:szCs w:val="20"/>
          <w:lang w:eastAsia="pl-PL"/>
        </w:rPr>
        <w:t xml:space="preserve">Wprowadzenie nowszego wydania normy czy innego dokumentu wymaga uzgodnienia przez strony kontraktu. </w:t>
      </w:r>
    </w:p>
    <w:p w14:paraId="35692AC9" w14:textId="77777777" w:rsidR="00AD1E0F" w:rsidRPr="00AD1E0F" w:rsidRDefault="00AD1E0F" w:rsidP="00AD1E0F">
      <w:pPr>
        <w:keepNext/>
        <w:shd w:val="clear" w:color="auto" w:fill="BFBFBF"/>
        <w:tabs>
          <w:tab w:val="center" w:pos="1779"/>
        </w:tabs>
        <w:overflowPunct w:val="0"/>
        <w:autoSpaceDE w:val="0"/>
        <w:autoSpaceDN w:val="0"/>
        <w:adjustRightInd w:val="0"/>
        <w:spacing w:after="163" w:line="240" w:lineRule="auto"/>
        <w:ind w:left="-3"/>
        <w:jc w:val="both"/>
        <w:textAlignment w:val="baseline"/>
        <w:outlineLvl w:val="1"/>
        <w:rPr>
          <w:rFonts w:ascii="Arial Narrow" w:eastAsia="Times New Roman" w:hAnsi="Arial Narrow" w:cs="Times New Roman"/>
          <w:b/>
          <w:sz w:val="28"/>
          <w:szCs w:val="20"/>
          <w:lang w:val="x-none" w:eastAsia="x-none"/>
        </w:rPr>
      </w:pPr>
      <w:bookmarkStart w:id="742" w:name="_Toc60641"/>
      <w:r w:rsidRPr="00AD1E0F">
        <w:rPr>
          <w:rFonts w:ascii="Arial Narrow" w:eastAsia="Times New Roman" w:hAnsi="Arial Narrow" w:cs="Times New Roman"/>
          <w:b/>
          <w:sz w:val="28"/>
          <w:szCs w:val="20"/>
          <w:lang w:val="x-none" w:eastAsia="x-none"/>
        </w:rPr>
        <w:t>10.2.</w:t>
      </w:r>
      <w:r w:rsidRPr="00AD1E0F">
        <w:rPr>
          <w:rFonts w:ascii="Arial Narrow" w:eastAsia="Arial" w:hAnsi="Arial Narrow" w:cs="Arial"/>
          <w:b/>
          <w:sz w:val="28"/>
          <w:szCs w:val="20"/>
          <w:lang w:val="x-none" w:eastAsia="x-none"/>
        </w:rPr>
        <w:t xml:space="preserve"> </w:t>
      </w:r>
      <w:r w:rsidRPr="00AD1E0F">
        <w:rPr>
          <w:rFonts w:ascii="Arial Narrow" w:eastAsia="Arial" w:hAnsi="Arial Narrow" w:cs="Arial"/>
          <w:b/>
          <w:sz w:val="28"/>
          <w:szCs w:val="20"/>
          <w:lang w:val="x-none" w:eastAsia="x-none"/>
        </w:rPr>
        <w:tab/>
      </w:r>
      <w:r w:rsidRPr="00AD1E0F">
        <w:rPr>
          <w:rFonts w:ascii="Arial Narrow" w:eastAsia="Times New Roman" w:hAnsi="Arial Narrow" w:cs="Times New Roman"/>
          <w:b/>
          <w:sz w:val="28"/>
          <w:szCs w:val="20"/>
          <w:lang w:val="x-none" w:eastAsia="x-none"/>
        </w:rPr>
        <w:t xml:space="preserve">Inne dokumenty </w:t>
      </w:r>
      <w:bookmarkEnd w:id="742"/>
    </w:p>
    <w:p w14:paraId="1E9B3F5B" w14:textId="77777777" w:rsidR="00AD1E0F" w:rsidRPr="00AD1E0F" w:rsidRDefault="00AD1E0F" w:rsidP="00AD1E0F">
      <w:pPr>
        <w:numPr>
          <w:ilvl w:val="0"/>
          <w:numId w:val="5"/>
        </w:numPr>
        <w:overflowPunct w:val="0"/>
        <w:autoSpaceDE w:val="0"/>
        <w:autoSpaceDN w:val="0"/>
        <w:adjustRightInd w:val="0"/>
        <w:spacing w:after="0" w:line="240" w:lineRule="auto"/>
        <w:ind w:left="360"/>
        <w:jc w:val="both"/>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Rozporządzenie Ministra Transportu i Gospodarki Morskiej z dnia 2 marca 1999 r. w sprawie warunków technicznych, jakim powinny odpowiadać drogi publiczne i ich usytuowanie (Dz. U. z 2016 r. poz. 124, z późn. zm.)</w:t>
      </w:r>
      <w:r w:rsidRPr="00AD1E0F">
        <w:rPr>
          <w:rFonts w:ascii="Arial Narrow" w:eastAsia="Calibri" w:hAnsi="Arial Narrow" w:cs="Calibri"/>
          <w:sz w:val="20"/>
          <w:szCs w:val="20"/>
          <w:lang w:val="x-none" w:eastAsia="x-none"/>
        </w:rPr>
        <w:t xml:space="preserve"> </w:t>
      </w:r>
    </w:p>
    <w:p w14:paraId="44DA53D6" w14:textId="77777777" w:rsidR="00AD1E0F" w:rsidRPr="00AD1E0F" w:rsidRDefault="00AD1E0F" w:rsidP="00AD1E0F">
      <w:pPr>
        <w:overflowPunct w:val="0"/>
        <w:autoSpaceDE w:val="0"/>
        <w:autoSpaceDN w:val="0"/>
        <w:adjustRightInd w:val="0"/>
        <w:spacing w:after="0" w:line="240" w:lineRule="auto"/>
        <w:ind w:left="360"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WT-1  2014 Kruszywa do nawierzchni drogowych i powierzchniowych utrwaleń na drogach krajowych  </w:t>
      </w:r>
    </w:p>
    <w:p w14:paraId="06CF010D" w14:textId="77777777" w:rsidR="00AD1E0F" w:rsidRPr="00AD1E0F" w:rsidRDefault="00AD1E0F" w:rsidP="00AD1E0F">
      <w:pPr>
        <w:overflowPunct w:val="0"/>
        <w:autoSpaceDE w:val="0"/>
        <w:autoSpaceDN w:val="0"/>
        <w:adjustRightInd w:val="0"/>
        <w:spacing w:after="0" w:line="240" w:lineRule="auto"/>
        <w:ind w:left="360"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WT-2 2014 – część I Mieszanki mineralno-asfaltowe. Wymagania Techniczne. Nawierzchnie asfaltowe na drogach krajowych.  </w:t>
      </w:r>
    </w:p>
    <w:p w14:paraId="4E680E10" w14:textId="77777777" w:rsidR="00AD1E0F" w:rsidRPr="00AD1E0F" w:rsidRDefault="00AD1E0F" w:rsidP="00AD1E0F">
      <w:pPr>
        <w:overflowPunct w:val="0"/>
        <w:autoSpaceDE w:val="0"/>
        <w:autoSpaceDN w:val="0"/>
        <w:adjustRightInd w:val="0"/>
        <w:spacing w:after="0" w:line="240" w:lineRule="auto"/>
        <w:ind w:left="360"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WT-2  2016 – część II Wykonanie warstw nawierzchni asfaltowych. Wymagania techniczne. </w:t>
      </w:r>
    </w:p>
    <w:p w14:paraId="08F05A73" w14:textId="77777777" w:rsidR="00AD1E0F" w:rsidRPr="00AD1E0F" w:rsidRDefault="00AD1E0F" w:rsidP="00AD1E0F">
      <w:pPr>
        <w:overflowPunct w:val="0"/>
        <w:autoSpaceDE w:val="0"/>
        <w:autoSpaceDN w:val="0"/>
        <w:adjustRightInd w:val="0"/>
        <w:spacing w:after="0" w:line="240" w:lineRule="auto"/>
        <w:ind w:left="360"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Instrukcja laboratoryjnego badania sczepności międzywarstwowej warstw asfaltowych wg. metody Leutnera i wymagania techniczne sczepności” Politechnika Gdańska 2014. </w:t>
      </w:r>
    </w:p>
    <w:p w14:paraId="07CAB111" w14:textId="77777777" w:rsidR="00AD1E0F" w:rsidRPr="00AD1E0F" w:rsidRDefault="00AD1E0F" w:rsidP="00AD1E0F">
      <w:pPr>
        <w:overflowPunct w:val="0"/>
        <w:autoSpaceDE w:val="0"/>
        <w:autoSpaceDN w:val="0"/>
        <w:adjustRightInd w:val="0"/>
        <w:spacing w:after="0" w:line="240" w:lineRule="auto"/>
        <w:ind w:left="360"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Instrukcja DP-T14 Ocena jakości na drogach krajowych. Część I-Roboty drogowe. 2017. </w:t>
      </w:r>
    </w:p>
    <w:p w14:paraId="05F79100" w14:textId="77777777" w:rsidR="00AD1E0F" w:rsidRPr="00AD1E0F" w:rsidRDefault="00AD1E0F" w:rsidP="00AD1E0F">
      <w:pPr>
        <w:overflowPunct w:val="0"/>
        <w:autoSpaceDE w:val="0"/>
        <w:autoSpaceDN w:val="0"/>
        <w:adjustRightInd w:val="0"/>
        <w:spacing w:after="0" w:line="240" w:lineRule="auto"/>
        <w:ind w:left="360" w:hanging="360"/>
        <w:textAlignment w:val="baseline"/>
        <w:rPr>
          <w:rFonts w:ascii="Arial Narrow" w:eastAsia="Times New Roman" w:hAnsi="Arial Narrow" w:cs="Times New Roman"/>
          <w:sz w:val="20"/>
          <w:szCs w:val="20"/>
          <w:lang w:val="x-none" w:eastAsia="x-none"/>
        </w:rPr>
      </w:pPr>
      <w:r w:rsidRPr="00AD1E0F">
        <w:rPr>
          <w:rFonts w:ascii="Arial Narrow" w:eastAsia="Times New Roman" w:hAnsi="Arial Narrow" w:cs="Times New Roman"/>
          <w:sz w:val="20"/>
          <w:szCs w:val="20"/>
          <w:lang w:val="x-none" w:eastAsia="x-none"/>
        </w:rPr>
        <w:t xml:space="preserve">Projekt RIB I/6 Wykorzystanie materiałów pochodzących z recyklingu. Zadanie 2. Recykling na gorąco. Załącznik nr 9.2.1, Załącznik nr 9.2.2, Załącznik nr 9.2.3. </w:t>
      </w:r>
    </w:p>
    <w:p w14:paraId="286DE456" w14:textId="1802E6A2" w:rsidR="00AD1E0F" w:rsidRDefault="00AD1E0F"/>
    <w:p w14:paraId="42568435" w14:textId="62BF877D" w:rsidR="002326E7" w:rsidRDefault="002326E7"/>
    <w:p w14:paraId="68BDB155" w14:textId="5048EB6F" w:rsidR="002271D7" w:rsidRDefault="002271D7"/>
    <w:p w14:paraId="187CEE33" w14:textId="3D2BE6EC" w:rsidR="002271D7" w:rsidRDefault="002271D7"/>
    <w:p w14:paraId="5846D1DC" w14:textId="32F650BA" w:rsidR="002271D7" w:rsidRDefault="002271D7"/>
    <w:p w14:paraId="360D9535"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bookmarkStart w:id="743" w:name="_Toc58533537"/>
      <w:r w:rsidRPr="002326E7">
        <w:rPr>
          <w:rFonts w:ascii="Arial Narrow" w:eastAsia="Times New Roman" w:hAnsi="Arial Narrow" w:cs="Times New Roman"/>
          <w:b/>
          <w:sz w:val="28"/>
          <w:szCs w:val="20"/>
          <w:lang w:eastAsia="pl-PL"/>
        </w:rPr>
        <w:lastRenderedPageBreak/>
        <w:t>D – 05.03.05b WARSTWA WIĄŻĄCA I WYRÓWNAWCZA</w:t>
      </w:r>
      <w:bookmarkEnd w:id="743"/>
    </w:p>
    <w:p w14:paraId="4221E17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Kod CPV: 45233000-9</w:t>
      </w:r>
    </w:p>
    <w:p w14:paraId="28D2F8C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Roboty w zakresie konstruowania, fundamentowania oraz wykonywania nawierzchni autostrad, dróg</w:t>
      </w:r>
    </w:p>
    <w:p w14:paraId="409DE73E" w14:textId="77777777" w:rsidR="002326E7" w:rsidRPr="002326E7" w:rsidRDefault="002326E7" w:rsidP="002326E7">
      <w:pPr>
        <w:spacing w:after="0" w:line="240" w:lineRule="auto"/>
        <w:ind w:firstLine="454"/>
        <w:jc w:val="center"/>
        <w:rPr>
          <w:rFonts w:ascii="Arial Narrow" w:eastAsia="Calibri" w:hAnsi="Arial Narrow" w:cs="Times New Roman"/>
        </w:rPr>
      </w:pPr>
    </w:p>
    <w:p w14:paraId="04BD1B48" w14:textId="77777777" w:rsidR="002326E7" w:rsidRPr="002326E7" w:rsidRDefault="002326E7" w:rsidP="002326E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2326E7">
        <w:rPr>
          <w:rFonts w:ascii="Arial Narrow" w:eastAsia="Times New Roman" w:hAnsi="Arial Narrow" w:cs="Times New Roman"/>
          <w:b/>
          <w:caps/>
          <w:kern w:val="28"/>
          <w:sz w:val="28"/>
          <w:szCs w:val="20"/>
          <w:lang w:eastAsia="x-none"/>
        </w:rPr>
        <w:t xml:space="preserve">1. </w:t>
      </w:r>
      <w:r w:rsidRPr="002326E7">
        <w:rPr>
          <w:rFonts w:ascii="Arial Narrow" w:eastAsia="Times New Roman" w:hAnsi="Arial Narrow" w:cs="Times New Roman"/>
          <w:b/>
          <w:caps/>
          <w:kern w:val="28"/>
          <w:sz w:val="28"/>
          <w:szCs w:val="20"/>
          <w:lang w:val="x-none" w:eastAsia="x-none"/>
        </w:rPr>
        <w:t>wstęp</w:t>
      </w:r>
    </w:p>
    <w:p w14:paraId="65CC3FE4"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eastAsia="x-none"/>
        </w:rPr>
        <w:t xml:space="preserve">1.1 </w:t>
      </w:r>
      <w:r w:rsidRPr="002326E7">
        <w:rPr>
          <w:rFonts w:ascii="Arial Narrow" w:eastAsia="Times New Roman" w:hAnsi="Arial Narrow" w:cs="Times New Roman"/>
          <w:b/>
          <w:sz w:val="28"/>
          <w:szCs w:val="20"/>
          <w:lang w:val="x-none" w:eastAsia="x-none"/>
        </w:rPr>
        <w:t>Przedmiot STWiORB</w:t>
      </w:r>
    </w:p>
    <w:p w14:paraId="67BC0A82" w14:textId="77777777" w:rsidR="002326E7" w:rsidRPr="002326E7" w:rsidRDefault="002326E7" w:rsidP="002326E7">
      <w:pPr>
        <w:spacing w:after="0" w:line="240" w:lineRule="auto"/>
        <w:ind w:firstLine="454"/>
        <w:jc w:val="both"/>
        <w:rPr>
          <w:rFonts w:ascii="Arial Narrow" w:eastAsia="Calibri" w:hAnsi="Arial Narrow" w:cs="Times New Roman"/>
          <w:sz w:val="20"/>
        </w:rPr>
      </w:pPr>
      <w:r w:rsidRPr="002326E7">
        <w:rPr>
          <w:rFonts w:ascii="Arial Narrow" w:eastAsia="Times New Roman" w:hAnsi="Arial Narrow" w:cs="Times New Roman"/>
          <w:sz w:val="20"/>
          <w:szCs w:val="20"/>
          <w:lang w:eastAsia="pl-PL"/>
        </w:rPr>
        <w:t>Przedmiotem niniejszej szczegółowej specyfikacji technicznej (SST) są wymagania dotyczące wykonania i odbioru robót związanych wykonywaniem warstwy wiążącej i wyrównawczej</w:t>
      </w:r>
      <w:r w:rsidRPr="002326E7">
        <w:rPr>
          <w:rFonts w:ascii="Arial Narrow" w:eastAsia="Calibri" w:hAnsi="Arial Narrow" w:cs="Times New Roman"/>
          <w:sz w:val="20"/>
        </w:rPr>
        <w:t>.</w:t>
      </w:r>
    </w:p>
    <w:p w14:paraId="33EC00A8"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eastAsia="x-none"/>
        </w:rPr>
        <w:t xml:space="preserve">1.2 </w:t>
      </w:r>
      <w:r w:rsidRPr="002326E7">
        <w:rPr>
          <w:rFonts w:ascii="Arial Narrow" w:eastAsia="Times New Roman" w:hAnsi="Arial Narrow" w:cs="Times New Roman"/>
          <w:b/>
          <w:sz w:val="28"/>
          <w:szCs w:val="20"/>
          <w:lang w:val="x-none" w:eastAsia="x-none"/>
        </w:rPr>
        <w:t>Zakres stosowania STWiORB</w:t>
      </w:r>
    </w:p>
    <w:p w14:paraId="3D695AE1" w14:textId="77777777" w:rsidR="000525E6" w:rsidRDefault="002326E7" w:rsidP="002326E7">
      <w:pPr>
        <w:tabs>
          <w:tab w:val="left" w:pos="-1440"/>
          <w:tab w:val="left" w:pos="-720"/>
          <w:tab w:val="left" w:pos="0"/>
        </w:tabs>
        <w:spacing w:after="0" w:line="240" w:lineRule="auto"/>
        <w:ind w:firstLine="454"/>
        <w:jc w:val="both"/>
        <w:rPr>
          <w:rFonts w:ascii="Arial Narrow" w:eastAsia="Calibri" w:hAnsi="Arial Narrow" w:cs="Arial"/>
          <w:spacing w:val="-3"/>
          <w:sz w:val="20"/>
        </w:rPr>
      </w:pPr>
      <w:r w:rsidRPr="002326E7">
        <w:rPr>
          <w:rFonts w:ascii="Arial Narrow" w:eastAsia="Calibri" w:hAnsi="Arial Narrow" w:cs="Arial"/>
          <w:sz w:val="20"/>
        </w:rPr>
        <w:t xml:space="preserve">Specyfikacje Techniczne Wykonania i Odbioru Robót Budowlanych </w:t>
      </w:r>
      <w:r w:rsidRPr="002326E7">
        <w:rPr>
          <w:rFonts w:ascii="Arial Narrow" w:eastAsia="Calibri" w:hAnsi="Arial Narrow" w:cs="Arial"/>
          <w:spacing w:val="-3"/>
          <w:sz w:val="20"/>
        </w:rPr>
        <w:t xml:space="preserve">stanowią Dokument Przetargowy i Kontraktowy przy zlecaniu </w:t>
      </w:r>
    </w:p>
    <w:p w14:paraId="7FE2084A" w14:textId="03913925" w:rsidR="002326E7" w:rsidRDefault="002326E7" w:rsidP="002326E7">
      <w:pPr>
        <w:tabs>
          <w:tab w:val="left" w:pos="-1440"/>
          <w:tab w:val="left" w:pos="-720"/>
          <w:tab w:val="left" w:pos="0"/>
        </w:tabs>
        <w:spacing w:after="0" w:line="240" w:lineRule="auto"/>
        <w:ind w:firstLine="454"/>
        <w:jc w:val="both"/>
        <w:rPr>
          <w:rFonts w:ascii="Arial Narrow" w:eastAsia="Calibri" w:hAnsi="Arial Narrow" w:cs="Arial"/>
          <w:spacing w:val="-3"/>
          <w:sz w:val="20"/>
        </w:rPr>
      </w:pPr>
      <w:r w:rsidRPr="002326E7">
        <w:rPr>
          <w:rFonts w:ascii="Arial Narrow" w:eastAsia="Calibri" w:hAnsi="Arial Narrow" w:cs="Arial"/>
          <w:spacing w:val="-3"/>
          <w:sz w:val="20"/>
        </w:rPr>
        <w:t>i realizacji robót na drogach.</w:t>
      </w:r>
    </w:p>
    <w:p w14:paraId="4FC2E9D4" w14:textId="77777777" w:rsidR="000525E6" w:rsidRPr="002326E7" w:rsidRDefault="000525E6" w:rsidP="002326E7">
      <w:pPr>
        <w:tabs>
          <w:tab w:val="left" w:pos="-1440"/>
          <w:tab w:val="left" w:pos="-720"/>
          <w:tab w:val="left" w:pos="0"/>
        </w:tabs>
        <w:spacing w:after="0" w:line="240" w:lineRule="auto"/>
        <w:ind w:firstLine="454"/>
        <w:jc w:val="both"/>
        <w:rPr>
          <w:rFonts w:ascii="Arial Narrow" w:eastAsia="Calibri" w:hAnsi="Arial Narrow" w:cs="Arial"/>
          <w:spacing w:val="-3"/>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1539"/>
        <w:gridCol w:w="1399"/>
        <w:gridCol w:w="1680"/>
        <w:gridCol w:w="1478"/>
        <w:gridCol w:w="1238"/>
        <w:gridCol w:w="1238"/>
      </w:tblGrid>
      <w:tr w:rsidR="002326E7" w:rsidRPr="002326E7" w14:paraId="3F80ECDB" w14:textId="77777777" w:rsidTr="00855929">
        <w:tc>
          <w:tcPr>
            <w:tcW w:w="534" w:type="dxa"/>
            <w:shd w:val="clear" w:color="auto" w:fill="auto"/>
          </w:tcPr>
          <w:p w14:paraId="1D65083B"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Lp</w:t>
            </w:r>
          </w:p>
        </w:tc>
        <w:tc>
          <w:tcPr>
            <w:tcW w:w="1539" w:type="dxa"/>
            <w:tcBorders>
              <w:bottom w:val="single" w:sz="4" w:space="0" w:color="auto"/>
            </w:tcBorders>
            <w:shd w:val="clear" w:color="auto" w:fill="auto"/>
          </w:tcPr>
          <w:p w14:paraId="47F970F6"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Typ mieszanki</w:t>
            </w:r>
          </w:p>
        </w:tc>
        <w:tc>
          <w:tcPr>
            <w:tcW w:w="1399" w:type="dxa"/>
            <w:tcBorders>
              <w:bottom w:val="single" w:sz="4" w:space="0" w:color="auto"/>
            </w:tcBorders>
            <w:shd w:val="clear" w:color="auto" w:fill="auto"/>
          </w:tcPr>
          <w:p w14:paraId="476F69AE"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asfalt</w:t>
            </w:r>
          </w:p>
        </w:tc>
        <w:tc>
          <w:tcPr>
            <w:tcW w:w="1680" w:type="dxa"/>
            <w:tcBorders>
              <w:bottom w:val="single" w:sz="4" w:space="0" w:color="auto"/>
            </w:tcBorders>
            <w:shd w:val="clear" w:color="auto" w:fill="auto"/>
          </w:tcPr>
          <w:p w14:paraId="183609A9" w14:textId="45556374"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polimeroasfa</w:t>
            </w:r>
            <w:r w:rsidR="003C4044">
              <w:rPr>
                <w:rFonts w:ascii="Arial Narrow" w:eastAsia="Times New Roman" w:hAnsi="Arial Narrow" w:cs="Times New Roman"/>
                <w:sz w:val="20"/>
                <w:szCs w:val="20"/>
                <w:lang w:eastAsia="pl-PL"/>
              </w:rPr>
              <w:t>l</w:t>
            </w:r>
            <w:r w:rsidRPr="002326E7">
              <w:rPr>
                <w:rFonts w:ascii="Arial Narrow" w:eastAsia="Times New Roman" w:hAnsi="Arial Narrow" w:cs="Times New Roman"/>
                <w:sz w:val="20"/>
                <w:szCs w:val="20"/>
                <w:lang w:eastAsia="pl-PL"/>
              </w:rPr>
              <w:t>t</w:t>
            </w:r>
          </w:p>
        </w:tc>
        <w:tc>
          <w:tcPr>
            <w:tcW w:w="1478" w:type="dxa"/>
            <w:tcBorders>
              <w:bottom w:val="single" w:sz="4" w:space="0" w:color="auto"/>
            </w:tcBorders>
            <w:shd w:val="clear" w:color="auto" w:fill="auto"/>
          </w:tcPr>
          <w:p w14:paraId="6C1D5CE0"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grubość</w:t>
            </w:r>
          </w:p>
        </w:tc>
        <w:tc>
          <w:tcPr>
            <w:tcW w:w="1238" w:type="dxa"/>
            <w:tcBorders>
              <w:bottom w:val="single" w:sz="4" w:space="0" w:color="auto"/>
            </w:tcBorders>
            <w:shd w:val="clear" w:color="auto" w:fill="auto"/>
          </w:tcPr>
          <w:p w14:paraId="3D80FE54"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KR</w:t>
            </w:r>
          </w:p>
        </w:tc>
        <w:tc>
          <w:tcPr>
            <w:tcW w:w="1238" w:type="dxa"/>
            <w:tcBorders>
              <w:bottom w:val="single" w:sz="4" w:space="0" w:color="auto"/>
            </w:tcBorders>
            <w:shd w:val="clear" w:color="auto" w:fill="auto"/>
          </w:tcPr>
          <w:p w14:paraId="18A9A739"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Miejsce wbudowania</w:t>
            </w:r>
          </w:p>
        </w:tc>
      </w:tr>
      <w:tr w:rsidR="002326E7" w:rsidRPr="002326E7" w14:paraId="0EFC0F14" w14:textId="77777777" w:rsidTr="00855929">
        <w:tc>
          <w:tcPr>
            <w:tcW w:w="534" w:type="dxa"/>
            <w:shd w:val="clear" w:color="auto" w:fill="auto"/>
          </w:tcPr>
          <w:p w14:paraId="500B5B69"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1</w:t>
            </w:r>
          </w:p>
        </w:tc>
        <w:tc>
          <w:tcPr>
            <w:tcW w:w="1539" w:type="dxa"/>
            <w:shd w:val="clear" w:color="auto" w:fill="FFC000"/>
          </w:tcPr>
          <w:p w14:paraId="5EBE9A6B"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AC16W</w:t>
            </w:r>
          </w:p>
        </w:tc>
        <w:tc>
          <w:tcPr>
            <w:tcW w:w="1399" w:type="dxa"/>
            <w:shd w:val="clear" w:color="auto" w:fill="FFC000"/>
          </w:tcPr>
          <w:p w14:paraId="5136DB74" w14:textId="4BD9DA28" w:rsidR="002326E7" w:rsidRPr="002326E7" w:rsidRDefault="003C4044"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35/50</w:t>
            </w:r>
          </w:p>
        </w:tc>
        <w:tc>
          <w:tcPr>
            <w:tcW w:w="1680" w:type="dxa"/>
            <w:shd w:val="clear" w:color="auto" w:fill="FFC000"/>
          </w:tcPr>
          <w:p w14:paraId="408DD026"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w:t>
            </w:r>
          </w:p>
        </w:tc>
        <w:tc>
          <w:tcPr>
            <w:tcW w:w="1478" w:type="dxa"/>
            <w:shd w:val="clear" w:color="auto" w:fill="FFC000"/>
          </w:tcPr>
          <w:p w14:paraId="1B7727EF" w14:textId="41DF44B8" w:rsidR="002326E7" w:rsidRPr="002326E7" w:rsidRDefault="002271D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4</w:t>
            </w:r>
          </w:p>
        </w:tc>
        <w:tc>
          <w:tcPr>
            <w:tcW w:w="1238" w:type="dxa"/>
            <w:shd w:val="clear" w:color="auto" w:fill="FFC000"/>
          </w:tcPr>
          <w:p w14:paraId="4543C567" w14:textId="24580DFA" w:rsidR="002326E7" w:rsidRPr="002326E7" w:rsidRDefault="00DB0468"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1</w:t>
            </w:r>
          </w:p>
        </w:tc>
        <w:tc>
          <w:tcPr>
            <w:tcW w:w="1238" w:type="dxa"/>
            <w:shd w:val="clear" w:color="auto" w:fill="FFC000"/>
          </w:tcPr>
          <w:p w14:paraId="53F8E87E"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Jezdnia</w:t>
            </w:r>
          </w:p>
        </w:tc>
      </w:tr>
      <w:tr w:rsidR="002326E7" w:rsidRPr="002326E7" w14:paraId="627C5F1E" w14:textId="77777777" w:rsidTr="00855929">
        <w:tc>
          <w:tcPr>
            <w:tcW w:w="534" w:type="dxa"/>
            <w:shd w:val="clear" w:color="auto" w:fill="auto"/>
          </w:tcPr>
          <w:p w14:paraId="76DB3BEB"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2</w:t>
            </w:r>
          </w:p>
        </w:tc>
        <w:tc>
          <w:tcPr>
            <w:tcW w:w="1539" w:type="dxa"/>
            <w:shd w:val="clear" w:color="auto" w:fill="FFC000"/>
          </w:tcPr>
          <w:p w14:paraId="5396956A" w14:textId="01CFE10B"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AC</w:t>
            </w:r>
            <w:r w:rsidR="003C4044">
              <w:rPr>
                <w:rFonts w:ascii="Arial Narrow" w:eastAsia="Times New Roman" w:hAnsi="Arial Narrow" w:cs="Times New Roman"/>
                <w:sz w:val="20"/>
                <w:szCs w:val="20"/>
                <w:lang w:eastAsia="pl-PL"/>
              </w:rPr>
              <w:t>16</w:t>
            </w:r>
            <w:r w:rsidRPr="002326E7">
              <w:rPr>
                <w:rFonts w:ascii="Arial Narrow" w:eastAsia="Times New Roman" w:hAnsi="Arial Narrow" w:cs="Times New Roman"/>
                <w:sz w:val="20"/>
                <w:szCs w:val="20"/>
                <w:lang w:eastAsia="pl-PL"/>
              </w:rPr>
              <w:t>W</w:t>
            </w:r>
          </w:p>
        </w:tc>
        <w:tc>
          <w:tcPr>
            <w:tcW w:w="1399" w:type="dxa"/>
            <w:shd w:val="clear" w:color="auto" w:fill="FFC000"/>
          </w:tcPr>
          <w:p w14:paraId="52EEE4D7" w14:textId="39BF2145" w:rsidR="002326E7" w:rsidRPr="002326E7" w:rsidRDefault="003C4044"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35/50</w:t>
            </w:r>
          </w:p>
        </w:tc>
        <w:tc>
          <w:tcPr>
            <w:tcW w:w="1680" w:type="dxa"/>
            <w:shd w:val="clear" w:color="auto" w:fill="FFC000"/>
          </w:tcPr>
          <w:p w14:paraId="31CDE413" w14:textId="73F37CEB" w:rsidR="002326E7" w:rsidRPr="002326E7" w:rsidRDefault="003C4044"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w:t>
            </w:r>
          </w:p>
        </w:tc>
        <w:tc>
          <w:tcPr>
            <w:tcW w:w="1478" w:type="dxa"/>
            <w:shd w:val="clear" w:color="auto" w:fill="FFC000"/>
          </w:tcPr>
          <w:p w14:paraId="42B369D2" w14:textId="34D2F8E8" w:rsidR="002326E7" w:rsidRPr="002326E7" w:rsidRDefault="003C4044"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4</w:t>
            </w:r>
          </w:p>
        </w:tc>
        <w:tc>
          <w:tcPr>
            <w:tcW w:w="1238" w:type="dxa"/>
            <w:shd w:val="clear" w:color="auto" w:fill="FFC000"/>
          </w:tcPr>
          <w:p w14:paraId="77EF6A9D" w14:textId="2D4880C6" w:rsidR="002326E7" w:rsidRPr="002326E7" w:rsidRDefault="00DB0468"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1</w:t>
            </w:r>
          </w:p>
        </w:tc>
        <w:tc>
          <w:tcPr>
            <w:tcW w:w="1238" w:type="dxa"/>
            <w:shd w:val="clear" w:color="auto" w:fill="FFC000"/>
          </w:tcPr>
          <w:p w14:paraId="36D9F442" w14:textId="6287663C" w:rsidR="002326E7" w:rsidRPr="002326E7" w:rsidRDefault="003C4044"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wyrównanie</w:t>
            </w:r>
          </w:p>
        </w:tc>
      </w:tr>
    </w:tbl>
    <w:p w14:paraId="5859E541" w14:textId="77777777" w:rsidR="002326E7" w:rsidRPr="002326E7" w:rsidRDefault="002326E7" w:rsidP="002326E7">
      <w:pPr>
        <w:tabs>
          <w:tab w:val="left" w:pos="-1440"/>
          <w:tab w:val="left" w:pos="-720"/>
          <w:tab w:val="left" w:pos="0"/>
        </w:tabs>
        <w:spacing w:after="0" w:line="240" w:lineRule="auto"/>
        <w:ind w:firstLine="454"/>
        <w:jc w:val="both"/>
        <w:rPr>
          <w:rFonts w:ascii="Arial Narrow" w:eastAsia="Calibri" w:hAnsi="Arial Narrow" w:cs="Arial"/>
          <w:spacing w:val="-3"/>
          <w:sz w:val="20"/>
        </w:rPr>
      </w:pPr>
      <w:r w:rsidRPr="002326E7">
        <w:rPr>
          <w:rFonts w:ascii="Arial Narrow" w:eastAsia="Calibri" w:hAnsi="Arial Narrow" w:cs="Arial"/>
          <w:spacing w:val="-3"/>
          <w:sz w:val="20"/>
        </w:rPr>
        <w:t>Nie dopuszcza się zastosowania granulatu do powyższych warstw.</w:t>
      </w:r>
    </w:p>
    <w:p w14:paraId="0BBCC2E9" w14:textId="77777777" w:rsidR="002326E7" w:rsidRPr="002326E7" w:rsidRDefault="002326E7" w:rsidP="002326E7">
      <w:pPr>
        <w:overflowPunct w:val="0"/>
        <w:autoSpaceDE w:val="0"/>
        <w:autoSpaceDN w:val="0"/>
        <w:adjustRightInd w:val="0"/>
        <w:spacing w:after="0" w:line="240" w:lineRule="auto"/>
        <w:ind w:left="720"/>
        <w:jc w:val="both"/>
        <w:textAlignment w:val="baseline"/>
        <w:rPr>
          <w:rFonts w:ascii="Arial Narrow" w:eastAsia="Times New Roman" w:hAnsi="Arial Narrow" w:cs="Times New Roman"/>
          <w:sz w:val="20"/>
          <w:szCs w:val="20"/>
          <w:lang w:eastAsia="pl-PL"/>
        </w:rPr>
      </w:pPr>
    </w:p>
    <w:p w14:paraId="638E2561"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44" w:name="_Toc495830228"/>
      <w:r w:rsidRPr="002326E7">
        <w:rPr>
          <w:rFonts w:ascii="Arial Narrow" w:eastAsia="Times New Roman" w:hAnsi="Arial Narrow" w:cs="Times New Roman"/>
          <w:b/>
          <w:sz w:val="28"/>
          <w:szCs w:val="20"/>
          <w:lang w:val="x-none" w:eastAsia="x-none"/>
        </w:rPr>
        <w:t>1.3. Zakres robót objętych STWiORB</w:t>
      </w:r>
      <w:bookmarkEnd w:id="744"/>
    </w:p>
    <w:p w14:paraId="5F3CF80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sz w:val="20"/>
          <w:szCs w:val="20"/>
          <w:lang w:eastAsia="pl-PL"/>
        </w:rPr>
        <w:t>Ustalenia zawarte w niniejszej specyfikacji dotyczą zasad prowadzenia robót związanych z wykonaniem i odbiorem warstwy wiążącej i wyrównawczej z betonu asfaltowego dla dróg kategorii KR5wg PN-EN 13108-1 [50] i WT-2 Mieszanki mineralno-asfaltowe 2014 [73] z mieszanki mineralno-asfaltowej dostarczonej od producenta.</w:t>
      </w:r>
    </w:p>
    <w:p w14:paraId="410496D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sz w:val="20"/>
          <w:szCs w:val="20"/>
          <w:lang w:eastAsia="pl-PL"/>
        </w:rPr>
        <w:t>W przypadku produkcji mieszanki mineralno-asfaltowej przez Wykonawcę dla potrzeb budowy, Wykonawca zobowiązany jest prowadzić zakładową kontrolę produkcji (ZKP) zgodnie z PN-EN 13108-21 [54].</w:t>
      </w:r>
    </w:p>
    <w:p w14:paraId="681C6018"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45" w:name="_Toc495830229"/>
      <w:r w:rsidRPr="002326E7">
        <w:rPr>
          <w:rFonts w:ascii="Arial Narrow" w:eastAsia="Times New Roman" w:hAnsi="Arial Narrow" w:cs="Times New Roman"/>
          <w:b/>
          <w:sz w:val="28"/>
          <w:szCs w:val="20"/>
          <w:lang w:val="x-none" w:eastAsia="x-none"/>
        </w:rPr>
        <w:t>1.4. Określenia podstawowe</w:t>
      </w:r>
      <w:bookmarkEnd w:id="745"/>
    </w:p>
    <w:p w14:paraId="239F6152"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 xml:space="preserve">1.4.1. </w:t>
      </w:r>
      <w:r w:rsidRPr="002326E7">
        <w:rPr>
          <w:rFonts w:ascii="Arial Narrow" w:eastAsia="Times New Roman" w:hAnsi="Arial Narrow" w:cs="Arial"/>
          <w:sz w:val="20"/>
          <w:szCs w:val="20"/>
          <w:lang w:eastAsia="pl-PL"/>
        </w:rPr>
        <w:t>Nawierzchnia - konstrukcja składająca się z jednej lub kilku warstw, służących do przejmowania i rozkładania na podłoże obciążeń od ruchu pojazdów.</w:t>
      </w:r>
    </w:p>
    <w:p w14:paraId="34655025"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1.4.2.</w:t>
      </w:r>
      <w:r w:rsidRPr="002326E7">
        <w:rPr>
          <w:rFonts w:ascii="Arial Narrow" w:eastAsia="Times New Roman" w:hAnsi="Arial Narrow" w:cs="Arial"/>
          <w:sz w:val="20"/>
          <w:szCs w:val="20"/>
          <w:lang w:eastAsia="pl-PL"/>
        </w:rPr>
        <w:t xml:space="preserve"> Warstwa wiążąca - warstwa nawierzchni między warstwą ścieralną a podbudową.</w:t>
      </w:r>
    </w:p>
    <w:p w14:paraId="2DC06E9D"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1.4.3.</w:t>
      </w:r>
      <w:r w:rsidRPr="002326E7">
        <w:rPr>
          <w:rFonts w:ascii="Arial Narrow" w:eastAsia="Times New Roman" w:hAnsi="Arial Narrow" w:cs="Arial"/>
          <w:sz w:val="20"/>
          <w:szCs w:val="20"/>
          <w:lang w:eastAsia="pl-PL"/>
        </w:rPr>
        <w:t xml:space="preserve"> Warstwa wyrównawcza - warstwa o zmiennej grubości, ułożona na istniejącej warstwie w celu uzyskania odpowiedniego profilu potrzebnego do ułożenia kolejnej warstwy.</w:t>
      </w:r>
    </w:p>
    <w:p w14:paraId="4A604856"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1.4.4.</w:t>
      </w:r>
      <w:r w:rsidRPr="002326E7">
        <w:rPr>
          <w:rFonts w:ascii="Arial Narrow" w:eastAsia="Times New Roman" w:hAnsi="Arial Narrow" w:cs="Arial"/>
          <w:sz w:val="20"/>
          <w:szCs w:val="20"/>
          <w:lang w:eastAsia="pl-PL"/>
        </w:rPr>
        <w:t xml:space="preserve"> Mieszanka mineralno-asfaltowa - jest to mieszanka kruszywa i lepiszcza asfaltowego.</w:t>
      </w:r>
    </w:p>
    <w:p w14:paraId="6AC3FA22"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1.4.5.</w:t>
      </w:r>
      <w:r w:rsidRPr="002326E7">
        <w:rPr>
          <w:rFonts w:ascii="Arial Narrow" w:eastAsia="Times New Roman" w:hAnsi="Arial Narrow" w:cs="Arial"/>
          <w:sz w:val="20"/>
          <w:szCs w:val="20"/>
          <w:lang w:eastAsia="pl-PL"/>
        </w:rPr>
        <w:t xml:space="preserve"> Wymiar mieszanki mineralno-asfaltowej - jest to określenie mieszanki mineralno-asfaltowej ze względu na największy wymiar kruszywa D.</w:t>
      </w:r>
    </w:p>
    <w:p w14:paraId="7B5FE3F5"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1.4.6</w:t>
      </w:r>
      <w:r w:rsidRPr="002326E7">
        <w:rPr>
          <w:rFonts w:ascii="Arial Narrow" w:eastAsia="Times New Roman" w:hAnsi="Arial Narrow" w:cs="Arial"/>
          <w:sz w:val="20"/>
          <w:szCs w:val="20"/>
          <w:lang w:eastAsia="pl-PL"/>
        </w:rPr>
        <w:t xml:space="preserve"> Beton asfaltowy - mieszanka mineralno-asfaltowa, w której kruszywo o uziarnieniu ciągłym lub nieciągłym tworzy strukturę wzajemnie klinującą się.</w:t>
      </w:r>
    </w:p>
    <w:p w14:paraId="28B926A4"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1.4.7</w:t>
      </w:r>
      <w:r w:rsidRPr="002326E7">
        <w:rPr>
          <w:rFonts w:ascii="Arial Narrow" w:eastAsia="Times New Roman" w:hAnsi="Arial Narrow" w:cs="Arial"/>
          <w:sz w:val="20"/>
          <w:szCs w:val="20"/>
          <w:lang w:eastAsia="pl-PL"/>
        </w:rPr>
        <w:t xml:space="preserve"> Skład mieszanki (badanie typu) - jest to skład mieszanki mineralno-asfaltowej, podany jako docelowy. Może być podany jako wejściowy skład mieszanki lub wyjściowy skład mieszanki.</w:t>
      </w:r>
    </w:p>
    <w:p w14:paraId="620C2623"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1.4.8</w:t>
      </w:r>
      <w:r w:rsidRPr="002326E7">
        <w:rPr>
          <w:rFonts w:ascii="Arial Narrow" w:eastAsia="Times New Roman" w:hAnsi="Arial Narrow" w:cs="Arial"/>
          <w:sz w:val="20"/>
          <w:szCs w:val="20"/>
          <w:lang w:eastAsia="pl-PL"/>
        </w:rPr>
        <w:t xml:space="preserve"> Wejściowy skład mieszanki - jest to skład mieszanki zawierający: materiały składowe podane w % wagowych, krzywą uziarnienia i procentową zawartość lepiszcza całkowitego w stosunku do mieszanki mineralno-asfaltowej (walidacja laboratoryjna).</w:t>
      </w:r>
    </w:p>
    <w:p w14:paraId="071FEE46"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1.4.9.</w:t>
      </w:r>
      <w:r w:rsidRPr="002326E7">
        <w:rPr>
          <w:rFonts w:ascii="Arial Narrow" w:eastAsia="Times New Roman" w:hAnsi="Arial Narrow" w:cs="Arial"/>
          <w:sz w:val="20"/>
          <w:szCs w:val="20"/>
          <w:lang w:eastAsia="pl-PL"/>
        </w:rPr>
        <w:t xml:space="preserve"> Wyjściowy skład mieszanki - jest to skład mieszanki zawierający: materiały składowe, uśrednione wyniki uziarnienia oraz zawartość lepiszcza rozpuszczalnego oznaczone laboratoryjnie (wynik walidacji produkcji).</w:t>
      </w:r>
    </w:p>
    <w:p w14:paraId="6F04B9EF"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1.4.10.</w:t>
      </w:r>
      <w:r w:rsidRPr="002326E7">
        <w:rPr>
          <w:rFonts w:ascii="Arial Narrow" w:eastAsia="Times New Roman" w:hAnsi="Arial Narrow" w:cs="Arial"/>
          <w:sz w:val="20"/>
          <w:szCs w:val="20"/>
          <w:lang w:eastAsia="pl-PL"/>
        </w:rPr>
        <w:t xml:space="preserve"> Kruszywo - jest to ziarnisty materiał stosowany w budownictwie, który może być: naturalny, sztuczny lub z recyklingu.</w:t>
      </w:r>
    </w:p>
    <w:p w14:paraId="235E031B"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1.4.12</w:t>
      </w:r>
      <w:r w:rsidRPr="002326E7">
        <w:rPr>
          <w:rFonts w:ascii="Arial Narrow" w:eastAsia="Times New Roman" w:hAnsi="Arial Narrow" w:cs="Arial"/>
          <w:sz w:val="20"/>
          <w:szCs w:val="20"/>
          <w:lang w:eastAsia="pl-PL"/>
        </w:rPr>
        <w:t>. Kruszywo naturalne - jest to kruszywo ze złóż naturalnych pochodzenia mineralnego, które może być poddane wyłącznie obróbce mechanicznej. Kruszywo naturalne jest uzyskiwane z mineralnych surowców naturalnych występujących w przyrodzie, w szczególności takich, jak: żwir, piasek, żwir kruszony, kruszywo z mechanicznie rozdrobnionych skał, nadziarna żwirowego lub otoczaków.</w:t>
      </w:r>
    </w:p>
    <w:p w14:paraId="68A9F142"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1.4.13.</w:t>
      </w:r>
      <w:r w:rsidRPr="002326E7">
        <w:rPr>
          <w:rFonts w:ascii="Arial Narrow" w:eastAsia="Times New Roman" w:hAnsi="Arial Narrow" w:cs="Arial"/>
          <w:sz w:val="20"/>
          <w:szCs w:val="20"/>
          <w:lang w:eastAsia="pl-PL"/>
        </w:rPr>
        <w:t xml:space="preserve"> Wymiar kruszywa - jest to wielkość ziaren kruszywa, określona przez dolny (d) i górny (D) wymiar sita. Przy oznaczaniu wymiaru kruszywa dopuszcza się obecność pewnej ilości ziaren, które pozostają na górnym sicie lub przechodzą przez dolne sito, zestawu sit używanego do oznaczania wymiaru kruszywa. Dolny wymiar sita może być równy 0.</w:t>
      </w:r>
    </w:p>
    <w:p w14:paraId="5A9951A2"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1.4.14.</w:t>
      </w:r>
      <w:r w:rsidRPr="002326E7">
        <w:rPr>
          <w:rFonts w:ascii="Arial Narrow" w:eastAsia="Times New Roman" w:hAnsi="Arial Narrow" w:cs="Arial"/>
          <w:sz w:val="20"/>
          <w:szCs w:val="20"/>
          <w:lang w:eastAsia="pl-PL"/>
        </w:rPr>
        <w:t xml:space="preserve"> Kruszywo grube - jest to kruszywo o wymiarach ziaren: D ≤ </w:t>
      </w:r>
      <w:smartTag w:uri="urn:schemas-microsoft-com:office:smarttags" w:element="metricconverter">
        <w:smartTagPr>
          <w:attr w:name="ProductID" w:val="45 mm"/>
        </w:smartTagPr>
        <w:r w:rsidRPr="002326E7">
          <w:rPr>
            <w:rFonts w:ascii="Arial Narrow" w:eastAsia="Times New Roman" w:hAnsi="Arial Narrow" w:cs="Arial"/>
            <w:sz w:val="20"/>
            <w:szCs w:val="20"/>
            <w:lang w:eastAsia="pl-PL"/>
          </w:rPr>
          <w:t>45 mm</w:t>
        </w:r>
      </w:smartTag>
      <w:r w:rsidRPr="002326E7">
        <w:rPr>
          <w:rFonts w:ascii="Arial Narrow" w:eastAsia="Times New Roman" w:hAnsi="Arial Narrow" w:cs="Arial"/>
          <w:sz w:val="20"/>
          <w:szCs w:val="20"/>
          <w:lang w:eastAsia="pl-PL"/>
        </w:rPr>
        <w:t xml:space="preserve"> oraz d &gt; </w:t>
      </w:r>
      <w:smartTag w:uri="urn:schemas-microsoft-com:office:smarttags" w:element="metricconverter">
        <w:smartTagPr>
          <w:attr w:name="ProductID" w:val="2 mm"/>
        </w:smartTagPr>
        <w:r w:rsidRPr="002326E7">
          <w:rPr>
            <w:rFonts w:ascii="Arial Narrow" w:eastAsia="Times New Roman" w:hAnsi="Arial Narrow" w:cs="Arial"/>
            <w:sz w:val="20"/>
            <w:szCs w:val="20"/>
            <w:lang w:eastAsia="pl-PL"/>
          </w:rPr>
          <w:t>2 mm</w:t>
        </w:r>
      </w:smartTag>
      <w:r w:rsidRPr="002326E7">
        <w:rPr>
          <w:rFonts w:ascii="Arial Narrow" w:eastAsia="Times New Roman" w:hAnsi="Arial Narrow" w:cs="Arial"/>
          <w:sz w:val="20"/>
          <w:szCs w:val="20"/>
          <w:lang w:eastAsia="pl-PL"/>
        </w:rPr>
        <w:t>.</w:t>
      </w:r>
    </w:p>
    <w:p w14:paraId="46DD99D4"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1.4.15.</w:t>
      </w:r>
      <w:r w:rsidRPr="002326E7">
        <w:rPr>
          <w:rFonts w:ascii="Arial Narrow" w:eastAsia="Times New Roman" w:hAnsi="Arial Narrow" w:cs="Arial"/>
          <w:sz w:val="20"/>
          <w:szCs w:val="20"/>
          <w:lang w:eastAsia="pl-PL"/>
        </w:rPr>
        <w:t xml:space="preserve"> Kruszywo drobne – jest to kruszywo o wymiarach ziaren D ≤ </w:t>
      </w:r>
      <w:smartTag w:uri="urn:schemas-microsoft-com:office:smarttags" w:element="metricconverter">
        <w:smartTagPr>
          <w:attr w:name="ProductID" w:val="2 mm"/>
        </w:smartTagPr>
        <w:r w:rsidRPr="002326E7">
          <w:rPr>
            <w:rFonts w:ascii="Arial Narrow" w:eastAsia="Times New Roman" w:hAnsi="Arial Narrow" w:cs="Arial"/>
            <w:sz w:val="20"/>
            <w:szCs w:val="20"/>
            <w:lang w:eastAsia="pl-PL"/>
          </w:rPr>
          <w:t>2 mm</w:t>
        </w:r>
      </w:smartTag>
      <w:r w:rsidRPr="002326E7">
        <w:rPr>
          <w:rFonts w:ascii="Arial Narrow" w:eastAsia="Times New Roman" w:hAnsi="Arial Narrow" w:cs="Arial"/>
          <w:sz w:val="20"/>
          <w:szCs w:val="20"/>
          <w:lang w:eastAsia="pl-PL"/>
        </w:rPr>
        <w:t xml:space="preserve">, którego większa część pozostaje na sicie </w:t>
      </w:r>
      <w:smartTag w:uri="urn:schemas-microsoft-com:office:smarttags" w:element="metricconverter">
        <w:smartTagPr>
          <w:attr w:name="ProductID" w:val="0,063 mm"/>
        </w:smartTagPr>
        <w:r w:rsidRPr="002326E7">
          <w:rPr>
            <w:rFonts w:ascii="Arial Narrow" w:eastAsia="Times New Roman" w:hAnsi="Arial Narrow" w:cs="Arial"/>
            <w:sz w:val="20"/>
            <w:szCs w:val="20"/>
            <w:lang w:eastAsia="pl-PL"/>
          </w:rPr>
          <w:t>0,063 mm</w:t>
        </w:r>
      </w:smartTag>
      <w:r w:rsidRPr="002326E7">
        <w:rPr>
          <w:rFonts w:ascii="Arial Narrow" w:eastAsia="Times New Roman" w:hAnsi="Arial Narrow" w:cs="Arial"/>
          <w:sz w:val="20"/>
          <w:szCs w:val="20"/>
          <w:lang w:eastAsia="pl-PL"/>
        </w:rPr>
        <w:t>. Kruszywo drobne może powstać w wyniku kruszenia lub naturalnego rozdrobnienia skały albo żwiru lub przetworzenia kruszywa sztucznego.</w:t>
      </w:r>
    </w:p>
    <w:p w14:paraId="3E633C06"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1.4.16.</w:t>
      </w:r>
      <w:r w:rsidRPr="002326E7">
        <w:rPr>
          <w:rFonts w:ascii="Arial Narrow" w:eastAsia="Times New Roman" w:hAnsi="Arial Narrow" w:cs="Arial"/>
          <w:sz w:val="20"/>
          <w:szCs w:val="20"/>
          <w:lang w:eastAsia="pl-PL"/>
        </w:rPr>
        <w:t xml:space="preserve"> Kruszywo łamane - jest to kruszywo naturalne lub sztuczne poddane mechanicznemu rozdrobnieniu.</w:t>
      </w:r>
    </w:p>
    <w:p w14:paraId="00027C23"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1.4.17.</w:t>
      </w:r>
      <w:r w:rsidRPr="002326E7">
        <w:rPr>
          <w:rFonts w:ascii="Arial Narrow" w:eastAsia="Times New Roman" w:hAnsi="Arial Narrow" w:cs="Arial"/>
          <w:sz w:val="20"/>
          <w:szCs w:val="20"/>
          <w:lang w:eastAsia="pl-PL"/>
        </w:rPr>
        <w:t xml:space="preserve"> Kruszywo niełamane - jest to kruszywo naturalne lub sztuczne nie poddane mechanicznemu rozdrobieniu.</w:t>
      </w:r>
    </w:p>
    <w:p w14:paraId="7A6108E7"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 xml:space="preserve">1.4.18. </w:t>
      </w:r>
      <w:r w:rsidRPr="002326E7">
        <w:rPr>
          <w:rFonts w:ascii="Arial Narrow" w:eastAsia="Times New Roman" w:hAnsi="Arial Narrow" w:cs="Arial"/>
          <w:sz w:val="20"/>
          <w:szCs w:val="20"/>
          <w:lang w:eastAsia="pl-PL"/>
        </w:rPr>
        <w:t xml:space="preserve">Pyły - jest to kruszywo o wymiarach ziaren &lt; </w:t>
      </w:r>
      <w:smartTag w:uri="urn:schemas-microsoft-com:office:smarttags" w:element="metricconverter">
        <w:smartTagPr>
          <w:attr w:name="ProductID" w:val="0,063 mm"/>
        </w:smartTagPr>
        <w:r w:rsidRPr="002326E7">
          <w:rPr>
            <w:rFonts w:ascii="Arial Narrow" w:eastAsia="Times New Roman" w:hAnsi="Arial Narrow" w:cs="Arial"/>
            <w:sz w:val="20"/>
            <w:szCs w:val="20"/>
            <w:lang w:eastAsia="pl-PL"/>
          </w:rPr>
          <w:t>0,063 mm</w:t>
        </w:r>
      </w:smartTag>
      <w:r w:rsidRPr="002326E7">
        <w:rPr>
          <w:rFonts w:ascii="Arial Narrow" w:eastAsia="Times New Roman" w:hAnsi="Arial Narrow" w:cs="Arial"/>
          <w:sz w:val="20"/>
          <w:szCs w:val="20"/>
          <w:lang w:eastAsia="pl-PL"/>
        </w:rPr>
        <w:t>.</w:t>
      </w:r>
    </w:p>
    <w:p w14:paraId="779F7CFA"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lastRenderedPageBreak/>
        <w:t>1.4.19.</w:t>
      </w:r>
      <w:r w:rsidRPr="002326E7">
        <w:rPr>
          <w:rFonts w:ascii="Arial Narrow" w:eastAsia="Times New Roman" w:hAnsi="Arial Narrow" w:cs="Arial"/>
          <w:sz w:val="20"/>
          <w:szCs w:val="20"/>
          <w:lang w:eastAsia="pl-PL"/>
        </w:rPr>
        <w:t xml:space="preserve"> Wypełniacz -jest to kruszywo, którego większa część przechodzi przez sito </w:t>
      </w:r>
      <w:smartTag w:uri="urn:schemas-microsoft-com:office:smarttags" w:element="metricconverter">
        <w:smartTagPr>
          <w:attr w:name="ProductID" w:val="0,063 mm"/>
        </w:smartTagPr>
        <w:r w:rsidRPr="002326E7">
          <w:rPr>
            <w:rFonts w:ascii="Arial Narrow" w:eastAsia="Times New Roman" w:hAnsi="Arial Narrow" w:cs="Arial"/>
            <w:sz w:val="20"/>
            <w:szCs w:val="20"/>
            <w:lang w:eastAsia="pl-PL"/>
          </w:rPr>
          <w:t>0,063 mm</w:t>
        </w:r>
      </w:smartTag>
      <w:r w:rsidRPr="002326E7">
        <w:rPr>
          <w:rFonts w:ascii="Arial Narrow" w:eastAsia="Times New Roman" w:hAnsi="Arial Narrow" w:cs="Arial"/>
          <w:sz w:val="20"/>
          <w:szCs w:val="20"/>
          <w:lang w:eastAsia="pl-PL"/>
        </w:rPr>
        <w:t>.</w:t>
      </w:r>
    </w:p>
    <w:p w14:paraId="3C8A8293"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1.4.20.</w:t>
      </w:r>
      <w:r w:rsidRPr="002326E7">
        <w:rPr>
          <w:rFonts w:ascii="Arial Narrow" w:eastAsia="Times New Roman" w:hAnsi="Arial Narrow" w:cs="Arial"/>
          <w:sz w:val="20"/>
          <w:szCs w:val="20"/>
          <w:lang w:eastAsia="pl-PL"/>
        </w:rPr>
        <w:t xml:space="preserve"> Wypełniacz mieszany - jest to kruszywo, które składa się z wypełniacza pochodzenia mineralnego i wodorotlenku wapnia.</w:t>
      </w:r>
    </w:p>
    <w:p w14:paraId="28C00FB4"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1.4.21.</w:t>
      </w:r>
      <w:r w:rsidRPr="002326E7">
        <w:rPr>
          <w:rFonts w:ascii="Arial Narrow" w:eastAsia="Times New Roman" w:hAnsi="Arial Narrow" w:cs="Arial"/>
          <w:sz w:val="20"/>
          <w:szCs w:val="20"/>
          <w:lang w:eastAsia="pl-PL"/>
        </w:rPr>
        <w:t xml:space="preserve"> Wypełniacz dodany - wypełniacz pochodzenia mineralnego, wyprodukowany oddzielnie.</w:t>
      </w:r>
    </w:p>
    <w:p w14:paraId="6B273F1C"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1.4.22.</w:t>
      </w:r>
      <w:r w:rsidRPr="002326E7">
        <w:rPr>
          <w:rFonts w:ascii="Arial Narrow" w:eastAsia="Times New Roman" w:hAnsi="Arial Narrow" w:cs="Arial"/>
          <w:sz w:val="20"/>
          <w:szCs w:val="20"/>
          <w:lang w:eastAsia="pl-PL"/>
        </w:rPr>
        <w:t xml:space="preserve"> Uziarnienie - skład ziarnowy kruszywa, wyrażony w procentach masy ziaren przechodzących przez określony zestaw sit.</w:t>
      </w:r>
    </w:p>
    <w:p w14:paraId="5BAD0364"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1.4.23.</w:t>
      </w:r>
      <w:r w:rsidRPr="002326E7">
        <w:rPr>
          <w:rFonts w:ascii="Arial Narrow" w:eastAsia="Times New Roman" w:hAnsi="Arial Narrow" w:cs="Arial"/>
          <w:sz w:val="20"/>
          <w:szCs w:val="20"/>
          <w:lang w:eastAsia="pl-PL"/>
        </w:rPr>
        <w:t xml:space="preserve"> Kategoria ruchu - obciążenie drogi ruchem samochodowym, wyrażone w osiach obliczeniowych (100 kN) wg „Katalogu typowych konstrukcji nawierzchni podatnych i półsztywnych” GDDKiA [72].</w:t>
      </w:r>
    </w:p>
    <w:p w14:paraId="1767F4AA"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1.4.24</w:t>
      </w:r>
      <w:r w:rsidRPr="002326E7">
        <w:rPr>
          <w:rFonts w:ascii="Arial Narrow" w:eastAsia="Times New Roman" w:hAnsi="Arial Narrow" w:cs="Arial"/>
          <w:sz w:val="20"/>
          <w:szCs w:val="20"/>
          <w:lang w:eastAsia="pl-PL"/>
        </w:rPr>
        <w:t>. Kationowa emulsja asfaltowa - emulsja, w której emulgator nadaje dodatnie ładunki cząstkom zdyspergowanego asfaltu.</w:t>
      </w:r>
    </w:p>
    <w:p w14:paraId="0A21CF5D"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1.4.15.</w:t>
      </w:r>
      <w:r w:rsidRPr="002326E7">
        <w:rPr>
          <w:rFonts w:ascii="Arial Narrow" w:eastAsia="Times New Roman" w:hAnsi="Arial Narrow" w:cs="Arial"/>
          <w:sz w:val="20"/>
          <w:szCs w:val="20"/>
          <w:lang w:eastAsia="pl-PL"/>
        </w:rPr>
        <w:t xml:space="preserve"> Granulat asfaltowy – jest to przetworzony destrukt asfaltowy o udokumentowanej jakości jako materiał składowy w produkcji mieszanek mineralno-asfaltowych w technologii na gorąco.</w:t>
      </w:r>
    </w:p>
    <w:p w14:paraId="4E1CDFB4" w14:textId="77777777" w:rsidR="002326E7" w:rsidRPr="002326E7" w:rsidRDefault="002326E7" w:rsidP="002326E7">
      <w:pPr>
        <w:overflowPunct w:val="0"/>
        <w:autoSpaceDE w:val="0"/>
        <w:autoSpaceDN w:val="0"/>
        <w:adjustRightInd w:val="0"/>
        <w:spacing w:before="6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1.4.16.</w:t>
      </w:r>
      <w:r w:rsidRPr="002326E7">
        <w:rPr>
          <w:rFonts w:ascii="Arial Narrow" w:eastAsia="Times New Roman" w:hAnsi="Arial Narrow" w:cs="Arial"/>
          <w:sz w:val="20"/>
          <w:szCs w:val="20"/>
          <w:lang w:eastAsia="pl-PL"/>
        </w:rPr>
        <w:t xml:space="preserve"> 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p>
    <w:p w14:paraId="44BEC9B7" w14:textId="77777777" w:rsidR="002326E7" w:rsidRPr="002326E7" w:rsidRDefault="002326E7" w:rsidP="002326E7">
      <w:pPr>
        <w:overflowPunct w:val="0"/>
        <w:autoSpaceDE w:val="0"/>
        <w:autoSpaceDN w:val="0"/>
        <w:adjustRightInd w:val="0"/>
        <w:spacing w:before="60" w:after="12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 xml:space="preserve">1.4.27. </w:t>
      </w:r>
      <w:r w:rsidRPr="002326E7">
        <w:rPr>
          <w:rFonts w:ascii="Arial Narrow" w:eastAsia="Times New Roman" w:hAnsi="Arial Narrow" w:cs="Arial"/>
          <w:sz w:val="20"/>
          <w:szCs w:val="20"/>
          <w:lang w:eastAsia="pl-PL"/>
        </w:rPr>
        <w:t>Symbole i skróty dodatkowe:</w:t>
      </w:r>
    </w:p>
    <w:tbl>
      <w:tblPr>
        <w:tblW w:w="0" w:type="auto"/>
        <w:jc w:val="center"/>
        <w:tblLook w:val="04A0" w:firstRow="1" w:lastRow="0" w:firstColumn="1" w:lastColumn="0" w:noHBand="0" w:noVBand="1"/>
      </w:tblPr>
      <w:tblGrid>
        <w:gridCol w:w="739"/>
        <w:gridCol w:w="8131"/>
      </w:tblGrid>
      <w:tr w:rsidR="002326E7" w:rsidRPr="002326E7" w14:paraId="751E30E3" w14:textId="77777777" w:rsidTr="00855929">
        <w:trPr>
          <w:trHeight w:val="283"/>
          <w:jc w:val="center"/>
        </w:trPr>
        <w:tc>
          <w:tcPr>
            <w:tcW w:w="739" w:type="dxa"/>
            <w:hideMark/>
          </w:tcPr>
          <w:p w14:paraId="664D5CB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AC_W</w:t>
            </w:r>
          </w:p>
        </w:tc>
        <w:tc>
          <w:tcPr>
            <w:tcW w:w="8131" w:type="dxa"/>
            <w:hideMark/>
          </w:tcPr>
          <w:p w14:paraId="40EA3C75"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beton asfaltowy do warstwy wiążącej i wyrównawczej,</w:t>
            </w:r>
          </w:p>
        </w:tc>
      </w:tr>
      <w:tr w:rsidR="002326E7" w:rsidRPr="00C721E3" w14:paraId="76A38A36" w14:textId="77777777" w:rsidTr="00855929">
        <w:trPr>
          <w:trHeight w:val="283"/>
          <w:jc w:val="center"/>
        </w:trPr>
        <w:tc>
          <w:tcPr>
            <w:tcW w:w="739" w:type="dxa"/>
            <w:hideMark/>
          </w:tcPr>
          <w:p w14:paraId="2246733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PMB</w:t>
            </w:r>
          </w:p>
        </w:tc>
        <w:tc>
          <w:tcPr>
            <w:tcW w:w="8131" w:type="dxa"/>
            <w:hideMark/>
          </w:tcPr>
          <w:p w14:paraId="03BFF84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lang w:val="en-US"/>
              </w:rPr>
            </w:pPr>
            <w:r w:rsidRPr="002326E7">
              <w:rPr>
                <w:rFonts w:ascii="Arial Narrow" w:eastAsia="Times New Roman" w:hAnsi="Arial Narrow" w:cs="Times New Roman"/>
                <w:sz w:val="20"/>
                <w:lang w:val="en-US"/>
              </w:rPr>
              <w:t>polimeroasfalt (ang. polymer modified bitumen),</w:t>
            </w:r>
          </w:p>
        </w:tc>
      </w:tr>
      <w:tr w:rsidR="002326E7" w:rsidRPr="002326E7" w14:paraId="2DE9740A" w14:textId="77777777" w:rsidTr="00855929">
        <w:trPr>
          <w:trHeight w:val="283"/>
          <w:jc w:val="center"/>
        </w:trPr>
        <w:tc>
          <w:tcPr>
            <w:tcW w:w="739" w:type="dxa"/>
            <w:hideMark/>
          </w:tcPr>
          <w:p w14:paraId="7AFA271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MG</w:t>
            </w:r>
          </w:p>
        </w:tc>
        <w:tc>
          <w:tcPr>
            <w:tcW w:w="8131" w:type="dxa"/>
            <w:hideMark/>
          </w:tcPr>
          <w:p w14:paraId="69BA5F5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asfalt wielorodzajowy (ang. multigrade),</w:t>
            </w:r>
          </w:p>
        </w:tc>
      </w:tr>
      <w:tr w:rsidR="002326E7" w:rsidRPr="002326E7" w14:paraId="6E458574" w14:textId="77777777" w:rsidTr="00855929">
        <w:trPr>
          <w:trHeight w:val="283"/>
          <w:jc w:val="center"/>
        </w:trPr>
        <w:tc>
          <w:tcPr>
            <w:tcW w:w="739" w:type="dxa"/>
            <w:hideMark/>
          </w:tcPr>
          <w:p w14:paraId="701563C5"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D</w:t>
            </w:r>
          </w:p>
        </w:tc>
        <w:tc>
          <w:tcPr>
            <w:tcW w:w="8131" w:type="dxa"/>
            <w:hideMark/>
          </w:tcPr>
          <w:p w14:paraId="7FA168F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górny wymiar sita (przy określaniu wielkości ziaren kruszywa),</w:t>
            </w:r>
          </w:p>
        </w:tc>
      </w:tr>
      <w:tr w:rsidR="002326E7" w:rsidRPr="002326E7" w14:paraId="5B35EF27" w14:textId="77777777" w:rsidTr="00855929">
        <w:trPr>
          <w:trHeight w:val="283"/>
          <w:jc w:val="center"/>
        </w:trPr>
        <w:tc>
          <w:tcPr>
            <w:tcW w:w="739" w:type="dxa"/>
            <w:hideMark/>
          </w:tcPr>
          <w:p w14:paraId="7C1DA15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d</w:t>
            </w:r>
          </w:p>
        </w:tc>
        <w:tc>
          <w:tcPr>
            <w:tcW w:w="8131" w:type="dxa"/>
            <w:hideMark/>
          </w:tcPr>
          <w:p w14:paraId="17C427C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dolny wymiar sita (przy określaniu wielkości ziaren kruszywa),</w:t>
            </w:r>
          </w:p>
        </w:tc>
      </w:tr>
      <w:tr w:rsidR="002326E7" w:rsidRPr="002326E7" w14:paraId="7C6E0B7F" w14:textId="77777777" w:rsidTr="00855929">
        <w:trPr>
          <w:trHeight w:val="283"/>
          <w:jc w:val="center"/>
        </w:trPr>
        <w:tc>
          <w:tcPr>
            <w:tcW w:w="739" w:type="dxa"/>
            <w:hideMark/>
          </w:tcPr>
          <w:p w14:paraId="3F24956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C</w:t>
            </w:r>
          </w:p>
        </w:tc>
        <w:tc>
          <w:tcPr>
            <w:tcW w:w="8131" w:type="dxa"/>
            <w:hideMark/>
          </w:tcPr>
          <w:p w14:paraId="7984F31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kationowa emulsja asfaltowa,</w:t>
            </w:r>
          </w:p>
        </w:tc>
      </w:tr>
      <w:tr w:rsidR="002326E7" w:rsidRPr="002326E7" w14:paraId="7CB2AC3C" w14:textId="77777777" w:rsidTr="00855929">
        <w:trPr>
          <w:trHeight w:val="283"/>
          <w:jc w:val="center"/>
        </w:trPr>
        <w:tc>
          <w:tcPr>
            <w:tcW w:w="739" w:type="dxa"/>
            <w:hideMark/>
          </w:tcPr>
          <w:p w14:paraId="24BC010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NPD</w:t>
            </w:r>
          </w:p>
        </w:tc>
        <w:tc>
          <w:tcPr>
            <w:tcW w:w="8131" w:type="dxa"/>
            <w:hideMark/>
          </w:tcPr>
          <w:p w14:paraId="5B80F13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właściwość użytkowa nie określana (ang. No Performance Determined; producent może jej nie określać),</w:t>
            </w:r>
          </w:p>
        </w:tc>
      </w:tr>
      <w:tr w:rsidR="002326E7" w:rsidRPr="002326E7" w14:paraId="4E0A67B8" w14:textId="77777777" w:rsidTr="00855929">
        <w:trPr>
          <w:trHeight w:val="283"/>
          <w:jc w:val="center"/>
        </w:trPr>
        <w:tc>
          <w:tcPr>
            <w:tcW w:w="739" w:type="dxa"/>
            <w:hideMark/>
          </w:tcPr>
          <w:p w14:paraId="6D86712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TBR</w:t>
            </w:r>
          </w:p>
        </w:tc>
        <w:tc>
          <w:tcPr>
            <w:tcW w:w="8131" w:type="dxa"/>
            <w:hideMark/>
          </w:tcPr>
          <w:p w14:paraId="59AFF30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do zadeklarowania (ang. To Be Reported; producent może dostarczyć odpowiednie informacje, jednak nie jest do tego zobowiązany),</w:t>
            </w:r>
          </w:p>
        </w:tc>
      </w:tr>
      <w:tr w:rsidR="002326E7" w:rsidRPr="002326E7" w14:paraId="1B3D379F" w14:textId="77777777" w:rsidTr="00855929">
        <w:trPr>
          <w:trHeight w:val="283"/>
          <w:jc w:val="center"/>
        </w:trPr>
        <w:tc>
          <w:tcPr>
            <w:tcW w:w="739" w:type="dxa"/>
            <w:hideMark/>
          </w:tcPr>
          <w:p w14:paraId="0039EF7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IRI</w:t>
            </w:r>
          </w:p>
        </w:tc>
        <w:tc>
          <w:tcPr>
            <w:tcW w:w="8131" w:type="dxa"/>
            <w:hideMark/>
          </w:tcPr>
          <w:p w14:paraId="49A35D4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(International Roughness Index) międzynarodowy wskaźnik równości,</w:t>
            </w:r>
          </w:p>
        </w:tc>
      </w:tr>
      <w:tr w:rsidR="002326E7" w:rsidRPr="002326E7" w14:paraId="70AF6A5D" w14:textId="77777777" w:rsidTr="00855929">
        <w:trPr>
          <w:trHeight w:val="283"/>
          <w:jc w:val="center"/>
        </w:trPr>
        <w:tc>
          <w:tcPr>
            <w:tcW w:w="739" w:type="dxa"/>
            <w:hideMark/>
          </w:tcPr>
          <w:p w14:paraId="168B88A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MOP</w:t>
            </w:r>
          </w:p>
        </w:tc>
        <w:tc>
          <w:tcPr>
            <w:tcW w:w="8131" w:type="dxa"/>
            <w:hideMark/>
          </w:tcPr>
          <w:p w14:paraId="020764B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miejsce obsługi podróżnych. </w:t>
            </w:r>
          </w:p>
        </w:tc>
      </w:tr>
      <w:tr w:rsidR="002326E7" w:rsidRPr="002326E7" w14:paraId="086E259A" w14:textId="77777777" w:rsidTr="00855929">
        <w:trPr>
          <w:trHeight w:val="283"/>
          <w:jc w:val="center"/>
        </w:trPr>
        <w:tc>
          <w:tcPr>
            <w:tcW w:w="739" w:type="dxa"/>
            <w:hideMark/>
          </w:tcPr>
          <w:p w14:paraId="1490603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ZKP</w:t>
            </w:r>
          </w:p>
        </w:tc>
        <w:tc>
          <w:tcPr>
            <w:tcW w:w="8131" w:type="dxa"/>
            <w:hideMark/>
          </w:tcPr>
          <w:p w14:paraId="01C89E5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zakładowa kontrola produkcji</w:t>
            </w:r>
          </w:p>
        </w:tc>
      </w:tr>
    </w:tbl>
    <w:p w14:paraId="04A543D1"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 xml:space="preserve">1.4.28. </w:t>
      </w:r>
      <w:r w:rsidRPr="002326E7">
        <w:rPr>
          <w:rFonts w:ascii="Arial Narrow" w:eastAsia="Times New Roman" w:hAnsi="Arial Narrow" w:cs="Arial"/>
          <w:sz w:val="20"/>
          <w:szCs w:val="20"/>
          <w:lang w:eastAsia="pl-PL"/>
        </w:rPr>
        <w:t>Pozostałe określenia podstawowe są zgodne z obowiązującymi, odpowiednimi polskimi normami i z definicjami podanymi w STWiORB D-M-00.00.00 „Wymagania ogólne” pkt 1.4.</w:t>
      </w:r>
    </w:p>
    <w:p w14:paraId="53275C3E"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46" w:name="_Toc495830230"/>
      <w:r w:rsidRPr="002326E7">
        <w:rPr>
          <w:rFonts w:ascii="Arial Narrow" w:eastAsia="Times New Roman" w:hAnsi="Arial Narrow" w:cs="Times New Roman"/>
          <w:b/>
          <w:sz w:val="28"/>
          <w:szCs w:val="20"/>
          <w:lang w:val="x-none" w:eastAsia="x-none"/>
        </w:rPr>
        <w:t>1.5. Ogólne wymagania dotyczące robót</w:t>
      </w:r>
      <w:bookmarkEnd w:id="746"/>
    </w:p>
    <w:p w14:paraId="280A915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sz w:val="20"/>
          <w:szCs w:val="20"/>
          <w:lang w:eastAsia="pl-PL"/>
        </w:rPr>
        <w:t>Ogólne wymagania dotyczące robót podano w STWiORB D-M-00.00.00 „Wymagania ogólne” [1] pkt 1.5.</w:t>
      </w:r>
    </w:p>
    <w:p w14:paraId="387783BD"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47" w:name="_Toc495830231"/>
      <w:r w:rsidRPr="002326E7">
        <w:rPr>
          <w:rFonts w:ascii="Arial Narrow" w:eastAsia="Times New Roman" w:hAnsi="Arial Narrow" w:cs="Times New Roman"/>
          <w:b/>
          <w:sz w:val="28"/>
          <w:szCs w:val="20"/>
          <w:lang w:val="x-none" w:eastAsia="x-none"/>
        </w:rPr>
        <w:t>2. MATERIAŁY</w:t>
      </w:r>
      <w:bookmarkEnd w:id="747"/>
    </w:p>
    <w:p w14:paraId="5C05B32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Ogólne wymagania dotyczące materiałów, ich pozyskiwania i składowania podano w D-M-00.00.00 „Wymagania ogólne”. Poszczególne rodzaje materiałów powinny pochodzić ze źródeł zatwierdzonych przez Inżyniera/Inspektora Nadzoru. W przypadku wystąpienia zmian w materiałach składowych (rodzaj, kategoria, typ petrograficzny, gęstość, zmiana złoża) należy postępować zgodnie z zasadami określonymi w punkcie 4.2. normy PN-EN 13108-20. </w:t>
      </w:r>
    </w:p>
    <w:p w14:paraId="61B7335D"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2.1. Rodzaje materiałów </w:t>
      </w:r>
    </w:p>
    <w:p w14:paraId="4C3A6035"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Rodzaje materiałów stosowanych do mieszanki mineralno-asfaltowej podano w tabeli 1. </w:t>
      </w:r>
    </w:p>
    <w:p w14:paraId="7689C0E5"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1. Rodzaje materiałów do mieszanki mineralno-asfaltowej </w:t>
      </w:r>
    </w:p>
    <w:tbl>
      <w:tblPr>
        <w:tblW w:w="8961" w:type="dxa"/>
        <w:tblInd w:w="125" w:type="dxa"/>
        <w:tblCellMar>
          <w:top w:w="56" w:type="dxa"/>
          <w:right w:w="38" w:type="dxa"/>
        </w:tblCellMar>
        <w:tblLook w:val="04A0" w:firstRow="1" w:lastRow="0" w:firstColumn="1" w:lastColumn="0" w:noHBand="0" w:noVBand="1"/>
      </w:tblPr>
      <w:tblGrid>
        <w:gridCol w:w="525"/>
        <w:gridCol w:w="2737"/>
        <w:gridCol w:w="1985"/>
        <w:gridCol w:w="1841"/>
        <w:gridCol w:w="1873"/>
      </w:tblGrid>
      <w:tr w:rsidR="002326E7" w:rsidRPr="002326E7" w14:paraId="0CF7820F" w14:textId="77777777" w:rsidTr="00855929">
        <w:trPr>
          <w:trHeight w:val="492"/>
        </w:trPr>
        <w:tc>
          <w:tcPr>
            <w:tcW w:w="52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DBA03C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Lp. </w:t>
            </w:r>
          </w:p>
          <w:p w14:paraId="042EF8F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 </w:t>
            </w:r>
          </w:p>
        </w:tc>
        <w:tc>
          <w:tcPr>
            <w:tcW w:w="273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9125DF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Rodzaj materiału </w:t>
            </w:r>
          </w:p>
          <w:p w14:paraId="70AADF8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 </w:t>
            </w:r>
          </w:p>
        </w:tc>
        <w:tc>
          <w:tcPr>
            <w:tcW w:w="569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664F583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Wymagania wg / dokument odniesienia </w:t>
            </w:r>
          </w:p>
        </w:tc>
      </w:tr>
      <w:tr w:rsidR="002326E7" w:rsidRPr="002326E7" w14:paraId="67A50F85" w14:textId="77777777" w:rsidTr="00855929">
        <w:trPr>
          <w:trHeight w:val="492"/>
        </w:trPr>
        <w:tc>
          <w:tcPr>
            <w:tcW w:w="0" w:type="auto"/>
            <w:vMerge/>
            <w:tcBorders>
              <w:top w:val="nil"/>
              <w:left w:val="single" w:sz="4" w:space="0" w:color="000000"/>
              <w:bottom w:val="single" w:sz="4" w:space="0" w:color="000000"/>
              <w:right w:val="single" w:sz="4" w:space="0" w:color="000000"/>
            </w:tcBorders>
            <w:shd w:val="clear" w:color="auto" w:fill="auto"/>
          </w:tcPr>
          <w:p w14:paraId="0E4531A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14:paraId="0F8E69A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76DB1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KR 1-2 </w:t>
            </w:r>
          </w:p>
        </w:tc>
        <w:tc>
          <w:tcPr>
            <w:tcW w:w="184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BF010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KR3-4 </w:t>
            </w:r>
          </w:p>
        </w:tc>
        <w:tc>
          <w:tcPr>
            <w:tcW w:w="18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96577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KR5-7 </w:t>
            </w:r>
          </w:p>
        </w:tc>
      </w:tr>
      <w:tr w:rsidR="002326E7" w:rsidRPr="002326E7" w14:paraId="70984E59" w14:textId="77777777" w:rsidTr="00855929">
        <w:trPr>
          <w:trHeight w:val="495"/>
        </w:trPr>
        <w:tc>
          <w:tcPr>
            <w:tcW w:w="5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51451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1. </w:t>
            </w:r>
          </w:p>
        </w:tc>
        <w:tc>
          <w:tcPr>
            <w:tcW w:w="27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D58E0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Kruszywo grube  </w:t>
            </w:r>
          </w:p>
        </w:tc>
        <w:tc>
          <w:tcPr>
            <w:tcW w:w="569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15B58AB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WT-1 Kruszywa 2014, tabela 8, </w:t>
            </w:r>
          </w:p>
        </w:tc>
      </w:tr>
      <w:tr w:rsidR="002326E7" w:rsidRPr="002326E7" w14:paraId="57003675" w14:textId="77777777" w:rsidTr="00855929">
        <w:trPr>
          <w:trHeight w:val="737"/>
        </w:trPr>
        <w:tc>
          <w:tcPr>
            <w:tcW w:w="526" w:type="dxa"/>
            <w:tcBorders>
              <w:top w:val="single" w:sz="4" w:space="0" w:color="000000"/>
              <w:left w:val="single" w:sz="4" w:space="0" w:color="000000"/>
              <w:bottom w:val="single" w:sz="4" w:space="0" w:color="000000"/>
              <w:right w:val="single" w:sz="4" w:space="0" w:color="000000"/>
            </w:tcBorders>
            <w:shd w:val="clear" w:color="auto" w:fill="auto"/>
          </w:tcPr>
          <w:p w14:paraId="1E02966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2. </w:t>
            </w:r>
          </w:p>
        </w:tc>
        <w:tc>
          <w:tcPr>
            <w:tcW w:w="27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51DB9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Kruszywo drobne lub o ciągłym uziarnieniu D≤8 </w:t>
            </w:r>
          </w:p>
        </w:tc>
        <w:tc>
          <w:tcPr>
            <w:tcW w:w="5699" w:type="dxa"/>
            <w:gridSpan w:val="3"/>
            <w:tcBorders>
              <w:top w:val="single" w:sz="4" w:space="0" w:color="000000"/>
              <w:left w:val="single" w:sz="4" w:space="0" w:color="000000"/>
              <w:bottom w:val="single" w:sz="4" w:space="0" w:color="000000"/>
              <w:right w:val="single" w:sz="4" w:space="0" w:color="000000"/>
            </w:tcBorders>
            <w:shd w:val="clear" w:color="auto" w:fill="auto"/>
          </w:tcPr>
          <w:p w14:paraId="336223B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WT-1 Kruszywa 2014, tabela 9 i 10 </w:t>
            </w:r>
          </w:p>
        </w:tc>
      </w:tr>
      <w:tr w:rsidR="002326E7" w:rsidRPr="002326E7" w14:paraId="59D65754" w14:textId="77777777" w:rsidTr="00855929">
        <w:trPr>
          <w:trHeight w:val="492"/>
        </w:trPr>
        <w:tc>
          <w:tcPr>
            <w:tcW w:w="5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361BB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3. </w:t>
            </w:r>
          </w:p>
        </w:tc>
        <w:tc>
          <w:tcPr>
            <w:tcW w:w="27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D1327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Wypełniacz  </w:t>
            </w:r>
          </w:p>
        </w:tc>
        <w:tc>
          <w:tcPr>
            <w:tcW w:w="569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4088C40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WT-1 Kruszywa 2014, tabela 11 </w:t>
            </w:r>
          </w:p>
        </w:tc>
      </w:tr>
      <w:tr w:rsidR="002326E7" w:rsidRPr="002326E7" w14:paraId="215C9FB8" w14:textId="77777777" w:rsidTr="00855929">
        <w:trPr>
          <w:trHeight w:val="737"/>
        </w:trPr>
        <w:tc>
          <w:tcPr>
            <w:tcW w:w="526" w:type="dxa"/>
            <w:tcBorders>
              <w:top w:val="single" w:sz="4" w:space="0" w:color="000000"/>
              <w:left w:val="single" w:sz="4" w:space="0" w:color="000000"/>
              <w:bottom w:val="single" w:sz="4" w:space="0" w:color="000000"/>
              <w:right w:val="single" w:sz="4" w:space="0" w:color="000000"/>
            </w:tcBorders>
            <w:shd w:val="clear" w:color="auto" w:fill="auto"/>
          </w:tcPr>
          <w:p w14:paraId="0EE1103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lastRenderedPageBreak/>
              <w:t xml:space="preserve">4. </w:t>
            </w:r>
          </w:p>
        </w:tc>
        <w:tc>
          <w:tcPr>
            <w:tcW w:w="2737" w:type="dxa"/>
            <w:tcBorders>
              <w:top w:val="single" w:sz="4" w:space="0" w:color="000000"/>
              <w:left w:val="single" w:sz="4" w:space="0" w:color="000000"/>
              <w:bottom w:val="single" w:sz="4" w:space="0" w:color="000000"/>
              <w:right w:val="single" w:sz="4" w:space="0" w:color="000000"/>
            </w:tcBorders>
            <w:shd w:val="clear" w:color="auto" w:fill="auto"/>
          </w:tcPr>
          <w:p w14:paraId="6B384B5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Lepiszcze </w:t>
            </w:r>
          </w:p>
        </w:tc>
        <w:tc>
          <w:tcPr>
            <w:tcW w:w="569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69AE893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WT-2 2014 – część I pkt. 8.2.2.1 Tab. 10, PN-EN </w:t>
            </w:r>
          </w:p>
          <w:p w14:paraId="67D2E9B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14023 </w:t>
            </w:r>
          </w:p>
        </w:tc>
      </w:tr>
      <w:tr w:rsidR="002326E7" w:rsidRPr="002326E7" w14:paraId="632D8F53" w14:textId="77777777" w:rsidTr="00855929">
        <w:trPr>
          <w:trHeight w:val="375"/>
        </w:trPr>
        <w:tc>
          <w:tcPr>
            <w:tcW w:w="526" w:type="dxa"/>
            <w:tcBorders>
              <w:top w:val="single" w:sz="4" w:space="0" w:color="000000"/>
              <w:left w:val="single" w:sz="4" w:space="0" w:color="000000"/>
              <w:bottom w:val="single" w:sz="4" w:space="0" w:color="000000"/>
              <w:right w:val="single" w:sz="4" w:space="0" w:color="000000"/>
            </w:tcBorders>
            <w:shd w:val="clear" w:color="auto" w:fill="auto"/>
          </w:tcPr>
          <w:p w14:paraId="79681CF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2737" w:type="dxa"/>
            <w:tcBorders>
              <w:top w:val="single" w:sz="4" w:space="0" w:color="000000"/>
              <w:left w:val="single" w:sz="4" w:space="0" w:color="000000"/>
              <w:bottom w:val="single" w:sz="4" w:space="0" w:color="000000"/>
              <w:right w:val="single" w:sz="4" w:space="0" w:color="000000"/>
            </w:tcBorders>
            <w:shd w:val="clear" w:color="auto" w:fill="auto"/>
          </w:tcPr>
          <w:p w14:paraId="2A2B7E9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5699" w:type="dxa"/>
            <w:gridSpan w:val="3"/>
            <w:tcBorders>
              <w:top w:val="single" w:sz="4" w:space="0" w:color="000000"/>
              <w:left w:val="single" w:sz="4" w:space="0" w:color="000000"/>
              <w:bottom w:val="single" w:sz="4" w:space="0" w:color="000000"/>
              <w:right w:val="single" w:sz="4" w:space="0" w:color="000000"/>
            </w:tcBorders>
            <w:shd w:val="clear" w:color="auto" w:fill="auto"/>
          </w:tcPr>
          <w:p w14:paraId="61A3C79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PN-EN 12591, PN-EN 13924-2 </w:t>
            </w:r>
          </w:p>
        </w:tc>
      </w:tr>
      <w:tr w:rsidR="002326E7" w:rsidRPr="002326E7" w14:paraId="076438FD" w14:textId="77777777" w:rsidTr="00855929">
        <w:trPr>
          <w:trHeight w:val="737"/>
        </w:trPr>
        <w:tc>
          <w:tcPr>
            <w:tcW w:w="526" w:type="dxa"/>
            <w:tcBorders>
              <w:top w:val="single" w:sz="4" w:space="0" w:color="000000"/>
              <w:left w:val="single" w:sz="4" w:space="0" w:color="000000"/>
              <w:bottom w:val="single" w:sz="4" w:space="0" w:color="000000"/>
              <w:right w:val="single" w:sz="4" w:space="0" w:color="000000"/>
            </w:tcBorders>
            <w:shd w:val="clear" w:color="auto" w:fill="auto"/>
          </w:tcPr>
          <w:p w14:paraId="65E0535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5. </w:t>
            </w:r>
          </w:p>
        </w:tc>
        <w:tc>
          <w:tcPr>
            <w:tcW w:w="2737" w:type="dxa"/>
            <w:tcBorders>
              <w:top w:val="single" w:sz="4" w:space="0" w:color="000000"/>
              <w:left w:val="single" w:sz="4" w:space="0" w:color="000000"/>
              <w:bottom w:val="single" w:sz="4" w:space="0" w:color="000000"/>
              <w:right w:val="single" w:sz="4" w:space="0" w:color="000000"/>
            </w:tcBorders>
            <w:shd w:val="clear" w:color="auto" w:fill="auto"/>
          </w:tcPr>
          <w:p w14:paraId="69E9476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Granulat asfaltowy  </w:t>
            </w:r>
          </w:p>
        </w:tc>
        <w:tc>
          <w:tcPr>
            <w:tcW w:w="569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356539B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pkt. 2.1.1. STWiORB,  PN-EN 13108-8, RID I/6 Załącznik nr 9.2.1 i Załącznik nr 9.2.3 </w:t>
            </w:r>
          </w:p>
        </w:tc>
      </w:tr>
      <w:tr w:rsidR="002326E7" w:rsidRPr="002326E7" w14:paraId="7566DB53" w14:textId="77777777" w:rsidTr="00855929">
        <w:trPr>
          <w:trHeight w:val="492"/>
        </w:trPr>
        <w:tc>
          <w:tcPr>
            <w:tcW w:w="5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EB000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6. </w:t>
            </w:r>
          </w:p>
        </w:tc>
        <w:tc>
          <w:tcPr>
            <w:tcW w:w="27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6CD64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Środek adhezyjny </w:t>
            </w:r>
          </w:p>
        </w:tc>
        <w:tc>
          <w:tcPr>
            <w:tcW w:w="569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2E650B1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wg p. 4.1 PN-EN 13108-1 </w:t>
            </w:r>
          </w:p>
        </w:tc>
      </w:tr>
      <w:tr w:rsidR="002326E7" w:rsidRPr="002326E7" w14:paraId="37E8F1AC" w14:textId="77777777" w:rsidTr="00855929">
        <w:trPr>
          <w:trHeight w:val="1466"/>
        </w:trPr>
        <w:tc>
          <w:tcPr>
            <w:tcW w:w="526" w:type="dxa"/>
            <w:tcBorders>
              <w:top w:val="single" w:sz="4" w:space="0" w:color="000000"/>
              <w:left w:val="single" w:sz="4" w:space="0" w:color="000000"/>
              <w:bottom w:val="single" w:sz="4" w:space="0" w:color="000000"/>
              <w:right w:val="single" w:sz="4" w:space="0" w:color="000000"/>
            </w:tcBorders>
            <w:shd w:val="clear" w:color="auto" w:fill="auto"/>
          </w:tcPr>
          <w:p w14:paraId="05F8EFE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7. </w:t>
            </w:r>
          </w:p>
        </w:tc>
        <w:tc>
          <w:tcPr>
            <w:tcW w:w="2737" w:type="dxa"/>
            <w:tcBorders>
              <w:top w:val="single" w:sz="4" w:space="0" w:color="000000"/>
              <w:left w:val="single" w:sz="4" w:space="0" w:color="000000"/>
              <w:bottom w:val="single" w:sz="4" w:space="0" w:color="000000"/>
              <w:right w:val="single" w:sz="4" w:space="0" w:color="000000"/>
            </w:tcBorders>
            <w:shd w:val="clear" w:color="auto" w:fill="auto"/>
          </w:tcPr>
          <w:p w14:paraId="3A18F27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Mieszanka </w:t>
            </w:r>
            <w:r w:rsidRPr="002326E7">
              <w:rPr>
                <w:rFonts w:ascii="Arial Narrow" w:eastAsia="Times New Roman" w:hAnsi="Arial Narrow" w:cs="Times New Roman"/>
              </w:rPr>
              <w:tab/>
              <w:t xml:space="preserve">mineralnoasfaltowe </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19E4B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WT-2 2014– część I pkt. </w:t>
            </w:r>
          </w:p>
          <w:p w14:paraId="7E68307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8.2.2.2 tab. 11 i pkt 8.2.2.3 tab. 12 </w:t>
            </w:r>
          </w:p>
        </w:tc>
        <w:tc>
          <w:tcPr>
            <w:tcW w:w="184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19672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WT-2 2014– część I pkt. </w:t>
            </w:r>
          </w:p>
          <w:p w14:paraId="2F98310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8.2.2.2 tab. 11 i pkt 8.2.2.3 tab. 13 </w:t>
            </w:r>
          </w:p>
        </w:tc>
        <w:tc>
          <w:tcPr>
            <w:tcW w:w="18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9E4B0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WT-2 2014– część I pkt. </w:t>
            </w:r>
          </w:p>
          <w:p w14:paraId="5FB1828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8.2.2.2 tab. 11 i pkt 8.2.2.3 tab. 14 </w:t>
            </w:r>
          </w:p>
        </w:tc>
      </w:tr>
      <w:tr w:rsidR="002326E7" w:rsidRPr="002326E7" w14:paraId="48CC99D9" w14:textId="77777777" w:rsidTr="00855929">
        <w:trPr>
          <w:trHeight w:val="1342"/>
        </w:trPr>
        <w:tc>
          <w:tcPr>
            <w:tcW w:w="896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7E8C26A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Jeżeli stosowana jest mieszanka kruszywa drobnego niełamanego i łamanego, to należy przyjąć proporcję kruszywa łamanego do niełamanego co najmniej 50/50. </w:t>
            </w:r>
          </w:p>
          <w:p w14:paraId="61B3C655"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Projektowanie mieszanki mineralno-asfaltowej wg WT-2 2014 – część I pkt. 8.1. W przypadku stosowania granulatu asfaltowego należy dodatkowo stosować się do wytycznych opisanych w Załączniku nr 9.2.1 i Załączniku nr 9.2.3 RID I/6 </w:t>
            </w:r>
          </w:p>
        </w:tc>
      </w:tr>
    </w:tbl>
    <w:p w14:paraId="6C36F40B"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133D3E83"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2.1.1.</w:t>
      </w:r>
      <w:r w:rsidRPr="002326E7">
        <w:rPr>
          <w:rFonts w:ascii="Arial Narrow" w:eastAsia="Arial" w:hAnsi="Arial Narrow" w:cs="Times New Roman"/>
          <w:b/>
          <w:sz w:val="24"/>
          <w:szCs w:val="20"/>
          <w:lang w:val="x-none" w:eastAsia="x-none"/>
        </w:rPr>
        <w:t xml:space="preserve"> </w:t>
      </w:r>
      <w:r w:rsidRPr="002326E7">
        <w:rPr>
          <w:rFonts w:ascii="Arial Narrow" w:eastAsia="Times New Roman" w:hAnsi="Arial Narrow" w:cs="Times New Roman"/>
          <w:b/>
          <w:sz w:val="24"/>
          <w:szCs w:val="20"/>
          <w:lang w:val="x-none" w:eastAsia="x-none"/>
        </w:rPr>
        <w:t xml:space="preserve">Granulat asfaltowy  </w:t>
      </w:r>
    </w:p>
    <w:p w14:paraId="2F93EC7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Granulat asfaltowy należy stosować zgodnie z wymaganiami podanymi w normie PN-EN 13108-8 oraz Załączniku nr 9.2.1 i Załączniku nr 9.2.3 RID I/6. </w:t>
      </w:r>
    </w:p>
    <w:p w14:paraId="58E2CED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Mieszanki mineralno-asfaltowe zawierające granulat asfaltowy muszą mieć parametry odpowiadające ich rodzajowi oraz przeznaczaniu, zgodnie z wymaganiami niniejszego WWiORB. </w:t>
      </w:r>
    </w:p>
    <w:p w14:paraId="102610DC" w14:textId="77777777" w:rsidR="002326E7" w:rsidRPr="002326E7" w:rsidRDefault="002326E7" w:rsidP="002326E7">
      <w:pPr>
        <w:keepNext/>
        <w:tabs>
          <w:tab w:val="center" w:pos="3514"/>
        </w:tabs>
        <w:overflowPunct w:val="0"/>
        <w:autoSpaceDE w:val="0"/>
        <w:autoSpaceDN w:val="0"/>
        <w:adjustRightInd w:val="0"/>
        <w:spacing w:after="0" w:line="240" w:lineRule="auto"/>
        <w:ind w:left="-3" w:firstLine="709"/>
        <w:jc w:val="both"/>
        <w:textAlignment w:val="baseline"/>
        <w:outlineLvl w:val="5"/>
        <w:rPr>
          <w:rFonts w:ascii="Arial Narrow" w:eastAsia="Times New Roman" w:hAnsi="Arial Narrow" w:cs="Times New Roman"/>
          <w:b/>
          <w:sz w:val="18"/>
          <w:szCs w:val="20"/>
          <w:lang w:val="x-none" w:eastAsia="x-none"/>
        </w:rPr>
      </w:pPr>
      <w:r w:rsidRPr="002326E7">
        <w:rPr>
          <w:rFonts w:ascii="Arial Narrow" w:eastAsia="Times New Roman" w:hAnsi="Arial Narrow" w:cs="Times New Roman"/>
          <w:b/>
          <w:sz w:val="18"/>
          <w:szCs w:val="20"/>
          <w:lang w:val="x-none" w:eastAsia="x-none"/>
        </w:rPr>
        <w:t>2.1.1.1.</w:t>
      </w:r>
      <w:r w:rsidRPr="002326E7">
        <w:rPr>
          <w:rFonts w:ascii="Arial Narrow" w:eastAsia="Arial" w:hAnsi="Arial Narrow" w:cs="Arial"/>
          <w:b/>
          <w:sz w:val="18"/>
          <w:szCs w:val="20"/>
          <w:lang w:val="x-none" w:eastAsia="x-none"/>
        </w:rPr>
        <w:t xml:space="preserve"> </w:t>
      </w:r>
      <w:r w:rsidRPr="002326E7">
        <w:rPr>
          <w:rFonts w:ascii="Arial Narrow" w:eastAsia="Times New Roman" w:hAnsi="Arial Narrow" w:cs="Times New Roman"/>
          <w:b/>
          <w:sz w:val="18"/>
          <w:szCs w:val="20"/>
          <w:lang w:val="x-none" w:eastAsia="x-none"/>
        </w:rPr>
        <w:t xml:space="preserve">Zasady stosowania granulatu asfaltowego </w:t>
      </w:r>
    </w:p>
    <w:p w14:paraId="1F6179F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Zakres stosowania granulatu asfaltowego w mieszankach mineralno-asfaltowych typu AC W, zależy od następujących czynników:  </w:t>
      </w:r>
    </w:p>
    <w:p w14:paraId="79912C2E"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pochodzenia granulatu asfaltowego, </w:t>
      </w:r>
    </w:p>
    <w:p w14:paraId="5158E209"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jakości granulatu asfaltowego, a w szczególności właściwości lepiszcza, właściwości kruszywa i jednorodności granulatu,  </w:t>
      </w:r>
    </w:p>
    <w:p w14:paraId="59E460E3"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rodzaju nowego lepiszcza, </w:t>
      </w:r>
    </w:p>
    <w:p w14:paraId="2965DAB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Ogólne zasady wykorzystania granulatu asfaltowego określa tabela 2. </w:t>
      </w:r>
    </w:p>
    <w:p w14:paraId="4383F6FE" w14:textId="77777777" w:rsidR="002326E7" w:rsidRPr="002326E7" w:rsidRDefault="002326E7" w:rsidP="002326E7">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2. Ogólne zasady wykorzystania granulatu asfaltowego ze względu na jego pochodzenie  </w:t>
      </w:r>
    </w:p>
    <w:tbl>
      <w:tblPr>
        <w:tblW w:w="5286" w:type="dxa"/>
        <w:tblInd w:w="1906" w:type="dxa"/>
        <w:tblCellMar>
          <w:right w:w="64" w:type="dxa"/>
        </w:tblCellMar>
        <w:tblLook w:val="04A0" w:firstRow="1" w:lastRow="0" w:firstColumn="1" w:lastColumn="0" w:noHBand="0" w:noVBand="1"/>
      </w:tblPr>
      <w:tblGrid>
        <w:gridCol w:w="2547"/>
        <w:gridCol w:w="2739"/>
      </w:tblGrid>
      <w:tr w:rsidR="002326E7" w:rsidRPr="002326E7" w14:paraId="6CD4E739" w14:textId="77777777" w:rsidTr="00855929">
        <w:trPr>
          <w:trHeight w:val="737"/>
        </w:trPr>
        <w:tc>
          <w:tcPr>
            <w:tcW w:w="254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8A752A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Pochodzenie granulatu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1B9FF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Przeznaczenie mm-a z granulatem </w:t>
            </w:r>
          </w:p>
        </w:tc>
      </w:tr>
      <w:tr w:rsidR="002326E7" w:rsidRPr="002326E7" w14:paraId="6A3ABD87" w14:textId="77777777" w:rsidTr="00855929">
        <w:trPr>
          <w:trHeight w:val="492"/>
        </w:trPr>
        <w:tc>
          <w:tcPr>
            <w:tcW w:w="0" w:type="auto"/>
            <w:vMerge/>
            <w:tcBorders>
              <w:top w:val="nil"/>
              <w:left w:val="single" w:sz="4" w:space="0" w:color="000000"/>
              <w:bottom w:val="single" w:sz="4" w:space="0" w:color="000000"/>
              <w:right w:val="single" w:sz="4" w:space="0" w:color="000000"/>
            </w:tcBorders>
            <w:shd w:val="clear" w:color="auto" w:fill="auto"/>
          </w:tcPr>
          <w:p w14:paraId="3EB778C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A0787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AC S </w:t>
            </w:r>
          </w:p>
        </w:tc>
      </w:tr>
      <w:tr w:rsidR="002326E7" w:rsidRPr="002326E7" w14:paraId="3AF7FF87" w14:textId="77777777" w:rsidTr="00855929">
        <w:trPr>
          <w:trHeight w:val="495"/>
        </w:trPr>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85E2B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AC P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58992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Nie </w:t>
            </w:r>
          </w:p>
        </w:tc>
      </w:tr>
      <w:tr w:rsidR="002326E7" w:rsidRPr="002326E7" w14:paraId="48C34D33" w14:textId="77777777" w:rsidTr="00855929">
        <w:trPr>
          <w:trHeight w:val="492"/>
        </w:trPr>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12A4C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AC W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482BC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Nie </w:t>
            </w:r>
          </w:p>
        </w:tc>
      </w:tr>
      <w:tr w:rsidR="002326E7" w:rsidRPr="002326E7" w14:paraId="7A31504C" w14:textId="77777777" w:rsidTr="00855929">
        <w:trPr>
          <w:trHeight w:val="494"/>
        </w:trPr>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757F5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AC S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A1E09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Tak </w:t>
            </w:r>
          </w:p>
        </w:tc>
      </w:tr>
      <w:tr w:rsidR="002326E7" w:rsidRPr="002326E7" w14:paraId="7923CA6F" w14:textId="77777777" w:rsidTr="00855929">
        <w:trPr>
          <w:trHeight w:val="492"/>
        </w:trPr>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E27F3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AC WMS P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36B0A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Nie </w:t>
            </w:r>
          </w:p>
        </w:tc>
      </w:tr>
      <w:tr w:rsidR="002326E7" w:rsidRPr="002326E7" w14:paraId="16C95DAA" w14:textId="77777777" w:rsidTr="00855929">
        <w:trPr>
          <w:trHeight w:val="494"/>
        </w:trPr>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1A075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AC WMS W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99BBE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Nie </w:t>
            </w:r>
          </w:p>
        </w:tc>
      </w:tr>
      <w:tr w:rsidR="002326E7" w:rsidRPr="002326E7" w14:paraId="1DA26001" w14:textId="77777777" w:rsidTr="00855929">
        <w:trPr>
          <w:trHeight w:val="495"/>
        </w:trPr>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1AFBB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SMA </w:t>
            </w:r>
          </w:p>
        </w:tc>
        <w:tc>
          <w:tcPr>
            <w:tcW w:w="27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37040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Możliwe </w:t>
            </w:r>
          </w:p>
        </w:tc>
      </w:tr>
    </w:tbl>
    <w:p w14:paraId="7949C992" w14:textId="77777777" w:rsidR="002326E7" w:rsidRPr="002326E7" w:rsidRDefault="002326E7" w:rsidP="002326E7">
      <w:pPr>
        <w:overflowPunct w:val="0"/>
        <w:autoSpaceDE w:val="0"/>
        <w:autoSpaceDN w:val="0"/>
        <w:adjustRightInd w:val="0"/>
        <w:spacing w:after="117" w:line="274" w:lineRule="auto"/>
        <w:ind w:left="1413" w:right="-12" w:hanging="1409"/>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Uwaga:</w:t>
      </w:r>
      <w:r w:rsidRPr="002326E7">
        <w:rPr>
          <w:rFonts w:ascii="Arial Narrow" w:eastAsia="Times New Roman" w:hAnsi="Arial Narrow" w:cs="Times New Roman"/>
          <w:sz w:val="20"/>
          <w:szCs w:val="20"/>
          <w:vertAlign w:val="superscript"/>
          <w:lang w:eastAsia="pl-PL"/>
        </w:rPr>
        <w:t xml:space="preserve">  </w:t>
      </w:r>
      <w:r w:rsidRPr="002326E7">
        <w:rPr>
          <w:rFonts w:ascii="Arial Narrow" w:eastAsia="Verdana" w:hAnsi="Arial Narrow" w:cs="Verdana"/>
          <w:b/>
          <w:sz w:val="16"/>
          <w:szCs w:val="20"/>
          <w:lang w:eastAsia="pl-PL"/>
        </w:rPr>
        <w:t>Tak</w:t>
      </w:r>
      <w:r w:rsidRPr="002326E7">
        <w:rPr>
          <w:rFonts w:ascii="Arial Narrow" w:eastAsia="Times New Roman" w:hAnsi="Arial Narrow" w:cs="Times New Roman"/>
          <w:sz w:val="16"/>
          <w:szCs w:val="20"/>
          <w:lang w:eastAsia="pl-PL"/>
        </w:rPr>
        <w:t xml:space="preserve"> – struktura mieszanki mineralnej i rodzaj standardowo stosowanych lepiszczy nie stanowią przeszkody w zastosowaniu granulatu </w:t>
      </w:r>
    </w:p>
    <w:p w14:paraId="1EC6E39F" w14:textId="77777777" w:rsidR="002326E7" w:rsidRPr="002326E7" w:rsidRDefault="002326E7" w:rsidP="002326E7">
      <w:pPr>
        <w:overflowPunct w:val="0"/>
        <w:autoSpaceDE w:val="0"/>
        <w:autoSpaceDN w:val="0"/>
        <w:adjustRightInd w:val="0"/>
        <w:spacing w:after="117" w:line="274" w:lineRule="auto"/>
        <w:ind w:left="1438" w:right="-12" w:firstLine="709"/>
        <w:textAlignment w:val="baseline"/>
        <w:rPr>
          <w:rFonts w:ascii="Arial Narrow" w:eastAsia="Times New Roman" w:hAnsi="Arial Narrow" w:cs="Times New Roman"/>
          <w:sz w:val="20"/>
          <w:szCs w:val="20"/>
          <w:lang w:eastAsia="pl-PL"/>
        </w:rPr>
      </w:pPr>
      <w:r w:rsidRPr="002326E7">
        <w:rPr>
          <w:rFonts w:ascii="Arial Narrow" w:eastAsia="Verdana" w:hAnsi="Arial Narrow" w:cs="Verdana"/>
          <w:b/>
          <w:sz w:val="16"/>
          <w:szCs w:val="20"/>
          <w:lang w:eastAsia="pl-PL"/>
        </w:rPr>
        <w:t>Możliwe</w:t>
      </w:r>
      <w:r w:rsidRPr="002326E7">
        <w:rPr>
          <w:rFonts w:ascii="Arial Narrow" w:eastAsia="Times New Roman" w:hAnsi="Arial Narrow" w:cs="Times New Roman"/>
          <w:sz w:val="16"/>
          <w:szCs w:val="20"/>
          <w:lang w:eastAsia="pl-PL"/>
        </w:rPr>
        <w:t xml:space="preserve"> – struktura mieszanki mineralnej lub rodzaj standardowo stosowanych lepiszczy mogą stanowić przeszkodę w zastosowaniu granulatu  </w:t>
      </w:r>
    </w:p>
    <w:p w14:paraId="4F170EB9" w14:textId="77777777" w:rsidR="002326E7" w:rsidRPr="002326E7" w:rsidRDefault="002326E7" w:rsidP="002326E7">
      <w:pPr>
        <w:overflowPunct w:val="0"/>
        <w:autoSpaceDE w:val="0"/>
        <w:autoSpaceDN w:val="0"/>
        <w:adjustRightInd w:val="0"/>
        <w:spacing w:after="158" w:line="274" w:lineRule="auto"/>
        <w:ind w:left="1438" w:right="-12" w:firstLine="709"/>
        <w:textAlignment w:val="baseline"/>
        <w:rPr>
          <w:rFonts w:ascii="Arial Narrow" w:eastAsia="Times New Roman" w:hAnsi="Arial Narrow" w:cs="Times New Roman"/>
          <w:sz w:val="20"/>
          <w:szCs w:val="20"/>
          <w:lang w:eastAsia="pl-PL"/>
        </w:rPr>
      </w:pPr>
      <w:r w:rsidRPr="002326E7">
        <w:rPr>
          <w:rFonts w:ascii="Arial Narrow" w:eastAsia="Verdana" w:hAnsi="Arial Narrow" w:cs="Verdana"/>
          <w:b/>
          <w:sz w:val="16"/>
          <w:szCs w:val="20"/>
          <w:lang w:eastAsia="pl-PL"/>
        </w:rPr>
        <w:t>Nie</w:t>
      </w:r>
      <w:r w:rsidRPr="002326E7">
        <w:rPr>
          <w:rFonts w:ascii="Arial Narrow" w:eastAsia="Times New Roman" w:hAnsi="Arial Narrow" w:cs="Times New Roman"/>
          <w:sz w:val="16"/>
          <w:szCs w:val="20"/>
          <w:lang w:eastAsia="pl-PL"/>
        </w:rPr>
        <w:t xml:space="preserve"> - struktura mieszanki mineralnej lub rodzaj standardowo stosowanych lepiszczy stanowią przeszkodę w zastosowaniu granulatu  </w:t>
      </w:r>
    </w:p>
    <w:p w14:paraId="429C9F6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lastRenderedPageBreak/>
        <w:t xml:space="preserve">Procentowe zawartości granulatu asfaltowego określa się na podstawie maksymalnej wartości wskaźnika zastąpienia lepiszcza BR [%], obliczanego następująco: </w:t>
      </w:r>
    </w:p>
    <w:p w14:paraId="0D9B33B8" w14:textId="77777777" w:rsidR="002326E7" w:rsidRPr="002326E7" w:rsidRDefault="002326E7" w:rsidP="002326E7">
      <w:pPr>
        <w:overflowPunct w:val="0"/>
        <w:autoSpaceDE w:val="0"/>
        <w:autoSpaceDN w:val="0"/>
        <w:adjustRightInd w:val="0"/>
        <w:spacing w:after="139"/>
        <w:ind w:left="77" w:right="63" w:firstLine="709"/>
        <w:jc w:val="center"/>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BR = (a x b)/c </w:t>
      </w:r>
    </w:p>
    <w:p w14:paraId="161BC767"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gdzie: </w:t>
      </w:r>
    </w:p>
    <w:p w14:paraId="42BD7EA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BR – wskaźnik zastąpienia lepiszcza [% (m/m)], a – zawartość lepiszcza rozpuszczalnego w granulacie asfaltowym [% (m/m)],  b – udział granulatu asfaltowego w mieszance mineralno-asfaltowej [% (m/m)],  </w:t>
      </w:r>
    </w:p>
    <w:p w14:paraId="7AB19EE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c – całkowita zawartość lepiszcza rozpuszczalnego w mieszance mineralno-asfaltowej [% (m/m)]. </w:t>
      </w:r>
    </w:p>
    <w:p w14:paraId="0B298E3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3. Dopuszczalne wartości wskaźnika BR [%] </w:t>
      </w:r>
    </w:p>
    <w:tbl>
      <w:tblPr>
        <w:tblW w:w="8082" w:type="dxa"/>
        <w:tblInd w:w="509" w:type="dxa"/>
        <w:tblCellMar>
          <w:right w:w="38" w:type="dxa"/>
        </w:tblCellMar>
        <w:tblLook w:val="04A0" w:firstRow="1" w:lastRow="0" w:firstColumn="1" w:lastColumn="0" w:noHBand="0" w:noVBand="1"/>
      </w:tblPr>
      <w:tblGrid>
        <w:gridCol w:w="2693"/>
        <w:gridCol w:w="2696"/>
        <w:gridCol w:w="2693"/>
      </w:tblGrid>
      <w:tr w:rsidR="002326E7" w:rsidRPr="002326E7" w14:paraId="61D5D2F1" w14:textId="77777777" w:rsidTr="00855929">
        <w:trPr>
          <w:trHeight w:val="979"/>
        </w:trPr>
        <w:tc>
          <w:tcPr>
            <w:tcW w:w="269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440769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Typ betonu asfaltowego </w:t>
            </w:r>
          </w:p>
        </w:tc>
        <w:tc>
          <w:tcPr>
            <w:tcW w:w="53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8117C2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Dopuszczalna wartość wskaźnika zastąpienia lepiszcza BR [%] w przypadku dozowania granulatu asfaltowego w otaczarce metodą </w:t>
            </w:r>
          </w:p>
        </w:tc>
      </w:tr>
      <w:tr w:rsidR="002326E7" w:rsidRPr="002326E7" w14:paraId="3ADBA024" w14:textId="77777777" w:rsidTr="00855929">
        <w:trPr>
          <w:trHeight w:val="495"/>
        </w:trPr>
        <w:tc>
          <w:tcPr>
            <w:tcW w:w="0" w:type="auto"/>
            <w:vMerge/>
            <w:tcBorders>
              <w:top w:val="nil"/>
              <w:left w:val="single" w:sz="4" w:space="0" w:color="000000"/>
              <w:bottom w:val="single" w:sz="4" w:space="0" w:color="000000"/>
              <w:right w:val="single" w:sz="4" w:space="0" w:color="000000"/>
            </w:tcBorders>
            <w:shd w:val="clear" w:color="auto" w:fill="auto"/>
          </w:tcPr>
          <w:p w14:paraId="630A466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6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3C025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na zimno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326F1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na gorąco  </w:t>
            </w:r>
          </w:p>
        </w:tc>
      </w:tr>
      <w:tr w:rsidR="002326E7" w:rsidRPr="002326E7" w14:paraId="7F0FA874" w14:textId="77777777" w:rsidTr="00855929">
        <w:trPr>
          <w:trHeight w:val="492"/>
        </w:trPr>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9B4B1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AC S </w:t>
            </w:r>
          </w:p>
        </w:tc>
        <w:tc>
          <w:tcPr>
            <w:tcW w:w="26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9B715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0 </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56F55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20</w:t>
            </w:r>
            <w:r w:rsidRPr="002326E7">
              <w:rPr>
                <w:rFonts w:ascii="Arial Narrow" w:eastAsia="Times New Roman" w:hAnsi="Arial Narrow" w:cs="Times New Roman"/>
                <w:sz w:val="20"/>
                <w:vertAlign w:val="superscript"/>
              </w:rPr>
              <w:t>1)</w:t>
            </w:r>
            <w:r w:rsidRPr="002326E7">
              <w:rPr>
                <w:rFonts w:ascii="Arial Narrow" w:eastAsia="Times New Roman" w:hAnsi="Arial Narrow" w:cs="Times New Roman"/>
                <w:sz w:val="20"/>
              </w:rPr>
              <w:t xml:space="preserve"> </w:t>
            </w:r>
          </w:p>
        </w:tc>
      </w:tr>
    </w:tbl>
    <w:p w14:paraId="16BE68C6" w14:textId="77777777" w:rsidR="002326E7" w:rsidRPr="002326E7" w:rsidRDefault="002326E7" w:rsidP="002326E7">
      <w:pPr>
        <w:overflowPunct w:val="0"/>
        <w:autoSpaceDE w:val="0"/>
        <w:autoSpaceDN w:val="0"/>
        <w:adjustRightInd w:val="0"/>
        <w:spacing w:after="158" w:line="274" w:lineRule="auto"/>
        <w:ind w:left="14" w:right="-12" w:firstLine="709"/>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16"/>
          <w:szCs w:val="20"/>
          <w:lang w:eastAsia="pl-PL"/>
        </w:rPr>
        <w:t xml:space="preserve">1) Na zasadzie indywidualnego dopuszczenia przez Zamawiającego po przeprowadzeniu badań dodatkowych określonych w Załączniku nr 9.2.1 i Załączniku nr 9.2.3 RID I/6. </w:t>
      </w:r>
    </w:p>
    <w:p w14:paraId="21C6268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Ponieważ dodatek granulatu asfaltowego może wywrzeć niekorzystny wpływ na odporność mieszanek mineralno-asfaltowych na spękania niskotemperaturowe, należy przeprowadzić badania służące ocenie odporności tych mieszanek na spękania niskotemperaturowe. </w:t>
      </w:r>
    </w:p>
    <w:p w14:paraId="49C0140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Jeżeli w projektowanej mieszance mineralno-asfaltowej przewidziano użycie: </w:t>
      </w:r>
    </w:p>
    <w:p w14:paraId="68CC4ED7"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asfaltu modyfikowanego,  </w:t>
      </w:r>
    </w:p>
    <w:p w14:paraId="00F97E34"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granulatu asfaltowego zawierającego asfalt modyfikowany i w projektowanej mieszance mineralno-asfaltowej przewidziano użycie zwykłego asfaltu drogowego,  </w:t>
      </w:r>
    </w:p>
    <w:p w14:paraId="7E6B3A2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zastosowanie granulatu asfaltowego może nastąpić na zasadzie indywidualnego dopuszczenia (wg zasad opisanych w Załączniku nr 9.2.1 i Załączniku nr 9.2.3 RID I/6). </w:t>
      </w:r>
    </w:p>
    <w:p w14:paraId="72A3AD68" w14:textId="77777777" w:rsidR="002326E7" w:rsidRPr="002326E7" w:rsidRDefault="002326E7" w:rsidP="002326E7">
      <w:pPr>
        <w:keepNext/>
        <w:tabs>
          <w:tab w:val="center" w:pos="3308"/>
        </w:tabs>
        <w:overflowPunct w:val="0"/>
        <w:autoSpaceDE w:val="0"/>
        <w:autoSpaceDN w:val="0"/>
        <w:adjustRightInd w:val="0"/>
        <w:spacing w:after="0" w:line="240" w:lineRule="auto"/>
        <w:ind w:left="-3" w:firstLine="709"/>
        <w:jc w:val="both"/>
        <w:textAlignment w:val="baseline"/>
        <w:outlineLvl w:val="5"/>
        <w:rPr>
          <w:rFonts w:ascii="Arial Narrow" w:eastAsia="Times New Roman" w:hAnsi="Arial Narrow" w:cs="Times New Roman"/>
          <w:b/>
          <w:sz w:val="18"/>
          <w:szCs w:val="20"/>
          <w:lang w:val="x-none" w:eastAsia="x-none"/>
        </w:rPr>
      </w:pPr>
      <w:r w:rsidRPr="002326E7">
        <w:rPr>
          <w:rFonts w:ascii="Arial Narrow" w:eastAsia="Times New Roman" w:hAnsi="Arial Narrow" w:cs="Times New Roman"/>
          <w:b/>
          <w:sz w:val="18"/>
          <w:szCs w:val="20"/>
          <w:lang w:val="x-none" w:eastAsia="x-none"/>
        </w:rPr>
        <w:t>2.1.1.2.</w:t>
      </w:r>
      <w:r w:rsidRPr="002326E7">
        <w:rPr>
          <w:rFonts w:ascii="Arial Narrow" w:eastAsia="Arial" w:hAnsi="Arial Narrow" w:cs="Arial"/>
          <w:b/>
          <w:sz w:val="18"/>
          <w:szCs w:val="20"/>
          <w:lang w:val="x-none" w:eastAsia="x-none"/>
        </w:rPr>
        <w:t xml:space="preserve"> </w:t>
      </w:r>
      <w:r w:rsidRPr="002326E7">
        <w:rPr>
          <w:rFonts w:ascii="Arial Narrow" w:eastAsia="Times New Roman" w:hAnsi="Arial Narrow" w:cs="Times New Roman"/>
          <w:b/>
          <w:sz w:val="18"/>
          <w:szCs w:val="20"/>
          <w:lang w:val="x-none" w:eastAsia="x-none"/>
        </w:rPr>
        <w:t xml:space="preserve">Wymagania dla granulatu asfaltowego </w:t>
      </w:r>
    </w:p>
    <w:p w14:paraId="0C406B17"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stosowania granulatu asfaltowego do produkcji mieszanek mineralnoasfaltowych typu beton asfaltowy do warstwy ścieralnej AC S to musi on spełniać wymagania określone w tabeli 4. </w:t>
      </w:r>
    </w:p>
    <w:p w14:paraId="1E591205" w14:textId="77777777" w:rsidR="002326E7" w:rsidRPr="002326E7" w:rsidRDefault="002326E7" w:rsidP="002326E7">
      <w:pPr>
        <w:overflowPunct w:val="0"/>
        <w:autoSpaceDE w:val="0"/>
        <w:autoSpaceDN w:val="0"/>
        <w:adjustRightInd w:val="0"/>
        <w:spacing w:after="0" w:line="240" w:lineRule="auto"/>
        <w:ind w:left="7"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4. Wymagane właściwości granulatu asfaltowego stosowanego do mieszanek mineralno-asfaltowych typu AC S  </w:t>
      </w:r>
    </w:p>
    <w:tbl>
      <w:tblPr>
        <w:tblW w:w="8848" w:type="dxa"/>
        <w:tblInd w:w="127" w:type="dxa"/>
        <w:tblCellMar>
          <w:top w:w="167" w:type="dxa"/>
          <w:right w:w="43" w:type="dxa"/>
        </w:tblCellMar>
        <w:tblLook w:val="04A0" w:firstRow="1" w:lastRow="0" w:firstColumn="1" w:lastColumn="0" w:noHBand="0" w:noVBand="1"/>
      </w:tblPr>
      <w:tblGrid>
        <w:gridCol w:w="1658"/>
        <w:gridCol w:w="692"/>
        <w:gridCol w:w="4700"/>
        <w:gridCol w:w="1798"/>
      </w:tblGrid>
      <w:tr w:rsidR="002326E7" w:rsidRPr="002326E7" w14:paraId="7965D9BA" w14:textId="77777777" w:rsidTr="00855929">
        <w:trPr>
          <w:trHeight w:val="331"/>
        </w:trPr>
        <w:tc>
          <w:tcPr>
            <w:tcW w:w="2350"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5A151A4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Właściwość </w:t>
            </w:r>
          </w:p>
        </w:tc>
        <w:tc>
          <w:tcPr>
            <w:tcW w:w="470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69E65D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Wymagania </w:t>
            </w:r>
          </w:p>
        </w:tc>
        <w:tc>
          <w:tcPr>
            <w:tcW w:w="179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5B6DF7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Dokument </w:t>
            </w:r>
          </w:p>
          <w:p w14:paraId="43A7048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odniesienia </w:t>
            </w:r>
          </w:p>
        </w:tc>
      </w:tr>
      <w:tr w:rsidR="002326E7" w:rsidRPr="002326E7" w14:paraId="31BE263E" w14:textId="77777777" w:rsidTr="00855929">
        <w:trPr>
          <w:trHeight w:val="814"/>
        </w:trPr>
        <w:tc>
          <w:tcPr>
            <w:tcW w:w="2350"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535EAC3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Zawartość materiałów obcych </w:t>
            </w:r>
          </w:p>
        </w:tc>
        <w:tc>
          <w:tcPr>
            <w:tcW w:w="470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202306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18"/>
              </w:rPr>
              <w:t xml:space="preserve">Kategoria FM1 </w:t>
            </w:r>
          </w:p>
        </w:tc>
        <w:tc>
          <w:tcPr>
            <w:tcW w:w="179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90862A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PN-EN 13108-8 pkt. 4.1 </w:t>
            </w:r>
          </w:p>
        </w:tc>
      </w:tr>
      <w:tr w:rsidR="002326E7" w:rsidRPr="002326E7" w14:paraId="0DCA3903" w14:textId="77777777" w:rsidTr="00855929">
        <w:trPr>
          <w:trHeight w:val="514"/>
        </w:trPr>
        <w:tc>
          <w:tcPr>
            <w:tcW w:w="1658" w:type="dxa"/>
            <w:vMerge w:val="restart"/>
            <w:tcBorders>
              <w:top w:val="single" w:sz="6" w:space="0" w:color="000000"/>
              <w:left w:val="single" w:sz="6" w:space="0" w:color="000000"/>
              <w:bottom w:val="single" w:sz="6" w:space="0" w:color="000000"/>
              <w:right w:val="single" w:sz="6" w:space="0" w:color="000000"/>
            </w:tcBorders>
            <w:shd w:val="clear" w:color="auto" w:fill="auto"/>
            <w:vAlign w:val="center"/>
          </w:tcPr>
          <w:p w14:paraId="66CDF67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Właściwości lepiszcza odzyskanego w granulacie asfaltowym </w:t>
            </w:r>
            <w:r w:rsidRPr="002326E7">
              <w:rPr>
                <w:rFonts w:ascii="Arial Narrow" w:eastAsia="Times New Roman" w:hAnsi="Arial Narrow" w:cs="Times New Roman"/>
                <w:sz w:val="20"/>
                <w:vertAlign w:val="superscript"/>
              </w:rPr>
              <w:t>a)</w:t>
            </w:r>
            <w:r w:rsidRPr="002326E7">
              <w:rPr>
                <w:rFonts w:ascii="Arial Narrow" w:eastAsia="Times New Roman" w:hAnsi="Arial Narrow" w:cs="Times New Roman"/>
                <w:sz w:val="20"/>
              </w:rPr>
              <w:t xml:space="preserve"> </w:t>
            </w:r>
          </w:p>
        </w:tc>
        <w:tc>
          <w:tcPr>
            <w:tcW w:w="69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675C45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PiK </w:t>
            </w:r>
          </w:p>
        </w:tc>
        <w:tc>
          <w:tcPr>
            <w:tcW w:w="470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EFA40E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18"/>
              </w:rPr>
              <w:t>Kategoria S</w:t>
            </w:r>
            <w:r w:rsidRPr="002326E7">
              <w:rPr>
                <w:rFonts w:ascii="Arial Narrow" w:eastAsia="Times New Roman" w:hAnsi="Arial Narrow" w:cs="Times New Roman"/>
                <w:sz w:val="18"/>
                <w:vertAlign w:val="subscript"/>
              </w:rPr>
              <w:t>70</w:t>
            </w:r>
            <w:r w:rsidRPr="002326E7">
              <w:rPr>
                <w:rFonts w:ascii="Arial Narrow" w:eastAsia="Times New Roman" w:hAnsi="Arial Narrow" w:cs="Times New Roman"/>
                <w:sz w:val="18"/>
              </w:rPr>
              <w:t xml:space="preserve"> </w:t>
            </w:r>
          </w:p>
          <w:p w14:paraId="1197DA9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18"/>
              </w:rPr>
              <w:t>Wartość średnia temperatury mięknienia nie może być wyższa niż 70</w:t>
            </w:r>
            <w:r w:rsidRPr="002326E7">
              <w:rPr>
                <w:rFonts w:ascii="Arial Narrow" w:eastAsia="Times New Roman" w:hAnsi="Arial Narrow" w:cs="Times New Roman"/>
                <w:sz w:val="18"/>
                <w:vertAlign w:val="superscript"/>
              </w:rPr>
              <w:t>o</w:t>
            </w:r>
            <w:r w:rsidRPr="002326E7">
              <w:rPr>
                <w:rFonts w:ascii="Arial Narrow" w:eastAsia="Times New Roman" w:hAnsi="Arial Narrow" w:cs="Times New Roman"/>
                <w:sz w:val="18"/>
              </w:rPr>
              <w:t>C. Pojedyncze wartości temperatury mięknienia nie mogą przekraczać 77</w:t>
            </w:r>
            <w:r w:rsidRPr="002326E7">
              <w:rPr>
                <w:rFonts w:ascii="Arial Narrow" w:eastAsia="Times New Roman" w:hAnsi="Arial Narrow" w:cs="Times New Roman"/>
                <w:sz w:val="18"/>
                <w:vertAlign w:val="superscript"/>
              </w:rPr>
              <w:t>o</w:t>
            </w:r>
            <w:r w:rsidRPr="002326E7">
              <w:rPr>
                <w:rFonts w:ascii="Arial Narrow" w:eastAsia="Times New Roman" w:hAnsi="Arial Narrow" w:cs="Times New Roman"/>
                <w:sz w:val="18"/>
              </w:rPr>
              <w:t xml:space="preserve">C. </w:t>
            </w:r>
          </w:p>
        </w:tc>
        <w:tc>
          <w:tcPr>
            <w:tcW w:w="1798" w:type="dxa"/>
            <w:vMerge w:val="restart"/>
            <w:tcBorders>
              <w:top w:val="single" w:sz="6" w:space="0" w:color="000000"/>
              <w:left w:val="single" w:sz="6" w:space="0" w:color="000000"/>
              <w:bottom w:val="single" w:sz="6" w:space="0" w:color="000000"/>
              <w:right w:val="single" w:sz="6" w:space="0" w:color="000000"/>
            </w:tcBorders>
            <w:shd w:val="clear" w:color="auto" w:fill="auto"/>
            <w:vAlign w:val="center"/>
          </w:tcPr>
          <w:p w14:paraId="09A8DCF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PN-EN 13108-8 pkt. 4.2 </w:t>
            </w:r>
          </w:p>
          <w:p w14:paraId="2E32E0D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PN-EN 1310820 Załącznik A </w:t>
            </w:r>
          </w:p>
          <w:p w14:paraId="70E7F5B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 </w:t>
            </w:r>
          </w:p>
        </w:tc>
      </w:tr>
      <w:tr w:rsidR="002326E7" w:rsidRPr="002326E7" w14:paraId="6FA541C0" w14:textId="77777777" w:rsidTr="00855929">
        <w:trPr>
          <w:trHeight w:val="499"/>
        </w:trPr>
        <w:tc>
          <w:tcPr>
            <w:tcW w:w="0" w:type="auto"/>
            <w:vMerge/>
            <w:tcBorders>
              <w:top w:val="nil"/>
              <w:left w:val="single" w:sz="6" w:space="0" w:color="000000"/>
              <w:bottom w:val="single" w:sz="6" w:space="0" w:color="000000"/>
              <w:right w:val="single" w:sz="6" w:space="0" w:color="000000"/>
            </w:tcBorders>
            <w:shd w:val="clear" w:color="auto" w:fill="auto"/>
          </w:tcPr>
          <w:p w14:paraId="21F9DF2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69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9F31525"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Pen. </w:t>
            </w:r>
          </w:p>
        </w:tc>
        <w:tc>
          <w:tcPr>
            <w:tcW w:w="470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D7ED97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18"/>
              </w:rPr>
              <w:t>Kategoria P</w:t>
            </w:r>
            <w:r w:rsidRPr="002326E7">
              <w:rPr>
                <w:rFonts w:ascii="Arial Narrow" w:eastAsia="Times New Roman" w:hAnsi="Arial Narrow" w:cs="Times New Roman"/>
                <w:sz w:val="18"/>
                <w:vertAlign w:val="subscript"/>
              </w:rPr>
              <w:t>15</w:t>
            </w:r>
            <w:r w:rsidRPr="002326E7">
              <w:rPr>
                <w:rFonts w:ascii="Arial Narrow" w:eastAsia="Times New Roman" w:hAnsi="Arial Narrow" w:cs="Times New Roman"/>
                <w:sz w:val="18"/>
              </w:rPr>
              <w:t xml:space="preserve"> </w:t>
            </w:r>
          </w:p>
          <w:p w14:paraId="1669D72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18"/>
              </w:rPr>
              <w:t xml:space="preserve">Wartość średnia nie może być mniejsza niż 15x0,1mm. Pojedyncze wartości penetracji nie mogą być mniejsze niż 10x0,1mm. </w:t>
            </w:r>
          </w:p>
        </w:tc>
        <w:tc>
          <w:tcPr>
            <w:tcW w:w="0" w:type="auto"/>
            <w:vMerge/>
            <w:tcBorders>
              <w:top w:val="nil"/>
              <w:left w:val="single" w:sz="6" w:space="0" w:color="000000"/>
              <w:bottom w:val="single" w:sz="6" w:space="0" w:color="000000"/>
              <w:right w:val="single" w:sz="6" w:space="0" w:color="000000"/>
            </w:tcBorders>
            <w:shd w:val="clear" w:color="auto" w:fill="auto"/>
          </w:tcPr>
          <w:p w14:paraId="757048C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r>
      <w:tr w:rsidR="002326E7" w:rsidRPr="002326E7" w14:paraId="065779CE" w14:textId="77777777" w:rsidTr="00855929">
        <w:trPr>
          <w:trHeight w:val="553"/>
        </w:trPr>
        <w:tc>
          <w:tcPr>
            <w:tcW w:w="2350" w:type="dxa"/>
            <w:gridSpan w:val="2"/>
            <w:tcBorders>
              <w:top w:val="single" w:sz="6" w:space="0" w:color="000000"/>
              <w:left w:val="single" w:sz="6" w:space="0" w:color="000000"/>
              <w:bottom w:val="single" w:sz="6" w:space="0" w:color="000000"/>
              <w:right w:val="single" w:sz="6" w:space="0" w:color="000000"/>
            </w:tcBorders>
            <w:shd w:val="clear" w:color="auto" w:fill="auto"/>
          </w:tcPr>
          <w:p w14:paraId="31D850F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Jednorodność </w:t>
            </w:r>
          </w:p>
        </w:tc>
        <w:tc>
          <w:tcPr>
            <w:tcW w:w="4700" w:type="dxa"/>
            <w:tcBorders>
              <w:top w:val="single" w:sz="6" w:space="0" w:color="000000"/>
              <w:left w:val="single" w:sz="6" w:space="0" w:color="000000"/>
              <w:bottom w:val="single" w:sz="6" w:space="0" w:color="000000"/>
              <w:right w:val="single" w:sz="6" w:space="0" w:color="000000"/>
            </w:tcBorders>
            <w:shd w:val="clear" w:color="auto" w:fill="auto"/>
          </w:tcPr>
          <w:p w14:paraId="52A71B6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18"/>
              </w:rPr>
              <w:t xml:space="preserve">Wymagana jednorodność określona na podstawie dopuszczalnego rozstępu wyników badań </w:t>
            </w:r>
          </w:p>
          <w:p w14:paraId="6FD3FC9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18"/>
              </w:rPr>
              <w:t xml:space="preserve">określonych właściwości </w:t>
            </w:r>
          </w:p>
        </w:tc>
        <w:tc>
          <w:tcPr>
            <w:tcW w:w="179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28D039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Załącznik nr 9.2.1 i </w:t>
            </w:r>
          </w:p>
          <w:p w14:paraId="66CFAB9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Załącznik nr </w:t>
            </w:r>
          </w:p>
          <w:p w14:paraId="47F7BE9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9.2.3 RID I/6 </w:t>
            </w:r>
          </w:p>
        </w:tc>
      </w:tr>
      <w:tr w:rsidR="002326E7" w:rsidRPr="002326E7" w14:paraId="5BF42B6B" w14:textId="77777777" w:rsidTr="00855929">
        <w:trPr>
          <w:trHeight w:val="1090"/>
        </w:trPr>
        <w:tc>
          <w:tcPr>
            <w:tcW w:w="2350" w:type="dxa"/>
            <w:gridSpan w:val="2"/>
            <w:tcBorders>
              <w:top w:val="single" w:sz="6" w:space="0" w:color="000000"/>
              <w:left w:val="single" w:sz="6" w:space="0" w:color="000000"/>
              <w:bottom w:val="single" w:sz="6" w:space="0" w:color="000000"/>
              <w:right w:val="single" w:sz="6" w:space="0" w:color="000000"/>
            </w:tcBorders>
            <w:shd w:val="clear" w:color="auto" w:fill="auto"/>
          </w:tcPr>
          <w:p w14:paraId="64E88A3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Zawartość asfaltu </w:t>
            </w:r>
          </w:p>
          <w:p w14:paraId="480BF4B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Uziarnienie kruszywa </w:t>
            </w:r>
          </w:p>
        </w:tc>
        <w:tc>
          <w:tcPr>
            <w:tcW w:w="6498"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0DB6FC6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PN-EN 13108-20 Załącznik A </w:t>
            </w:r>
          </w:p>
          <w:p w14:paraId="3FFE981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Załącznik nr 9.2.1 i Załącznik nr 9.2.3 RID I/6 </w:t>
            </w:r>
          </w:p>
          <w:p w14:paraId="251CC66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18"/>
              </w:rPr>
              <w:t>Dopuszcza się deklarowanie właściwości kruszywa mineralnego w granulacie asfaltowym na podstawie zadeklarowanego, wcześniejszego zastosowania. W przypadku braku możliwości takiego zadeklarowania jakości kruszywa w granulacie, oraz wątpliwości co do właściwości fizycznych lub mechanicznych, należy przeprowadzić badania kruszywa w wymaganym przez Zamawiającego zakresie</w:t>
            </w:r>
            <w:r w:rsidRPr="002326E7">
              <w:rPr>
                <w:rFonts w:ascii="Arial Narrow" w:eastAsia="Times New Roman" w:hAnsi="Arial Narrow" w:cs="Times New Roman"/>
                <w:sz w:val="20"/>
              </w:rPr>
              <w:t xml:space="preserve"> </w:t>
            </w:r>
          </w:p>
        </w:tc>
      </w:tr>
      <w:tr w:rsidR="002326E7" w:rsidRPr="002326E7" w14:paraId="076A5FDB" w14:textId="77777777" w:rsidTr="00855929">
        <w:trPr>
          <w:trHeight w:val="263"/>
        </w:trPr>
        <w:tc>
          <w:tcPr>
            <w:tcW w:w="8848" w:type="dxa"/>
            <w:gridSpan w:val="4"/>
            <w:tcBorders>
              <w:top w:val="single" w:sz="6" w:space="0" w:color="000000"/>
              <w:left w:val="single" w:sz="6" w:space="0" w:color="000000"/>
              <w:bottom w:val="single" w:sz="6" w:space="0" w:color="000000"/>
              <w:right w:val="single" w:sz="6" w:space="0" w:color="000000"/>
            </w:tcBorders>
            <w:shd w:val="clear" w:color="auto" w:fill="auto"/>
            <w:vAlign w:val="center"/>
          </w:tcPr>
          <w:p w14:paraId="41328515"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16"/>
              </w:rPr>
              <w:t>a)</w:t>
            </w:r>
            <w:r w:rsidRPr="002326E7">
              <w:rPr>
                <w:rFonts w:ascii="Arial Narrow" w:eastAsia="Arial" w:hAnsi="Arial Narrow" w:cs="Arial"/>
                <w:sz w:val="16"/>
              </w:rPr>
              <w:t xml:space="preserve"> </w:t>
            </w:r>
            <w:r w:rsidRPr="002326E7">
              <w:rPr>
                <w:rFonts w:ascii="Arial Narrow" w:eastAsia="Times New Roman" w:hAnsi="Arial Narrow" w:cs="Times New Roman"/>
                <w:sz w:val="16"/>
              </w:rPr>
              <w:t xml:space="preserve">do sklasyfikowania lepiszcza odzyskanego w granulacie asfaltowym należy oznaczyć następujące właściwości w zależności od wskaźnika BR: </w:t>
            </w:r>
          </w:p>
          <w:p w14:paraId="4A284EF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16"/>
              </w:rPr>
              <w:t>- BR≤15% : temperaturę mięknienia PiK. lub penetrację, - BR&gt;15% : temperaturę mięknienia PiK. i penetrację.</w:t>
            </w:r>
            <w:r w:rsidRPr="002326E7">
              <w:rPr>
                <w:rFonts w:ascii="Arial Narrow" w:eastAsia="Times New Roman" w:hAnsi="Arial Narrow" w:cs="Times New Roman"/>
                <w:sz w:val="20"/>
              </w:rPr>
              <w:t xml:space="preserve"> </w:t>
            </w:r>
          </w:p>
        </w:tc>
      </w:tr>
    </w:tbl>
    <w:p w14:paraId="16EC0D4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lastRenderedPageBreak/>
        <w:t xml:space="preserve">Właściwości lepiszcza asfaltowego oraz kruszywa, które powstaną z połączenia starych i nowych składników, muszą spełniać wymagania stawiane tym materiałom, ze względu na typ i przeznaczenie mieszanki mineralno-asfaltowej. </w:t>
      </w:r>
    </w:p>
    <w:p w14:paraId="78C649E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Wykonawca może deklarować właściwości kruszyw pochodzących z destruktu na podstawie wcześniejszego ich zastosowania w poszczególnych warstwach asfaltowych pod warunkiem akceptacji przez Zamawiającego. W przypadku gdy Wykonawca nie będzie mógł pozyskać dokumentacji lub nie uzyska na ich podstawie akceptacji, potwierdzenie właściwości kruszyw będzie możliwe na podstawie własnych badań kruszyw w zakresie jak niżej:  </w:t>
      </w:r>
    </w:p>
    <w:p w14:paraId="6A0D7549"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mrozoodporność w wodzie (frakcja 4-8 lub 8-16mm), </w:t>
      </w:r>
    </w:p>
    <w:p w14:paraId="21595A0C"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odporność na rozdrabnianie wg normy PN-EN 1097-2 (frakcja 4-8, 8-11 lub 10-14mm), </w:t>
      </w:r>
    </w:p>
    <w:p w14:paraId="7BE040BE"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grube zanieczyszczenia lekkie wg normy PN-EN 1744-1+A1:2013-05 pkt 14.2, </w:t>
      </w:r>
    </w:p>
    <w:p w14:paraId="6520B6AD"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ocena zawartości drobnych cząstek - badanie błękitem metylenowym wg normy PN-EN </w:t>
      </w:r>
    </w:p>
    <w:p w14:paraId="330CFC37"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933-9 +A1:2013-07, </w:t>
      </w:r>
    </w:p>
    <w:p w14:paraId="14349D01"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 przypadku granulatu stosowanego do warstw ścieralnych z BA (dla dróg niższych kategorii) wymaga się wykonania badań mrozoodporności w soli na frakcji zgodnie z PNEN 1367-6.  </w:t>
      </w:r>
    </w:p>
    <w:p w14:paraId="4177ECB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Wyniki badań powinny spełniać wymagania podane w WT-1 (dla każdej w wymienionej frakcji).  </w:t>
      </w:r>
    </w:p>
    <w:p w14:paraId="30C192B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0D25FC41"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p w14:paraId="054AFC92"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2.2. Wymagania wobec innych materiałów </w:t>
      </w:r>
    </w:p>
    <w:p w14:paraId="28C80DEF"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2.2.1. Materiały do połączeń technologicznych </w:t>
      </w:r>
    </w:p>
    <w:p w14:paraId="1DCB59B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 uszczelniania połączeń technologicznych należy stosować materiały zgodnie z pkt. 7.6.1 WT-2 2016 – część II wg tabel 5 i 6. </w:t>
      </w:r>
    </w:p>
    <w:p w14:paraId="1D3CF3A2"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5. Materiały do złączy (podłużnych i poprzecznych wykonywanych metodą „gorące przy zimnym”) </w:t>
      </w:r>
    </w:p>
    <w:tbl>
      <w:tblPr>
        <w:tblW w:w="9064" w:type="dxa"/>
        <w:tblInd w:w="17" w:type="dxa"/>
        <w:tblCellMar>
          <w:right w:w="45" w:type="dxa"/>
        </w:tblCellMar>
        <w:tblLook w:val="04A0" w:firstRow="1" w:lastRow="0" w:firstColumn="1" w:lastColumn="0" w:noHBand="0" w:noVBand="1"/>
      </w:tblPr>
      <w:tblGrid>
        <w:gridCol w:w="1490"/>
        <w:gridCol w:w="919"/>
        <w:gridCol w:w="2408"/>
        <w:gridCol w:w="992"/>
        <w:gridCol w:w="3255"/>
      </w:tblGrid>
      <w:tr w:rsidR="002326E7" w:rsidRPr="002326E7" w14:paraId="1A434ED5" w14:textId="77777777" w:rsidTr="00855929">
        <w:trPr>
          <w:trHeight w:val="494"/>
        </w:trPr>
        <w:tc>
          <w:tcPr>
            <w:tcW w:w="14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65B4BE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Rodzaj warstwy </w:t>
            </w:r>
          </w:p>
        </w:tc>
        <w:tc>
          <w:tcPr>
            <w:tcW w:w="332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77B52F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Złącze podłużne </w:t>
            </w:r>
          </w:p>
        </w:tc>
        <w:tc>
          <w:tcPr>
            <w:tcW w:w="4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12A2E6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Złącze poprzeczne </w:t>
            </w:r>
          </w:p>
        </w:tc>
      </w:tr>
      <w:tr w:rsidR="002326E7" w:rsidRPr="002326E7" w14:paraId="7922B9B9" w14:textId="77777777" w:rsidTr="00855929">
        <w:trPr>
          <w:trHeight w:val="492"/>
        </w:trPr>
        <w:tc>
          <w:tcPr>
            <w:tcW w:w="0" w:type="auto"/>
            <w:vMerge/>
            <w:tcBorders>
              <w:top w:val="nil"/>
              <w:left w:val="single" w:sz="4" w:space="0" w:color="000000"/>
              <w:bottom w:val="single" w:sz="4" w:space="0" w:color="000000"/>
              <w:right w:val="single" w:sz="4" w:space="0" w:color="000000"/>
            </w:tcBorders>
            <w:shd w:val="clear" w:color="auto" w:fill="auto"/>
          </w:tcPr>
          <w:p w14:paraId="23340F4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3BF995"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Ruch </w:t>
            </w:r>
          </w:p>
        </w:tc>
        <w:tc>
          <w:tcPr>
            <w:tcW w:w="240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E27F3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Rodzaj materiału </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37B37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Ruch </w:t>
            </w:r>
          </w:p>
        </w:tc>
        <w:tc>
          <w:tcPr>
            <w:tcW w:w="32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EC4BB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Rodzaj materiału </w:t>
            </w:r>
          </w:p>
        </w:tc>
      </w:tr>
      <w:tr w:rsidR="002326E7" w:rsidRPr="002326E7" w14:paraId="0857B5B1" w14:textId="77777777" w:rsidTr="00855929">
        <w:trPr>
          <w:trHeight w:val="980"/>
        </w:trPr>
        <w:tc>
          <w:tcPr>
            <w:tcW w:w="14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43BD83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Warstwa wiążąca </w:t>
            </w:r>
          </w:p>
        </w:tc>
        <w:tc>
          <w:tcPr>
            <w:tcW w:w="91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6E32A2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KR 1-7 </w:t>
            </w:r>
          </w:p>
        </w:tc>
        <w:tc>
          <w:tcPr>
            <w:tcW w:w="240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3D5B28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Pasty asfaltowe lub elastyczne taśmy bitumiczne + środek gruntujący </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2F998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KR 1-2 </w:t>
            </w:r>
          </w:p>
        </w:tc>
        <w:tc>
          <w:tcPr>
            <w:tcW w:w="32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217C6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Pasty asfaltowe lub </w:t>
            </w:r>
          </w:p>
          <w:p w14:paraId="10AE434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elastyczne taśmy bitumiczne + środek gruntujący </w:t>
            </w:r>
          </w:p>
        </w:tc>
      </w:tr>
      <w:tr w:rsidR="002326E7" w:rsidRPr="002326E7" w14:paraId="58DA6C46" w14:textId="77777777" w:rsidTr="00855929">
        <w:trPr>
          <w:trHeight w:val="737"/>
        </w:trPr>
        <w:tc>
          <w:tcPr>
            <w:tcW w:w="0" w:type="auto"/>
            <w:vMerge/>
            <w:tcBorders>
              <w:top w:val="nil"/>
              <w:left w:val="single" w:sz="4" w:space="0" w:color="000000"/>
              <w:bottom w:val="single" w:sz="4" w:space="0" w:color="000000"/>
              <w:right w:val="single" w:sz="4" w:space="0" w:color="000000"/>
            </w:tcBorders>
            <w:shd w:val="clear" w:color="auto" w:fill="auto"/>
          </w:tcPr>
          <w:p w14:paraId="27E1F1F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14:paraId="220B453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14:paraId="256B8F0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5AA19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KR 3-7 </w:t>
            </w:r>
          </w:p>
        </w:tc>
        <w:tc>
          <w:tcPr>
            <w:tcW w:w="32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F4D69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Elastyczne taśmy bitumiczne + środek gruntujący </w:t>
            </w:r>
          </w:p>
        </w:tc>
      </w:tr>
    </w:tbl>
    <w:p w14:paraId="4E78A374"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6. Materiały do spoin między fragmentami zagęszczonej MMA i elementami wyposażenia drogi </w:t>
      </w:r>
    </w:p>
    <w:tbl>
      <w:tblPr>
        <w:tblW w:w="9064" w:type="dxa"/>
        <w:tblInd w:w="17" w:type="dxa"/>
        <w:tblCellMar>
          <w:right w:w="69" w:type="dxa"/>
        </w:tblCellMar>
        <w:tblLook w:val="04A0" w:firstRow="1" w:lastRow="0" w:firstColumn="1" w:lastColumn="0" w:noHBand="0" w:noVBand="1"/>
      </w:tblPr>
      <w:tblGrid>
        <w:gridCol w:w="1978"/>
        <w:gridCol w:w="1136"/>
        <w:gridCol w:w="5950"/>
      </w:tblGrid>
      <w:tr w:rsidR="002326E7" w:rsidRPr="002326E7" w14:paraId="4EDB04BB" w14:textId="77777777" w:rsidTr="00855929">
        <w:trPr>
          <w:trHeight w:val="492"/>
        </w:trPr>
        <w:tc>
          <w:tcPr>
            <w:tcW w:w="19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2373C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Rodzaj warstwy </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1E776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Ruch </w:t>
            </w:r>
          </w:p>
        </w:tc>
        <w:tc>
          <w:tcPr>
            <w:tcW w:w="59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D8AFB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Rodzaj materiału </w:t>
            </w:r>
          </w:p>
        </w:tc>
      </w:tr>
      <w:tr w:rsidR="002326E7" w:rsidRPr="002326E7" w14:paraId="23CCCF5B" w14:textId="77777777" w:rsidTr="00855929">
        <w:trPr>
          <w:trHeight w:val="737"/>
        </w:trPr>
        <w:tc>
          <w:tcPr>
            <w:tcW w:w="19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516BC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Warstwa wiążąca </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9F7B3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KR 1-7 </w:t>
            </w:r>
          </w:p>
        </w:tc>
        <w:tc>
          <w:tcPr>
            <w:tcW w:w="59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6DE5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Pasty asfaltowe lub elastyczne taśmy bitumiczne + środek gruntujący  </w:t>
            </w:r>
          </w:p>
        </w:tc>
      </w:tr>
    </w:tbl>
    <w:p w14:paraId="033B936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Uwaga: W przypadku elastycznych taśm bitumicznych należy zastosować środek do gruntowania powierzchni połączeń technologicznych przewidziany przez producenta taśmy. </w:t>
      </w:r>
    </w:p>
    <w:p w14:paraId="1F938D5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Materiały do połączeń technologicznych muszą spełniać wymagania sformułowane w tabelach 10, 11 i 12  z WT-2 2016 – część II. </w:t>
      </w:r>
    </w:p>
    <w:p w14:paraId="7AA34802"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2.2.2. Lepiszcze do skropienia podłoża </w:t>
      </w:r>
    </w:p>
    <w:p w14:paraId="650E650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Lepiszcze do skropienia podłoża powinno spełniać wymagania podane PN-EN 13808 i STWiORB D.04.03.01. </w:t>
      </w:r>
    </w:p>
    <w:p w14:paraId="74473B9F"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2.2.3. Dodatki do mieszanki mineralno-asfaltowej </w:t>
      </w:r>
    </w:p>
    <w:p w14:paraId="6BC740C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 zgodą Zamawiającego mogą być stosowane dodatki stabilizujące lub modyfikujące. Pochodzenie, rodzaj i właściwości dodatków powinny być deklarowane. Skuteczność stosowanych dodatków i modyfikatorów powinna być udokumentowana zgodnie z PN-EN 13108-1 punkt 4.1. </w:t>
      </w:r>
    </w:p>
    <w:p w14:paraId="560D734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Zaleca się stosowanie do mieszanek mineralno-asfaltowych, dodatku środka obniżającego temperaturę produkcji i układania – nie dotyczy to produkcji mieszanek mineralnoasfaltowych z dozowaniem granulatu asfaltowego w technologii „na zimno”. </w:t>
      </w:r>
    </w:p>
    <w:p w14:paraId="5D0D3CC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 mieszanek mineralno-asfaltowych może być stosowany dodatek asfaltu naturalnego, jeżeli spełnia wymagania podane w PN-EN 13108-4 Załącznik B. </w:t>
      </w:r>
    </w:p>
    <w:p w14:paraId="5FE22032"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2.3. Dostawy materiałów </w:t>
      </w:r>
    </w:p>
    <w:p w14:paraId="00F9FFF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 dostawy materiałów odpowiedzialny jest Wykonawca robót zgodnie z ustaleniami określonymi w D-M-00.00.00 „Wymagania ogólne”. </w:t>
      </w:r>
    </w:p>
    <w:p w14:paraId="11DCC25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 obowiązku Wykonawcy należy takie zorganizowanie dostaw materiałów do wytwarzania MMA, aby zapewnić nieprzerwaną pracę otaczarki w trakcie wykonywania dziennej działki roboczej. Jakość każdej dostawy kruszywa i wypełniacza musi być potwierdzona deklaracją producenta (oznakowanie CE). Do każdej partii granulatu asfaltowego należy dołączyć dokumenty określone w normie PN-EN 13108-8 pkt. 6 </w:t>
      </w:r>
    </w:p>
    <w:p w14:paraId="5D17DB12"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lastRenderedPageBreak/>
        <w:t xml:space="preserve">2.4. Składowanie materiałów </w:t>
      </w:r>
    </w:p>
    <w:p w14:paraId="773C1C9D"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2.4.1. Składowanie kruszywa </w:t>
      </w:r>
    </w:p>
    <w:p w14:paraId="582297B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Składowanie kruszywa powinno odbywać się w warunkach zabezpieczających je przed zanieczyszczeniem i zmieszaniem z innymi rodzajami lub frakcjami kruszywa. </w:t>
      </w:r>
    </w:p>
    <w:p w14:paraId="42240C4B"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2.4.2. Składowanie wypełniacza </w:t>
      </w:r>
    </w:p>
    <w:p w14:paraId="7BF882E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Wypełniacz należy składować w silosach wyposażonych w urządzenia do aeracji. </w:t>
      </w:r>
    </w:p>
    <w:p w14:paraId="07C26961"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2.4.3. Składowanie asfaltu </w:t>
      </w:r>
    </w:p>
    <w:p w14:paraId="48516E27"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Lepiszcze asfaltowe należy przechowywać zgodnie z zasadami podanymi w pkt. 8.3 WT-2 2014 – część I. Zbiorniki na asfalt modyfikowany winny być wyposażone w mieszadła mechaniczne lub co najmniej winny mieć zapewniony system przepompowywania wprawiający w cyrkulację asfalt z dolnych partii zbiornika. Maksymalne temperatury składowania asfaltu drogowego powinny być zgodne z tabelą 41 w/w wytycznych. Temperatury składowania asfaltów modyfikowanych powinny być zgodne z zaleceniami  producenta.  </w:t>
      </w:r>
    </w:p>
    <w:p w14:paraId="76FBA5AE"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2.4.4. Składowanie środka adhezyjnego </w:t>
      </w:r>
    </w:p>
    <w:p w14:paraId="2F100A6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Składowanie środka adhezyjnego jest dozwolone tylko w oryginalnych opakowaniach producenta w warunkach podanych zgodnie z zaleceniami producenta. </w:t>
      </w:r>
    </w:p>
    <w:p w14:paraId="156C1DE9"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2.4.5. Składowanie granulatu asfaltowego </w:t>
      </w:r>
    </w:p>
    <w:p w14:paraId="6FC43D3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Składowanie granulatu asfaltowego powinno odbywać się w warunkach zabezpieczających je przed: </w:t>
      </w:r>
    </w:p>
    <w:p w14:paraId="566D9BC8"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segregacją – zaleca się formowanie hałd o kształcie stożkowym o wysokości max. </w:t>
      </w:r>
    </w:p>
    <w:p w14:paraId="45FE2D09"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do 5m, </w:t>
      </w:r>
    </w:p>
    <w:p w14:paraId="431282E4"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zanieczyszczeniem i zmieszaniem z innymi rodzajami lub frakcjami granulatu, </w:t>
      </w:r>
    </w:p>
    <w:p w14:paraId="38344FC0"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zawilgoceniem – ochrona granulatu asfaltowego przed opadami atmosferycznymi; </w:t>
      </w:r>
    </w:p>
    <w:p w14:paraId="49E45A4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dozowania „na zimno” obowiązkowe jest składowanie granulatu pod zadaszeniem. </w:t>
      </w:r>
    </w:p>
    <w:p w14:paraId="58694F3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Powierzchnię na której będzie składowany granulat asfaltowy należy utwardzić i ukształtować z wyraźnym spadkiem przeciwdziałającym akumulacji wody w hałdzie. </w:t>
      </w:r>
    </w:p>
    <w:p w14:paraId="5B107B2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Podczas składowania granulatu asfaltowego należy postępować zgodnie z zasadami określonymi w Załączniku nr 9.2.1 i Załączniku nr 9.2.2 RID I/6. </w:t>
      </w:r>
    </w:p>
    <w:p w14:paraId="22521570" w14:textId="77777777" w:rsidR="002326E7" w:rsidRPr="002326E7" w:rsidRDefault="002326E7" w:rsidP="002326E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2326E7">
        <w:rPr>
          <w:rFonts w:ascii="Arial Narrow" w:eastAsia="Times New Roman" w:hAnsi="Arial Narrow" w:cs="Times New Roman"/>
          <w:b/>
          <w:caps/>
          <w:kern w:val="28"/>
          <w:sz w:val="28"/>
          <w:szCs w:val="20"/>
          <w:lang w:val="x-none" w:eastAsia="x-none"/>
        </w:rPr>
        <w:t xml:space="preserve">3. SPRZĘT </w:t>
      </w:r>
    </w:p>
    <w:p w14:paraId="420D23F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Ogólne wymagania dotyczące sprzętu podano w D-M-00.00.00 „Wymagania ogólne”. </w:t>
      </w:r>
    </w:p>
    <w:p w14:paraId="0D2A3A2A"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3.1. Wytwórnia mieszanek mineralno-asfaltowych </w:t>
      </w:r>
    </w:p>
    <w:p w14:paraId="280618E7"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Produkcja mieszanki mineralno-asfaltowej powinna odbywać się na WMA o cyklicznym systemie produkcji mieszanki. WMA powinna prowadzić system ZKP (Zakładowa Kontrola Produkcji) zgodnie z wymaganiami PN-EN 13108-21, certyfikowany przez jednostkę notyfikowaną. Dozowanie wszystkich składników powinno odbywać się wagowo, dopuszcza się objętościowe dozowanie środka adhezyjnego.   </w:t>
      </w:r>
    </w:p>
    <w:p w14:paraId="0CF61FE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stosowania granulatu asfaltowego w ilości odpowiadającej wskaźnikowi BR≥20%, wytwórnię mieszanek mineralno-asfaltowych należy wyposażyć w dodatkowy bęben, będący elementem otaczarki o działaniu cyklicznym – metoda „równoległego bębna”. </w:t>
      </w:r>
    </w:p>
    <w:p w14:paraId="59319290"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3.2. Układarka mieszanek mineralno-asfaltowych </w:t>
      </w:r>
    </w:p>
    <w:p w14:paraId="5DD0955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Układanie mieszanki powinno odbywać się możliwie największą szerokością, przy użyciu mechanicznej układarki do układania mieszanki mineralno-asfaltowej lub zespołem układarek pracujących równolegle z przesunięciem roboczym umożliwiającym ułożenie stykających się warstw asfaltowych na gorąco, posiadającej następujące urządzenia: </w:t>
      </w:r>
    </w:p>
    <w:p w14:paraId="25FF4F68"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automatyczne sterowanie pozwalające na ułożenie warstwy zgodnie z założoną niweletą i grubością, </w:t>
      </w:r>
    </w:p>
    <w:p w14:paraId="4E95FFDA"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płytę wibracyjną do wstępnego zagęszczenia mieszanki, </w:t>
      </w:r>
    </w:p>
    <w:p w14:paraId="6B853B70"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urządzenia do podgrzewania płyty wibracyjnej. </w:t>
      </w:r>
    </w:p>
    <w:p w14:paraId="7146317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Przy wykonywaniu nawierzchni dróg o kategorii KR 6-7, do warstwy wiążącej zaleca się stosowanie podajników mieszanki mineralno-asfaltowej do zasilania kosza rozkładarki ze środków transportu.  </w:t>
      </w:r>
    </w:p>
    <w:p w14:paraId="2CE3C2B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Mieszanki mineralno-asfaltowe można rozkładać specjalną maszyną drogową z podwójnym zestawem rozkładającym do układania dwóch warstw technologicznych w jednej operacji (tzw. asfaltowe warstwy kompaktowe). </w:t>
      </w:r>
    </w:p>
    <w:p w14:paraId="38B1103D"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3.3. Walce do zagęszczania </w:t>
      </w:r>
    </w:p>
    <w:p w14:paraId="7BC8CB6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Wykonawca powinien dysponować sprzętem pozwalającym na uzyskanie wymaganego wskaźnika zagęszczenia warstwy z mieszanki mineralno-asfaltowej.  </w:t>
      </w:r>
    </w:p>
    <w:p w14:paraId="612F0C32"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3.4. Skrapiarki </w:t>
      </w:r>
    </w:p>
    <w:p w14:paraId="64F3D0C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Wykonawca powinien dysponować skrapiarką spełniającą wymagania STWiORB D.04.03.01, pozwalającą na równomierne i zgodne z wymaganiami równomierne skropienie podłoża. </w:t>
      </w:r>
    </w:p>
    <w:p w14:paraId="789D2A5F" w14:textId="77777777" w:rsidR="002326E7" w:rsidRPr="002326E7" w:rsidRDefault="002326E7" w:rsidP="002326E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2326E7">
        <w:rPr>
          <w:rFonts w:ascii="Arial Narrow" w:eastAsia="Times New Roman" w:hAnsi="Arial Narrow" w:cs="Times New Roman"/>
          <w:b/>
          <w:caps/>
          <w:kern w:val="28"/>
          <w:sz w:val="28"/>
          <w:szCs w:val="20"/>
          <w:lang w:val="x-none" w:eastAsia="x-none"/>
        </w:rPr>
        <w:t xml:space="preserve">4. TRANSPORT </w:t>
      </w:r>
    </w:p>
    <w:p w14:paraId="406F74A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Ogólne wymagania dotyczące transportu podano w D-M-00.00.00 „Wymagania ogólne”. Mieszanki mineralno-asfaltowe powinny być dowożone na budowę odpowiednio do postępu robót, tak aby zapewnić ciągłość wbudowania. Podczas transportu i postoju przed wbudowaniem mieszanki powinny być zabezpieczone przed ostygnięciem i dopływem powietrza (przykrycie, pojemniki termoizolacyjne lub pojazdy ogrzewane itp.). Mieszanki mineralno-asfaltowe, powinny być przewożone pojazdami samowyładowczymi.  </w:t>
      </w:r>
    </w:p>
    <w:p w14:paraId="0EDBD58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lastRenderedPageBreak/>
        <w:t xml:space="preserve">Podczas transportu mieszanki mineralno-asfaltowej muszą być zachowane dopuszczalne wartości temperatury. Dowieziona do rozkładarki mieszanka musi mieć temperaturę w wymaganym przedziale określonym w WT-2 2014 – część I tab. 42.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229C981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Powierzchnie skrzyń ładunkowych lub pojemników używanych do transportu mieszanki powinny być czyste. Do zwilżania tych powierzchni można używać tylko tego rodzaju środków antyadhezyjnych, które nie oddziałują szkodliwie na mieszanki mineralnoasfaltowe. Zabrania się skrapiania skrzyń olejem napędowym lub innymi środkami ropopochodnymi. </w:t>
      </w:r>
    </w:p>
    <w:p w14:paraId="6C831BE4" w14:textId="77777777" w:rsidR="002326E7" w:rsidRPr="002326E7" w:rsidRDefault="002326E7" w:rsidP="002326E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2326E7">
        <w:rPr>
          <w:rFonts w:ascii="Arial Narrow" w:eastAsia="Times New Roman" w:hAnsi="Arial Narrow" w:cs="Times New Roman"/>
          <w:b/>
          <w:caps/>
          <w:kern w:val="28"/>
          <w:sz w:val="28"/>
          <w:szCs w:val="20"/>
          <w:lang w:val="x-none" w:eastAsia="x-none"/>
        </w:rPr>
        <w:t xml:space="preserve">5. WYKONANIE ROBÓT </w:t>
      </w:r>
    </w:p>
    <w:p w14:paraId="7CD1F7D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Ogólne zasady wykonania robót podano w D-M-00.00.00 „Wymagania ogólne”. </w:t>
      </w:r>
    </w:p>
    <w:p w14:paraId="1E1E7A7B"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5.1. Projektowanie mieszanki mineralno-asfaltowej </w:t>
      </w:r>
    </w:p>
    <w:p w14:paraId="124D862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terminie 7 dni przed rozpoczęciem robót Wykonawca przedstawi Inżynierowi/Inspektorowi Nadzoru do zatwierdzenia projekt MMA (Badanie Typu) oraz wszystkie dokumenty potwierdzające jakość materiałów składowych MMA i reprezentatywne próbki materiałów . MMA powinna być zaprojektowana zgodnie z pkt. 8.1 i 8.2.2  WT-2 2014 – część I w zależności od kategorii ruchu. </w:t>
      </w:r>
    </w:p>
    <w:p w14:paraId="431FFB87"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stosowania granulatu asfaltowego należy na etapie projektowania stosować się do wytycznych określonych w Załączniku nr 9.2.1 i Załączniku nr 9.2.3 RID I/6.   </w:t>
      </w:r>
    </w:p>
    <w:p w14:paraId="3D014BD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Wykonawca powinien zapewnić, aby podczas opracowywania Badania Typu MMA, były zastosowane w pełni reprezentatywne próbki materiałów składowych, które zostaną użyte do wykonania robót. </w:t>
      </w:r>
    </w:p>
    <w:p w14:paraId="75C6B910"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5.2. Wytwarzanie MMA </w:t>
      </w:r>
    </w:p>
    <w:p w14:paraId="63B68BB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Produkcja MMA powinna odbywać się na WMA o cyklicznym systemie produkcji mieszanki, zgodnie z wymaganiami opisanymi w p. 3.1. Dozowanie wszystkich składników powinno odbywać się wagowo, dopuszcza się objętościowe dozowanie środka adhezyjnego. W przypadku stosowania granulatu asfaltowego do produkcji MMA należy: </w:t>
      </w:r>
    </w:p>
    <w:p w14:paraId="6D1B5494"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stosować się do wytycznych opisanych w Załączniku nr 9.2.2 RID I/6. </w:t>
      </w:r>
    </w:p>
    <w:p w14:paraId="4C88B530"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przekazywać Inżynierowi/Inspektorowi Nadzoru wydruki z WMB potwierdzające, że ilość zadozowanego granulatu asfaltowego jest zgodna z zaakceptowanym przez Inżyniera/Inspektora Nadzoru Badaniem Typu.  </w:t>
      </w:r>
    </w:p>
    <w:p w14:paraId="339BE35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Temperatury technologiczne wytwarzania MMA powinny być zgodne z wymaganiami podanymi w p. 8.3 WT-2 2014 część I (Tabela 42) lub zgodnie z zaleceniami producenta. Mieszankę MMA zaleca się wbudowywać bezpośrednio po wyprodukowaniu bez magazynowania na zapas. Przechowywanie wyprodukowanej MMA w silosie może mieć miejsce tylko w sytuacjach awaryjnych. </w:t>
      </w:r>
    </w:p>
    <w:p w14:paraId="7E6DE9A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Jeżeli mieszanka mineralno-asfaltowa jest dostarczana z kilku wytwórni lub od kilku producentów, to należy zapewnić zgodność typu i wymiaru mieszanki oraz spełnienie wymagań dokumentacji projektowej. </w:t>
      </w:r>
    </w:p>
    <w:p w14:paraId="59A8C1F1"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5.3. Przygotowanie podłoża </w:t>
      </w:r>
    </w:p>
    <w:p w14:paraId="3A252F8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Podłoże pod warstwę wiążącą z MMA powinno być: </w:t>
      </w:r>
    </w:p>
    <w:p w14:paraId="3F9CA32F"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nośne i ustabilizowane, </w:t>
      </w:r>
    </w:p>
    <w:p w14:paraId="772D1FCE"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czyste, bez zanieczyszczeń lub pozostałości luźnego kruszywa, </w:t>
      </w:r>
    </w:p>
    <w:p w14:paraId="192A2AF5"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wyprofilowane, równe i bez kolein, </w:t>
      </w:r>
    </w:p>
    <w:p w14:paraId="01BEBC12"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suche, </w:t>
      </w:r>
    </w:p>
    <w:p w14:paraId="0D41A176"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skropione emulsją asfaltową lub asfaltem zapewniającym powiązanie warstw, oraz spełniać wymagania pkt. 7.2. WT-2 2016 – część II.  </w:t>
      </w:r>
    </w:p>
    <w:p w14:paraId="29DBD1B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Brzegi krawężników i innych urządzeń przylegających do nawierzchni powinny zostać połączone z MMA zgodnie z pkt. 7.6.4 WT-2 2016 – część II (sposób wykonania spoin) i przy zastosowaniu materiałów określonych w pkt. 2.2.1 niniejszych STWiORB. </w:t>
      </w:r>
    </w:p>
    <w:p w14:paraId="7108F32B"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5.3.1. Połączenia międzywarstwowe </w:t>
      </w:r>
    </w:p>
    <w:p w14:paraId="7F65B53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Uzyskanie wymaganej trwałości nawierzchni jest uzależnione od zapewnienia połączenia między warstwami oraz ich współpracy w przenoszeniu obciążeń nawierzchni wywołanych ruchem pojazdów.  </w:t>
      </w:r>
    </w:p>
    <w:p w14:paraId="7BE4DEB5"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Zapewnienie połączenia międzywarstwowego wymaga starannego przygotowania podłoża, na którym będą układane kolejne warstwy asfaltowe, zastosowania odpowiedniej emulsji asfaltowej oraz właściwego wykonania skropienia. Podłoże należy przygotować zgodnie z STWiORB D.04.03.01. </w:t>
      </w:r>
    </w:p>
    <w:p w14:paraId="1640B1BA"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Skropienie emulsją asfaltową ma na celu zwiększenie siły połączenia pomiędzy warstwami konstrukcyjnymi oraz zabezpieczenie przed wnikaniem i zaleganiem wody pomiędzy warstwami.  </w:t>
      </w:r>
    </w:p>
    <w:p w14:paraId="4AEEFCAB"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 skropień należy stosować rodzaj emulsji i ilość w zależności od rodzaju warstwy i kategorii ruchu, zgodnie z zasadami określonymi w STWiORB D.04.03.01.  </w:t>
      </w:r>
    </w:p>
    <w:p w14:paraId="4D600CA1"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5.4. Warunki atmosferyczne </w:t>
      </w:r>
    </w:p>
    <w:p w14:paraId="78D15487"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Warstwa nawierzchni z MMA powinna być układana w temperaturze: </w:t>
      </w:r>
    </w:p>
    <w:p w14:paraId="11A4A94B"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podłoża nie mniejszej niż +5°C, </w:t>
      </w:r>
    </w:p>
    <w:p w14:paraId="74FF6B99"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temperaturze otoczenie w ciągu doby (pomiary trzy razy dziennie) nie mniejszej niż 0°C. </w:t>
      </w:r>
    </w:p>
    <w:p w14:paraId="05CFC61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Nie dopuszcza się układania MMA podczas opadów atmosferycznych i silnego wiatru przekraczającego prędkość 16m/s. </w:t>
      </w:r>
    </w:p>
    <w:p w14:paraId="0EF0385B"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5.5. Próba technologiczna </w:t>
      </w:r>
    </w:p>
    <w:p w14:paraId="30AEAB2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Nie dotyczy.</w:t>
      </w:r>
    </w:p>
    <w:p w14:paraId="37E93543"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5.6. Odcinek próbny </w:t>
      </w:r>
    </w:p>
    <w:p w14:paraId="08AD1E5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Nie dotyczy.</w:t>
      </w:r>
    </w:p>
    <w:p w14:paraId="74729326"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lastRenderedPageBreak/>
        <w:t xml:space="preserve">5.7. Wbudowywanie mieszanki MMA  </w:t>
      </w:r>
    </w:p>
    <w:p w14:paraId="6A840FF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Transport MMA powinien odbywać się zgodnie z wymaganiami podanymi w pkt. 7.4 WT-2 2016 – część II. Wbudowywanie MMA powinno odbywać się zgodnie z wymaganiami podanymi w pkt. 7.5 WT-2 2016 – część II.  </w:t>
      </w:r>
    </w:p>
    <w:p w14:paraId="67646332"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Prace związane z wbudowaniem mieszanki mineralno-asfaltowej należy tak zaplanować, aby: </w:t>
      </w:r>
    </w:p>
    <w:p w14:paraId="113E5C6B"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umożliwiały układanie warstwy całą szerokością jezdni (jedną rozkładarką lub dwoma rozkładarkami pracującymi obok siebie z przesunięciem wg pkt 7.6.3.1. WT-</w:t>
      </w:r>
    </w:p>
    <w:p w14:paraId="206C33E3"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2 2016 – część II); w przypadku przebudów i remontów o dopuszczonym ruchu jednokierunkowym (wahadłowym) szerokością pasa ruchu ,   </w:t>
      </w:r>
    </w:p>
    <w:p w14:paraId="720F5C16"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dzienne działki robocze  (tj. odcinki nawierzchni na których mieszanka mineralnoasfaltowa jest wbudowywana jednego dnia) powinny być możliwie jak najdłuższe min. 200 m, </w:t>
      </w:r>
    </w:p>
    <w:p w14:paraId="524CA2EA"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organizacja dostaw mieszanki powinna zapewnić pracę rozkładarki bez zatrzymań z jednostajną prędkością. </w:t>
      </w:r>
    </w:p>
    <w:p w14:paraId="6112CCA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Mieszankę mineralno-asfaltową należy wbudowywać w sprzyjających warunkach atmosferycznych określonych w pkt. 5.4. Temperatura otoczenia może być niższa w wypadku stosowania ogrzewania podłoża i obramowania (np. promienniki podczerwieni, urządzenia mikrofalowe). </w:t>
      </w:r>
    </w:p>
    <w:p w14:paraId="29417D0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stosowania mieszanek mineralno-asfaltowych z dodatkiem umożliwiającym obniżenie temperatury mieszania (mieszanki na ciepło) i wbudowania, należy indywidualnie określić wymagane warunki otoczenia. Układarka powinna być stale zasilana w mieszankę tak, aby w zasobniku zawsze znajdowała się odpowiednia jej ilość, a kosz, transporter i stół były zawsze gorące i nie stygły. W miejscach niedostępnych dla sprzętu dopuszcza się wbudowywanie ręczne. </w:t>
      </w:r>
    </w:p>
    <w:p w14:paraId="506754E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Podczas rozkładania grubość wykonywanej warstwy powinna być sprawdzana co 25 m, w co najmniej trzech miejscach (w osi i przy brzegach warstwy). Warstwy wałowane powinny być równomiernie zagęszczane walcami drogowymi o charakterystyce zapewniającej skuteczność zagęszczania, potwierdzoną na odcinku próbnym. </w:t>
      </w:r>
    </w:p>
    <w:p w14:paraId="273030EE"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 wykonanej warstwie wiążącej powinien odbywać się wyłącznie ruch pojazdów związanych z układaniem następnej warstwy.  </w:t>
      </w:r>
    </w:p>
    <w:p w14:paraId="7ED1D13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Dopuszczenie wykonanej warstwy asfaltowej na gorąco do ruchu może nastąpić po jej schłodzeniu do temperatury zapewniającej jej odporność na deformacje trwałe.  </w:t>
      </w:r>
    </w:p>
    <w:p w14:paraId="5254BC2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konieczności dopuszczenia innego ruchu należy zastosować zabiegi zabezpieczające uzyskanie wymaganego połączenia międzywarstwowego tj. poprzez wykonanie dodatkowego skropienia z użyciem mleczka wapiennego (wg.  pkt. 7.3.4 WT-2  2016 – część II). </w:t>
      </w:r>
    </w:p>
    <w:p w14:paraId="17C3A1A7"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5.8. Połączenia technologiczne </w:t>
      </w:r>
    </w:p>
    <w:p w14:paraId="471D49F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Połączenia technologiczne powinny być wykonane przy zastosowaniu materiałów określonych w pkt 2.2.1 niniejszego STWiORB, oraz zgodnie z pkt. 7.6 WT-2 2016 – część II.  </w:t>
      </w:r>
    </w:p>
    <w:p w14:paraId="49AAD7A7"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5.8.1. Sposób i warunki aplikacji materiałów stosowanych do złączy.  </w:t>
      </w:r>
    </w:p>
    <w:p w14:paraId="3A1FFC7B"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t xml:space="preserve">5.8.1.1. </w:t>
      </w:r>
      <w:r w:rsidRPr="002326E7">
        <w:rPr>
          <w:rFonts w:ascii="Arial Narrow" w:eastAsia="Times New Roman" w:hAnsi="Arial Narrow" w:cs="Times New Roman"/>
          <w:b/>
          <w:sz w:val="20"/>
          <w:szCs w:val="20"/>
          <w:lang w:eastAsia="pl-PL"/>
        </w:rPr>
        <w:tab/>
        <w:t xml:space="preserve">Wymagania wobec wbudowania elastycznych taśm bitumicznych </w:t>
      </w:r>
    </w:p>
    <w:p w14:paraId="7825DA37"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Krawędź boczna złącza podłużnego winna być uformowana za pomocą rolki dociskowej lub poprzez obcięcie nożem talerzowym. </w:t>
      </w:r>
    </w:p>
    <w:p w14:paraId="5F31608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Krawędź boczna złącza poprzecznego powinna być uformowana w taki sposób i za pomocą urządzeń umożliwiających uzyskanie nieregularnej powierzchni. </w:t>
      </w:r>
    </w:p>
    <w:p w14:paraId="0450C7E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Powierzchnie krawędzi do których klejona będzie taśma, powinny być czyste i suche. </w:t>
      </w:r>
    </w:p>
    <w:p w14:paraId="2A12A15F"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Przed przyklejeniem taśmy w metodzie „gorące przy zimnym”, krawędzie „zimnej” warstwy na całkowitej grubości, należy zagruntować środkiem gruntującym zgodnie z zaleceniami producenta taśmy. </w:t>
      </w:r>
    </w:p>
    <w:p w14:paraId="27C57DE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Taśma bitumiczna o grubości 10 mm powinna być wstępnie przyklejona do zimnej krawędzi złącza na 2/3 wysokości warstwy licząc od górnej powierzchni warstwy wiążącej. Minimalna wysokość taśmy 4 cm. </w:t>
      </w:r>
    </w:p>
    <w:p w14:paraId="5E7C9A5A"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t xml:space="preserve">5.8.1.2. </w:t>
      </w:r>
      <w:r w:rsidRPr="002326E7">
        <w:rPr>
          <w:rFonts w:ascii="Arial Narrow" w:eastAsia="Times New Roman" w:hAnsi="Arial Narrow" w:cs="Times New Roman"/>
          <w:b/>
          <w:sz w:val="20"/>
          <w:szCs w:val="20"/>
          <w:lang w:eastAsia="pl-PL"/>
        </w:rPr>
        <w:tab/>
        <w:t xml:space="preserve">Wymagania wobec wbudowania past bitumicznych </w:t>
      </w:r>
    </w:p>
    <w:p w14:paraId="6D3A63C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Przygotowanie krawędzi bocznych jak w przypadku stosowania taśm bitumicznych. </w:t>
      </w:r>
    </w:p>
    <w:p w14:paraId="7413D25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Pasta powinna być nanoszona mechanicznie z zapewnieniem równomiernego jej rozprowadzenia na bocznej krawędzi w ilości 3 - 4 kg/m</w:t>
      </w:r>
      <w:r w:rsidRPr="002326E7">
        <w:rPr>
          <w:rFonts w:ascii="Arial Narrow" w:eastAsia="Times New Roman" w:hAnsi="Arial Narrow" w:cs="Times New Roman"/>
          <w:sz w:val="20"/>
          <w:szCs w:val="20"/>
          <w:vertAlign w:val="superscript"/>
          <w:lang w:eastAsia="pl-PL"/>
        </w:rPr>
        <w:t>2</w:t>
      </w:r>
      <w:r w:rsidRPr="002326E7">
        <w:rPr>
          <w:rFonts w:ascii="Arial Narrow" w:eastAsia="Times New Roman" w:hAnsi="Arial Narrow" w:cs="Times New Roman"/>
          <w:sz w:val="20"/>
          <w:szCs w:val="20"/>
          <w:lang w:eastAsia="pl-PL"/>
        </w:rPr>
        <w:t xml:space="preserve"> (warstwa o grubości 3 - 4 mm przy gęstości około 1,0 g/cm</w:t>
      </w:r>
      <w:r w:rsidRPr="002326E7">
        <w:rPr>
          <w:rFonts w:ascii="Arial Narrow" w:eastAsia="Times New Roman" w:hAnsi="Arial Narrow" w:cs="Times New Roman"/>
          <w:sz w:val="20"/>
          <w:szCs w:val="20"/>
          <w:vertAlign w:val="superscript"/>
          <w:lang w:eastAsia="pl-PL"/>
        </w:rPr>
        <w:t>3</w:t>
      </w:r>
      <w:r w:rsidRPr="002326E7">
        <w:rPr>
          <w:rFonts w:ascii="Arial Narrow" w:eastAsia="Times New Roman" w:hAnsi="Arial Narrow" w:cs="Times New Roman"/>
          <w:sz w:val="20"/>
          <w:szCs w:val="20"/>
          <w:lang w:eastAsia="pl-PL"/>
        </w:rPr>
        <w:t xml:space="preserve">). </w:t>
      </w:r>
    </w:p>
    <w:p w14:paraId="377A35C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Dopuszcza się ręczne nanoszenie past w miejscach niedostępnych. </w:t>
      </w:r>
    </w:p>
    <w:p w14:paraId="666E77E6"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5.8.2. Sposób wykonania złączy </w:t>
      </w:r>
    </w:p>
    <w:p w14:paraId="36FA938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Wymagania ogólne: </w:t>
      </w:r>
    </w:p>
    <w:p w14:paraId="45F9E414"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złącza w warstwach nawierzchni powinny być wykonane w linii prostej,  </w:t>
      </w:r>
    </w:p>
    <w:p w14:paraId="1EAFA4CA"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złącza podłużnego nie można lokalizować w śladach kół, </w:t>
      </w:r>
    </w:p>
    <w:p w14:paraId="5351A4D6"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złącza podłużne w konstrukcji wielowarstwowej należy przesunąć względem siebie w kolejnych warstwach technologicznych o co najmniej 30 cm w kierunku poprzecznym do osi jezdni, </w:t>
      </w:r>
    </w:p>
    <w:p w14:paraId="7E2D7C35"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złącza muszą być całkowicie związane a powierzchnie przylegających warstw powinny być w jednym poziomie. </w:t>
      </w:r>
    </w:p>
    <w:p w14:paraId="3202EE9F"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t xml:space="preserve">A. </w:t>
      </w:r>
      <w:r w:rsidRPr="002326E7">
        <w:rPr>
          <w:rFonts w:ascii="Arial Narrow" w:eastAsia="Times New Roman" w:hAnsi="Arial Narrow" w:cs="Times New Roman"/>
          <w:b/>
          <w:sz w:val="20"/>
          <w:szCs w:val="20"/>
          <w:lang w:eastAsia="pl-PL"/>
        </w:rPr>
        <w:tab/>
        <w:t xml:space="preserve">Metoda rozkładania „gorące przy gorącym” </w:t>
      </w:r>
    </w:p>
    <w:p w14:paraId="35891CD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Metoda ta ma zastosowanie  w przypadku wykonywania złącza podłużnego – należy ją stosować zgodnie z pkt. 7.6.3.1 WT-2 2016 – część II. </w:t>
      </w:r>
    </w:p>
    <w:p w14:paraId="6824E84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Przy tej metodzie nie stosuje się dodatkowych materiałów do złączy. </w:t>
      </w:r>
    </w:p>
    <w:p w14:paraId="6AEEF8A0"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t xml:space="preserve">B. </w:t>
      </w:r>
      <w:r w:rsidRPr="002326E7">
        <w:rPr>
          <w:rFonts w:ascii="Arial Narrow" w:eastAsia="Times New Roman" w:hAnsi="Arial Narrow" w:cs="Times New Roman"/>
          <w:b/>
          <w:sz w:val="20"/>
          <w:szCs w:val="20"/>
          <w:lang w:eastAsia="pl-PL"/>
        </w:rPr>
        <w:tab/>
        <w:t xml:space="preserve">Metoda rozkładania „gorące przy zimnym” </w:t>
      </w:r>
    </w:p>
    <w:p w14:paraId="6CC50B5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Wykonanie złączy metodą „gorące przy zimnym” stosuje się w przypadkach, gdy ze względu na ruch, względnie z innych uzasadnionych powodów konieczne jest wykonywanie nawierzchni w odstępach czasowych – należy ją stosować zgodnie z pkt. 7.6.3.2 WT-2 2016 – część II. </w:t>
      </w:r>
    </w:p>
    <w:p w14:paraId="5E519E5D"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lastRenderedPageBreak/>
        <w:t xml:space="preserve">C. </w:t>
      </w:r>
      <w:r w:rsidRPr="002326E7">
        <w:rPr>
          <w:rFonts w:ascii="Arial Narrow" w:eastAsia="Times New Roman" w:hAnsi="Arial Narrow" w:cs="Times New Roman"/>
          <w:b/>
          <w:sz w:val="20"/>
          <w:szCs w:val="20"/>
          <w:lang w:eastAsia="pl-PL"/>
        </w:rPr>
        <w:tab/>
        <w:t xml:space="preserve">Sposób zakończenia działki roboczej </w:t>
      </w:r>
    </w:p>
    <w:p w14:paraId="7C353CC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Zakończenie działki roboczej należy wykonać w sposób i przy pomocy urządzeń zapewniających uzyskanie nieregularnej, szorstkiej powierzchni spoiny (przy pomocy wstawianej kantówki lub frezarki) oraz szorstkiego podłoża w rejonie planowanego złącza. </w:t>
      </w:r>
    </w:p>
    <w:p w14:paraId="216AC80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Niedopuszczalne jest posypywanie piaskiem jako sposobu na obniżenie sczepności warstw w rejonie końca działki roboczej oraz obcinanie piłą tarczową zimnej krawędzi działki. </w:t>
      </w:r>
    </w:p>
    <w:p w14:paraId="1888DE6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Zakończenie działki roboczej wykonuje się prostopadle do osi drogi. </w:t>
      </w:r>
    </w:p>
    <w:p w14:paraId="55C90D27"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Krawędź działki roboczej jest równocześnie krawędzią poprzeczną złącza. </w:t>
      </w:r>
    </w:p>
    <w:p w14:paraId="1D0A750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Złącza poprzeczne między działkami roboczymi układanych pasów kolejnych warstw technologicznych należy przesunąć względem siebie o co najmniej 3 m w kierunku podłużnym do osi jezdni. </w:t>
      </w:r>
    </w:p>
    <w:p w14:paraId="35392C12"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t xml:space="preserve">D. </w:t>
      </w:r>
      <w:r w:rsidRPr="002326E7">
        <w:rPr>
          <w:rFonts w:ascii="Arial Narrow" w:eastAsia="Times New Roman" w:hAnsi="Arial Narrow" w:cs="Times New Roman"/>
          <w:b/>
          <w:sz w:val="20"/>
          <w:szCs w:val="20"/>
          <w:lang w:eastAsia="pl-PL"/>
        </w:rPr>
        <w:tab/>
        <w:t xml:space="preserve">Sposób wykonywania spoin </w:t>
      </w:r>
    </w:p>
    <w:p w14:paraId="6D5C78C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Spoiny wykonuje się z użyciem materiałów wymienionych w punkcie 2.2.1. </w:t>
      </w:r>
    </w:p>
    <w:p w14:paraId="0F92DDD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Grubość elastycznej taśmy bitumicznej do spoin powinna wynosić: </w:t>
      </w:r>
    </w:p>
    <w:p w14:paraId="105434EE"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nie mniej niż 15 mm w warstwie wiążącej/wyrównawczej. </w:t>
      </w:r>
    </w:p>
    <w:p w14:paraId="097F431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Pasta powinna być nanoszona mechanicznie z zapewnieniem równomiernego jej rozprowadzenia na bocznej krawędzi w ilości 3 - 4 kg/m</w:t>
      </w:r>
      <w:r w:rsidRPr="002326E7">
        <w:rPr>
          <w:rFonts w:ascii="Arial Narrow" w:eastAsia="Times New Roman" w:hAnsi="Arial Narrow" w:cs="Times New Roman"/>
          <w:sz w:val="20"/>
          <w:szCs w:val="20"/>
          <w:vertAlign w:val="superscript"/>
          <w:lang w:eastAsia="pl-PL"/>
        </w:rPr>
        <w:t>2</w:t>
      </w:r>
      <w:r w:rsidRPr="002326E7">
        <w:rPr>
          <w:rFonts w:ascii="Arial Narrow" w:eastAsia="Times New Roman" w:hAnsi="Arial Narrow" w:cs="Times New Roman"/>
          <w:sz w:val="20"/>
          <w:szCs w:val="20"/>
          <w:lang w:eastAsia="pl-PL"/>
        </w:rPr>
        <w:t xml:space="preserve"> (warstwa o grubości 3 - 4 mm przy gęstości około 1,0 g/cm</w:t>
      </w:r>
      <w:r w:rsidRPr="002326E7">
        <w:rPr>
          <w:rFonts w:ascii="Arial Narrow" w:eastAsia="Times New Roman" w:hAnsi="Arial Narrow" w:cs="Times New Roman"/>
          <w:sz w:val="20"/>
          <w:szCs w:val="20"/>
          <w:vertAlign w:val="superscript"/>
          <w:lang w:eastAsia="pl-PL"/>
        </w:rPr>
        <w:t>3</w:t>
      </w:r>
      <w:r w:rsidRPr="002326E7">
        <w:rPr>
          <w:rFonts w:ascii="Arial Narrow" w:eastAsia="Times New Roman" w:hAnsi="Arial Narrow" w:cs="Times New Roman"/>
          <w:sz w:val="20"/>
          <w:szCs w:val="20"/>
          <w:lang w:eastAsia="pl-PL"/>
        </w:rPr>
        <w:t xml:space="preserve">). </w:t>
      </w:r>
    </w:p>
    <w:p w14:paraId="723C83EB"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5.9. Krawędzie zewnętrzne warstwy wiążącej </w:t>
      </w:r>
    </w:p>
    <w:p w14:paraId="169DB6A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Krawędzie zewnętrzne warstwy wiążącej należy wykonać zgodnie z wymaganiami pkt. 7.7 WT-2 2016 – część II </w:t>
      </w:r>
    </w:p>
    <w:p w14:paraId="3B75B85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 wykonaniu warstwy wiążącej o jednostronnym nachyleniu jezdni należy uszczelnić wyżej położoną krawędź boczną. Niżej położona krawędź boczna powinna pozostać nieuszczelniona. </w:t>
      </w:r>
    </w:p>
    <w:p w14:paraId="2E2D522C"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Krawędź zewnętrzną oraz powierzchnię odsadzki poziomej należy zabezpieczyć przez pokrycie gorącym asfaltem w ilości: </w:t>
      </w:r>
    </w:p>
    <w:p w14:paraId="1BB62BCB"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powierzchnie odsadzek  </w:t>
      </w:r>
      <w:r w:rsidRPr="002326E7">
        <w:rPr>
          <w:rFonts w:ascii="Arial Narrow" w:eastAsia="Times New Roman" w:hAnsi="Arial Narrow" w:cs="Times New Roman"/>
          <w:sz w:val="20"/>
          <w:szCs w:val="20"/>
          <w:lang w:val="x-none" w:eastAsia="x-none"/>
        </w:rPr>
        <w:tab/>
        <w:t>- 1,5 kg/m</w:t>
      </w:r>
      <w:r w:rsidRPr="002326E7">
        <w:rPr>
          <w:rFonts w:ascii="Arial Narrow" w:eastAsia="Times New Roman" w:hAnsi="Arial Narrow" w:cs="Times New Roman"/>
          <w:sz w:val="20"/>
          <w:szCs w:val="20"/>
          <w:vertAlign w:val="superscript"/>
          <w:lang w:val="x-none" w:eastAsia="x-none"/>
        </w:rPr>
        <w:t>2</w:t>
      </w:r>
      <w:r w:rsidRPr="002326E7">
        <w:rPr>
          <w:rFonts w:ascii="Arial Narrow" w:eastAsia="Times New Roman" w:hAnsi="Arial Narrow" w:cs="Times New Roman"/>
          <w:sz w:val="20"/>
          <w:szCs w:val="20"/>
          <w:lang w:val="x-none" w:eastAsia="x-none"/>
        </w:rPr>
        <w:t xml:space="preserve"> </w:t>
      </w:r>
    </w:p>
    <w:p w14:paraId="36BABB00"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krawędzie zewnętrzne  </w:t>
      </w:r>
      <w:r w:rsidRPr="002326E7">
        <w:rPr>
          <w:rFonts w:ascii="Arial Narrow" w:eastAsia="Times New Roman" w:hAnsi="Arial Narrow" w:cs="Times New Roman"/>
          <w:sz w:val="20"/>
          <w:szCs w:val="20"/>
          <w:lang w:val="x-none" w:eastAsia="x-none"/>
        </w:rPr>
        <w:tab/>
        <w:t>- 4 kg/m</w:t>
      </w:r>
      <w:r w:rsidRPr="002326E7">
        <w:rPr>
          <w:rFonts w:ascii="Arial Narrow" w:eastAsia="Times New Roman" w:hAnsi="Arial Narrow" w:cs="Times New Roman"/>
          <w:sz w:val="20"/>
          <w:szCs w:val="20"/>
          <w:vertAlign w:val="superscript"/>
          <w:lang w:val="x-none" w:eastAsia="x-none"/>
        </w:rPr>
        <w:t>2</w:t>
      </w:r>
      <w:r w:rsidRPr="002326E7">
        <w:rPr>
          <w:rFonts w:ascii="Arial Narrow" w:eastAsia="Times New Roman" w:hAnsi="Arial Narrow" w:cs="Times New Roman"/>
          <w:sz w:val="20"/>
          <w:szCs w:val="20"/>
          <w:lang w:val="x-none" w:eastAsia="x-none"/>
        </w:rPr>
        <w:t xml:space="preserve">, </w:t>
      </w:r>
    </w:p>
    <w:p w14:paraId="34A4C7F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zgodnie z rys. 1 pkt. 7.7 WT-2 2016 – część II. </w:t>
      </w:r>
    </w:p>
    <w:p w14:paraId="3097335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nawierzchni o dwustronnym nachyleniu (przekrój daszkowy)  decyzję o potrzebie i sposobie uszczelnienia krawędzi zewnętrznych podejmie Projektant w uzgodnieniu z Zamawiającym. </w:t>
      </w:r>
    </w:p>
    <w:p w14:paraId="339901FF" w14:textId="77777777" w:rsidR="002326E7" w:rsidRPr="002326E7" w:rsidRDefault="002326E7" w:rsidP="002326E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2326E7">
        <w:rPr>
          <w:rFonts w:ascii="Arial Narrow" w:eastAsia="Times New Roman" w:hAnsi="Arial Narrow" w:cs="Times New Roman"/>
          <w:b/>
          <w:caps/>
          <w:kern w:val="28"/>
          <w:sz w:val="28"/>
          <w:szCs w:val="20"/>
          <w:lang w:val="x-none" w:eastAsia="x-none"/>
        </w:rPr>
        <w:t xml:space="preserve">6. </w:t>
      </w:r>
      <w:r w:rsidRPr="002326E7">
        <w:rPr>
          <w:rFonts w:ascii="Arial Narrow" w:eastAsia="Times New Roman" w:hAnsi="Arial Narrow" w:cs="Times New Roman"/>
          <w:b/>
          <w:caps/>
          <w:kern w:val="28"/>
          <w:sz w:val="28"/>
          <w:szCs w:val="20"/>
          <w:lang w:val="x-none" w:eastAsia="x-none"/>
        </w:rPr>
        <w:tab/>
        <w:t xml:space="preserve">KONTROLA JAKOŚCI ROBÓT </w:t>
      </w:r>
    </w:p>
    <w:p w14:paraId="0FEE5D5F"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6.1. Ogólne wymagania dotyczące kontroli jakości robót </w:t>
      </w:r>
    </w:p>
    <w:p w14:paraId="4680AEC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Ogólne zasady kontroli jakości robót podano w D-M-00.00.00 „Wymagania ogólne”. </w:t>
      </w:r>
    </w:p>
    <w:p w14:paraId="51BEA52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Badania mieszanki mineralno-asfaltowej należy wykonywać zgodnie z normami podanymi w pkt. 8.2.2 WT-2 2014 Nawierzchnie Asfaltowe (Tabela 12, 13, 14 – dla mieszanki typu AC). </w:t>
      </w:r>
    </w:p>
    <w:p w14:paraId="19D3536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Badania i pomiary dzielą się na: </w:t>
      </w:r>
    </w:p>
    <w:p w14:paraId="5B32E4F7"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badania i pomiary Wykonawcy – w ramach własnego nadzoru </w:t>
      </w:r>
    </w:p>
    <w:p w14:paraId="4A86B611"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badania i pomiary kontrolne – w ramach nadzoru Zamawiającego. </w:t>
      </w:r>
    </w:p>
    <w:p w14:paraId="2D0377F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uzasadnionych przypadkach w ramach badań i pomiarów kontrolnych dopuszcza się wykonanie badań i pomiarów kontrolnych dodatkowych i/lub badań i pomiarów arbitrażowych. </w:t>
      </w:r>
    </w:p>
    <w:p w14:paraId="791D93F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Badania obejmują: </w:t>
      </w:r>
    </w:p>
    <w:p w14:paraId="7EC18F9D"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pobranie próbek, </w:t>
      </w:r>
    </w:p>
    <w:p w14:paraId="62AF7F08"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zapakowanie próbek do wysyłki, </w:t>
      </w:r>
    </w:p>
    <w:p w14:paraId="01A93FA2"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transport próbek z miejsca pobrania do placówki wykonującej badania, </w:t>
      </w:r>
    </w:p>
    <w:p w14:paraId="54FAE8A4"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przeprowadzenie badania, </w:t>
      </w:r>
    </w:p>
    <w:p w14:paraId="38BBBDA9"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sprawozdanie z badań.  </w:t>
      </w:r>
    </w:p>
    <w:p w14:paraId="1567D8C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Pomiary obejmują terenową weryfikację cech nawierzchni. </w:t>
      </w:r>
    </w:p>
    <w:p w14:paraId="4BF44912"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6.2. Badania i pomiary Wykonawcy </w:t>
      </w:r>
    </w:p>
    <w:p w14:paraId="75A41E4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Wykonawca jest zobowiązany do przeprowadzania na bieżąco badań i pomiarów w celu sprawdzania czy jakość wykonanych Robót jest zgodna z postawionymi wymaganiami.  </w:t>
      </w:r>
    </w:p>
    <w:p w14:paraId="3429F1A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STWiORB. Wyniki badań będą dokumentowane i archiwizowane przez Wykonawcę. Wyniki badań Wykonawca jest zobowiązany przekazywać Inżynierowi/Inspektorowi Nadzoru. </w:t>
      </w:r>
    </w:p>
    <w:p w14:paraId="4828F46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Zakres badań i pomiarów Wykonawcy powinien: </w:t>
      </w:r>
    </w:p>
    <w:p w14:paraId="6633FD1C"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być nie mniejszy niż określony w Zakładowej Kontroli Produkcji dla dostarczanych na budowę materiałów i wyrobów budowlanych - mieszanki mineralno-asfaltowe, kruszywa, lepiszcze, materiały do uszczelnień, itd., </w:t>
      </w:r>
    </w:p>
    <w:p w14:paraId="73820D23"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dla wykonanej warstwy być nie mniejszy niż określony zakres i częstotliwość badań i pomiarów kontrolnych określony w tab. 7.  </w:t>
      </w:r>
    </w:p>
    <w:p w14:paraId="5F3EDC1E"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Zakres badań Wykonawcy związany z wykonywaniem nawierzchni: </w:t>
      </w:r>
    </w:p>
    <w:p w14:paraId="098F5407"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pomiar temperatury powietrza, </w:t>
      </w:r>
    </w:p>
    <w:p w14:paraId="5A973DF3"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pomiar temperatury mieszanki mineralno-asfaltowej podczas wykonywania nawierzchni, </w:t>
      </w:r>
    </w:p>
    <w:p w14:paraId="77306FF6"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ocena wizualna mieszanki mineralno-asfaltowej, </w:t>
      </w:r>
    </w:p>
    <w:p w14:paraId="184424A9"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wykaz ilości materiałów lub grubości wykonanych warstw, </w:t>
      </w:r>
    </w:p>
    <w:p w14:paraId="093F1747"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pomiar spadku poprzecznego poszczególnych warstw asfaltowych, </w:t>
      </w:r>
    </w:p>
    <w:p w14:paraId="546CB4E4"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pomiar równości warstwy wiążącej, </w:t>
      </w:r>
    </w:p>
    <w:p w14:paraId="69646E36"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lastRenderedPageBreak/>
        <w:t xml:space="preserve">pomiar rzędnych wysokościowych i pomiary sytuacyjne, </w:t>
      </w:r>
    </w:p>
    <w:p w14:paraId="4CE4F039"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badania zagęszczenia warstwy i zawartości wolnej przestrzeni, </w:t>
      </w:r>
    </w:p>
    <w:p w14:paraId="05E0960C"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pomiar sczepności warstw asfaltowych </w:t>
      </w:r>
    </w:p>
    <w:p w14:paraId="13E90DF3"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pomiar parametrów geometrycznych poboczy, </w:t>
      </w:r>
    </w:p>
    <w:p w14:paraId="6EC8D09B"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ocena wizualna jednorodności powierzchni warstwy, </w:t>
      </w:r>
    </w:p>
    <w:p w14:paraId="28F7C664"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ocena wizualna jakości wykonania połączeń technologicznych. </w:t>
      </w:r>
    </w:p>
    <w:p w14:paraId="4482BC60"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7. Minimalna częstotliwość badań ze strony Wykonawcy dla warstwy wiążącej </w:t>
      </w:r>
    </w:p>
    <w:tbl>
      <w:tblPr>
        <w:tblW w:w="8956" w:type="dxa"/>
        <w:tblInd w:w="125" w:type="dxa"/>
        <w:tblCellMar>
          <w:right w:w="50" w:type="dxa"/>
        </w:tblCellMar>
        <w:tblLook w:val="04A0" w:firstRow="1" w:lastRow="0" w:firstColumn="1" w:lastColumn="0" w:noHBand="0" w:noVBand="1"/>
      </w:tblPr>
      <w:tblGrid>
        <w:gridCol w:w="614"/>
        <w:gridCol w:w="2593"/>
        <w:gridCol w:w="2717"/>
        <w:gridCol w:w="3032"/>
      </w:tblGrid>
      <w:tr w:rsidR="002326E7" w:rsidRPr="002326E7" w14:paraId="2929F68C" w14:textId="77777777" w:rsidTr="00855929">
        <w:trPr>
          <w:trHeight w:val="530"/>
        </w:trPr>
        <w:tc>
          <w:tcPr>
            <w:tcW w:w="6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8184B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Lp.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CE4D0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Badana cecha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6D135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Metoda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8C446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Częstotliwość </w:t>
            </w:r>
          </w:p>
        </w:tc>
      </w:tr>
      <w:tr w:rsidR="002326E7" w:rsidRPr="002326E7" w14:paraId="602668D5" w14:textId="77777777" w:rsidTr="00855929">
        <w:trPr>
          <w:trHeight w:val="1006"/>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49E4106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b/>
              </w:rPr>
              <w:t xml:space="preserve">1.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5549E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b/>
              </w:rPr>
              <w:t>Zagęszczenie M**MA</w:t>
            </w:r>
            <w:r w:rsidRPr="002326E7">
              <w:rPr>
                <w:rFonts w:ascii="Arial Narrow" w:eastAsia="Times New Roman" w:hAnsi="Arial Narrow" w:cs="Times New Roman"/>
              </w:rPr>
              <w:t xml:space="preserve"> oraz zawartość wolnych przestrzeni w warstwie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02107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Porównanie gęstości objętościowej referencyjnej do rzeczywistej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3F943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- 2 razy na kilometr każdego pasa ruchu </w:t>
            </w:r>
          </w:p>
        </w:tc>
      </w:tr>
      <w:tr w:rsidR="002326E7" w:rsidRPr="002326E7" w14:paraId="34C6C271" w14:textId="77777777" w:rsidTr="00855929">
        <w:trPr>
          <w:trHeight w:val="1006"/>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3C90A59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b/>
              </w:rPr>
              <w:t xml:space="preserve">2.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2CA4F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b/>
              </w:rPr>
              <w:t>Sczepność</w:t>
            </w:r>
            <w:r w:rsidRPr="002326E7">
              <w:rPr>
                <w:rFonts w:ascii="Arial Narrow" w:eastAsia="Times New Roman" w:hAnsi="Arial Narrow" w:cs="Times New Roman"/>
              </w:rPr>
              <w:t xml:space="preserve"> warstw asfaltowych dla dróg KR </w:t>
            </w:r>
          </w:p>
          <w:p w14:paraId="0FC2345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4-7 </w:t>
            </w:r>
          </w:p>
        </w:tc>
        <w:tc>
          <w:tcPr>
            <w:tcW w:w="2717" w:type="dxa"/>
            <w:tcBorders>
              <w:top w:val="single" w:sz="4" w:space="0" w:color="000000"/>
              <w:left w:val="single" w:sz="4" w:space="0" w:color="000000"/>
              <w:bottom w:val="single" w:sz="4" w:space="0" w:color="000000"/>
              <w:right w:val="single" w:sz="4" w:space="0" w:color="000000"/>
            </w:tcBorders>
            <w:shd w:val="clear" w:color="auto" w:fill="auto"/>
          </w:tcPr>
          <w:p w14:paraId="285D8F9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Metoda Leutnera </w:t>
            </w:r>
          </w:p>
        </w:tc>
        <w:tc>
          <w:tcPr>
            <w:tcW w:w="3032" w:type="dxa"/>
            <w:tcBorders>
              <w:top w:val="single" w:sz="4" w:space="0" w:color="000000"/>
              <w:left w:val="single" w:sz="4" w:space="0" w:color="000000"/>
              <w:bottom w:val="single" w:sz="4" w:space="0" w:color="000000"/>
              <w:right w:val="single" w:sz="4" w:space="0" w:color="000000"/>
            </w:tcBorders>
            <w:shd w:val="clear" w:color="auto" w:fill="auto"/>
          </w:tcPr>
          <w:p w14:paraId="285A8C5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- 2 razy na kilometr każdego pasa ruchu</w:t>
            </w:r>
          </w:p>
        </w:tc>
      </w:tr>
      <w:tr w:rsidR="002326E7" w:rsidRPr="002326E7" w14:paraId="7396EEFD" w14:textId="77777777" w:rsidTr="00855929">
        <w:trPr>
          <w:trHeight w:val="1747"/>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481E44E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b/>
              </w:rPr>
              <w:t xml:space="preserve">3. </w:t>
            </w:r>
          </w:p>
        </w:tc>
        <w:tc>
          <w:tcPr>
            <w:tcW w:w="2593" w:type="dxa"/>
            <w:tcBorders>
              <w:top w:val="single" w:sz="4" w:space="0" w:color="000000"/>
              <w:left w:val="single" w:sz="4" w:space="0" w:color="000000"/>
              <w:bottom w:val="single" w:sz="4" w:space="0" w:color="000000"/>
              <w:right w:val="single" w:sz="4" w:space="0" w:color="000000"/>
            </w:tcBorders>
            <w:shd w:val="clear" w:color="auto" w:fill="auto"/>
          </w:tcPr>
          <w:p w14:paraId="4C46930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b/>
              </w:rPr>
              <w:t>Grubość</w:t>
            </w:r>
            <w:r w:rsidRPr="002326E7">
              <w:rPr>
                <w:rFonts w:ascii="Arial Narrow" w:eastAsia="Times New Roman" w:hAnsi="Arial Narrow" w:cs="Times New Roman"/>
              </w:rPr>
              <w:t xml:space="preserve"> (grubości poszczególnych warstw i grubość pakietu warstw asfaltowych)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8290F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Rzędne wysokościowe, </w:t>
            </w:r>
          </w:p>
          <w:p w14:paraId="0DFF1F8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p>
          <w:p w14:paraId="0F695DC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Przymiarem na wyciętych próbach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40608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nie rzadziej niż co 50 m  </w:t>
            </w:r>
          </w:p>
          <w:p w14:paraId="38C514A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p>
          <w:p w14:paraId="7BB7430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2 razy na kilometr każdej jezdni, nie   rzadziej niż 1 raz </w:t>
            </w:r>
          </w:p>
          <w:p w14:paraId="4093725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na 6000 m</w:t>
            </w:r>
            <w:r w:rsidRPr="002326E7">
              <w:rPr>
                <w:rFonts w:ascii="Arial Narrow" w:eastAsia="Times New Roman" w:hAnsi="Arial Narrow" w:cs="Times New Roman"/>
                <w:vertAlign w:val="superscript"/>
              </w:rPr>
              <w:t>2</w:t>
            </w:r>
            <w:r w:rsidRPr="002326E7">
              <w:rPr>
                <w:rFonts w:ascii="Arial Narrow" w:eastAsia="Times New Roman" w:hAnsi="Arial Narrow" w:cs="Times New Roman"/>
              </w:rPr>
              <w:t xml:space="preserve"> </w:t>
            </w:r>
          </w:p>
        </w:tc>
      </w:tr>
      <w:tr w:rsidR="002326E7" w:rsidRPr="002326E7" w14:paraId="1BD9617B" w14:textId="77777777" w:rsidTr="00855929">
        <w:trPr>
          <w:trHeight w:val="502"/>
        </w:trPr>
        <w:tc>
          <w:tcPr>
            <w:tcW w:w="6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5B494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b/>
              </w:rPr>
              <w:t>4.</w:t>
            </w:r>
            <w:r w:rsidRPr="002326E7">
              <w:rPr>
                <w:rFonts w:ascii="Arial Narrow" w:eastAsia="Times New Roman" w:hAnsi="Arial Narrow" w:cs="Times New Roman"/>
              </w:rPr>
              <w:t xml:space="preserve">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1651C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b/>
              </w:rPr>
              <w:t>Równość podłużna</w:t>
            </w:r>
            <w:r w:rsidRPr="002326E7">
              <w:rPr>
                <w:rFonts w:ascii="Arial Narrow" w:eastAsia="Times New Roman" w:hAnsi="Arial Narrow" w:cs="Times New Roman"/>
              </w:rPr>
              <w:t xml:space="preserve">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4D03B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95187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 </w:t>
            </w:r>
          </w:p>
        </w:tc>
      </w:tr>
      <w:tr w:rsidR="002326E7" w:rsidRPr="002326E7" w14:paraId="45E473E2" w14:textId="77777777" w:rsidTr="00855929">
        <w:trPr>
          <w:trHeight w:val="840"/>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7D7D7F0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4.1. </w:t>
            </w:r>
          </w:p>
        </w:tc>
        <w:tc>
          <w:tcPr>
            <w:tcW w:w="2593" w:type="dxa"/>
            <w:tcBorders>
              <w:top w:val="single" w:sz="4" w:space="0" w:color="000000"/>
              <w:left w:val="single" w:sz="4" w:space="0" w:color="000000"/>
              <w:bottom w:val="single" w:sz="4" w:space="0" w:color="000000"/>
              <w:right w:val="single" w:sz="4" w:space="0" w:color="000000"/>
            </w:tcBorders>
            <w:shd w:val="clear" w:color="auto" w:fill="auto"/>
          </w:tcPr>
          <w:p w14:paraId="527E229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Wszystkie klasy dróg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0254A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4 metrową łatą i klinem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77257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w sposób ciągły (początek każdego   pomiaru łatą w  miejscu zakończenia  poprzedniego pomiaru)</w:t>
            </w:r>
          </w:p>
        </w:tc>
      </w:tr>
      <w:tr w:rsidR="002326E7" w:rsidRPr="002326E7" w14:paraId="5256E70F" w14:textId="77777777" w:rsidTr="00855929">
        <w:trPr>
          <w:trHeight w:val="1277"/>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683E8D6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b/>
              </w:rPr>
              <w:t xml:space="preserve">5. </w:t>
            </w:r>
          </w:p>
        </w:tc>
        <w:tc>
          <w:tcPr>
            <w:tcW w:w="2593" w:type="dxa"/>
            <w:tcBorders>
              <w:top w:val="single" w:sz="4" w:space="0" w:color="000000"/>
              <w:left w:val="single" w:sz="4" w:space="0" w:color="000000"/>
              <w:bottom w:val="single" w:sz="4" w:space="0" w:color="000000"/>
              <w:right w:val="single" w:sz="4" w:space="0" w:color="000000"/>
            </w:tcBorders>
            <w:shd w:val="clear" w:color="auto" w:fill="auto"/>
          </w:tcPr>
          <w:p w14:paraId="42C37C4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b/>
              </w:rPr>
              <w:t xml:space="preserve">Równość poprzeczna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82F9F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- 2 metrową łatą i pochyłomierzem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BD757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 każdy pas układania warstwy w sposób ciągły - nie rzadziej niż  </w:t>
            </w:r>
          </w:p>
          <w:p w14:paraId="4E4F46A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co 5 m </w:t>
            </w:r>
          </w:p>
        </w:tc>
      </w:tr>
      <w:tr w:rsidR="002326E7" w:rsidRPr="002326E7" w14:paraId="12D8A2C3" w14:textId="77777777" w:rsidTr="00855929">
        <w:trPr>
          <w:trHeight w:val="1126"/>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6AEB1B9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b/>
              </w:rPr>
              <w:t xml:space="preserve">6. </w:t>
            </w:r>
          </w:p>
        </w:tc>
        <w:tc>
          <w:tcPr>
            <w:tcW w:w="2593" w:type="dxa"/>
            <w:tcBorders>
              <w:top w:val="single" w:sz="4" w:space="0" w:color="000000"/>
              <w:left w:val="single" w:sz="4" w:space="0" w:color="000000"/>
              <w:bottom w:val="single" w:sz="4" w:space="0" w:color="000000"/>
              <w:right w:val="single" w:sz="4" w:space="0" w:color="000000"/>
            </w:tcBorders>
            <w:shd w:val="clear" w:color="auto" w:fill="auto"/>
          </w:tcPr>
          <w:p w14:paraId="588E5455"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b/>
              </w:rPr>
              <w:t xml:space="preserve">Spadki poprzeczne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46310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- 2 metrową łatą i pochyłomierzem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AD46FF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50 razy na 1 km dodatkowe pomiary w punktach głównych łuków poziomych </w:t>
            </w:r>
          </w:p>
        </w:tc>
      </w:tr>
      <w:tr w:rsidR="002326E7" w:rsidRPr="002326E7" w14:paraId="292E7196" w14:textId="77777777" w:rsidTr="00855929">
        <w:trPr>
          <w:trHeight w:val="785"/>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1BE8DD9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b/>
              </w:rPr>
              <w:t xml:space="preserve">7. </w:t>
            </w:r>
          </w:p>
        </w:tc>
        <w:tc>
          <w:tcPr>
            <w:tcW w:w="2593" w:type="dxa"/>
            <w:tcBorders>
              <w:top w:val="single" w:sz="4" w:space="0" w:color="000000"/>
              <w:left w:val="single" w:sz="4" w:space="0" w:color="000000"/>
              <w:bottom w:val="single" w:sz="4" w:space="0" w:color="000000"/>
              <w:right w:val="single" w:sz="4" w:space="0" w:color="000000"/>
            </w:tcBorders>
            <w:shd w:val="clear" w:color="auto" w:fill="auto"/>
          </w:tcPr>
          <w:p w14:paraId="4F8ADAE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b/>
              </w:rPr>
              <w:t xml:space="preserve">Szerokość warstwy </w:t>
            </w:r>
          </w:p>
        </w:tc>
        <w:tc>
          <w:tcPr>
            <w:tcW w:w="2717" w:type="dxa"/>
            <w:tcBorders>
              <w:top w:val="single" w:sz="4" w:space="0" w:color="000000"/>
              <w:left w:val="single" w:sz="4" w:space="0" w:color="000000"/>
              <w:bottom w:val="single" w:sz="4" w:space="0" w:color="000000"/>
              <w:right w:val="single" w:sz="4" w:space="0" w:color="000000"/>
            </w:tcBorders>
            <w:shd w:val="clear" w:color="auto" w:fill="auto"/>
          </w:tcPr>
          <w:p w14:paraId="1CFBB37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Taśmą mierniczą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F20D23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 pomiar co 50 m, na łukach poziomych w punktach  charakterystycznych </w:t>
            </w:r>
          </w:p>
        </w:tc>
      </w:tr>
    </w:tbl>
    <w:p w14:paraId="75C8520B"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210065EF"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6.3. Badania i pomiary kontrolne </w:t>
      </w:r>
    </w:p>
    <w:p w14:paraId="2753581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Badania i pomiary kontrolne są zlecane przez Inżyniera/Inspektora Nadzoru, a których celem jest sprawdzenie, czy jakość zastosowanych materiałów i wyrobów budowlanych (mieszanek mineralno-asfaltowych i ich składników, lepiszczy i materiałów do uszczelnień itp.) oraz gotowej warstwy (wbudowane warstwy asfaltowe, połączenia itp.) spełniają wymagania określone w kontrakcie.   </w:t>
      </w:r>
    </w:p>
    <w:p w14:paraId="436660A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Pobieraniem próbek, wykonaniem badań i pomiarów na miejscu budowy zajmuje się Laboratorium Zamawiającego/Inżynier/Inspektor Nadzoru przy udziale lub po poinformowaniu przedstawicieli Wykonawcy. Zamawiający decyduje o wyborze Laboratorium Zamawiającego. </w:t>
      </w:r>
    </w:p>
    <w:p w14:paraId="49962C99"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6.4. Badania i pomiary kontrolne dodatkowe </w:t>
      </w:r>
    </w:p>
    <w:p w14:paraId="2139CC3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wypadku uznania, że jeden z wyników badań lub pomiarów kontrolnych nie jest reprezentatywny dla ocenianego odcinka budowy, strony kontraktu mogą wystąpić o przeprowadzenia badań lub pomiarów kontrolnych dodatkowych. Badania kontrolne dodatkowe są wykonywane przez Laboratorium Zamawiającego. </w:t>
      </w:r>
    </w:p>
    <w:p w14:paraId="415B28C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Strony Kontraktu decydują wspólnie o miejscach pobierania próbek i wyznaczeniu odcinków częściowych ocenianego odcinka budowy tzn. dziennej działki roboczej. Jeżeli odcinek częściowy przyporządkowany do badań kontrolnych nie może być jednoznacznie i zgodnie wyznaczony, to odcinek ten nie powinien być mniejszy niż 20% ocenianego odcinka budowy. </w:t>
      </w:r>
    </w:p>
    <w:p w14:paraId="61381DE0"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lastRenderedPageBreak/>
        <w:t xml:space="preserve">6.5. Badania i pomiary arbitrażowe </w:t>
      </w:r>
    </w:p>
    <w:p w14:paraId="40DF146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Badania i pomiary arbitrażowe są powtórzeniem badań lub pomiarów kontrolnych i/lub kontrolnych dodatkowych, co do których istnieją uzasadnione wątpliwości ze strony Inżyniera/Inspektora Nadzoru, Zamawiającego lub Wykonawcy (np. na podstawie własnych badań). </w:t>
      </w:r>
    </w:p>
    <w:p w14:paraId="491FBC0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Badania i pomiary arbitrażowe wykonuje się na wniosek strony kontraktu. Badania i pomiary arbitrażowe wykonuje bezstronne, akredytowane laboratorium, które nie wykonywało badań lub pomiarów kontrolnych, przy udziale lub po poinformowaniu przedstawicieli stron. </w:t>
      </w:r>
    </w:p>
    <w:p w14:paraId="617DC40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wniosku Wykonawcy zgodę na przeprowadzenie badań i pomiarów arbitrażowych wyraża Inżynier/Inspektor Nadzoru po wcześniejszej analizie zasadności wniosku. Zamawiający akceptuje laboratorium, które przeprowadzi badania lub pomiary arbitrażowe.  </w:t>
      </w:r>
    </w:p>
    <w:p w14:paraId="30D6AFDD"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6.6. Badania i pomiary przed przystąpieniem do robót </w:t>
      </w:r>
    </w:p>
    <w:p w14:paraId="3725914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Przed przystąpieniem do robót Wykonawca powinien przedstawić Inżynierowi/Inspektorowi Nadzoru do akceptacji źródła poboru kruszyw oraz wszystkich dodatkowych materiałów, dołączając wszystkie dokumenty potwierdzające jakość materiałów składowych. </w:t>
      </w:r>
    </w:p>
    <w:p w14:paraId="3742D1B1"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6.7. Badania w czasie robót </w:t>
      </w:r>
    </w:p>
    <w:p w14:paraId="19735409"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6.7.1. Zawartość lepiszcza rozpuszczalnego </w:t>
      </w:r>
    </w:p>
    <w:p w14:paraId="786BA3D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Badanie polega na wykonaniu ekstrakcji lepiszcza, zgodnie PN-EN 12697-1, z próbki pobranej z mieszanki mineralno-asfaltowej.  </w:t>
      </w:r>
    </w:p>
    <w:p w14:paraId="5479C01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Jakości wbudowanej mieszanki mineralno-asfaltowej należy ocenić na podstawie: </w:t>
      </w:r>
    </w:p>
    <w:p w14:paraId="5DCAB008"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wielkości odchyłki obliczonej dla wartości średniej (średnia arytmetyczna wszystkich wyników z całej drogi dla danego typu MMA i danej warstwy asfaltowej) z dokładnością do 0,01 %, </w:t>
      </w:r>
    </w:p>
    <w:p w14:paraId="43D00AE8"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wielkości odchyłki obliczonej dla pojedynczego wyniku (próbki) z dokładnością do 0,1 %. </w:t>
      </w:r>
    </w:p>
    <w:p w14:paraId="1F3F449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Wyżej wymienione kryteria należy stosować jednocześnie (oba podlegają ocenie jakości MMA). </w:t>
      </w:r>
    </w:p>
    <w:p w14:paraId="59382F2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Odchyłka jest to różnica wartości bezwzględnej pomiędzy procentową zawartością lepiszcza rozpuszczalnego uzyskaną z badań laboratoryjnych a procentową zawartością lepiszcza rozpuszczalnego podaną w Badaniu Typu (%). </w:t>
      </w:r>
    </w:p>
    <w:p w14:paraId="5B7699A7"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8. Dopuszczalne odchyłki do odbioru dla </w:t>
      </w:r>
      <w:r w:rsidRPr="002326E7">
        <w:rPr>
          <w:rFonts w:ascii="Arial Narrow" w:eastAsia="Times New Roman" w:hAnsi="Arial Narrow" w:cs="Times New Roman"/>
          <w:sz w:val="20"/>
          <w:szCs w:val="20"/>
          <w:u w:val="single"/>
          <w:lang w:eastAsia="pl-PL"/>
        </w:rPr>
        <w:t>wartości średniej</w:t>
      </w:r>
      <w:r w:rsidRPr="002326E7">
        <w:rPr>
          <w:rFonts w:ascii="Arial Narrow" w:eastAsia="Times New Roman" w:hAnsi="Arial Narrow" w:cs="Times New Roman"/>
          <w:sz w:val="20"/>
          <w:szCs w:val="20"/>
          <w:lang w:eastAsia="pl-PL"/>
        </w:rPr>
        <w:t xml:space="preserve"> policzonej z dokładnością do 0,01 % </w:t>
      </w:r>
    </w:p>
    <w:tbl>
      <w:tblPr>
        <w:tblW w:w="8932" w:type="dxa"/>
        <w:tblInd w:w="84" w:type="dxa"/>
        <w:tblCellMar>
          <w:left w:w="0" w:type="dxa"/>
          <w:right w:w="83" w:type="dxa"/>
        </w:tblCellMar>
        <w:tblLook w:val="04A0" w:firstRow="1" w:lastRow="0" w:firstColumn="1" w:lastColumn="0" w:noHBand="0" w:noVBand="1"/>
      </w:tblPr>
      <w:tblGrid>
        <w:gridCol w:w="3828"/>
        <w:gridCol w:w="2552"/>
        <w:gridCol w:w="2552"/>
      </w:tblGrid>
      <w:tr w:rsidR="002326E7" w:rsidRPr="002326E7" w14:paraId="2A0AC42B" w14:textId="77777777" w:rsidTr="00855929">
        <w:trPr>
          <w:trHeight w:val="528"/>
        </w:trPr>
        <w:tc>
          <w:tcPr>
            <w:tcW w:w="382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FF1805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Oceniany parametr </w:t>
            </w: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ED69B2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Wielkość odchyłki dla wartości średniej ; % </w:t>
            </w:r>
          </w:p>
        </w:tc>
      </w:tr>
      <w:tr w:rsidR="002326E7" w:rsidRPr="002326E7" w14:paraId="37C56C12" w14:textId="77777777" w:rsidTr="00855929">
        <w:trPr>
          <w:trHeight w:val="530"/>
        </w:trPr>
        <w:tc>
          <w:tcPr>
            <w:tcW w:w="0" w:type="auto"/>
            <w:vMerge/>
            <w:tcBorders>
              <w:top w:val="nil"/>
              <w:left w:val="single" w:sz="4" w:space="0" w:color="000000"/>
              <w:bottom w:val="nil"/>
              <w:right w:val="single" w:sz="4" w:space="0" w:color="000000"/>
            </w:tcBorders>
            <w:shd w:val="clear" w:color="auto" w:fill="auto"/>
          </w:tcPr>
          <w:p w14:paraId="7A14646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B5CF23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AC </w:t>
            </w:r>
          </w:p>
        </w:tc>
      </w:tr>
      <w:tr w:rsidR="002326E7" w:rsidRPr="002326E7" w14:paraId="795B8A94" w14:textId="77777777" w:rsidTr="00855929">
        <w:trPr>
          <w:trHeight w:val="530"/>
        </w:trPr>
        <w:tc>
          <w:tcPr>
            <w:tcW w:w="0" w:type="auto"/>
            <w:vMerge/>
            <w:tcBorders>
              <w:top w:val="nil"/>
              <w:left w:val="single" w:sz="4" w:space="0" w:color="000000"/>
              <w:bottom w:val="single" w:sz="4" w:space="0" w:color="000000"/>
              <w:right w:val="single" w:sz="4" w:space="0" w:color="000000"/>
            </w:tcBorders>
            <w:shd w:val="clear" w:color="auto" w:fill="auto"/>
          </w:tcPr>
          <w:p w14:paraId="2BCFAFA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926D9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KR3÷KR7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82FE1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KR1 ÷KR2 </w:t>
            </w:r>
          </w:p>
        </w:tc>
      </w:tr>
      <w:tr w:rsidR="002326E7" w:rsidRPr="002326E7" w14:paraId="510ECF57" w14:textId="77777777" w:rsidTr="00855929">
        <w:trPr>
          <w:trHeight w:val="809"/>
        </w:trPr>
        <w:tc>
          <w:tcPr>
            <w:tcW w:w="38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E04D1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zawartość lepiszcza rozpuszczalnego S </w:t>
            </w:r>
          </w:p>
          <w:p w14:paraId="02FB73C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 niedomiar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94969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0,15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630DA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0,20  </w:t>
            </w:r>
          </w:p>
        </w:tc>
      </w:tr>
      <w:tr w:rsidR="002326E7" w:rsidRPr="002326E7" w14:paraId="6B3F272B" w14:textId="77777777" w:rsidTr="00855929">
        <w:trPr>
          <w:trHeight w:val="809"/>
        </w:trPr>
        <w:tc>
          <w:tcPr>
            <w:tcW w:w="38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3522E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zawartość lepiszcza rozpuszczalnego S </w:t>
            </w:r>
          </w:p>
          <w:p w14:paraId="51880F9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 nadmiar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CC003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0,20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31BD7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0,20  </w:t>
            </w:r>
          </w:p>
        </w:tc>
      </w:tr>
    </w:tbl>
    <w:p w14:paraId="70CE96C0"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407A46F3"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9. Dopuszczalne odchyłki do odbioru </w:t>
      </w:r>
      <w:r w:rsidRPr="002326E7">
        <w:rPr>
          <w:rFonts w:ascii="Arial Narrow" w:eastAsia="Times New Roman" w:hAnsi="Arial Narrow" w:cs="Times New Roman"/>
          <w:sz w:val="20"/>
          <w:szCs w:val="20"/>
          <w:u w:val="single"/>
          <w:lang w:eastAsia="pl-PL"/>
        </w:rPr>
        <w:t>dla pojedynczego</w:t>
      </w:r>
      <w:r w:rsidRPr="002326E7">
        <w:rPr>
          <w:rFonts w:ascii="Arial Narrow" w:eastAsia="Times New Roman" w:hAnsi="Arial Narrow" w:cs="Times New Roman"/>
          <w:sz w:val="20"/>
          <w:szCs w:val="20"/>
          <w:lang w:eastAsia="pl-PL"/>
        </w:rPr>
        <w:t xml:space="preserve"> wyniku określonego z dokładnością do 0,1 % </w:t>
      </w:r>
    </w:p>
    <w:tbl>
      <w:tblPr>
        <w:tblW w:w="8932" w:type="dxa"/>
        <w:tblInd w:w="84" w:type="dxa"/>
        <w:tblCellMar>
          <w:left w:w="144" w:type="dxa"/>
          <w:right w:w="74" w:type="dxa"/>
        </w:tblCellMar>
        <w:tblLook w:val="04A0" w:firstRow="1" w:lastRow="0" w:firstColumn="1" w:lastColumn="0" w:noHBand="0" w:noVBand="1"/>
      </w:tblPr>
      <w:tblGrid>
        <w:gridCol w:w="3829"/>
        <w:gridCol w:w="5103"/>
      </w:tblGrid>
      <w:tr w:rsidR="002326E7" w:rsidRPr="002326E7" w14:paraId="01F6215F" w14:textId="77777777" w:rsidTr="00855929">
        <w:trPr>
          <w:trHeight w:val="530"/>
        </w:trPr>
        <w:tc>
          <w:tcPr>
            <w:tcW w:w="382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E00B43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Oceniany parametr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0E76F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Wielkość odchyłki dla pojedynczego wyniku ; % </w:t>
            </w:r>
          </w:p>
        </w:tc>
      </w:tr>
      <w:tr w:rsidR="002326E7" w:rsidRPr="002326E7" w14:paraId="7EA8B50C" w14:textId="77777777" w:rsidTr="00855929">
        <w:trPr>
          <w:trHeight w:val="531"/>
        </w:trPr>
        <w:tc>
          <w:tcPr>
            <w:tcW w:w="0" w:type="auto"/>
            <w:vMerge/>
            <w:tcBorders>
              <w:top w:val="nil"/>
              <w:left w:val="single" w:sz="4" w:space="0" w:color="000000"/>
              <w:bottom w:val="nil"/>
              <w:right w:val="single" w:sz="4" w:space="0" w:color="000000"/>
            </w:tcBorders>
            <w:shd w:val="clear" w:color="auto" w:fill="auto"/>
          </w:tcPr>
          <w:p w14:paraId="5A6AEBF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EA3965"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AC  </w:t>
            </w:r>
          </w:p>
        </w:tc>
      </w:tr>
      <w:tr w:rsidR="002326E7" w:rsidRPr="002326E7" w14:paraId="68488CA8" w14:textId="77777777" w:rsidTr="00855929">
        <w:trPr>
          <w:trHeight w:val="528"/>
        </w:trPr>
        <w:tc>
          <w:tcPr>
            <w:tcW w:w="0" w:type="auto"/>
            <w:vMerge/>
            <w:tcBorders>
              <w:top w:val="nil"/>
              <w:left w:val="single" w:sz="4" w:space="0" w:color="000000"/>
              <w:bottom w:val="single" w:sz="4" w:space="0" w:color="000000"/>
              <w:right w:val="single" w:sz="4" w:space="0" w:color="000000"/>
            </w:tcBorders>
            <w:shd w:val="clear" w:color="auto" w:fill="auto"/>
          </w:tcPr>
          <w:p w14:paraId="29369A0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BEC99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KR1÷KR7 </w:t>
            </w:r>
          </w:p>
        </w:tc>
      </w:tr>
      <w:tr w:rsidR="002326E7" w:rsidRPr="002326E7" w14:paraId="55A2FD27" w14:textId="77777777" w:rsidTr="00855929">
        <w:trPr>
          <w:trHeight w:val="809"/>
        </w:trPr>
        <w:tc>
          <w:tcPr>
            <w:tcW w:w="38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48EAF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Zawartość lepiszcza rozpuszczalnego S - niedomiar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6AC8B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0,3 </w:t>
            </w:r>
          </w:p>
        </w:tc>
      </w:tr>
      <w:tr w:rsidR="002326E7" w:rsidRPr="002326E7" w14:paraId="229A73A6" w14:textId="77777777" w:rsidTr="00855929">
        <w:trPr>
          <w:trHeight w:val="811"/>
        </w:trPr>
        <w:tc>
          <w:tcPr>
            <w:tcW w:w="38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D6B7D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Zawartość lepiszcza rozpuszczalnego S - nadmiar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58329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0,3 </w:t>
            </w:r>
          </w:p>
        </w:tc>
      </w:tr>
    </w:tbl>
    <w:p w14:paraId="1A536D2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przekroczenia wielkości dopuszczalnych odchyłek dla wartości średniej  i dla pojedynczego wyniku w zakresie zawartości lepiszcza rozpuszczalnego należy postępować zgodnie z Instrukcją DP-T14 </w:t>
      </w:r>
      <w:r w:rsidRPr="002326E7">
        <w:rPr>
          <w:rFonts w:ascii="Arial Narrow" w:eastAsia="Times New Roman" w:hAnsi="Arial Narrow" w:cs="Times New Roman"/>
          <w:i/>
          <w:sz w:val="20"/>
          <w:szCs w:val="20"/>
          <w:lang w:eastAsia="pl-PL"/>
        </w:rPr>
        <w:t>Ocena jakości na drogach krajowych. Część I-Roboty drogowe. 2017</w:t>
      </w:r>
      <w:r w:rsidRPr="002326E7">
        <w:rPr>
          <w:rFonts w:ascii="Arial Narrow" w:eastAsia="Times New Roman" w:hAnsi="Arial Narrow" w:cs="Times New Roman"/>
          <w:sz w:val="20"/>
          <w:szCs w:val="20"/>
          <w:lang w:eastAsia="pl-PL"/>
        </w:rPr>
        <w:t xml:space="preserve">. </w:t>
      </w:r>
    </w:p>
    <w:p w14:paraId="0D8EBCA6"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lastRenderedPageBreak/>
        <w:t xml:space="preserve">6.7.2. Uziarnienie mieszanki mineralnej </w:t>
      </w:r>
    </w:p>
    <w:p w14:paraId="37E7D31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 wykonaniu ekstrakcji lepiszcza należy przeprowadzić kontrolę uziarnienia mieszanki kruszywa mineralnego wg PN-EN 12697-2.  </w:t>
      </w:r>
    </w:p>
    <w:p w14:paraId="539B032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Jakości mieszanki mineralnej należy ocenić na podstawie: </w:t>
      </w:r>
    </w:p>
    <w:p w14:paraId="7CD60161"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wielkości odchyłki obliczonej dla wartości średniej (średnia arytmetyczna wszystkich wyników z całej drogi dla danego typu MMA i danej warstwy asfaltowej) z dokładnością do 0,1 % </w:t>
      </w:r>
    </w:p>
    <w:p w14:paraId="38FFE83D"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wielkości odchyłki obliczonej dla pojedynczego wyniku (próbki) z dokładnością do 0,1 % dla sita 0,063mm i z dokładnością do 1 % dla pozostałych sit. </w:t>
      </w:r>
    </w:p>
    <w:p w14:paraId="4C7D4BB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Wyżej wymienione kryteria należy stosować jednocześnie (oba podlegają ocenie jakości MMA). </w:t>
      </w:r>
    </w:p>
    <w:p w14:paraId="7DCDB5D7"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Odchyłka jest to różnica wartości bezwzględnej pomiędzy procentową zawartością ziaren w wyekstrahowanej mieszance mineralnej uzyskaną z badań laboratoryjnych a procentową zawartością ziaren w mieszance mineralnej podaną w Badaniu Typu (%). </w:t>
      </w:r>
    </w:p>
    <w:p w14:paraId="57C5F29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Dopuszczalne odchyłki w zakresie uziarnienia podano w tabeli 10. </w:t>
      </w:r>
    </w:p>
    <w:p w14:paraId="5FF76915"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10. Dopuszczalne odchyłki w zakresie uziarnienia. </w:t>
      </w:r>
    </w:p>
    <w:tbl>
      <w:tblPr>
        <w:tblW w:w="8956" w:type="dxa"/>
        <w:tblInd w:w="125" w:type="dxa"/>
        <w:tblCellMar>
          <w:top w:w="174" w:type="dxa"/>
          <w:left w:w="115" w:type="dxa"/>
          <w:right w:w="55" w:type="dxa"/>
        </w:tblCellMar>
        <w:tblLook w:val="04A0" w:firstRow="1" w:lastRow="0" w:firstColumn="1" w:lastColumn="0" w:noHBand="0" w:noVBand="1"/>
      </w:tblPr>
      <w:tblGrid>
        <w:gridCol w:w="2287"/>
        <w:gridCol w:w="2189"/>
        <w:gridCol w:w="2168"/>
        <w:gridCol w:w="2312"/>
      </w:tblGrid>
      <w:tr w:rsidR="002326E7" w:rsidRPr="002326E7" w14:paraId="181918EF" w14:textId="77777777" w:rsidTr="00855929">
        <w:trPr>
          <w:trHeight w:val="980"/>
        </w:trPr>
        <w:tc>
          <w:tcPr>
            <w:tcW w:w="2287"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3187449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Przechodzi przez sito #, mm </w:t>
            </w:r>
          </w:p>
        </w:tc>
        <w:tc>
          <w:tcPr>
            <w:tcW w:w="4357" w:type="dxa"/>
            <w:gridSpan w:val="2"/>
            <w:tcBorders>
              <w:top w:val="single" w:sz="4" w:space="0" w:color="000000"/>
              <w:left w:val="single" w:sz="4" w:space="0" w:color="000000"/>
              <w:bottom w:val="single" w:sz="4" w:space="0" w:color="000000"/>
              <w:right w:val="single" w:sz="4" w:space="0" w:color="000000"/>
            </w:tcBorders>
            <w:shd w:val="clear" w:color="auto" w:fill="auto"/>
          </w:tcPr>
          <w:p w14:paraId="2D6009C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Odchyłki dopuszczalne dla pojedynczego wyniku, %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643A3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Odchyłki dopuszczalne dla wartości średniej, % </w:t>
            </w:r>
          </w:p>
        </w:tc>
      </w:tr>
      <w:tr w:rsidR="002326E7" w:rsidRPr="002326E7" w14:paraId="24330B2A" w14:textId="77777777" w:rsidTr="00855929">
        <w:trPr>
          <w:trHeight w:val="58"/>
        </w:trPr>
        <w:tc>
          <w:tcPr>
            <w:tcW w:w="0" w:type="auto"/>
            <w:vMerge/>
            <w:tcBorders>
              <w:top w:val="nil"/>
              <w:left w:val="single" w:sz="4" w:space="0" w:color="000000"/>
              <w:bottom w:val="single" w:sz="4" w:space="0" w:color="000000"/>
              <w:right w:val="single" w:sz="4" w:space="0" w:color="000000"/>
            </w:tcBorders>
            <w:shd w:val="clear" w:color="auto" w:fill="auto"/>
          </w:tcPr>
          <w:p w14:paraId="15DE45F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2EF6F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 3-7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C51A3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 1-2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8BFB4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 1-7 </w:t>
            </w:r>
          </w:p>
        </w:tc>
      </w:tr>
      <w:tr w:rsidR="002326E7" w:rsidRPr="002326E7" w14:paraId="5740879A" w14:textId="77777777" w:rsidTr="00855929">
        <w:trPr>
          <w:trHeight w:val="49"/>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400B3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0,063 </w:t>
            </w: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FB4FB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2,5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2D05C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3,0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4474C5"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1,5 </w:t>
            </w:r>
          </w:p>
        </w:tc>
      </w:tr>
      <w:tr w:rsidR="002326E7" w:rsidRPr="002326E7" w14:paraId="13A49F0D" w14:textId="77777777" w:rsidTr="00855929">
        <w:trPr>
          <w:trHeight w:val="183"/>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9EF73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0,125 </w:t>
            </w: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7EAB6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4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8297F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5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0D8B45"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2,0 </w:t>
            </w:r>
          </w:p>
        </w:tc>
      </w:tr>
      <w:tr w:rsidR="002326E7" w:rsidRPr="002326E7" w14:paraId="53D060D6" w14:textId="77777777" w:rsidTr="00855929">
        <w:trPr>
          <w:trHeight w:val="34"/>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76660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2 </w:t>
            </w: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35E0A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5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F76D8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6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30F91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3,0 </w:t>
            </w:r>
          </w:p>
        </w:tc>
      </w:tr>
      <w:tr w:rsidR="002326E7" w:rsidRPr="002326E7" w14:paraId="0210B860" w14:textId="77777777" w:rsidTr="00855929">
        <w:trPr>
          <w:trHeight w:val="310"/>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1FD325"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D/2 lub sito charakterystycze </w:t>
            </w:r>
          </w:p>
        </w:tc>
        <w:tc>
          <w:tcPr>
            <w:tcW w:w="2189" w:type="dxa"/>
            <w:tcBorders>
              <w:top w:val="single" w:sz="4" w:space="0" w:color="000000"/>
              <w:left w:val="single" w:sz="4" w:space="0" w:color="000000"/>
              <w:bottom w:val="single" w:sz="4" w:space="0" w:color="000000"/>
              <w:right w:val="single" w:sz="4" w:space="0" w:color="000000"/>
            </w:tcBorders>
            <w:shd w:val="clear" w:color="auto" w:fill="auto"/>
          </w:tcPr>
          <w:p w14:paraId="6BF437B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6 </w:t>
            </w:r>
          </w:p>
        </w:tc>
        <w:tc>
          <w:tcPr>
            <w:tcW w:w="2168" w:type="dxa"/>
            <w:tcBorders>
              <w:top w:val="single" w:sz="4" w:space="0" w:color="000000"/>
              <w:left w:val="single" w:sz="4" w:space="0" w:color="000000"/>
              <w:bottom w:val="single" w:sz="4" w:space="0" w:color="000000"/>
              <w:right w:val="single" w:sz="4" w:space="0" w:color="000000"/>
            </w:tcBorders>
            <w:shd w:val="clear" w:color="auto" w:fill="auto"/>
          </w:tcPr>
          <w:p w14:paraId="130B2CE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7 </w:t>
            </w:r>
          </w:p>
        </w:tc>
        <w:tc>
          <w:tcPr>
            <w:tcW w:w="2312" w:type="dxa"/>
            <w:tcBorders>
              <w:top w:val="single" w:sz="4" w:space="0" w:color="000000"/>
              <w:left w:val="single" w:sz="4" w:space="0" w:color="000000"/>
              <w:bottom w:val="single" w:sz="4" w:space="0" w:color="000000"/>
              <w:right w:val="single" w:sz="4" w:space="0" w:color="000000"/>
            </w:tcBorders>
            <w:shd w:val="clear" w:color="auto" w:fill="auto"/>
          </w:tcPr>
          <w:p w14:paraId="2EC621F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4,0 </w:t>
            </w:r>
          </w:p>
        </w:tc>
      </w:tr>
      <w:tr w:rsidR="002326E7" w:rsidRPr="002326E7" w14:paraId="70F94A08" w14:textId="77777777" w:rsidTr="00855929">
        <w:trPr>
          <w:trHeight w:val="36"/>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7DF99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D </w:t>
            </w: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DCF0F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7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15462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8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30AA1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5,0 </w:t>
            </w:r>
          </w:p>
        </w:tc>
      </w:tr>
    </w:tbl>
    <w:p w14:paraId="2699F86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Wymagania dotyczące udziału kruszywa grubego, drobnego i wypełniacza powinny być spełnione jednocześnie. </w:t>
      </w:r>
    </w:p>
    <w:p w14:paraId="7BDBB65F"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przekroczenia wielkości dopuszczalnych odchyłek dla wartości średniej  w zakresie uziarnienia należy postępować zgodnie z Instrukcją DP-T14 </w:t>
      </w:r>
      <w:r w:rsidRPr="002326E7">
        <w:rPr>
          <w:rFonts w:ascii="Arial Narrow" w:eastAsia="Times New Roman" w:hAnsi="Arial Narrow" w:cs="Times New Roman"/>
          <w:i/>
          <w:sz w:val="20"/>
          <w:szCs w:val="20"/>
          <w:lang w:eastAsia="pl-PL"/>
        </w:rPr>
        <w:t xml:space="preserve">Ocena jakości na drogach krajowych. Część I-Roboty drogowe. 2017. </w:t>
      </w:r>
    </w:p>
    <w:p w14:paraId="36F05FB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Dla kryterium dotyczącego pojedynczego wyniku nie stosuje się potrąceń – należy je spełnić wg wyżej wymienionych wymagań. </w:t>
      </w:r>
    </w:p>
    <w:p w14:paraId="3E9587A3"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6.7.3. Zawartość wolnych przestrzeni w mieszance MMA </w:t>
      </w:r>
    </w:p>
    <w:p w14:paraId="098157F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Zawartość wolnych przestrzeni w próbkach Marshalla oblicza się zgodnie z PN-EN 126978. Zawartość wolnych przestrzeni nie może przekroczyć wartości podanych w WT-2 2014 Tabela 12, 13 i 14 w zależności od kategorii ruchu. </w:t>
      </w:r>
    </w:p>
    <w:p w14:paraId="4218CA8B"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6.7.4. Pomiar grubości warstwy wg PN-EN 12697-36 </w:t>
      </w:r>
    </w:p>
    <w:p w14:paraId="4C1EFD3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Grubości wykonanej warstwy należy określać na wyciętych próbkach (nie wycinać próbek na obiektach mostowych wiertnicą mechaniczną) lub metodą elektromagnetyczną z częstotliwością określoną w tab. 7. Sposób oceny grubości warstwy i pakietu warstw należy dokonać zgodnie  WT-2 2016 – część II pkt 8.2 i Instrukcją DP-T14 pkt. 2.3.  </w:t>
      </w:r>
    </w:p>
    <w:p w14:paraId="5BE585E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Grubości warstwy należy ocenić na podstawie wielkości odchyłki obliczonej dla: </w:t>
      </w:r>
    </w:p>
    <w:p w14:paraId="0F4E6448"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pojedynczego wyniku pomiaru grubości warstwy i pakietu warstw asfaltowych, </w:t>
      </w:r>
    </w:p>
    <w:p w14:paraId="4D69D993"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wartości średniej ze wszystkich pomiarów grubości danej warstwy i wartości średniej pomiarów pakietu warstw asfaltowych. </w:t>
      </w:r>
    </w:p>
    <w:p w14:paraId="70CCB7D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Odchyłka w zakresie grubości danej warstwy lub pakietu warstw z mieszanek mineralnoasfaltowych jest to procentowe </w:t>
      </w:r>
      <w:r w:rsidRPr="002326E7">
        <w:rPr>
          <w:rFonts w:ascii="Arial Narrow" w:eastAsia="Times New Roman" w:hAnsi="Arial Narrow" w:cs="Times New Roman"/>
          <w:b/>
          <w:sz w:val="20"/>
          <w:szCs w:val="20"/>
          <w:lang w:eastAsia="pl-PL"/>
        </w:rPr>
        <w:t>przekroczenie w dół</w:t>
      </w:r>
      <w:r w:rsidRPr="002326E7">
        <w:rPr>
          <w:rFonts w:ascii="Arial Narrow" w:eastAsia="Times New Roman" w:hAnsi="Arial Narrow" w:cs="Times New Roman"/>
          <w:sz w:val="20"/>
          <w:szCs w:val="20"/>
          <w:lang w:eastAsia="pl-PL"/>
        </w:rPr>
        <w:t xml:space="preserve"> projektowanej grubości warstwy lub pakietu i obliczona wg pkt 2.3. Instrukcji DP-T14 2017 – część I z dokładnością do 1%. </w:t>
      </w:r>
    </w:p>
    <w:p w14:paraId="78B4977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Tolerancja dla pojedynczego wyniku w zakresie: </w:t>
      </w:r>
    </w:p>
    <w:p w14:paraId="43241955"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grubości warstwy może wynosić 1÷10% grubości projektowanej. </w:t>
      </w:r>
    </w:p>
    <w:p w14:paraId="5AECAF03"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pakietu wszystkich warstw asfaltowych wynosi 0÷10% grubości projektowanej, lecz nie więcej niż 1 cm. </w:t>
      </w:r>
    </w:p>
    <w:p w14:paraId="4502FDD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Wartość średnia ze wszystkich pomiarów grubości danej warstwy lub pakietu warstw powinna być równa bądź większa w stosunku do grubości przyjętej w projekcie konstrukcji nawierzchni. </w:t>
      </w:r>
    </w:p>
    <w:p w14:paraId="1ED06B89"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przekroczenia wartości dopuszczalnych w zakresie grubości należy postępować zgodnie z Instrukcją DP-T 14. </w:t>
      </w:r>
    </w:p>
    <w:p w14:paraId="3CBA1F1E"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6.7.5. Wskaźnik zagęszczenia warstwy wg PN-EN 13108-20 załącznik C4 </w:t>
      </w:r>
    </w:p>
    <w:p w14:paraId="4B488C27"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Wskaźnik zagęszczenia warstwy należy sprawdzać na próbkach wyciętych z zagęszczonej warstwy z częstością podaną w pkt. 6.2. tab. 7. Wskaźnik zagęszczenia nie może być niższy niż 98,0%. Dopuszcza się za zgodą Inżyniera/Inspektora Nadzoru badania zagęszczenia warstwy metodami izotopowymi (zamiennie do cięcia próbek). Metodą referencyjną jest badanie na próbkach wyciętych z zagęszczonej warstwy. Wykonawca wytnie próbki na każde życzenie Inżyniera/Inspektora Nadzoru w miejscach wątpliwych przez niego wskazanych. </w:t>
      </w:r>
    </w:p>
    <w:p w14:paraId="39358E3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jeśli wskaźnik zagęszczenia jest niższy niż 98,0% należy postępować zgodnie z Instrukcją DP-T14 Ocena jakości na drogach krajowych. Część I - Roboty drogowe. 2017. </w:t>
      </w:r>
    </w:p>
    <w:p w14:paraId="569E5402"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lastRenderedPageBreak/>
        <w:t xml:space="preserve">6.7.6. Wolna przestrzeń w zagęszczonej warstwie wg PN-EN 12697-8. </w:t>
      </w:r>
    </w:p>
    <w:p w14:paraId="1309C41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 obliczenia wolnej przestrzeni w warstwie należy przyjmować gęstość mieszanki mineralno asfaltowej oznaczonej w dniu wykonywania kontrolowanej działki roboczej. Zawartość wolnej przestrzeni w warstwie powinna mieścić się w granicach dla KR 1-2 2,07,0%, dla KR≥3 3,0-8,0%. Zawartość wolnej przestrzeni w warstwie należy sprawdzać z częstością podaną w pkt. 6.2. tab. 7. </w:t>
      </w:r>
    </w:p>
    <w:p w14:paraId="78B5823F"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6.7.7. Wytrzymałość na ścinanie połączeń międzywarstwowych. </w:t>
      </w:r>
    </w:p>
    <w:p w14:paraId="6652927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Badanie sczepności międzywarstwowej należy wykonać wg metody Leutnera na próbkach Ø 150±2mm lub Ø 100±2mm zgodnie z „Instrukcją laboratoryjnego badania sczepności międzywarstwowej warstw asfaltowych wg metody Leutnera i wymagania techniczne sczepności. 2014”. Wymagana wartość dla połączenia wiążąca – podbudowa wynosi nie mniej niż 0,7 MPa – kryterium należy spełnić. Dopuszcza się też inne sprawdzone metody badania sczepności, przy czym metodą referencyjną jest metoda Leutnera na próbkach Ø 150±2mm. </w:t>
      </w:r>
    </w:p>
    <w:p w14:paraId="08C8ADB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Badanie sczepności międzywarstwowej należy sprawdzać zgodnie z częstością podaną w pkt. 6.2. tab. 7. </w:t>
      </w:r>
    </w:p>
    <w:p w14:paraId="15BD86A6"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6.7.8. Temperatura mięknienia lepiszcza odzyskanego. </w:t>
      </w:r>
    </w:p>
    <w:p w14:paraId="22E34C1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Wymagania dla temperatury mięknienia lepiszcza odzyskanego zgodnie z pkt. 8.1.1. WT-2 2016 – część II. Dla lepiszcza wyekstrahowanego należy kontrolować następujące właściwości: </w:t>
      </w:r>
    </w:p>
    <w:p w14:paraId="04EC157C"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temperaturę mięknienia, </w:t>
      </w:r>
    </w:p>
    <w:p w14:paraId="7000EFD0"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nawrót sprężysty – dot. polimeroasfaltów. </w:t>
      </w:r>
    </w:p>
    <w:p w14:paraId="6EFD007C"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6.8. Badania i pomiary cech geometrycznych warstwy z MMA </w:t>
      </w:r>
    </w:p>
    <w:p w14:paraId="7B08940C"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6.8.1. Częstość oraz zakres badań i pomiarów </w:t>
      </w:r>
    </w:p>
    <w:p w14:paraId="13248C1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Częstość oraz zakres badań i pomiarów podano na warstwie wiążącej podano w tabeli 7. </w:t>
      </w:r>
    </w:p>
    <w:p w14:paraId="7C1E3DD1"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6.8.2. Szerokość warstwy </w:t>
      </w:r>
    </w:p>
    <w:p w14:paraId="2F366C5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Szerokość wykonanej warstwy powinna być zgodna z szerokością projektowaną z tolerancją + 5 cm. Wymaga się, aby co najmniej 95% wykonanych pomiarów nie przekraczało dopuszczalnego odchylenia. 100% wykonanych pomiarów szerokości wykonanej warstwy powinna być zgodna z szerokością projektowaną z tolerancją + 7 cm.</w:t>
      </w:r>
      <w:r w:rsidRPr="002326E7">
        <w:rPr>
          <w:rFonts w:ascii="Arial Narrow" w:eastAsia="Times New Roman" w:hAnsi="Arial Narrow" w:cs="Times New Roman"/>
          <w:sz w:val="20"/>
          <w:szCs w:val="20"/>
          <w:vertAlign w:val="subscript"/>
          <w:lang w:eastAsia="pl-PL"/>
        </w:rPr>
        <w:t xml:space="preserve"> </w:t>
      </w:r>
    </w:p>
    <w:p w14:paraId="55E82C49"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6.8.3. Równość podłużna i poprzeczna warstwy wiążącej </w:t>
      </w:r>
    </w:p>
    <w:p w14:paraId="46F7DA1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A. Ocena równości podłużnej warstwy wiążącej. </w:t>
      </w:r>
    </w:p>
    <w:p w14:paraId="2D75871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 oceny równości podłużnej warstwy wiążącej nawierzchni dróg wszystkich klas technicznych, należy stosować metodę pomiaru ciągłego równoważną użyciu łaty i klina z wykorzystaniem planografu, umożliwiającego wyznaczanie odchyleń równości podłużnej jako największej odległości (prześwitu) pomiędzy teoretyczną linią łączącą spody kółek jezdnych urządzenia a mierzoną powierzchnią warstwy [mm].  </w:t>
      </w:r>
    </w:p>
    <w:p w14:paraId="10CC005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miejscach niedostępnych dla planografu pomiar równości podłużnej warstwy wiążącej nawierzchni należy wykonać w sposób ciągły z użyciem łaty i klina. Długość łaty w pomiarze równości podłużnej powinna wynosić 4 m. </w:t>
      </w:r>
    </w:p>
    <w:p w14:paraId="7D3660B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Wymagana równość podłużna jest określona przez maksymalne dopuszczalne wartości odchyleń dla warstwy wiążącej zostały podane w tabeli 11. </w:t>
      </w:r>
    </w:p>
    <w:p w14:paraId="2A2985DB"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11. Dopuszczalne wartości odchyleń dla warstwy wiążącej  </w:t>
      </w:r>
    </w:p>
    <w:tbl>
      <w:tblPr>
        <w:tblW w:w="9062" w:type="dxa"/>
        <w:tblInd w:w="125" w:type="dxa"/>
        <w:tblCellMar>
          <w:left w:w="115" w:type="dxa"/>
          <w:right w:w="40" w:type="dxa"/>
        </w:tblCellMar>
        <w:tblLook w:val="04A0" w:firstRow="1" w:lastRow="0" w:firstColumn="1" w:lastColumn="0" w:noHBand="0" w:noVBand="1"/>
      </w:tblPr>
      <w:tblGrid>
        <w:gridCol w:w="1975"/>
        <w:gridCol w:w="5103"/>
        <w:gridCol w:w="1984"/>
      </w:tblGrid>
      <w:tr w:rsidR="002326E7" w:rsidRPr="002326E7" w14:paraId="1DE58F5F" w14:textId="77777777" w:rsidTr="00855929">
        <w:trPr>
          <w:trHeight w:val="1222"/>
        </w:trPr>
        <w:tc>
          <w:tcPr>
            <w:tcW w:w="19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00E4B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Klasa drogi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534F9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Element nawierzchni </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21518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Dopuszczalne wartości odchyleń równości </w:t>
            </w:r>
          </w:p>
          <w:p w14:paraId="4740D985"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podłużnej warstwy wiążącej [mm] </w:t>
            </w:r>
          </w:p>
        </w:tc>
      </w:tr>
      <w:tr w:rsidR="002326E7" w:rsidRPr="002326E7" w14:paraId="5D48D9BB" w14:textId="77777777" w:rsidTr="00855929">
        <w:trPr>
          <w:trHeight w:val="1262"/>
        </w:trPr>
        <w:tc>
          <w:tcPr>
            <w:tcW w:w="19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B9F10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GP </w:t>
            </w:r>
          </w:p>
        </w:tc>
        <w:tc>
          <w:tcPr>
            <w:tcW w:w="5103" w:type="dxa"/>
            <w:tcBorders>
              <w:top w:val="single" w:sz="4" w:space="0" w:color="000000"/>
              <w:left w:val="single" w:sz="4" w:space="0" w:color="000000"/>
              <w:right w:val="single" w:sz="4" w:space="0" w:color="000000"/>
            </w:tcBorders>
            <w:shd w:val="clear" w:color="auto" w:fill="auto"/>
            <w:vAlign w:val="center"/>
          </w:tcPr>
          <w:p w14:paraId="1A5F5D6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Pasy ruchu zasadnicze, awaryjne, dodatkowe, </w:t>
            </w:r>
          </w:p>
          <w:p w14:paraId="578EE81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włącznie i wyłączenia, </w:t>
            </w:r>
          </w:p>
          <w:p w14:paraId="2069E87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jezdnie łącznic utwardzone </w:t>
            </w:r>
          </w:p>
          <w:p w14:paraId="1A07BC4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pobocza </w:t>
            </w:r>
          </w:p>
          <w:p w14:paraId="35CDC4B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1984" w:type="dxa"/>
            <w:tcBorders>
              <w:top w:val="single" w:sz="4" w:space="0" w:color="000000"/>
              <w:left w:val="single" w:sz="4" w:space="0" w:color="000000"/>
              <w:right w:val="single" w:sz="4" w:space="0" w:color="000000"/>
            </w:tcBorders>
            <w:shd w:val="clear" w:color="auto" w:fill="auto"/>
            <w:vAlign w:val="center"/>
          </w:tcPr>
          <w:p w14:paraId="32011FD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6 </w:t>
            </w:r>
          </w:p>
          <w:p w14:paraId="702F2FC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p>
        </w:tc>
      </w:tr>
      <w:tr w:rsidR="002326E7" w:rsidRPr="002326E7" w14:paraId="6A824FED" w14:textId="77777777" w:rsidTr="00855929">
        <w:trPr>
          <w:trHeight w:val="542"/>
        </w:trPr>
        <w:tc>
          <w:tcPr>
            <w:tcW w:w="1975" w:type="dxa"/>
            <w:vMerge w:val="restart"/>
            <w:tcBorders>
              <w:top w:val="single" w:sz="4" w:space="0" w:color="000000"/>
              <w:left w:val="single" w:sz="4" w:space="0" w:color="000000"/>
              <w:right w:val="single" w:sz="4" w:space="0" w:color="000000"/>
            </w:tcBorders>
            <w:shd w:val="clear" w:color="auto" w:fill="auto"/>
            <w:vAlign w:val="center"/>
          </w:tcPr>
          <w:p w14:paraId="4ED5BF4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G, Z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9174F7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Pasy ruchu zasadnicze, dodatkowe, włączenia i wyłączenia, postojowe, </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51930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9 </w:t>
            </w:r>
          </w:p>
        </w:tc>
      </w:tr>
      <w:tr w:rsidR="002326E7" w:rsidRPr="002326E7" w14:paraId="70748466" w14:textId="77777777" w:rsidTr="00855929">
        <w:trPr>
          <w:trHeight w:val="279"/>
        </w:trPr>
        <w:tc>
          <w:tcPr>
            <w:tcW w:w="1975" w:type="dxa"/>
            <w:vMerge/>
            <w:tcBorders>
              <w:left w:val="single" w:sz="4" w:space="0" w:color="000000"/>
              <w:bottom w:val="single" w:sz="4" w:space="0" w:color="000000"/>
              <w:right w:val="single" w:sz="4" w:space="0" w:color="000000"/>
            </w:tcBorders>
            <w:shd w:val="clear" w:color="auto" w:fill="auto"/>
          </w:tcPr>
          <w:p w14:paraId="244135E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74BCB91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jezdnie łącznic, utwardzone pobocza </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14:paraId="0715F56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p>
        </w:tc>
      </w:tr>
      <w:tr w:rsidR="002326E7" w:rsidRPr="002326E7" w14:paraId="467F26DA" w14:textId="77777777" w:rsidTr="00855929">
        <w:trPr>
          <w:trHeight w:val="567"/>
        </w:trPr>
        <w:tc>
          <w:tcPr>
            <w:tcW w:w="19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08334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L, D, place, parkingi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A48FF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Wszystkie pasy ruchu i powierzchnie przeznaczone do ruchu i postoju pojazdów </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351BF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12 </w:t>
            </w:r>
          </w:p>
        </w:tc>
      </w:tr>
    </w:tbl>
    <w:p w14:paraId="17025BA7"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5082E311"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t xml:space="preserve">Pomiar równości podłużnej nawierzchni metodą łaty i klina </w:t>
      </w:r>
    </w:p>
    <w:p w14:paraId="484DF55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Pomiar równości podłużnej warstw nawierzchni z użyciem łaty (o długości 4 m) i klina należy wykonywać jedynie w miejscach niedostępnych dla sprzętu pomiarowego (stanowiska postojowe, zatoki autobusowe itp.). Pomiary równości podłużnej z wykorzystaniem łaty i klina należy wykonywać w osi podłużnej elementu drogi/pasa ruchu, w płaszczyźnie prostopadłej do powierzchni badanej warstwy. Pomiar należy wykonywać w sposób ciągły (początek każdego pomiaru łatą w miejscu zakończenia poprzedniego pomiaru). Klin należy podkładać pod łatę w miejscu, w którym prześwit jest największy (największe odchylenie równości). Wielkość prześwitu jest równa najmniejszej liczbie widocznej na klinie podłożonym pod łatę. Zasady oceny wyników pomiaru jak w tabeli 11. </w:t>
      </w:r>
    </w:p>
    <w:p w14:paraId="71CAEA17"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t xml:space="preserve">B. Pomiar równości poprzecznej warstwy wiążącej </w:t>
      </w:r>
    </w:p>
    <w:p w14:paraId="1083777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lastRenderedPageBreak/>
        <w:t xml:space="preserve">Do oceny równości poprzecznej warstw nawierzchni dróg wszystkich klas technicznych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w:t>
      </w:r>
    </w:p>
    <w:p w14:paraId="1E8B7EB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Efektywna szerokość pomiarowa jest równa szerokości mierzonego pasa (elementu) nawierzchni z tolerancją ±15%. Wartość odchylenia równości poprzecznej należy wyznaczać z krokiem co 1 m. </w:t>
      </w:r>
    </w:p>
    <w:p w14:paraId="688985A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Pomiar równości porzecznej warstwy wiążącej nawierzchni należy wykonać z użyciem łaty i klina. Długość łaty w pomiarze równości poprzecznej powinna wynosić 2 m, Pomiar powinien być wykonany nie rzadziej niż co 5 m. </w:t>
      </w:r>
    </w:p>
    <w:p w14:paraId="7ED8461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Dopuszczalne wartości odchyleń zostały podane w tabeli 12. </w:t>
      </w:r>
    </w:p>
    <w:p w14:paraId="4A05703D"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12. Dopuszczalne wartości odchyleń dla warstwy wiążącej  </w:t>
      </w:r>
    </w:p>
    <w:tbl>
      <w:tblPr>
        <w:tblW w:w="8956" w:type="dxa"/>
        <w:tblInd w:w="125" w:type="dxa"/>
        <w:tblCellMar>
          <w:left w:w="115" w:type="dxa"/>
          <w:right w:w="40" w:type="dxa"/>
        </w:tblCellMar>
        <w:tblLook w:val="04A0" w:firstRow="1" w:lastRow="0" w:firstColumn="1" w:lastColumn="0" w:noHBand="0" w:noVBand="1"/>
      </w:tblPr>
      <w:tblGrid>
        <w:gridCol w:w="1550"/>
        <w:gridCol w:w="4110"/>
        <w:gridCol w:w="3296"/>
      </w:tblGrid>
      <w:tr w:rsidR="002326E7" w:rsidRPr="002326E7" w14:paraId="371E18A3" w14:textId="77777777" w:rsidTr="00855929">
        <w:trPr>
          <w:trHeight w:val="848"/>
        </w:trPr>
        <w:tc>
          <w:tcPr>
            <w:tcW w:w="1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AFC17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Klasa drogi </w:t>
            </w:r>
          </w:p>
        </w:tc>
        <w:tc>
          <w:tcPr>
            <w:tcW w:w="41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9E660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Element nawierzchni </w:t>
            </w:r>
          </w:p>
        </w:tc>
        <w:tc>
          <w:tcPr>
            <w:tcW w:w="32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BDB67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Dopuszczalne wartości odchyleń równości </w:t>
            </w:r>
          </w:p>
          <w:p w14:paraId="5E0D165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poprzecznej warstwy wiążącej [mm] </w:t>
            </w:r>
          </w:p>
        </w:tc>
      </w:tr>
      <w:tr w:rsidR="002326E7" w:rsidRPr="002326E7" w14:paraId="15F08FD8" w14:textId="77777777" w:rsidTr="00855929">
        <w:trPr>
          <w:trHeight w:val="821"/>
        </w:trPr>
        <w:tc>
          <w:tcPr>
            <w:tcW w:w="1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A3FEA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GP </w:t>
            </w:r>
          </w:p>
        </w:tc>
        <w:tc>
          <w:tcPr>
            <w:tcW w:w="41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6E2E6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Pasy ruchu zasadnicze, awaryjne, dodatkowe, </w:t>
            </w:r>
          </w:p>
          <w:p w14:paraId="2BF7136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włączenia i wyłączenia, </w:t>
            </w:r>
          </w:p>
          <w:p w14:paraId="40B095D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jezdnia łącznic, utwardzone </w:t>
            </w:r>
          </w:p>
          <w:p w14:paraId="5171F64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pobocza  </w:t>
            </w:r>
          </w:p>
        </w:tc>
        <w:tc>
          <w:tcPr>
            <w:tcW w:w="32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020E7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6 </w:t>
            </w:r>
          </w:p>
        </w:tc>
      </w:tr>
      <w:tr w:rsidR="002326E7" w:rsidRPr="002326E7" w14:paraId="4762298F" w14:textId="77777777" w:rsidTr="00855929">
        <w:trPr>
          <w:trHeight w:val="980"/>
        </w:trPr>
        <w:tc>
          <w:tcPr>
            <w:tcW w:w="1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CB0AF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G, Z </w:t>
            </w:r>
          </w:p>
        </w:tc>
        <w:tc>
          <w:tcPr>
            <w:tcW w:w="41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6F7F3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Pasy ruchu zasadnicze, dodatkowe, włączenia i wyłączenia, postojowe, </w:t>
            </w:r>
          </w:p>
          <w:p w14:paraId="4071302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jezdnie łącznic, utwardzone </w:t>
            </w:r>
          </w:p>
          <w:p w14:paraId="5150748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pobocza </w:t>
            </w:r>
          </w:p>
        </w:tc>
        <w:tc>
          <w:tcPr>
            <w:tcW w:w="32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9403C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9 </w:t>
            </w:r>
          </w:p>
        </w:tc>
      </w:tr>
      <w:tr w:rsidR="002326E7" w:rsidRPr="002326E7" w14:paraId="46C554DF" w14:textId="77777777" w:rsidTr="00855929">
        <w:trPr>
          <w:trHeight w:val="669"/>
        </w:trPr>
        <w:tc>
          <w:tcPr>
            <w:tcW w:w="1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E1303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L, D, place, parkingi </w:t>
            </w:r>
          </w:p>
        </w:tc>
        <w:tc>
          <w:tcPr>
            <w:tcW w:w="41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044D1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Wszystkie pasy ruchu i powierzchnie przeznaczone do ruchu i postoju pojazdów </w:t>
            </w:r>
          </w:p>
        </w:tc>
        <w:tc>
          <w:tcPr>
            <w:tcW w:w="32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0EE07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rPr>
            </w:pPr>
            <w:r w:rsidRPr="002326E7">
              <w:rPr>
                <w:rFonts w:ascii="Arial Narrow" w:eastAsia="Times New Roman" w:hAnsi="Arial Narrow" w:cs="Times New Roman"/>
              </w:rPr>
              <w:t xml:space="preserve">12 </w:t>
            </w:r>
          </w:p>
        </w:tc>
      </w:tr>
    </w:tbl>
    <w:p w14:paraId="1B55D897"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4762C9B5"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t xml:space="preserve">Pomiar równości poprzecznej warstw nawierzchni z użyciem łaty i klina </w:t>
      </w:r>
    </w:p>
    <w:p w14:paraId="33E10F1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Pomiar równości poprzecznej warstw nawierzchni z użyciem łaty (o długości 2 m) i klina należy wykonywać jedynie w miejscach niedostępnych dla sprzętu pomiarowego takich jak: stanowiska postojowe, zatoki autobusowe itp. Pomiary równości poprzecznej z wykorzystaniem łaty i klina należy wykonywać z krokiem nie rzadziej niż co 5 m. W czasie pomiaru łata powinna leżeć prostopadle do osi drogi i w płaszczyźnie prostopadłej do powierzchni badanej warstwy. </w:t>
      </w:r>
    </w:p>
    <w:p w14:paraId="5C0C427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Klin należy podkładać pod łatę w miejscu, w którym prześwit jest największy (największe odchylenie równości). Wielkość prześwitu jest równa najmniejszej liczbie widocznej na klinie podłożonym pod łatę. Zasady oceny wyników podano w tabeli 12. </w:t>
      </w:r>
    </w:p>
    <w:p w14:paraId="5D5DAA29"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6.8.4. Spadki poprzeczne </w:t>
      </w:r>
    </w:p>
    <w:p w14:paraId="6D55E12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Sprawdzenie polega na przyłożeniu łaty i pomiar prześwitu klinem lub pomiar profilografem laserowym. Spadki poprzeczne warstwy wiążącej na odcinkach prostych i na łukach powinny być zgodne z spadkami poprzecznymi z tolerancją ± 0,5%.  </w:t>
      </w:r>
    </w:p>
    <w:p w14:paraId="12AC65F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Wymaga się, aby co najmniej 95% wykonanych pomiarów nie przekraczało przedziału dopuszczalnych odchyleń. Dla 100% wykonanych pomiarów spadki poprzeczne warstwy wiążącej na odcinkach prostych i na łukach powinny być zgodne z spadkami poprzecznymi z tolerancją ± 0,7%. Spadek poprzeczny musi być wystarczający do zapewnienia sprawnego spływu wody. </w:t>
      </w:r>
    </w:p>
    <w:p w14:paraId="7AD0C736"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6.8.5. Ukształtowanie osi w planie </w:t>
      </w:r>
    </w:p>
    <w:p w14:paraId="367766F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Nie dotyczy.</w:t>
      </w:r>
    </w:p>
    <w:p w14:paraId="1DB4FD00"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6.8.6. Rzędne wysokościowe nawierzchni </w:t>
      </w:r>
    </w:p>
    <w:p w14:paraId="435AAD7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Rzędne wysokościowe warstwy wiążącej powinny być mierzone w przekrojach co 10m w osi i na krawędziach każdej jezdni. Przed przystąpieniem do robót Wykonawca przedstawi schemat punktów pomiarowych do akceptacji. </w:t>
      </w:r>
    </w:p>
    <w:p w14:paraId="08BE48A4"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6.8.7. Złącza podłużne i poprzeczne </w:t>
      </w:r>
    </w:p>
    <w:p w14:paraId="06F55FD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Złącza w nawierzchni powinny być wykonane w linii prostej, prostopadle do osi drogi.  </w:t>
      </w:r>
    </w:p>
    <w:p w14:paraId="0E6AB804"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konstrukcji wielowarstwowej: </w:t>
      </w:r>
    </w:p>
    <w:p w14:paraId="2F221D10"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złącza poprzeczne powinny być przesunięte względem siebie co najmniej o 3 m, </w:t>
      </w:r>
    </w:p>
    <w:p w14:paraId="4AC1BDB6"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złącza podłużne powinny być przesunięte względem siebie w kolejnych warstwach technologicznych o co najmniej o 30 cm w kierunku poprzecznym do osi jezdni.  </w:t>
      </w:r>
    </w:p>
    <w:p w14:paraId="0597D33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Nie można lokalizować złącza podłużnego w śladach kół. Złącza powinny być całkowicie związane, a przylegające warstwy powinny być w jednym poziomie. </w:t>
      </w:r>
    </w:p>
    <w:p w14:paraId="2C8EFEF6"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6.8.8. Wygląd warstwy </w:t>
      </w:r>
    </w:p>
    <w:p w14:paraId="04D7E143"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Wygląd warstwy z MMA powinien być jednorodny, bez miejsc „przeasfaltowanych”, porowatych, łuszczących się i spękanych.  </w:t>
      </w:r>
    </w:p>
    <w:p w14:paraId="68E97C2A" w14:textId="77777777" w:rsidR="002326E7" w:rsidRPr="002326E7" w:rsidRDefault="002326E7" w:rsidP="002326E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2326E7">
        <w:rPr>
          <w:rFonts w:ascii="Arial Narrow" w:eastAsia="Times New Roman" w:hAnsi="Arial Narrow" w:cs="Times New Roman"/>
          <w:b/>
          <w:caps/>
          <w:kern w:val="28"/>
          <w:sz w:val="28"/>
          <w:szCs w:val="20"/>
          <w:lang w:val="x-none" w:eastAsia="x-none"/>
        </w:rPr>
        <w:t xml:space="preserve">7. OBMIAR ROBÓT </w:t>
      </w:r>
    </w:p>
    <w:p w14:paraId="604D3345"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7.1. Ogólne zasady obmiaru robót </w:t>
      </w:r>
    </w:p>
    <w:p w14:paraId="0CB4BA02"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Ogólne zasady obmiaru robót podano w D-M-00.00.00 „Wymagania ogólne”. </w:t>
      </w:r>
    </w:p>
    <w:p w14:paraId="0C508D56"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t xml:space="preserve">7.2. Jednostka obmiarowa </w:t>
      </w:r>
    </w:p>
    <w:p w14:paraId="094ACEF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Jednostką obmiarową jest m</w:t>
      </w:r>
      <w:r w:rsidRPr="002326E7">
        <w:rPr>
          <w:rFonts w:ascii="Arial Narrow" w:eastAsia="Times New Roman" w:hAnsi="Arial Narrow" w:cs="Times New Roman"/>
          <w:sz w:val="20"/>
          <w:szCs w:val="20"/>
          <w:vertAlign w:val="superscript"/>
          <w:lang w:eastAsia="pl-PL"/>
        </w:rPr>
        <w:t>2</w:t>
      </w:r>
      <w:r w:rsidRPr="002326E7">
        <w:rPr>
          <w:rFonts w:ascii="Arial Narrow" w:eastAsia="Times New Roman" w:hAnsi="Arial Narrow" w:cs="Times New Roman"/>
          <w:sz w:val="20"/>
          <w:szCs w:val="20"/>
          <w:lang w:eastAsia="pl-PL"/>
        </w:rPr>
        <w:t xml:space="preserve"> (metr kwadratowy) wykonanej warstwy wiążącej z betonu asfaltowego (AC W). </w:t>
      </w:r>
    </w:p>
    <w:p w14:paraId="15F2D8D0"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lastRenderedPageBreak/>
        <w:t xml:space="preserve">8. ODBIÓR ROBÓT </w:t>
      </w:r>
    </w:p>
    <w:p w14:paraId="2074597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Ogólne zasady odbioru robót podano w D-M-00.00.00 „Wymagania ogólne”. Roboty uznaje się za wykonane zgodnie z Dokumentacją Projektową i STWiORB, jeżeli wszystkie badania i pomiary z zachowaniem tolerancji wg pkt. 6 niniejszej STWiORB dały wyniki pozytywne.  </w:t>
      </w:r>
    </w:p>
    <w:p w14:paraId="2A97E82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 odbioru ostatecznego uwzględniane są wyniki badań i pomiarów kontrolnych, badań i pomiarów kontrolnych dodatkowych oraz badań i pomiarów arbitrażowych do wyznaczonych odcinków częściowych. </w:t>
      </w:r>
    </w:p>
    <w:p w14:paraId="20B2823B"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8.1. Zasady postępowania z wadliwie wykonanymi robotami </w:t>
      </w:r>
    </w:p>
    <w:p w14:paraId="7B3AC54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Jeżeli wystąpią wyniki negatywne dla materiałów i robót (nie spełniające wymagań określonych w STWiORB i opracowanych na ich podstawie STWiORB), to Inżynier/Inspektor Nadzoru/Zamawiający wydaje Wykonawcy polecenie przedstawienia programu naprawczego, chyba że na wniosek jednej ze stron kontraktu zostaną wykonane badania lub pomiary arbitrażowe (zgodnie z pkt. 6.5 niniejszego STWiORB), a ich wyniki będą pozytywne. Wykonawca w programie tym jest zobowiązany dokonać oceny wpływu na trwałość konstrukcji nawierzchni, przedstawić sposób naprawienia wady lub wnioskować o zredukowanie ceny kontraktowej – naliczenie potrąceń według zasad określonych w Instrukcji DP-T14 Ocena Jakości na Drogach Krajowych. Część I Roboty Drogowe. </w:t>
      </w:r>
    </w:p>
    <w:p w14:paraId="18AF4FA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Na </w:t>
      </w:r>
      <w:r w:rsidRPr="002326E7">
        <w:rPr>
          <w:rFonts w:ascii="Arial Narrow" w:eastAsia="Times New Roman" w:hAnsi="Arial Narrow" w:cs="Times New Roman"/>
          <w:sz w:val="20"/>
          <w:szCs w:val="20"/>
          <w:lang w:eastAsia="pl-PL"/>
        </w:rPr>
        <w:tab/>
        <w:t xml:space="preserve">zastosowanie </w:t>
      </w:r>
      <w:r w:rsidRPr="002326E7">
        <w:rPr>
          <w:rFonts w:ascii="Arial Narrow" w:eastAsia="Times New Roman" w:hAnsi="Arial Narrow" w:cs="Times New Roman"/>
          <w:sz w:val="20"/>
          <w:szCs w:val="20"/>
          <w:lang w:eastAsia="pl-PL"/>
        </w:rPr>
        <w:tab/>
        <w:t xml:space="preserve">programu </w:t>
      </w:r>
      <w:r w:rsidRPr="002326E7">
        <w:rPr>
          <w:rFonts w:ascii="Arial Narrow" w:eastAsia="Times New Roman" w:hAnsi="Arial Narrow" w:cs="Times New Roman"/>
          <w:sz w:val="20"/>
          <w:szCs w:val="20"/>
          <w:lang w:eastAsia="pl-PL"/>
        </w:rPr>
        <w:tab/>
        <w:t xml:space="preserve">naprawczego </w:t>
      </w:r>
      <w:r w:rsidRPr="002326E7">
        <w:rPr>
          <w:rFonts w:ascii="Arial Narrow" w:eastAsia="Times New Roman" w:hAnsi="Arial Narrow" w:cs="Times New Roman"/>
          <w:sz w:val="20"/>
          <w:szCs w:val="20"/>
          <w:lang w:eastAsia="pl-PL"/>
        </w:rPr>
        <w:tab/>
        <w:t xml:space="preserve">wyraża </w:t>
      </w:r>
      <w:r w:rsidRPr="002326E7">
        <w:rPr>
          <w:rFonts w:ascii="Arial Narrow" w:eastAsia="Times New Roman" w:hAnsi="Arial Narrow" w:cs="Times New Roman"/>
          <w:sz w:val="20"/>
          <w:szCs w:val="20"/>
          <w:lang w:eastAsia="pl-PL"/>
        </w:rPr>
        <w:tab/>
        <w:t xml:space="preserve">zgodę </w:t>
      </w:r>
      <w:r w:rsidRPr="002326E7">
        <w:rPr>
          <w:rFonts w:ascii="Arial Narrow" w:eastAsia="Times New Roman" w:hAnsi="Arial Narrow" w:cs="Times New Roman"/>
          <w:sz w:val="20"/>
          <w:szCs w:val="20"/>
          <w:lang w:eastAsia="pl-PL"/>
        </w:rPr>
        <w:tab/>
        <w:t xml:space="preserve">Inżynier/Inspektor Nadzoru/Zamawiający.  </w:t>
      </w:r>
    </w:p>
    <w:p w14:paraId="18903E5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braku zgody Inżyniera/Inspektora Nadzoru/Zamawiającego na zastosowanie programu naprawczego wszystkie materiały i roboty nie spełniające wymagań podanych w odpowiednich punktach STWiORB zostaną odrzucone. Wykonawca wymieni materiały na właściwe i wykona prawidłowo roboty na własny koszt. </w:t>
      </w:r>
    </w:p>
    <w:p w14:paraId="70B48D0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Jeżeli wymiana materiałów niespełniających wymagań lub wadliwie wykonane roboty spowodowują szkodę w innych, prawidłowo wykonanych robotach, to również te roboty powinny być ponownie wykonane przez Wykonawcę na jego koszt. </w:t>
      </w:r>
    </w:p>
    <w:p w14:paraId="59936EA8" w14:textId="77777777" w:rsidR="002326E7" w:rsidRPr="002326E7" w:rsidRDefault="002326E7" w:rsidP="002326E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2326E7">
        <w:rPr>
          <w:rFonts w:ascii="Arial Narrow" w:eastAsia="Times New Roman" w:hAnsi="Arial Narrow" w:cs="Times New Roman"/>
          <w:b/>
          <w:caps/>
          <w:kern w:val="28"/>
          <w:sz w:val="28"/>
          <w:szCs w:val="20"/>
          <w:lang w:val="x-none" w:eastAsia="x-none"/>
        </w:rPr>
        <w:t xml:space="preserve">9. PODSTAWA PŁATNOŚCI </w:t>
      </w:r>
    </w:p>
    <w:p w14:paraId="0808FB86"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9.1. Ogólne ustalenia dotyczące podstawy płatności </w:t>
      </w:r>
    </w:p>
    <w:p w14:paraId="5BA60B0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Ogólne ustalenia dotyczące podstawy płatności podano w D-M-00.00.00 „Wymagania ogólne”. </w:t>
      </w:r>
    </w:p>
    <w:p w14:paraId="0C0148EF"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9.2. Cena jednostki obmiarowej </w:t>
      </w:r>
    </w:p>
    <w:p w14:paraId="2857C04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Cena wykonania 1 m</w:t>
      </w:r>
      <w:r w:rsidRPr="002326E7">
        <w:rPr>
          <w:rFonts w:ascii="Arial Narrow" w:eastAsia="Times New Roman" w:hAnsi="Arial Narrow" w:cs="Times New Roman"/>
          <w:sz w:val="20"/>
          <w:szCs w:val="20"/>
          <w:vertAlign w:val="superscript"/>
          <w:lang w:eastAsia="pl-PL"/>
        </w:rPr>
        <w:t>2</w:t>
      </w:r>
      <w:r w:rsidRPr="002326E7">
        <w:rPr>
          <w:rFonts w:ascii="Arial Narrow" w:eastAsia="Times New Roman" w:hAnsi="Arial Narrow" w:cs="Times New Roman"/>
          <w:sz w:val="20"/>
          <w:szCs w:val="20"/>
          <w:lang w:eastAsia="pl-PL"/>
        </w:rPr>
        <w:t xml:space="preserve"> warstwy wiążącej z betonu asfaltowego (AC W) obejmuje: </w:t>
      </w:r>
    </w:p>
    <w:p w14:paraId="4979551D"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prace pomiarowe i roboty przygotowawcze,  </w:t>
      </w:r>
    </w:p>
    <w:p w14:paraId="4EC31F23"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oznakowanie robót, </w:t>
      </w:r>
    </w:p>
    <w:p w14:paraId="2E8E673E"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dostarczenie materiałów i sprzętu, </w:t>
      </w:r>
    </w:p>
    <w:p w14:paraId="281B9416"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opracowanie recepty laboratoryjnej, </w:t>
      </w:r>
    </w:p>
    <w:p w14:paraId="450CCC4F"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wykonanie próby technologicznej i odcinka próbnego, </w:t>
      </w:r>
    </w:p>
    <w:p w14:paraId="1706D502"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wyprodukowanie mieszanki betonu asfaltowego i jej transport na miejsce wbudowania, </w:t>
      </w:r>
    </w:p>
    <w:p w14:paraId="7C266D30"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posmarowanie lepiszczem lub pokrycie taśmą asfaltową krawędzi urządzeń obcych i krawężników, </w:t>
      </w:r>
    </w:p>
    <w:p w14:paraId="6937C4DE"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rozłożenie i zagęszczenie mieszanki betonu asfaltowego, </w:t>
      </w:r>
    </w:p>
    <w:p w14:paraId="1B88715C"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uformowanie złączy, zagruntowanie środkiem gruntującym i przymocowanie taśm bitumicznych, </w:t>
      </w:r>
    </w:p>
    <w:p w14:paraId="5C71A1CC"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posmarowanie krawędzi bocznych asfaltem, </w:t>
      </w:r>
    </w:p>
    <w:p w14:paraId="0E5904FA"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przeprowadzenie pomiarów i badań  wymaganych w specyfikacji technicznej, </w:t>
      </w:r>
    </w:p>
    <w:p w14:paraId="08209396"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odwiezienie sprzętu, </w:t>
      </w:r>
    </w:p>
    <w:p w14:paraId="64CA8DC6"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wszelkie inne czynności związane z prawidłowym wykonaniem warstwy zgodnie z wymaganiami niniejszych STWiORB. </w:t>
      </w:r>
    </w:p>
    <w:p w14:paraId="49ADCC2E"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9.3. Sposób rozliczenia robót tymczasowych i prac towarzyszących </w:t>
      </w:r>
    </w:p>
    <w:p w14:paraId="2B7EE617"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r w:rsidRPr="002326E7">
        <w:rPr>
          <w:rFonts w:ascii="Arial Narrow" w:eastAsia="Times New Roman" w:hAnsi="Arial Narrow" w:cs="Times New Roman"/>
          <w:sz w:val="20"/>
          <w:szCs w:val="20"/>
          <w:lang w:eastAsia="pl-PL"/>
        </w:rPr>
        <w:tab/>
        <w:t xml:space="preserve">Cena wykonania robót określonych niniejszymi STWiORB obejmuje: </w:t>
      </w:r>
    </w:p>
    <w:p w14:paraId="3E4DD0FB"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roboty tymczasowe, które są potrzebne do wykonania robót podstawowych, ale nie są przekazywane Zamawiającemu i są usuwane po wykonaniu robót podstawowych, </w:t>
      </w:r>
    </w:p>
    <w:p w14:paraId="4A56F1BE"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prace towarzyszące, które są niezbędne do wykonania robót podstawowych, niezaliczane do robót tymczasowych, jak geodezyjne wytyczenie robót itd. </w:t>
      </w:r>
    </w:p>
    <w:p w14:paraId="0484E796" w14:textId="77777777" w:rsidR="002326E7" w:rsidRPr="002326E7" w:rsidRDefault="002326E7" w:rsidP="002326E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2326E7">
        <w:rPr>
          <w:rFonts w:ascii="Arial Narrow" w:eastAsia="Times New Roman" w:hAnsi="Arial Narrow" w:cs="Times New Roman"/>
          <w:b/>
          <w:caps/>
          <w:kern w:val="28"/>
          <w:sz w:val="28"/>
          <w:szCs w:val="20"/>
          <w:lang w:val="x-none" w:eastAsia="x-none"/>
        </w:rPr>
        <w:t xml:space="preserve">10. PRZEPISY ZWIĄZANE </w:t>
      </w:r>
    </w:p>
    <w:p w14:paraId="79B505A2"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10.1. </w:t>
      </w:r>
      <w:r w:rsidRPr="002326E7">
        <w:rPr>
          <w:rFonts w:ascii="Arial Narrow" w:eastAsia="Times New Roman" w:hAnsi="Arial Narrow" w:cs="Times New Roman"/>
          <w:b/>
          <w:sz w:val="28"/>
          <w:szCs w:val="20"/>
          <w:lang w:val="x-none" w:eastAsia="x-none"/>
        </w:rPr>
        <w:tab/>
        <w:t xml:space="preserve">Normy </w:t>
      </w:r>
    </w:p>
    <w:p w14:paraId="30A61522" w14:textId="77777777" w:rsidR="002326E7" w:rsidRPr="002326E7" w:rsidRDefault="002326E7" w:rsidP="002326E7">
      <w:pPr>
        <w:numPr>
          <w:ilvl w:val="0"/>
          <w:numId w:val="5"/>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12591 Asfalty i produkty asfaltowe - Wymagania dla asfaltów drogowych </w:t>
      </w:r>
    </w:p>
    <w:p w14:paraId="6E8587CD"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12597 Asfalty i produkty asfaltowe - Terminologia </w:t>
      </w:r>
    </w:p>
    <w:p w14:paraId="13B7A422"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13808 Asfalty i lepiszcza asfaltowe - Zasady klasyfikacji kationowych emulsji asfaltowych </w:t>
      </w:r>
    </w:p>
    <w:p w14:paraId="07206C1F"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14023 Asfalty i lepiszcza asfaltowe - Zasady klasyfikacji asfaltów modyfikowanych polimerami </w:t>
      </w:r>
    </w:p>
    <w:p w14:paraId="01E0847B"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13924-2 Asfalty i lepiszcza asfaltowe - Zasady klasyfikacji asfaltów drogowych specjalnych - Część 2: Asfalty drogowe wielorodzajowe </w:t>
      </w:r>
    </w:p>
    <w:p w14:paraId="1D472466"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13043 Kruszywa do mieszanek bitumicznych i powierzchniowych utrwaleń stosowanych na drogach, lotniskach i innych powierzchniach przeznaczonych do ruchu </w:t>
      </w:r>
    </w:p>
    <w:p w14:paraId="4D4C1BFF"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932-3 Badania podstawowych właściwości kruszyw – Procedura i terminologia uproszczonego opisu petrograficznego </w:t>
      </w:r>
    </w:p>
    <w:p w14:paraId="7BDAE64A"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932-5 Badania podstawowych właściwości kruszyw – Część 5: Wyposażenie podstawowe i wzorcowanie </w:t>
      </w:r>
    </w:p>
    <w:p w14:paraId="17C1B13A"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933-1 Badania geometrycznych właściwości kruszyw – Oznaczanie składu ziarnowego. Metoda przesiewania </w:t>
      </w:r>
    </w:p>
    <w:p w14:paraId="7CB8B9C9"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933-3 Badania geometrycznych właściwości kruszyw – Oznaczanie kształtu ziaren za pomocą wskaźnika płaskości </w:t>
      </w:r>
    </w:p>
    <w:p w14:paraId="55BC4B4E"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933-4 Badania geometrycznych właściwości kruszyw – Część 4: Oznaczanie kształtu ziaren – Wskaźnik kształtu </w:t>
      </w:r>
    </w:p>
    <w:p w14:paraId="33A1CFC5"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lastRenderedPageBreak/>
        <w:t xml:space="preserve">PN-EN 933-5 Badania geometrycznych właściwości kruszyw – Oznaczanie procentowej zawartości ziaren o powierzchniach powstałych w wyniku przekruszenia lub łamania kruszyw grubych </w:t>
      </w:r>
    </w:p>
    <w:p w14:paraId="61AC89A3"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933-6 Badania geometrycznych właściwości kruszyw – Część 6: Ocena właściwości powierzchni – Wskaźnik przepływu kruszywa </w:t>
      </w:r>
    </w:p>
    <w:p w14:paraId="33292096"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933-9 Badania geometrycznych właściwości kruszyw – Ocena zawartości drobnych cząstek – Badania błękitem metylenowym </w:t>
      </w:r>
    </w:p>
    <w:p w14:paraId="4BD3E352"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933-10 Badania geometrycznych właściwości kruszyw – Część 10: Ocena zawartość drobnych cząstek – Uziarnienie wypełniaczy (przesiewanie w strumieniu powietrza) </w:t>
      </w:r>
    </w:p>
    <w:p w14:paraId="1AC4AFE9"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1097-2 Badania mechanicznych i fizycznych właściwości kruszyw – Metody oznaczania odporności na rozdrabianie </w:t>
      </w:r>
    </w:p>
    <w:p w14:paraId="069D3F6F"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1097-3 Badania mechanicznych i fizycznych właściwości kruszyw – Oznaczanie gęstości nasypowej i jamistości </w:t>
      </w:r>
    </w:p>
    <w:p w14:paraId="59974B3B"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1097-4 Badania mechanicznych i fizycznych właściwości kruszyw – Część 4: </w:t>
      </w:r>
    </w:p>
    <w:p w14:paraId="1C2E0255"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Oznaczanie pustych przestrzeni suchego, zagęszczonego wypełniacza </w:t>
      </w:r>
    </w:p>
    <w:p w14:paraId="2C1C3FEF"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EN 1097-5 Badania mechanicznych i fizycznych właściwości kruszyw – Część 5: Oznaczanie zawartości wody przez suszenie w suszarce z wentylacją </w:t>
      </w:r>
    </w:p>
    <w:p w14:paraId="52CD917C"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1097-6 Badania mechanicznych i fizycznych właściwości kruszyw – Część 6: </w:t>
      </w:r>
    </w:p>
    <w:p w14:paraId="33531DD6"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12697-1 Mieszanki mineralno-asfaltowe - Metody badań mieszanek mineralnoasfaltowych na gorąco – Część 1: Zawartość lepiszcza rozpuszczalnego </w:t>
      </w:r>
    </w:p>
    <w:p w14:paraId="16AC61C7"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12697-2 Mieszanki mineralno-asfaltowe - Metody badań mieszanek mineralnoasfaltowych na gorąco – Część 2: Oznaczanie składu ziarnowego </w:t>
      </w:r>
    </w:p>
    <w:p w14:paraId="6E2FCA42"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12697-3 Mieszanki mineralno-asfaltowe - Metody badań mieszanek mineralnoasfaltowych na gorąco – Część 3: Odzyskiwanie asfaltu - Wyparka obrotowa </w:t>
      </w:r>
    </w:p>
    <w:p w14:paraId="3A6F444E"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12697-4 Mieszanki mineralno-asfaltowe - Metody badań mieszanek mineralnoasfaltowych na gorąco – Część 4: Odzyskiwanie asfaltu - Kolumna do destylacji frakcyjnej </w:t>
      </w:r>
    </w:p>
    <w:p w14:paraId="599C47C4"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12697-5 Mieszanki mineralno-asfaltowe - Metody badań mieszanek mineralnoasfaltowych na gorąco – Część 5: Oznaczanie gęstości </w:t>
      </w:r>
    </w:p>
    <w:p w14:paraId="5B7A0577"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12697-6 Mieszanki mineralno-asfaltowe - Metody badań mieszanek mineralnoasfaltowych na gorąco – Część 6: Oznaczanie gęstości objętościowej metodą hydrostatyczną </w:t>
      </w:r>
    </w:p>
    <w:p w14:paraId="73308935"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12697-8 Mieszanki mineralno-asfaltowe - Metody badań mieszanek mineralnoasfaltowych na gorąco – Część 8: Oznaczanie zawartości wolnej przestrzeni </w:t>
      </w:r>
    </w:p>
    <w:p w14:paraId="280CB46F"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12697-10 Mieszanki mineralno-asfaltowe - Metody badań mieszanek mineralno-asfaltowych na gorąco – Część 10: Zagęszczalność </w:t>
      </w:r>
    </w:p>
    <w:p w14:paraId="0A72DBAC"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12697-11 Mieszanki mineralno-asfaltowe - Metody badań mieszanek mineralno-asfaltowych na gorąco – Część 11: Określenie powiązania pomiędzy kruszywem i asfaltem </w:t>
      </w:r>
    </w:p>
    <w:p w14:paraId="736204B0"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12697-12 Mieszanki mineralno-asfaltowe - Metody badania mieszanek mineralno-asfaltowych na gorąco – Część 12: Określanie wrażliwości na wodę </w:t>
      </w:r>
    </w:p>
    <w:p w14:paraId="125ABE6A"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12697-17 Mieszanki mineralno-asfaltowe - Metody badań mieszanek mineralno-asfaltowych na gorąco – Część 17: Ubytek ziaren </w:t>
      </w:r>
    </w:p>
    <w:p w14:paraId="3E47A054"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12697-18 Mieszanki mineralno-asfaltowe - Metody badań mieszanek mineralno-asfaltowych na gorąco – Część 18: Spływanie lepiszcza </w:t>
      </w:r>
    </w:p>
    <w:p w14:paraId="5CDE9CB7"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12697-20 Mieszanki mineralno-asfaltowe - Metody badań mieszanek mineralno-asfaltowych na gorąco – Część 20: Penetracja próbek sześciennych lub Marshalla </w:t>
      </w:r>
    </w:p>
    <w:p w14:paraId="632F0F64"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12697-22 Mieszanki mineralno-asfaltowe - Metody badań mieszanek mineralno-asfaltowych na gorąco – Część 22: Koleinowanie </w:t>
      </w:r>
    </w:p>
    <w:p w14:paraId="1F6E5349"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12697-23 Mieszanki mineralno-asfaltowe - Metody badania mieszanek mineralno-asfaltowych na gorąco – Część 23: Określanie pośredniej wytrzymałości na rozciąganie próbek asfaltowych </w:t>
      </w:r>
    </w:p>
    <w:p w14:paraId="667DD6D5"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12697-24 Mieszanki mineralno-asfaltowe - Metody badań mieszanek mineralno-asfaltowych na gorąco – Część 24: Odporność na zmęczenie </w:t>
      </w:r>
    </w:p>
    <w:p w14:paraId="04A795E1"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EN 12697-25 Mieszanki mineralno-asfaltowe - Metody badań mieszanek mineralno-asfaltowych na gorąco – Część 25: Penetracja dynamiczna  </w:t>
      </w:r>
    </w:p>
    <w:p w14:paraId="2C2D8CD1"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12697-26 Mieszanki mineralno-asfaltowe - Metody badań mieszanek mineralno-asfaltowych na gorąco – Część 26: Sztywność </w:t>
      </w:r>
    </w:p>
    <w:p w14:paraId="6A7FEA9E"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12697-27 Mieszanki mineralno-asfaltowe - Metody badań mieszanek mineralno-asfaltowych na gorąco – Część 27: Pobieranie próbek </w:t>
      </w:r>
    </w:p>
    <w:p w14:paraId="48588E2F"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12697-28 Mieszanki mineralno-asfaltowe - Metody badań mieszanek mineralno-asfaltowych na gorąco – Część 28: Przygotowanie próbek do oznaczania zawartości lepiszcza, zawartości wody i uziarnienia </w:t>
      </w:r>
    </w:p>
    <w:p w14:paraId="0853724D"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12697-29 Mieszanki mineralno-asfaltowe - Metoda badania mieszanek mineralno-asfaltowych na gorąco – Część 29: Pomiar próbki z zagęszczonej mieszanki mineralno-asfaltowej </w:t>
      </w:r>
    </w:p>
    <w:p w14:paraId="0454A38E"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12697-30 Mieszanki mineralno-asfaltowe - Metody badań mieszanek mineralno-asfaltowych na gorąco – Część 30: Przygotowanie próbek zagęszczonych przez ubijanie </w:t>
      </w:r>
    </w:p>
    <w:p w14:paraId="3E133F2D"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12697-31 Mieszanki mineralno-asfaltowe - Metody badań mieszanek mineralno-asfaltowych na gorąco – Część 31: Próbki przygotowane w prasie żyratorowej </w:t>
      </w:r>
    </w:p>
    <w:p w14:paraId="036B6ADB"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12697-33 Mieszanki mineralno-asfaltowe - Metody badań mieszanek mineralno-asfaltowych na gorąco – Część 33: Przygotowanie próbek zagęszczanych walcem </w:t>
      </w:r>
    </w:p>
    <w:p w14:paraId="4AEF0E4D"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lastRenderedPageBreak/>
        <w:t xml:space="preserve">PN-EN 12697-35 Mieszanki mineralno-asfaltowe - Metody badań mieszanek mineralno-asfaltowych na gorąco – Część 35: Mieszanie laboratoryjne </w:t>
      </w:r>
    </w:p>
    <w:p w14:paraId="50048965"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12697-38 Mieszanki mineralno-asfaltowe - Metody badań mieszanek mineralno-asfaltowych na gorąco – Część 38: Podstawowe wyposażenie i kalibracja </w:t>
      </w:r>
    </w:p>
    <w:p w14:paraId="5917D755"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12697-40 Mieszanki mineralno-asfaltowe - Metody badań mieszanek mineralno-asfaltowych na gorąco – Część 40: Wodoprzepuszczalność „in-situ” </w:t>
      </w:r>
    </w:p>
    <w:p w14:paraId="02ACCA73"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12697-42 Mieszanki mineralno-asfaltowe - Metody badań mieszanek mineralno-asfaltowych na gorąco – Część 42: Zawartość zanieczyszczeń w destrukcie asfaltowym </w:t>
      </w:r>
    </w:p>
    <w:p w14:paraId="39DF46D7"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14188-1 Wypełniacze szczelin i zalewy drogowe - Część 1: Wymagania wobec zalew drogowych na gorąco </w:t>
      </w:r>
    </w:p>
    <w:p w14:paraId="45AD6E44"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12272-1 Powierzchniowe utrwalanie - Metody badań - Część 1: Dozowanie i poprzeczny rozkład lepiszcza i kruszywa </w:t>
      </w:r>
    </w:p>
    <w:p w14:paraId="296BEE1D"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13108-1 Mieszanki mineralno-asfaltowe - Wymagania - Część 1: Beton asfaltowy </w:t>
      </w:r>
    </w:p>
    <w:p w14:paraId="2C9A85FC"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13108-8 Mieszanki mineralno-asfaltowe - Wymagania - Część 8: Destrukt asfaltowy </w:t>
      </w:r>
    </w:p>
    <w:p w14:paraId="3F12D7E8"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13108-20 Mieszanki mineralno-asfaltowe - Wymagania - Część 20: Badanie typu </w:t>
      </w:r>
    </w:p>
    <w:p w14:paraId="50F1C46F"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EN 13108-21 Mieszanki mineralno-asfaltowe - Wymagania - Część 21: Zakładowa Kontrola Produkcji </w:t>
      </w:r>
    </w:p>
    <w:p w14:paraId="6609B867"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 xml:space="preserve">10.2. </w:t>
      </w:r>
      <w:r w:rsidRPr="002326E7">
        <w:rPr>
          <w:rFonts w:ascii="Arial Narrow" w:eastAsia="Times New Roman" w:hAnsi="Arial Narrow" w:cs="Times New Roman"/>
          <w:b/>
          <w:sz w:val="28"/>
          <w:szCs w:val="20"/>
          <w:lang w:val="x-none" w:eastAsia="x-none"/>
        </w:rPr>
        <w:tab/>
        <w:t xml:space="preserve">Inne dokumenty </w:t>
      </w:r>
    </w:p>
    <w:p w14:paraId="1DF43EB5" w14:textId="77777777" w:rsidR="002326E7" w:rsidRPr="002326E7" w:rsidRDefault="002326E7" w:rsidP="002326E7">
      <w:pPr>
        <w:numPr>
          <w:ilvl w:val="0"/>
          <w:numId w:val="5"/>
        </w:numPr>
        <w:overflowPunct w:val="0"/>
        <w:autoSpaceDE w:val="0"/>
        <w:autoSpaceDN w:val="0"/>
        <w:adjustRightInd w:val="0"/>
        <w:spacing w:after="0" w:line="240" w:lineRule="auto"/>
        <w:ind w:left="644"/>
        <w:jc w:val="both"/>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Rozporządzenie Ministra Transportu i Gospodarki Morskiej z dnia 2 marca 1999 r. w sprawie warunków technicznych, jakim powinny odpowiadać drogi publiczne i ich usytuowanie (Dz. U. z 2016 r. poz. 124, z późn. zm.) </w:t>
      </w:r>
    </w:p>
    <w:p w14:paraId="3E165FD3"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WT-1  2014 Kruszywa do nawierzchni drogowych i powierzchniowych utrwaleń na drogach krajowych  </w:t>
      </w:r>
    </w:p>
    <w:p w14:paraId="7B66F2B9"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WT-2 2014 – część I Mieszanki mineralno-asfaltowe. Wymagania Techniczne. Nawierzchnie asfaltowe na drogach krajowych.  </w:t>
      </w:r>
    </w:p>
    <w:p w14:paraId="377A9194"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WT-2  2016 – część II Wykonanie warstw nawierzchni asfaltowych. Wymagania techniczne. </w:t>
      </w:r>
    </w:p>
    <w:p w14:paraId="742FA3AB"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Instrukcja laboratoryjnego badania sczepności międzywarstwowej warstw asfaltowych wg. metody Leutnera i wymagania techniczne sczepności” Politechnika Gdańska 2014. </w:t>
      </w:r>
    </w:p>
    <w:p w14:paraId="62A6CD35"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Instrukcja DP-T14 Ocena jakości na drogach krajowych. Część I-Roboty drogowe. 2017. </w:t>
      </w:r>
    </w:p>
    <w:p w14:paraId="341B4E49" w14:textId="77777777" w:rsidR="002326E7" w:rsidRPr="002326E7" w:rsidRDefault="002326E7" w:rsidP="002326E7">
      <w:pPr>
        <w:overflowPunct w:val="0"/>
        <w:autoSpaceDE w:val="0"/>
        <w:autoSpaceDN w:val="0"/>
        <w:adjustRightInd w:val="0"/>
        <w:spacing w:after="0" w:line="240" w:lineRule="auto"/>
        <w:ind w:left="1004" w:hanging="360"/>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Projekt RIB I/6 Wykorzystanie materiałów pochodzących z recyklingu. Zadanie 2. Recykling na gorąco. Załącznik nr 9.2.1, Załącznik nr 9.2.2, Załącznik nr 9.2.3 </w:t>
      </w:r>
    </w:p>
    <w:p w14:paraId="13A3668D" w14:textId="1F720424" w:rsidR="002326E7" w:rsidRDefault="002326E7"/>
    <w:p w14:paraId="74159DEF" w14:textId="7C58D740" w:rsidR="00E46BAA" w:rsidRDefault="00E46BAA"/>
    <w:p w14:paraId="7746B526" w14:textId="5099E900" w:rsidR="00E46BAA" w:rsidRDefault="00E46BAA"/>
    <w:p w14:paraId="3B8C8EA6" w14:textId="1A1EC896" w:rsidR="00E46BAA" w:rsidRDefault="00E46BAA"/>
    <w:p w14:paraId="2A01E016" w14:textId="500674D1" w:rsidR="00E46BAA" w:rsidRDefault="00E46BAA"/>
    <w:p w14:paraId="22BC58FC" w14:textId="2662735F" w:rsidR="00E46BAA" w:rsidRDefault="00E46BAA"/>
    <w:p w14:paraId="29F0C42D" w14:textId="29D49A3B" w:rsidR="00E46BAA" w:rsidRDefault="00E46BAA"/>
    <w:p w14:paraId="5C2D8F31" w14:textId="316E25A1" w:rsidR="00E46BAA" w:rsidRDefault="00E46BAA"/>
    <w:p w14:paraId="69A64DF4" w14:textId="43A824C2" w:rsidR="00E46BAA" w:rsidRDefault="00E46BAA"/>
    <w:p w14:paraId="2496F1A2" w14:textId="4C2619E0" w:rsidR="00E46BAA" w:rsidRDefault="00E46BAA"/>
    <w:p w14:paraId="6CBB71D3" w14:textId="3A204D8F" w:rsidR="00E46BAA" w:rsidRDefault="00E46BAA"/>
    <w:p w14:paraId="044C4969" w14:textId="580E56DD" w:rsidR="00E46BAA" w:rsidRDefault="00E46BAA"/>
    <w:p w14:paraId="3927390C" w14:textId="333A8222" w:rsidR="00E46BAA" w:rsidRDefault="00E46BAA"/>
    <w:p w14:paraId="669F2E49" w14:textId="468B263C" w:rsidR="00E46BAA" w:rsidRDefault="00E46BAA"/>
    <w:p w14:paraId="6346A808" w14:textId="0AD8D647" w:rsidR="00E46BAA" w:rsidRDefault="00E46BAA"/>
    <w:p w14:paraId="3BA10995" w14:textId="1A4EAE52" w:rsidR="00E46BAA" w:rsidRDefault="00E46BAA"/>
    <w:p w14:paraId="57823177" w14:textId="65A9D70F" w:rsidR="00E46BAA" w:rsidRDefault="00E46BAA"/>
    <w:p w14:paraId="3FAC545C" w14:textId="31F827D5" w:rsidR="00E46BAA" w:rsidRDefault="00E46BAA"/>
    <w:p w14:paraId="181CD70B" w14:textId="77777777" w:rsidR="00E46BAA" w:rsidRDefault="00E46BAA"/>
    <w:p w14:paraId="2134BF0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bookmarkStart w:id="748" w:name="_Toc58533543"/>
      <w:r w:rsidRPr="002326E7">
        <w:rPr>
          <w:rFonts w:ascii="Arial Narrow" w:eastAsia="Times New Roman" w:hAnsi="Arial Narrow" w:cs="Times New Roman"/>
          <w:b/>
          <w:sz w:val="28"/>
          <w:szCs w:val="20"/>
          <w:lang w:eastAsia="pl-PL"/>
        </w:rPr>
        <w:lastRenderedPageBreak/>
        <w:t>D – 05.03.13a NAWIERZCHNIA Z MIESZANKI GRYSOWO - MASTYKSOWEJ SMA</w:t>
      </w:r>
      <w:bookmarkEnd w:id="748"/>
    </w:p>
    <w:p w14:paraId="7F90B7B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Kod CPV: 45233000-9</w:t>
      </w:r>
    </w:p>
    <w:p w14:paraId="6DE501A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Roboty w zakresie konstruowania, fundamentowania oraz wykonywania nawierzchni autostrad, dróg</w:t>
      </w:r>
    </w:p>
    <w:p w14:paraId="057E6986" w14:textId="77777777" w:rsidR="002326E7" w:rsidRPr="002326E7" w:rsidRDefault="002326E7" w:rsidP="002326E7">
      <w:pPr>
        <w:spacing w:after="0" w:line="240" w:lineRule="auto"/>
        <w:ind w:firstLine="454"/>
        <w:jc w:val="center"/>
        <w:rPr>
          <w:rFonts w:ascii="Arial Narrow" w:eastAsia="Calibri" w:hAnsi="Arial Narrow" w:cs="Times New Roman"/>
        </w:rPr>
      </w:pPr>
    </w:p>
    <w:p w14:paraId="5DA2F027" w14:textId="77777777" w:rsidR="002326E7" w:rsidRPr="002326E7" w:rsidRDefault="002326E7" w:rsidP="002326E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2326E7">
        <w:rPr>
          <w:rFonts w:ascii="Arial Narrow" w:eastAsia="Times New Roman" w:hAnsi="Arial Narrow" w:cs="Times New Roman"/>
          <w:b/>
          <w:caps/>
          <w:kern w:val="28"/>
          <w:sz w:val="28"/>
          <w:szCs w:val="20"/>
          <w:lang w:eastAsia="x-none"/>
        </w:rPr>
        <w:t xml:space="preserve">1. </w:t>
      </w:r>
      <w:r w:rsidRPr="002326E7">
        <w:rPr>
          <w:rFonts w:ascii="Arial Narrow" w:eastAsia="Times New Roman" w:hAnsi="Arial Narrow" w:cs="Times New Roman"/>
          <w:b/>
          <w:caps/>
          <w:kern w:val="28"/>
          <w:sz w:val="28"/>
          <w:szCs w:val="20"/>
          <w:lang w:val="x-none" w:eastAsia="x-none"/>
        </w:rPr>
        <w:t>wstęp</w:t>
      </w:r>
    </w:p>
    <w:p w14:paraId="4EE3E408"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eastAsia="x-none"/>
        </w:rPr>
        <w:t xml:space="preserve">1.1 </w:t>
      </w:r>
      <w:r w:rsidRPr="002326E7">
        <w:rPr>
          <w:rFonts w:ascii="Arial Narrow" w:eastAsia="Times New Roman" w:hAnsi="Arial Narrow" w:cs="Times New Roman"/>
          <w:b/>
          <w:sz w:val="28"/>
          <w:szCs w:val="20"/>
          <w:lang w:val="x-none" w:eastAsia="x-none"/>
        </w:rPr>
        <w:t>Przedmiot STWiORB</w:t>
      </w:r>
    </w:p>
    <w:p w14:paraId="17AFD4E9" w14:textId="77777777" w:rsidR="002326E7" w:rsidRPr="002326E7" w:rsidRDefault="002326E7" w:rsidP="002326E7">
      <w:pPr>
        <w:spacing w:after="0" w:line="240" w:lineRule="auto"/>
        <w:ind w:firstLine="454"/>
        <w:jc w:val="both"/>
        <w:rPr>
          <w:rFonts w:ascii="Arial Narrow" w:eastAsia="Calibri" w:hAnsi="Arial Narrow" w:cs="Times New Roman"/>
          <w:sz w:val="20"/>
        </w:rPr>
      </w:pPr>
      <w:r w:rsidRPr="002326E7">
        <w:rPr>
          <w:rFonts w:ascii="Arial Narrow" w:eastAsia="Times New Roman" w:hAnsi="Arial Narrow" w:cs="Times New Roman"/>
          <w:sz w:val="20"/>
          <w:szCs w:val="20"/>
          <w:lang w:eastAsia="pl-PL"/>
        </w:rPr>
        <w:t>Przedmiotem niniejszej szczegółowej specyfikacji technicznej (SST) są wymagania dotyczące wykonania i odbioru robót związanych wykonywaniem warstwy z mieszanki grysowo – mastyksowej SMA</w:t>
      </w:r>
      <w:r w:rsidRPr="002326E7">
        <w:rPr>
          <w:rFonts w:ascii="Arial Narrow" w:eastAsia="Calibri" w:hAnsi="Arial Narrow" w:cs="Times New Roman"/>
          <w:sz w:val="20"/>
        </w:rPr>
        <w:t>.</w:t>
      </w:r>
    </w:p>
    <w:p w14:paraId="4F87A57E"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eastAsia="x-none"/>
        </w:rPr>
        <w:t xml:space="preserve">1.2 </w:t>
      </w:r>
      <w:r w:rsidRPr="002326E7">
        <w:rPr>
          <w:rFonts w:ascii="Arial Narrow" w:eastAsia="Times New Roman" w:hAnsi="Arial Narrow" w:cs="Times New Roman"/>
          <w:b/>
          <w:sz w:val="28"/>
          <w:szCs w:val="20"/>
          <w:lang w:val="x-none" w:eastAsia="x-none"/>
        </w:rPr>
        <w:t>Zakres stosowania STWiORB</w:t>
      </w:r>
    </w:p>
    <w:p w14:paraId="21E4AB1E" w14:textId="3E19A2A1" w:rsidR="002326E7" w:rsidRPr="002326E7" w:rsidRDefault="002326E7" w:rsidP="002326E7">
      <w:pPr>
        <w:tabs>
          <w:tab w:val="left" w:pos="-1440"/>
          <w:tab w:val="left" w:pos="-720"/>
          <w:tab w:val="left" w:pos="0"/>
        </w:tabs>
        <w:spacing w:after="0" w:line="240" w:lineRule="auto"/>
        <w:ind w:firstLine="454"/>
        <w:jc w:val="both"/>
        <w:rPr>
          <w:rFonts w:ascii="Arial Narrow" w:eastAsia="Calibri" w:hAnsi="Arial Narrow" w:cs="Arial"/>
          <w:spacing w:val="-3"/>
          <w:sz w:val="20"/>
        </w:rPr>
      </w:pPr>
      <w:r w:rsidRPr="002326E7">
        <w:rPr>
          <w:rFonts w:ascii="Arial Narrow" w:eastAsia="Calibri" w:hAnsi="Arial Narrow" w:cs="Arial"/>
          <w:sz w:val="20"/>
        </w:rPr>
        <w:t xml:space="preserve">Specyfikacje Techniczne Wykonania i Odbioru Robót Budowlanych </w:t>
      </w:r>
      <w:r w:rsidRPr="002326E7">
        <w:rPr>
          <w:rFonts w:ascii="Arial Narrow" w:eastAsia="Calibri" w:hAnsi="Arial Narrow" w:cs="Arial"/>
          <w:spacing w:val="-3"/>
          <w:sz w:val="20"/>
        </w:rPr>
        <w:t xml:space="preserve">stanowią Dokument Przetargowy i Kontraktowy przy zlecaniu i realizacji robót na drogach </w:t>
      </w:r>
    </w:p>
    <w:p w14:paraId="5C85574B" w14:textId="77777777" w:rsidR="002326E7" w:rsidRPr="002326E7" w:rsidRDefault="002326E7" w:rsidP="002326E7">
      <w:pPr>
        <w:tabs>
          <w:tab w:val="left" w:pos="-1440"/>
          <w:tab w:val="left" w:pos="-720"/>
          <w:tab w:val="left" w:pos="0"/>
        </w:tabs>
        <w:spacing w:after="0" w:line="240" w:lineRule="auto"/>
        <w:ind w:firstLine="454"/>
        <w:jc w:val="both"/>
        <w:rPr>
          <w:rFonts w:ascii="Arial Narrow" w:eastAsia="Calibri" w:hAnsi="Arial Narrow" w:cs="Arial"/>
          <w:spacing w:val="-3"/>
          <w:sz w:val="20"/>
        </w:rPr>
      </w:pPr>
    </w:p>
    <w:p w14:paraId="0272B756"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1.3. Zakres robót objętych STWiORB</w:t>
      </w:r>
    </w:p>
    <w:p w14:paraId="05EFFE9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sz w:val="20"/>
          <w:szCs w:val="20"/>
          <w:lang w:eastAsia="pl-PL"/>
        </w:rPr>
        <w:t>Ustalenia zawarte w niniejszej specyfikacji dotyczą zasad prowadzenia robót związanych z wykonaniem i odbiorem warstwy ścieralnej z mieszanki SMA, dostarczonej od producenta.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1539"/>
        <w:gridCol w:w="1399"/>
        <w:gridCol w:w="1680"/>
        <w:gridCol w:w="1478"/>
        <w:gridCol w:w="1238"/>
        <w:gridCol w:w="1238"/>
      </w:tblGrid>
      <w:tr w:rsidR="002326E7" w:rsidRPr="002326E7" w14:paraId="26547B1A" w14:textId="77777777" w:rsidTr="00855929">
        <w:tc>
          <w:tcPr>
            <w:tcW w:w="534" w:type="dxa"/>
            <w:shd w:val="clear" w:color="auto" w:fill="auto"/>
          </w:tcPr>
          <w:p w14:paraId="6307927F"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Lp</w:t>
            </w:r>
          </w:p>
        </w:tc>
        <w:tc>
          <w:tcPr>
            <w:tcW w:w="1539" w:type="dxa"/>
            <w:tcBorders>
              <w:bottom w:val="single" w:sz="4" w:space="0" w:color="auto"/>
            </w:tcBorders>
            <w:shd w:val="clear" w:color="auto" w:fill="auto"/>
          </w:tcPr>
          <w:p w14:paraId="348BEB38"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Typ mieszanki</w:t>
            </w:r>
          </w:p>
        </w:tc>
        <w:tc>
          <w:tcPr>
            <w:tcW w:w="1399" w:type="dxa"/>
            <w:tcBorders>
              <w:bottom w:val="single" w:sz="4" w:space="0" w:color="auto"/>
            </w:tcBorders>
            <w:shd w:val="clear" w:color="auto" w:fill="auto"/>
          </w:tcPr>
          <w:p w14:paraId="76CB8CC5"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asfalt</w:t>
            </w:r>
          </w:p>
        </w:tc>
        <w:tc>
          <w:tcPr>
            <w:tcW w:w="1680" w:type="dxa"/>
            <w:tcBorders>
              <w:bottom w:val="single" w:sz="4" w:space="0" w:color="auto"/>
            </w:tcBorders>
            <w:shd w:val="clear" w:color="auto" w:fill="auto"/>
          </w:tcPr>
          <w:p w14:paraId="79E46211"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polimeroasfakt</w:t>
            </w:r>
          </w:p>
        </w:tc>
        <w:tc>
          <w:tcPr>
            <w:tcW w:w="1478" w:type="dxa"/>
            <w:tcBorders>
              <w:bottom w:val="single" w:sz="4" w:space="0" w:color="auto"/>
            </w:tcBorders>
            <w:shd w:val="clear" w:color="auto" w:fill="auto"/>
          </w:tcPr>
          <w:p w14:paraId="499313CC"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grubość</w:t>
            </w:r>
          </w:p>
        </w:tc>
        <w:tc>
          <w:tcPr>
            <w:tcW w:w="1238" w:type="dxa"/>
            <w:tcBorders>
              <w:bottom w:val="single" w:sz="4" w:space="0" w:color="auto"/>
            </w:tcBorders>
            <w:shd w:val="clear" w:color="auto" w:fill="auto"/>
          </w:tcPr>
          <w:p w14:paraId="2A6B490F"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KR</w:t>
            </w:r>
          </w:p>
        </w:tc>
        <w:tc>
          <w:tcPr>
            <w:tcW w:w="1238" w:type="dxa"/>
            <w:tcBorders>
              <w:bottom w:val="single" w:sz="4" w:space="0" w:color="auto"/>
            </w:tcBorders>
            <w:shd w:val="clear" w:color="auto" w:fill="auto"/>
          </w:tcPr>
          <w:p w14:paraId="70DE9704"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Miejsce wbudowania</w:t>
            </w:r>
          </w:p>
        </w:tc>
      </w:tr>
      <w:tr w:rsidR="002326E7" w:rsidRPr="002326E7" w14:paraId="2C42C19E" w14:textId="77777777" w:rsidTr="00855929">
        <w:tc>
          <w:tcPr>
            <w:tcW w:w="534" w:type="dxa"/>
            <w:shd w:val="clear" w:color="auto" w:fill="auto"/>
          </w:tcPr>
          <w:p w14:paraId="120357A9"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1</w:t>
            </w:r>
          </w:p>
        </w:tc>
        <w:tc>
          <w:tcPr>
            <w:tcW w:w="1539" w:type="dxa"/>
            <w:shd w:val="clear" w:color="auto" w:fill="FFC000"/>
          </w:tcPr>
          <w:p w14:paraId="25469F40" w14:textId="18CB6A1C"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SMA 11</w:t>
            </w:r>
            <w:r w:rsidR="00F316EC">
              <w:rPr>
                <w:rFonts w:ascii="Arial Narrow" w:eastAsia="Times New Roman" w:hAnsi="Arial Narrow" w:cs="Times New Roman"/>
                <w:sz w:val="20"/>
                <w:szCs w:val="20"/>
                <w:lang w:eastAsia="pl-PL"/>
              </w:rPr>
              <w:t>S</w:t>
            </w:r>
          </w:p>
        </w:tc>
        <w:tc>
          <w:tcPr>
            <w:tcW w:w="1399" w:type="dxa"/>
            <w:shd w:val="clear" w:color="auto" w:fill="FFC000"/>
          </w:tcPr>
          <w:p w14:paraId="21581E36" w14:textId="2B92AED4" w:rsidR="002326E7" w:rsidRPr="002326E7" w:rsidRDefault="003C4044"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w:t>
            </w:r>
          </w:p>
        </w:tc>
        <w:tc>
          <w:tcPr>
            <w:tcW w:w="1680" w:type="dxa"/>
            <w:shd w:val="clear" w:color="auto" w:fill="FFC000"/>
          </w:tcPr>
          <w:p w14:paraId="4C8BCDCA" w14:textId="391977E7" w:rsidR="002326E7" w:rsidRPr="002326E7" w:rsidRDefault="003C4044"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PMB 45/80-55 lub PMB  45/80-65</w:t>
            </w:r>
          </w:p>
        </w:tc>
        <w:tc>
          <w:tcPr>
            <w:tcW w:w="1478" w:type="dxa"/>
            <w:shd w:val="clear" w:color="auto" w:fill="FFC000"/>
          </w:tcPr>
          <w:p w14:paraId="2A62A5DC" w14:textId="6E73561C" w:rsidR="002326E7" w:rsidRPr="002326E7" w:rsidRDefault="003C4044"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4</w:t>
            </w:r>
          </w:p>
        </w:tc>
        <w:tc>
          <w:tcPr>
            <w:tcW w:w="1238" w:type="dxa"/>
            <w:shd w:val="clear" w:color="auto" w:fill="FFC000"/>
          </w:tcPr>
          <w:p w14:paraId="2581BCD8" w14:textId="2C61C6F0" w:rsidR="002326E7" w:rsidRPr="002326E7" w:rsidRDefault="00F316EC"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1</w:t>
            </w:r>
          </w:p>
        </w:tc>
        <w:tc>
          <w:tcPr>
            <w:tcW w:w="1238" w:type="dxa"/>
            <w:shd w:val="clear" w:color="auto" w:fill="FFC000"/>
          </w:tcPr>
          <w:p w14:paraId="7D366EBA"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Jezdnia</w:t>
            </w:r>
          </w:p>
        </w:tc>
      </w:tr>
    </w:tbl>
    <w:p w14:paraId="4D20E2D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p>
    <w:p w14:paraId="01AC0DC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p>
    <w:p w14:paraId="40996ECC"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1.4. Określenia podstawowe</w:t>
      </w:r>
    </w:p>
    <w:p w14:paraId="593C6A57"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 xml:space="preserve">1.4.1. </w:t>
      </w:r>
      <w:r w:rsidRPr="002326E7">
        <w:rPr>
          <w:rFonts w:ascii="Arial Narrow" w:eastAsia="Times New Roman" w:hAnsi="Arial Narrow" w:cs="Arial"/>
          <w:sz w:val="20"/>
          <w:szCs w:val="20"/>
          <w:lang w:eastAsia="pl-PL"/>
        </w:rPr>
        <w:t>Nawierzchnia - konstrukcja składająca się z jednej lub kilku warstw, służących do przejmowania i rozkładania na podłoże obciążeń od ruchu pojazdów.</w:t>
      </w:r>
    </w:p>
    <w:p w14:paraId="7DC88177"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 xml:space="preserve">1.4.2. </w:t>
      </w:r>
      <w:r w:rsidRPr="002326E7">
        <w:rPr>
          <w:rFonts w:ascii="Arial Narrow" w:eastAsia="Times New Roman" w:hAnsi="Arial Narrow" w:cs="Arial"/>
          <w:sz w:val="20"/>
          <w:szCs w:val="20"/>
          <w:lang w:eastAsia="pl-PL"/>
        </w:rPr>
        <w:t>Warstwa ścieralna - jest to górna warstwa nawierzchni będąca w bezpośrednim kontakcie z kołami pojazdów.</w:t>
      </w:r>
    </w:p>
    <w:p w14:paraId="101BA7B9"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1.4.3.</w:t>
      </w:r>
      <w:r w:rsidRPr="002326E7">
        <w:rPr>
          <w:rFonts w:ascii="Arial Narrow" w:eastAsia="Times New Roman" w:hAnsi="Arial Narrow" w:cs="Arial"/>
          <w:sz w:val="20"/>
          <w:szCs w:val="20"/>
          <w:lang w:eastAsia="pl-PL"/>
        </w:rPr>
        <w:t xml:space="preserve"> Mieszanka mineralno-asfaltowa - jest to mieszanka mineralna odpowiednią ilością asfaltu, wykonana na gorąco, w określony sposób, spełniająca określone wymagania.</w:t>
      </w:r>
    </w:p>
    <w:p w14:paraId="0FFE107E"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1.4.4.</w:t>
      </w:r>
      <w:r w:rsidRPr="002326E7">
        <w:rPr>
          <w:rFonts w:ascii="Arial Narrow" w:eastAsia="Times New Roman" w:hAnsi="Arial Narrow" w:cs="Arial"/>
          <w:sz w:val="20"/>
          <w:szCs w:val="20"/>
          <w:lang w:eastAsia="pl-PL"/>
        </w:rPr>
        <w:t>Mieszanka SMA (mastyksowo-grysowa) - jest to mieszanka mineralno-asfaltowa składająca się z grubego łamanego kruszywa o nieciągłym uziarnieniu, związanego zaprawą mastyksową.</w:t>
      </w:r>
    </w:p>
    <w:p w14:paraId="20CB72AA"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1.4.5.</w:t>
      </w:r>
      <w:r w:rsidRPr="002326E7">
        <w:rPr>
          <w:rFonts w:ascii="Arial Narrow" w:eastAsia="Times New Roman" w:hAnsi="Arial Narrow" w:cs="Arial"/>
          <w:sz w:val="20"/>
          <w:szCs w:val="20"/>
          <w:lang w:eastAsia="pl-PL"/>
        </w:rPr>
        <w:t xml:space="preserve"> Skład mieszanki (badanie typu) - jest to skład mieszanki mineralno-asfaltowej, podany jako docelowy. Może być podany jako wejściowy skład mieszanki lub wyjściowy skład mieszanki.</w:t>
      </w:r>
    </w:p>
    <w:p w14:paraId="37FAA2C6"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1.4.6.</w:t>
      </w:r>
      <w:r w:rsidRPr="002326E7">
        <w:rPr>
          <w:rFonts w:ascii="Arial Narrow" w:eastAsia="Times New Roman" w:hAnsi="Arial Narrow" w:cs="Arial"/>
          <w:sz w:val="20"/>
          <w:szCs w:val="20"/>
          <w:lang w:eastAsia="pl-PL"/>
        </w:rPr>
        <w:t xml:space="preserve"> Wejściowy skład mieszanki - jest to skład mieszanki zawierający: materiały składowe podane w % wagowych, krzywą uziarnienia i procentową zawartość lepiszcza całkowitego w stosunku do mieszanki mineralno-asfaltowej (walidacja laboratoryjna).</w:t>
      </w:r>
    </w:p>
    <w:p w14:paraId="2543568E"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1.4.7.</w:t>
      </w:r>
      <w:r w:rsidRPr="002326E7">
        <w:rPr>
          <w:rFonts w:ascii="Arial Narrow" w:eastAsia="Times New Roman" w:hAnsi="Arial Narrow" w:cs="Arial"/>
          <w:sz w:val="20"/>
          <w:szCs w:val="20"/>
          <w:lang w:eastAsia="pl-PL"/>
        </w:rPr>
        <w:t xml:space="preserve"> Wyjściowy skład mieszanki - jest to skład mieszanki zawierający: materiały składowe, uśrednione wyniki uziarnienia oraz zawartość lepiszcza rozpuszczalnego oznaczone laboratoryjnie (wynik walidacji produkcji).</w:t>
      </w:r>
    </w:p>
    <w:p w14:paraId="235C4A26"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1.4.8.</w:t>
      </w:r>
      <w:r w:rsidRPr="002326E7">
        <w:rPr>
          <w:rFonts w:ascii="Arial Narrow" w:eastAsia="Times New Roman" w:hAnsi="Arial Narrow" w:cs="Arial"/>
          <w:sz w:val="20"/>
          <w:szCs w:val="20"/>
          <w:lang w:eastAsia="pl-PL"/>
        </w:rPr>
        <w:t xml:space="preserve"> Kruszywo - jest to ziarnisty materiał stosowany w budownictwie, który może być: naturalny, sztuczny lub z recyklingu.</w:t>
      </w:r>
    </w:p>
    <w:p w14:paraId="26954F00"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1.4.9</w:t>
      </w:r>
      <w:r w:rsidRPr="002326E7">
        <w:rPr>
          <w:rFonts w:ascii="Arial Narrow" w:eastAsia="Times New Roman" w:hAnsi="Arial Narrow" w:cs="Arial"/>
          <w:sz w:val="20"/>
          <w:szCs w:val="20"/>
          <w:lang w:eastAsia="pl-PL"/>
        </w:rPr>
        <w:t>. Kruszywo naturalne - jest to kruszywo ze złóż naturalnych pochodzenia mineralnego, które może być poddane wyłącznie obróbce mechanicznej.` Kruszywo naturalne jest uzyskiwane z mineralnych surowców naturalnych występujących w przyrodzie, w szczególności takich, jak: żwir, piasek, żwir kruszony, kruszywo z mechanicznie rozdrobnionych skał, nadziarna żwirowego lub otoczaków.</w:t>
      </w:r>
    </w:p>
    <w:p w14:paraId="49047982"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1.4.10.</w:t>
      </w:r>
      <w:r w:rsidRPr="002326E7">
        <w:rPr>
          <w:rFonts w:ascii="Arial Narrow" w:eastAsia="Times New Roman" w:hAnsi="Arial Narrow" w:cs="Arial"/>
          <w:sz w:val="20"/>
          <w:szCs w:val="20"/>
          <w:lang w:eastAsia="pl-PL"/>
        </w:rPr>
        <w:t xml:space="preserve"> Wymiar kruszywa - jest to wielkość ziaren kruszywa, określona przez dolny (d) i górny (D) wymiar sita. Przy oznaczaniu wymiaru kruszywa dopuszcza się obecność pewnej ilości ziaren, które pozostają na górnym sicie lub przechodzą przez dolne sito, zestawu sit używanego do oznaczania wymiaru kruszywa. Dolny wymiar sita może być równy 0.</w:t>
      </w:r>
    </w:p>
    <w:p w14:paraId="4BB64725"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1.4.11.</w:t>
      </w:r>
      <w:r w:rsidRPr="002326E7">
        <w:rPr>
          <w:rFonts w:ascii="Arial Narrow" w:eastAsia="Times New Roman" w:hAnsi="Arial Narrow" w:cs="Arial"/>
          <w:sz w:val="20"/>
          <w:szCs w:val="20"/>
          <w:lang w:eastAsia="pl-PL"/>
        </w:rPr>
        <w:t xml:space="preserve"> Kruszywo grube - jest to kruszywo o wymiarach ziaren: D ≤ </w:t>
      </w:r>
      <w:smartTag w:uri="urn:schemas-microsoft-com:office:smarttags" w:element="metricconverter">
        <w:smartTagPr>
          <w:attr w:name="ProductID" w:val="45 mm"/>
        </w:smartTagPr>
        <w:r w:rsidRPr="002326E7">
          <w:rPr>
            <w:rFonts w:ascii="Arial Narrow" w:eastAsia="Times New Roman" w:hAnsi="Arial Narrow" w:cs="Arial"/>
            <w:sz w:val="20"/>
            <w:szCs w:val="20"/>
            <w:lang w:eastAsia="pl-PL"/>
          </w:rPr>
          <w:t>45 mm</w:t>
        </w:r>
      </w:smartTag>
      <w:r w:rsidRPr="002326E7">
        <w:rPr>
          <w:rFonts w:ascii="Arial Narrow" w:eastAsia="Times New Roman" w:hAnsi="Arial Narrow" w:cs="Arial"/>
          <w:sz w:val="20"/>
          <w:szCs w:val="20"/>
          <w:lang w:eastAsia="pl-PL"/>
        </w:rPr>
        <w:t xml:space="preserve"> oraz d &gt; </w:t>
      </w:r>
      <w:smartTag w:uri="urn:schemas-microsoft-com:office:smarttags" w:element="metricconverter">
        <w:smartTagPr>
          <w:attr w:name="ProductID" w:val="2 mm"/>
        </w:smartTagPr>
        <w:r w:rsidRPr="002326E7">
          <w:rPr>
            <w:rFonts w:ascii="Arial Narrow" w:eastAsia="Times New Roman" w:hAnsi="Arial Narrow" w:cs="Arial"/>
            <w:sz w:val="20"/>
            <w:szCs w:val="20"/>
            <w:lang w:eastAsia="pl-PL"/>
          </w:rPr>
          <w:t>2 mm</w:t>
        </w:r>
      </w:smartTag>
      <w:r w:rsidRPr="002326E7">
        <w:rPr>
          <w:rFonts w:ascii="Arial Narrow" w:eastAsia="Times New Roman" w:hAnsi="Arial Narrow" w:cs="Arial"/>
          <w:sz w:val="20"/>
          <w:szCs w:val="20"/>
          <w:lang w:eastAsia="pl-PL"/>
        </w:rPr>
        <w:t>.</w:t>
      </w:r>
    </w:p>
    <w:p w14:paraId="2AD424E5"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1.4.12.</w:t>
      </w:r>
      <w:r w:rsidRPr="002326E7">
        <w:rPr>
          <w:rFonts w:ascii="Arial Narrow" w:eastAsia="Times New Roman" w:hAnsi="Arial Narrow" w:cs="Arial"/>
          <w:sz w:val="20"/>
          <w:szCs w:val="20"/>
          <w:lang w:eastAsia="pl-PL"/>
        </w:rPr>
        <w:t xml:space="preserve"> Kruszywo drobne – jest to kruszywo o wymiarach ziaren D ≤ </w:t>
      </w:r>
      <w:smartTag w:uri="urn:schemas-microsoft-com:office:smarttags" w:element="metricconverter">
        <w:smartTagPr>
          <w:attr w:name="ProductID" w:val="2 mm"/>
        </w:smartTagPr>
        <w:r w:rsidRPr="002326E7">
          <w:rPr>
            <w:rFonts w:ascii="Arial Narrow" w:eastAsia="Times New Roman" w:hAnsi="Arial Narrow" w:cs="Arial"/>
            <w:sz w:val="20"/>
            <w:szCs w:val="20"/>
            <w:lang w:eastAsia="pl-PL"/>
          </w:rPr>
          <w:t>2 mm</w:t>
        </w:r>
      </w:smartTag>
      <w:r w:rsidRPr="002326E7">
        <w:rPr>
          <w:rFonts w:ascii="Arial Narrow" w:eastAsia="Times New Roman" w:hAnsi="Arial Narrow" w:cs="Arial"/>
          <w:sz w:val="20"/>
          <w:szCs w:val="20"/>
          <w:lang w:eastAsia="pl-PL"/>
        </w:rPr>
        <w:t xml:space="preserve">, którego większa część pozostaje na sicie </w:t>
      </w:r>
      <w:smartTag w:uri="urn:schemas-microsoft-com:office:smarttags" w:element="metricconverter">
        <w:smartTagPr>
          <w:attr w:name="ProductID" w:val="0,063 mm"/>
        </w:smartTagPr>
        <w:r w:rsidRPr="002326E7">
          <w:rPr>
            <w:rFonts w:ascii="Arial Narrow" w:eastAsia="Times New Roman" w:hAnsi="Arial Narrow" w:cs="Arial"/>
            <w:sz w:val="20"/>
            <w:szCs w:val="20"/>
            <w:lang w:eastAsia="pl-PL"/>
          </w:rPr>
          <w:t>0,063 mm</w:t>
        </w:r>
      </w:smartTag>
      <w:r w:rsidRPr="002326E7">
        <w:rPr>
          <w:rFonts w:ascii="Arial Narrow" w:eastAsia="Times New Roman" w:hAnsi="Arial Narrow" w:cs="Arial"/>
          <w:sz w:val="20"/>
          <w:szCs w:val="20"/>
          <w:lang w:eastAsia="pl-PL"/>
        </w:rPr>
        <w:t>. Kruszywo drobne może powstać w wyniku kruszenia lub naturalnego rozdrobnienia skały albo żwiru lub przetworzenia kruszywa sztucznego.</w:t>
      </w:r>
    </w:p>
    <w:p w14:paraId="27981F7D"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1.4.13.</w:t>
      </w:r>
      <w:r w:rsidRPr="002326E7">
        <w:rPr>
          <w:rFonts w:ascii="Arial Narrow" w:eastAsia="Times New Roman" w:hAnsi="Arial Narrow" w:cs="Arial"/>
          <w:sz w:val="20"/>
          <w:szCs w:val="20"/>
          <w:lang w:eastAsia="pl-PL"/>
        </w:rPr>
        <w:t xml:space="preserve"> Kruszywo łamane - jest to kruszywo naturalne lub sztuczne poddane mechanicznemu rozdrobnieniu.</w:t>
      </w:r>
    </w:p>
    <w:p w14:paraId="11FCBE07"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1.4.14.</w:t>
      </w:r>
      <w:r w:rsidRPr="002326E7">
        <w:rPr>
          <w:rFonts w:ascii="Arial Narrow" w:eastAsia="Times New Roman" w:hAnsi="Arial Narrow" w:cs="Arial"/>
          <w:sz w:val="20"/>
          <w:szCs w:val="20"/>
          <w:lang w:eastAsia="pl-PL"/>
        </w:rPr>
        <w:t xml:space="preserve"> Kruszywo niełamane - jest to kruszywo naturalne lub sztuczne nie poddane mechanicznemu rozdrobieniu.</w:t>
      </w:r>
    </w:p>
    <w:p w14:paraId="2812CE30"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 xml:space="preserve">1.4.15. </w:t>
      </w:r>
      <w:r w:rsidRPr="002326E7">
        <w:rPr>
          <w:rFonts w:ascii="Arial Narrow" w:eastAsia="Times New Roman" w:hAnsi="Arial Narrow" w:cs="Arial"/>
          <w:sz w:val="20"/>
          <w:szCs w:val="20"/>
          <w:lang w:eastAsia="pl-PL"/>
        </w:rPr>
        <w:t xml:space="preserve">Pyły - jest to kruszywo o wymiarach ziaren &lt; </w:t>
      </w:r>
      <w:smartTag w:uri="urn:schemas-microsoft-com:office:smarttags" w:element="metricconverter">
        <w:smartTagPr>
          <w:attr w:name="ProductID" w:val="0,063 mm"/>
        </w:smartTagPr>
        <w:r w:rsidRPr="002326E7">
          <w:rPr>
            <w:rFonts w:ascii="Arial Narrow" w:eastAsia="Times New Roman" w:hAnsi="Arial Narrow" w:cs="Arial"/>
            <w:sz w:val="20"/>
            <w:szCs w:val="20"/>
            <w:lang w:eastAsia="pl-PL"/>
          </w:rPr>
          <w:t>0,063 mm</w:t>
        </w:r>
      </w:smartTag>
      <w:r w:rsidRPr="002326E7">
        <w:rPr>
          <w:rFonts w:ascii="Arial Narrow" w:eastAsia="Times New Roman" w:hAnsi="Arial Narrow" w:cs="Arial"/>
          <w:sz w:val="20"/>
          <w:szCs w:val="20"/>
          <w:lang w:eastAsia="pl-PL"/>
        </w:rPr>
        <w:t>.</w:t>
      </w:r>
    </w:p>
    <w:p w14:paraId="747CD164"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1.4.16.</w:t>
      </w:r>
      <w:r w:rsidRPr="002326E7">
        <w:rPr>
          <w:rFonts w:ascii="Arial Narrow" w:eastAsia="Times New Roman" w:hAnsi="Arial Narrow" w:cs="Arial"/>
          <w:sz w:val="20"/>
          <w:szCs w:val="20"/>
          <w:lang w:eastAsia="pl-PL"/>
        </w:rPr>
        <w:t xml:space="preserve"> Wypełniacz -jest to kruszywo, którego większa część przechodzi przez sito </w:t>
      </w:r>
      <w:smartTag w:uri="urn:schemas-microsoft-com:office:smarttags" w:element="metricconverter">
        <w:smartTagPr>
          <w:attr w:name="ProductID" w:val="0,063 mm"/>
        </w:smartTagPr>
        <w:r w:rsidRPr="002326E7">
          <w:rPr>
            <w:rFonts w:ascii="Arial Narrow" w:eastAsia="Times New Roman" w:hAnsi="Arial Narrow" w:cs="Arial"/>
            <w:sz w:val="20"/>
            <w:szCs w:val="20"/>
            <w:lang w:eastAsia="pl-PL"/>
          </w:rPr>
          <w:t>0,063 mm</w:t>
        </w:r>
      </w:smartTag>
      <w:r w:rsidRPr="002326E7">
        <w:rPr>
          <w:rFonts w:ascii="Arial Narrow" w:eastAsia="Times New Roman" w:hAnsi="Arial Narrow" w:cs="Arial"/>
          <w:sz w:val="20"/>
          <w:szCs w:val="20"/>
          <w:lang w:eastAsia="pl-PL"/>
        </w:rPr>
        <w:t>.</w:t>
      </w:r>
    </w:p>
    <w:p w14:paraId="7379CDE1"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lastRenderedPageBreak/>
        <w:t>1.4.17.</w:t>
      </w:r>
      <w:r w:rsidRPr="002326E7">
        <w:rPr>
          <w:rFonts w:ascii="Arial Narrow" w:eastAsia="Times New Roman" w:hAnsi="Arial Narrow" w:cs="Arial"/>
          <w:sz w:val="20"/>
          <w:szCs w:val="20"/>
          <w:lang w:eastAsia="pl-PL"/>
        </w:rPr>
        <w:t xml:space="preserve"> Wypełniacz mieszany - jest to kruszywo, które składa się z wypełniacza pochodzenia mineralnego i wodorotlenku wapnia.</w:t>
      </w:r>
    </w:p>
    <w:p w14:paraId="22DC27F4"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1.4.18.</w:t>
      </w:r>
      <w:r w:rsidRPr="002326E7">
        <w:rPr>
          <w:rFonts w:ascii="Arial Narrow" w:eastAsia="Times New Roman" w:hAnsi="Arial Narrow" w:cs="Arial"/>
          <w:sz w:val="20"/>
          <w:szCs w:val="20"/>
          <w:lang w:eastAsia="pl-PL"/>
        </w:rPr>
        <w:t xml:space="preserve"> Wypełniacz dodany – wypełniacz pochodzenia mineralnego, wyprodukowany oddzielnie.</w:t>
      </w:r>
    </w:p>
    <w:p w14:paraId="72F56ED0" w14:textId="77777777" w:rsidR="002326E7" w:rsidRPr="002326E7" w:rsidRDefault="002326E7" w:rsidP="002326E7">
      <w:pPr>
        <w:overflowPunct w:val="0"/>
        <w:autoSpaceDE w:val="0"/>
        <w:autoSpaceDN w:val="0"/>
        <w:adjustRightInd w:val="0"/>
        <w:spacing w:before="120"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 xml:space="preserve">1.4.19. </w:t>
      </w:r>
      <w:r w:rsidRPr="002326E7">
        <w:rPr>
          <w:rFonts w:ascii="Arial Narrow" w:eastAsia="Times New Roman" w:hAnsi="Arial Narrow" w:cs="Arial"/>
          <w:sz w:val="20"/>
          <w:szCs w:val="20"/>
          <w:lang w:eastAsia="pl-PL"/>
        </w:rPr>
        <w:t>Pozostałe określenia podstawowe są zgodne z obowiązującymi, odpowiednimi polskimi normami i z definicjami podanymi w STWiORB D-M-00.00.00 „Wymagania ogólne” pkt 1.4.</w:t>
      </w:r>
    </w:p>
    <w:p w14:paraId="4CA92416" w14:textId="77777777" w:rsidR="002326E7" w:rsidRPr="002326E7" w:rsidRDefault="002326E7" w:rsidP="002326E7">
      <w:pPr>
        <w:overflowPunct w:val="0"/>
        <w:autoSpaceDE w:val="0"/>
        <w:autoSpaceDN w:val="0"/>
        <w:adjustRightInd w:val="0"/>
        <w:spacing w:before="120" w:after="12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b/>
          <w:sz w:val="20"/>
          <w:szCs w:val="20"/>
          <w:lang w:eastAsia="pl-PL"/>
        </w:rPr>
        <w:t xml:space="preserve">1.4.20. </w:t>
      </w:r>
      <w:r w:rsidRPr="002326E7">
        <w:rPr>
          <w:rFonts w:ascii="Arial Narrow" w:eastAsia="Times New Roman" w:hAnsi="Arial Narrow" w:cs="Arial"/>
          <w:sz w:val="20"/>
          <w:szCs w:val="20"/>
          <w:lang w:eastAsia="pl-PL"/>
        </w:rPr>
        <w:t>Symbole i skróty dodatkowe</w:t>
      </w:r>
    </w:p>
    <w:p w14:paraId="0FDA4A05" w14:textId="77777777" w:rsidR="002326E7" w:rsidRPr="002326E7" w:rsidRDefault="002326E7" w:rsidP="002326E7">
      <w:pPr>
        <w:tabs>
          <w:tab w:val="left" w:pos="567"/>
          <w:tab w:val="left" w:pos="709"/>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sz w:val="20"/>
          <w:szCs w:val="20"/>
          <w:lang w:eastAsia="pl-PL"/>
        </w:rPr>
        <w:t>SMA-mieszanka mastyksowo-grysowa</w:t>
      </w:r>
    </w:p>
    <w:p w14:paraId="4456561E" w14:textId="77777777" w:rsidR="002326E7" w:rsidRPr="002326E7" w:rsidRDefault="002326E7" w:rsidP="002326E7">
      <w:pPr>
        <w:tabs>
          <w:tab w:val="left" w:pos="567"/>
          <w:tab w:val="left" w:pos="709"/>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r w:rsidRPr="002326E7">
        <w:rPr>
          <w:rFonts w:ascii="Arial Narrow" w:eastAsia="Times New Roman" w:hAnsi="Arial Narrow" w:cs="Arial"/>
          <w:sz w:val="20"/>
          <w:szCs w:val="20"/>
          <w:lang w:eastAsia="pl-PL"/>
        </w:rPr>
        <w:t>PMB-polimeroasfalt</w:t>
      </w:r>
    </w:p>
    <w:p w14:paraId="3F328E7F" w14:textId="77777777" w:rsidR="002326E7" w:rsidRPr="002326E7" w:rsidRDefault="002326E7" w:rsidP="002326E7">
      <w:pPr>
        <w:tabs>
          <w:tab w:val="left" w:pos="567"/>
          <w:tab w:val="left" w:pos="709"/>
        </w:tabs>
        <w:overflowPunct w:val="0"/>
        <w:autoSpaceDE w:val="0"/>
        <w:autoSpaceDN w:val="0"/>
        <w:adjustRightInd w:val="0"/>
        <w:spacing w:after="0" w:line="240" w:lineRule="auto"/>
        <w:ind w:firstLine="709"/>
        <w:jc w:val="both"/>
        <w:textAlignment w:val="baseline"/>
        <w:rPr>
          <w:rFonts w:ascii="Arial Narrow" w:eastAsia="Times New Roman" w:hAnsi="Arial Narrow" w:cs="Arial"/>
          <w:sz w:val="20"/>
          <w:szCs w:val="20"/>
          <w:lang w:eastAsia="pl-PL"/>
        </w:rPr>
      </w:pPr>
    </w:p>
    <w:p w14:paraId="11917090"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2. MATERIAŁY</w:t>
      </w:r>
    </w:p>
    <w:p w14:paraId="1397F04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Ogólne wymagania dotyczące materiałów, ich pozyskiwania i składowania podano w D-M-00.00.00 "Wymagania ogólne". Poszczególne rodzaje materiałów powinny pochodzić ze źródeł zatwierdzonych przez Inżyniera/Inspektora Nadzoru. W przypadku wystąpienia zmian w materiałach składowych (rodzaj, kategoria, typ petrograficzny, gęstość, zmiana złoża) należy postępować zgodnie z zasadami określonymi w punkcie 4.2. normy PN-EN 13108-20. </w:t>
      </w:r>
    </w:p>
    <w:p w14:paraId="46EA5EFD"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49" w:name="_Toc55068"/>
      <w:r w:rsidRPr="002326E7">
        <w:rPr>
          <w:rFonts w:ascii="Arial Narrow" w:eastAsia="Times New Roman" w:hAnsi="Arial Narrow" w:cs="Times New Roman"/>
          <w:b/>
          <w:sz w:val="28"/>
          <w:szCs w:val="20"/>
          <w:lang w:val="x-none" w:eastAsia="x-none"/>
        </w:rPr>
        <w:t xml:space="preserve">2.1. Rodzaje materiałów </w:t>
      </w:r>
      <w:bookmarkEnd w:id="749"/>
    </w:p>
    <w:p w14:paraId="284ADF6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Rodzaje materiałów stosowanych do mieszanki mineralno-asfaltowej podano w tabeli 1. </w:t>
      </w:r>
    </w:p>
    <w:p w14:paraId="5B698E4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1. Rodzaje materiałów do mieszanki mineralno-asfaltowej </w:t>
      </w:r>
    </w:p>
    <w:tbl>
      <w:tblPr>
        <w:tblW w:w="9074" w:type="dxa"/>
        <w:tblInd w:w="125" w:type="dxa"/>
        <w:tblCellMar>
          <w:top w:w="165" w:type="dxa"/>
          <w:right w:w="38" w:type="dxa"/>
        </w:tblCellMar>
        <w:tblLook w:val="04A0" w:firstRow="1" w:lastRow="0" w:firstColumn="1" w:lastColumn="0" w:noHBand="0" w:noVBand="1"/>
      </w:tblPr>
      <w:tblGrid>
        <w:gridCol w:w="526"/>
        <w:gridCol w:w="2482"/>
        <w:gridCol w:w="1982"/>
        <w:gridCol w:w="2098"/>
        <w:gridCol w:w="1986"/>
      </w:tblGrid>
      <w:tr w:rsidR="002326E7" w:rsidRPr="002326E7" w14:paraId="765D032C" w14:textId="77777777" w:rsidTr="00855929">
        <w:trPr>
          <w:trHeight w:val="227"/>
        </w:trPr>
        <w:tc>
          <w:tcPr>
            <w:tcW w:w="52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B83BFB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Lp. </w:t>
            </w:r>
          </w:p>
          <w:p w14:paraId="085E905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 </w:t>
            </w:r>
          </w:p>
        </w:tc>
        <w:tc>
          <w:tcPr>
            <w:tcW w:w="248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ED54BA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Rodzaj materiału </w:t>
            </w:r>
          </w:p>
          <w:p w14:paraId="47C50A6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 </w:t>
            </w:r>
          </w:p>
        </w:tc>
        <w:tc>
          <w:tcPr>
            <w:tcW w:w="606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6D2D1A7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Wymagania wg / dokument odniesienia </w:t>
            </w:r>
          </w:p>
        </w:tc>
      </w:tr>
      <w:tr w:rsidR="002326E7" w:rsidRPr="002326E7" w14:paraId="1D6D3CBF" w14:textId="77777777" w:rsidTr="00855929">
        <w:trPr>
          <w:trHeight w:val="227"/>
        </w:trPr>
        <w:tc>
          <w:tcPr>
            <w:tcW w:w="0" w:type="auto"/>
            <w:vMerge/>
            <w:tcBorders>
              <w:top w:val="nil"/>
              <w:left w:val="single" w:sz="4" w:space="0" w:color="000000"/>
              <w:bottom w:val="single" w:sz="4" w:space="0" w:color="000000"/>
              <w:right w:val="single" w:sz="4" w:space="0" w:color="000000"/>
            </w:tcBorders>
            <w:shd w:val="clear" w:color="auto" w:fill="auto"/>
          </w:tcPr>
          <w:p w14:paraId="694F94C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0" w:type="auto"/>
            <w:vMerge/>
            <w:tcBorders>
              <w:top w:val="nil"/>
              <w:left w:val="single" w:sz="4" w:space="0" w:color="000000"/>
              <w:bottom w:val="single" w:sz="4" w:space="0" w:color="000000"/>
              <w:right w:val="single" w:sz="4" w:space="0" w:color="000000"/>
            </w:tcBorders>
            <w:shd w:val="clear" w:color="auto" w:fill="auto"/>
          </w:tcPr>
          <w:p w14:paraId="2D0CC3B5"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19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BCCFE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 1-2 </w:t>
            </w:r>
          </w:p>
        </w:tc>
        <w:tc>
          <w:tcPr>
            <w:tcW w:w="209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814A0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 3-4 </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02D33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 5-7 </w:t>
            </w:r>
          </w:p>
        </w:tc>
      </w:tr>
      <w:tr w:rsidR="002326E7" w:rsidRPr="002326E7" w14:paraId="4F3F3492" w14:textId="77777777" w:rsidTr="00855929">
        <w:trPr>
          <w:trHeight w:val="227"/>
        </w:trPr>
        <w:tc>
          <w:tcPr>
            <w:tcW w:w="5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C0307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1. </w:t>
            </w:r>
          </w:p>
        </w:tc>
        <w:tc>
          <w:tcPr>
            <w:tcW w:w="24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10579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Kruszywo grube  </w:t>
            </w:r>
          </w:p>
        </w:tc>
        <w:tc>
          <w:tcPr>
            <w:tcW w:w="606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67FC25B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WT-1 Kruszywa 2014, tabela 16</w:t>
            </w:r>
            <w:r w:rsidRPr="002326E7">
              <w:rPr>
                <w:rFonts w:ascii="Arial Narrow" w:eastAsia="Times New Roman" w:hAnsi="Arial Narrow" w:cs="Times New Roman"/>
                <w:sz w:val="20"/>
                <w:vertAlign w:val="superscript"/>
              </w:rPr>
              <w:t>1) 2)</w:t>
            </w:r>
            <w:r w:rsidRPr="002326E7">
              <w:rPr>
                <w:rFonts w:ascii="Arial Narrow" w:eastAsia="Times New Roman" w:hAnsi="Arial Narrow" w:cs="Times New Roman"/>
                <w:sz w:val="20"/>
              </w:rPr>
              <w:t xml:space="preserve"> </w:t>
            </w:r>
          </w:p>
        </w:tc>
      </w:tr>
      <w:tr w:rsidR="002326E7" w:rsidRPr="002326E7" w14:paraId="0AFEEBC0" w14:textId="77777777" w:rsidTr="00855929">
        <w:trPr>
          <w:trHeight w:val="227"/>
        </w:trPr>
        <w:tc>
          <w:tcPr>
            <w:tcW w:w="5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D0982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2. </w:t>
            </w:r>
          </w:p>
        </w:tc>
        <w:tc>
          <w:tcPr>
            <w:tcW w:w="24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693B0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Kruszywo drobne </w:t>
            </w:r>
          </w:p>
        </w:tc>
        <w:tc>
          <w:tcPr>
            <w:tcW w:w="606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1F0B2E6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WT-1 Kruszywa 2014, tabela 17 </w:t>
            </w:r>
          </w:p>
        </w:tc>
      </w:tr>
      <w:tr w:rsidR="002326E7" w:rsidRPr="002326E7" w14:paraId="2011D9C9" w14:textId="77777777" w:rsidTr="00855929">
        <w:trPr>
          <w:trHeight w:val="227"/>
        </w:trPr>
        <w:tc>
          <w:tcPr>
            <w:tcW w:w="5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A6D42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3. </w:t>
            </w:r>
          </w:p>
        </w:tc>
        <w:tc>
          <w:tcPr>
            <w:tcW w:w="24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26C1B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Wypełniacz  </w:t>
            </w:r>
          </w:p>
        </w:tc>
        <w:tc>
          <w:tcPr>
            <w:tcW w:w="606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28E2CE5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WT-1 Kruszywa 2014, tabela 18 </w:t>
            </w:r>
          </w:p>
        </w:tc>
      </w:tr>
      <w:tr w:rsidR="002326E7" w:rsidRPr="002326E7" w14:paraId="1BFB37D2" w14:textId="77777777" w:rsidTr="00855929">
        <w:trPr>
          <w:trHeight w:val="227"/>
        </w:trPr>
        <w:tc>
          <w:tcPr>
            <w:tcW w:w="526" w:type="dxa"/>
            <w:tcBorders>
              <w:top w:val="single" w:sz="4" w:space="0" w:color="000000"/>
              <w:left w:val="single" w:sz="4" w:space="0" w:color="000000"/>
              <w:bottom w:val="single" w:sz="4" w:space="0" w:color="000000"/>
              <w:right w:val="single" w:sz="4" w:space="0" w:color="000000"/>
            </w:tcBorders>
            <w:shd w:val="clear" w:color="auto" w:fill="auto"/>
          </w:tcPr>
          <w:p w14:paraId="67DCBE1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4. </w:t>
            </w:r>
          </w:p>
        </w:tc>
        <w:tc>
          <w:tcPr>
            <w:tcW w:w="2482" w:type="dxa"/>
            <w:tcBorders>
              <w:top w:val="single" w:sz="4" w:space="0" w:color="000000"/>
              <w:left w:val="single" w:sz="4" w:space="0" w:color="000000"/>
              <w:bottom w:val="single" w:sz="4" w:space="0" w:color="000000"/>
              <w:right w:val="single" w:sz="4" w:space="0" w:color="000000"/>
            </w:tcBorders>
            <w:shd w:val="clear" w:color="auto" w:fill="auto"/>
          </w:tcPr>
          <w:p w14:paraId="1A769DC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Lepiszcze </w:t>
            </w:r>
          </w:p>
        </w:tc>
        <w:tc>
          <w:tcPr>
            <w:tcW w:w="606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538EBD9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WT-2 2014 – część I pkt. 8.2.5.1 tab. 25, PN-EN 14023, </w:t>
            </w:r>
          </w:p>
          <w:p w14:paraId="260B565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PN-EN 12591, PN-EN 13924-2 </w:t>
            </w:r>
          </w:p>
        </w:tc>
      </w:tr>
      <w:tr w:rsidR="002326E7" w:rsidRPr="002326E7" w14:paraId="46E15A3D" w14:textId="77777777" w:rsidTr="00855929">
        <w:trPr>
          <w:trHeight w:val="227"/>
        </w:trPr>
        <w:tc>
          <w:tcPr>
            <w:tcW w:w="5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99375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5. </w:t>
            </w:r>
          </w:p>
        </w:tc>
        <w:tc>
          <w:tcPr>
            <w:tcW w:w="24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EC424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Środek adhezyjny </w:t>
            </w:r>
          </w:p>
        </w:tc>
        <w:tc>
          <w:tcPr>
            <w:tcW w:w="606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19B81A9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wg p. 4.1 PN-EN 13108-5 </w:t>
            </w:r>
          </w:p>
        </w:tc>
      </w:tr>
      <w:tr w:rsidR="002326E7" w:rsidRPr="002326E7" w14:paraId="76FF1F7D" w14:textId="77777777" w:rsidTr="00855929">
        <w:trPr>
          <w:trHeight w:val="227"/>
        </w:trPr>
        <w:tc>
          <w:tcPr>
            <w:tcW w:w="5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4FBD4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6. </w:t>
            </w:r>
          </w:p>
        </w:tc>
        <w:tc>
          <w:tcPr>
            <w:tcW w:w="24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1C8AC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Stabilizator mastyksu </w:t>
            </w:r>
          </w:p>
        </w:tc>
        <w:tc>
          <w:tcPr>
            <w:tcW w:w="606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3604F38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wg p. 4.1 PN-EN 13108-5 </w:t>
            </w:r>
          </w:p>
        </w:tc>
      </w:tr>
      <w:tr w:rsidR="002326E7" w:rsidRPr="002326E7" w14:paraId="55439C60" w14:textId="77777777" w:rsidTr="00855929">
        <w:trPr>
          <w:trHeight w:val="227"/>
        </w:trPr>
        <w:tc>
          <w:tcPr>
            <w:tcW w:w="526" w:type="dxa"/>
            <w:tcBorders>
              <w:top w:val="single" w:sz="4" w:space="0" w:color="000000"/>
              <w:left w:val="single" w:sz="4" w:space="0" w:color="000000"/>
              <w:bottom w:val="single" w:sz="4" w:space="0" w:color="000000"/>
              <w:right w:val="single" w:sz="4" w:space="0" w:color="000000"/>
            </w:tcBorders>
            <w:shd w:val="clear" w:color="auto" w:fill="auto"/>
          </w:tcPr>
          <w:p w14:paraId="3467E70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7. </w:t>
            </w:r>
          </w:p>
        </w:tc>
        <w:tc>
          <w:tcPr>
            <w:tcW w:w="2482" w:type="dxa"/>
            <w:tcBorders>
              <w:top w:val="single" w:sz="4" w:space="0" w:color="000000"/>
              <w:left w:val="single" w:sz="4" w:space="0" w:color="000000"/>
              <w:bottom w:val="single" w:sz="4" w:space="0" w:color="000000"/>
              <w:right w:val="single" w:sz="4" w:space="0" w:color="000000"/>
            </w:tcBorders>
            <w:shd w:val="clear" w:color="auto" w:fill="auto"/>
          </w:tcPr>
          <w:p w14:paraId="1116277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Mieszanka mineralnoasfaltowe </w:t>
            </w:r>
          </w:p>
        </w:tc>
        <w:tc>
          <w:tcPr>
            <w:tcW w:w="19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F4139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WT-2 2014– </w:t>
            </w:r>
          </w:p>
          <w:p w14:paraId="43A02CC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część I pkt. 8.2.5 tab. 26 i 27 </w:t>
            </w:r>
          </w:p>
        </w:tc>
        <w:tc>
          <w:tcPr>
            <w:tcW w:w="209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E356A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WT-2 2014– część I pkt. 8.2.5 tab. 26 i 28 </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7FA4D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WT-2 2014– </w:t>
            </w:r>
          </w:p>
          <w:p w14:paraId="39E3050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część I pkt. 8.2.5 tab. 26 i 29</w:t>
            </w:r>
            <w:r w:rsidRPr="002326E7">
              <w:rPr>
                <w:rFonts w:ascii="Arial Narrow" w:eastAsia="Times New Roman" w:hAnsi="Arial Narrow" w:cs="Times New Roman"/>
                <w:sz w:val="20"/>
                <w:vertAlign w:val="superscript"/>
              </w:rPr>
              <w:t>3)</w:t>
            </w:r>
            <w:r w:rsidRPr="002326E7">
              <w:rPr>
                <w:rFonts w:ascii="Arial Narrow" w:eastAsia="Times New Roman" w:hAnsi="Arial Narrow" w:cs="Times New Roman"/>
                <w:sz w:val="20"/>
              </w:rPr>
              <w:t xml:space="preserve"> </w:t>
            </w:r>
          </w:p>
        </w:tc>
      </w:tr>
      <w:tr w:rsidR="002326E7" w:rsidRPr="002326E7" w14:paraId="7DE42BE1" w14:textId="77777777" w:rsidTr="00855929">
        <w:trPr>
          <w:trHeight w:val="227"/>
        </w:trPr>
        <w:tc>
          <w:tcPr>
            <w:tcW w:w="9074"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1DD304B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vertAlign w:val="superscript"/>
              </w:rPr>
              <w:t xml:space="preserve">1)  </w:t>
            </w:r>
            <w:r w:rsidRPr="002326E7">
              <w:rPr>
                <w:rFonts w:ascii="Arial Narrow" w:eastAsia="Times New Roman" w:hAnsi="Arial Narrow" w:cs="Times New Roman"/>
                <w:sz w:val="20"/>
              </w:rPr>
              <w:t>Dla dróg KR≥5 zaleca się stosowanie jasnych kruszyw tj. posiadających współczynnik luminancji w świetle rozproszonym Q</w:t>
            </w:r>
            <w:r w:rsidRPr="002326E7">
              <w:rPr>
                <w:rFonts w:ascii="Arial Narrow" w:eastAsia="Times New Roman" w:hAnsi="Arial Narrow" w:cs="Times New Roman"/>
                <w:sz w:val="20"/>
                <w:vertAlign w:val="subscript"/>
              </w:rPr>
              <w:t>d</w:t>
            </w:r>
            <w:r w:rsidRPr="002326E7">
              <w:rPr>
                <w:rFonts w:ascii="Arial Narrow" w:eastAsia="Times New Roman" w:hAnsi="Arial Narrow" w:cs="Times New Roman"/>
                <w:sz w:val="20"/>
              </w:rPr>
              <w:t>≥60 mcd/m2*lx dla kruszywa grubego. Badanie należy wykonać zgodnie z Instrukcją badawczą „Pomiar współczynnika luminancji jasnych nawierzchni asfaltowych” opisaną w Załączniku Nr 4 do WT-2 2014 część 1. Decydującym kryterium oceny jest współczynnik Q</w:t>
            </w:r>
            <w:r w:rsidRPr="002326E7">
              <w:rPr>
                <w:rFonts w:ascii="Arial Narrow" w:eastAsia="Times New Roman" w:hAnsi="Arial Narrow" w:cs="Times New Roman"/>
                <w:sz w:val="20"/>
                <w:vertAlign w:val="subscript"/>
              </w:rPr>
              <w:t>d</w:t>
            </w:r>
            <w:r w:rsidRPr="002326E7">
              <w:rPr>
                <w:rFonts w:ascii="Arial Narrow" w:eastAsia="Times New Roman" w:hAnsi="Arial Narrow" w:cs="Times New Roman"/>
                <w:sz w:val="20"/>
              </w:rPr>
              <w:t xml:space="preserve"> uzyskany dla próbki MMA wykonanej na etapie projektowania Badania Typu i próbki pobranej z wykonanej nawierzchni.    </w:t>
            </w:r>
          </w:p>
          <w:p w14:paraId="436995C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 celu osiągnięcia wymaganej jasności nawierzchni, dopuszcza się dodatek sztucznego kruszywa rozjaśniającego w ilości nie przekraczającej 15%. Sztuczne kruszywo musi dodatkowo spełniać wymagania fizyko-mechaniczne określone w niniejszej tabeli 1.  </w:t>
            </w:r>
          </w:p>
          <w:p w14:paraId="44A412A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Oprócz badań wymienionych w WT-1 2014 należy przed użyciem przeprowadzić badanie jasności kruszyw </w:t>
            </w:r>
          </w:p>
          <w:p w14:paraId="656CEB0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Wymagania dla mieszanki w zakresie współczynnika luminancji Q</w:t>
            </w:r>
            <w:r w:rsidRPr="002326E7">
              <w:rPr>
                <w:rFonts w:ascii="Arial Narrow" w:eastAsia="Times New Roman" w:hAnsi="Arial Narrow" w:cs="Times New Roman"/>
                <w:sz w:val="20"/>
                <w:vertAlign w:val="subscript"/>
              </w:rPr>
              <w:t>d</w:t>
            </w:r>
            <w:r w:rsidRPr="002326E7">
              <w:rPr>
                <w:rFonts w:ascii="Arial Narrow" w:eastAsia="Times New Roman" w:hAnsi="Arial Narrow" w:cs="Times New Roman"/>
                <w:sz w:val="20"/>
              </w:rPr>
              <w:t xml:space="preserve"> odnoszą się tylko dla mieszanek stosowanych do nawierzchni dróg KR≥5 na obiektach inżynierskich w ciągu głównym dróg krajowych i autostrad o nawierzchni betonowej oraz dla nawierzchni w tunelach </w:t>
            </w:r>
          </w:p>
          <w:p w14:paraId="1E80911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Projektowanie mieszanki mineralno-asfaltowej wg WT-2 2014 – część I pkt. 8. </w:t>
            </w:r>
          </w:p>
          <w:p w14:paraId="454B896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Do produkcji mieszanki SMA nie dopuszcza się stosowania granulatu asfaltowego. </w:t>
            </w:r>
          </w:p>
        </w:tc>
      </w:tr>
    </w:tbl>
    <w:p w14:paraId="35745EA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4C60400D" w14:textId="77777777" w:rsidR="002326E7" w:rsidRPr="002326E7" w:rsidRDefault="002326E7" w:rsidP="002326E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750" w:name="_Toc55069"/>
      <w:r w:rsidRPr="002326E7">
        <w:rPr>
          <w:rFonts w:ascii="Arial Narrow" w:eastAsia="Times New Roman" w:hAnsi="Arial Narrow" w:cs="Times New Roman"/>
          <w:b/>
          <w:caps/>
          <w:kern w:val="28"/>
          <w:sz w:val="28"/>
          <w:szCs w:val="20"/>
          <w:lang w:val="x-none" w:eastAsia="x-none"/>
        </w:rPr>
        <w:t xml:space="preserve">2.2. Wymagania wobec innych materiałów </w:t>
      </w:r>
      <w:bookmarkEnd w:id="750"/>
    </w:p>
    <w:p w14:paraId="23861794"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2.2.1. Kruszywa do wykończenia powierzchni warstwy SMA </w:t>
      </w:r>
    </w:p>
    <w:p w14:paraId="6A434EF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 uszorstnienia warstwy z mieszanki SMA będzie użyte kruszywo spełniające wymagania WT-2 2016 część II pkt 7.1.2. </w:t>
      </w:r>
    </w:p>
    <w:p w14:paraId="333987DD"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2.2.2. Materiały do połączeń technologicznych </w:t>
      </w:r>
    </w:p>
    <w:p w14:paraId="411E083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 uszczelniania połączeń technologicznych należy stosować materiały zgodnie z pkt. 7.6.1 WT-2 2016 – część II wg tabel 2 i 3. </w:t>
      </w:r>
    </w:p>
    <w:p w14:paraId="382E2B8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2. Materiały do złączy (podłużnych i poprzecznych wykonywanych metodą „gorące przy zimnym”) </w:t>
      </w:r>
    </w:p>
    <w:tbl>
      <w:tblPr>
        <w:tblW w:w="9064" w:type="dxa"/>
        <w:tblInd w:w="17" w:type="dxa"/>
        <w:tblCellMar>
          <w:right w:w="40" w:type="dxa"/>
        </w:tblCellMar>
        <w:tblLook w:val="04A0" w:firstRow="1" w:lastRow="0" w:firstColumn="1" w:lastColumn="0" w:noHBand="0" w:noVBand="1"/>
      </w:tblPr>
      <w:tblGrid>
        <w:gridCol w:w="1490"/>
        <w:gridCol w:w="919"/>
        <w:gridCol w:w="2408"/>
        <w:gridCol w:w="992"/>
        <w:gridCol w:w="3255"/>
      </w:tblGrid>
      <w:tr w:rsidR="002326E7" w:rsidRPr="002326E7" w14:paraId="2B5A1F46" w14:textId="77777777" w:rsidTr="00855929">
        <w:trPr>
          <w:trHeight w:val="227"/>
        </w:trPr>
        <w:tc>
          <w:tcPr>
            <w:tcW w:w="14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E47C19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lastRenderedPageBreak/>
              <w:t xml:space="preserve">Rodzaj warstwy </w:t>
            </w:r>
          </w:p>
        </w:tc>
        <w:tc>
          <w:tcPr>
            <w:tcW w:w="332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1D9990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Złącze podłużne </w:t>
            </w:r>
          </w:p>
        </w:tc>
        <w:tc>
          <w:tcPr>
            <w:tcW w:w="42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3CFF0E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Złącze poprzeczne </w:t>
            </w:r>
          </w:p>
        </w:tc>
      </w:tr>
      <w:tr w:rsidR="002326E7" w:rsidRPr="002326E7" w14:paraId="2C977CD4" w14:textId="77777777" w:rsidTr="00855929">
        <w:trPr>
          <w:trHeight w:val="227"/>
        </w:trPr>
        <w:tc>
          <w:tcPr>
            <w:tcW w:w="0" w:type="auto"/>
            <w:vMerge/>
            <w:tcBorders>
              <w:top w:val="nil"/>
              <w:left w:val="single" w:sz="4" w:space="0" w:color="000000"/>
              <w:bottom w:val="single" w:sz="4" w:space="0" w:color="000000"/>
              <w:right w:val="single" w:sz="4" w:space="0" w:color="000000"/>
            </w:tcBorders>
            <w:shd w:val="clear" w:color="auto" w:fill="auto"/>
          </w:tcPr>
          <w:p w14:paraId="3B6E77E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9B61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Ruch </w:t>
            </w:r>
          </w:p>
        </w:tc>
        <w:tc>
          <w:tcPr>
            <w:tcW w:w="240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CBC23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Rodzaj materiału </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E759E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Ruch </w:t>
            </w:r>
          </w:p>
        </w:tc>
        <w:tc>
          <w:tcPr>
            <w:tcW w:w="32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6FDDA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Rodzaj materiału </w:t>
            </w:r>
          </w:p>
        </w:tc>
      </w:tr>
      <w:tr w:rsidR="002326E7" w:rsidRPr="002326E7" w14:paraId="07260E93" w14:textId="77777777" w:rsidTr="00855929">
        <w:trPr>
          <w:trHeight w:val="227"/>
        </w:trPr>
        <w:tc>
          <w:tcPr>
            <w:tcW w:w="14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A9CA21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Warstwa ścieralna </w:t>
            </w:r>
          </w:p>
        </w:tc>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03145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 1-2 </w:t>
            </w:r>
          </w:p>
        </w:tc>
        <w:tc>
          <w:tcPr>
            <w:tcW w:w="240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30FC9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Pasty asfaltowe lub elastyczne taśmy bitumiczne + środek gruntujący </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58022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 1-2 </w:t>
            </w:r>
          </w:p>
        </w:tc>
        <w:tc>
          <w:tcPr>
            <w:tcW w:w="32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577A6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Pasty asfaltowe lub </w:t>
            </w:r>
          </w:p>
          <w:p w14:paraId="22FF419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elastyczne taśmy bitumiczne </w:t>
            </w:r>
          </w:p>
          <w:p w14:paraId="35833F7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 środek gruntujący </w:t>
            </w:r>
          </w:p>
        </w:tc>
      </w:tr>
      <w:tr w:rsidR="002326E7" w:rsidRPr="002326E7" w14:paraId="295E9CEF" w14:textId="77777777" w:rsidTr="00855929">
        <w:trPr>
          <w:trHeight w:val="227"/>
        </w:trPr>
        <w:tc>
          <w:tcPr>
            <w:tcW w:w="0" w:type="auto"/>
            <w:vMerge/>
            <w:tcBorders>
              <w:top w:val="nil"/>
              <w:left w:val="single" w:sz="4" w:space="0" w:color="000000"/>
              <w:bottom w:val="single" w:sz="4" w:space="0" w:color="000000"/>
              <w:right w:val="single" w:sz="4" w:space="0" w:color="000000"/>
            </w:tcBorders>
            <w:shd w:val="clear" w:color="auto" w:fill="auto"/>
          </w:tcPr>
          <w:p w14:paraId="5A09D12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AA98E5"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 3-7 </w:t>
            </w:r>
          </w:p>
        </w:tc>
        <w:tc>
          <w:tcPr>
            <w:tcW w:w="240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B8521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Elastyczne taśmy bitumiczne + środek gruntujący </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3258C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 3-7 </w:t>
            </w:r>
          </w:p>
        </w:tc>
        <w:tc>
          <w:tcPr>
            <w:tcW w:w="32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85BAD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Elastyczne taśmy bitumiczne + środek gruntujący </w:t>
            </w:r>
          </w:p>
        </w:tc>
      </w:tr>
    </w:tbl>
    <w:p w14:paraId="2DB73ED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69F2728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1521911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3. Materiały do spoin między fragmentami zagęszczonej MMA i elementami wyposażenia drogi </w:t>
      </w:r>
    </w:p>
    <w:tbl>
      <w:tblPr>
        <w:tblW w:w="9064" w:type="dxa"/>
        <w:tblInd w:w="17" w:type="dxa"/>
        <w:tblCellMar>
          <w:right w:w="38" w:type="dxa"/>
        </w:tblCellMar>
        <w:tblLook w:val="04A0" w:firstRow="1" w:lastRow="0" w:firstColumn="1" w:lastColumn="0" w:noHBand="0" w:noVBand="1"/>
      </w:tblPr>
      <w:tblGrid>
        <w:gridCol w:w="1978"/>
        <w:gridCol w:w="1136"/>
        <w:gridCol w:w="5950"/>
      </w:tblGrid>
      <w:tr w:rsidR="002326E7" w:rsidRPr="002326E7" w14:paraId="33AFEDBB" w14:textId="77777777" w:rsidTr="00855929">
        <w:trPr>
          <w:trHeight w:val="170"/>
        </w:trPr>
        <w:tc>
          <w:tcPr>
            <w:tcW w:w="19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C91C7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Rodzaj warstwy </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54EE2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Ruch </w:t>
            </w:r>
          </w:p>
        </w:tc>
        <w:tc>
          <w:tcPr>
            <w:tcW w:w="59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40EC2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Rodzaj materiału </w:t>
            </w:r>
          </w:p>
        </w:tc>
      </w:tr>
      <w:tr w:rsidR="002326E7" w:rsidRPr="002326E7" w14:paraId="7092B48D" w14:textId="77777777" w:rsidTr="00855929">
        <w:trPr>
          <w:trHeight w:val="170"/>
        </w:trPr>
        <w:tc>
          <w:tcPr>
            <w:tcW w:w="197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F3FF1E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Warstwa ścieralna </w:t>
            </w: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2F218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 1-2 </w:t>
            </w:r>
          </w:p>
        </w:tc>
        <w:tc>
          <w:tcPr>
            <w:tcW w:w="59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25008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Pasta asfaltowa </w:t>
            </w:r>
          </w:p>
        </w:tc>
      </w:tr>
      <w:tr w:rsidR="002326E7" w:rsidRPr="002326E7" w14:paraId="26657A6E" w14:textId="77777777" w:rsidTr="00855929">
        <w:trPr>
          <w:trHeight w:val="170"/>
        </w:trPr>
        <w:tc>
          <w:tcPr>
            <w:tcW w:w="0" w:type="auto"/>
            <w:vMerge/>
            <w:tcBorders>
              <w:top w:val="nil"/>
              <w:left w:val="single" w:sz="4" w:space="0" w:color="000000"/>
              <w:bottom w:val="single" w:sz="4" w:space="0" w:color="000000"/>
              <w:right w:val="single" w:sz="4" w:space="0" w:color="000000"/>
            </w:tcBorders>
            <w:shd w:val="clear" w:color="auto" w:fill="auto"/>
          </w:tcPr>
          <w:p w14:paraId="4725802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11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B3416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 3-7 </w:t>
            </w:r>
          </w:p>
        </w:tc>
        <w:tc>
          <w:tcPr>
            <w:tcW w:w="59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E0B3F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Elastyczna taśma bitumiczna + środek gruntujący lub zalewa drogowa na gorąco </w:t>
            </w:r>
          </w:p>
        </w:tc>
      </w:tr>
    </w:tbl>
    <w:p w14:paraId="1E16842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Uwaga: W przypadku elastycznych taśm bitumicznych należy zastosować środek do gruntowania powierzchni połączeń technologicznych przewidziany przez producenta taśmy. </w:t>
      </w:r>
    </w:p>
    <w:p w14:paraId="60D7F2B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Materiały do połączeń technologicznych muszą spełniać wymagania sformułowane w tabelach 10, 11 i 12  z WT-2 2016 – część II. Zalewy drogowe na gorąco muszą spełniać wymagania dla typu N1 wg normy PN-EN 14188-1 tablica 2 punkty od 1 do 11.2.8 </w:t>
      </w:r>
    </w:p>
    <w:p w14:paraId="5786C1E0"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2.2.3. Lepiszcze do skropienia podłoża </w:t>
      </w:r>
    </w:p>
    <w:p w14:paraId="67C88A1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Lepiszcze do skropienia podłoża powinno spełniać wymagania podane PN-EN 13808 i STWiORB D.04.03.01. </w:t>
      </w:r>
    </w:p>
    <w:p w14:paraId="1366546C"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2.2.4. Dodatki do mieszanki mineralno-asfaltowej </w:t>
      </w:r>
    </w:p>
    <w:p w14:paraId="57C1725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 zgodą Zamawiającego mogą być stosowane dodatki stabilizujące lub modyfikujące. Pochodzenie, rodzaj i właściwości dodatków powinny być deklarowane. Skuteczność stosowanych dodatków i modyfikatorów powinna być udokumentowana zgodnie z PN-EN 13108-5 punkt 4.1. </w:t>
      </w:r>
    </w:p>
    <w:p w14:paraId="334BB1B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Zaleca się stosowanie do mieszanek mineralno-asfaltowych, dodatku środka obniżającego temperaturę produkcji i układania – nie dotyczy to produkcji mieszanek mineralnoasfaltowych z dozowaniem granulatu asfaltowego w technologii „na zimno”. </w:t>
      </w:r>
    </w:p>
    <w:p w14:paraId="79EEACD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 mieszanek mineralno-asfaltowych może być stosowany dodatek asfaltu naturalnego, jeżeli spełnia wymagania podane w PN-EN 13108-4 Załącznik B. </w:t>
      </w:r>
    </w:p>
    <w:p w14:paraId="5468FC95"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51" w:name="_Toc55070"/>
      <w:r w:rsidRPr="002326E7">
        <w:rPr>
          <w:rFonts w:ascii="Arial Narrow" w:eastAsia="Times New Roman" w:hAnsi="Arial Narrow" w:cs="Times New Roman"/>
          <w:b/>
          <w:sz w:val="28"/>
          <w:szCs w:val="20"/>
          <w:lang w:val="x-none" w:eastAsia="x-none"/>
        </w:rPr>
        <w:t xml:space="preserve">2.3. Dostawy materiałów </w:t>
      </w:r>
      <w:bookmarkEnd w:id="751"/>
    </w:p>
    <w:p w14:paraId="5AAEC98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 dostawy materiałów odpowiedzialny jest Wykonawca robót zgodnie z ustaleniami określonymi w D-M-00.00.00 "Wymagania ogólne". </w:t>
      </w:r>
    </w:p>
    <w:p w14:paraId="7E7715D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 obowiązku Wykonawcy należy takie zorganizowanie dostaw materiałów do wytwarzania MMA, aby zapewnić nieprzerwaną pracę otaczarki w trakcie wykonywania dziennej działki roboczej. Jakość każdej dostawy kruszywa i wypełniacza musi być potwierdzona deklaracją producenta (oznakowanie CE).  </w:t>
      </w:r>
    </w:p>
    <w:p w14:paraId="398EB1DA"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52" w:name="_Toc55071"/>
      <w:r w:rsidRPr="002326E7">
        <w:rPr>
          <w:rFonts w:ascii="Arial Narrow" w:eastAsia="Times New Roman" w:hAnsi="Arial Narrow" w:cs="Times New Roman"/>
          <w:b/>
          <w:sz w:val="28"/>
          <w:szCs w:val="20"/>
          <w:lang w:val="x-none" w:eastAsia="x-none"/>
        </w:rPr>
        <w:t xml:space="preserve">2.4. Składowanie materiałów </w:t>
      </w:r>
      <w:bookmarkEnd w:id="752"/>
    </w:p>
    <w:p w14:paraId="3249C7B2"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2.4.1. Składowanie kruszywa </w:t>
      </w:r>
    </w:p>
    <w:p w14:paraId="537EC6C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Składowanie kruszywa powinno odbywać się w warunkach zabezpieczających je przed zanieczyszczeniem i zmieszaniem z innymi rodzajami lub frakcjami kruszywa. </w:t>
      </w:r>
    </w:p>
    <w:p w14:paraId="419D0607"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2.4.2. Składowanie wypełniacza </w:t>
      </w:r>
    </w:p>
    <w:p w14:paraId="3FFD21C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Wypełniacz należy składować w silosach wyposażonych w urządzenia do aeracji. </w:t>
      </w:r>
    </w:p>
    <w:p w14:paraId="6D064E1F"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2.4.3. Składowanie asfaltu </w:t>
      </w:r>
    </w:p>
    <w:p w14:paraId="25EFF24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Lepiszcze asfaltowe należy przechowywać zgodnie z zasadami podanymi w pkt. 8.3 WT-2 2014 – część I. Zbiorniki na asfalt modyfikowany winny być wyposażone w mieszadła mechaniczne lub co najmniej winny mieć zapewniony system przepompowywania wprawiający w cyrkulację asfalt z dolnych partii zbiornika. Maksymalne temperatury składowania asfaltu drogowego powinny być zgodne z tabelą 41 ww. wytycznych. Temperatury składowania asfaltów modyfikowanych powinny być zgodne z zaleceniami  producenta.  </w:t>
      </w:r>
    </w:p>
    <w:p w14:paraId="012D45D0"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2.4.4. Składowanie środka adhezyjnego </w:t>
      </w:r>
    </w:p>
    <w:p w14:paraId="40DBF7C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Składowanie środka adhezyjnego jest dozwolone tylko w oryginalnych opakowaniach producenta w warunkach podanych zgodnie z zaleceniami producenta. </w:t>
      </w:r>
    </w:p>
    <w:p w14:paraId="51BC93FC"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2.4.5. Składowanie stabilizatora mastyksu </w:t>
      </w:r>
    </w:p>
    <w:p w14:paraId="4A860CE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Składowanie stabilizatora mastyksu jest dozwolone tylko w oryginalnych opakowaniach producenta lub w odpowiednich do tego celu przystosowanych zbiornikach,  zgodnie  z zaleceniami producenta. </w:t>
      </w:r>
    </w:p>
    <w:p w14:paraId="13AACCE6" w14:textId="77777777" w:rsidR="002326E7" w:rsidRPr="002326E7" w:rsidRDefault="002326E7" w:rsidP="002326E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753" w:name="_Toc55072"/>
      <w:r w:rsidRPr="002326E7">
        <w:rPr>
          <w:rFonts w:ascii="Arial Narrow" w:eastAsia="Times New Roman" w:hAnsi="Arial Narrow" w:cs="Times New Roman"/>
          <w:b/>
          <w:caps/>
          <w:kern w:val="28"/>
          <w:sz w:val="28"/>
          <w:szCs w:val="20"/>
          <w:lang w:val="x-none" w:eastAsia="x-none"/>
        </w:rPr>
        <w:t xml:space="preserve">3. SPRZĘT </w:t>
      </w:r>
      <w:bookmarkEnd w:id="753"/>
    </w:p>
    <w:p w14:paraId="1A833D2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Ogólne wymagania dotyczące sprzętu podano w D-M-00.00.00 "Wymagania ogólne". </w:t>
      </w:r>
    </w:p>
    <w:p w14:paraId="37CD60A6"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54" w:name="_Toc55073"/>
      <w:r w:rsidRPr="002326E7">
        <w:rPr>
          <w:rFonts w:ascii="Arial Narrow" w:eastAsia="Times New Roman" w:hAnsi="Arial Narrow" w:cs="Times New Roman"/>
          <w:b/>
          <w:sz w:val="28"/>
          <w:szCs w:val="20"/>
          <w:lang w:val="x-none" w:eastAsia="x-none"/>
        </w:rPr>
        <w:t xml:space="preserve">3.1. Wytwórnia mieszanek mineralno-asfaltowych </w:t>
      </w:r>
      <w:bookmarkEnd w:id="754"/>
    </w:p>
    <w:p w14:paraId="5D01A09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Produkcja mieszanki mineralno-asfaltowej powinna odbywać się na WMA o cyklicznym systemie produkcji mieszanki. WMA powinna prowadzić system ZKP (Zakładowa Kontrola Produkcji) zgodnie z wymaganiami PN-EN 13108-21, certyfikowany przez jednostkę notyfikowaną. Dozowanie wszystkich składników powinno odbywać się wagowo, dopuszcza się objętościowe dozowanie środka adhezyjnego.   </w:t>
      </w:r>
    </w:p>
    <w:p w14:paraId="227A83FE"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55" w:name="_Toc55074"/>
      <w:r w:rsidRPr="002326E7">
        <w:rPr>
          <w:rFonts w:ascii="Arial Narrow" w:eastAsia="Times New Roman" w:hAnsi="Arial Narrow" w:cs="Times New Roman"/>
          <w:b/>
          <w:sz w:val="28"/>
          <w:szCs w:val="20"/>
          <w:lang w:val="x-none" w:eastAsia="x-none"/>
        </w:rPr>
        <w:lastRenderedPageBreak/>
        <w:t xml:space="preserve">3.2. Układarka mieszanek mineralno-asfaltowych </w:t>
      </w:r>
      <w:bookmarkEnd w:id="755"/>
    </w:p>
    <w:p w14:paraId="5126778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Układanie mieszanki powinno odbywać się możliwie największą szerokością, przy użyciu mechanicznej układarki do układania mieszanki mineralno-asfaltowej lub zespołem układarek pracujących równolegle z przesunięciem roboczym umożliwiającym ułożenie stykających się warstw asfaltowych na gorąco, posiadającej następujące urządzenia: </w:t>
      </w:r>
    </w:p>
    <w:p w14:paraId="4BC417C3"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automatyczne sterowanie pozwalające na ułożenie warstwy zgodnie z założoną niweletą i grubością, </w:t>
      </w:r>
    </w:p>
    <w:p w14:paraId="3CD063A4"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płytę wibracyjną do wstępnego zagęszczenia mieszanki, </w:t>
      </w:r>
    </w:p>
    <w:p w14:paraId="218B4F37"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urządzenia do podgrzewania płyty wibracyjnej. </w:t>
      </w:r>
    </w:p>
    <w:p w14:paraId="786AB32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Mieszanki mineralno-asfaltowe można rozkładać specjalną maszyną drogową z podwójnym zestawem rozkładającym do układania dwóch warstw technologicznych w jednej operacji (tzw. asfaltowe warstwy kompaktowe).  </w:t>
      </w:r>
    </w:p>
    <w:p w14:paraId="306754D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Przy wykonywaniu nawierzchni dróg o kategorii KR 6-7, do warstwy ścieralnej wymagane jest: </w:t>
      </w:r>
    </w:p>
    <w:p w14:paraId="072E2076"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stosowanie podajnik</w:t>
      </w:r>
      <w:r w:rsidRPr="002326E7">
        <w:rPr>
          <w:rFonts w:ascii="Arial Narrow" w:eastAsia="Times New Roman" w:hAnsi="Arial Narrow" w:cs="Arial Narrow"/>
          <w:sz w:val="20"/>
          <w:szCs w:val="20"/>
          <w:lang w:val="x-none" w:eastAsia="x-none"/>
        </w:rPr>
        <w:t>ó</w:t>
      </w:r>
      <w:r w:rsidRPr="002326E7">
        <w:rPr>
          <w:rFonts w:ascii="Arial Narrow" w:eastAsia="Times New Roman" w:hAnsi="Arial Narrow" w:cs="Times New Roman"/>
          <w:sz w:val="20"/>
          <w:szCs w:val="20"/>
          <w:lang w:val="x-none" w:eastAsia="x-none"/>
        </w:rPr>
        <w:t>w mieszanki mineralno-asfaltowej do zasilania kosza rozk</w:t>
      </w:r>
      <w:r w:rsidRPr="002326E7">
        <w:rPr>
          <w:rFonts w:ascii="Arial Narrow" w:eastAsia="Times New Roman" w:hAnsi="Arial Narrow" w:cs="Arial Narrow"/>
          <w:sz w:val="20"/>
          <w:szCs w:val="20"/>
          <w:lang w:val="x-none" w:eastAsia="x-none"/>
        </w:rPr>
        <w:t>ł</w:t>
      </w:r>
      <w:r w:rsidRPr="002326E7">
        <w:rPr>
          <w:rFonts w:ascii="Arial Narrow" w:eastAsia="Times New Roman" w:hAnsi="Arial Narrow" w:cs="Times New Roman"/>
          <w:sz w:val="20"/>
          <w:szCs w:val="20"/>
          <w:lang w:val="x-none" w:eastAsia="x-none"/>
        </w:rPr>
        <w:t xml:space="preserve">adarki ze </w:t>
      </w:r>
      <w:r w:rsidRPr="002326E7">
        <w:rPr>
          <w:rFonts w:ascii="Arial Narrow" w:eastAsia="Times New Roman" w:hAnsi="Arial Narrow" w:cs="Arial Narrow"/>
          <w:sz w:val="20"/>
          <w:szCs w:val="20"/>
          <w:lang w:val="x-none" w:eastAsia="x-none"/>
        </w:rPr>
        <w:t>ś</w:t>
      </w:r>
      <w:r w:rsidRPr="002326E7">
        <w:rPr>
          <w:rFonts w:ascii="Arial Narrow" w:eastAsia="Times New Roman" w:hAnsi="Arial Narrow" w:cs="Times New Roman"/>
          <w:sz w:val="20"/>
          <w:szCs w:val="20"/>
          <w:lang w:val="x-none" w:eastAsia="x-none"/>
        </w:rPr>
        <w:t>rodk</w:t>
      </w:r>
      <w:r w:rsidRPr="002326E7">
        <w:rPr>
          <w:rFonts w:ascii="Arial Narrow" w:eastAsia="Times New Roman" w:hAnsi="Arial Narrow" w:cs="Arial Narrow"/>
          <w:sz w:val="20"/>
          <w:szCs w:val="20"/>
          <w:lang w:val="x-none" w:eastAsia="x-none"/>
        </w:rPr>
        <w:t>ó</w:t>
      </w:r>
      <w:r w:rsidRPr="002326E7">
        <w:rPr>
          <w:rFonts w:ascii="Arial Narrow" w:eastAsia="Times New Roman" w:hAnsi="Arial Narrow" w:cs="Times New Roman"/>
          <w:sz w:val="20"/>
          <w:szCs w:val="20"/>
          <w:lang w:val="x-none" w:eastAsia="x-none"/>
        </w:rPr>
        <w:t xml:space="preserve">w transportu. Zaleca się stosowanie takich podajników również do warstw wiążących, </w:t>
      </w:r>
    </w:p>
    <w:p w14:paraId="0FA0015F"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stosowanie rozk</w:t>
      </w:r>
      <w:r w:rsidRPr="002326E7">
        <w:rPr>
          <w:rFonts w:ascii="Arial Narrow" w:eastAsia="Times New Roman" w:hAnsi="Arial Narrow" w:cs="Arial Narrow"/>
          <w:sz w:val="20"/>
          <w:szCs w:val="20"/>
          <w:lang w:val="x-none" w:eastAsia="x-none"/>
        </w:rPr>
        <w:t>ł</w:t>
      </w:r>
      <w:r w:rsidRPr="002326E7">
        <w:rPr>
          <w:rFonts w:ascii="Arial Narrow" w:eastAsia="Times New Roman" w:hAnsi="Arial Narrow" w:cs="Times New Roman"/>
          <w:sz w:val="20"/>
          <w:szCs w:val="20"/>
          <w:lang w:val="x-none" w:eastAsia="x-none"/>
        </w:rPr>
        <w:t>adarek wyposa</w:t>
      </w:r>
      <w:r w:rsidRPr="002326E7">
        <w:rPr>
          <w:rFonts w:ascii="Arial Narrow" w:eastAsia="Times New Roman" w:hAnsi="Arial Narrow" w:cs="Arial Narrow"/>
          <w:sz w:val="20"/>
          <w:szCs w:val="20"/>
          <w:lang w:val="x-none" w:eastAsia="x-none"/>
        </w:rPr>
        <w:t>ż</w:t>
      </w:r>
      <w:r w:rsidRPr="002326E7">
        <w:rPr>
          <w:rFonts w:ascii="Arial Narrow" w:eastAsia="Times New Roman" w:hAnsi="Arial Narrow" w:cs="Times New Roman"/>
          <w:sz w:val="20"/>
          <w:szCs w:val="20"/>
          <w:lang w:val="x-none" w:eastAsia="x-none"/>
        </w:rPr>
        <w:t xml:space="preserve">onych w </w:t>
      </w:r>
      <w:r w:rsidRPr="002326E7">
        <w:rPr>
          <w:rFonts w:ascii="Arial Narrow" w:eastAsia="Times New Roman" w:hAnsi="Arial Narrow" w:cs="Arial Narrow"/>
          <w:sz w:val="20"/>
          <w:szCs w:val="20"/>
          <w:lang w:val="x-none" w:eastAsia="x-none"/>
        </w:rPr>
        <w:t>ł</w:t>
      </w:r>
      <w:r w:rsidRPr="002326E7">
        <w:rPr>
          <w:rFonts w:ascii="Arial Narrow" w:eastAsia="Times New Roman" w:hAnsi="Arial Narrow" w:cs="Times New Roman"/>
          <w:sz w:val="20"/>
          <w:szCs w:val="20"/>
          <w:lang w:val="x-none" w:eastAsia="x-none"/>
        </w:rPr>
        <w:t>at</w:t>
      </w:r>
      <w:r w:rsidRPr="002326E7">
        <w:rPr>
          <w:rFonts w:ascii="Arial Narrow" w:eastAsia="Times New Roman" w:hAnsi="Arial Narrow" w:cs="Arial Narrow"/>
          <w:sz w:val="20"/>
          <w:szCs w:val="20"/>
          <w:lang w:val="x-none" w:eastAsia="x-none"/>
        </w:rPr>
        <w:t>ę</w:t>
      </w:r>
      <w:r w:rsidRPr="002326E7">
        <w:rPr>
          <w:rFonts w:ascii="Arial Narrow" w:eastAsia="Times New Roman" w:hAnsi="Arial Narrow" w:cs="Times New Roman"/>
          <w:sz w:val="20"/>
          <w:szCs w:val="20"/>
          <w:lang w:val="x-none" w:eastAsia="x-none"/>
        </w:rPr>
        <w:t xml:space="preserve"> o d</w:t>
      </w:r>
      <w:r w:rsidRPr="002326E7">
        <w:rPr>
          <w:rFonts w:ascii="Arial Narrow" w:eastAsia="Times New Roman" w:hAnsi="Arial Narrow" w:cs="Arial Narrow"/>
          <w:sz w:val="20"/>
          <w:szCs w:val="20"/>
          <w:lang w:val="x-none" w:eastAsia="x-none"/>
        </w:rPr>
        <w:t>ł</w:t>
      </w:r>
      <w:r w:rsidRPr="002326E7">
        <w:rPr>
          <w:rFonts w:ascii="Arial Narrow" w:eastAsia="Times New Roman" w:hAnsi="Arial Narrow" w:cs="Times New Roman"/>
          <w:sz w:val="20"/>
          <w:szCs w:val="20"/>
          <w:lang w:val="x-none" w:eastAsia="x-none"/>
        </w:rPr>
        <w:t>ugo</w:t>
      </w:r>
      <w:r w:rsidRPr="002326E7">
        <w:rPr>
          <w:rFonts w:ascii="Arial Narrow" w:eastAsia="Times New Roman" w:hAnsi="Arial Narrow" w:cs="Arial Narrow"/>
          <w:sz w:val="20"/>
          <w:szCs w:val="20"/>
          <w:lang w:val="x-none" w:eastAsia="x-none"/>
        </w:rPr>
        <w:t>ś</w:t>
      </w:r>
      <w:r w:rsidRPr="002326E7">
        <w:rPr>
          <w:rFonts w:ascii="Arial Narrow" w:eastAsia="Times New Roman" w:hAnsi="Arial Narrow" w:cs="Times New Roman"/>
          <w:sz w:val="20"/>
          <w:szCs w:val="20"/>
          <w:lang w:val="x-none" w:eastAsia="x-none"/>
        </w:rPr>
        <w:t xml:space="preserve">ci min. 10 m z co najmniej 3 czujnikami. </w:t>
      </w:r>
    </w:p>
    <w:p w14:paraId="08615D53"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56" w:name="_Toc55075"/>
      <w:r w:rsidRPr="002326E7">
        <w:rPr>
          <w:rFonts w:ascii="Arial Narrow" w:eastAsia="Times New Roman" w:hAnsi="Arial Narrow" w:cs="Times New Roman"/>
          <w:b/>
          <w:sz w:val="28"/>
          <w:szCs w:val="20"/>
          <w:lang w:val="x-none" w:eastAsia="x-none"/>
        </w:rPr>
        <w:t xml:space="preserve">3.3. Walce do zagęszczania </w:t>
      </w:r>
      <w:bookmarkEnd w:id="756"/>
    </w:p>
    <w:p w14:paraId="1A45FB6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Wykonawca powinien dysponować sprzętem pozwalającym na uzyskanie wymaganego wskaźnika zagęszczenia warstwy z mieszanki mineralno-asfaltowej.  </w:t>
      </w:r>
    </w:p>
    <w:p w14:paraId="09C9F4B0"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57" w:name="_Toc55076"/>
      <w:r w:rsidRPr="002326E7">
        <w:rPr>
          <w:rFonts w:ascii="Arial Narrow" w:eastAsia="Times New Roman" w:hAnsi="Arial Narrow" w:cs="Times New Roman"/>
          <w:b/>
          <w:sz w:val="28"/>
          <w:szCs w:val="20"/>
          <w:lang w:val="x-none" w:eastAsia="x-none"/>
        </w:rPr>
        <w:t xml:space="preserve">3.4. Skrapiarki </w:t>
      </w:r>
      <w:bookmarkEnd w:id="757"/>
    </w:p>
    <w:p w14:paraId="23BCB0B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Wykonawca powinien dysponować skrapiarką spełniającą wymagania STWiORB D.04.03.01, pozwalającą na równomierne i zgodne z wymaganiami równomierne skropienie podłoża. </w:t>
      </w:r>
    </w:p>
    <w:p w14:paraId="18D55AB1"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58" w:name="_Toc55077"/>
      <w:r w:rsidRPr="002326E7">
        <w:rPr>
          <w:rFonts w:ascii="Arial Narrow" w:eastAsia="Times New Roman" w:hAnsi="Arial Narrow" w:cs="Times New Roman"/>
          <w:b/>
          <w:sz w:val="28"/>
          <w:szCs w:val="20"/>
          <w:lang w:val="x-none" w:eastAsia="x-none"/>
        </w:rPr>
        <w:t xml:space="preserve">3.5. Rozsypywarka kruszywa </w:t>
      </w:r>
      <w:bookmarkEnd w:id="758"/>
    </w:p>
    <w:p w14:paraId="4C0500D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Wykonawca powinien dysponować rozsypywarką kruszywa lub posiadać walec  z zamontowaną rozsypywarką. </w:t>
      </w:r>
    </w:p>
    <w:p w14:paraId="76FDBE9F"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59" w:name="_Toc55078"/>
      <w:r w:rsidRPr="002326E7">
        <w:rPr>
          <w:rFonts w:ascii="Arial Narrow" w:eastAsia="Times New Roman" w:hAnsi="Arial Narrow" w:cs="Times New Roman"/>
          <w:b/>
          <w:sz w:val="28"/>
          <w:szCs w:val="20"/>
          <w:lang w:val="x-none" w:eastAsia="x-none"/>
        </w:rPr>
        <w:t xml:space="preserve">3.6. Samobieżny podajnik </w:t>
      </w:r>
      <w:bookmarkEnd w:id="759"/>
    </w:p>
    <w:p w14:paraId="7F86D26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Przy wykonywaniu nawierzchni dróg o kategorii KR 6-7 Wykonawca powinien dysponować samobieżnym podajnikiem stosowanym jako bezkontaktowy element połączeniowy pomiędzy rozkładarką a pojazdami transportowymi dowożącymi  mieszanki mineralnoasfaltowe. </w:t>
      </w:r>
    </w:p>
    <w:p w14:paraId="7242579D" w14:textId="77777777" w:rsidR="002326E7" w:rsidRPr="002326E7" w:rsidRDefault="002326E7" w:rsidP="002326E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2326E7">
        <w:rPr>
          <w:rFonts w:ascii="Arial Narrow" w:eastAsia="Times New Roman" w:hAnsi="Arial Narrow" w:cs="Times New Roman"/>
          <w:b/>
          <w:caps/>
          <w:kern w:val="28"/>
          <w:sz w:val="28"/>
          <w:szCs w:val="20"/>
          <w:lang w:val="x-none" w:eastAsia="x-none"/>
        </w:rPr>
        <w:t xml:space="preserve">4. </w:t>
      </w:r>
      <w:bookmarkStart w:id="760" w:name="_Toc55079"/>
      <w:r w:rsidRPr="002326E7">
        <w:rPr>
          <w:rFonts w:ascii="Arial Narrow" w:eastAsia="Times New Roman" w:hAnsi="Arial Narrow" w:cs="Times New Roman"/>
          <w:b/>
          <w:caps/>
          <w:kern w:val="28"/>
          <w:sz w:val="28"/>
          <w:szCs w:val="20"/>
          <w:lang w:val="x-none" w:eastAsia="x-none"/>
        </w:rPr>
        <w:t xml:space="preserve">TRANSPORT </w:t>
      </w:r>
      <w:bookmarkEnd w:id="760"/>
    </w:p>
    <w:p w14:paraId="762803A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Ogólne wymagania dotyczące transportu podano w D-M-00.00.00 "Wymagania ogólne". Mieszanki mineralno-asfaltowe powinny być dowożone na budowę odpowiednio do postępu robót, tak aby zapewnić ciągłość wbudowania. Podczas transportu i postoju przed wbudowaniem mieszanki powinny być zabezpieczone przed ostygnięciem i dopływem powietrza (przykrycie, pojemniki termoizolacyjne lub pojazdy ogrzewane itp.). Mieszanki mineralno-asfaltowe, powinny być przewożone pojazdami samowyładowczymi.  </w:t>
      </w:r>
    </w:p>
    <w:p w14:paraId="782184A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Podczas transportu mieszanki mineralno-asfaltowej muszą być zachowane dopuszczalne wartości temperatury. Dowieziona do rozkładarki mieszanka musi mieć temperaturę w wymaganym przedziale określonym w WT-2 2014 – część I tab. 42. Nie dotyczy to przypadków użycia dodatków obniżających temperaturę produkcji i wbudowania lepiszczy zawierających takie środki, lub specjalnych technologii produkcji i wbudowywania w obniżonej temperaturze. W tym zakresie należy  kierować się informacjami (zaleceniami) podanymi przez producentów tych środków. </w:t>
      </w:r>
    </w:p>
    <w:p w14:paraId="38EB945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Powierzchnie skrzyń ładunkowych lub pojemników używanych do transportu mieszanki powinny być czyste. Do zwilżania tych powierzchni można używać tylko tego rodzaju środków antyadhezyjnych, które nie oddziałują szkodliwie na mieszanki mineralnoasfaltowe. Zabrania się skrapiania skrzyń olejem napędowym lub innymi środkami ropopochodnymi. </w:t>
      </w:r>
    </w:p>
    <w:p w14:paraId="40A605E6" w14:textId="77777777" w:rsidR="002326E7" w:rsidRPr="002326E7" w:rsidRDefault="002326E7" w:rsidP="002326E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761" w:name="_Toc55080"/>
      <w:r w:rsidRPr="002326E7">
        <w:rPr>
          <w:rFonts w:ascii="Arial Narrow" w:eastAsia="Times New Roman" w:hAnsi="Arial Narrow" w:cs="Times New Roman"/>
          <w:b/>
          <w:caps/>
          <w:kern w:val="28"/>
          <w:sz w:val="28"/>
          <w:szCs w:val="20"/>
          <w:lang w:val="x-none" w:eastAsia="x-none"/>
        </w:rPr>
        <w:t xml:space="preserve">5. WYKONANIE ROBÓT </w:t>
      </w:r>
      <w:bookmarkEnd w:id="761"/>
    </w:p>
    <w:p w14:paraId="3C3D28E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Ogólne zasady wykonania robót podano w D-M-00.00.00 "Wymagania ogólne". </w:t>
      </w:r>
    </w:p>
    <w:p w14:paraId="1157631D"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62" w:name="_Toc55081"/>
      <w:r w:rsidRPr="002326E7">
        <w:rPr>
          <w:rFonts w:ascii="Arial Narrow" w:eastAsia="Times New Roman" w:hAnsi="Arial Narrow" w:cs="Times New Roman"/>
          <w:b/>
          <w:sz w:val="28"/>
          <w:szCs w:val="20"/>
          <w:lang w:val="x-none" w:eastAsia="x-none"/>
        </w:rPr>
        <w:t xml:space="preserve">5.1. Projektowanie mieszanki mineralno-asfaltowej </w:t>
      </w:r>
      <w:bookmarkEnd w:id="762"/>
    </w:p>
    <w:p w14:paraId="60821BA9"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terminie 7 dni przed rozpoczęciem robót Wykonawca przedstawi Inżynierowi/Inspektorowi Nadzoru do zatwierdzenia projekt MMA (Badanie Typu) oraz wszystkie dokumenty potwierdzające jakość materiałów składowych MMA  i reprezentatywne próbki materiałów. MMA powinna być zaprojektowana zgodnie z pkt. 8.1 i 8.2.5 WT-2 2014 – część I w zależności od kategorii ruchu.  </w:t>
      </w:r>
    </w:p>
    <w:p w14:paraId="7A6C113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Wykonawca powinien zapewnić, aby podczas opracowywania Badania Typu MMA, były zastosowane w pełni reprezentatywne próbki materiałów składowych, które zostaną użyte do wykonania robót. </w:t>
      </w:r>
    </w:p>
    <w:p w14:paraId="1EDD374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 zaprojektowanego Badania Typu dla nawierzchni dróg KR≥5 na obiektach inżynierskich w ciągu głównym dróg krajowych i autostrad o nawierzchni betonowej oraz dla nawierzchni w tunelach należy określić współczynnik luminancji Qd na próbce laboratoryjnej przygotowanej zgodnie Instrukcją badawczą „Pomiar współczynnika luminancji jasnych nawierzchni asfaltowych” opisaną w Załączniku Nr 4 do WT-2 2014 część I. Wartość współczynnika luminancji Qd nie powinna być mniejsza od 70 mcd/m2*lx dla nawierzchni przewidzianych na otwartym terenie i 90 mcd/m2*lx dla nawierzchni przewidzianych  w tunelu. Badanie współczynnika luminancji powinno zostać przeprowadzone i załączone do Badania Typu.  </w:t>
      </w:r>
    </w:p>
    <w:p w14:paraId="279DB585"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63" w:name="_Toc55082"/>
      <w:r w:rsidRPr="002326E7">
        <w:rPr>
          <w:rFonts w:ascii="Arial Narrow" w:eastAsia="Times New Roman" w:hAnsi="Arial Narrow" w:cs="Times New Roman"/>
          <w:b/>
          <w:sz w:val="28"/>
          <w:szCs w:val="20"/>
          <w:lang w:val="x-none" w:eastAsia="x-none"/>
        </w:rPr>
        <w:t xml:space="preserve">5.2. Wytwarzanie MMA </w:t>
      </w:r>
      <w:bookmarkEnd w:id="763"/>
    </w:p>
    <w:p w14:paraId="6849814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Produkcja MMA powinna odbywać się na WMA o cyklicznym systemie produkcji mieszanki, zgodnie z wymaganiami opisanymi w p. 3.1. Dozowanie wszystkich składników powinno odbywać się wagowo, dopuszcza się objętościowe dozowanie środka adhezyjnego.  </w:t>
      </w:r>
    </w:p>
    <w:p w14:paraId="66F1C2C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Temperatury technologiczne wytwarzania MMA powinny być zgodne z wymaganiami podanymi w p. 8.3 WT-2 2014 część I (Tabela 42) lub zgodnie z zaleceniami producenta. Mieszankę MMA zaleca się wbudowywać bezpośrednio po wyprodukowaniu bez magazynowania na zapas. Przechowywanie wyprodukowanej MMA w silosie może mieć miejsce tylko w sytuacjach awaryjnych. </w:t>
      </w:r>
    </w:p>
    <w:p w14:paraId="63CA56C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lastRenderedPageBreak/>
        <w:t xml:space="preserve">Jeżeli mieszanka mineralno-asfaltowa jest dostarczana z kilku wytwórni lub od kilku producentów, to należy zapewnić zgodność typu i wymiaru mieszanki oraz spełnienie wymagań dokumentacji projektowej. </w:t>
      </w:r>
    </w:p>
    <w:p w14:paraId="646F4417"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64" w:name="_Toc55083"/>
      <w:r w:rsidRPr="002326E7">
        <w:rPr>
          <w:rFonts w:ascii="Arial Narrow" w:eastAsia="Times New Roman" w:hAnsi="Arial Narrow" w:cs="Times New Roman"/>
          <w:b/>
          <w:sz w:val="28"/>
          <w:szCs w:val="20"/>
          <w:lang w:val="x-none" w:eastAsia="x-none"/>
        </w:rPr>
        <w:t xml:space="preserve">5.3. Przygotowanie podłoża </w:t>
      </w:r>
      <w:bookmarkEnd w:id="764"/>
    </w:p>
    <w:p w14:paraId="1B940A9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Podłoże pod warstwę ścieralną z MMA powinno być: </w:t>
      </w:r>
    </w:p>
    <w:p w14:paraId="1967DDDD"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nośne i ustabilizowane, </w:t>
      </w:r>
    </w:p>
    <w:p w14:paraId="40B71CEF"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czyste, bez zanieczyszczeń lub pozostałości luźnego kruszywa, </w:t>
      </w:r>
    </w:p>
    <w:p w14:paraId="4BDDD8C3"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wyprofilowane, równe i bez kolein, </w:t>
      </w:r>
    </w:p>
    <w:p w14:paraId="18D185D0"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suche, </w:t>
      </w:r>
    </w:p>
    <w:p w14:paraId="39072F4A"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skropione emulsją asfaltową lub asfaltem zapewniającym powiązanie warstw (skropienia nie wykonuje się jeżeli podłoże pod warstwę ścieralną stanowi warstwa z asfaltu lanego), oraz spełniać wymagania pkt. 7.2. WT-2 2016 – część II.  </w:t>
      </w:r>
    </w:p>
    <w:p w14:paraId="63AE029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Brzegi krawężników i innych urządzeń przylegających do nawierzchni powinny zostać połączone z MMA zgodnie z pkt. 7.6.4 WT-2 2016 – część II (sposób wykonania spoin) i przy zastosowaniu materiałów określonych w pkt. 2.2.2 niniejszych STWiORB. </w:t>
      </w:r>
    </w:p>
    <w:p w14:paraId="25A683D2"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5.3.1. Połączenia międzywarstwowe </w:t>
      </w:r>
    </w:p>
    <w:p w14:paraId="001BD9C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Uzyskanie wymaganej trwałości nawierzchni jest uzależnione od zapewnienia połączenia między warstwami oraz ich współpracy w przenoszeniu obciążeń nawierzchni wywołanych ruchem pojazdów.  </w:t>
      </w:r>
    </w:p>
    <w:p w14:paraId="477E232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Zapewnienie połączenia międzywarstwowego wymaga starannego przygotowania podłoża, na którym będą układane kolejne warstwy asfaltowe, zastosowania odpowiedniej emulsji asfaltowej oraz właściwego wykonania skropienia. Podłoże należy przygotować zgodnie z STWiORB D.04.03.01. </w:t>
      </w:r>
    </w:p>
    <w:p w14:paraId="4D18293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Skropienie emulsją asfaltową ma na celu zwiększenie siły połączenia pomiędzy warstwami konstrukcyjnymi oraz zabezpieczenie przed wnikaniem i zaleganiem wody pomiędzy warstwami.  </w:t>
      </w:r>
    </w:p>
    <w:p w14:paraId="32F1661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 skropień należy stosować rodzaj emulsji i ilość w zależności od rodzaju warstwy i kategorii ruchu, zgodnie z zasadami określonymi w STWiORB D.04.03.01.  </w:t>
      </w:r>
    </w:p>
    <w:p w14:paraId="71E55A29"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65" w:name="_Toc55084"/>
      <w:r w:rsidRPr="002326E7">
        <w:rPr>
          <w:rFonts w:ascii="Arial Narrow" w:eastAsia="Times New Roman" w:hAnsi="Arial Narrow" w:cs="Times New Roman"/>
          <w:b/>
          <w:sz w:val="28"/>
          <w:szCs w:val="20"/>
          <w:lang w:val="x-none" w:eastAsia="x-none"/>
        </w:rPr>
        <w:t xml:space="preserve">5.4. Warunki atmosferyczne </w:t>
      </w:r>
      <w:bookmarkEnd w:id="765"/>
    </w:p>
    <w:p w14:paraId="06C0DBB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Warstwa nawierzchni z MMA powinna być układana w temperaturze: </w:t>
      </w:r>
    </w:p>
    <w:p w14:paraId="2FBAE3D0"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podłoża nie mniejszej niż +5°C, </w:t>
      </w:r>
    </w:p>
    <w:p w14:paraId="2FC26999"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temperaturze otoczenie w ciągu doby (pomiary trzy razy dziennie) nie mniejszej niż +5</w:t>
      </w:r>
      <w:r w:rsidRPr="002326E7">
        <w:rPr>
          <w:rFonts w:ascii="Arial Narrow" w:eastAsia="Times New Roman" w:hAnsi="Arial Narrow" w:cs="Times New Roman"/>
          <w:sz w:val="20"/>
          <w:szCs w:val="20"/>
          <w:vertAlign w:val="superscript"/>
          <w:lang w:val="x-none" w:eastAsia="x-none"/>
        </w:rPr>
        <w:t>o</w:t>
      </w:r>
      <w:r w:rsidRPr="002326E7">
        <w:rPr>
          <w:rFonts w:ascii="Arial Narrow" w:eastAsia="Times New Roman" w:hAnsi="Arial Narrow" w:cs="Times New Roman"/>
          <w:sz w:val="20"/>
          <w:szCs w:val="20"/>
          <w:lang w:val="x-none" w:eastAsia="x-none"/>
        </w:rPr>
        <w:t>C dla warstwy o grubości ≥3cm i nie mniejszej niż +10</w:t>
      </w:r>
      <w:r w:rsidRPr="002326E7">
        <w:rPr>
          <w:rFonts w:ascii="Arial Narrow" w:eastAsia="Times New Roman" w:hAnsi="Arial Narrow" w:cs="Times New Roman"/>
          <w:sz w:val="20"/>
          <w:szCs w:val="20"/>
          <w:vertAlign w:val="superscript"/>
          <w:lang w:val="x-none" w:eastAsia="x-none"/>
        </w:rPr>
        <w:t>o</w:t>
      </w:r>
      <w:r w:rsidRPr="002326E7">
        <w:rPr>
          <w:rFonts w:ascii="Arial Narrow" w:eastAsia="Times New Roman" w:hAnsi="Arial Narrow" w:cs="Times New Roman"/>
          <w:sz w:val="20"/>
          <w:szCs w:val="20"/>
          <w:lang w:val="x-none" w:eastAsia="x-none"/>
        </w:rPr>
        <w:t xml:space="preserve">C  dla warstwy o grubości &lt;3cm. </w:t>
      </w:r>
    </w:p>
    <w:p w14:paraId="5059CD8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Nie dopuszcza się układania MMA podczas opadów atmosferycznych i silnego wiatru przekraczającego prędkość 16m/s. </w:t>
      </w:r>
    </w:p>
    <w:p w14:paraId="202F7231"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66" w:name="_Toc55087"/>
      <w:r w:rsidRPr="002326E7">
        <w:rPr>
          <w:rFonts w:ascii="Arial Narrow" w:eastAsia="Times New Roman" w:hAnsi="Arial Narrow" w:cs="Times New Roman"/>
          <w:b/>
          <w:sz w:val="28"/>
          <w:szCs w:val="20"/>
          <w:lang w:val="x-none" w:eastAsia="x-none"/>
        </w:rPr>
        <w:t>5.</w:t>
      </w:r>
      <w:r w:rsidRPr="002326E7">
        <w:rPr>
          <w:rFonts w:ascii="Arial Narrow" w:eastAsia="Times New Roman" w:hAnsi="Arial Narrow" w:cs="Times New Roman"/>
          <w:b/>
          <w:sz w:val="28"/>
          <w:szCs w:val="20"/>
          <w:lang w:eastAsia="x-none"/>
        </w:rPr>
        <w:t>5</w:t>
      </w:r>
      <w:r w:rsidRPr="002326E7">
        <w:rPr>
          <w:rFonts w:ascii="Arial Narrow" w:eastAsia="Times New Roman" w:hAnsi="Arial Narrow" w:cs="Times New Roman"/>
          <w:b/>
          <w:sz w:val="28"/>
          <w:szCs w:val="20"/>
          <w:lang w:val="x-none" w:eastAsia="x-none"/>
        </w:rPr>
        <w:t xml:space="preserve">. Wbudowywanie mieszanki MMA  </w:t>
      </w:r>
      <w:bookmarkEnd w:id="766"/>
    </w:p>
    <w:p w14:paraId="573C7EB7"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Transport MMA powinien odbywać się zgodnie z wymaganiami podanymi w pkt. 7.4 WT-2 2016 – część II. Wbudowywanie MMA powinno odbywać się zgodnie z wymaganiami podanymi w pkt. 7.5 WT-2 2016 – część II.  </w:t>
      </w:r>
    </w:p>
    <w:p w14:paraId="46D6262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Prace związane z wbudowaniem mieszanki mineralno-asfaltowej należy tak zaplanować, aby: </w:t>
      </w:r>
    </w:p>
    <w:p w14:paraId="20832AD9"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umożliwiały układanie warstwy całą szerokością jezdni (jedną rozkładarką lub dwoma rozkładarkami pracującymi obok siebie z przesunięciem wg pkt 7.6.3.1. WT2 2016 – część II); w przypadku przebudów i remontów o dopuszczonym ruchu jednokierunkowym (wahadłowym) szerokością pasa ruchu ,   </w:t>
      </w:r>
    </w:p>
    <w:p w14:paraId="630F7789"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dzienne działki robocze  (tj. odcinki nawierzchni na których mieszanka mineralnoasfaltowa jest wbudowywana jednego dnia) powinny być możliwie jak najdłuższe min. 200 m, </w:t>
      </w:r>
    </w:p>
    <w:p w14:paraId="63699F27"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organizacja dostaw mieszanki powinna zapewnić pracę rozkładarki bez zatrzymań z jednostajną prędkością. </w:t>
      </w:r>
    </w:p>
    <w:p w14:paraId="660B99F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Mieszankę mineralno-asfaltową należy wbudowywać w sprzyjających warunkach atmosferycznych określonych w pkt. 5.4. Temperatura otoczenia może być niższa w wypadku stosowania ogrzewania podłoża i obramowania (np. promienniki podczerwieni, urządzenia mikrofalowe). </w:t>
      </w:r>
    </w:p>
    <w:p w14:paraId="661DBFA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celu poprawy właściwości przeciwpoślizgowych warstwę ścieralną należy układać  w kierunku przeciwnym do przewidywanego ruchu – dotyczy nawierzchni dwujezdniowych oraz jednojezdniowych w przypadku przebudów i remontów układanych szerokością pasa ruchu. </w:t>
      </w:r>
    </w:p>
    <w:p w14:paraId="1E4DD18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stosowania mieszanek mineralno-asfaltowych z dodatkiem umożliwiającym obniżenie temperatury mieszania (mieszanki na ciepło) i wbudowania, należy indywidualnie określić wymagane warunki otoczenia. Układarka powinna być stale zasilana w mieszankę tak, aby w zasobniku zawsze znajdowała się odpowiednia jej ilość, a kosz, transporter i stół były zawsze gorące i nie stygły. W miejscach niedostępnych dla sprzętu dopuszcza się wbudowywanie ręczne. </w:t>
      </w:r>
    </w:p>
    <w:p w14:paraId="2A6C889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Podczas rozkładania grubość wykonywanej warstwy powinna być sprawdzana co 25 m, w co najmniej trzech miejscach (w osi i przy brzegach warstwy). Warstwy wałowane powinny być równomiernie zagęszczane walcami drogowymi o charakterystyce zapewniającej skuteczność zagęszczania, potwierdzoną na odcinku próbnym. </w:t>
      </w:r>
    </w:p>
    <w:p w14:paraId="20C1643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Dopuszczenie wykonanej warstwy asfaltowej na gorąco do ruchu może nastąpić po jej schłodzeniu do temperatury zapewniającej jej odporność na deformacje trwałe.  </w:t>
      </w:r>
    </w:p>
    <w:p w14:paraId="362F98BB"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67" w:name="_Toc55088"/>
      <w:r w:rsidRPr="002326E7">
        <w:rPr>
          <w:rFonts w:ascii="Arial Narrow" w:eastAsia="Times New Roman" w:hAnsi="Arial Narrow" w:cs="Times New Roman"/>
          <w:b/>
          <w:sz w:val="28"/>
          <w:szCs w:val="20"/>
          <w:lang w:val="x-none" w:eastAsia="x-none"/>
        </w:rPr>
        <w:t>5.</w:t>
      </w:r>
      <w:r w:rsidRPr="002326E7">
        <w:rPr>
          <w:rFonts w:ascii="Arial Narrow" w:eastAsia="Times New Roman" w:hAnsi="Arial Narrow" w:cs="Times New Roman"/>
          <w:b/>
          <w:sz w:val="28"/>
          <w:szCs w:val="20"/>
          <w:lang w:eastAsia="x-none"/>
        </w:rPr>
        <w:t>6</w:t>
      </w:r>
      <w:r w:rsidRPr="002326E7">
        <w:rPr>
          <w:rFonts w:ascii="Arial Narrow" w:eastAsia="Times New Roman" w:hAnsi="Arial Narrow" w:cs="Times New Roman"/>
          <w:b/>
          <w:sz w:val="28"/>
          <w:szCs w:val="20"/>
          <w:lang w:val="x-none" w:eastAsia="x-none"/>
        </w:rPr>
        <w:t xml:space="preserve">. Połączenia technologiczne </w:t>
      </w:r>
      <w:bookmarkEnd w:id="767"/>
    </w:p>
    <w:p w14:paraId="5B03219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Połączenia technologiczne powinny być wykonane przy zastosowaniu materiałów określonych w pkt 2.2.1 niniejszego STWiORB, oraz zgodnie z pkt. 7.6 WT-2 2016 – część II.  </w:t>
      </w:r>
    </w:p>
    <w:p w14:paraId="222C67A9"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2326E7">
        <w:rPr>
          <w:rFonts w:ascii="Arial Narrow" w:eastAsia="Times New Roman" w:hAnsi="Arial Narrow" w:cs="Times New Roman"/>
          <w:b/>
          <w:sz w:val="28"/>
          <w:szCs w:val="20"/>
          <w:lang w:val="x-none" w:eastAsia="x-none"/>
        </w:rPr>
        <w:t>5.</w:t>
      </w:r>
      <w:r w:rsidRPr="002326E7">
        <w:rPr>
          <w:rFonts w:ascii="Arial Narrow" w:eastAsia="Times New Roman" w:hAnsi="Arial Narrow" w:cs="Times New Roman"/>
          <w:b/>
          <w:sz w:val="28"/>
          <w:szCs w:val="20"/>
          <w:lang w:eastAsia="x-none"/>
        </w:rPr>
        <w:t>6</w:t>
      </w:r>
      <w:r w:rsidRPr="002326E7">
        <w:rPr>
          <w:rFonts w:ascii="Arial Narrow" w:eastAsia="Times New Roman" w:hAnsi="Arial Narrow" w:cs="Times New Roman"/>
          <w:b/>
          <w:sz w:val="28"/>
          <w:szCs w:val="20"/>
          <w:lang w:val="x-none" w:eastAsia="x-none"/>
        </w:rPr>
        <w:t xml:space="preserve">.1. Sposób i warunki aplikacji materiałów stosowanych do złączy.  </w:t>
      </w:r>
    </w:p>
    <w:p w14:paraId="1C919504"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t xml:space="preserve">5.6.1.1. </w:t>
      </w:r>
      <w:r w:rsidRPr="002326E7">
        <w:rPr>
          <w:rFonts w:ascii="Arial Narrow" w:eastAsia="Times New Roman" w:hAnsi="Arial Narrow" w:cs="Times New Roman"/>
          <w:b/>
          <w:sz w:val="20"/>
          <w:szCs w:val="20"/>
          <w:lang w:eastAsia="pl-PL"/>
        </w:rPr>
        <w:tab/>
        <w:t xml:space="preserve">Wymagania wobec wbudowania elastycznych taśm bitumicznych </w:t>
      </w:r>
    </w:p>
    <w:p w14:paraId="180E6D0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Krawędź boczna złącza podłużnego winna być uformowana za pomocą rolki dociskowej lub poprzez obcięcie nożem talerzowym. </w:t>
      </w:r>
    </w:p>
    <w:p w14:paraId="7C7996A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lastRenderedPageBreak/>
        <w:t xml:space="preserve">Krawędź boczna złącza poprzecznego powinna być uformowana w taki sposób i za pomocą urządzeń umożliwiających uzyskanie nieregularnej powierzchni. </w:t>
      </w:r>
    </w:p>
    <w:p w14:paraId="5F969C0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Powierzchnie krawędzi do których klejona będzie taśma, powinny być czyste i suche. </w:t>
      </w:r>
    </w:p>
    <w:p w14:paraId="2FED8EE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Przed przyklejeniem taśmy w metodzie „gorące przy zimnym”, krawędzie „zimnej” warstwy na całkowitej grubości, należy zagruntować środkiem gruntującym zgodnie z zaleceniami producenta taśmy. </w:t>
      </w:r>
    </w:p>
    <w:p w14:paraId="478F977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Taśma bitumiczna o grubości 10 mm powinna być wstępnie przyklejona do zimnej krawędzi złącza na całej jego wysokości oraz wystawać ponad powierzchnię warstwy do 5 mm lub wg zaleceń Producenta. </w:t>
      </w:r>
    </w:p>
    <w:p w14:paraId="6AB1C95A"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t xml:space="preserve">5.6.1.2. </w:t>
      </w:r>
      <w:r w:rsidRPr="002326E7">
        <w:rPr>
          <w:rFonts w:ascii="Arial Narrow" w:eastAsia="Times New Roman" w:hAnsi="Arial Narrow" w:cs="Times New Roman"/>
          <w:b/>
          <w:sz w:val="20"/>
          <w:szCs w:val="20"/>
          <w:lang w:eastAsia="pl-PL"/>
        </w:rPr>
        <w:tab/>
        <w:t xml:space="preserve">Wymagania wobec wbudowania past bitumicznych </w:t>
      </w:r>
    </w:p>
    <w:p w14:paraId="418672D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Przygotowanie krawędzi bocznych jak w przypadku stosowania taśm bitumicznych. </w:t>
      </w:r>
    </w:p>
    <w:p w14:paraId="5DF0603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Pasta powinna być nanoszona mechanicznie z zapewnieniem równomiernego jej rozprowadzenia na bocznej krawędzi w ilości 3 - 4 kg/m</w:t>
      </w:r>
      <w:r w:rsidRPr="002326E7">
        <w:rPr>
          <w:rFonts w:ascii="Arial Narrow" w:eastAsia="Times New Roman" w:hAnsi="Arial Narrow" w:cs="Times New Roman"/>
          <w:sz w:val="20"/>
          <w:szCs w:val="20"/>
          <w:vertAlign w:val="superscript"/>
          <w:lang w:eastAsia="pl-PL"/>
        </w:rPr>
        <w:t>2</w:t>
      </w:r>
      <w:r w:rsidRPr="002326E7">
        <w:rPr>
          <w:rFonts w:ascii="Arial Narrow" w:eastAsia="Times New Roman" w:hAnsi="Arial Narrow" w:cs="Times New Roman"/>
          <w:sz w:val="20"/>
          <w:szCs w:val="20"/>
          <w:lang w:eastAsia="pl-PL"/>
        </w:rPr>
        <w:t xml:space="preserve"> (warstwa o grubości 3 - 4 mm przy gęstości około 1,0 g/cm</w:t>
      </w:r>
      <w:r w:rsidRPr="002326E7">
        <w:rPr>
          <w:rFonts w:ascii="Arial Narrow" w:eastAsia="Times New Roman" w:hAnsi="Arial Narrow" w:cs="Times New Roman"/>
          <w:sz w:val="20"/>
          <w:szCs w:val="20"/>
          <w:vertAlign w:val="superscript"/>
          <w:lang w:eastAsia="pl-PL"/>
        </w:rPr>
        <w:t>3</w:t>
      </w:r>
      <w:r w:rsidRPr="002326E7">
        <w:rPr>
          <w:rFonts w:ascii="Arial Narrow" w:eastAsia="Times New Roman" w:hAnsi="Arial Narrow" w:cs="Times New Roman"/>
          <w:sz w:val="20"/>
          <w:szCs w:val="20"/>
          <w:lang w:eastAsia="pl-PL"/>
        </w:rPr>
        <w:t xml:space="preserve">). </w:t>
      </w:r>
    </w:p>
    <w:p w14:paraId="69A8346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Dopuszcza się ręczne nanoszenie past w miejscach niedostępnych. </w:t>
      </w:r>
    </w:p>
    <w:p w14:paraId="74F07C55" w14:textId="77777777" w:rsidR="002326E7" w:rsidRPr="002326E7" w:rsidRDefault="002326E7" w:rsidP="002326E7">
      <w:pPr>
        <w:overflowPunct w:val="0"/>
        <w:autoSpaceDE w:val="0"/>
        <w:autoSpaceDN w:val="0"/>
        <w:adjustRightInd w:val="0"/>
        <w:spacing w:after="0" w:line="240" w:lineRule="auto"/>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t xml:space="preserve">5.6.2. Sposób wykonania złączy </w:t>
      </w:r>
    </w:p>
    <w:p w14:paraId="48DECC4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Wymagania ogólne: </w:t>
      </w:r>
    </w:p>
    <w:p w14:paraId="265096E4"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złącza w warstwach nawierzchni powinny być wykonane w linii prostej,  </w:t>
      </w:r>
    </w:p>
    <w:p w14:paraId="7CB97866"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złącza podłużnego nie można lokalizować w śladach kół, a także w obszarze poziomego oznakowania jezdni </w:t>
      </w:r>
    </w:p>
    <w:p w14:paraId="724CDD82"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złącza podłużne w konstrukcji wielowarstwowej należy przesunąć względem siebie w kolejnych warstwach technologicznych o co najmniej 30 cm w kierunku poprzecznym do osi jezdni, </w:t>
      </w:r>
    </w:p>
    <w:p w14:paraId="09DAB931"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złącza muszą być całkowicie związane a powierzchnie przylegających warstw powinny być w jednym poziomie. </w:t>
      </w:r>
    </w:p>
    <w:p w14:paraId="26FF551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t xml:space="preserve">A. Metoda rozkładania „gorące przy gorącym” </w:t>
      </w:r>
    </w:p>
    <w:p w14:paraId="2C70D18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Metoda ta ma zastosowanie  w przypadku wykonywania złącza podłużnego – należy ją stosować zgodnie z pkt. 7.6.3.1 WT-2 2016 – część II. </w:t>
      </w:r>
    </w:p>
    <w:p w14:paraId="7F226D3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Przy tej metodzie nie stosuje się dodatkowych materiałów do złączy. </w:t>
      </w:r>
    </w:p>
    <w:p w14:paraId="66C50D5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t xml:space="preserve">B. Metoda rozkładania „gorące przy zimnym” </w:t>
      </w:r>
    </w:p>
    <w:p w14:paraId="309E3A6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Wykonanie złączy metodą „gorące przy zimnym” stosuje się w przypadkach, gdy ze względu na ruch, względnie z innych uzasadnionych powodów konieczne jest wykonywanie nawierzchni w odstępach czasowych – należy ją stosować zgodnie z pkt. 7.6.3.2 WT-2 2016 – część II. </w:t>
      </w:r>
    </w:p>
    <w:p w14:paraId="4133027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t xml:space="preserve">C. Sposób zakończenia działki roboczej </w:t>
      </w:r>
    </w:p>
    <w:p w14:paraId="5CF27DE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Zakończenie działki roboczej należy wykonać w sposób i przy pomocy urządzeń zapewniających uzyskanie nieregularnej, szorstkiej powierzchni spoiny (przy pomocy wstawianej kantówki lub frezarki) oraz szorstkiego podłoża w rejonie planowanego złącza. </w:t>
      </w:r>
    </w:p>
    <w:p w14:paraId="5DD4C54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Niedopuszczalne jest posypywanie piaskiem jako sposobu na obniżenie sczepności warstw w rejonie końca działki roboczej oraz obcinanie piłą tarczową zimnej krawędzi działki. </w:t>
      </w:r>
    </w:p>
    <w:p w14:paraId="46A0539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Zakończenie działki roboczej wykonuje się prostopadle do osi drogi. </w:t>
      </w:r>
    </w:p>
    <w:p w14:paraId="0FB4715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Krawędź działki roboczej jest równocześnie krawędzią poprzeczną złącza. </w:t>
      </w:r>
    </w:p>
    <w:p w14:paraId="186C34F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Złącza poprzeczne między działkami roboczymi układanych pasów kolejnych warstw technologicznych należy przesunąć względem siebie o co najmniej 3 m w kierunku podłużnym do osi jezdni. </w:t>
      </w:r>
    </w:p>
    <w:p w14:paraId="0A391AA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jeśli podłożem dla warstwy jest warstwa z AC WMS należy dokładnie nad  złączami poprzecznymi działek roboczych AC WMS wykonać poprzecznie piłą tarczową nacięcia dylatacyjne na całą szerokość ułożonej warstwy ścieralnej do jej spodu. Nacięcia należy wypełnić zalewą drogową typu N1 o właściwościach określonych w PN EN 14 188-1 tablica 2 punkty od 1 do 11.2.8. W okresie ciepłym szczelina winna być wypełniona  z meniskiem wklęsłym, a w okresie chłodnym po jej brzegi. </w:t>
      </w:r>
    </w:p>
    <w:p w14:paraId="4BC095F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t xml:space="preserve">D. Sposób wykonywania spoin </w:t>
      </w:r>
    </w:p>
    <w:p w14:paraId="3645228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Spoiny wykonuje się z użyciem materiałów wymienionych w punkcie 2.2.2. </w:t>
      </w:r>
    </w:p>
    <w:p w14:paraId="1549948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Grubość elastycznej taśmy bitumicznej do spoin powinna wynosić: </w:t>
      </w:r>
    </w:p>
    <w:p w14:paraId="42D45EA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nie mniej niż 10 mm w warstwie ścieralnej. </w:t>
      </w:r>
    </w:p>
    <w:p w14:paraId="683F20E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Pasta powinna być nanoszona mechanicznie z zapewnieniem równomiernego jej rozprowadzenia na bocznej krawędzi w ilości 3 - 4 kg/m</w:t>
      </w:r>
      <w:r w:rsidRPr="002326E7">
        <w:rPr>
          <w:rFonts w:ascii="Arial Narrow" w:eastAsia="Times New Roman" w:hAnsi="Arial Narrow" w:cs="Times New Roman"/>
          <w:sz w:val="20"/>
          <w:szCs w:val="20"/>
          <w:vertAlign w:val="superscript"/>
          <w:lang w:eastAsia="pl-PL"/>
        </w:rPr>
        <w:t>2</w:t>
      </w:r>
      <w:r w:rsidRPr="002326E7">
        <w:rPr>
          <w:rFonts w:ascii="Arial Narrow" w:eastAsia="Times New Roman" w:hAnsi="Arial Narrow" w:cs="Times New Roman"/>
          <w:sz w:val="20"/>
          <w:szCs w:val="20"/>
          <w:lang w:eastAsia="pl-PL"/>
        </w:rPr>
        <w:t xml:space="preserve"> (warstwa o grubości 3 - 4 mm przy gęstości około 1,0 g/cm</w:t>
      </w:r>
      <w:r w:rsidRPr="002326E7">
        <w:rPr>
          <w:rFonts w:ascii="Arial Narrow" w:eastAsia="Times New Roman" w:hAnsi="Arial Narrow" w:cs="Times New Roman"/>
          <w:sz w:val="20"/>
          <w:szCs w:val="20"/>
          <w:vertAlign w:val="superscript"/>
          <w:lang w:eastAsia="pl-PL"/>
        </w:rPr>
        <w:t>3</w:t>
      </w:r>
      <w:r w:rsidRPr="002326E7">
        <w:rPr>
          <w:rFonts w:ascii="Arial Narrow" w:eastAsia="Times New Roman" w:hAnsi="Arial Narrow" w:cs="Times New Roman"/>
          <w:sz w:val="20"/>
          <w:szCs w:val="20"/>
          <w:lang w:eastAsia="pl-PL"/>
        </w:rPr>
        <w:t xml:space="preserve">). </w:t>
      </w:r>
    </w:p>
    <w:p w14:paraId="58DF0727"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Wymagania dla wbudowywania zalew drogowych na gorąco: </w:t>
      </w:r>
    </w:p>
    <w:p w14:paraId="7F2241F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Zabrudzone szczeliny należy oczyścić za pomocą sprężonego powietrza. </w:t>
      </w:r>
    </w:p>
    <w:p w14:paraId="6048FED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Zimne  krawędzie winny uprzednio być posmarowane gruntownikiem wg zaleceń producenta zalewy drogowej na gorąco. Szczelinę należy zalać do pełna: z meniskiem wklęsłym w przypadku prac wykonywanych w niskich temperaturach otoczenia, bez menisku w przypadku prac wykonywanych w wysokich temperaturach. </w:t>
      </w:r>
    </w:p>
    <w:p w14:paraId="6B663A3A"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68" w:name="_Toc55089"/>
      <w:r w:rsidRPr="002326E7">
        <w:rPr>
          <w:rFonts w:ascii="Arial Narrow" w:eastAsia="Times New Roman" w:hAnsi="Arial Narrow" w:cs="Times New Roman"/>
          <w:b/>
          <w:sz w:val="28"/>
          <w:szCs w:val="20"/>
          <w:lang w:val="x-none" w:eastAsia="x-none"/>
        </w:rPr>
        <w:t>5.</w:t>
      </w:r>
      <w:r w:rsidRPr="002326E7">
        <w:rPr>
          <w:rFonts w:ascii="Arial Narrow" w:eastAsia="Times New Roman" w:hAnsi="Arial Narrow" w:cs="Times New Roman"/>
          <w:b/>
          <w:sz w:val="28"/>
          <w:szCs w:val="20"/>
          <w:lang w:eastAsia="x-none"/>
        </w:rPr>
        <w:t>7</w:t>
      </w:r>
      <w:r w:rsidRPr="002326E7">
        <w:rPr>
          <w:rFonts w:ascii="Arial Narrow" w:eastAsia="Times New Roman" w:hAnsi="Arial Narrow" w:cs="Times New Roman"/>
          <w:b/>
          <w:sz w:val="28"/>
          <w:szCs w:val="20"/>
          <w:lang w:val="x-none" w:eastAsia="x-none"/>
        </w:rPr>
        <w:t xml:space="preserve">. Krawędzie zewnętrzne warstwy ścieralnej </w:t>
      </w:r>
      <w:bookmarkEnd w:id="768"/>
    </w:p>
    <w:p w14:paraId="4BD4AA0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Krawędzie zewnętrzne warstwy ścieralnej należy wykonać zgodnie z wymaganiami pkt. 7.7 WT-2 2016 – część II </w:t>
      </w:r>
    </w:p>
    <w:p w14:paraId="388B71D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 wykonaniu warstwy ścieralnej o jednostronnym nachyleniu jezdni należy uszczelnić wyżej położoną krawędź boczną. Niżej położona krawędź boczna powinna pozostać nieuszczelniona. </w:t>
      </w:r>
    </w:p>
    <w:p w14:paraId="589AE76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Krawędź zewnętrzną oraz powierzchnię odsadzki poziomej należy zabezpieczyć przez pokrycie gorącym asfaltem w ilości: </w:t>
      </w:r>
    </w:p>
    <w:p w14:paraId="49ACFB6B"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powierzchnie odsadzek  </w:t>
      </w:r>
      <w:r w:rsidRPr="002326E7">
        <w:rPr>
          <w:rFonts w:ascii="Arial Narrow" w:eastAsia="Times New Roman" w:hAnsi="Arial Narrow" w:cs="Times New Roman"/>
          <w:sz w:val="20"/>
          <w:szCs w:val="20"/>
          <w:lang w:val="x-none" w:eastAsia="x-none"/>
        </w:rPr>
        <w:tab/>
        <w:t>- 1,5 kg/m</w:t>
      </w:r>
      <w:r w:rsidRPr="002326E7">
        <w:rPr>
          <w:rFonts w:ascii="Arial Narrow" w:eastAsia="Times New Roman" w:hAnsi="Arial Narrow" w:cs="Times New Roman"/>
          <w:sz w:val="20"/>
          <w:szCs w:val="20"/>
          <w:vertAlign w:val="superscript"/>
          <w:lang w:val="x-none" w:eastAsia="x-none"/>
        </w:rPr>
        <w:t>2</w:t>
      </w:r>
      <w:r w:rsidRPr="002326E7">
        <w:rPr>
          <w:rFonts w:ascii="Arial Narrow" w:eastAsia="Times New Roman" w:hAnsi="Arial Narrow" w:cs="Times New Roman"/>
          <w:sz w:val="20"/>
          <w:szCs w:val="20"/>
          <w:lang w:val="x-none" w:eastAsia="x-none"/>
        </w:rPr>
        <w:t xml:space="preserve"> </w:t>
      </w:r>
    </w:p>
    <w:p w14:paraId="0C3601E7"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krawędzie zewnętrzne  </w:t>
      </w:r>
      <w:r w:rsidRPr="002326E7">
        <w:rPr>
          <w:rFonts w:ascii="Arial Narrow" w:eastAsia="Times New Roman" w:hAnsi="Arial Narrow" w:cs="Times New Roman"/>
          <w:sz w:val="20"/>
          <w:szCs w:val="20"/>
          <w:lang w:val="x-none" w:eastAsia="x-none"/>
        </w:rPr>
        <w:tab/>
        <w:t>- 4 kg/m</w:t>
      </w:r>
      <w:r w:rsidRPr="002326E7">
        <w:rPr>
          <w:rFonts w:ascii="Arial Narrow" w:eastAsia="Times New Roman" w:hAnsi="Arial Narrow" w:cs="Times New Roman"/>
          <w:sz w:val="20"/>
          <w:szCs w:val="20"/>
          <w:vertAlign w:val="superscript"/>
          <w:lang w:val="x-none" w:eastAsia="x-none"/>
        </w:rPr>
        <w:t>2</w:t>
      </w:r>
      <w:r w:rsidRPr="002326E7">
        <w:rPr>
          <w:rFonts w:ascii="Arial Narrow" w:eastAsia="Times New Roman" w:hAnsi="Arial Narrow" w:cs="Times New Roman"/>
          <w:sz w:val="20"/>
          <w:szCs w:val="20"/>
          <w:lang w:val="x-none" w:eastAsia="x-none"/>
        </w:rPr>
        <w:t xml:space="preserve">, </w:t>
      </w:r>
    </w:p>
    <w:p w14:paraId="0EF3C01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zgodnie z rys. 1 pkt. 7.7 WT-2 2016 – część II. </w:t>
      </w:r>
    </w:p>
    <w:p w14:paraId="381C8BD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nawierzchni o dwustronnym nachyleniu (przekrój daszkowy)  decyzję o potrzebie i sposobie uszczelnienia krawędzi zewnętrznych podejmie Projektant w uzgodnieniu z Zamawiającym. </w:t>
      </w:r>
    </w:p>
    <w:p w14:paraId="3A2DA95F"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69" w:name="_Toc55090"/>
      <w:r w:rsidRPr="002326E7">
        <w:rPr>
          <w:rFonts w:ascii="Arial Narrow" w:eastAsia="Times New Roman" w:hAnsi="Arial Narrow" w:cs="Times New Roman"/>
          <w:b/>
          <w:sz w:val="28"/>
          <w:szCs w:val="20"/>
          <w:lang w:val="x-none" w:eastAsia="x-none"/>
        </w:rPr>
        <w:lastRenderedPageBreak/>
        <w:t>5.</w:t>
      </w:r>
      <w:r w:rsidRPr="002326E7">
        <w:rPr>
          <w:rFonts w:ascii="Arial Narrow" w:eastAsia="Times New Roman" w:hAnsi="Arial Narrow" w:cs="Times New Roman"/>
          <w:b/>
          <w:sz w:val="28"/>
          <w:szCs w:val="20"/>
          <w:lang w:eastAsia="x-none"/>
        </w:rPr>
        <w:t>8</w:t>
      </w:r>
      <w:r w:rsidRPr="002326E7">
        <w:rPr>
          <w:rFonts w:ascii="Arial Narrow" w:eastAsia="Times New Roman" w:hAnsi="Arial Narrow" w:cs="Times New Roman"/>
          <w:b/>
          <w:sz w:val="28"/>
          <w:szCs w:val="20"/>
          <w:lang w:val="x-none" w:eastAsia="x-none"/>
        </w:rPr>
        <w:t xml:space="preserve">. Wykończenie powierzchni warstwy ścieralnej </w:t>
      </w:r>
      <w:bookmarkEnd w:id="769"/>
    </w:p>
    <w:p w14:paraId="04C77B6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Warstwa ścieralna powinna mieć jednorodną teksturę i strukturę. Uszorstnienie należy wykonać bezpośrednio po ułożeniu warstwy ścieralnej w początkowym okresie jej zagęszczania. Kruszywo do uszorstnienia warstwy powinno spełniać wymagania podane  w punkcie 2.2.1. </w:t>
      </w:r>
    </w:p>
    <w:p w14:paraId="73D6DD3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Nanoszenie kruszywa uszorstniającego  powinno odbywać się maszynowo, a jedynie  w miejscach trudno dostępnych dopuszcza się wykonywanie ręczne. Kruszywo posypki należy lekko przywałować walcem stalowym. Niezwiązaną posypkę należy usunąć po ostygnięciu warstwy.  </w:t>
      </w:r>
    </w:p>
    <w:p w14:paraId="14F2426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Wymagana ilość kruszywa do uszorstnienia:  </w:t>
      </w:r>
    </w:p>
    <w:p w14:paraId="2CEB44B6"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mieszanki typu SMA: 1 do 2 kg/m</w:t>
      </w:r>
      <w:r w:rsidRPr="002326E7">
        <w:rPr>
          <w:rFonts w:ascii="Arial Narrow" w:eastAsia="Times New Roman" w:hAnsi="Arial Narrow" w:cs="Times New Roman"/>
          <w:sz w:val="20"/>
          <w:szCs w:val="20"/>
          <w:vertAlign w:val="superscript"/>
          <w:lang w:val="x-none" w:eastAsia="x-none"/>
        </w:rPr>
        <w:t>2</w:t>
      </w:r>
      <w:r w:rsidRPr="002326E7">
        <w:rPr>
          <w:rFonts w:ascii="Arial Narrow" w:eastAsia="Times New Roman" w:hAnsi="Arial Narrow" w:cs="Times New Roman"/>
          <w:sz w:val="20"/>
          <w:szCs w:val="20"/>
          <w:lang w:val="x-none" w:eastAsia="x-none"/>
        </w:rPr>
        <w:t xml:space="preserve"> dla kruszywa o uziarnieniu 2/4 lub 2/5 mm; dopuszcza się zastosowanie kruszywa o uziarnieniu 1/3 mm. </w:t>
      </w:r>
    </w:p>
    <w:p w14:paraId="58B7D04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uszorstnienia mieszanki typu SMA przy zastosowaniu kruszywa 1/3 mm, jego ilość do uszorstnienia warstwy należy dobrać metodą doświadczalną (odcinek próbny). </w:t>
      </w:r>
    </w:p>
    <w:p w14:paraId="1EBE560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uzasadnionych przypadkach można nie stosować uszorstnienia, na przykład w celu (zmniejszenia) zminimalizowania hałaśliwości nawierzchni wykonanej z mieszanek drobnoziarnistych na odcinkach dróg przebiegających przez obszary zurbanizowane pod warunkiem uzyskania wymaganych właściwości przeciwpoślizgowych. </w:t>
      </w:r>
    </w:p>
    <w:p w14:paraId="06F69499" w14:textId="77777777" w:rsidR="002326E7" w:rsidRPr="002326E7" w:rsidRDefault="002326E7" w:rsidP="002326E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770" w:name="_Toc55091"/>
      <w:r w:rsidRPr="002326E7">
        <w:rPr>
          <w:rFonts w:ascii="Arial Narrow" w:eastAsia="Times New Roman" w:hAnsi="Arial Narrow" w:cs="Times New Roman"/>
          <w:b/>
          <w:caps/>
          <w:kern w:val="28"/>
          <w:sz w:val="28"/>
          <w:szCs w:val="20"/>
          <w:lang w:val="x-none" w:eastAsia="x-none"/>
        </w:rPr>
        <w:t xml:space="preserve">6. KONTROLA JAKOŚCI ROBÓT </w:t>
      </w:r>
      <w:bookmarkEnd w:id="770"/>
    </w:p>
    <w:p w14:paraId="3CAF6D73"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71" w:name="_Toc55092"/>
      <w:r w:rsidRPr="002326E7">
        <w:rPr>
          <w:rFonts w:ascii="Arial Narrow" w:eastAsia="Times New Roman" w:hAnsi="Arial Narrow" w:cs="Times New Roman"/>
          <w:b/>
          <w:sz w:val="28"/>
          <w:szCs w:val="20"/>
          <w:lang w:val="x-none" w:eastAsia="x-none"/>
        </w:rPr>
        <w:t xml:space="preserve">6.1. Ogólne wymagania dotyczące kontroli jakości robót </w:t>
      </w:r>
      <w:bookmarkEnd w:id="771"/>
    </w:p>
    <w:p w14:paraId="3106B3A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Ogólne zasady kontroli jakości robót podano w D-M-00.00.00 "Wymagania ogólne". </w:t>
      </w:r>
    </w:p>
    <w:p w14:paraId="69264C67"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Badania mieszanki mineralno-asfaltowej należy wykonywać zgodnie z normami podanymi w pkt. 8.2.5 WT-2 2014 Nawierzchnie Asfaltowe (Tabela 27, 28, 29 – dla mieszanki typu SMA). </w:t>
      </w:r>
    </w:p>
    <w:p w14:paraId="7D4E039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Badania i pomiary dzielą się na: </w:t>
      </w:r>
    </w:p>
    <w:p w14:paraId="34ED1246"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badania i pomiary Wykonawcy – w ramach własnego nadzoru </w:t>
      </w:r>
    </w:p>
    <w:p w14:paraId="05E2CD7E"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badania i pomiary kontrolne – w ramach nadzoru Zamawiającego. </w:t>
      </w:r>
    </w:p>
    <w:p w14:paraId="68F207E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uzasadnionych przypadkach w ramach badań i pomiarów kontrolnych dopuszcza się wykonanie badań i pomiarów kontrolnych dodatkowych i/lub badań i pomiarów arbitrażowych. </w:t>
      </w:r>
    </w:p>
    <w:p w14:paraId="282529E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Badania obejmują: </w:t>
      </w:r>
    </w:p>
    <w:p w14:paraId="34C5D46B"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pobranie próbek, </w:t>
      </w:r>
    </w:p>
    <w:p w14:paraId="2472E19E"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zapakowanie próbek do wysyłki, </w:t>
      </w:r>
    </w:p>
    <w:p w14:paraId="66462E95"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transport próbek z miejsca pobrania do placówki wykonującej badania, </w:t>
      </w:r>
    </w:p>
    <w:p w14:paraId="2D75EF35"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przeprowadzenie badania, </w:t>
      </w:r>
    </w:p>
    <w:p w14:paraId="20669F5E"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sprawozdanie z badań.  </w:t>
      </w:r>
    </w:p>
    <w:p w14:paraId="1BFCAE3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Pomiary obejmują terenową weryfikację cech nawierzchni. </w:t>
      </w:r>
    </w:p>
    <w:p w14:paraId="47B36DDC"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72" w:name="_Toc55093"/>
      <w:r w:rsidRPr="002326E7">
        <w:rPr>
          <w:rFonts w:ascii="Arial Narrow" w:eastAsia="Times New Roman" w:hAnsi="Arial Narrow" w:cs="Times New Roman"/>
          <w:b/>
          <w:sz w:val="28"/>
          <w:szCs w:val="20"/>
          <w:lang w:val="x-none" w:eastAsia="x-none"/>
        </w:rPr>
        <w:t xml:space="preserve">6.2. Badania i pomiary Wykonawcy </w:t>
      </w:r>
      <w:bookmarkEnd w:id="772"/>
    </w:p>
    <w:p w14:paraId="498A658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Wykonawca jest zobowiązany do przeprowadzania na bieżąco badań i pomiarów w celu sprawdzania czy jakość wykonanych Robót jest zgodna z postawionymi wymaganiami.  </w:t>
      </w:r>
    </w:p>
    <w:p w14:paraId="5D65559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STWiORB. Wyniki badań będą dokumentowane i archiwizowane przez Wykonawcę. Wyniki badań Wykonawca jest zobowiązany przekazywać Inżynierowi/Inspektorowi Nadzoru. </w:t>
      </w:r>
    </w:p>
    <w:p w14:paraId="139062A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Zakres badań i pomiarów Wykonawcy powinien: </w:t>
      </w:r>
    </w:p>
    <w:p w14:paraId="2524BB38"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być nie mniejszy niż określony w Zakładowej Kontroli Produkcji dla dostarczanych na budowę materiałów i wyrobów budowlanych - mieszanki mineralno-asfaltowe, kruszywa, lepiszcze, materiały do uszczelnień, itd., </w:t>
      </w:r>
    </w:p>
    <w:p w14:paraId="0D2F0912"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dla wykonanej warstwy być nie mniejszy niż określony zakres i częstotliwość badań i pomiarów kontrolnych określony w tab. 4.  </w:t>
      </w:r>
    </w:p>
    <w:p w14:paraId="607BB41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Zakres badań Wykonawcy związany z wykonywaniem nawierzchni: </w:t>
      </w:r>
    </w:p>
    <w:p w14:paraId="04B85A7B"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pomiar temperatury powietrza, </w:t>
      </w:r>
    </w:p>
    <w:p w14:paraId="2F73D3C9"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pomiar temperatury mieszanki mineralno-asfaltowej podczas wykonywania nawierzchni, </w:t>
      </w:r>
    </w:p>
    <w:p w14:paraId="09909B37"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ocena wizualna mieszanki mineralno-asfaltowej, </w:t>
      </w:r>
    </w:p>
    <w:p w14:paraId="0B9F549E"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wykaz ilości materiałów lub grubości wykonanych warstw, </w:t>
      </w:r>
    </w:p>
    <w:p w14:paraId="7A7DD762"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pomiar spadku poprzecznego poszczególnych warstw asfaltowych, </w:t>
      </w:r>
    </w:p>
    <w:p w14:paraId="48BCCE53"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pomiar równości warstwy ścieralnej, </w:t>
      </w:r>
    </w:p>
    <w:p w14:paraId="0E442C95"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pomiar właściwości przeciwpoślizgowych, </w:t>
      </w:r>
    </w:p>
    <w:p w14:paraId="686F0F37"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pomiar rzędnych wysokościowych i pomiary sytuacyjne, </w:t>
      </w:r>
    </w:p>
    <w:p w14:paraId="07A7AEF0"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badania zagęszczenia warstwy i zawartości wolnej przestrzeni, </w:t>
      </w:r>
    </w:p>
    <w:p w14:paraId="46EEEDA0"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pomiar sczepności warstw asfaltowych </w:t>
      </w:r>
    </w:p>
    <w:p w14:paraId="571EF50E"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ocena wizualna jednorodności powierzchni warstwy, </w:t>
      </w:r>
    </w:p>
    <w:p w14:paraId="59AC036F" w14:textId="7880D23A" w:rsid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ocena wizualna jakości wykonania połączeń technologicznych. </w:t>
      </w:r>
    </w:p>
    <w:p w14:paraId="010DEFD0" w14:textId="0EB5B20B" w:rsidR="00F316EC" w:rsidRDefault="00F316EC" w:rsidP="00F316EC">
      <w:p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p>
    <w:p w14:paraId="6B7BFB4E" w14:textId="0E64C43B" w:rsidR="00F316EC" w:rsidRDefault="00F316EC" w:rsidP="00F316EC">
      <w:p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p>
    <w:p w14:paraId="4AC8C20E" w14:textId="12C97CE3" w:rsidR="00F316EC" w:rsidRDefault="00F316EC" w:rsidP="00F316EC">
      <w:p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p>
    <w:p w14:paraId="56C8D639" w14:textId="77777777" w:rsidR="00F316EC" w:rsidRPr="002326E7" w:rsidRDefault="00F316EC" w:rsidP="00F316EC">
      <w:p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p>
    <w:p w14:paraId="370CA20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lastRenderedPageBreak/>
        <w:t xml:space="preserve">Tabela 4. Minimalna częstotliwość badań ze strony Wykonawcy dla warstwy ścieralnej </w:t>
      </w:r>
    </w:p>
    <w:tbl>
      <w:tblPr>
        <w:tblW w:w="8956" w:type="dxa"/>
        <w:tblInd w:w="125" w:type="dxa"/>
        <w:tblCellMar>
          <w:top w:w="170" w:type="dxa"/>
          <w:bottom w:w="3" w:type="dxa"/>
          <w:right w:w="42" w:type="dxa"/>
        </w:tblCellMar>
        <w:tblLook w:val="04A0" w:firstRow="1" w:lastRow="0" w:firstColumn="1" w:lastColumn="0" w:noHBand="0" w:noVBand="1"/>
      </w:tblPr>
      <w:tblGrid>
        <w:gridCol w:w="614"/>
        <w:gridCol w:w="2593"/>
        <w:gridCol w:w="2717"/>
        <w:gridCol w:w="3032"/>
      </w:tblGrid>
      <w:tr w:rsidR="002326E7" w:rsidRPr="002326E7" w14:paraId="2DFD3441" w14:textId="77777777" w:rsidTr="00855929">
        <w:trPr>
          <w:trHeight w:val="170"/>
        </w:trPr>
        <w:tc>
          <w:tcPr>
            <w:tcW w:w="6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AFAA5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Lp.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26013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Badana cecha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08F3A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Metoda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77CCE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Częstotliwość </w:t>
            </w:r>
          </w:p>
        </w:tc>
      </w:tr>
      <w:tr w:rsidR="002326E7" w:rsidRPr="002326E7" w14:paraId="64330933" w14:textId="77777777" w:rsidTr="00855929">
        <w:trPr>
          <w:trHeight w:val="170"/>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65CA762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b/>
                <w:sz w:val="20"/>
              </w:rPr>
              <w:t xml:space="preserve">1.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22CBF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b/>
                <w:sz w:val="20"/>
              </w:rPr>
              <w:t>Zagęszczenie MMA</w:t>
            </w:r>
            <w:r w:rsidRPr="002326E7">
              <w:rPr>
                <w:rFonts w:ascii="Arial Narrow" w:eastAsia="Times New Roman" w:hAnsi="Arial Narrow" w:cs="Times New Roman"/>
                <w:sz w:val="20"/>
              </w:rPr>
              <w:t xml:space="preserve"> oraz zawartość wolnych przestrzeni w warstwie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F8C0B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Porównanie gęstości objętościowej referencyjnej do rzeczywistej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06067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- 2 razy na kilometr każdym pasie ruchu, </w:t>
            </w:r>
          </w:p>
        </w:tc>
      </w:tr>
      <w:tr w:rsidR="002326E7" w:rsidRPr="002326E7" w14:paraId="298159FB" w14:textId="77777777" w:rsidTr="00855929">
        <w:trPr>
          <w:trHeight w:val="170"/>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14F4E10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b/>
                <w:sz w:val="20"/>
              </w:rPr>
              <w:t xml:space="preserve">2.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6A0B9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b/>
                <w:sz w:val="20"/>
              </w:rPr>
              <w:t>Sczepność</w:t>
            </w:r>
            <w:r w:rsidRPr="002326E7">
              <w:rPr>
                <w:rFonts w:ascii="Arial Narrow" w:eastAsia="Times New Roman" w:hAnsi="Arial Narrow" w:cs="Times New Roman"/>
                <w:sz w:val="20"/>
              </w:rPr>
              <w:t xml:space="preserve"> warstw asfaltowych dla dróg KR </w:t>
            </w:r>
          </w:p>
          <w:p w14:paraId="2C4C246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4-7 </w:t>
            </w:r>
          </w:p>
        </w:tc>
        <w:tc>
          <w:tcPr>
            <w:tcW w:w="2717" w:type="dxa"/>
            <w:tcBorders>
              <w:top w:val="single" w:sz="4" w:space="0" w:color="000000"/>
              <w:left w:val="single" w:sz="4" w:space="0" w:color="000000"/>
              <w:bottom w:val="single" w:sz="4" w:space="0" w:color="000000"/>
              <w:right w:val="single" w:sz="4" w:space="0" w:color="000000"/>
            </w:tcBorders>
            <w:shd w:val="clear" w:color="auto" w:fill="auto"/>
          </w:tcPr>
          <w:p w14:paraId="001C8CB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Metoda Leutnera </w:t>
            </w:r>
          </w:p>
        </w:tc>
        <w:tc>
          <w:tcPr>
            <w:tcW w:w="3032" w:type="dxa"/>
            <w:tcBorders>
              <w:top w:val="single" w:sz="4" w:space="0" w:color="000000"/>
              <w:left w:val="single" w:sz="4" w:space="0" w:color="000000"/>
              <w:bottom w:val="single" w:sz="4" w:space="0" w:color="000000"/>
              <w:right w:val="single" w:sz="4" w:space="0" w:color="000000"/>
            </w:tcBorders>
            <w:shd w:val="clear" w:color="auto" w:fill="auto"/>
          </w:tcPr>
          <w:p w14:paraId="624FC68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2 razy na kilometr każdym pasie ruchu,</w:t>
            </w:r>
          </w:p>
        </w:tc>
      </w:tr>
      <w:tr w:rsidR="002326E7" w:rsidRPr="002326E7" w14:paraId="0118EE07" w14:textId="77777777" w:rsidTr="00855929">
        <w:trPr>
          <w:trHeight w:val="170"/>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6265C7F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b/>
                <w:sz w:val="20"/>
              </w:rPr>
              <w:t xml:space="preserve">3. </w:t>
            </w:r>
          </w:p>
        </w:tc>
        <w:tc>
          <w:tcPr>
            <w:tcW w:w="2593" w:type="dxa"/>
            <w:tcBorders>
              <w:top w:val="single" w:sz="4" w:space="0" w:color="000000"/>
              <w:left w:val="single" w:sz="4" w:space="0" w:color="000000"/>
              <w:bottom w:val="single" w:sz="4" w:space="0" w:color="000000"/>
              <w:right w:val="single" w:sz="4" w:space="0" w:color="000000"/>
            </w:tcBorders>
            <w:shd w:val="clear" w:color="auto" w:fill="auto"/>
          </w:tcPr>
          <w:p w14:paraId="75B59AD5"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b/>
                <w:sz w:val="20"/>
              </w:rPr>
              <w:t>Grubość</w:t>
            </w:r>
            <w:r w:rsidRPr="002326E7">
              <w:rPr>
                <w:rFonts w:ascii="Arial Narrow" w:eastAsia="Times New Roman" w:hAnsi="Arial Narrow" w:cs="Times New Roman"/>
                <w:sz w:val="20"/>
              </w:rPr>
              <w:t xml:space="preserve"> (grubości poszczególnych warstw i grubość pakietu warstw asfaltowych)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01D57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Rzędne wysokościowe, </w:t>
            </w:r>
          </w:p>
          <w:p w14:paraId="0867FCD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185BBB8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Przymiarem na wyciętych próbach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368B8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nie rzadziej niż co 50 m  </w:t>
            </w:r>
          </w:p>
          <w:p w14:paraId="51929CB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0092216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2 razy na kilometr każdym pasie ruchu </w:t>
            </w:r>
          </w:p>
        </w:tc>
      </w:tr>
      <w:tr w:rsidR="002326E7" w:rsidRPr="002326E7" w14:paraId="697C4E61" w14:textId="77777777" w:rsidTr="00855929">
        <w:trPr>
          <w:trHeight w:val="170"/>
        </w:trPr>
        <w:tc>
          <w:tcPr>
            <w:tcW w:w="6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70221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b/>
                <w:sz w:val="20"/>
              </w:rPr>
              <w:t>4.</w:t>
            </w:r>
            <w:r w:rsidRPr="002326E7">
              <w:rPr>
                <w:rFonts w:ascii="Arial Narrow" w:eastAsia="Times New Roman" w:hAnsi="Arial Narrow" w:cs="Times New Roman"/>
                <w:sz w:val="20"/>
              </w:rPr>
              <w:t xml:space="preserve">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D89D6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b/>
                <w:sz w:val="20"/>
              </w:rPr>
              <w:t>Równość podłużna</w:t>
            </w:r>
            <w:r w:rsidRPr="002326E7">
              <w:rPr>
                <w:rFonts w:ascii="Arial Narrow" w:eastAsia="Times New Roman" w:hAnsi="Arial Narrow" w:cs="Times New Roman"/>
                <w:sz w:val="20"/>
              </w:rPr>
              <w:t xml:space="preserve">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1AC60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2BE1A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 </w:t>
            </w:r>
          </w:p>
        </w:tc>
      </w:tr>
      <w:tr w:rsidR="002326E7" w:rsidRPr="002326E7" w14:paraId="7A8E1885" w14:textId="77777777" w:rsidTr="00855929">
        <w:trPr>
          <w:trHeight w:val="170"/>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60D7DE8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4.1. </w:t>
            </w:r>
          </w:p>
        </w:tc>
        <w:tc>
          <w:tcPr>
            <w:tcW w:w="2593" w:type="dxa"/>
            <w:tcBorders>
              <w:top w:val="single" w:sz="4" w:space="0" w:color="000000"/>
              <w:left w:val="single" w:sz="4" w:space="0" w:color="000000"/>
              <w:bottom w:val="single" w:sz="4" w:space="0" w:color="000000"/>
              <w:right w:val="single" w:sz="4" w:space="0" w:color="000000"/>
            </w:tcBorders>
            <w:shd w:val="clear" w:color="auto" w:fill="auto"/>
          </w:tcPr>
          <w:p w14:paraId="5481454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Klasy dróg:  GP,G, Z,L,D</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4B72E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4 metrową łatą i klinem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841E6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 każdy pas układania warstwy w sposób ciągły </w:t>
            </w:r>
          </w:p>
        </w:tc>
      </w:tr>
      <w:tr w:rsidR="002326E7" w:rsidRPr="002326E7" w14:paraId="5417918D" w14:textId="77777777" w:rsidTr="00855929">
        <w:trPr>
          <w:trHeight w:val="170"/>
        </w:trPr>
        <w:tc>
          <w:tcPr>
            <w:tcW w:w="6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4FA9B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b/>
                <w:sz w:val="20"/>
              </w:rPr>
              <w:t xml:space="preserve">5.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2FA89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b/>
                <w:sz w:val="20"/>
              </w:rPr>
              <w:t xml:space="preserve">Równość poprzeczna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63055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D0B0B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 </w:t>
            </w:r>
          </w:p>
        </w:tc>
      </w:tr>
      <w:tr w:rsidR="002326E7" w:rsidRPr="002326E7" w14:paraId="56FDBFA8" w14:textId="77777777" w:rsidTr="00855929">
        <w:trPr>
          <w:trHeight w:val="170"/>
        </w:trPr>
        <w:tc>
          <w:tcPr>
            <w:tcW w:w="6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37B5D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5.1. </w:t>
            </w:r>
          </w:p>
        </w:tc>
        <w:tc>
          <w:tcPr>
            <w:tcW w:w="25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4827B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Wszystkie klasy dróg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276D5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2 metrową łatą i klinem</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999A93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 każdy pas układania warstwy w sposób ciągły </w:t>
            </w:r>
          </w:p>
        </w:tc>
      </w:tr>
      <w:tr w:rsidR="002326E7" w:rsidRPr="002326E7" w14:paraId="2D6662AE" w14:textId="77777777" w:rsidTr="00855929">
        <w:trPr>
          <w:trHeight w:val="170"/>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5FAE629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b/>
                <w:sz w:val="20"/>
              </w:rPr>
              <w:t xml:space="preserve">6. </w:t>
            </w:r>
          </w:p>
        </w:tc>
        <w:tc>
          <w:tcPr>
            <w:tcW w:w="2593" w:type="dxa"/>
            <w:tcBorders>
              <w:top w:val="single" w:sz="4" w:space="0" w:color="000000"/>
              <w:left w:val="single" w:sz="4" w:space="0" w:color="000000"/>
              <w:bottom w:val="single" w:sz="4" w:space="0" w:color="000000"/>
              <w:right w:val="single" w:sz="4" w:space="0" w:color="000000"/>
            </w:tcBorders>
            <w:shd w:val="clear" w:color="auto" w:fill="auto"/>
          </w:tcPr>
          <w:p w14:paraId="40098E3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b/>
                <w:sz w:val="20"/>
              </w:rPr>
              <w:t xml:space="preserve">Spadki poprzeczne </w:t>
            </w:r>
          </w:p>
        </w:tc>
        <w:tc>
          <w:tcPr>
            <w:tcW w:w="27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A2309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6E2E214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- 2 metrową łatą i pochyłomierzem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ABFDBF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50 razy na 1 km dodatkowe pomiary w punktach głównych łuków poziomych </w:t>
            </w:r>
          </w:p>
        </w:tc>
      </w:tr>
      <w:tr w:rsidR="002326E7" w:rsidRPr="002326E7" w14:paraId="2C0C07E4" w14:textId="77777777" w:rsidTr="00855929">
        <w:trPr>
          <w:trHeight w:val="170"/>
        </w:trPr>
        <w:tc>
          <w:tcPr>
            <w:tcW w:w="614" w:type="dxa"/>
            <w:tcBorders>
              <w:top w:val="single" w:sz="4" w:space="0" w:color="000000"/>
              <w:left w:val="single" w:sz="4" w:space="0" w:color="000000"/>
              <w:bottom w:val="single" w:sz="4" w:space="0" w:color="000000"/>
              <w:right w:val="single" w:sz="4" w:space="0" w:color="000000"/>
            </w:tcBorders>
            <w:shd w:val="clear" w:color="auto" w:fill="auto"/>
          </w:tcPr>
          <w:p w14:paraId="4BE47FD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b/>
                <w:sz w:val="20"/>
              </w:rPr>
              <w:t xml:space="preserve">8. </w:t>
            </w:r>
          </w:p>
        </w:tc>
        <w:tc>
          <w:tcPr>
            <w:tcW w:w="2593" w:type="dxa"/>
            <w:tcBorders>
              <w:top w:val="single" w:sz="4" w:space="0" w:color="000000"/>
              <w:left w:val="single" w:sz="4" w:space="0" w:color="000000"/>
              <w:bottom w:val="single" w:sz="4" w:space="0" w:color="000000"/>
              <w:right w:val="single" w:sz="4" w:space="0" w:color="000000"/>
            </w:tcBorders>
            <w:shd w:val="clear" w:color="auto" w:fill="auto"/>
          </w:tcPr>
          <w:p w14:paraId="1809DBD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b/>
                <w:sz w:val="20"/>
              </w:rPr>
              <w:t xml:space="preserve">Szerokość warstwy </w:t>
            </w:r>
          </w:p>
        </w:tc>
        <w:tc>
          <w:tcPr>
            <w:tcW w:w="2717" w:type="dxa"/>
            <w:tcBorders>
              <w:top w:val="single" w:sz="4" w:space="0" w:color="000000"/>
              <w:left w:val="single" w:sz="4" w:space="0" w:color="000000"/>
              <w:bottom w:val="single" w:sz="4" w:space="0" w:color="000000"/>
              <w:right w:val="single" w:sz="4" w:space="0" w:color="000000"/>
            </w:tcBorders>
            <w:shd w:val="clear" w:color="auto" w:fill="auto"/>
          </w:tcPr>
          <w:p w14:paraId="4D42799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Taśmą mierniczą </w:t>
            </w:r>
          </w:p>
        </w:tc>
        <w:tc>
          <w:tcPr>
            <w:tcW w:w="303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A3EF36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 pomiar co 50 m, na łukach poziomych w punktach  charakterystycznych </w:t>
            </w:r>
          </w:p>
        </w:tc>
      </w:tr>
    </w:tbl>
    <w:p w14:paraId="6497710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20D7B9B0"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73" w:name="_Toc55094"/>
      <w:r w:rsidRPr="002326E7">
        <w:rPr>
          <w:rFonts w:ascii="Arial Narrow" w:eastAsia="Times New Roman" w:hAnsi="Arial Narrow" w:cs="Times New Roman"/>
          <w:b/>
          <w:sz w:val="28"/>
          <w:szCs w:val="20"/>
          <w:lang w:val="x-none" w:eastAsia="x-none"/>
        </w:rPr>
        <w:t xml:space="preserve">6.3. Badania i pomiary kontrolne </w:t>
      </w:r>
      <w:bookmarkEnd w:id="773"/>
    </w:p>
    <w:p w14:paraId="0EFB6BD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Badania i pomiary kontrolne są zlecane przez Inżyniera/Inspektora Nadzoru, a których celem jest sprawdzenie, czy jakość zastosowanych materiałów i wyrobów budowlanych (mieszanek mineralno-asfaltowych i ich składników, lepiszczy i materiałów do uszczelnień itp.) oraz gotowej warstwy (wbudowane warstwy asfaltowe, połączenia itp.) spełniają wymagania określone w kontrakcie.   </w:t>
      </w:r>
    </w:p>
    <w:p w14:paraId="5E657F0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Pobieraniem próbek, wykonaniem badań i pomiarów na miejscu budowy zajmuje się Laboratorium Zamawiającego/Inżynier/Inspektor Nadzoru przy udziale lub po poinformowaniu przedstawicieli Wykonawcy. Zamawiający decyduje o wyborze Laboratorium Zamawiającego. </w:t>
      </w:r>
    </w:p>
    <w:p w14:paraId="76C65062"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74" w:name="_Toc55095"/>
      <w:r w:rsidRPr="002326E7">
        <w:rPr>
          <w:rFonts w:ascii="Arial Narrow" w:eastAsia="Times New Roman" w:hAnsi="Arial Narrow" w:cs="Times New Roman"/>
          <w:b/>
          <w:sz w:val="28"/>
          <w:szCs w:val="20"/>
          <w:lang w:val="x-none" w:eastAsia="x-none"/>
        </w:rPr>
        <w:t xml:space="preserve">6.4. Badania i pomiary kontrolne dodatkowe </w:t>
      </w:r>
      <w:bookmarkEnd w:id="774"/>
    </w:p>
    <w:p w14:paraId="3106A59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wypadku uznania, że jeden z wyników badań lub pomiarów kontrolnych nie jest reprezentatywny dla ocenianego odcinka budowy, strony kontraktu mogą wystąpić o przeprowadzenia badań lub pomiarów kontrolnych dodatkowych. Badania kontrolne dodatkowe są wykonywane przez Laboratorium Zamawiającego. </w:t>
      </w:r>
    </w:p>
    <w:p w14:paraId="670B00D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Strony Kontraktu decydują wspólnie o miejscach pobierania próbek i wyznaczeniu odcinków częściowych ocenianego odcinka budowy tzn. dziennej działki roboczej. Jeżeli odcinek częściowy przyporządkowany do badań kontrolnych nie może być jednoznacznie i zgodnie wyznaczony, to odcinek ten nie powinien być mniejszy niż 20% ocenianego odcinka budowy. </w:t>
      </w:r>
    </w:p>
    <w:p w14:paraId="2C2C55C2"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75" w:name="_Toc55096"/>
      <w:r w:rsidRPr="002326E7">
        <w:rPr>
          <w:rFonts w:ascii="Arial Narrow" w:eastAsia="Times New Roman" w:hAnsi="Arial Narrow" w:cs="Times New Roman"/>
          <w:b/>
          <w:sz w:val="28"/>
          <w:szCs w:val="20"/>
          <w:lang w:val="x-none" w:eastAsia="x-none"/>
        </w:rPr>
        <w:t xml:space="preserve">6.5. Badania i pomiary arbitrażowe </w:t>
      </w:r>
      <w:bookmarkEnd w:id="775"/>
    </w:p>
    <w:p w14:paraId="3BE2AD8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Badania i pomiary arbitrażowe są powtórzeniem badań lub pomiarów kontrolnych i/lub kontrolnych dodatkowych, co do których istnieją uzasadnione wątpliwości ze strony Inżyniera/Inspektora Nadzoru, Zamawiającego lub Wykonawcy (np. na podstawie własnych badań). </w:t>
      </w:r>
    </w:p>
    <w:p w14:paraId="0228A4F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Badania i pomiary arbitrażowe wykonuje się na wniosek strony kontraktu. Badania i pomiary arbitrażowe wykonuje bezstronne, akredytowane laboratorium, które nie wykonywało badań lub pomiarów kontrolnych, przy udziale lub po poinformowaniu przedstawicieli stron. </w:t>
      </w:r>
    </w:p>
    <w:p w14:paraId="6C4C2CD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wniosku Wykonawcy zgodę na przeprowadzenie badań i pomiarów arbitrażowych wyraża Inżynier/Inspektor Nadzoru po wcześniejszej analizie zasadności wniosku. Zamawiający akceptuje laboratorium, które przeprowadzi badania lub pomiary arbitrażowe.  </w:t>
      </w:r>
    </w:p>
    <w:p w14:paraId="4160B036"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76" w:name="_Toc55097"/>
      <w:r w:rsidRPr="002326E7">
        <w:rPr>
          <w:rFonts w:ascii="Arial Narrow" w:eastAsia="Times New Roman" w:hAnsi="Arial Narrow" w:cs="Times New Roman"/>
          <w:b/>
          <w:sz w:val="28"/>
          <w:szCs w:val="20"/>
          <w:lang w:val="x-none" w:eastAsia="x-none"/>
        </w:rPr>
        <w:t xml:space="preserve">6.6. Badania i pomiary przed przystąpieniem do robót </w:t>
      </w:r>
      <w:bookmarkEnd w:id="776"/>
    </w:p>
    <w:p w14:paraId="3554E77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Przed przystąpieniem do robót Wykonawca powinien przedstawić Inżynierowi/Inspektorowi Nadzoru do akceptacji źródła poboru kruszyw oraz wszystkich dodatkowych materiałów, dołączając wszystkie dokumenty potwierdzające jakość materiałów składowych. </w:t>
      </w:r>
    </w:p>
    <w:p w14:paraId="15400CD5"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77" w:name="_Toc55098"/>
      <w:r w:rsidRPr="002326E7">
        <w:rPr>
          <w:rFonts w:ascii="Arial Narrow" w:eastAsia="Times New Roman" w:hAnsi="Arial Narrow" w:cs="Times New Roman"/>
          <w:b/>
          <w:sz w:val="28"/>
          <w:szCs w:val="20"/>
          <w:lang w:val="x-none" w:eastAsia="x-none"/>
        </w:rPr>
        <w:lastRenderedPageBreak/>
        <w:t xml:space="preserve">6.7. Badania w czasie robót </w:t>
      </w:r>
      <w:bookmarkEnd w:id="777"/>
    </w:p>
    <w:p w14:paraId="553909FD"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6.7.1. Zawartość lepiszcza rozpuszczalnego </w:t>
      </w:r>
    </w:p>
    <w:p w14:paraId="08411B1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Badanie polega na wykonaniu ekstrakcji lepiszcza, zgodnie PN-EN 12697-1, z próbki pobranej z mieszanki mineralno-asfaltowej.  </w:t>
      </w:r>
    </w:p>
    <w:p w14:paraId="44B9BFB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Jakości wbudowanej mieszanki mineralno-asfaltowej należy ocenić na podstawie: </w:t>
      </w:r>
    </w:p>
    <w:p w14:paraId="24FD82D7"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wielkości odchyłki obliczonej dla wartości średniej (średnia arytmetyczna wszystkich wyników z całej drogi dla danego typu MMA i danej warstwy asfaltowej) z dokładnością do 0,01 %, </w:t>
      </w:r>
    </w:p>
    <w:p w14:paraId="2C912908"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wielkości odchyłki obliczonej dla pojedynczego wyniku (próbki) z dokładnością do 0,1 %. </w:t>
      </w:r>
    </w:p>
    <w:p w14:paraId="57DFD0D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Wyżej wymienione kryteria należy stosować jednocześnie (oba podlegają ocenie jakości MMA). </w:t>
      </w:r>
    </w:p>
    <w:p w14:paraId="405C16D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Odchyłka jest to różnica wartości bezwzględnej pomiędzy procentową zawartością lepiszcza rozpuszczalnego uzyskaną z badań laboratoryjnych a procentową zawartością lepiszcza rozpuszczalnego podaną w Badaniu Typu (%). </w:t>
      </w:r>
    </w:p>
    <w:p w14:paraId="27E4C8D7"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5. Dopuszczalne odchyłki do odbioru dla </w:t>
      </w:r>
      <w:r w:rsidRPr="002326E7">
        <w:rPr>
          <w:rFonts w:ascii="Arial Narrow" w:eastAsia="Times New Roman" w:hAnsi="Arial Narrow" w:cs="Times New Roman"/>
          <w:sz w:val="20"/>
          <w:szCs w:val="20"/>
          <w:u w:val="single"/>
          <w:lang w:eastAsia="pl-PL"/>
        </w:rPr>
        <w:t>wartości średniej</w:t>
      </w:r>
      <w:r w:rsidRPr="002326E7">
        <w:rPr>
          <w:rFonts w:ascii="Arial Narrow" w:eastAsia="Times New Roman" w:hAnsi="Arial Narrow" w:cs="Times New Roman"/>
          <w:sz w:val="20"/>
          <w:szCs w:val="20"/>
          <w:lang w:eastAsia="pl-PL"/>
        </w:rPr>
        <w:t xml:space="preserve"> policzonej z dokładnością do 0,01 % </w:t>
      </w:r>
    </w:p>
    <w:tbl>
      <w:tblPr>
        <w:tblW w:w="8932" w:type="dxa"/>
        <w:tblInd w:w="84" w:type="dxa"/>
        <w:tblCellMar>
          <w:left w:w="0" w:type="dxa"/>
          <w:right w:w="79" w:type="dxa"/>
        </w:tblCellMar>
        <w:tblLook w:val="04A0" w:firstRow="1" w:lastRow="0" w:firstColumn="1" w:lastColumn="0" w:noHBand="0" w:noVBand="1"/>
      </w:tblPr>
      <w:tblGrid>
        <w:gridCol w:w="3828"/>
        <w:gridCol w:w="2552"/>
        <w:gridCol w:w="2552"/>
      </w:tblGrid>
      <w:tr w:rsidR="002326E7" w:rsidRPr="002326E7" w14:paraId="54AC4AE7" w14:textId="77777777" w:rsidTr="00855929">
        <w:trPr>
          <w:trHeight w:val="113"/>
        </w:trPr>
        <w:tc>
          <w:tcPr>
            <w:tcW w:w="382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EF9A35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Oceniany parametr </w:t>
            </w: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9FB31A5"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Wielkość odchyłki dla wartości średniej ; % </w:t>
            </w:r>
          </w:p>
        </w:tc>
      </w:tr>
      <w:tr w:rsidR="002326E7" w:rsidRPr="002326E7" w14:paraId="0AF3E461" w14:textId="77777777" w:rsidTr="00855929">
        <w:trPr>
          <w:trHeight w:val="113"/>
        </w:trPr>
        <w:tc>
          <w:tcPr>
            <w:tcW w:w="0" w:type="auto"/>
            <w:vMerge/>
            <w:tcBorders>
              <w:top w:val="nil"/>
              <w:left w:val="single" w:sz="4" w:space="0" w:color="000000"/>
              <w:bottom w:val="nil"/>
              <w:right w:val="single" w:sz="4" w:space="0" w:color="000000"/>
            </w:tcBorders>
            <w:shd w:val="clear" w:color="auto" w:fill="auto"/>
          </w:tcPr>
          <w:p w14:paraId="70C2501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510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98769D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SMA </w:t>
            </w:r>
          </w:p>
        </w:tc>
      </w:tr>
      <w:tr w:rsidR="002326E7" w:rsidRPr="002326E7" w14:paraId="52B16FA2" w14:textId="77777777" w:rsidTr="00855929">
        <w:trPr>
          <w:trHeight w:val="113"/>
        </w:trPr>
        <w:tc>
          <w:tcPr>
            <w:tcW w:w="0" w:type="auto"/>
            <w:vMerge/>
            <w:tcBorders>
              <w:top w:val="nil"/>
              <w:left w:val="single" w:sz="4" w:space="0" w:color="000000"/>
              <w:bottom w:val="single" w:sz="4" w:space="0" w:color="000000"/>
              <w:right w:val="single" w:sz="4" w:space="0" w:color="000000"/>
            </w:tcBorders>
            <w:shd w:val="clear" w:color="auto" w:fill="auto"/>
          </w:tcPr>
          <w:p w14:paraId="498D021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96875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KR3÷KR7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D41EE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KR1 ÷KR2 </w:t>
            </w:r>
          </w:p>
        </w:tc>
      </w:tr>
      <w:tr w:rsidR="002326E7" w:rsidRPr="002326E7" w14:paraId="0DFF0ED5" w14:textId="77777777" w:rsidTr="00855929">
        <w:trPr>
          <w:trHeight w:val="113"/>
        </w:trPr>
        <w:tc>
          <w:tcPr>
            <w:tcW w:w="38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148825"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zawartość lepiszcza rozpuszczalnego S </w:t>
            </w:r>
          </w:p>
          <w:p w14:paraId="3AB7DBA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 niedomiar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72FC1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0,15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3D2D4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0,20  </w:t>
            </w:r>
          </w:p>
        </w:tc>
      </w:tr>
      <w:tr w:rsidR="002326E7" w:rsidRPr="002326E7" w14:paraId="179BA4D1" w14:textId="77777777" w:rsidTr="00855929">
        <w:trPr>
          <w:trHeight w:val="113"/>
        </w:trPr>
        <w:tc>
          <w:tcPr>
            <w:tcW w:w="38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E8B58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zawartość lepiszcza rozpuszczalnego S </w:t>
            </w:r>
          </w:p>
          <w:p w14:paraId="5688E61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 nadmiar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EF4D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0,20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33ADB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0,20  </w:t>
            </w:r>
          </w:p>
        </w:tc>
      </w:tr>
    </w:tbl>
    <w:p w14:paraId="490E91E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4F00630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6. Dopuszczalne odchyłki do odbioru </w:t>
      </w:r>
      <w:r w:rsidRPr="002326E7">
        <w:rPr>
          <w:rFonts w:ascii="Arial Narrow" w:eastAsia="Times New Roman" w:hAnsi="Arial Narrow" w:cs="Times New Roman"/>
          <w:sz w:val="20"/>
          <w:szCs w:val="20"/>
          <w:u w:val="single"/>
          <w:lang w:eastAsia="pl-PL"/>
        </w:rPr>
        <w:t>dla pojedynczego</w:t>
      </w:r>
      <w:r w:rsidRPr="002326E7">
        <w:rPr>
          <w:rFonts w:ascii="Arial Narrow" w:eastAsia="Times New Roman" w:hAnsi="Arial Narrow" w:cs="Times New Roman"/>
          <w:sz w:val="20"/>
          <w:szCs w:val="20"/>
          <w:lang w:eastAsia="pl-PL"/>
        </w:rPr>
        <w:t xml:space="preserve"> wyniku określonego z dokładnością do 0,1 % </w:t>
      </w:r>
    </w:p>
    <w:tbl>
      <w:tblPr>
        <w:tblW w:w="8932" w:type="dxa"/>
        <w:tblInd w:w="84" w:type="dxa"/>
        <w:tblCellMar>
          <w:left w:w="144" w:type="dxa"/>
          <w:right w:w="74" w:type="dxa"/>
        </w:tblCellMar>
        <w:tblLook w:val="04A0" w:firstRow="1" w:lastRow="0" w:firstColumn="1" w:lastColumn="0" w:noHBand="0" w:noVBand="1"/>
      </w:tblPr>
      <w:tblGrid>
        <w:gridCol w:w="3829"/>
        <w:gridCol w:w="5103"/>
      </w:tblGrid>
      <w:tr w:rsidR="002326E7" w:rsidRPr="002326E7" w14:paraId="1683DBE4" w14:textId="77777777" w:rsidTr="00855929">
        <w:trPr>
          <w:trHeight w:val="113"/>
        </w:trPr>
        <w:tc>
          <w:tcPr>
            <w:tcW w:w="382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CE3ACA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Oceniany parametr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645E5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Wielkość odchyłki dla pojedynczego wyniku ; % </w:t>
            </w:r>
          </w:p>
        </w:tc>
      </w:tr>
      <w:tr w:rsidR="002326E7" w:rsidRPr="002326E7" w14:paraId="39D9FF8C" w14:textId="77777777" w:rsidTr="00855929">
        <w:trPr>
          <w:trHeight w:val="113"/>
        </w:trPr>
        <w:tc>
          <w:tcPr>
            <w:tcW w:w="0" w:type="auto"/>
            <w:vMerge/>
            <w:tcBorders>
              <w:top w:val="nil"/>
              <w:left w:val="single" w:sz="4" w:space="0" w:color="000000"/>
              <w:bottom w:val="nil"/>
              <w:right w:val="single" w:sz="4" w:space="0" w:color="000000"/>
            </w:tcBorders>
            <w:shd w:val="clear" w:color="auto" w:fill="auto"/>
          </w:tcPr>
          <w:p w14:paraId="5B977AB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4BA3D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SMA  </w:t>
            </w:r>
          </w:p>
        </w:tc>
      </w:tr>
      <w:tr w:rsidR="002326E7" w:rsidRPr="002326E7" w14:paraId="1556369F" w14:textId="77777777" w:rsidTr="00855929">
        <w:trPr>
          <w:trHeight w:val="113"/>
        </w:trPr>
        <w:tc>
          <w:tcPr>
            <w:tcW w:w="0" w:type="auto"/>
            <w:vMerge/>
            <w:tcBorders>
              <w:top w:val="nil"/>
              <w:left w:val="single" w:sz="4" w:space="0" w:color="000000"/>
              <w:bottom w:val="single" w:sz="4" w:space="0" w:color="000000"/>
              <w:right w:val="single" w:sz="4" w:space="0" w:color="000000"/>
            </w:tcBorders>
            <w:shd w:val="clear" w:color="auto" w:fill="auto"/>
          </w:tcPr>
          <w:p w14:paraId="7B2D626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25846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KR1÷KR7 </w:t>
            </w:r>
          </w:p>
        </w:tc>
      </w:tr>
      <w:tr w:rsidR="002326E7" w:rsidRPr="002326E7" w14:paraId="4E2BA0B2" w14:textId="77777777" w:rsidTr="00855929">
        <w:trPr>
          <w:trHeight w:val="113"/>
        </w:trPr>
        <w:tc>
          <w:tcPr>
            <w:tcW w:w="38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7A304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Zawartość lepiszcza rozpuszczalnego S - niedomiar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99F3D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0,3 </w:t>
            </w:r>
          </w:p>
        </w:tc>
      </w:tr>
      <w:tr w:rsidR="002326E7" w:rsidRPr="002326E7" w14:paraId="7BF7A5DF" w14:textId="77777777" w:rsidTr="00855929">
        <w:trPr>
          <w:trHeight w:val="113"/>
        </w:trPr>
        <w:tc>
          <w:tcPr>
            <w:tcW w:w="38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C0AB9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Zawartość lepiszcza rozpuszczalnego S - nadmiar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83EBB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0,3 </w:t>
            </w:r>
          </w:p>
        </w:tc>
      </w:tr>
    </w:tbl>
    <w:p w14:paraId="66A351A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przekroczenia wielkości dopuszczalnych odchyłek dla wartości średniej  i dla pojedynczego wyniku w zakresie zawartości lepiszcza rozpuszczalnego należy postępować zgodnie z Instrukcją DP-T14 </w:t>
      </w:r>
      <w:r w:rsidRPr="002326E7">
        <w:rPr>
          <w:rFonts w:ascii="Arial Narrow" w:eastAsia="Times New Roman" w:hAnsi="Arial Narrow" w:cs="Times New Roman"/>
          <w:i/>
          <w:sz w:val="20"/>
          <w:szCs w:val="20"/>
          <w:lang w:eastAsia="pl-PL"/>
        </w:rPr>
        <w:t>Ocena jakości na drogach krajowych. Część I-Roboty drogowe. 2017</w:t>
      </w:r>
      <w:r w:rsidRPr="002326E7">
        <w:rPr>
          <w:rFonts w:ascii="Arial Narrow" w:eastAsia="Times New Roman" w:hAnsi="Arial Narrow" w:cs="Times New Roman"/>
          <w:sz w:val="20"/>
          <w:szCs w:val="20"/>
          <w:lang w:eastAsia="pl-PL"/>
        </w:rPr>
        <w:t xml:space="preserve">. </w:t>
      </w:r>
    </w:p>
    <w:p w14:paraId="22802E0A"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6.7.2. Uziarnienie mieszanki mineralnej </w:t>
      </w:r>
    </w:p>
    <w:p w14:paraId="2A72FC3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 wykonaniu ekstrakcji lepiszcza należy przeprowadzić kontrolę uziarnienia mieszanki kruszywa mineralnego wg PN-EN 12697-2.  </w:t>
      </w:r>
    </w:p>
    <w:p w14:paraId="1842A7D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Jakości mieszanki mineralnej należy ocenić na podstawie: </w:t>
      </w:r>
    </w:p>
    <w:p w14:paraId="502EB9FA"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wielkości odchyłki obliczonej dla wartości średniej (średnia arytmetyczna wszystkich wyników z całej drogi dla danego typu MMA i danej warstwy asfaltowej) z dokładnością do 0,1 % </w:t>
      </w:r>
    </w:p>
    <w:p w14:paraId="2BA18CDB"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wielkości odchyłki obliczonej dla pojedynczego wyniku (próbki) z dokładnością do 0,1 % dla sita 0,063mm i z dokładnością do 1 % dla pozostałych sit. </w:t>
      </w:r>
    </w:p>
    <w:p w14:paraId="6FA569A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b/>
          <w:sz w:val="20"/>
          <w:szCs w:val="20"/>
          <w:lang w:eastAsia="pl-PL"/>
        </w:rPr>
        <w:t>Wyżej wymienione kryteria należy stosować jednocześnie</w:t>
      </w:r>
      <w:r w:rsidRPr="002326E7">
        <w:rPr>
          <w:rFonts w:ascii="Arial Narrow" w:eastAsia="Times New Roman" w:hAnsi="Arial Narrow" w:cs="Times New Roman"/>
          <w:sz w:val="20"/>
          <w:szCs w:val="20"/>
          <w:lang w:eastAsia="pl-PL"/>
        </w:rPr>
        <w:t xml:space="preserve"> (oba podlegają ocenie jakości MMA). </w:t>
      </w:r>
    </w:p>
    <w:p w14:paraId="37D2F91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Odchyłka jest to różnica wartości bezwzględnej pomiędzy procentową zawartością ziaren w wyekstrahowanej mieszance mineralnej uzyskaną z badań laboratoryjnych a procentową zawartością ziaren w mieszance mineralnej podaną w Badaniu Typu (%). </w:t>
      </w:r>
    </w:p>
    <w:p w14:paraId="33A9F37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Dopuszczalne odchyłki w zakresie uziarnienia podano w tabeli 7. </w:t>
      </w:r>
    </w:p>
    <w:p w14:paraId="19ED0FF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7. Dopuszczalne odchyłki w zakresie uziarnienia. </w:t>
      </w:r>
    </w:p>
    <w:tbl>
      <w:tblPr>
        <w:tblW w:w="8956" w:type="dxa"/>
        <w:tblInd w:w="125" w:type="dxa"/>
        <w:tblCellMar>
          <w:top w:w="174" w:type="dxa"/>
          <w:left w:w="115" w:type="dxa"/>
          <w:right w:w="55" w:type="dxa"/>
        </w:tblCellMar>
        <w:tblLook w:val="04A0" w:firstRow="1" w:lastRow="0" w:firstColumn="1" w:lastColumn="0" w:noHBand="0" w:noVBand="1"/>
      </w:tblPr>
      <w:tblGrid>
        <w:gridCol w:w="2287"/>
        <w:gridCol w:w="2189"/>
        <w:gridCol w:w="2168"/>
        <w:gridCol w:w="2312"/>
      </w:tblGrid>
      <w:tr w:rsidR="002326E7" w:rsidRPr="002326E7" w14:paraId="0163DB49" w14:textId="77777777" w:rsidTr="00855929">
        <w:trPr>
          <w:trHeight w:val="113"/>
        </w:trPr>
        <w:tc>
          <w:tcPr>
            <w:tcW w:w="2287"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368A4F5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Przechodzi przez sito #, mm </w:t>
            </w:r>
          </w:p>
        </w:tc>
        <w:tc>
          <w:tcPr>
            <w:tcW w:w="4357" w:type="dxa"/>
            <w:gridSpan w:val="2"/>
            <w:tcBorders>
              <w:top w:val="single" w:sz="4" w:space="0" w:color="000000"/>
              <w:left w:val="single" w:sz="4" w:space="0" w:color="000000"/>
              <w:bottom w:val="single" w:sz="4" w:space="0" w:color="000000"/>
              <w:right w:val="single" w:sz="4" w:space="0" w:color="000000"/>
            </w:tcBorders>
            <w:shd w:val="clear" w:color="auto" w:fill="auto"/>
          </w:tcPr>
          <w:p w14:paraId="7313C4C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Odchyłki dopuszczalne dla pojedynczego wyniku, %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70FB4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Odchyłki dopuszczalne dla wartości średniej, % </w:t>
            </w:r>
          </w:p>
        </w:tc>
      </w:tr>
      <w:tr w:rsidR="002326E7" w:rsidRPr="002326E7" w14:paraId="26FEA371" w14:textId="77777777" w:rsidTr="00855929">
        <w:trPr>
          <w:trHeight w:val="113"/>
        </w:trPr>
        <w:tc>
          <w:tcPr>
            <w:tcW w:w="0" w:type="auto"/>
            <w:vMerge/>
            <w:tcBorders>
              <w:top w:val="nil"/>
              <w:left w:val="single" w:sz="4" w:space="0" w:color="000000"/>
              <w:bottom w:val="single" w:sz="4" w:space="0" w:color="000000"/>
              <w:right w:val="single" w:sz="4" w:space="0" w:color="000000"/>
            </w:tcBorders>
            <w:shd w:val="clear" w:color="auto" w:fill="auto"/>
          </w:tcPr>
          <w:p w14:paraId="6EE03DD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B1FF8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 3-7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A5DFD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 1-2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896BF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KR 1-7 </w:t>
            </w:r>
          </w:p>
        </w:tc>
      </w:tr>
      <w:tr w:rsidR="002326E7" w:rsidRPr="002326E7" w14:paraId="69102733" w14:textId="77777777" w:rsidTr="00855929">
        <w:trPr>
          <w:trHeight w:val="113"/>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D0E3F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0,063 </w:t>
            </w: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C56FB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2,5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5C81A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3,0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77F6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1,5 </w:t>
            </w:r>
          </w:p>
        </w:tc>
      </w:tr>
      <w:tr w:rsidR="002326E7" w:rsidRPr="002326E7" w14:paraId="67A5B9AC" w14:textId="77777777" w:rsidTr="00855929">
        <w:trPr>
          <w:trHeight w:val="113"/>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BCCEF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0,125 </w:t>
            </w: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5D4BE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4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3592C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5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4D403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2,0 </w:t>
            </w:r>
          </w:p>
        </w:tc>
      </w:tr>
      <w:tr w:rsidR="002326E7" w:rsidRPr="002326E7" w14:paraId="1A5F8DF9" w14:textId="77777777" w:rsidTr="00855929">
        <w:trPr>
          <w:trHeight w:val="113"/>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D0FC0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2 </w:t>
            </w: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62BFF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5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6B2B8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6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71373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3,0 </w:t>
            </w:r>
          </w:p>
        </w:tc>
      </w:tr>
      <w:tr w:rsidR="002326E7" w:rsidRPr="002326E7" w14:paraId="069E3874" w14:textId="77777777" w:rsidTr="00855929">
        <w:trPr>
          <w:trHeight w:val="113"/>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6594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D/2 lub sito charakterystycze </w:t>
            </w:r>
          </w:p>
        </w:tc>
        <w:tc>
          <w:tcPr>
            <w:tcW w:w="2189" w:type="dxa"/>
            <w:tcBorders>
              <w:top w:val="single" w:sz="4" w:space="0" w:color="000000"/>
              <w:left w:val="single" w:sz="4" w:space="0" w:color="000000"/>
              <w:bottom w:val="single" w:sz="4" w:space="0" w:color="000000"/>
              <w:right w:val="single" w:sz="4" w:space="0" w:color="000000"/>
            </w:tcBorders>
            <w:shd w:val="clear" w:color="auto" w:fill="auto"/>
          </w:tcPr>
          <w:p w14:paraId="602AFD9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6 </w:t>
            </w:r>
          </w:p>
        </w:tc>
        <w:tc>
          <w:tcPr>
            <w:tcW w:w="2168" w:type="dxa"/>
            <w:tcBorders>
              <w:top w:val="single" w:sz="4" w:space="0" w:color="000000"/>
              <w:left w:val="single" w:sz="4" w:space="0" w:color="000000"/>
              <w:bottom w:val="single" w:sz="4" w:space="0" w:color="000000"/>
              <w:right w:val="single" w:sz="4" w:space="0" w:color="000000"/>
            </w:tcBorders>
            <w:shd w:val="clear" w:color="auto" w:fill="auto"/>
          </w:tcPr>
          <w:p w14:paraId="6C50323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7 </w:t>
            </w:r>
          </w:p>
        </w:tc>
        <w:tc>
          <w:tcPr>
            <w:tcW w:w="2312" w:type="dxa"/>
            <w:tcBorders>
              <w:top w:val="single" w:sz="4" w:space="0" w:color="000000"/>
              <w:left w:val="single" w:sz="4" w:space="0" w:color="000000"/>
              <w:bottom w:val="single" w:sz="4" w:space="0" w:color="000000"/>
              <w:right w:val="single" w:sz="4" w:space="0" w:color="000000"/>
            </w:tcBorders>
            <w:shd w:val="clear" w:color="auto" w:fill="auto"/>
          </w:tcPr>
          <w:p w14:paraId="5BA290E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4,0 </w:t>
            </w:r>
          </w:p>
        </w:tc>
      </w:tr>
      <w:tr w:rsidR="002326E7" w:rsidRPr="002326E7" w14:paraId="2B0BD8C9" w14:textId="77777777" w:rsidTr="00855929">
        <w:trPr>
          <w:trHeight w:val="113"/>
        </w:trPr>
        <w:tc>
          <w:tcPr>
            <w:tcW w:w="2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E86CA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D </w:t>
            </w:r>
          </w:p>
        </w:tc>
        <w:tc>
          <w:tcPr>
            <w:tcW w:w="21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CB9C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7 </w:t>
            </w:r>
          </w:p>
        </w:tc>
        <w:tc>
          <w:tcPr>
            <w:tcW w:w="2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8EE36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8 </w:t>
            </w:r>
          </w:p>
        </w:tc>
        <w:tc>
          <w:tcPr>
            <w:tcW w:w="2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B79CE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5,0 </w:t>
            </w:r>
          </w:p>
        </w:tc>
      </w:tr>
    </w:tbl>
    <w:p w14:paraId="008862C7"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Wymagania dotyczące udziału kruszywa grubego, drobnego i wypełniacza powinny być spełnione jednocześnie. </w:t>
      </w:r>
    </w:p>
    <w:p w14:paraId="0B4211E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przekroczenia wielkości dopuszczalnych odchyłek dla wartości średniej  w zakresie uziarnienia należy postępować zgodnie z Instrukcją DP-T14 </w:t>
      </w:r>
      <w:r w:rsidRPr="002326E7">
        <w:rPr>
          <w:rFonts w:ascii="Arial Narrow" w:eastAsia="Times New Roman" w:hAnsi="Arial Narrow" w:cs="Times New Roman"/>
          <w:i/>
          <w:sz w:val="20"/>
          <w:szCs w:val="20"/>
          <w:lang w:eastAsia="pl-PL"/>
        </w:rPr>
        <w:t xml:space="preserve">Ocena jakości na drogach krajowych. Część I-Roboty drogowe. 2017. </w:t>
      </w:r>
    </w:p>
    <w:p w14:paraId="00B5D22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lastRenderedPageBreak/>
        <w:t xml:space="preserve">Dla kryterium dotyczącego pojedynczego wyniku nie stosuje się potrąceń – należy je spełnić wg wyżej wymienionych wymagań. </w:t>
      </w:r>
    </w:p>
    <w:p w14:paraId="5A4C7547"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6.7.3. Zawartość wolnych przestrzeni w mieszance MMA </w:t>
      </w:r>
    </w:p>
    <w:p w14:paraId="423C091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Zawartość wolnych przestrzeni w próbkach Marshalla oblicza się zgodnie z PN-EN 126978. Zawartość wolnych przestrzeni nie może przekroczyć wartości podanych w WT-2 2014 Tabela 27, 28 i 29 w zależności od kategorii ruchu. </w:t>
      </w:r>
    </w:p>
    <w:p w14:paraId="143567FD"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6.7.4. Pomiar grubości warstwy wg PN-EN 12697-36 </w:t>
      </w:r>
    </w:p>
    <w:p w14:paraId="5FE303F7"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Grubości wykonanej warstwy należy określać na wyciętych próbkach (nie wycinać próbek na obiektach mostowych wiertnicą mechaniczną) lub metodą elektromagnetyczną z częstotliwością określoną w tab. 4. Sposób oceny grubości warstwy i pakietu warstw należy dokonać zgodnie  WT-2 2016 – część II pkt 8.2 i Instrukcją DP-T14 pkt. 2.3.  </w:t>
      </w:r>
    </w:p>
    <w:p w14:paraId="231BF74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Grubości warstwy należy ocenić na podstawie wielkości odchyłki obliczonej dla: </w:t>
      </w:r>
    </w:p>
    <w:p w14:paraId="02E9D20F"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pojedynczego wyniku pomiaru grubości warstwy i pakietu warstw asfaltowych, </w:t>
      </w:r>
    </w:p>
    <w:p w14:paraId="5F2C4192"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wartości średniej ze wszystkich pomiarów grubości danej warstwy i wartości średniej pomiarów pakietu warstw asfaltowych. </w:t>
      </w:r>
    </w:p>
    <w:p w14:paraId="3FDC59C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Odchyłka w zakresie grubości danej warstwy lub pakietu warstw z mieszanek mineralnoasfaltowych jest to procentowe </w:t>
      </w:r>
      <w:r w:rsidRPr="002326E7">
        <w:rPr>
          <w:rFonts w:ascii="Arial Narrow" w:eastAsia="Times New Roman" w:hAnsi="Arial Narrow" w:cs="Times New Roman"/>
          <w:b/>
          <w:sz w:val="20"/>
          <w:szCs w:val="20"/>
          <w:lang w:eastAsia="pl-PL"/>
        </w:rPr>
        <w:t>przekroczenie w dół</w:t>
      </w:r>
      <w:r w:rsidRPr="002326E7">
        <w:rPr>
          <w:rFonts w:ascii="Arial Narrow" w:eastAsia="Times New Roman" w:hAnsi="Arial Narrow" w:cs="Times New Roman"/>
          <w:sz w:val="20"/>
          <w:szCs w:val="20"/>
          <w:lang w:eastAsia="pl-PL"/>
        </w:rPr>
        <w:t xml:space="preserve"> projektowanej grubości warstwy lub pakietu i obliczona wg pkt 2.3. Instrukcji DP-T14 2017 – część I z dokładnością do 1%. </w:t>
      </w:r>
    </w:p>
    <w:p w14:paraId="036C182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Tolerancja dla pojedynczego wyniku w zakresie: </w:t>
      </w:r>
    </w:p>
    <w:p w14:paraId="64E87918"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grubości warstwy może wynosić 1÷5% grubości projektowanej. </w:t>
      </w:r>
    </w:p>
    <w:p w14:paraId="457A8C7F"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pakietu wszystkich warstw asfaltowych wynosi 0÷10% grubości projektowanej, lecz nie więcej niż 1 cm. </w:t>
      </w:r>
    </w:p>
    <w:p w14:paraId="096CCAD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Wartość średnia ze wszystkich pomiarów grubości danej warstwy lub pakietu warstw powinna być równa bądź większa w stosunku do grubości przyjętej w projekcie konstrukcji nawierzchni. </w:t>
      </w:r>
    </w:p>
    <w:p w14:paraId="2DAF5B4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przekroczenia wartości dopuszczalnych w zakresie grubości należy postępować zgodnie z Instrukcją DP-T 14. </w:t>
      </w:r>
    </w:p>
    <w:p w14:paraId="3B4C6D5C"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6.7.5. Wskaźnik zagęszczenia warstwy wg PN-EN 13108-20 załącznik C4 </w:t>
      </w:r>
    </w:p>
    <w:p w14:paraId="7E0C245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Wskaźnik zagęszczenia warstwy należy sprawdzać na próbkach wyciętych z zagęszczonej warstwy z częstością podaną w pkt. 6.2. tab. 4. Wskaźnik zagęszczenia nie może być niższy niż 98,0%. Dopuszcza się za zgodą Inżyniera/Inspektora Nadzoru badania zagęszczenia warstwy metodami izotopowymi (zamiennie do cięcia próbek). Metodą referencyjną jest badanie na próbkach wyciętych z zagęszczonej warstwy. Wykonawca wytnie próbki na każde życzenie Inżyniera/Inspektora Nadzoru w miejscach wątpliwych przez niego wskazanych. </w:t>
      </w:r>
    </w:p>
    <w:p w14:paraId="32DBB14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jeśli wskaźnik zagęszczenia jest niższy niż 98,0% należy postępować zgodnie z Instrukcją DP-T14 Ocena jakości na drogach krajowych. Część I - Roboty drogowe. 2017. </w:t>
      </w:r>
    </w:p>
    <w:p w14:paraId="312C616F"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6.7.6. Wolna przestrzeń w zagęszczonej warstwie wg PN-EN 12697-8. </w:t>
      </w:r>
    </w:p>
    <w:p w14:paraId="0EA2B01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 obliczenia wolnej przestrzeni w warstwie należy przyjmować gęstość mieszanki mineralno asfaltowej oznaczonej w dniu wykonywania kontrolowanej działki roboczej. Zawartość wolnej przestrzeni w warstwie powinna mieścić się w granicach dla KR 1-4 1,55,0%, dla KR ≥5 2,0-5,0%. Zawartość wolnej przestrzeni w warstwie należy sprawdzać z częstością podaną w pkt. 6.2. tab. 4. </w:t>
      </w:r>
    </w:p>
    <w:p w14:paraId="124A8195"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6.7.7. Wytrzymałość na ścinanie połączeń międzywarstwowych. </w:t>
      </w:r>
    </w:p>
    <w:p w14:paraId="4F59E41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Badanie sczepności międzywarstwowej należy wykonać wg metody Leutnera na próbkach Ø 150±2mm lub Ø 100±2mm zgodnie z „Instrukcją laboratoryjnego badania sczepności międzywarstwowej warstw asfaltowych wg metody Leutnera i wymagania techniczne sczepności. 2014”. Wymagana wartość dla połączenia ścieralna – wiążąca wynosi nie mniej niż 1,0  MPa – kryterium należy spełnić. Dopuszcza się też inne sprawdzone metody badania sczepności, przy czym metodą referencyjną jest metoda Leutnera na próbkach Ø 150±2mm. </w:t>
      </w:r>
    </w:p>
    <w:p w14:paraId="468FC0E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Badanie sczepności międzywarstwowej należy sprawdzać zgodnie z częstością podaną w pkt. 6.2. tab. 4. </w:t>
      </w:r>
    </w:p>
    <w:p w14:paraId="13E79457"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6.7.8. Temperatura mięknienia lepiszcza odzyskanego. </w:t>
      </w:r>
    </w:p>
    <w:p w14:paraId="3632993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Wymagania dla temperatury mięknienia lepiszcza odzyskanego zgodnie z pkt. 8.1.1. WT-2 2016 – część II. Dla lepiszcza wyekstrahowanego należy kontrolować następujące właściwości: </w:t>
      </w:r>
    </w:p>
    <w:p w14:paraId="4E2C6AA8"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temperaturę mięknienia, </w:t>
      </w:r>
    </w:p>
    <w:p w14:paraId="19049829"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nawrót sprężysty – dot. polimeroasfaltów. </w:t>
      </w:r>
    </w:p>
    <w:p w14:paraId="604E0A4D"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78" w:name="_Toc55099"/>
      <w:r w:rsidRPr="002326E7">
        <w:rPr>
          <w:rFonts w:ascii="Arial Narrow" w:eastAsia="Times New Roman" w:hAnsi="Arial Narrow" w:cs="Times New Roman"/>
          <w:b/>
          <w:sz w:val="28"/>
          <w:szCs w:val="20"/>
          <w:lang w:val="x-none" w:eastAsia="x-none"/>
        </w:rPr>
        <w:t xml:space="preserve">6.8. Badania i pomiary cech geometrycznych warstwy z MMA </w:t>
      </w:r>
      <w:bookmarkEnd w:id="778"/>
    </w:p>
    <w:p w14:paraId="2CEE08A9"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6.8.1. Częstość oraz zakres badań i pomiarów </w:t>
      </w:r>
    </w:p>
    <w:p w14:paraId="42CF095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Częstość oraz zakres badań i pomiarów podano na warstwie ścieralnej podano w tabeli 4. </w:t>
      </w:r>
    </w:p>
    <w:p w14:paraId="1BA56509"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6.8.2. Szerokość warstwy </w:t>
      </w:r>
    </w:p>
    <w:p w14:paraId="3321C05E"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Szerokość wykonanej warstwy powinna być zgodna z szerokością projektowaną z tolerancją + 5 cm. Wymaga się, aby co najmniej 95% wykonanych pomiarów nie przekraczało dopuszczalnego odchylenia. 100% wykonanych pomiarów szerokości wykonanej warstwy powinna być zgodna z szerokością projektowaną z tolerancją + 7 cm.</w:t>
      </w:r>
      <w:r w:rsidRPr="002326E7">
        <w:rPr>
          <w:rFonts w:ascii="Arial Narrow" w:eastAsia="Times New Roman" w:hAnsi="Arial Narrow" w:cs="Times New Roman"/>
          <w:sz w:val="20"/>
          <w:szCs w:val="20"/>
          <w:vertAlign w:val="subscript"/>
          <w:lang w:eastAsia="pl-PL"/>
        </w:rPr>
        <w:t xml:space="preserve"> </w:t>
      </w:r>
    </w:p>
    <w:p w14:paraId="30DDB589"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6.8.3. Równość podłużna i poprzeczna warstwy ścieralnej A. Ocena równości podłużnej warstwy ścieralnej. </w:t>
      </w:r>
    </w:p>
    <w:p w14:paraId="448A050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pomiarach równości nawierzchni należy stosować metody: </w:t>
      </w:r>
    </w:p>
    <w:p w14:paraId="7DEF1F6D"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pomiaru ciągłego równoważną użyciu łaty i klina z wykorzystaniem planografu  (w miejscach niedostępnych dla planografu pomiar ciągły z użyciem laty o długości 4 m i klina). </w:t>
      </w:r>
    </w:p>
    <w:p w14:paraId="5995828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57BE08B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3060C50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0B74272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lastRenderedPageBreak/>
        <w:t xml:space="preserve">W przypadku odbioru odcinków warstwy nawierzchni, na których występują dylatacje mostowe, dopuszcza się weryfikację równości podłużnej w miejscu dylatacji z użyciem łaty (o długości 4 m) i klina. Maksymalna wielkość zmierzonego prześwitu nie może przekroczyć wartości określonych w tabeli 8: </w:t>
      </w:r>
    </w:p>
    <w:p w14:paraId="020F4CE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2005065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8 Dopuszczalne odbiorcze wartości odchyleń równości podłużnej na odcinkach gdzie występują dylatacje </w:t>
      </w:r>
    </w:p>
    <w:p w14:paraId="7BD01C3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tbl>
      <w:tblPr>
        <w:tblW w:w="8903" w:type="dxa"/>
        <w:tblInd w:w="98" w:type="dxa"/>
        <w:tblCellMar>
          <w:top w:w="59" w:type="dxa"/>
          <w:left w:w="115" w:type="dxa"/>
          <w:right w:w="115" w:type="dxa"/>
        </w:tblCellMar>
        <w:tblLook w:val="04A0" w:firstRow="1" w:lastRow="0" w:firstColumn="1" w:lastColumn="0" w:noHBand="0" w:noVBand="1"/>
      </w:tblPr>
      <w:tblGrid>
        <w:gridCol w:w="1726"/>
        <w:gridCol w:w="7177"/>
      </w:tblGrid>
      <w:tr w:rsidR="002326E7" w:rsidRPr="002326E7" w14:paraId="216DF22B" w14:textId="77777777" w:rsidTr="00855929">
        <w:trPr>
          <w:trHeight w:val="754"/>
        </w:trPr>
        <w:tc>
          <w:tcPr>
            <w:tcW w:w="1726" w:type="dxa"/>
            <w:tcBorders>
              <w:top w:val="single" w:sz="12" w:space="0" w:color="000000"/>
              <w:left w:val="single" w:sz="12" w:space="0" w:color="000000"/>
              <w:bottom w:val="single" w:sz="8" w:space="0" w:color="000000"/>
              <w:right w:val="single" w:sz="8" w:space="0" w:color="000000"/>
            </w:tcBorders>
            <w:shd w:val="clear" w:color="auto" w:fill="auto"/>
          </w:tcPr>
          <w:p w14:paraId="79D6F25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Klasa drogi </w:t>
            </w:r>
          </w:p>
        </w:tc>
        <w:tc>
          <w:tcPr>
            <w:tcW w:w="7178" w:type="dxa"/>
            <w:tcBorders>
              <w:top w:val="single" w:sz="12" w:space="0" w:color="000000"/>
              <w:left w:val="single" w:sz="8" w:space="0" w:color="000000"/>
              <w:bottom w:val="single" w:sz="8" w:space="0" w:color="000000"/>
              <w:right w:val="single" w:sz="12" w:space="0" w:color="000000"/>
            </w:tcBorders>
            <w:shd w:val="clear" w:color="auto" w:fill="auto"/>
          </w:tcPr>
          <w:p w14:paraId="461D0D8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Dopuszczalne odbiorcze wartości odchyleń równości podłużnej warstwy nawierzchniowej z betonu cementowego dla odcinków z </w:t>
            </w:r>
          </w:p>
          <w:p w14:paraId="639D37A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dylatacjami [mm] </w:t>
            </w:r>
          </w:p>
        </w:tc>
      </w:tr>
      <w:tr w:rsidR="002326E7" w:rsidRPr="002326E7" w14:paraId="76923739" w14:textId="77777777" w:rsidTr="00855929">
        <w:trPr>
          <w:trHeight w:val="264"/>
        </w:trPr>
        <w:tc>
          <w:tcPr>
            <w:tcW w:w="1726" w:type="dxa"/>
            <w:tcBorders>
              <w:top w:val="single" w:sz="8" w:space="0" w:color="000000"/>
              <w:left w:val="single" w:sz="12" w:space="0" w:color="000000"/>
              <w:bottom w:val="single" w:sz="8" w:space="0" w:color="000000"/>
              <w:right w:val="single" w:sz="8" w:space="0" w:color="000000"/>
            </w:tcBorders>
            <w:shd w:val="clear" w:color="auto" w:fill="auto"/>
          </w:tcPr>
          <w:p w14:paraId="11F01AF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GP </w:t>
            </w:r>
          </w:p>
        </w:tc>
        <w:tc>
          <w:tcPr>
            <w:tcW w:w="7178" w:type="dxa"/>
            <w:tcBorders>
              <w:top w:val="single" w:sz="8" w:space="0" w:color="000000"/>
              <w:left w:val="single" w:sz="8" w:space="0" w:color="000000"/>
              <w:bottom w:val="single" w:sz="8" w:space="0" w:color="000000"/>
              <w:right w:val="single" w:sz="12" w:space="0" w:color="000000"/>
            </w:tcBorders>
            <w:shd w:val="clear" w:color="auto" w:fill="auto"/>
          </w:tcPr>
          <w:p w14:paraId="43462F5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4 </w:t>
            </w:r>
          </w:p>
        </w:tc>
      </w:tr>
      <w:tr w:rsidR="002326E7" w:rsidRPr="002326E7" w14:paraId="0ED1561D" w14:textId="77777777" w:rsidTr="00855929">
        <w:trPr>
          <w:trHeight w:val="266"/>
        </w:trPr>
        <w:tc>
          <w:tcPr>
            <w:tcW w:w="1726" w:type="dxa"/>
            <w:tcBorders>
              <w:top w:val="single" w:sz="8" w:space="0" w:color="000000"/>
              <w:left w:val="single" w:sz="12" w:space="0" w:color="000000"/>
              <w:bottom w:val="single" w:sz="12" w:space="0" w:color="000000"/>
              <w:right w:val="single" w:sz="8" w:space="0" w:color="000000"/>
            </w:tcBorders>
            <w:shd w:val="clear" w:color="auto" w:fill="auto"/>
          </w:tcPr>
          <w:p w14:paraId="625D8F2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G, Z, L, D</w:t>
            </w:r>
          </w:p>
        </w:tc>
        <w:tc>
          <w:tcPr>
            <w:tcW w:w="7178" w:type="dxa"/>
            <w:tcBorders>
              <w:top w:val="single" w:sz="8" w:space="0" w:color="000000"/>
              <w:left w:val="single" w:sz="8" w:space="0" w:color="000000"/>
              <w:bottom w:val="single" w:sz="12" w:space="0" w:color="000000"/>
              <w:right w:val="single" w:sz="12" w:space="0" w:color="000000"/>
            </w:tcBorders>
            <w:shd w:val="clear" w:color="auto" w:fill="auto"/>
          </w:tcPr>
          <w:p w14:paraId="3A489D8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6 </w:t>
            </w:r>
          </w:p>
        </w:tc>
      </w:tr>
    </w:tbl>
    <w:p w14:paraId="0FE13DE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4F0F7BB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 oceny równości podłużnej warstwy ścieralnej nawierzchni dróg klasy Z, L, D oraz placów i parkingów należy stosować metodę pomiaru ciągłego równoważną użyciu łaty i klina z wykorzystaniem planografu, umożliwiającego wyznaczanie odchyleń równości podłużnej jako największej odległości (prześwitu) pomiędzy teoretyczną linią łączącą spody kółek jezdnych urządzenia a mierzoną powierzchnią warstwy [mm]. W miejscach niedostępnych dla planografu pomiar równości podłużnej warstw nawierzchni należy wykonać w sposób ciągły z użyciem łaty (o długości 4 m) i klina. </w:t>
      </w:r>
    </w:p>
    <w:p w14:paraId="2009DDF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Wartości dopuszczalne odchyleń równości podłużnej przy odbiorze warstwy planografem (łatą i klinem) określa tabela 9. </w:t>
      </w:r>
    </w:p>
    <w:p w14:paraId="359444D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1420A65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9. Dopuszczalne wartości odchyleń równości podłużnej przy odbiorze warstwy planografem (łatą i klinem) </w:t>
      </w:r>
    </w:p>
    <w:p w14:paraId="439B56F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tbl>
      <w:tblPr>
        <w:tblW w:w="9064" w:type="dxa"/>
        <w:tblInd w:w="17" w:type="dxa"/>
        <w:tblCellMar>
          <w:top w:w="54" w:type="dxa"/>
          <w:left w:w="134" w:type="dxa"/>
          <w:right w:w="69" w:type="dxa"/>
        </w:tblCellMar>
        <w:tblLook w:val="04A0" w:firstRow="1" w:lastRow="0" w:firstColumn="1" w:lastColumn="0" w:noHBand="0" w:noVBand="1"/>
      </w:tblPr>
      <w:tblGrid>
        <w:gridCol w:w="2974"/>
        <w:gridCol w:w="3044"/>
        <w:gridCol w:w="3046"/>
      </w:tblGrid>
      <w:tr w:rsidR="002326E7" w:rsidRPr="002326E7" w14:paraId="5D5ADB1F" w14:textId="77777777" w:rsidTr="00855929">
        <w:trPr>
          <w:trHeight w:val="113"/>
        </w:trPr>
        <w:tc>
          <w:tcPr>
            <w:tcW w:w="29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63198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Klasa drogi </w:t>
            </w:r>
          </w:p>
        </w:tc>
        <w:tc>
          <w:tcPr>
            <w:tcW w:w="30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D6BF1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Element nawierzchni </w:t>
            </w:r>
          </w:p>
        </w:tc>
        <w:tc>
          <w:tcPr>
            <w:tcW w:w="3046" w:type="dxa"/>
            <w:tcBorders>
              <w:top w:val="single" w:sz="4" w:space="0" w:color="000000"/>
              <w:left w:val="single" w:sz="4" w:space="0" w:color="000000"/>
              <w:bottom w:val="single" w:sz="4" w:space="0" w:color="000000"/>
              <w:right w:val="single" w:sz="4" w:space="0" w:color="000000"/>
            </w:tcBorders>
            <w:shd w:val="clear" w:color="auto" w:fill="auto"/>
          </w:tcPr>
          <w:p w14:paraId="2E6E6D10"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Dopuszczalne odbiorcze wartości odchyleń równości podłużnej warstwy ścieralnej [mm] </w:t>
            </w:r>
          </w:p>
        </w:tc>
      </w:tr>
      <w:tr w:rsidR="002326E7" w:rsidRPr="002326E7" w14:paraId="0241CECC" w14:textId="77777777" w:rsidTr="00855929">
        <w:trPr>
          <w:trHeight w:val="113"/>
        </w:trPr>
        <w:tc>
          <w:tcPr>
            <w:tcW w:w="29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952C1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Gp, G, Z </w:t>
            </w:r>
          </w:p>
        </w:tc>
        <w:tc>
          <w:tcPr>
            <w:tcW w:w="3044" w:type="dxa"/>
            <w:tcBorders>
              <w:top w:val="single" w:sz="4" w:space="0" w:color="000000"/>
              <w:left w:val="single" w:sz="4" w:space="0" w:color="000000"/>
              <w:bottom w:val="single" w:sz="4" w:space="0" w:color="000000"/>
              <w:right w:val="single" w:sz="4" w:space="0" w:color="000000"/>
            </w:tcBorders>
            <w:shd w:val="clear" w:color="auto" w:fill="auto"/>
          </w:tcPr>
          <w:p w14:paraId="52C8996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Pasy ruchu zasadnicze, dodatkowe, włączenia i wyłączenia, postojowe, </w:t>
            </w:r>
          </w:p>
          <w:p w14:paraId="74B1458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jezdnie łącznic, utwardzone </w:t>
            </w:r>
          </w:p>
          <w:p w14:paraId="4FC62EA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pobocza </w:t>
            </w:r>
          </w:p>
        </w:tc>
        <w:tc>
          <w:tcPr>
            <w:tcW w:w="30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F997D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6 </w:t>
            </w:r>
          </w:p>
        </w:tc>
      </w:tr>
      <w:tr w:rsidR="002326E7" w:rsidRPr="002326E7" w14:paraId="67E64607" w14:textId="77777777" w:rsidTr="00855929">
        <w:trPr>
          <w:trHeight w:val="113"/>
        </w:trPr>
        <w:tc>
          <w:tcPr>
            <w:tcW w:w="29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A71F7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L, D, place, parkingi </w:t>
            </w:r>
          </w:p>
        </w:tc>
        <w:tc>
          <w:tcPr>
            <w:tcW w:w="3044" w:type="dxa"/>
            <w:tcBorders>
              <w:top w:val="single" w:sz="4" w:space="0" w:color="000000"/>
              <w:left w:val="single" w:sz="4" w:space="0" w:color="000000"/>
              <w:bottom w:val="single" w:sz="4" w:space="0" w:color="000000"/>
              <w:right w:val="single" w:sz="4" w:space="0" w:color="000000"/>
            </w:tcBorders>
            <w:shd w:val="clear" w:color="auto" w:fill="auto"/>
          </w:tcPr>
          <w:p w14:paraId="736F9FE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Wszystkie pasy ruchu i powierzchnie przeznaczone do ruchu i postoju pojazdów </w:t>
            </w:r>
          </w:p>
        </w:tc>
        <w:tc>
          <w:tcPr>
            <w:tcW w:w="30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579B1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9 </w:t>
            </w:r>
          </w:p>
        </w:tc>
      </w:tr>
    </w:tbl>
    <w:p w14:paraId="081977F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541C67D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60C8A1E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t xml:space="preserve">B. Pomiar równości poprzecznej warstwy ścieralnej </w:t>
      </w:r>
    </w:p>
    <w:p w14:paraId="0BF741D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 oceny równości poprzecznej warstw nawierzchni dróg klasy GP oraz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w:t>
      </w:r>
    </w:p>
    <w:p w14:paraId="27A53CF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Efektywna szerokość pomiarowa jest równa szerokości mierzonego pasa (elementu) nawierzchni z tolerancją +15%. Wartość odchylenia równości poprzecznej należy wyznaczać z krokiem co 1 m, natomiast ocenie podlega wartość średnia z kolejnych 5 metrów. </w:t>
      </w:r>
    </w:p>
    <w:p w14:paraId="0921304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miejscach niedostępnych dla profilografu pomiar równości porzecznej warstwy ścieralnej nawierzchni należy wykonać z użyciem łaty i klina. Długość łaty w pomiarze równości poprzecznej powinna wynosić 2 m, Pomiar powinien być wykonany nie rzadziej niż co 5 m. </w:t>
      </w:r>
    </w:p>
    <w:p w14:paraId="59466F2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Dopuszczalne wartości odchyleń zostały podane w tabeli 10. </w:t>
      </w:r>
    </w:p>
    <w:p w14:paraId="7E2431E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10. Dopuszczalne wartości odchyleń dla warstwy ścieralnej  </w:t>
      </w:r>
    </w:p>
    <w:tbl>
      <w:tblPr>
        <w:tblW w:w="8956" w:type="dxa"/>
        <w:tblInd w:w="125" w:type="dxa"/>
        <w:tblCellMar>
          <w:left w:w="115" w:type="dxa"/>
          <w:right w:w="40" w:type="dxa"/>
        </w:tblCellMar>
        <w:tblLook w:val="04A0" w:firstRow="1" w:lastRow="0" w:firstColumn="1" w:lastColumn="0" w:noHBand="0" w:noVBand="1"/>
      </w:tblPr>
      <w:tblGrid>
        <w:gridCol w:w="2909"/>
        <w:gridCol w:w="3075"/>
        <w:gridCol w:w="2972"/>
      </w:tblGrid>
      <w:tr w:rsidR="002326E7" w:rsidRPr="002326E7" w14:paraId="0FA90846" w14:textId="77777777" w:rsidTr="00855929">
        <w:trPr>
          <w:trHeight w:val="113"/>
        </w:trPr>
        <w:tc>
          <w:tcPr>
            <w:tcW w:w="29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9BE80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Klasa drogi </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211E7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Element nawierzchni </w:t>
            </w:r>
          </w:p>
        </w:tc>
        <w:tc>
          <w:tcPr>
            <w:tcW w:w="2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9BD2B1"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Dopuszczalne wartości odchyleń równości </w:t>
            </w:r>
          </w:p>
          <w:p w14:paraId="5AEEA12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poprzecznej warstwy ścieralnej [mm] </w:t>
            </w:r>
          </w:p>
        </w:tc>
      </w:tr>
      <w:tr w:rsidR="002326E7" w:rsidRPr="002326E7" w14:paraId="645CA124" w14:textId="77777777" w:rsidTr="00855929">
        <w:trPr>
          <w:trHeight w:val="1377"/>
        </w:trPr>
        <w:tc>
          <w:tcPr>
            <w:tcW w:w="29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AF144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GP </w:t>
            </w:r>
          </w:p>
        </w:tc>
        <w:tc>
          <w:tcPr>
            <w:tcW w:w="3075" w:type="dxa"/>
            <w:tcBorders>
              <w:top w:val="single" w:sz="4" w:space="0" w:color="000000"/>
              <w:left w:val="single" w:sz="4" w:space="0" w:color="000000"/>
              <w:right w:val="single" w:sz="4" w:space="0" w:color="000000"/>
            </w:tcBorders>
            <w:shd w:val="clear" w:color="auto" w:fill="auto"/>
            <w:vAlign w:val="center"/>
          </w:tcPr>
          <w:p w14:paraId="71A915F8"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Pasy ruchu zasadnicze, awaryjne, dodatkowe, </w:t>
            </w:r>
          </w:p>
          <w:p w14:paraId="7EBCBDC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włączenia i wyłączenia, </w:t>
            </w:r>
          </w:p>
          <w:p w14:paraId="29CA8BA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jezdnia łącznic, utwardzone </w:t>
            </w:r>
          </w:p>
          <w:p w14:paraId="5A5BB32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pobocza  </w:t>
            </w:r>
          </w:p>
          <w:p w14:paraId="0AF5795A"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972" w:type="dxa"/>
            <w:tcBorders>
              <w:top w:val="single" w:sz="4" w:space="0" w:color="000000"/>
              <w:left w:val="single" w:sz="4" w:space="0" w:color="000000"/>
              <w:right w:val="single" w:sz="4" w:space="0" w:color="000000"/>
            </w:tcBorders>
            <w:shd w:val="clear" w:color="auto" w:fill="auto"/>
            <w:vAlign w:val="center"/>
          </w:tcPr>
          <w:p w14:paraId="063D276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4 </w:t>
            </w:r>
          </w:p>
          <w:p w14:paraId="731E16C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r>
      <w:tr w:rsidR="002326E7" w:rsidRPr="002326E7" w14:paraId="43B7DFD4" w14:textId="77777777" w:rsidTr="00855929">
        <w:trPr>
          <w:trHeight w:val="113"/>
        </w:trPr>
        <w:tc>
          <w:tcPr>
            <w:tcW w:w="29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9EBB9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G, Z </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90788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Pasy ruchu zasadnicze, dodatkowe, włączenia i wyłączenia, postojowe, </w:t>
            </w:r>
          </w:p>
          <w:p w14:paraId="656DEFD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jezdnie łącznic, utwardzone </w:t>
            </w:r>
          </w:p>
          <w:p w14:paraId="45963E74"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pobocza </w:t>
            </w:r>
          </w:p>
        </w:tc>
        <w:tc>
          <w:tcPr>
            <w:tcW w:w="2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E6C8F3"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6 </w:t>
            </w:r>
          </w:p>
        </w:tc>
      </w:tr>
      <w:tr w:rsidR="002326E7" w:rsidRPr="002326E7" w14:paraId="0D323A51" w14:textId="77777777" w:rsidTr="00855929">
        <w:trPr>
          <w:trHeight w:val="113"/>
        </w:trPr>
        <w:tc>
          <w:tcPr>
            <w:tcW w:w="29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12A1C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lastRenderedPageBreak/>
              <w:t xml:space="preserve">L, D, place, parkingi </w:t>
            </w:r>
          </w:p>
        </w:tc>
        <w:tc>
          <w:tcPr>
            <w:tcW w:w="30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D5405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Wszystkie pasy ruchu i powierzchnie przeznaczone do ruchu i postoju pojazdów </w:t>
            </w:r>
          </w:p>
        </w:tc>
        <w:tc>
          <w:tcPr>
            <w:tcW w:w="2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12E6EF"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9 </w:t>
            </w:r>
          </w:p>
        </w:tc>
      </w:tr>
    </w:tbl>
    <w:p w14:paraId="5AF3E09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58FBA5F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2326E7">
        <w:rPr>
          <w:rFonts w:ascii="Arial Narrow" w:eastAsia="Times New Roman" w:hAnsi="Arial Narrow" w:cs="Times New Roman"/>
          <w:b/>
          <w:sz w:val="20"/>
          <w:szCs w:val="20"/>
          <w:lang w:eastAsia="pl-PL"/>
        </w:rPr>
        <w:t xml:space="preserve">Pomiar równości poprzecznej warstw nawierzchni z użyciem łaty i klina </w:t>
      </w:r>
    </w:p>
    <w:p w14:paraId="491A0B6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Pomiar równości poprzecznej warstw nawierzchni z użyciem łaty (o długości 2 m) i klina należy wykonywać jedynie w miejscach niedostępnych dla sprzętu pomiarowego takich jak: stanowiska postojowe, zatoki autobusowe itp. Pomiary równości poprzecznej z wykorzystaniem łaty i klina należy wykonywać z krokiem nie rzadziej niż co 5 m. W czasie pomiaru łata powinna leżeć prostopadle do osi drogi i w płaszczyźnie prostopadłej do powierzchni badanej warstwy. </w:t>
      </w:r>
    </w:p>
    <w:p w14:paraId="0733799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Klin należy podkładać pod łatę w miejscu, w którym prześwit jest największy (największe odchylenie równości). Wielkość prześwitu jest równa najmniejszej liczbie widocznej na klinie podłożonym pod łatę. Zasady oceny wyników podano w tabeli 9. </w:t>
      </w:r>
    </w:p>
    <w:p w14:paraId="5CCD0254"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6.8.4. Spadki poprzeczne </w:t>
      </w:r>
    </w:p>
    <w:p w14:paraId="3FDF343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Sprawdzenie polega na przyłożeniu łaty i pomiar prześwitu klinem lub pomiar profilografem laserowym. Spadki poprzeczne warstwy ścieralnej na odcinkach prostych i na łukach powinny być zgodne z spadkami poprzecznymi z tolerancją ± 0,5%.  </w:t>
      </w:r>
    </w:p>
    <w:p w14:paraId="70E425A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Wymaga się, aby co najmniej 95% wykonanych pomiarów nie przekraczało przedziału dopuszczalnych odchyleń. Dla 100% wykonanych pomiarów spadki poprzeczne warstwy ścieralnej na odcinkach prostych i na łukach powinny być zgodne z spadkami poprzecznymi z tolerancją ± 0,7%. Spadek poprzeczny musi być wystarczający do zapewnienia sprawnego spływu wody. </w:t>
      </w:r>
    </w:p>
    <w:p w14:paraId="7B8596E3"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6.8.5. Ukształtowanie osi w planie </w:t>
      </w:r>
    </w:p>
    <w:p w14:paraId="4EFA823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Nie dotyczy.</w:t>
      </w:r>
    </w:p>
    <w:p w14:paraId="7B626CA4"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6.8.6. Rzędne wysokościowe nawierzchni </w:t>
      </w:r>
    </w:p>
    <w:p w14:paraId="09EEC8A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Rzędne wysokościowe warstwy ścieralnej powinny być mierzone w przekrojach co 10m w osi i na krawędziach każdej jezdni. Przed przystąpieniem do robót Wykonawca przedstawi schemat punktów pomiarowych do akceptacji. </w:t>
      </w:r>
    </w:p>
    <w:p w14:paraId="2894E99E"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6.8.7. Złącza podłużne i poprzeczne </w:t>
      </w:r>
    </w:p>
    <w:p w14:paraId="73D30D4A"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Złącza w nawierzchni powinny być wykonane w linii prostej, prostopadle do osi drogi.  </w:t>
      </w:r>
    </w:p>
    <w:p w14:paraId="02B1C73F"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konstrukcji wielowarstwowej: </w:t>
      </w:r>
    </w:p>
    <w:p w14:paraId="79357CFF" w14:textId="77777777" w:rsidR="002326E7" w:rsidRPr="002326E7" w:rsidRDefault="002326E7" w:rsidP="00AD6DA2">
      <w:pPr>
        <w:numPr>
          <w:ilvl w:val="0"/>
          <w:numId w:val="23"/>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złącza poprzeczne powinny być przesunięte względem siebie co najmniej o 3 m, </w:t>
      </w:r>
    </w:p>
    <w:p w14:paraId="14093CED" w14:textId="77777777" w:rsidR="002326E7" w:rsidRPr="002326E7" w:rsidRDefault="002326E7" w:rsidP="00AD6DA2">
      <w:pPr>
        <w:numPr>
          <w:ilvl w:val="0"/>
          <w:numId w:val="23"/>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złącza podłużne powinny być przesunięte względem siebie w kolejnych warstwach technologicznych o co najmniej o 30 cm w kierunku poprzecznym do osi jezdni.  </w:t>
      </w:r>
    </w:p>
    <w:p w14:paraId="4173051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Nie można lokalizować złącza podłużnego w śladach kół, a także w obszarze poziomego oznakowania jezdni. Złącza powinny być całkowicie związane, a przylegające warstwy powinny być w jednym poziomie. </w:t>
      </w:r>
    </w:p>
    <w:p w14:paraId="74966D7C"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6.8.8. Wygląd warstwy </w:t>
      </w:r>
    </w:p>
    <w:p w14:paraId="49F3281B"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Wygląd warstwy z MMA powinien być jednorodny, bez miejsc „przeasfaltowanych”, porowatych, łuszczących się i spękanych.  </w:t>
      </w:r>
    </w:p>
    <w:p w14:paraId="1056699B" w14:textId="77777777" w:rsidR="002326E7" w:rsidRPr="002326E7" w:rsidRDefault="002326E7" w:rsidP="002326E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2326E7">
        <w:rPr>
          <w:rFonts w:ascii="Arial Narrow" w:eastAsia="Times New Roman" w:hAnsi="Arial Narrow" w:cs="Times New Roman"/>
          <w:b/>
          <w:sz w:val="24"/>
          <w:szCs w:val="20"/>
          <w:lang w:val="x-none" w:eastAsia="x-none"/>
        </w:rPr>
        <w:t xml:space="preserve">6.8.9. Właściwości przeciwpoślizgowe </w:t>
      </w:r>
    </w:p>
    <w:p w14:paraId="5E1E11F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Przy ocenie właściwości przeciwpoślizgowych nawierzchni drogi klasy G, GPpowinien być określony współczynnik tarcia na mokrej nawierzchni przy całkowitym poślizgu opony testowej. Pomiar wykonuje się urządzeniem SRT-3 nie rzadziej niż co 50 m na nawierzchni zwilżanej wodą w ilości 0,5 l/m2, przy 100% poślizgu opony testowej rowkowanej (ribbed tyre) rozmiaru 165 R 15 </w:t>
      </w:r>
      <w:r w:rsidRPr="002326E7">
        <w:rPr>
          <w:rFonts w:ascii="Arial Narrow" w:eastAsia="Times New Roman" w:hAnsi="Arial Narrow" w:cs="Times New Roman"/>
          <w:sz w:val="20"/>
          <w:szCs w:val="20"/>
          <w:lang w:eastAsia="pl-PL"/>
        </w:rPr>
        <w:t xml:space="preserve"> zalecanej przez World Road Association PIARC, lub za pomocą innej wiarygodnej metody równoważnej, jeśli dysponuje się sprawdzoną zależnością korelacyjną umożlwiającą przeliczenie wyników pomiarów na wartości uzyskiwane zestawem o pełnej blokadzie koła pozytywnie zaopiniowanej przez Zamawiającego. Pomiary powinny być wykonywane w temperaturze otoczenia od 5ºC do 30ºC, na czystej nawierzchni. Badanie należy wykonać w śladzie koła przed dopuszczeniem nawierzchni do ruchu drogowego oraz powtórnie w okresie od 4 do 8 tygodni od oddania nawierzchni do eksploatacji. Jeżeli warunki atmosferyczne uniemożliwiają wykonanie pomiaru w wymienionym terminie, powinien być on zrealizowany z najmniejszym możliwym opóźnieniem. Uzyskane wartości współczynnika tarcia należy rejestrować  z dokładnością do trzech miejsc po przecinku. Miarą właściwości przeciwpoślizgowych jest miarodajny współczynnik tarcia. Za miarodajny współczynnik tarcia przyjmuje się różnicę wartości średniej E(m) i odchylenia standardowego D : E(m) - D. Wyniki podaje się z dokładnością do dwóch miejsc po przecinku. Długość ocenianego odcinka nawierzchni nie powinna być większa niż 1000 m a liczba pomiarów nie mniejsza niż 10. Odcinek końcowy o długości mniejszej niż 500 m należy oceniać łącznie z odcinkiem poprzedzającym. Wymagane minimalne parametry miarodajnego współczynnika tarcia nawierzchni określa tabela 11: </w:t>
      </w:r>
    </w:p>
    <w:p w14:paraId="42A3DC1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p>
    <w:p w14:paraId="234024E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Tabela 11. Minimalne wartości miarodajnego współczynnika tarcia nawierzchni dla konkretnej prędkości zablokowanej opony względem nawierzchni. </w:t>
      </w:r>
    </w:p>
    <w:tbl>
      <w:tblPr>
        <w:tblW w:w="9069" w:type="dxa"/>
        <w:tblInd w:w="17" w:type="dxa"/>
        <w:tblCellMar>
          <w:left w:w="110" w:type="dxa"/>
          <w:right w:w="38" w:type="dxa"/>
        </w:tblCellMar>
        <w:tblLook w:val="04A0" w:firstRow="1" w:lastRow="0" w:firstColumn="1" w:lastColumn="0" w:noHBand="0" w:noVBand="1"/>
      </w:tblPr>
      <w:tblGrid>
        <w:gridCol w:w="792"/>
        <w:gridCol w:w="4150"/>
        <w:gridCol w:w="1433"/>
        <w:gridCol w:w="2694"/>
      </w:tblGrid>
      <w:tr w:rsidR="002326E7" w:rsidRPr="002326E7" w14:paraId="360750BE" w14:textId="77777777" w:rsidTr="00855929">
        <w:trPr>
          <w:trHeight w:val="113"/>
        </w:trPr>
        <w:tc>
          <w:tcPr>
            <w:tcW w:w="79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ED42F4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Klasa drogi </w:t>
            </w:r>
          </w:p>
        </w:tc>
        <w:tc>
          <w:tcPr>
            <w:tcW w:w="41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D2742B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Element nawierzchni </w:t>
            </w:r>
          </w:p>
        </w:tc>
        <w:tc>
          <w:tcPr>
            <w:tcW w:w="412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638151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Minimalna wartość miarodajnego współczynnika tarcia przy prędkości zablokowanej opony względem </w:t>
            </w:r>
          </w:p>
          <w:p w14:paraId="708EEC2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nawierzchni </w:t>
            </w:r>
          </w:p>
        </w:tc>
      </w:tr>
      <w:tr w:rsidR="002326E7" w:rsidRPr="002326E7" w14:paraId="30D8F71E" w14:textId="77777777" w:rsidTr="00855929">
        <w:trPr>
          <w:trHeight w:val="113"/>
        </w:trPr>
        <w:tc>
          <w:tcPr>
            <w:tcW w:w="0" w:type="auto"/>
            <w:vMerge/>
            <w:tcBorders>
              <w:top w:val="nil"/>
              <w:left w:val="single" w:sz="4" w:space="0" w:color="000000"/>
              <w:bottom w:val="single" w:sz="4" w:space="0" w:color="000000"/>
              <w:right w:val="single" w:sz="4" w:space="0" w:color="000000"/>
            </w:tcBorders>
            <w:shd w:val="clear" w:color="auto" w:fill="auto"/>
          </w:tcPr>
          <w:p w14:paraId="51B14D22"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0" w:type="auto"/>
            <w:vMerge/>
            <w:tcBorders>
              <w:top w:val="nil"/>
              <w:left w:val="single" w:sz="4" w:space="0" w:color="000000"/>
              <w:bottom w:val="single" w:sz="4" w:space="0" w:color="000000"/>
              <w:right w:val="single" w:sz="4" w:space="0" w:color="000000"/>
            </w:tcBorders>
            <w:shd w:val="clear" w:color="auto" w:fill="auto"/>
          </w:tcPr>
          <w:p w14:paraId="19E8EF77"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14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37611B"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30 km/h </w:t>
            </w:r>
          </w:p>
        </w:tc>
        <w:tc>
          <w:tcPr>
            <w:tcW w:w="26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94F71E"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60 km/h </w:t>
            </w:r>
          </w:p>
        </w:tc>
      </w:tr>
      <w:tr w:rsidR="002326E7" w:rsidRPr="002326E7" w14:paraId="5FB030B7" w14:textId="77777777" w:rsidTr="00855929">
        <w:trPr>
          <w:trHeight w:val="113"/>
        </w:trPr>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8CFCBD"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GP, G </w:t>
            </w:r>
          </w:p>
        </w:tc>
        <w:tc>
          <w:tcPr>
            <w:tcW w:w="41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C89309"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Pasy ruchu, pasy dodatkowe, jezdnie łącznic, utwardzone pobocza *) </w:t>
            </w:r>
          </w:p>
        </w:tc>
        <w:tc>
          <w:tcPr>
            <w:tcW w:w="14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BD98D6"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0,48** </w:t>
            </w:r>
          </w:p>
        </w:tc>
        <w:tc>
          <w:tcPr>
            <w:tcW w:w="26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9D180C" w14:textId="77777777" w:rsidR="002326E7" w:rsidRPr="002326E7" w:rsidRDefault="002326E7" w:rsidP="002326E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2326E7">
              <w:rPr>
                <w:rFonts w:ascii="Arial Narrow" w:eastAsia="Times New Roman" w:hAnsi="Arial Narrow" w:cs="Times New Roman"/>
                <w:sz w:val="20"/>
              </w:rPr>
              <w:t xml:space="preserve">0,41 </w:t>
            </w:r>
          </w:p>
        </w:tc>
      </w:tr>
    </w:tbl>
    <w:p w14:paraId="0549CAB5"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b/>
          <w:i/>
          <w:sz w:val="20"/>
          <w:szCs w:val="20"/>
          <w:vertAlign w:val="superscript"/>
          <w:lang w:eastAsia="pl-PL"/>
        </w:rPr>
        <w:t>*</w:t>
      </w:r>
      <w:r w:rsidRPr="002326E7">
        <w:rPr>
          <w:rFonts w:ascii="Arial Narrow" w:eastAsia="Times New Roman" w:hAnsi="Arial Narrow" w:cs="Times New Roman"/>
          <w:i/>
          <w:sz w:val="20"/>
          <w:szCs w:val="20"/>
          <w:lang w:eastAsia="pl-PL"/>
        </w:rPr>
        <w:t xml:space="preserve">w przypadku pasów awaryjnych/utwardzonych poboczy wykonywanych w jednym ciągu technologicznym, wymagania można uznać za spełnione na podstawie pozytywnych parametrów nawierzchni pasów ruchu, </w:t>
      </w:r>
    </w:p>
    <w:p w14:paraId="7AF22D4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b/>
          <w:i/>
          <w:sz w:val="20"/>
          <w:szCs w:val="20"/>
          <w:vertAlign w:val="superscript"/>
          <w:lang w:eastAsia="pl-PL"/>
        </w:rPr>
        <w:t>**</w:t>
      </w:r>
      <w:r w:rsidRPr="002326E7">
        <w:rPr>
          <w:rFonts w:ascii="Arial Narrow" w:eastAsia="Times New Roman" w:hAnsi="Arial Narrow" w:cs="Times New Roman"/>
          <w:i/>
          <w:sz w:val="20"/>
          <w:szCs w:val="20"/>
          <w:lang w:eastAsia="pl-PL"/>
        </w:rPr>
        <w:t xml:space="preserve">wartości wymagane dla odcinków nawierzchni, na których nie można wykonać pomiarów z prędkością 60km/h, </w:t>
      </w:r>
    </w:p>
    <w:p w14:paraId="37C037D1"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b/>
          <w:sz w:val="20"/>
          <w:szCs w:val="20"/>
          <w:lang w:eastAsia="pl-PL"/>
        </w:rPr>
        <w:t xml:space="preserve"> </w:t>
      </w:r>
    </w:p>
    <w:p w14:paraId="642A0EC9" w14:textId="77777777" w:rsidR="002326E7" w:rsidRPr="002326E7" w:rsidRDefault="002326E7" w:rsidP="002326E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779" w:name="_Toc55100"/>
      <w:r w:rsidRPr="002326E7">
        <w:rPr>
          <w:rFonts w:ascii="Arial Narrow" w:eastAsia="Times New Roman" w:hAnsi="Arial Narrow" w:cs="Times New Roman"/>
          <w:b/>
          <w:caps/>
          <w:kern w:val="28"/>
          <w:sz w:val="28"/>
          <w:szCs w:val="20"/>
          <w:lang w:val="x-none" w:eastAsia="x-none"/>
        </w:rPr>
        <w:lastRenderedPageBreak/>
        <w:t xml:space="preserve">7. OBMIAR ROBÓT </w:t>
      </w:r>
      <w:bookmarkEnd w:id="779"/>
    </w:p>
    <w:p w14:paraId="3C862843"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80" w:name="_Toc55101"/>
      <w:r w:rsidRPr="002326E7">
        <w:rPr>
          <w:rFonts w:ascii="Arial Narrow" w:eastAsia="Times New Roman" w:hAnsi="Arial Narrow" w:cs="Times New Roman"/>
          <w:b/>
          <w:sz w:val="28"/>
          <w:szCs w:val="20"/>
          <w:lang w:val="x-none" w:eastAsia="x-none"/>
        </w:rPr>
        <w:t xml:space="preserve">7.1. Ogólne zasady obmiaru robót </w:t>
      </w:r>
      <w:bookmarkEnd w:id="780"/>
    </w:p>
    <w:p w14:paraId="01C353C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Ogólne zasady obmiaru robót podano w D-M-00.00.00 "Wymagania ogólne". </w:t>
      </w:r>
    </w:p>
    <w:p w14:paraId="3D70DC8B"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81" w:name="_Toc55102"/>
      <w:r w:rsidRPr="002326E7">
        <w:rPr>
          <w:rFonts w:ascii="Arial Narrow" w:eastAsia="Times New Roman" w:hAnsi="Arial Narrow" w:cs="Times New Roman"/>
          <w:b/>
          <w:sz w:val="28"/>
          <w:szCs w:val="20"/>
          <w:lang w:val="x-none" w:eastAsia="x-none"/>
        </w:rPr>
        <w:t xml:space="preserve">7.2. Jednostka obmiarowa </w:t>
      </w:r>
      <w:bookmarkEnd w:id="781"/>
    </w:p>
    <w:p w14:paraId="2DC99AA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Jednostką obmiarową jest m</w:t>
      </w:r>
      <w:r w:rsidRPr="002326E7">
        <w:rPr>
          <w:rFonts w:ascii="Arial Narrow" w:eastAsia="Times New Roman" w:hAnsi="Arial Narrow" w:cs="Times New Roman"/>
          <w:sz w:val="20"/>
          <w:szCs w:val="20"/>
          <w:vertAlign w:val="superscript"/>
          <w:lang w:eastAsia="pl-PL"/>
        </w:rPr>
        <w:t>2</w:t>
      </w:r>
      <w:r w:rsidRPr="002326E7">
        <w:rPr>
          <w:rFonts w:ascii="Arial Narrow" w:eastAsia="Times New Roman" w:hAnsi="Arial Narrow" w:cs="Times New Roman"/>
          <w:sz w:val="20"/>
          <w:szCs w:val="20"/>
          <w:lang w:eastAsia="pl-PL"/>
        </w:rPr>
        <w:t xml:space="preserve"> (metr kwadratowy) wykonanej warstwy ścieralnej  z mieszanki SMA. </w:t>
      </w:r>
    </w:p>
    <w:p w14:paraId="2A3E3D67" w14:textId="77777777" w:rsidR="002326E7" w:rsidRPr="002326E7" w:rsidRDefault="002326E7" w:rsidP="002326E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782" w:name="_Toc55103"/>
      <w:r w:rsidRPr="002326E7">
        <w:rPr>
          <w:rFonts w:ascii="Arial Narrow" w:eastAsia="Times New Roman" w:hAnsi="Arial Narrow" w:cs="Times New Roman"/>
          <w:b/>
          <w:caps/>
          <w:kern w:val="28"/>
          <w:sz w:val="28"/>
          <w:szCs w:val="20"/>
          <w:lang w:val="x-none" w:eastAsia="x-none"/>
        </w:rPr>
        <w:t xml:space="preserve">8. ODBIÓR ROBÓT </w:t>
      </w:r>
      <w:bookmarkEnd w:id="782"/>
    </w:p>
    <w:p w14:paraId="30C6584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Ogólne zasady odbioru robót podano w D-M-00.00.00 "Wymagania ogólne". Roboty uznaje się za wykonane zgodnie z Dokumentacją Projektową i STWiORB, jeżeli wszystkie badania i pomiary z zachowaniem tolerancji wg pkt. 6 niniejszej STWiORB dały wyniki pozytywne.  </w:t>
      </w:r>
    </w:p>
    <w:p w14:paraId="4434AC8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Do odbioru ostatecznego uwzględniane są wyniki badań i pomiarów kontrolnych, badań i pomiarów kontrolnych dodatkowych oraz badań i pomiarów arbitrażowych do wyznaczonych odcinków częściowych. </w:t>
      </w:r>
    </w:p>
    <w:p w14:paraId="33CB74A3"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83" w:name="_Toc55104"/>
      <w:r w:rsidRPr="002326E7">
        <w:rPr>
          <w:rFonts w:ascii="Arial Narrow" w:eastAsia="Times New Roman" w:hAnsi="Arial Narrow" w:cs="Times New Roman"/>
          <w:b/>
          <w:sz w:val="28"/>
          <w:szCs w:val="20"/>
          <w:lang w:val="x-none" w:eastAsia="x-none"/>
        </w:rPr>
        <w:t xml:space="preserve">8.1. Zasady postępowania z wadliwie wykonanymi robotami </w:t>
      </w:r>
      <w:bookmarkEnd w:id="783"/>
    </w:p>
    <w:p w14:paraId="1F46508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Jeżeli wystąpią wyniki negatywne dla materiałów i robót (nie spełniające wymagań określonych w STWiORB), to Inżynier/Inspektor Nadzoru/Zamawiający wydaje Wykonawcy polecenie przedstawienia programu naprawczego, chyba że na wniosek jednej ze stron kontraktu zostaną wykonane badania lub pomiary arbitrażowe (zgodnie z pkt. 6.5 niniejszego STWiORB), a ich wyniki będą pozytywne. Wykonawca w programie tym jest zobowiązany dokonać oceny wpływu na trwałość konstrukcji nawierzchni, przedstawić sposób naprawienia wady lub wnioskować  o zredukowanie ceny kontraktowej – naliczenie potrąceń według zasad określonych  w Instrukcji DP-T14 Ocena Jakości na Drogach Krajowych. Część I Roboty Drogowe.  W przypadku przekroczenia wartości IRI wskazanych w tabeli 7, a mieszczących się  w zakresie wartości podanych w Dz. U. Nr 43 poz. 430 ze zm. (Dz. U. 2016 poz. 124 – Załącznik nr 6) należy zastosować potrącenia zgodnie z poniższym wzorem: </w:t>
      </w:r>
    </w:p>
    <w:p w14:paraId="678C378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PIRIśr = (IRIśr-IRIśr dop) x K x F </w:t>
      </w:r>
    </w:p>
    <w:p w14:paraId="093B8393"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P</w:t>
      </w:r>
      <w:r w:rsidRPr="002326E7">
        <w:rPr>
          <w:rFonts w:ascii="Arial Narrow" w:eastAsia="Times New Roman" w:hAnsi="Arial Narrow" w:cs="Times New Roman"/>
          <w:sz w:val="20"/>
          <w:szCs w:val="20"/>
          <w:vertAlign w:val="subscript"/>
          <w:lang w:eastAsia="pl-PL"/>
        </w:rPr>
        <w:t>IRI śr</w:t>
      </w:r>
      <w:r w:rsidRPr="002326E7">
        <w:rPr>
          <w:rFonts w:ascii="Arial Narrow" w:eastAsia="Times New Roman" w:hAnsi="Arial Narrow" w:cs="Times New Roman"/>
          <w:sz w:val="20"/>
          <w:szCs w:val="20"/>
          <w:lang w:eastAsia="pl-PL"/>
        </w:rPr>
        <w:t xml:space="preserve"> – potrącenie za przekroczenie dopuszczalnej wartości średniej IRI</w:t>
      </w:r>
      <w:r w:rsidRPr="002326E7">
        <w:rPr>
          <w:rFonts w:ascii="Arial Narrow" w:eastAsia="Times New Roman" w:hAnsi="Arial Narrow" w:cs="Times New Roman"/>
          <w:sz w:val="20"/>
          <w:szCs w:val="20"/>
          <w:vertAlign w:val="subscript"/>
          <w:lang w:eastAsia="pl-PL"/>
        </w:rPr>
        <w:t>śr</w:t>
      </w:r>
      <w:r w:rsidRPr="002326E7">
        <w:rPr>
          <w:rFonts w:ascii="Arial Narrow" w:eastAsia="Times New Roman" w:hAnsi="Arial Narrow" w:cs="Times New Roman"/>
          <w:sz w:val="20"/>
          <w:szCs w:val="20"/>
          <w:lang w:eastAsia="pl-PL"/>
        </w:rPr>
        <w:t xml:space="preserve"> na odcinkach 1000 m   </w:t>
      </w:r>
    </w:p>
    <w:p w14:paraId="4B335B1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IRI</w:t>
      </w:r>
      <w:r w:rsidRPr="002326E7">
        <w:rPr>
          <w:rFonts w:ascii="Arial Narrow" w:eastAsia="Times New Roman" w:hAnsi="Arial Narrow" w:cs="Times New Roman"/>
          <w:sz w:val="20"/>
          <w:szCs w:val="20"/>
          <w:vertAlign w:val="subscript"/>
          <w:lang w:eastAsia="pl-PL"/>
        </w:rPr>
        <w:t>śr</w:t>
      </w:r>
      <w:r w:rsidRPr="002326E7">
        <w:rPr>
          <w:rFonts w:ascii="Arial Narrow" w:eastAsia="Times New Roman" w:hAnsi="Arial Narrow" w:cs="Times New Roman"/>
          <w:sz w:val="20"/>
          <w:szCs w:val="20"/>
          <w:lang w:eastAsia="pl-PL"/>
        </w:rPr>
        <w:t xml:space="preserve"> – uzyskana wartość średnia wyników pomiaru dla odcinka 1000 m </w:t>
      </w:r>
    </w:p>
    <w:p w14:paraId="0C3A868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IRI</w:t>
      </w:r>
      <w:r w:rsidRPr="002326E7">
        <w:rPr>
          <w:rFonts w:ascii="Arial Narrow" w:eastAsia="Times New Roman" w:hAnsi="Arial Narrow" w:cs="Times New Roman"/>
          <w:sz w:val="20"/>
          <w:szCs w:val="20"/>
          <w:vertAlign w:val="subscript"/>
          <w:lang w:eastAsia="pl-PL"/>
        </w:rPr>
        <w:t>śr dop</w:t>
      </w:r>
      <w:r w:rsidRPr="002326E7">
        <w:rPr>
          <w:rFonts w:ascii="Arial Narrow" w:eastAsia="Times New Roman" w:hAnsi="Arial Narrow" w:cs="Times New Roman"/>
          <w:sz w:val="20"/>
          <w:szCs w:val="20"/>
          <w:lang w:eastAsia="pl-PL"/>
        </w:rPr>
        <w:t xml:space="preserve"> </w:t>
      </w:r>
      <w:r w:rsidRPr="002326E7">
        <w:rPr>
          <w:rFonts w:ascii="Arial Narrow" w:eastAsia="Times New Roman" w:hAnsi="Arial Narrow" w:cs="Times New Roman"/>
          <w:sz w:val="20"/>
          <w:szCs w:val="20"/>
          <w:lang w:eastAsia="pl-PL"/>
        </w:rPr>
        <w:tab/>
        <w:t xml:space="preserve">– dopuszczalna wartość średnia wyników pomiaru wg tabeli 7 </w:t>
      </w:r>
    </w:p>
    <w:p w14:paraId="3C46D416"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F –  powierzchnia elementu nawierzchni, na którym nie został dotrzymany parametr IRI</w:t>
      </w:r>
      <w:r w:rsidRPr="002326E7">
        <w:rPr>
          <w:rFonts w:ascii="Arial Narrow" w:eastAsia="Times New Roman" w:hAnsi="Arial Narrow" w:cs="Times New Roman"/>
          <w:sz w:val="20"/>
          <w:szCs w:val="20"/>
          <w:vertAlign w:val="subscript"/>
          <w:lang w:eastAsia="pl-PL"/>
        </w:rPr>
        <w:t>śr</w:t>
      </w:r>
      <w:r w:rsidRPr="002326E7">
        <w:rPr>
          <w:rFonts w:ascii="Arial Narrow" w:eastAsia="Times New Roman" w:hAnsi="Arial Narrow" w:cs="Times New Roman"/>
          <w:sz w:val="20"/>
          <w:szCs w:val="20"/>
          <w:lang w:eastAsia="pl-PL"/>
        </w:rPr>
        <w:t>, [m</w:t>
      </w:r>
      <w:r w:rsidRPr="002326E7">
        <w:rPr>
          <w:rFonts w:ascii="Arial Narrow" w:eastAsia="Times New Roman" w:hAnsi="Arial Narrow" w:cs="Times New Roman"/>
          <w:sz w:val="20"/>
          <w:szCs w:val="20"/>
          <w:vertAlign w:val="superscript"/>
          <w:lang w:eastAsia="pl-PL"/>
        </w:rPr>
        <w:t>2</w:t>
      </w:r>
      <w:r w:rsidRPr="002326E7">
        <w:rPr>
          <w:rFonts w:ascii="Arial Narrow" w:eastAsia="Times New Roman" w:hAnsi="Arial Narrow" w:cs="Times New Roman"/>
          <w:sz w:val="20"/>
          <w:szCs w:val="20"/>
          <w:lang w:eastAsia="pl-PL"/>
        </w:rPr>
        <w:t xml:space="preserve">] </w:t>
      </w:r>
    </w:p>
    <w:p w14:paraId="044325F0"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K</w:t>
      </w:r>
      <w:r w:rsidRPr="002326E7">
        <w:rPr>
          <w:rFonts w:ascii="Arial Narrow" w:eastAsia="Times New Roman" w:hAnsi="Arial Narrow" w:cs="Times New Roman"/>
          <w:sz w:val="20"/>
          <w:szCs w:val="20"/>
          <w:vertAlign w:val="subscript"/>
          <w:lang w:eastAsia="pl-PL"/>
        </w:rPr>
        <w:t xml:space="preserve"> </w:t>
      </w:r>
      <w:r w:rsidRPr="002326E7">
        <w:rPr>
          <w:rFonts w:ascii="Arial Narrow" w:eastAsia="Times New Roman" w:hAnsi="Arial Narrow" w:cs="Times New Roman"/>
          <w:sz w:val="20"/>
          <w:szCs w:val="20"/>
          <w:lang w:eastAsia="pl-PL"/>
        </w:rPr>
        <w:t>– jednostkowa (średnia) cena 1 m</w:t>
      </w:r>
      <w:r w:rsidRPr="002326E7">
        <w:rPr>
          <w:rFonts w:ascii="Arial Narrow" w:eastAsia="Times New Roman" w:hAnsi="Arial Narrow" w:cs="Times New Roman"/>
          <w:sz w:val="20"/>
          <w:szCs w:val="20"/>
          <w:vertAlign w:val="superscript"/>
          <w:lang w:eastAsia="pl-PL"/>
        </w:rPr>
        <w:t>2</w:t>
      </w:r>
      <w:r w:rsidRPr="002326E7">
        <w:rPr>
          <w:rFonts w:ascii="Arial Narrow" w:eastAsia="Times New Roman" w:hAnsi="Arial Narrow" w:cs="Times New Roman"/>
          <w:sz w:val="20"/>
          <w:szCs w:val="20"/>
          <w:lang w:eastAsia="pl-PL"/>
        </w:rPr>
        <w:t xml:space="preserve"> wykonania ocenianego elementu nawierzchni wg kosztorysu ofertowego, [PLN/m</w:t>
      </w:r>
      <w:r w:rsidRPr="002326E7">
        <w:rPr>
          <w:rFonts w:ascii="Arial Narrow" w:eastAsia="Times New Roman" w:hAnsi="Arial Narrow" w:cs="Times New Roman"/>
          <w:sz w:val="20"/>
          <w:szCs w:val="20"/>
          <w:vertAlign w:val="superscript"/>
          <w:lang w:eastAsia="pl-PL"/>
        </w:rPr>
        <w:t>2</w:t>
      </w:r>
      <w:r w:rsidRPr="002326E7">
        <w:rPr>
          <w:rFonts w:ascii="Arial Narrow" w:eastAsia="Times New Roman" w:hAnsi="Arial Narrow" w:cs="Times New Roman"/>
          <w:sz w:val="20"/>
          <w:szCs w:val="20"/>
          <w:lang w:eastAsia="pl-PL"/>
        </w:rPr>
        <w:t xml:space="preserve">] (dla kontraktów w formule buduj) </w:t>
      </w:r>
    </w:p>
    <w:p w14:paraId="1F1328C7"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Na </w:t>
      </w:r>
      <w:r w:rsidRPr="002326E7">
        <w:rPr>
          <w:rFonts w:ascii="Arial Narrow" w:eastAsia="Times New Roman" w:hAnsi="Arial Narrow" w:cs="Times New Roman"/>
          <w:sz w:val="20"/>
          <w:szCs w:val="20"/>
          <w:lang w:eastAsia="pl-PL"/>
        </w:rPr>
        <w:tab/>
        <w:t xml:space="preserve">zastosowanie </w:t>
      </w:r>
      <w:r w:rsidRPr="002326E7">
        <w:rPr>
          <w:rFonts w:ascii="Arial Narrow" w:eastAsia="Times New Roman" w:hAnsi="Arial Narrow" w:cs="Times New Roman"/>
          <w:sz w:val="20"/>
          <w:szCs w:val="20"/>
          <w:lang w:eastAsia="pl-PL"/>
        </w:rPr>
        <w:tab/>
        <w:t xml:space="preserve">programu </w:t>
      </w:r>
      <w:r w:rsidRPr="002326E7">
        <w:rPr>
          <w:rFonts w:ascii="Arial Narrow" w:eastAsia="Times New Roman" w:hAnsi="Arial Narrow" w:cs="Times New Roman"/>
          <w:sz w:val="20"/>
          <w:szCs w:val="20"/>
          <w:lang w:eastAsia="pl-PL"/>
        </w:rPr>
        <w:tab/>
        <w:t xml:space="preserve">naprawczego </w:t>
      </w:r>
      <w:r w:rsidRPr="002326E7">
        <w:rPr>
          <w:rFonts w:ascii="Arial Narrow" w:eastAsia="Times New Roman" w:hAnsi="Arial Narrow" w:cs="Times New Roman"/>
          <w:sz w:val="20"/>
          <w:szCs w:val="20"/>
          <w:lang w:eastAsia="pl-PL"/>
        </w:rPr>
        <w:tab/>
        <w:t xml:space="preserve">wyraża </w:t>
      </w:r>
      <w:r w:rsidRPr="002326E7">
        <w:rPr>
          <w:rFonts w:ascii="Arial Narrow" w:eastAsia="Times New Roman" w:hAnsi="Arial Narrow" w:cs="Times New Roman"/>
          <w:sz w:val="20"/>
          <w:szCs w:val="20"/>
          <w:lang w:eastAsia="pl-PL"/>
        </w:rPr>
        <w:tab/>
        <w:t xml:space="preserve">zgodę </w:t>
      </w:r>
      <w:r w:rsidRPr="002326E7">
        <w:rPr>
          <w:rFonts w:ascii="Arial Narrow" w:eastAsia="Times New Roman" w:hAnsi="Arial Narrow" w:cs="Times New Roman"/>
          <w:sz w:val="20"/>
          <w:szCs w:val="20"/>
          <w:lang w:eastAsia="pl-PL"/>
        </w:rPr>
        <w:tab/>
        <w:t xml:space="preserve">Inżynier/Inspektor Nadzoru/Zamawiający.  </w:t>
      </w:r>
    </w:p>
    <w:p w14:paraId="3D1023CC"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 przypadku braku zgody Inżyniera/Inspektora Nadzoru/Zamawiającego na zastosowanie programu naprawczego wszystkie materiały i roboty nie spełniające wymagań podanych w odpowiednich punktach STWiORB zostaną odrzucone. Wykonawca wymieni materiały na właściwe i wykona prawidłowo roboty na własny koszt. </w:t>
      </w:r>
    </w:p>
    <w:p w14:paraId="2F3A2A38"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Jeżeli wymiana materiałów niespełniających wymagań lub wadliwie wykonane roboty spowodowują szkodę w innych, prawidłowo wykonanych robotach, to również te roboty powinny być ponownie wykonane przez Wykonawcę na jego koszt. </w:t>
      </w:r>
    </w:p>
    <w:p w14:paraId="65726967" w14:textId="77777777" w:rsidR="002326E7" w:rsidRPr="002326E7" w:rsidRDefault="002326E7" w:rsidP="002326E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784" w:name="_Toc55105"/>
      <w:r w:rsidRPr="002326E7">
        <w:rPr>
          <w:rFonts w:ascii="Arial Narrow" w:eastAsia="Times New Roman" w:hAnsi="Arial Narrow" w:cs="Times New Roman"/>
          <w:b/>
          <w:caps/>
          <w:kern w:val="28"/>
          <w:sz w:val="28"/>
          <w:szCs w:val="20"/>
          <w:lang w:val="x-none" w:eastAsia="x-none"/>
        </w:rPr>
        <w:t xml:space="preserve">9. PODSTAWA PŁATNOŚCI </w:t>
      </w:r>
      <w:bookmarkEnd w:id="784"/>
    </w:p>
    <w:p w14:paraId="7142840F"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85" w:name="_Toc55106"/>
      <w:r w:rsidRPr="002326E7">
        <w:rPr>
          <w:rFonts w:ascii="Arial Narrow" w:eastAsia="Times New Roman" w:hAnsi="Arial Narrow" w:cs="Times New Roman"/>
          <w:b/>
          <w:sz w:val="28"/>
          <w:szCs w:val="20"/>
          <w:lang w:val="x-none" w:eastAsia="x-none"/>
        </w:rPr>
        <w:t xml:space="preserve">9.1. Ogólne ustalenia dotyczące podstawy płatności </w:t>
      </w:r>
      <w:bookmarkEnd w:id="785"/>
    </w:p>
    <w:p w14:paraId="1FD1260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Ogólne ustalenia dotyczące podstawy płatności podano w D-M-00.00.00 „Wymagania ogólne”. </w:t>
      </w:r>
    </w:p>
    <w:p w14:paraId="35AC36F4"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86" w:name="_Toc55107"/>
      <w:r w:rsidRPr="002326E7">
        <w:rPr>
          <w:rFonts w:ascii="Arial Narrow" w:eastAsia="Times New Roman" w:hAnsi="Arial Narrow" w:cs="Times New Roman"/>
          <w:b/>
          <w:sz w:val="28"/>
          <w:szCs w:val="20"/>
          <w:lang w:val="x-none" w:eastAsia="x-none"/>
        </w:rPr>
        <w:t xml:space="preserve">9.2. Cena jednostki obmiarowej </w:t>
      </w:r>
      <w:bookmarkEnd w:id="786"/>
    </w:p>
    <w:p w14:paraId="2AC4FDC4"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Cena wykonania 1 m</w:t>
      </w:r>
      <w:r w:rsidRPr="002326E7">
        <w:rPr>
          <w:rFonts w:ascii="Arial Narrow" w:eastAsia="Times New Roman" w:hAnsi="Arial Narrow" w:cs="Times New Roman"/>
          <w:sz w:val="20"/>
          <w:szCs w:val="20"/>
          <w:vertAlign w:val="superscript"/>
          <w:lang w:eastAsia="pl-PL"/>
        </w:rPr>
        <w:t>2</w:t>
      </w:r>
      <w:r w:rsidRPr="002326E7">
        <w:rPr>
          <w:rFonts w:ascii="Arial Narrow" w:eastAsia="Times New Roman" w:hAnsi="Arial Narrow" w:cs="Times New Roman"/>
          <w:sz w:val="20"/>
          <w:szCs w:val="20"/>
          <w:lang w:eastAsia="pl-PL"/>
        </w:rPr>
        <w:t xml:space="preserve"> warstwy ścieralnej z mieszanki SMA obejmuje: </w:t>
      </w:r>
    </w:p>
    <w:p w14:paraId="62481AD9"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prace pomiarowe i roboty przygotowawcze,  </w:t>
      </w:r>
    </w:p>
    <w:p w14:paraId="033ADE16"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oznakowanie robót, </w:t>
      </w:r>
    </w:p>
    <w:p w14:paraId="0466B103"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dostarczenie materiałów i sprzętu, </w:t>
      </w:r>
    </w:p>
    <w:p w14:paraId="72A16A59"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opracowanie recepty laboratoryjnej, </w:t>
      </w:r>
    </w:p>
    <w:p w14:paraId="3579DA40"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wyprodukowanie mieszanki betonu asfaltowego i jej transport na miejsce wbudowania, </w:t>
      </w:r>
    </w:p>
    <w:p w14:paraId="1EB6929B"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posmarowanie lepiszczem lub pokrycie taśmą asfaltową krawędzi urządzeń obcych i krawężników, </w:t>
      </w:r>
    </w:p>
    <w:p w14:paraId="5D23177A"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rozłożenie i zagęszczenie mieszanki betonu asfaltowego, </w:t>
      </w:r>
    </w:p>
    <w:p w14:paraId="264894FD"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uformowanie złączy, zagruntowanie środkiem gruntującym i przymocowanie taśm bitumicznych, </w:t>
      </w:r>
    </w:p>
    <w:p w14:paraId="49887671"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posmarowanie krawędzi bocznych asfaltem, </w:t>
      </w:r>
    </w:p>
    <w:p w14:paraId="1334A04D"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przeprowadzenie pomiarów i badań  wymaganych w specyfikacji technicznej, </w:t>
      </w:r>
    </w:p>
    <w:p w14:paraId="64F655E1"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odwiezienie sprzętu, </w:t>
      </w:r>
    </w:p>
    <w:p w14:paraId="59498383"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zawiera wszelkie inne czynności związane z prawidłowym wykonaniem warstwy zgodnie z wymaganiami niniejszych STWiORB </w:t>
      </w:r>
    </w:p>
    <w:p w14:paraId="74470C35"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87" w:name="_Toc55108"/>
      <w:r w:rsidRPr="002326E7">
        <w:rPr>
          <w:rFonts w:ascii="Arial Narrow" w:eastAsia="Times New Roman" w:hAnsi="Arial Narrow" w:cs="Times New Roman"/>
          <w:b/>
          <w:sz w:val="28"/>
          <w:szCs w:val="20"/>
          <w:lang w:val="x-none" w:eastAsia="x-none"/>
        </w:rPr>
        <w:t xml:space="preserve">9.3. Sposób rozliczenia robót tymczasowych i prac towarzyszących </w:t>
      </w:r>
      <w:bookmarkEnd w:id="787"/>
    </w:p>
    <w:p w14:paraId="64AC425D"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 </w:t>
      </w:r>
      <w:r w:rsidRPr="002326E7">
        <w:rPr>
          <w:rFonts w:ascii="Arial Narrow" w:eastAsia="Times New Roman" w:hAnsi="Arial Narrow" w:cs="Times New Roman"/>
          <w:sz w:val="20"/>
          <w:szCs w:val="20"/>
          <w:lang w:eastAsia="pl-PL"/>
        </w:rPr>
        <w:tab/>
        <w:t xml:space="preserve">Cena wykonania robót określonych niniejszymi STWiORB obejmuje: </w:t>
      </w:r>
    </w:p>
    <w:p w14:paraId="3F7AE664"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roboty tymczasowe, które są potrzebne do wykonania robót podstawowych, ale nie są przekazywane Zamawiającemu i są usuwane po wykonaniu robót podstawowych, </w:t>
      </w:r>
    </w:p>
    <w:p w14:paraId="68E566CA" w14:textId="77777777" w:rsidR="002326E7" w:rsidRPr="002326E7" w:rsidRDefault="002326E7" w:rsidP="002326E7">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prace towarzyszące, które są niezbędne do wykonania robót podstawowych, niezaliczane do robót tymczasowych, jak geodezyjne wytyczenie robót itd. </w:t>
      </w:r>
    </w:p>
    <w:p w14:paraId="43A532C4" w14:textId="77777777" w:rsidR="002326E7" w:rsidRPr="002326E7" w:rsidRDefault="002326E7" w:rsidP="002326E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788" w:name="_Toc55109"/>
      <w:r w:rsidRPr="002326E7">
        <w:rPr>
          <w:rFonts w:ascii="Arial Narrow" w:eastAsia="Times New Roman" w:hAnsi="Arial Narrow" w:cs="Times New Roman"/>
          <w:b/>
          <w:caps/>
          <w:kern w:val="28"/>
          <w:sz w:val="28"/>
          <w:szCs w:val="20"/>
          <w:lang w:val="x-none" w:eastAsia="x-none"/>
        </w:rPr>
        <w:lastRenderedPageBreak/>
        <w:t xml:space="preserve">10. PRZEPISY ZWIĄZANE </w:t>
      </w:r>
      <w:bookmarkEnd w:id="788"/>
    </w:p>
    <w:p w14:paraId="33996BCF"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89" w:name="_Toc55110"/>
      <w:r w:rsidRPr="002326E7">
        <w:rPr>
          <w:rFonts w:ascii="Arial Narrow" w:eastAsia="Times New Roman" w:hAnsi="Arial Narrow" w:cs="Times New Roman"/>
          <w:b/>
          <w:sz w:val="28"/>
          <w:szCs w:val="20"/>
          <w:lang w:val="x-none" w:eastAsia="x-none"/>
        </w:rPr>
        <w:t xml:space="preserve">10.1. </w:t>
      </w:r>
      <w:r w:rsidRPr="002326E7">
        <w:rPr>
          <w:rFonts w:ascii="Arial Narrow" w:eastAsia="Times New Roman" w:hAnsi="Arial Narrow" w:cs="Times New Roman"/>
          <w:b/>
          <w:sz w:val="28"/>
          <w:szCs w:val="20"/>
          <w:lang w:val="x-none" w:eastAsia="x-none"/>
        </w:rPr>
        <w:tab/>
        <w:t xml:space="preserve">Normy </w:t>
      </w:r>
      <w:bookmarkEnd w:id="789"/>
    </w:p>
    <w:p w14:paraId="1FC9BF8A" w14:textId="77777777" w:rsidR="002326E7" w:rsidRPr="002326E7" w:rsidRDefault="002326E7" w:rsidP="002326E7">
      <w:pPr>
        <w:numPr>
          <w:ilvl w:val="0"/>
          <w:numId w:val="5"/>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12591 Asfalty i produkty asfaltowe - Wymagania dla asfaltów drogowych </w:t>
      </w:r>
    </w:p>
    <w:p w14:paraId="19C5D4B9"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12597 Asfalty i produkty asfaltowe - Terminologia </w:t>
      </w:r>
    </w:p>
    <w:p w14:paraId="557E6A8A"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13808 Asfalty i lepiszcza asfaltowe - Zasady klasyfikacji kationowych emulsji asfaltowych </w:t>
      </w:r>
    </w:p>
    <w:p w14:paraId="6DCA05D9"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14023 Asfalty i lepiszcza asfaltowe - Zasady klasyfikacji asfaltów modyfikowanych polimerami </w:t>
      </w:r>
    </w:p>
    <w:p w14:paraId="7A4F4E3D"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13924-2 Asfalty i lepiszcza asfaltowe - Zasady klasyfikacji asfaltów drogowych specjalnych - Część 2: Asfalty drogowe wielorodzajowe </w:t>
      </w:r>
    </w:p>
    <w:p w14:paraId="4F797677"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13043 Kruszywa do mieszanek bitumicznych i powierzchniowych utrwaleń stosowanych na drogach, lotniskach i innych powierzchniach przeznaczonych do ruchu </w:t>
      </w:r>
    </w:p>
    <w:p w14:paraId="01C29A43"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932-3 Badania podstawowych właściwości kruszyw – Procedura i terminologia uproszczonego opisu petrograficznego </w:t>
      </w:r>
    </w:p>
    <w:p w14:paraId="21A4A674"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EN 932-5 Badania podstawowych właściwości kruszyw – Część 5: Wyposażenie podstawowe i wzorcowanie </w:t>
      </w:r>
    </w:p>
    <w:p w14:paraId="449266C4"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933-1 Badania geometrycznych właściwości kruszyw – Oznaczanie składu ziarnowego. Metoda przesiewania </w:t>
      </w:r>
    </w:p>
    <w:p w14:paraId="3F7D47A4"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933-3 Badania geometrycznych właściwości kruszyw – Oznaczanie kształtu ziaren za pomocą wskaźnika płaskości </w:t>
      </w:r>
    </w:p>
    <w:p w14:paraId="443241A2"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933-4 Badania geometrycznych właściwości kruszyw – Część 4: Oznaczanie kształtu ziaren – Wskaźnik kształtu </w:t>
      </w:r>
    </w:p>
    <w:p w14:paraId="570CC2A3"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933-5 Badania geometrycznych właściwości kruszyw – Oznaczanie procentowej zawartości ziaren o powierzchniach powstałych w wyniku przekruszenia lub łamania kruszyw grubych </w:t>
      </w:r>
    </w:p>
    <w:p w14:paraId="1F93B870"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933-6 Badania geometrycznych właściwości kruszyw – Część 6: Ocena właściwości powierzchni – Wskaźnik przepływu kruszywa </w:t>
      </w:r>
    </w:p>
    <w:p w14:paraId="011776A2"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933-9 Badania geometrycznych właściwości kruszyw – Ocena zawartości drobnych cząstek – Badania błękitem metylenowym </w:t>
      </w:r>
    </w:p>
    <w:p w14:paraId="7C2EE570"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933-10 Badania geometrycznych właściwości kruszyw – Część 10: Ocena zawartość drobnych cząstek – Uziarnienie wypełniaczy (przesiewanie w strumieniu powietrza) </w:t>
      </w:r>
    </w:p>
    <w:p w14:paraId="2E24E98F"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1097-2 Badania mechanicznych i fizycznych właściwości kruszyw – Metody oznaczania odporności na rozdrabianie </w:t>
      </w:r>
    </w:p>
    <w:p w14:paraId="5920D94E"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1097-3 Badania mechanicznych i fizycznych właściwości kruszyw – Oznaczanie gęstości nasypowej i jamistości </w:t>
      </w:r>
    </w:p>
    <w:p w14:paraId="5C3D74AE"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1097-4 Badania mechanicznych i fizycznych właściwości kruszyw – Część 4: Oznaczanie pustych przestrzeni suchego, zagęszczonego wypełniacza </w:t>
      </w:r>
    </w:p>
    <w:p w14:paraId="3CB20DE7"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1097-5 Badania mechanicznych i fizycznych właściwości kruszyw – Część 5: Oznaczanie zawartości wody przez suszenie w suszarce z wentylacją </w:t>
      </w:r>
    </w:p>
    <w:p w14:paraId="15CC36D4"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1097-6 Badania mechanicznych i fizycznych właściwości kruszyw – Część 6: </w:t>
      </w:r>
    </w:p>
    <w:p w14:paraId="566029AC"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12697-1 Mieszanki mineralno-asfaltowe - Metody badań mieszanek mineralnoasfaltowych na gorąco – Część 1: Zawartość lepiszcza rozpuszczalnego </w:t>
      </w:r>
    </w:p>
    <w:p w14:paraId="422B9057"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12697-2 Mieszanki mineralno-asfaltowe - Metody badań mieszanek mineralnoasfaltowych na gorąco – Część 2: Oznaczanie składu ziarnowego </w:t>
      </w:r>
    </w:p>
    <w:p w14:paraId="1C4D1FD1"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12697-3 Mieszanki mineralno-asfaltowe - Metody badań mieszanek mineralnoasfaltowych na gorąco – Część 3: Odzyskiwanie asfaltu - Wyparka obrotowa </w:t>
      </w:r>
    </w:p>
    <w:p w14:paraId="55CA4FF8"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12697-4 Mieszanki mineralno-asfaltowe - Metody badań mieszanek mineralnoasfaltowych na gorąco – Część 4: Odzyskiwanie asfaltu - Kolumna do destylacji frakcyjnej </w:t>
      </w:r>
    </w:p>
    <w:p w14:paraId="4D6ABC07"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12697-5 Mieszanki mineralno-asfaltowe - Metody badań mieszanek mineralnoasfaltowych na gorąco – Część 5: Oznaczanie gęstości </w:t>
      </w:r>
    </w:p>
    <w:p w14:paraId="12BC37B4"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EN 12697-6 Mieszanki mineralno-asfaltowe - Metody badań mieszanek mineralnoasfaltowych na gorąco – Część 6: Oznaczanie gęstości objętościowej metodą hydrostatyczną </w:t>
      </w:r>
    </w:p>
    <w:p w14:paraId="59B1C217"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12697-8 Mieszanki mineralno-asfaltowe - Metody badań mieszanek mineralnoasfaltowych na gorąco – Część 8: Oznaczanie zawartości wolnej przestrzeni </w:t>
      </w:r>
    </w:p>
    <w:p w14:paraId="136FD40F"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12697-10 Mieszanki mineralno-asfaltowe - Metody badań mieszanek mineralno-asfaltowych na gorąco – Część 10: Zagęszczalność </w:t>
      </w:r>
    </w:p>
    <w:p w14:paraId="442705E9"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12697-11 Mieszanki mineralno-asfaltowe - Metody badań mieszanek mineralno-asfaltowych na gorąco – Część 11: Określenie powiązania pomiędzy kruszywem i asfaltem </w:t>
      </w:r>
    </w:p>
    <w:p w14:paraId="281A99E8"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12697-12 Mieszanki mineralno-asfaltowe - Metody badania mieszanek mineralno-asfaltowych na gorąco – Część 12: Określanie wrażliwości na wodę </w:t>
      </w:r>
    </w:p>
    <w:p w14:paraId="1F8F2017"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12697-17 Mieszanki mineralno-asfaltowe - Metody badań mieszanek mineralno-asfaltowych na gorąco – Część 17: Ubytek ziaren </w:t>
      </w:r>
    </w:p>
    <w:p w14:paraId="50CEDEC8"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12697-18 Mieszanki mineralno-asfaltowe - Metody badań mieszanek mineralno-asfaltowych na gorąco – Część 18: Spływanie lepiszcza </w:t>
      </w:r>
    </w:p>
    <w:p w14:paraId="2B4582FD"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12697-20 Mieszanki mineralno-asfaltowe - Metody badań mieszanek mineralno-asfaltowych na gorąco – Część 20: Penetracja próbek sześciennych lub Marshalla </w:t>
      </w:r>
    </w:p>
    <w:p w14:paraId="24BEDFB4"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12697-22 Mieszanki mineralno-asfaltowe - Metody badań mieszanek mineralno-asfaltowych na gorąco – Część 22: Koleinowanie </w:t>
      </w:r>
    </w:p>
    <w:p w14:paraId="4998D448"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12697-23 Mieszanki mineralno-asfaltowe - Metody badania mieszanek mineralno-asfaltowych na gorąco – Część 23: Określanie pośredniej wytrzymałości na rozciąganie próbek asfaltowych </w:t>
      </w:r>
    </w:p>
    <w:p w14:paraId="0714AA79"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12697-24 Mieszanki mineralno-asfaltowe - Metody badań mieszanek mineralno-asfaltowych na gorąco – Część 24: Odporność na zmęczenie </w:t>
      </w:r>
    </w:p>
    <w:p w14:paraId="3EDC8F0B"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lastRenderedPageBreak/>
        <w:t xml:space="preserve">PN-EN 12697-25 Mieszanki mineralno-asfaltowe - Metody badań mieszanek mineralno-asfaltowych na gorąco – Część 25: Penetracja dynamiczna  </w:t>
      </w:r>
    </w:p>
    <w:p w14:paraId="2E685D7B"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12697-26 Mieszanki mineralno-asfaltowe - Metody badań mieszanek mineralno-asfaltowych na gorąco – Część 26: Sztywność </w:t>
      </w:r>
    </w:p>
    <w:p w14:paraId="74D71245"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12697-27 Mieszanki mineralno-asfaltowe - Metody badań mieszanek mineralno-asfaltowych na gorąco – Część 27: Pobieranie próbek </w:t>
      </w:r>
    </w:p>
    <w:p w14:paraId="79E4D20E"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12697-28 Mieszanki mineralno-asfaltowe - Metody badań mieszanek mineralno-asfaltowych na gorąco – Część 28: Przygotowanie próbek do oznaczania zawartości lepiszcza, zawartości wody i uziarnienia </w:t>
      </w:r>
    </w:p>
    <w:p w14:paraId="5A5B5FFD"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12697-29 Mieszanki mineralno-asfaltowe - Metoda badania mieszanek mineralno-asfaltowych na gorąco – Część 29: Pomiar próbki z zagęszczonej mieszanki mineralno-asfaltowej </w:t>
      </w:r>
    </w:p>
    <w:p w14:paraId="7E7E6551"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12697-30 Mieszanki mineralno-asfaltowe - Metody badań mieszanek mineralno-asfaltowych na gorąco – Część 30: Przygotowanie próbek zagęszczonych przez ubijanie </w:t>
      </w:r>
    </w:p>
    <w:p w14:paraId="5201D0A8"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EN 12697-31 Mieszanki mineralno-asfaltowe - Metody badań mieszanek mineralno-asfaltowych na gorąco – Część 31: Próbki przygotowane w prasie żyratorowej </w:t>
      </w:r>
    </w:p>
    <w:p w14:paraId="2AAE9D2A"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12697-33 Mieszanki mineralno-asfaltowe - Metody badań mieszanek mineralno-asfaltowych na gorąco – Część 33: Przygotowanie próbek zagęszczanych walcem </w:t>
      </w:r>
    </w:p>
    <w:p w14:paraId="07D02FD3"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12697-35 Mieszanki mineralno-asfaltowe - Metody badań mieszanek mineralno-asfaltowych na gorąco – Część 35: Mieszanie laboratoryjne </w:t>
      </w:r>
    </w:p>
    <w:p w14:paraId="58C763C7"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12697-38 Mieszanki mineralno-asfaltowe - Metody badań mieszanek mineralno-asfaltowych na gorąco – Część 38: Podstawowe wyposażenie i kalibracja </w:t>
      </w:r>
    </w:p>
    <w:p w14:paraId="744BB6FC"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12697-40 Mieszanki mineralno-asfaltowe - Metody badań mieszanek mineralno-asfaltowych na gorąco – Część 40: Wodoprzepuszczalność „in-situ” </w:t>
      </w:r>
    </w:p>
    <w:p w14:paraId="17B7DEC1"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12697-42 Mieszanki mineralno-asfaltowe - Metody badań mieszanek mineralno-asfaltowych na gorąco – Część 42: Zawartość zanieczyszczeń w destrukcie asfaltowym </w:t>
      </w:r>
    </w:p>
    <w:p w14:paraId="03E959AC"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14188-1 Wypełniacze szczelin i zalewy drogowe - Część 1: Wymagania wobec zalew drogowych na gorąco </w:t>
      </w:r>
    </w:p>
    <w:p w14:paraId="2A21E0DF"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12272-1 Powierzchniowe utrwalanie - Metody badań - Część 1: Dozowanie i poprzeczny rozkład lepiszcza i kruszywa </w:t>
      </w:r>
    </w:p>
    <w:p w14:paraId="70BC8621"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13108-5 Mieszanki mineralno-asfaltowe - Wymagania - Część 5: Mieszanka SMA </w:t>
      </w:r>
    </w:p>
    <w:p w14:paraId="0B7285E5"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13108-20 Mieszanki mineralno-asfaltowe - Wymagania - Część 20: Badanie typu </w:t>
      </w:r>
    </w:p>
    <w:p w14:paraId="438756DE"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PN-EN 13108-21 Mieszanki mineralno-asfaltowe - Wymagania - Część 21: Zakładowa Kontrola Produkcji </w:t>
      </w:r>
    </w:p>
    <w:p w14:paraId="3A1C50B9"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Obowiązują wydania przywołanych powyżej norm i innych dokumentów na dzień złożenia przez Wykonawcę oferty. </w:t>
      </w:r>
    </w:p>
    <w:p w14:paraId="6B51AD62" w14:textId="77777777" w:rsidR="002326E7" w:rsidRPr="002326E7" w:rsidRDefault="002326E7" w:rsidP="002326E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2326E7">
        <w:rPr>
          <w:rFonts w:ascii="Arial Narrow" w:eastAsia="Times New Roman" w:hAnsi="Arial Narrow" w:cs="Times New Roman"/>
          <w:sz w:val="20"/>
          <w:szCs w:val="20"/>
          <w:lang w:eastAsia="pl-PL"/>
        </w:rPr>
        <w:t xml:space="preserve">Wprowadzenie nowszego wydania normy czy innego dokumentu wymaga uzgodnienia przez strony kontraktu. </w:t>
      </w:r>
    </w:p>
    <w:p w14:paraId="3775832F" w14:textId="77777777" w:rsidR="002326E7" w:rsidRPr="002326E7" w:rsidRDefault="002326E7" w:rsidP="002326E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90" w:name="_Toc55111"/>
      <w:r w:rsidRPr="002326E7">
        <w:rPr>
          <w:rFonts w:ascii="Arial Narrow" w:eastAsia="Times New Roman" w:hAnsi="Arial Narrow" w:cs="Times New Roman"/>
          <w:b/>
          <w:sz w:val="28"/>
          <w:szCs w:val="20"/>
          <w:lang w:val="x-none" w:eastAsia="x-none"/>
        </w:rPr>
        <w:t xml:space="preserve">10.2. Inne dokumenty </w:t>
      </w:r>
      <w:bookmarkEnd w:id="790"/>
    </w:p>
    <w:p w14:paraId="32368235" w14:textId="77777777" w:rsidR="002326E7" w:rsidRPr="002326E7" w:rsidRDefault="002326E7" w:rsidP="002326E7">
      <w:pPr>
        <w:numPr>
          <w:ilvl w:val="0"/>
          <w:numId w:val="5"/>
        </w:numPr>
        <w:overflowPunct w:val="0"/>
        <w:autoSpaceDE w:val="0"/>
        <w:autoSpaceDN w:val="0"/>
        <w:adjustRightInd w:val="0"/>
        <w:spacing w:after="0" w:line="240" w:lineRule="auto"/>
        <w:ind w:left="644"/>
        <w:jc w:val="both"/>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Rozporządzenie Ministra Transportu i Gospodarki Morskiej z dnia 2 marca 1999 r. </w:t>
      </w:r>
    </w:p>
    <w:p w14:paraId="702E06D0"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 sprawie warunków technicznych, jakim powinny odpowiadać drogi publiczne i ich usytuowanie (Dz. U. z 2016 r. poz. 124, z późn. zm.) </w:t>
      </w:r>
    </w:p>
    <w:p w14:paraId="30C8586B"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WT-1  2014 Kruszywa do nawierzchni drogowych i powierzchniowych utrwaleń na drogach krajowych  </w:t>
      </w:r>
    </w:p>
    <w:p w14:paraId="10F4C848"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WT-2 2014 – część I Mieszanki mineralno-asfaltowe. Wymagania Techniczne. Nawierzchnie asfaltowe na drogach krajowych.  </w:t>
      </w:r>
    </w:p>
    <w:p w14:paraId="19B4299B"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WT-2  2016 – część II Wykonanie warstw nawierzchni asfaltowych. Wymagania techniczne. </w:t>
      </w:r>
    </w:p>
    <w:p w14:paraId="2FACE2AC"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Instrukcja laboratoryjnego badania sczepności międzywarstwowej warstw asfaltowych wg. metody Leutnera i wymagania techniczne sczepności” Politechnika Gdańska 2014. </w:t>
      </w:r>
    </w:p>
    <w:p w14:paraId="16809F47" w14:textId="77777777" w:rsidR="002326E7" w:rsidRPr="002326E7" w:rsidRDefault="002326E7" w:rsidP="002326E7">
      <w:pPr>
        <w:overflowPunct w:val="0"/>
        <w:autoSpaceDE w:val="0"/>
        <w:autoSpaceDN w:val="0"/>
        <w:adjustRightInd w:val="0"/>
        <w:spacing w:after="0" w:line="240" w:lineRule="auto"/>
        <w:ind w:left="357"/>
        <w:textAlignment w:val="baseline"/>
        <w:rPr>
          <w:rFonts w:ascii="Arial Narrow" w:eastAsia="Times New Roman" w:hAnsi="Arial Narrow" w:cs="Times New Roman"/>
          <w:sz w:val="20"/>
          <w:szCs w:val="20"/>
          <w:lang w:val="x-none" w:eastAsia="x-none"/>
        </w:rPr>
      </w:pPr>
      <w:r w:rsidRPr="002326E7">
        <w:rPr>
          <w:rFonts w:ascii="Arial Narrow" w:eastAsia="Times New Roman" w:hAnsi="Arial Narrow" w:cs="Times New Roman"/>
          <w:sz w:val="20"/>
          <w:szCs w:val="20"/>
          <w:lang w:val="x-none" w:eastAsia="x-none"/>
        </w:rPr>
        <w:t xml:space="preserve">Instrukcja DP-T14 Ocena jakości na drogach krajowych. Część I-Roboty drogowe. 2017. </w:t>
      </w:r>
    </w:p>
    <w:p w14:paraId="5B319FDA" w14:textId="34686891" w:rsidR="002326E7" w:rsidRDefault="002326E7"/>
    <w:p w14:paraId="24804870" w14:textId="51DE33D6" w:rsidR="00E46BAA" w:rsidRDefault="00E46BAA"/>
    <w:p w14:paraId="54777B92" w14:textId="469B78D8" w:rsidR="00E46BAA" w:rsidRDefault="00E46BAA"/>
    <w:p w14:paraId="5577C19F" w14:textId="7AF19D79" w:rsidR="00E46BAA" w:rsidRDefault="00E46BAA"/>
    <w:p w14:paraId="223323D2" w14:textId="24BFD16C" w:rsidR="00E46BAA" w:rsidRDefault="00E46BAA"/>
    <w:p w14:paraId="6DD1E836" w14:textId="570BCC54" w:rsidR="00E46BAA" w:rsidRDefault="00E46BAA"/>
    <w:p w14:paraId="7AAA9FD5" w14:textId="45B145EA" w:rsidR="00E46BAA" w:rsidRDefault="00E46BAA"/>
    <w:p w14:paraId="3CD3F195" w14:textId="1F16C310" w:rsidR="00E46BAA" w:rsidRDefault="00E46BAA"/>
    <w:p w14:paraId="4745F84E" w14:textId="442842BE" w:rsidR="00E46BAA" w:rsidRDefault="00E46BAA"/>
    <w:p w14:paraId="57954598" w14:textId="26610040" w:rsidR="00E46BAA" w:rsidRDefault="00E46BAA"/>
    <w:p w14:paraId="72535F54" w14:textId="7E7A08DC" w:rsidR="00E46BAA" w:rsidRDefault="00E46BAA"/>
    <w:p w14:paraId="3BC3D6A0" w14:textId="77777777" w:rsidR="00423217" w:rsidRPr="00662015" w:rsidRDefault="00423217" w:rsidP="00423217">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bookmarkStart w:id="791" w:name="_Toc58533552"/>
      <w:r w:rsidRPr="00662015">
        <w:rPr>
          <w:rFonts w:ascii="Arial Narrow" w:eastAsia="Times New Roman" w:hAnsi="Arial Narrow" w:cs="Times New Roman"/>
          <w:b/>
          <w:sz w:val="28"/>
          <w:szCs w:val="20"/>
          <w:lang w:eastAsia="pl-PL"/>
        </w:rPr>
        <w:lastRenderedPageBreak/>
        <w:t>D – 05.03.26a ZABEZPIECZENIE NAWIERZCHNI BITUMICZNEJ PRZED SPĘKANIEM SIATKĄ ZBROJENIOWĄ WYKONANĄ Z WŁÓKIEN SZKLANYCH</w:t>
      </w:r>
      <w:bookmarkEnd w:id="791"/>
      <w:r w:rsidRPr="00662015">
        <w:rPr>
          <w:rFonts w:ascii="Arial Narrow" w:eastAsia="Times New Roman" w:hAnsi="Arial Narrow" w:cs="Times New Roman"/>
          <w:b/>
          <w:sz w:val="28"/>
          <w:szCs w:val="20"/>
          <w:lang w:eastAsia="pl-PL"/>
        </w:rPr>
        <w:t xml:space="preserve"> I WĘGLOWYCH</w:t>
      </w:r>
    </w:p>
    <w:p w14:paraId="630D9A34"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Kod CPV: 45233000-9</w:t>
      </w:r>
    </w:p>
    <w:p w14:paraId="1BE1B42E"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Roboty w zakresie konstruowania, fundamentowania oraz wykonywania nawierzchni autostrad, dróg</w:t>
      </w:r>
    </w:p>
    <w:p w14:paraId="3CCA02C8" w14:textId="77777777" w:rsidR="00423217" w:rsidRPr="00662015" w:rsidRDefault="00423217" w:rsidP="00423217">
      <w:pPr>
        <w:spacing w:after="0" w:line="240" w:lineRule="auto"/>
        <w:ind w:firstLine="454"/>
        <w:jc w:val="center"/>
        <w:rPr>
          <w:rFonts w:ascii="Arial Narrow" w:eastAsia="Calibri" w:hAnsi="Arial Narrow" w:cs="Times New Roman"/>
        </w:rPr>
      </w:pPr>
    </w:p>
    <w:p w14:paraId="2CD983BB" w14:textId="77777777" w:rsidR="00423217" w:rsidRPr="00662015" w:rsidRDefault="00423217" w:rsidP="0042321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662015">
        <w:rPr>
          <w:rFonts w:ascii="Arial Narrow" w:eastAsia="Times New Roman" w:hAnsi="Arial Narrow" w:cs="Times New Roman"/>
          <w:b/>
          <w:caps/>
          <w:kern w:val="28"/>
          <w:sz w:val="28"/>
          <w:szCs w:val="20"/>
          <w:lang w:eastAsia="x-none"/>
        </w:rPr>
        <w:t xml:space="preserve">1. </w:t>
      </w:r>
      <w:r w:rsidRPr="00662015">
        <w:rPr>
          <w:rFonts w:ascii="Arial Narrow" w:eastAsia="Times New Roman" w:hAnsi="Arial Narrow" w:cs="Times New Roman"/>
          <w:b/>
          <w:caps/>
          <w:kern w:val="28"/>
          <w:sz w:val="28"/>
          <w:szCs w:val="20"/>
          <w:lang w:val="x-none" w:eastAsia="x-none"/>
        </w:rPr>
        <w:t>wstęp</w:t>
      </w:r>
    </w:p>
    <w:p w14:paraId="2F9F64F1"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eastAsia="x-none"/>
        </w:rPr>
        <w:t xml:space="preserve">1.1 </w:t>
      </w:r>
      <w:r w:rsidRPr="00662015">
        <w:rPr>
          <w:rFonts w:ascii="Arial Narrow" w:eastAsia="Times New Roman" w:hAnsi="Arial Narrow" w:cs="Times New Roman"/>
          <w:b/>
          <w:sz w:val="28"/>
          <w:szCs w:val="20"/>
          <w:lang w:val="x-none" w:eastAsia="x-none"/>
        </w:rPr>
        <w:t>Przedmiot STWiORB</w:t>
      </w:r>
    </w:p>
    <w:p w14:paraId="10F03A62" w14:textId="77777777" w:rsidR="00423217" w:rsidRPr="00662015" w:rsidRDefault="00423217" w:rsidP="00423217">
      <w:pPr>
        <w:spacing w:after="0" w:line="240" w:lineRule="auto"/>
        <w:ind w:firstLine="454"/>
        <w:jc w:val="both"/>
        <w:rPr>
          <w:rFonts w:ascii="Arial Narrow" w:eastAsia="Calibri" w:hAnsi="Arial Narrow" w:cs="Times New Roman"/>
          <w:sz w:val="20"/>
        </w:rPr>
      </w:pPr>
      <w:r w:rsidRPr="00662015">
        <w:rPr>
          <w:rFonts w:ascii="Arial Narrow" w:eastAsia="Times New Roman" w:hAnsi="Arial Narrow" w:cs="Times New Roman"/>
          <w:sz w:val="20"/>
          <w:szCs w:val="20"/>
          <w:lang w:eastAsia="pl-PL"/>
        </w:rPr>
        <w:t>Przedmiotem niniejszej szczegółowej specyfikacji technicznej (SST) są wymagania dotyczące wykonania i odbioru robót związanych wykonywaniem zabezpieczenia nawierzchni bitumicznej przed spękaniem siatką zbrojeniową wykonaną z włókien szklanych</w:t>
      </w:r>
      <w:r w:rsidRPr="00662015">
        <w:rPr>
          <w:rFonts w:ascii="Arial Narrow" w:eastAsia="Calibri" w:hAnsi="Arial Narrow" w:cs="Times New Roman"/>
          <w:sz w:val="20"/>
        </w:rPr>
        <w:t xml:space="preserve"> i węglowych</w:t>
      </w:r>
    </w:p>
    <w:p w14:paraId="6AFC8A5B"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eastAsia="x-none"/>
        </w:rPr>
        <w:t xml:space="preserve">1.2 </w:t>
      </w:r>
      <w:r w:rsidRPr="00662015">
        <w:rPr>
          <w:rFonts w:ascii="Arial Narrow" w:eastAsia="Times New Roman" w:hAnsi="Arial Narrow" w:cs="Times New Roman"/>
          <w:b/>
          <w:sz w:val="28"/>
          <w:szCs w:val="20"/>
          <w:lang w:val="x-none" w:eastAsia="x-none"/>
        </w:rPr>
        <w:t>Zakres stosowania STWiORB</w:t>
      </w:r>
    </w:p>
    <w:p w14:paraId="4C85B6AD" w14:textId="71CF26AA" w:rsidR="00423217" w:rsidRPr="00662015" w:rsidRDefault="00423217" w:rsidP="00423217">
      <w:pPr>
        <w:tabs>
          <w:tab w:val="left" w:pos="-1440"/>
          <w:tab w:val="left" w:pos="-720"/>
          <w:tab w:val="left" w:pos="0"/>
        </w:tabs>
        <w:spacing w:after="0" w:line="240" w:lineRule="auto"/>
        <w:ind w:firstLine="454"/>
        <w:jc w:val="both"/>
        <w:rPr>
          <w:rFonts w:ascii="Arial Narrow" w:eastAsia="Calibri" w:hAnsi="Arial Narrow" w:cs="Arial"/>
          <w:spacing w:val="-3"/>
          <w:sz w:val="20"/>
        </w:rPr>
      </w:pPr>
      <w:r w:rsidRPr="00662015">
        <w:rPr>
          <w:rFonts w:ascii="Arial Narrow" w:eastAsia="Calibri" w:hAnsi="Arial Narrow" w:cs="Arial"/>
          <w:sz w:val="20"/>
        </w:rPr>
        <w:t xml:space="preserve">Specyfikacje Techniczne Wykonania i Odbioru Robót Budowlanych </w:t>
      </w:r>
      <w:r w:rsidRPr="00662015">
        <w:rPr>
          <w:rFonts w:ascii="Arial Narrow" w:eastAsia="Calibri" w:hAnsi="Arial Narrow" w:cs="Arial"/>
          <w:spacing w:val="-3"/>
          <w:sz w:val="20"/>
        </w:rPr>
        <w:t xml:space="preserve">stanowią Dokument Przetargowy i Kontraktowy przy zlecaniu i realizacji robót na drogach </w:t>
      </w:r>
    </w:p>
    <w:p w14:paraId="40BDDE65" w14:textId="77777777" w:rsidR="00423217" w:rsidRPr="00662015" w:rsidRDefault="00423217" w:rsidP="00423217">
      <w:pPr>
        <w:tabs>
          <w:tab w:val="left" w:pos="-1440"/>
          <w:tab w:val="left" w:pos="-720"/>
          <w:tab w:val="left" w:pos="0"/>
        </w:tabs>
        <w:spacing w:after="0" w:line="240" w:lineRule="auto"/>
        <w:ind w:firstLine="454"/>
        <w:jc w:val="both"/>
        <w:rPr>
          <w:rFonts w:ascii="Arial Narrow" w:eastAsia="Calibri" w:hAnsi="Arial Narrow" w:cs="Arial"/>
          <w:spacing w:val="-3"/>
          <w:sz w:val="20"/>
        </w:rPr>
      </w:pPr>
    </w:p>
    <w:p w14:paraId="4F099079"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1.3. Zakres robót objętych SST</w:t>
      </w:r>
    </w:p>
    <w:p w14:paraId="3CF84C3F"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Ustalenia zawarte w niniejszej specyfikacji dotyczą zasad prowadzenia robót związanych z wykonaniem i odbiorem nowych i przebudowywanych nawierzchni asfaltowych z geosiatkami opóźniającymi powstawanie, w warstwie ścieralnej i wiążącej, spękań odbitych zlokalizowanych w miejscach połączeń różnych rodzajów nawierzchni,</w:t>
      </w:r>
    </w:p>
    <w:p w14:paraId="1C91E202"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Ustalenia SST dotyczą geosiatek z tworzyw sztucznych (włókna szklane i węglowe) wstępnie nasączonych bitumem.</w:t>
      </w:r>
    </w:p>
    <w:p w14:paraId="23982764"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1.4. Określenia podstawowe</w:t>
      </w:r>
    </w:p>
    <w:p w14:paraId="1F2BF7CE" w14:textId="77777777" w:rsidR="00423217" w:rsidRPr="00662015" w:rsidRDefault="00423217" w:rsidP="00AD6DA2">
      <w:pPr>
        <w:numPr>
          <w:ilvl w:val="0"/>
          <w:numId w:val="25"/>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Geosyntetyk - materiał o postaci ciągłej, wytwarzany z wysoko spolimeryzowanych włókien syntetycznych jak polietylen, polipropylen, poliester, charakteryzujący się m.in. dużą wytrzymałością oraz wodoprzepuszczalnością.</w:t>
      </w:r>
    </w:p>
    <w:p w14:paraId="74CE5075"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Geosyntetyki obejmują: geosiatki, geowłókniny, geotkaniny, geodzianiny, georuszty, geokompozyty, geomembrany.</w:t>
      </w:r>
    </w:p>
    <w:p w14:paraId="29F1824E" w14:textId="77777777" w:rsidR="00423217" w:rsidRPr="00662015" w:rsidRDefault="00423217" w:rsidP="00AD6DA2">
      <w:pPr>
        <w:numPr>
          <w:ilvl w:val="0"/>
          <w:numId w:val="26"/>
        </w:numPr>
        <w:overflowPunct w:val="0"/>
        <w:autoSpaceDE w:val="0"/>
        <w:autoSpaceDN w:val="0"/>
        <w:adjustRightInd w:val="0"/>
        <w:spacing w:before="120" w:after="0" w:line="240" w:lineRule="auto"/>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Geosiatka - płaska struktura w postaci siatki, z otworami znacznie większymi niż elementy składowe, z oczkami połączonymi (przeplatanymi) w węzłach lub ciągnionymi (patrz zał. 1).</w:t>
      </w:r>
    </w:p>
    <w:p w14:paraId="3120B018" w14:textId="77777777" w:rsidR="00423217" w:rsidRPr="00662015" w:rsidRDefault="00423217" w:rsidP="00AD6DA2">
      <w:pPr>
        <w:numPr>
          <w:ilvl w:val="0"/>
          <w:numId w:val="27"/>
        </w:numPr>
        <w:overflowPunct w:val="0"/>
        <w:autoSpaceDE w:val="0"/>
        <w:autoSpaceDN w:val="0"/>
        <w:adjustRightInd w:val="0"/>
        <w:spacing w:before="120" w:after="0" w:line="240" w:lineRule="auto"/>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Nawierzchnia asfaltowa - nawierzchnia, której warstwy są wykonane z kruszywa związanego lepiszczem asfaltowym.</w:t>
      </w:r>
    </w:p>
    <w:p w14:paraId="4E1066AE" w14:textId="77777777" w:rsidR="00423217" w:rsidRPr="00662015" w:rsidRDefault="00423217" w:rsidP="00AD6DA2">
      <w:pPr>
        <w:numPr>
          <w:ilvl w:val="0"/>
          <w:numId w:val="27"/>
        </w:numPr>
        <w:overflowPunct w:val="0"/>
        <w:autoSpaceDE w:val="0"/>
        <w:autoSpaceDN w:val="0"/>
        <w:adjustRightInd w:val="0"/>
        <w:spacing w:before="120" w:after="0" w:line="240" w:lineRule="auto"/>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Pęknięcie odbite - pęknięcie (spękanie) warstwy powierzchniowej nawierzchni, będące odwzorowaniem istniejących pęknięć i nieciągłości warstw w materiale podbudowy, propagowanych w górę w wyniku koncentracji naprężeń i nieciągłości struktury materiału, prowadzących do lokalnego przekroczenia wytrzymałości granicznej. (Pęknięcia odbite zwykle występują w nawierzchniach asfaltowych posadowionych na podbudowach związanych hydraulicznie lub starych i popękanych nawierzchniach asfaltowych).</w:t>
      </w:r>
    </w:p>
    <w:p w14:paraId="663FF282" w14:textId="77777777" w:rsidR="00423217" w:rsidRPr="00662015" w:rsidRDefault="00423217" w:rsidP="00AD6DA2">
      <w:pPr>
        <w:numPr>
          <w:ilvl w:val="0"/>
          <w:numId w:val="27"/>
        </w:numPr>
        <w:overflowPunct w:val="0"/>
        <w:autoSpaceDE w:val="0"/>
        <w:autoSpaceDN w:val="0"/>
        <w:adjustRightInd w:val="0"/>
        <w:spacing w:before="120" w:after="0" w:line="240" w:lineRule="auto"/>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Remont (odnowa) drogi - wykonywanie robót remontowych przywracających pierwotny stan drogi, z wyłączeniem robót konserwacyjnych, porządkowych i innych.</w:t>
      </w:r>
    </w:p>
    <w:p w14:paraId="3E474223" w14:textId="77777777" w:rsidR="00423217" w:rsidRPr="00662015" w:rsidRDefault="00423217" w:rsidP="00AD6DA2">
      <w:pPr>
        <w:numPr>
          <w:ilvl w:val="0"/>
          <w:numId w:val="27"/>
        </w:numPr>
        <w:overflowPunct w:val="0"/>
        <w:autoSpaceDE w:val="0"/>
        <w:autoSpaceDN w:val="0"/>
        <w:adjustRightInd w:val="0"/>
        <w:spacing w:before="120" w:after="0" w:line="240" w:lineRule="auto"/>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Zalewa uszczelniająca - specjalny materiał asfaltowy, stosowany „na gorąco” lub materiał z mas stosowanych „na zimno” do uszczelniania pęknięć i wypełniania szczelin.</w:t>
      </w:r>
    </w:p>
    <w:p w14:paraId="4EC11B8B" w14:textId="77777777" w:rsidR="00423217" w:rsidRPr="00662015" w:rsidRDefault="00423217" w:rsidP="00423217">
      <w:pPr>
        <w:overflowPunct w:val="0"/>
        <w:autoSpaceDE w:val="0"/>
        <w:autoSpaceDN w:val="0"/>
        <w:adjustRightInd w:val="0"/>
        <w:spacing w:before="120" w:after="0" w:line="240" w:lineRule="auto"/>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b/>
          <w:sz w:val="20"/>
          <w:szCs w:val="20"/>
          <w:lang w:eastAsia="pl-PL"/>
        </w:rPr>
        <w:t xml:space="preserve">1.4.7. </w:t>
      </w:r>
      <w:r w:rsidRPr="00662015">
        <w:rPr>
          <w:rFonts w:ascii="Arial Narrow" w:eastAsia="Times New Roman" w:hAnsi="Arial Narrow" w:cs="Times New Roman"/>
          <w:sz w:val="20"/>
          <w:szCs w:val="20"/>
          <w:lang w:eastAsia="pl-PL"/>
        </w:rPr>
        <w:t>Pozostałe określenia podstawowe są zgodne z obowiązującymi, odpowiednimi polskimi normami i z definicjami podanymi w SST   D-M-00.00.00 „Wymagania ogólne” [1] pkt 1.4.</w:t>
      </w:r>
    </w:p>
    <w:p w14:paraId="614A93BD"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 xml:space="preserve">1.5. Ogólne wymagania dotyczące robót </w:t>
      </w:r>
    </w:p>
    <w:p w14:paraId="05129740"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Ogólne wymagania dotyczące robót podano w SST D-M-00.00.00 „Wymagania ogólne” [1] pkt 1.5.</w:t>
      </w:r>
    </w:p>
    <w:p w14:paraId="354120B5" w14:textId="77777777" w:rsidR="00423217" w:rsidRPr="00662015" w:rsidRDefault="00423217" w:rsidP="0042321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662015">
        <w:rPr>
          <w:rFonts w:ascii="Arial Narrow" w:eastAsia="Times New Roman" w:hAnsi="Arial Narrow" w:cs="Times New Roman"/>
          <w:b/>
          <w:caps/>
          <w:kern w:val="28"/>
          <w:sz w:val="28"/>
          <w:szCs w:val="20"/>
          <w:lang w:val="x-none" w:eastAsia="x-none"/>
        </w:rPr>
        <w:t>2. materiały</w:t>
      </w:r>
    </w:p>
    <w:p w14:paraId="1E908AE9"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2.1. Ogólne wymagania dotyczące materiałów</w:t>
      </w:r>
    </w:p>
    <w:p w14:paraId="2A2DC73D"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Ogólne wymagania dotyczące materiałów, ich pozyskiwania i składowania, podano w SST D-M-00.00.00 „Wymagania ogólne” [1] pkt 2.</w:t>
      </w:r>
    </w:p>
    <w:p w14:paraId="39414AA6"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2.2. Geosiatka</w:t>
      </w:r>
    </w:p>
    <w:p w14:paraId="18D993D4"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Geosiatka powinna mieć właściwości zgodne z ustaleniami dokumentacji projektowej lub SST oraz aprobatą techniczną IBDiM.</w:t>
      </w:r>
    </w:p>
    <w:p w14:paraId="6E08F777" w14:textId="77777777" w:rsidR="00423217" w:rsidRPr="00662015" w:rsidRDefault="00423217" w:rsidP="00423217">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20"/>
          <w:lang w:val="x-none" w:eastAsia="x-none"/>
        </w:rPr>
      </w:pPr>
      <w:r w:rsidRPr="00662015">
        <w:rPr>
          <w:rFonts w:ascii="Times New Roman" w:eastAsia="Times New Roman" w:hAnsi="Times New Roman" w:cs="Times New Roman"/>
          <w:sz w:val="20"/>
          <w:lang w:val="x-none" w:eastAsia="x-none"/>
        </w:rPr>
        <w:t xml:space="preserve">   </w:t>
      </w:r>
      <w:r w:rsidRPr="00662015">
        <w:rPr>
          <w:rFonts w:ascii="Times New Roman" w:eastAsia="Times New Roman" w:hAnsi="Times New Roman" w:cs="Times New Roman"/>
          <w:b/>
          <w:sz w:val="20"/>
          <w:lang w:val="x-none" w:eastAsia="x-none"/>
        </w:rPr>
        <w:t>Tablica 1  Wymagania dla siatki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51"/>
        <w:gridCol w:w="2070"/>
      </w:tblGrid>
      <w:tr w:rsidR="00423217" w:rsidRPr="00662015" w14:paraId="273809B1" w14:textId="77777777" w:rsidTr="00855929">
        <w:trPr>
          <w:jc w:val="center"/>
        </w:trPr>
        <w:tc>
          <w:tcPr>
            <w:tcW w:w="3951" w:type="dxa"/>
          </w:tcPr>
          <w:p w14:paraId="690A8D0F"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Parametr</w:t>
            </w:r>
          </w:p>
        </w:tc>
        <w:tc>
          <w:tcPr>
            <w:tcW w:w="2070" w:type="dxa"/>
          </w:tcPr>
          <w:p w14:paraId="54D269F7"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Wartość</w:t>
            </w:r>
          </w:p>
        </w:tc>
      </w:tr>
      <w:tr w:rsidR="00423217" w:rsidRPr="00662015" w14:paraId="60277D05" w14:textId="77777777" w:rsidTr="00855929">
        <w:trPr>
          <w:cantSplit/>
          <w:jc w:val="center"/>
        </w:trPr>
        <w:tc>
          <w:tcPr>
            <w:tcW w:w="3951" w:type="dxa"/>
          </w:tcPr>
          <w:p w14:paraId="2BD8806D"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Materiał</w:t>
            </w:r>
          </w:p>
          <w:p w14:paraId="2BC3A71F"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wszerz</w:t>
            </w:r>
          </w:p>
          <w:p w14:paraId="0BEF1BB8"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wzdłuż</w:t>
            </w:r>
          </w:p>
        </w:tc>
        <w:tc>
          <w:tcPr>
            <w:tcW w:w="2070" w:type="dxa"/>
          </w:tcPr>
          <w:p w14:paraId="6F0711F2"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7D486247"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włókno węglowe</w:t>
            </w:r>
          </w:p>
          <w:p w14:paraId="5CEF3740"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włókno szklane</w:t>
            </w:r>
          </w:p>
        </w:tc>
      </w:tr>
      <w:tr w:rsidR="00423217" w:rsidRPr="00662015" w14:paraId="65DDCCE9" w14:textId="77777777" w:rsidTr="00855929">
        <w:trPr>
          <w:cantSplit/>
          <w:jc w:val="center"/>
        </w:trPr>
        <w:tc>
          <w:tcPr>
            <w:tcW w:w="3951" w:type="dxa"/>
          </w:tcPr>
          <w:p w14:paraId="65F422CC"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Wydłużenie graniczne  [%]</w:t>
            </w:r>
          </w:p>
          <w:p w14:paraId="61E7E138"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wszerz</w:t>
            </w:r>
          </w:p>
          <w:p w14:paraId="17B81DE1"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wzdłuż</w:t>
            </w:r>
          </w:p>
        </w:tc>
        <w:tc>
          <w:tcPr>
            <w:tcW w:w="2070" w:type="dxa"/>
          </w:tcPr>
          <w:p w14:paraId="0D5EEFDF"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0E24FB28"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max. 1,5</w:t>
            </w:r>
          </w:p>
          <w:p w14:paraId="3BC3E966"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max. 3,0</w:t>
            </w:r>
          </w:p>
        </w:tc>
      </w:tr>
      <w:tr w:rsidR="00423217" w:rsidRPr="00662015" w14:paraId="46F853F8" w14:textId="77777777" w:rsidTr="00855929">
        <w:trPr>
          <w:cantSplit/>
          <w:jc w:val="center"/>
        </w:trPr>
        <w:tc>
          <w:tcPr>
            <w:tcW w:w="3951" w:type="dxa"/>
          </w:tcPr>
          <w:p w14:paraId="090B0534"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lastRenderedPageBreak/>
              <w:t>Ilość wiązek włókna na 1 mb:</w:t>
            </w:r>
          </w:p>
          <w:p w14:paraId="06D3475A"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wszerz</w:t>
            </w:r>
          </w:p>
          <w:p w14:paraId="726508A8"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wzdłuż</w:t>
            </w:r>
          </w:p>
        </w:tc>
        <w:tc>
          <w:tcPr>
            <w:tcW w:w="2070" w:type="dxa"/>
          </w:tcPr>
          <w:p w14:paraId="290A0161"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7FE3B2E3"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52 +/- 2</w:t>
            </w:r>
          </w:p>
          <w:p w14:paraId="5D52A7B3"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52 +/- 2</w:t>
            </w:r>
          </w:p>
        </w:tc>
      </w:tr>
      <w:tr w:rsidR="00423217" w:rsidRPr="00662015" w14:paraId="0D3DC49E" w14:textId="77777777" w:rsidTr="00855929">
        <w:trPr>
          <w:cantSplit/>
          <w:jc w:val="center"/>
        </w:trPr>
        <w:tc>
          <w:tcPr>
            <w:tcW w:w="3951" w:type="dxa"/>
          </w:tcPr>
          <w:p w14:paraId="3FBA380C"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Wytrzymałość na rozciąganie [kN/m]</w:t>
            </w:r>
          </w:p>
          <w:p w14:paraId="6604EDDD"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wszerz</w:t>
            </w:r>
          </w:p>
          <w:p w14:paraId="66261864"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wzdłuż</w:t>
            </w:r>
          </w:p>
        </w:tc>
        <w:tc>
          <w:tcPr>
            <w:tcW w:w="2070" w:type="dxa"/>
          </w:tcPr>
          <w:p w14:paraId="5E829DC0"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53EABE64" w14:textId="73AA862D"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 xml:space="preserve">min. </w:t>
            </w:r>
            <w:r w:rsidR="00F316EC">
              <w:rPr>
                <w:rFonts w:ascii="Arial Narrow" w:eastAsia="Times New Roman" w:hAnsi="Arial Narrow" w:cs="Times New Roman"/>
                <w:sz w:val="20"/>
              </w:rPr>
              <w:t>12</w:t>
            </w:r>
            <w:r w:rsidRPr="00662015">
              <w:rPr>
                <w:rFonts w:ascii="Arial Narrow" w:eastAsia="Times New Roman" w:hAnsi="Arial Narrow" w:cs="Times New Roman"/>
                <w:sz w:val="20"/>
              </w:rPr>
              <w:t>0</w:t>
            </w:r>
          </w:p>
          <w:p w14:paraId="6F96F4E4"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min. 120</w:t>
            </w:r>
          </w:p>
        </w:tc>
      </w:tr>
      <w:tr w:rsidR="00423217" w:rsidRPr="00662015" w14:paraId="1BF1835B" w14:textId="77777777" w:rsidTr="00855929">
        <w:trPr>
          <w:cantSplit/>
          <w:jc w:val="center"/>
        </w:trPr>
        <w:tc>
          <w:tcPr>
            <w:tcW w:w="6021" w:type="dxa"/>
            <w:gridSpan w:val="2"/>
          </w:tcPr>
          <w:p w14:paraId="15ACA98F"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Wiązki włókien przesączone asfaltem w całej objętości</w:t>
            </w:r>
          </w:p>
        </w:tc>
      </w:tr>
      <w:tr w:rsidR="00423217" w:rsidRPr="00662015" w14:paraId="59C19BF0" w14:textId="77777777" w:rsidTr="00855929">
        <w:trPr>
          <w:cantSplit/>
          <w:jc w:val="center"/>
        </w:trPr>
        <w:tc>
          <w:tcPr>
            <w:tcW w:w="6021" w:type="dxa"/>
            <w:gridSpan w:val="2"/>
          </w:tcPr>
          <w:p w14:paraId="1B48FA93"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Wymagania dla asfaltu przesączającego siatkę</w:t>
            </w:r>
          </w:p>
        </w:tc>
      </w:tr>
      <w:tr w:rsidR="00423217" w:rsidRPr="00662015" w14:paraId="0D62BCE7" w14:textId="77777777" w:rsidTr="00855929">
        <w:trPr>
          <w:cantSplit/>
          <w:jc w:val="center"/>
        </w:trPr>
        <w:tc>
          <w:tcPr>
            <w:tcW w:w="3951" w:type="dxa"/>
          </w:tcPr>
          <w:p w14:paraId="73882B6A"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Penetracja w 25</w:t>
            </w:r>
            <w:r w:rsidRPr="00662015">
              <w:rPr>
                <w:rFonts w:ascii="Arial Narrow" w:eastAsia="Times New Roman" w:hAnsi="Arial Narrow" w:cs="Times New Roman"/>
                <w:sz w:val="20"/>
                <w:vertAlign w:val="superscript"/>
              </w:rPr>
              <w:t>0</w:t>
            </w:r>
            <w:r w:rsidRPr="00662015">
              <w:rPr>
                <w:rFonts w:ascii="Arial Narrow" w:eastAsia="Times New Roman" w:hAnsi="Arial Narrow" w:cs="Times New Roman"/>
                <w:sz w:val="20"/>
              </w:rPr>
              <w:t xml:space="preserve">C [0,1 mm] </w:t>
            </w:r>
          </w:p>
        </w:tc>
        <w:tc>
          <w:tcPr>
            <w:tcW w:w="2070" w:type="dxa"/>
          </w:tcPr>
          <w:p w14:paraId="49F66A8F"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max. 50</w:t>
            </w:r>
          </w:p>
        </w:tc>
      </w:tr>
      <w:tr w:rsidR="00423217" w:rsidRPr="00662015" w14:paraId="58F919AB" w14:textId="77777777" w:rsidTr="00855929">
        <w:trPr>
          <w:cantSplit/>
          <w:jc w:val="center"/>
        </w:trPr>
        <w:tc>
          <w:tcPr>
            <w:tcW w:w="3951" w:type="dxa"/>
          </w:tcPr>
          <w:p w14:paraId="1FF5B24D"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Temperatura mięknienia [</w:t>
            </w:r>
            <w:r w:rsidRPr="00662015">
              <w:rPr>
                <w:rFonts w:ascii="Arial Narrow" w:eastAsia="Times New Roman" w:hAnsi="Arial Narrow" w:cs="Times New Roman"/>
                <w:sz w:val="20"/>
                <w:vertAlign w:val="superscript"/>
              </w:rPr>
              <w:t>0</w:t>
            </w:r>
            <w:r w:rsidRPr="00662015">
              <w:rPr>
                <w:rFonts w:ascii="Arial Narrow" w:eastAsia="Times New Roman" w:hAnsi="Arial Narrow" w:cs="Times New Roman"/>
                <w:sz w:val="20"/>
              </w:rPr>
              <w:t>C]</w:t>
            </w:r>
          </w:p>
        </w:tc>
        <w:tc>
          <w:tcPr>
            <w:tcW w:w="2070" w:type="dxa"/>
          </w:tcPr>
          <w:p w14:paraId="2FC5F948"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min. 90</w:t>
            </w:r>
          </w:p>
        </w:tc>
      </w:tr>
      <w:tr w:rsidR="00423217" w:rsidRPr="00662015" w14:paraId="5A6DC267" w14:textId="77777777" w:rsidTr="00855929">
        <w:trPr>
          <w:cantSplit/>
          <w:jc w:val="center"/>
        </w:trPr>
        <w:tc>
          <w:tcPr>
            <w:tcW w:w="3951" w:type="dxa"/>
          </w:tcPr>
          <w:p w14:paraId="675A9F24"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Temperatura łamliwości [</w:t>
            </w:r>
            <w:r w:rsidRPr="00662015">
              <w:rPr>
                <w:rFonts w:ascii="Arial Narrow" w:eastAsia="Times New Roman" w:hAnsi="Arial Narrow" w:cs="Times New Roman"/>
                <w:sz w:val="20"/>
                <w:vertAlign w:val="superscript"/>
              </w:rPr>
              <w:t>0</w:t>
            </w:r>
            <w:r w:rsidRPr="00662015">
              <w:rPr>
                <w:rFonts w:ascii="Arial Narrow" w:eastAsia="Times New Roman" w:hAnsi="Arial Narrow" w:cs="Times New Roman"/>
                <w:sz w:val="20"/>
              </w:rPr>
              <w:t>C]</w:t>
            </w:r>
          </w:p>
        </w:tc>
        <w:tc>
          <w:tcPr>
            <w:tcW w:w="2070" w:type="dxa"/>
          </w:tcPr>
          <w:p w14:paraId="1A98291B"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max.-15</w:t>
            </w:r>
          </w:p>
        </w:tc>
      </w:tr>
    </w:tbl>
    <w:p w14:paraId="3FC7E234"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p>
    <w:p w14:paraId="723DB73C"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 xml:space="preserve">W przypadku przesączenia siatki polimeroasfaltem zawartość polimerów w asfalcie nie może przekraczać 10%. Siatka powinna być produkowana zgodnie z wymaganiami Normy PN-EN 15381. </w:t>
      </w:r>
    </w:p>
    <w:p w14:paraId="44AB6A8A"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p>
    <w:p w14:paraId="7F22FFC7"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Do likwidacji spękań mają zastosowanie geosyntetyki w postaci siatek przeplatanych z włókna szklanego i węglowego. Materiał ten powinien być dodatkowo uzdatniany przez impregnacje bitumami. Ponieważ na materiałach tych układa się warstwy bitumiczne na gorąco, zatem tworzywa stosowane do produkcji geosyntetyków musza być odporne na temperaturę. Funkcja siatek polega na stworzeniu membrany (siatka i asfalt), która przejmuje naprężenia skoncentrowane w obrębie pęknięcia w niższej warstwie. Membrana odkształcając się w czasie pełzania rozkłada naprężenia na większej powierzchni, co w efekcie powinno uniemożliwić lub opóźnić propagacje pęknięcia do warstwy ścieralnej. Siatka oprócz wyżej opisanej funkcji dodatkowo częściowo przejmuje naprężenia rozciągające i redukuje ich wielkość wskutek pełzania materiału siatki. Stosowane geosyntetyki powinny posiadać aktualna aprobatę techniczna Instytutu Badawczego Dróg i Mostów w Warszawie lub DWU ze wskazaniem przydatności do przewidznaego zastosowania. Geosiatka może być składowana na placu budowy pod warunkiem, że jest nawinięta na tuleję lub rurę w wodoszczelnej nieuszkodzonej folii, którą zaleca się zdejmować przed momentem wbudowania.</w:t>
      </w:r>
    </w:p>
    <w:p w14:paraId="7CBB78B7"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Rolki geosiatki należy składować w suchym miejscu, na czystej i gładkiej powierzchni oraz nie więcej niż trzy rolki jedna na drugiej. Nie wolno składować rolek skrzyżowanych oraz wyjątkowo można zezwolić na składowanie rolek nie owiniętych folią przez okres dłuższy niż jeden tydzień.</w:t>
      </w:r>
    </w:p>
    <w:p w14:paraId="3F12F566"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Przy składowaniu geosiatki należy przestrzegać zaleceń producenta.</w:t>
      </w:r>
    </w:p>
    <w:p w14:paraId="555D19B4"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2.3. Lepiszcza do przyklejenia geosiatki</w:t>
      </w:r>
    </w:p>
    <w:p w14:paraId="6FAFEB73"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Do przyklejenia geosiatki należy stosować:</w:t>
      </w:r>
    </w:p>
    <w:p w14:paraId="4AE88B8B"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kationową emulsję asfaltową modyfikowaną polimerem, szybkorozpadową wg EmA-99 [14], posiadającą aprobatę techniczną IBDiM; zaleca się emulsję K1-70MP,</w:t>
      </w:r>
    </w:p>
    <w:p w14:paraId="563E3B92"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polimeroasfalt drogowy wg TWT PAD-97 [13], posiadający aprobatę techniczną IBDiM; zaleca się asfalty: DE 150 C i DE 250 C.</w:t>
      </w:r>
    </w:p>
    <w:p w14:paraId="2C803558"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2.4. Materiały do uszczelnienia pęknięć</w:t>
      </w:r>
    </w:p>
    <w:p w14:paraId="4D8B3A9F"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Nie dotyczy.</w:t>
      </w:r>
    </w:p>
    <w:p w14:paraId="7154D4CE"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2.5. Taśmy asfaltowo-kauczukowe</w:t>
      </w:r>
    </w:p>
    <w:p w14:paraId="5E74C404"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Przy wykonywaniu robót należy stosować asfaltowo-kauczukowe taśmy samoprzylepne w postaci wstęgi uformowanej z asfaltu modyfikowanego polimerami, o przekroju prostokątnym o szerokości od 20 do 70 mm, grubości od 2 do 20 mm, długości od 1 do 10 m, zwinięte na rdzeń tekturowy z papierem dwustronnie silikonowanym.</w:t>
      </w:r>
    </w:p>
    <w:p w14:paraId="4090BDEC"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Taśmy powinny charakteryzować się:</w:t>
      </w:r>
    </w:p>
    <w:p w14:paraId="0BD2D2DD"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dobrą przyczepnością do pionowo przeciętej powierzchni nawierzchni,</w:t>
      </w:r>
    </w:p>
    <w:p w14:paraId="31F030BE"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wytrzymałością na ścinanie nie mniejszą niż 350 N/30 cm</w:t>
      </w:r>
      <w:r w:rsidRPr="00662015">
        <w:rPr>
          <w:rFonts w:ascii="Arial Narrow" w:eastAsia="Times New Roman" w:hAnsi="Arial Narrow" w:cs="Times New Roman"/>
          <w:sz w:val="20"/>
          <w:szCs w:val="20"/>
          <w:vertAlign w:val="superscript"/>
          <w:lang w:val="x-none" w:eastAsia="x-none"/>
        </w:rPr>
        <w:t>2</w:t>
      </w:r>
      <w:r w:rsidRPr="00662015">
        <w:rPr>
          <w:rFonts w:ascii="Arial Narrow" w:eastAsia="Times New Roman" w:hAnsi="Arial Narrow" w:cs="Times New Roman"/>
          <w:sz w:val="20"/>
          <w:szCs w:val="20"/>
          <w:lang w:val="x-none" w:eastAsia="x-none"/>
        </w:rPr>
        <w:t>,</w:t>
      </w:r>
    </w:p>
    <w:p w14:paraId="668AB54C"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dobrą giętkością w temperaturze -20</w:t>
      </w:r>
      <w:r w:rsidRPr="00662015">
        <w:rPr>
          <w:rFonts w:ascii="Arial Narrow" w:eastAsia="Times New Roman" w:hAnsi="Arial Narrow" w:cs="Times New Roman"/>
          <w:sz w:val="20"/>
          <w:szCs w:val="20"/>
          <w:vertAlign w:val="superscript"/>
          <w:lang w:val="x-none" w:eastAsia="x-none"/>
        </w:rPr>
        <w:t>o</w:t>
      </w:r>
      <w:r w:rsidRPr="00662015">
        <w:rPr>
          <w:rFonts w:ascii="Arial Narrow" w:eastAsia="Times New Roman" w:hAnsi="Arial Narrow" w:cs="Times New Roman"/>
          <w:sz w:val="20"/>
          <w:szCs w:val="20"/>
          <w:lang w:val="x-none" w:eastAsia="x-none"/>
        </w:rPr>
        <w:t xml:space="preserve">C na wałku </w:t>
      </w:r>
      <w:r w:rsidRPr="00662015">
        <w:rPr>
          <w:rFonts w:ascii="Arial Narrow" w:eastAsia="Times New Roman" w:hAnsi="Arial Narrow" w:cs="Times New Roman"/>
          <w:sz w:val="20"/>
          <w:szCs w:val="20"/>
          <w:lang w:val="x-none" w:eastAsia="x-none"/>
        </w:rPr>
        <w:sym w:font="Symbol" w:char="F0C6"/>
      </w:r>
      <w:r w:rsidRPr="00662015">
        <w:rPr>
          <w:rFonts w:ascii="Arial Narrow" w:eastAsia="Times New Roman" w:hAnsi="Arial Narrow" w:cs="Times New Roman"/>
          <w:sz w:val="20"/>
          <w:szCs w:val="20"/>
          <w:lang w:val="x-none" w:eastAsia="x-none"/>
        </w:rPr>
        <w:t xml:space="preserve"> 10 mm,</w:t>
      </w:r>
    </w:p>
    <w:p w14:paraId="725A215D"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wydłużeniem przy zerwaniu nie mniej niż 800%,</w:t>
      </w:r>
    </w:p>
    <w:p w14:paraId="06BED730"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odkształceniem trwałym po wydłużeniu o 100% nie większym niż 10%,</w:t>
      </w:r>
    </w:p>
    <w:p w14:paraId="6251FD37"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odpornością na starzenie się.</w:t>
      </w:r>
    </w:p>
    <w:p w14:paraId="7E6C0A55"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Taśmy służą do dobrego połączenia wbudowywanej mieszanki mineralno-asfaltowej na gorąco z pionowo przyciętymi ściankami naprawianej warstwy bitumicznej istniejącej nawierzchni. Szerokość taśmy powinna być równa grubości wbudowywanej warstwy lub mniejsza o 2 do 5 mm. Cieńsze taśmy (2 mm) należy stosować przy szerokościach naprawianych do 1,5 metra, zaś grubsze (np. 10 mm) przy szerokościach większych od 4 metrów.</w:t>
      </w:r>
    </w:p>
    <w:p w14:paraId="11D5598A"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2.7. Materiały do robót nawierzchniowych</w:t>
      </w:r>
    </w:p>
    <w:p w14:paraId="40D8C3F2"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Materiały do wykonania warstwy lub warstw asfaltowych powinny odpowiadać wymaganiom SST właściwym dla ustalonego rodzaju nawierzchni, przykrywającego geosiatkę, np. betonu asfaltowego [7].</w:t>
      </w:r>
    </w:p>
    <w:p w14:paraId="56E1F953" w14:textId="77777777" w:rsidR="00423217" w:rsidRPr="00662015" w:rsidRDefault="00423217" w:rsidP="0042321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662015">
        <w:rPr>
          <w:rFonts w:ascii="Arial Narrow" w:eastAsia="Times New Roman" w:hAnsi="Arial Narrow" w:cs="Times New Roman"/>
          <w:b/>
          <w:caps/>
          <w:kern w:val="28"/>
          <w:sz w:val="28"/>
          <w:szCs w:val="20"/>
          <w:lang w:val="x-none" w:eastAsia="x-none"/>
        </w:rPr>
        <w:t>3. sprzęt</w:t>
      </w:r>
    </w:p>
    <w:p w14:paraId="3626B9E6"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3.1. Ogólne wymagania dotyczące sprzętu</w:t>
      </w:r>
    </w:p>
    <w:p w14:paraId="06B670BE"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Ogólne wymagania dotyczące sprzętu podano w SST  D-M-00.00.00 „Wymagania ogólne” [1] pkt 3.</w:t>
      </w:r>
    </w:p>
    <w:p w14:paraId="200FE7BE"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lastRenderedPageBreak/>
        <w:t>3.2. Maszyny do przygotowania nawierzchni przed naprawą</w:t>
      </w:r>
    </w:p>
    <w:p w14:paraId="1D3A18C7"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W zależności od potrzeb Wykonawca powinien wykazać się możliwością korzystania ze sprzętu do przygotowania nawierzchni do naprawy, takiego jak:</w:t>
      </w:r>
    </w:p>
    <w:p w14:paraId="58D538F9"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przecinarki z diamentowymi tarczami tnącymi, o mocy co najmniej 10 kW, lub podobnie działające urządzenia, do przycięcia krawędzi uszkodzonych warstw prostopadle do powierzchni nawierzchni i nadania uszkodzonym miejscom geometrycznych kształtów (możliwie zbliżonych do prostokątów),</w:t>
      </w:r>
    </w:p>
    <w:p w14:paraId="06F78885"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sprężarki o wydajności od 2 do 5 m</w:t>
      </w:r>
      <w:r w:rsidRPr="00662015">
        <w:rPr>
          <w:rFonts w:ascii="Arial Narrow" w:eastAsia="Times New Roman" w:hAnsi="Arial Narrow" w:cs="Times New Roman"/>
          <w:sz w:val="20"/>
          <w:szCs w:val="20"/>
          <w:vertAlign w:val="superscript"/>
          <w:lang w:val="x-none" w:eastAsia="x-none"/>
        </w:rPr>
        <w:t>3</w:t>
      </w:r>
      <w:r w:rsidRPr="00662015">
        <w:rPr>
          <w:rFonts w:ascii="Arial Narrow" w:eastAsia="Times New Roman" w:hAnsi="Arial Narrow" w:cs="Times New Roman"/>
          <w:sz w:val="20"/>
          <w:szCs w:val="20"/>
          <w:lang w:val="x-none" w:eastAsia="x-none"/>
        </w:rPr>
        <w:t xml:space="preserve"> powietrza na minutę, przy ciśnieniu od 0,3 do 0,8 MPa,</w:t>
      </w:r>
    </w:p>
    <w:p w14:paraId="613D048C"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szczotki mechaniczne o mocy co najmniej 10 kW z wirującymi dyskami z drutów stalowych. Średnica dysków wirujących  (z drutów stalowych) z prędkością 3000 obr./min nie powinna być mniejsza od 200 mm. Szczotki służą do czyszczenia naprawianych pęknięć oraz krawędzi przyciętych warstw przed dalszymi pracami, np. przyklejeniem do nich samoprzylepnych taśm kauczukowo-asfaltowych,</w:t>
      </w:r>
    </w:p>
    <w:p w14:paraId="7CE44B78"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walcowe lub garnkowe szczotki mechaniczne (preferowane z pochłaniaczami zanieczyszczeń) zamocowane na specjalnych pojazdach samochodowych,</w:t>
      </w:r>
    </w:p>
    <w:p w14:paraId="5D3027EA" w14:textId="77777777" w:rsidR="00423217" w:rsidRPr="00662015" w:rsidRDefault="00423217" w:rsidP="00AD6DA2">
      <w:pPr>
        <w:numPr>
          <w:ilvl w:val="0"/>
          <w:numId w:val="24"/>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odkurzacze przemysłowe.</w:t>
      </w:r>
    </w:p>
    <w:p w14:paraId="1B781673"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3.3. Sprzęt do frezowania</w:t>
      </w:r>
    </w:p>
    <w:p w14:paraId="6901F678"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Należy stosować frezarki drogowe umożliwiające frezowanie nawierzchni asfaltowej na zimno na określoną głębokość.</w:t>
      </w:r>
    </w:p>
    <w:p w14:paraId="0B593862"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Frezarka powinna być sterowana elektronicznie i zapewniać zachowanie wymaganej równości oraz pochyleń poprzecznych i podłużnych powierzchni po frezowaniu. Do małych robót (naprawy części jezdni) Inżynier może dopuścić frezarki sterowane mechanicznie.</w:t>
      </w:r>
    </w:p>
    <w:p w14:paraId="78D4B275"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 xml:space="preserve">Przy pracach prowadzonych w terenie zabudowanym frezarki muszą, a poza nimi powinny, być zaopatrzone w systemy odpylania. </w:t>
      </w:r>
    </w:p>
    <w:p w14:paraId="12CF2ED0"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Do poszerzania pęknięć w nawierzchni zaleca się stosować frezarki mechaniczne z frezami palcowymi lub tarczowymi, zapewniające wykonanie poszerzeń zgodnie z przebiegiem pęknięcia, o stałej, dostosowanej do potrzeb głębokości i szerokości, o pionowych ściankach bocznych.</w:t>
      </w:r>
    </w:p>
    <w:p w14:paraId="3143A23A"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3.4. Układarki geosiatek</w:t>
      </w:r>
    </w:p>
    <w:p w14:paraId="0AB35B8C"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Do układania geosiatek na podłożu można stosować układarki o prostej konstrukcji, umożliwiające rozwijanie geosiatki ze szpuli.</w:t>
      </w:r>
    </w:p>
    <w:p w14:paraId="1DCBC07C"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3.5. Skrapiarki</w:t>
      </w:r>
    </w:p>
    <w:p w14:paraId="2CA4187C"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W zależności od potrzeb należy zapewnić użycie odpowiednich skrapiarek do asfaltu i do emulsji asfaltowej. Do większości robót można stosować skrapiarki małe z ręcznie prowadzoną lancą spryskującą. Podstawowym warunkiem jest zapewnienie stałego wydatku lepiszcza, aby ułatwić operatorowi równomierne spryskanie lepiszczem naprawianego miejsca w założonej ilości (l/m</w:t>
      </w:r>
      <w:r w:rsidRPr="00662015">
        <w:rPr>
          <w:rFonts w:ascii="Arial Narrow" w:eastAsia="Times New Roman" w:hAnsi="Arial Narrow" w:cs="Times New Roman"/>
          <w:sz w:val="20"/>
          <w:szCs w:val="20"/>
          <w:vertAlign w:val="superscript"/>
          <w:lang w:eastAsia="pl-PL"/>
        </w:rPr>
        <w:t>2</w:t>
      </w:r>
      <w:r w:rsidRPr="00662015">
        <w:rPr>
          <w:rFonts w:ascii="Arial Narrow" w:eastAsia="Times New Roman" w:hAnsi="Arial Narrow" w:cs="Times New Roman"/>
          <w:sz w:val="20"/>
          <w:szCs w:val="20"/>
          <w:lang w:eastAsia="pl-PL"/>
        </w:rPr>
        <w:t>).</w:t>
      </w:r>
    </w:p>
    <w:p w14:paraId="2E4C12CE"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3.6. Inny sprzęt</w:t>
      </w:r>
    </w:p>
    <w:p w14:paraId="377A46CC"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Pozostały sprzęt stosowany do robót powinien odpowiadać wymaganiom SST, wymienionych w niniejszej specyfikacji.</w:t>
      </w:r>
    </w:p>
    <w:p w14:paraId="68FAD168" w14:textId="77777777" w:rsidR="00423217" w:rsidRPr="00662015" w:rsidRDefault="00423217" w:rsidP="0042321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792" w:name="_Toc41966532"/>
      <w:r w:rsidRPr="00662015">
        <w:rPr>
          <w:rFonts w:ascii="Arial Narrow" w:eastAsia="Times New Roman" w:hAnsi="Arial Narrow" w:cs="Times New Roman"/>
          <w:b/>
          <w:caps/>
          <w:kern w:val="28"/>
          <w:sz w:val="28"/>
          <w:szCs w:val="20"/>
          <w:lang w:val="x-none" w:eastAsia="x-none"/>
        </w:rPr>
        <w:t>4. TRANSPORT</w:t>
      </w:r>
      <w:bookmarkEnd w:id="792"/>
    </w:p>
    <w:p w14:paraId="79405FB0"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4.1. Ogólne wymagania dotyczące transportu</w:t>
      </w:r>
    </w:p>
    <w:p w14:paraId="35A3EC22"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Ogólne wymagania dotyczące transportu podano w SST D-M-00.00.00 „Wymagania ogólne” [1] pkt 4.</w:t>
      </w:r>
    </w:p>
    <w:p w14:paraId="6CA69E4E"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4.2. Transport geosiatek</w:t>
      </w:r>
    </w:p>
    <w:p w14:paraId="4F13FAE4"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Geosiatki należy transportować w rolkach owiniętych polietylenową folią. Folia ma na celu zabezpieczenie geosiatki przed uszkodzeniem w  czasie transportu i składowania na budowie, a także zabezpiecza składowaną geosiatkę przed negatywnym działaniem ultrafioletowego promieniowania słonecznego. Podczas transportu należy chronić materiał przed zawilgoceniem i zabrudzeniem. Rolki powinny być ułożone poziomo, nie więcej niż w trzech warstwach. W czasie wyładowywania geosiatki ze środka transportu nie należy dopuścić do porozrywania lub podziurawienia opakowania z folii.</w:t>
      </w:r>
    </w:p>
    <w:p w14:paraId="4C8CCDAD"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Przy transporcie geosiatki należy przestrzegać zaleceń producenta.</w:t>
      </w:r>
    </w:p>
    <w:p w14:paraId="50BB3F50"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4.3. Transport innych materiałów</w:t>
      </w:r>
    </w:p>
    <w:p w14:paraId="3A78B542"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Transport pozostałych materiałów powinien odpowiadać wymaganiom SST, wymienionych w niniejszej specyfikacji.</w:t>
      </w:r>
    </w:p>
    <w:p w14:paraId="43CE6C9C" w14:textId="77777777" w:rsidR="00423217" w:rsidRPr="00662015" w:rsidRDefault="00423217" w:rsidP="0042321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793" w:name="_Toc485703813"/>
      <w:bookmarkStart w:id="794" w:name="_Toc485797030"/>
      <w:bookmarkStart w:id="795" w:name="_Toc41966533"/>
      <w:r w:rsidRPr="00662015">
        <w:rPr>
          <w:rFonts w:ascii="Arial Narrow" w:eastAsia="Times New Roman" w:hAnsi="Arial Narrow" w:cs="Times New Roman"/>
          <w:b/>
          <w:caps/>
          <w:kern w:val="28"/>
          <w:sz w:val="28"/>
          <w:szCs w:val="20"/>
          <w:lang w:val="x-none" w:eastAsia="x-none"/>
        </w:rPr>
        <w:t>5. wykonanie robót</w:t>
      </w:r>
      <w:bookmarkEnd w:id="793"/>
      <w:bookmarkEnd w:id="794"/>
      <w:bookmarkEnd w:id="795"/>
    </w:p>
    <w:p w14:paraId="61296906"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5.1. Ogólne zasady wykonania robót</w:t>
      </w:r>
    </w:p>
    <w:p w14:paraId="0CAEE88B"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Ogólne zasady wykonania robót podano w SST D-M-00.00.00 „Wymagania ogólne” [1] pkt 5.</w:t>
      </w:r>
    </w:p>
    <w:p w14:paraId="2D1BDC69"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5.2. Zasady wykonywania robót</w:t>
      </w:r>
    </w:p>
    <w:p w14:paraId="20E37FAA"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Konstrukcja i sposób zabezpieczenia geosiatką nawierzchni asfaltowej przed spękaniami odbitymi powinny być zgodne z dokumentacją techniczną, SST i ustaleniami producenta geosiatek. W przypadku braku wystarczających danych należy korzystać z ustaleń podanych w niniejszej specyfikacji.</w:t>
      </w:r>
    </w:p>
    <w:p w14:paraId="52A5563A"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Przy zabezpieczaniu geosiatkami nawierzchni asfaltowych przed spękaniami odbitymi, mogą występować następujące czynności:</w:t>
      </w:r>
    </w:p>
    <w:p w14:paraId="2BE9D520"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rozebranie, przewidzianej do naprawy, warstwy (lub warstw) nawierzchni asfaltowej z ewentualnym frezowaniem istniejącej nawierzchni asfaltowej,</w:t>
      </w:r>
    </w:p>
    <w:p w14:paraId="44A1EF3C"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wypełnienie spękań w istniejącej nawierzchni zalewą asfaltową,</w:t>
      </w:r>
    </w:p>
    <w:p w14:paraId="1363BCFF"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oczyszczenie powierzchni przewidzianej do ułożenia geosiatki,</w:t>
      </w:r>
    </w:p>
    <w:p w14:paraId="74564133"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lastRenderedPageBreak/>
        <w:t>skropienie lepiszczem,</w:t>
      </w:r>
    </w:p>
    <w:p w14:paraId="2C103511"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ułożenie geosiatki i przymocowanie jej do podłoża,</w:t>
      </w:r>
    </w:p>
    <w:p w14:paraId="04D0AA9E"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ułożenie warstwy lub warstw nawierzchni asfaltowej na rozebranym fragmencie jezdni lub na całej szerokości jezdni.</w:t>
      </w:r>
    </w:p>
    <w:p w14:paraId="542E0FEB"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5.5. Oczyszczenie powierzchni przewidzianej do skropienia lepiszczem i ułożenia geosiatki</w:t>
      </w:r>
    </w:p>
    <w:p w14:paraId="06257DC5"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Przygotowanie powierzchni do skropienia lepiszczem i ułożenia geosiatki, zakłada:</w:t>
      </w:r>
    </w:p>
    <w:p w14:paraId="6756A869"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dokładne usunięcie ze starej nawierzchni wszystkich zanieczyszczeń, nie będących integralną jej częścią (takich jak: luźne kawałki i odpryski asfaltu, przyczepione do nawierzchni kawałki błota, gliny itp.);</w:t>
      </w:r>
    </w:p>
    <w:p w14:paraId="0287A6AE"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oczyszczenie całej nawierzchni (najkorzystniej obrotową, mechaniczną, wirującą drucianą szczotką) do stanu, w którym zapewnione zostanie pozostawienie na podłożu starej nawierzchni jedynie elementów związanych w sposób trwały;</w:t>
      </w:r>
    </w:p>
    <w:p w14:paraId="29120F38"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bardzo dokładne oczyszczenie kraterów, przestrzeni wgłębnych: pęknięć, spękań, powierzchni bocznych i dna;</w:t>
      </w:r>
    </w:p>
    <w:p w14:paraId="34DE9F0E"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odkurzanie całej nawierzchni odkurzaczem przemysłowym lub, o ile na to pozwalają warunki miejscowe, strumieniem sprężonego powietrza z przemieszczalnego wentylatora, o możliwie dużym wydmuchu powietrza;</w:t>
      </w:r>
    </w:p>
    <w:p w14:paraId="5B88A00B"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zmycie nawierzchni strumieniem wody pod ciśnieniem;</w:t>
      </w:r>
    </w:p>
    <w:p w14:paraId="2370BC89"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uzupełnienie starego podłoża mieszanką mineralno-asfaltową w miejscach, gdzie występują znaczne jego ubytki (wskazane jest również pokrycie ich powierzchni ciekłą substancją wiążącą);</w:t>
      </w:r>
    </w:p>
    <w:p w14:paraId="36FD94E2"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powtórne odkurzanie  całej nawierzchni odkurzaczem przemysłowym lub sprężonym powietrzem.</w:t>
      </w:r>
    </w:p>
    <w:p w14:paraId="39457606"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5.6. Ułożenie geosiatki</w:t>
      </w:r>
    </w:p>
    <w:p w14:paraId="38CD8871" w14:textId="77777777" w:rsidR="00423217" w:rsidRPr="00662015" w:rsidRDefault="00423217" w:rsidP="0042321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662015">
        <w:rPr>
          <w:rFonts w:ascii="Arial Narrow" w:eastAsia="Times New Roman" w:hAnsi="Arial Narrow" w:cs="Times New Roman"/>
          <w:b/>
          <w:sz w:val="24"/>
          <w:szCs w:val="20"/>
          <w:lang w:eastAsia="x-none"/>
        </w:rPr>
        <w:t xml:space="preserve">5.6.1 </w:t>
      </w:r>
      <w:r w:rsidRPr="00662015">
        <w:rPr>
          <w:rFonts w:ascii="Arial Narrow" w:eastAsia="Times New Roman" w:hAnsi="Arial Narrow" w:cs="Times New Roman"/>
          <w:b/>
          <w:sz w:val="24"/>
          <w:szCs w:val="20"/>
          <w:lang w:val="x-none" w:eastAsia="x-none"/>
        </w:rPr>
        <w:t>Czynności przygotowawcze</w:t>
      </w:r>
    </w:p>
    <w:p w14:paraId="3FF81CBC"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Sposób naprawy nawierzchni geosiatką powinien odpowiadać ustaleniom  dokumentacji projektowej. W przypadku niepełnych danych można ustalić zasady naprawy według danych załącznika 5.</w:t>
      </w:r>
    </w:p>
    <w:p w14:paraId="2C732F4A"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Ułożenie geosiatki powinno być zgodne z zaleceniami producenta i aprobaty technicznej, a w przypadku ich braku lub niepełnych danych - zgodne ze wskazaniami podanymi w dalszym ciągu.</w:t>
      </w:r>
    </w:p>
    <w:p w14:paraId="59E9FF4D"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Folię, w którą są zapakowane rolki geosiatki, zaleca się zdejmować bezpośrednio przed układaniem. W celu uzyskania mniejszej szerokości rolki można ją przeciąć piłą. Szerokość po przycięciu powinna umożliwić połączenie sąsiednich pasm siatki z zakładem. Początkowo nie należy wykonywać wcięć na wpusty uliczne i studzienki, gdyż należy je wykonać dopiero po naciągnięciu i zamocowaniu siatki. Przygotowane rolki siatki należy rozłożyć wzdłuż odcinka drogi, na którym będą prowadzone prace.</w:t>
      </w:r>
    </w:p>
    <w:p w14:paraId="00F40983"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Rozpakowanie rulonów powinno następować pojedynczo, na przygotowanym podłożu. Przy większym zakresie robót zaleca się wykonanie projektu (rysunku), ilustrującego sposób układania i łączenia rulonów, ew. szerokości zakładek, mocowania do podłoża itp.</w:t>
      </w:r>
    </w:p>
    <w:p w14:paraId="2D1DA695"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Geosiatkę można układać ręcznie lub za pomocą układarki przez rozwijanie ze szpuli.</w:t>
      </w:r>
    </w:p>
    <w:p w14:paraId="658C5A40"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Wszystkie siatki muszą być ułożone na powierzchni równej lub wyrównanej warstwą profilującą; równość powierzchni jest warunkiem integralności całego układu. Nierówności takie jak koleiny lub wyżłobienia o głębokości większej niż 10 mm powinny być wypełnione, a wszystkie zanieczyszczenia jezdni usunięte lub spłukane wodą.</w:t>
      </w:r>
    </w:p>
    <w:p w14:paraId="546F3076"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Nierówności mierzone w kierunku podłużnym i poprzecznym, pod 4-metrową łatą, nie powinny być większe od 5 mm.</w:t>
      </w:r>
    </w:p>
    <w:p w14:paraId="48A313E8"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Tak przygotowane podłoże należy skropić emulsją asfaltową modyfikowaną polimeroasfaltami  (C60BP3 ZM lub C60 BP4 ZM) w ilości od około 0,25-0,30 kg/m2. Przy skropieniu lepiszczem asfaltowym na gorąco – ilość 0,15 - 0,2 kg/m2. W przypadku podłoży frezowanych skropienie powinno być intensywniejsze o ok.50%. W szczególnych przypadkach dopuszcza się skropienie  kationową emulsją asfaltową C60 B3 ZM lub C60 B4 ZM w ilości jak dla emulsji modyfikowanej polimeroasfaltem. Należy przestrzegać ogólnych zasad wykonania skropienia, obowiązujących przy wykonywaniu połączenia międzywarstwowego podanych w Wymaganiach Technicznych WT-2 Nawierzchnie asfaltowe 2016. zwracając szczególną uwagę na równomierność pokrycia powierzchni.</w:t>
      </w:r>
    </w:p>
    <w:p w14:paraId="333F7A7B" w14:textId="77777777" w:rsidR="00423217" w:rsidRPr="00662015" w:rsidRDefault="00423217" w:rsidP="0042321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662015">
        <w:rPr>
          <w:rFonts w:ascii="Arial Narrow" w:eastAsia="Times New Roman" w:hAnsi="Arial Narrow" w:cs="Times New Roman"/>
          <w:b/>
          <w:sz w:val="24"/>
          <w:szCs w:val="20"/>
          <w:lang w:eastAsia="x-none"/>
        </w:rPr>
        <w:t xml:space="preserve">5.6.2 </w:t>
      </w:r>
      <w:r w:rsidRPr="00662015">
        <w:rPr>
          <w:rFonts w:ascii="Arial Narrow" w:eastAsia="Times New Roman" w:hAnsi="Arial Narrow" w:cs="Times New Roman"/>
          <w:b/>
          <w:sz w:val="24"/>
          <w:szCs w:val="20"/>
          <w:lang w:val="x-none" w:eastAsia="x-none"/>
        </w:rPr>
        <w:t>Sposób ułożenia geosiatki</w:t>
      </w:r>
    </w:p>
    <w:p w14:paraId="254A9A4D"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Układanie geosiatek plecionych przewiduje następujące czynności, jeśli dokumentacja projektowa, SST lub zalecenie producenta nie przewiduje inaczej:</w:t>
      </w:r>
    </w:p>
    <w:p w14:paraId="3A0E38BD"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geosiatki powinny być układane na powłoce z asfaltu drogowego lub na warstwie emulsji w ilości określonej przez producenta, np. 400-450 g/m</w:t>
      </w:r>
      <w:r w:rsidRPr="00662015">
        <w:rPr>
          <w:rFonts w:ascii="Arial Narrow" w:eastAsia="Times New Roman" w:hAnsi="Arial Narrow" w:cs="Times New Roman"/>
          <w:sz w:val="20"/>
          <w:szCs w:val="20"/>
          <w:vertAlign w:val="superscript"/>
          <w:lang w:val="x-none" w:eastAsia="x-none"/>
        </w:rPr>
        <w:t>2</w:t>
      </w:r>
      <w:r w:rsidRPr="00662015">
        <w:rPr>
          <w:rFonts w:ascii="Arial Narrow" w:eastAsia="Times New Roman" w:hAnsi="Arial Narrow" w:cs="Times New Roman"/>
          <w:sz w:val="20"/>
          <w:szCs w:val="20"/>
          <w:lang w:val="x-none" w:eastAsia="x-none"/>
        </w:rPr>
        <w:t>; skropienie lepiszczem powinno odpowiadać wymaganiom SST D-04.03.01 [3],</w:t>
      </w:r>
    </w:p>
    <w:p w14:paraId="4EA3906A"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geosiatkę rozwija się i układa bez sfalowań na przygotowanej powierzchni, wstępnie naprężając w czasie układania przez podnoszenie rolki i naciąganie siatki,</w:t>
      </w:r>
    </w:p>
    <w:p w14:paraId="73E7FF9B"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siatki plecione rozłożone z rolki wzdłuż osi przymocowuje się na początku kołkami stalowymi wbijanymi w dolną warstwę, ew. śrubami z nakrętką osadzonymi wewnątrz kołków,</w:t>
      </w:r>
    </w:p>
    <w:p w14:paraId="2645D9FE"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geosiatki łączy się na zakład, który w kierunku podłużnym wynosi co najmniej 200 mm, a w kierunku poprzecznym co najmniej 150 mm. W celu połączenia zakładów pasm geosiatki zaleca się ją skropić lepiszczem w ilości 300 g/m</w:t>
      </w:r>
      <w:r w:rsidRPr="00662015">
        <w:rPr>
          <w:rFonts w:ascii="Arial Narrow" w:eastAsia="Times New Roman" w:hAnsi="Arial Narrow" w:cs="Times New Roman"/>
          <w:sz w:val="20"/>
          <w:szCs w:val="20"/>
          <w:vertAlign w:val="superscript"/>
          <w:lang w:val="x-none" w:eastAsia="x-none"/>
        </w:rPr>
        <w:t>2</w:t>
      </w:r>
      <w:r w:rsidRPr="00662015">
        <w:rPr>
          <w:rFonts w:ascii="Arial Narrow" w:eastAsia="Times New Roman" w:hAnsi="Arial Narrow" w:cs="Times New Roman"/>
          <w:sz w:val="20"/>
          <w:szCs w:val="20"/>
          <w:lang w:val="x-none" w:eastAsia="x-none"/>
        </w:rPr>
        <w:t>,</w:t>
      </w:r>
    </w:p>
    <w:p w14:paraId="60C8A257"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geosiatki napręża się przy użyciu urządzenia naciągającego, np. belki oraz pojazdu, stopniowo do wydłużenia max. 0,2% lub 200 mm na 100 m. Ma to na celu zapewnienie prawidłowej pracy siatki w nawierzchni oraz uniknięcie przesunięcia lub sfalowania podczas układania na niej mieszanki przez rozściełarkę,</w:t>
      </w:r>
    </w:p>
    <w:p w14:paraId="0C08BEDF"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po naprężeniu siatki można w niej wyciąć otwory na wpusty i studzienki, tak aby pozostało 10 cm do obrysu tych urządzeń,</w:t>
      </w:r>
    </w:p>
    <w:p w14:paraId="468F2DA1"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jeżeli geosiatki układane są na spoinach, brzeg siatki powinien być przesunięty w stosunku do spoiny o min. 500 mm,</w:t>
      </w:r>
    </w:p>
    <w:p w14:paraId="7DD6514D"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przy promieniach krzywizny większych od 600 m geosiatki układa się bez specjalnych zabiegów. Na odcinkach, gdzie promienie krzywizn są mniejsze od 600 m, ułożenie geosiatek powinno być dostosowane do przebiegu trasy przez nacinanie ich i przybicie krawędzi stalowymi kołkami.</w:t>
      </w:r>
    </w:p>
    <w:p w14:paraId="21F9F2AE"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Przy stosowaniu geosiatek ciągnionych obowiązują następujące różnice wykonawcze:</w:t>
      </w:r>
    </w:p>
    <w:p w14:paraId="0CDFD2DC"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lastRenderedPageBreak/>
        <w:t>ilość emulsji asfaltowej do skropienia powinna odpowiadać wymaganiom producenta i np. wynosić 1400-2000 g/m</w:t>
      </w:r>
      <w:r w:rsidRPr="00662015">
        <w:rPr>
          <w:rFonts w:ascii="Arial Narrow" w:eastAsia="Times New Roman" w:hAnsi="Arial Narrow" w:cs="Times New Roman"/>
          <w:sz w:val="20"/>
          <w:szCs w:val="20"/>
          <w:vertAlign w:val="superscript"/>
          <w:lang w:val="x-none" w:eastAsia="x-none"/>
        </w:rPr>
        <w:t>2</w:t>
      </w:r>
      <w:r w:rsidRPr="00662015">
        <w:rPr>
          <w:rFonts w:ascii="Arial Narrow" w:eastAsia="Times New Roman" w:hAnsi="Arial Narrow" w:cs="Times New Roman"/>
          <w:sz w:val="20"/>
          <w:szCs w:val="20"/>
          <w:lang w:val="x-none" w:eastAsia="x-none"/>
        </w:rPr>
        <w:t>,</w:t>
      </w:r>
    </w:p>
    <w:p w14:paraId="01A8E6A4"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początek siatki umocowuje się przy zastosowaniu perforowanej taśmy stalowej i stalowych kołków wbitych do dolnej warstwy bitumicznej przy pomocy specjalnego urządzenia; odstęp pomiędzy kołkami wynosi 1-2 oczek siatki, zależnie od twardości nawierzchni,</w:t>
      </w:r>
    </w:p>
    <w:p w14:paraId="47A4D534"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geosiatki zaleca się układać na dłuższym odcinku drogi, np. ok. 8 rolek połączonych ze sobą przy pomocy łączników zaciskowych na zakład, który w kierunku podłużnym wynosi co najmniej 200 mm, a w kierunku poprzecznym co najmniej 100 mm,</w:t>
      </w:r>
    </w:p>
    <w:p w14:paraId="19940B81"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siatka powinna być naprężona i utrzymana w poziomie, bez sfalowań. Rozciąganie przeprowadza się stopniowo, aż do wydłużenia max. 0,5% lub 500 mm na 100 m. Następnie krawędź geosiatki przymocowuje się do warstwy dolnej przy pomocy kołków stalowych, a włókna podłużne łączy się z kolejną siatką przy pomocy łączników zaciskowych.</w:t>
      </w:r>
    </w:p>
    <w:p w14:paraId="5F8A0A1C" w14:textId="77777777" w:rsidR="00423217" w:rsidRPr="00662015" w:rsidRDefault="00423217" w:rsidP="0042321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662015">
        <w:rPr>
          <w:rFonts w:ascii="Arial Narrow" w:eastAsia="Times New Roman" w:hAnsi="Arial Narrow" w:cs="Times New Roman"/>
          <w:b/>
          <w:sz w:val="24"/>
          <w:szCs w:val="20"/>
          <w:lang w:eastAsia="x-none"/>
        </w:rPr>
        <w:t xml:space="preserve">5.6.3 </w:t>
      </w:r>
      <w:r w:rsidRPr="00662015">
        <w:rPr>
          <w:rFonts w:ascii="Arial Narrow" w:eastAsia="Times New Roman" w:hAnsi="Arial Narrow" w:cs="Times New Roman"/>
          <w:b/>
          <w:sz w:val="24"/>
          <w:szCs w:val="20"/>
          <w:lang w:val="x-none" w:eastAsia="x-none"/>
        </w:rPr>
        <w:t>Zalecenia uzupełniające (wg [15])</w:t>
      </w:r>
    </w:p>
    <w:p w14:paraId="4DB2C17E"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 xml:space="preserve">W wypadku układania geosiatki na górnej powierzchni jezdni pod nowe warstwy asfaltowe, powierzchnia skrapiana lepiszczem powinna mieć szerokość większą od szerokości pasa geosiatki o 0,10 </w:t>
      </w:r>
      <w:r w:rsidRPr="00662015">
        <w:rPr>
          <w:rFonts w:ascii="Arial Narrow" w:eastAsia="Times New Roman" w:hAnsi="Arial Narrow" w:cs="Times New Roman"/>
          <w:sz w:val="20"/>
          <w:szCs w:val="20"/>
          <w:lang w:eastAsia="pl-PL"/>
        </w:rPr>
        <w:sym w:font="Symbol" w:char="F0B8"/>
      </w:r>
      <w:r w:rsidRPr="00662015">
        <w:rPr>
          <w:rFonts w:ascii="Arial Narrow" w:eastAsia="Times New Roman" w:hAnsi="Arial Narrow" w:cs="Times New Roman"/>
          <w:sz w:val="20"/>
          <w:szCs w:val="20"/>
          <w:lang w:eastAsia="pl-PL"/>
        </w:rPr>
        <w:t xml:space="preserve"> 0,15 m z każdej strony. Powierzchnia skrapiana lepiszczem powinna być czysta - wszelkie zanieczyszczenia gliną, kruszywem itp. powinny zostać usunięte przed skropieniem. Części geosiatki zanieczyszczone smarami i olejami należy wyciąć. Miejsca te należy powtórnie skropić wraz z brzegiem otaczającej geosiatki, a następnie wkleić w nie prostokątną łatę z geosiatki o wymiarach zapewniających przykrycie wyciętego otworu z zakładem około 0,10 m.</w:t>
      </w:r>
    </w:p>
    <w:p w14:paraId="5DB5D923"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Jeśli stosowany jest elastomeroasfalt upłynniony, zawierający rozpuszczalnik, to geosiatkę należy rozkładać po odparowaniu rozpuszczalnika. Jeśli używana jest emulsja elastomeroasfaltowa, to geosiatkę należy rozkładać po rozpadzie emulsji i odparowaniu wody.</w:t>
      </w:r>
    </w:p>
    <w:p w14:paraId="2457EFCE"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Przed ułożeniem warstwy asfaltowej na ułożonej geosiatce należy naprawić miejsca odklejone, fałdy i rozdarcia geosiatki.</w:t>
      </w:r>
    </w:p>
    <w:p w14:paraId="5C976E60"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Niedopuszczalne jest układanie warstwy geosiatki na pęknięciach o nieustabilizowanych krawędziach.</w:t>
      </w:r>
    </w:p>
    <w:p w14:paraId="38725016"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Roboty prowadzi się wyłącznie podczas suchej pogody. Geosiatka nie może być mokra, rozkładana na mokrej powierzchni lub pozostawiona na noc bez przykrycia warstwą asfaltową.</w:t>
      </w:r>
    </w:p>
    <w:p w14:paraId="14773576"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Konieczne jest zapewnienie prawidłowego przyklejenia geosiatki do podłoża. Jeśli uzyskanie tego nie jest możliwe z jakiegokolwiek powodu (np. istnieją fale), to należy zrezygnować z zastosowanie tej technologii, bowiem niewłaściwe jej wykonanie może być powodem zniszczenia nawierzchni (np. fale mogą zniszczyć połączenia warstw).</w:t>
      </w:r>
    </w:p>
    <w:p w14:paraId="3C4A9EB3"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Powstałe fale siatki można, za zgodą Inżyniera, zneutralizować, posypując siatkę mieszanką mineralno-asfaltową drobnoziarnistą, np. grubości 5 mm, a następnie ostrożnie ją ubijając.</w:t>
      </w:r>
    </w:p>
    <w:p w14:paraId="15B700A9"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Temperatura wykonawstwa robót jest limitowana dopuszczalną temperaturą robót asfaltowych. W przypadku stosowania do nasycania i przyklejania geosiatki emulsji elastomeroasfaltowej kationowej lub elastomeroasfaltu na gorąco, temperatura powietrza powinna być nie niższa niż 15</w:t>
      </w:r>
      <w:r w:rsidRPr="00662015">
        <w:rPr>
          <w:rFonts w:ascii="Arial Narrow" w:eastAsia="Times New Roman" w:hAnsi="Arial Narrow" w:cs="Times New Roman"/>
          <w:sz w:val="20"/>
          <w:szCs w:val="20"/>
          <w:vertAlign w:val="superscript"/>
          <w:lang w:eastAsia="pl-PL"/>
        </w:rPr>
        <w:t>o</w:t>
      </w:r>
      <w:r w:rsidRPr="00662015">
        <w:rPr>
          <w:rFonts w:ascii="Arial Narrow" w:eastAsia="Times New Roman" w:hAnsi="Arial Narrow" w:cs="Times New Roman"/>
          <w:sz w:val="20"/>
          <w:szCs w:val="20"/>
          <w:lang w:eastAsia="pl-PL"/>
        </w:rPr>
        <w:t>C, a temperatura skrapianej nawierzchni powinna być nie niższa niż 10</w:t>
      </w:r>
      <w:r w:rsidRPr="00662015">
        <w:rPr>
          <w:rFonts w:ascii="Arial Narrow" w:eastAsia="Times New Roman" w:hAnsi="Arial Narrow" w:cs="Times New Roman"/>
          <w:sz w:val="20"/>
          <w:szCs w:val="20"/>
          <w:vertAlign w:val="superscript"/>
          <w:lang w:eastAsia="pl-PL"/>
        </w:rPr>
        <w:t>o</w:t>
      </w:r>
      <w:r w:rsidRPr="00662015">
        <w:rPr>
          <w:rFonts w:ascii="Arial Narrow" w:eastAsia="Times New Roman" w:hAnsi="Arial Narrow" w:cs="Times New Roman"/>
          <w:sz w:val="20"/>
          <w:szCs w:val="20"/>
          <w:lang w:eastAsia="pl-PL"/>
        </w:rPr>
        <w:t>C.</w:t>
      </w:r>
    </w:p>
    <w:p w14:paraId="28A11FC0"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Nie dopuszcza się ruchu pojazdów po rozłożonej geosiatce. Wyjątkowo może odbywać się jedynie ruch technologiczny. Wówczas pojazdy powinny poruszać się z małą prędkością, bez gwałtownego przyśpieszania, hamowania i skręcania.</w:t>
      </w:r>
    </w:p>
    <w:p w14:paraId="484BBFBF"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5.</w:t>
      </w:r>
      <w:r w:rsidRPr="00662015">
        <w:rPr>
          <w:rFonts w:ascii="Arial Narrow" w:eastAsia="Times New Roman" w:hAnsi="Arial Narrow" w:cs="Times New Roman"/>
          <w:b/>
          <w:sz w:val="28"/>
          <w:szCs w:val="20"/>
          <w:lang w:eastAsia="x-none"/>
        </w:rPr>
        <w:t>7</w:t>
      </w:r>
      <w:r w:rsidRPr="00662015">
        <w:rPr>
          <w:rFonts w:ascii="Arial Narrow" w:eastAsia="Times New Roman" w:hAnsi="Arial Narrow" w:cs="Times New Roman"/>
          <w:b/>
          <w:sz w:val="28"/>
          <w:szCs w:val="20"/>
          <w:lang w:val="x-none" w:eastAsia="x-none"/>
        </w:rPr>
        <w:t>. Układanie warstwy lub warstw nawierzchni asfaltowej</w:t>
      </w:r>
    </w:p>
    <w:p w14:paraId="1D07E8AB"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ab/>
        <w:t>Warstwę mieszanki mineralno-asfaltowej zaleca się układać natychmiast po ułożeniu geosiatki. Na rozwiniętą geosiatkę należy najechać tyłem od czoła i rozkładać mieszankę zgodnie z zaleceniami technologicznymi odpowiednich SST, np. D-05.03.05 [7]. W czasie układania warstw nawierzchni rozkładarka i pojazdy muszą poruszać się ostrożnie, bez gwałtownej zmiany prędkości i kierunku. Zabrania się gwałtownego przyspieszania lub hamowania na nie przykrytej siatce.</w:t>
      </w:r>
      <w:r w:rsidRPr="00662015">
        <w:rPr>
          <w:rFonts w:ascii="Arial Narrow" w:eastAsia="Times New Roman" w:hAnsi="Arial Narrow" w:cs="Times New Roman"/>
          <w:sz w:val="20"/>
          <w:szCs w:val="20"/>
          <w:lang w:eastAsia="pl-PL"/>
        </w:rPr>
        <w:tab/>
      </w:r>
    </w:p>
    <w:p w14:paraId="53759946"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eastAsia="x-none"/>
        </w:rPr>
      </w:pPr>
      <w:r w:rsidRPr="00662015">
        <w:rPr>
          <w:rFonts w:ascii="Arial Narrow" w:eastAsia="Times New Roman" w:hAnsi="Arial Narrow" w:cs="Times New Roman"/>
          <w:b/>
          <w:sz w:val="28"/>
          <w:szCs w:val="20"/>
          <w:lang w:eastAsia="x-none"/>
        </w:rPr>
        <w:t>5.8 Sczepność</w:t>
      </w:r>
    </w:p>
    <w:p w14:paraId="6185F243"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Po ułożeniu na siatce nowej warstwy mieszanki mineralno-asfaltowej, w celu zapewnienia zakładanej trwałości zmęczeniowej nawierzchni, zaleca się wykonanie pomiaru połączenie międzywarstwowego np. metodą Leutnera. Minimalna wartość naprężeń ścinających na połączeniu warstw nie może być mniejsza niż 1,0 MPa; zalecana wartość minimalna 1,3 MPa – „Informacje, Instrukcje - Zeszyt Nr-66” (IBDiM)</w:t>
      </w:r>
    </w:p>
    <w:p w14:paraId="6AABDA64" w14:textId="77777777" w:rsidR="00423217" w:rsidRPr="00662015" w:rsidRDefault="00423217" w:rsidP="0042321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662015">
        <w:rPr>
          <w:rFonts w:ascii="Arial Narrow" w:eastAsia="Times New Roman" w:hAnsi="Arial Narrow" w:cs="Times New Roman"/>
          <w:b/>
          <w:caps/>
          <w:kern w:val="28"/>
          <w:sz w:val="28"/>
          <w:szCs w:val="20"/>
          <w:lang w:val="x-none" w:eastAsia="x-none"/>
        </w:rPr>
        <w:t>6. kontrola jakości robót</w:t>
      </w:r>
    </w:p>
    <w:p w14:paraId="5DE6174D"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6.1. Ogólne zasady kontroli jakości robót</w:t>
      </w:r>
    </w:p>
    <w:p w14:paraId="5F18D12B"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Ogólne zasady kontroli jakości robót podano w SST   D-M-00.00.00 „Wymagania ogólne” [1] pkt 6.</w:t>
      </w:r>
    </w:p>
    <w:p w14:paraId="561D438C" w14:textId="77777777" w:rsidR="00423217" w:rsidRPr="00662015" w:rsidRDefault="00423217" w:rsidP="0042321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662015">
        <w:rPr>
          <w:rFonts w:ascii="Arial Narrow" w:eastAsia="Times New Roman" w:hAnsi="Arial Narrow" w:cs="Times New Roman"/>
          <w:b/>
          <w:sz w:val="24"/>
          <w:szCs w:val="20"/>
          <w:lang w:val="x-none" w:eastAsia="x-none"/>
        </w:rPr>
        <w:t>6.1.1   Częstotliwość badań, skład i liczebność partii</w:t>
      </w:r>
    </w:p>
    <w:p w14:paraId="3BB54566"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Badania należy wykonywać przy odbiorze każdej partii geosiatki. W skład partii wchodzą rolki geosiatki o jednakowych wymiarach. Liczebność partii do badań nie powinna być większa niż 100 rolek</w:t>
      </w:r>
    </w:p>
    <w:p w14:paraId="34343757" w14:textId="77777777" w:rsidR="00423217" w:rsidRPr="00662015" w:rsidRDefault="00423217" w:rsidP="0042321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662015">
        <w:rPr>
          <w:rFonts w:ascii="Arial Narrow" w:eastAsia="Times New Roman" w:hAnsi="Arial Narrow" w:cs="Times New Roman"/>
          <w:b/>
          <w:sz w:val="24"/>
          <w:szCs w:val="20"/>
          <w:lang w:val="x-none" w:eastAsia="x-none"/>
        </w:rPr>
        <w:t>6.1.2    Pobieranie próbek i kontrola jakości</w:t>
      </w:r>
    </w:p>
    <w:p w14:paraId="523BE3EA"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Próbki z każdej partii należy pobierać losowo wg PN-N-03010;1983. Pobieranie próbek laboratoryjnych z rolki i przygotowanie próbek do badań należy wykonać wg PN-ISO 9862;2007</w:t>
      </w:r>
    </w:p>
    <w:p w14:paraId="5EA363A5" w14:textId="77777777" w:rsidR="00423217" w:rsidRPr="00662015" w:rsidRDefault="00423217" w:rsidP="0042321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662015">
        <w:rPr>
          <w:rFonts w:ascii="Arial Narrow" w:eastAsia="Times New Roman" w:hAnsi="Arial Narrow" w:cs="Times New Roman"/>
          <w:b/>
          <w:sz w:val="24"/>
          <w:szCs w:val="20"/>
          <w:lang w:eastAsia="x-none"/>
        </w:rPr>
        <w:t xml:space="preserve">6.1.3 </w:t>
      </w:r>
      <w:r w:rsidRPr="00662015">
        <w:rPr>
          <w:rFonts w:ascii="Arial Narrow" w:eastAsia="Times New Roman" w:hAnsi="Arial Narrow" w:cs="Times New Roman"/>
          <w:b/>
          <w:sz w:val="24"/>
          <w:szCs w:val="20"/>
          <w:lang w:val="x-none" w:eastAsia="x-none"/>
        </w:rPr>
        <w:t>Sprawdzenie wyglądu zewnętrznego i szerokości pasma</w:t>
      </w:r>
    </w:p>
    <w:p w14:paraId="3D329067"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Sprawdzenie wyglądu zewnętrznego polega na wizualnej ocenie równomierności rozłożenia oczek siatki oraz występowania uszkodzeń (przerwania ciągłości wiązek włókien) jak również jednorodności nasycenia siatki asfaltem. Szerokość pasma należy określić przez pomiar bezpośredni z dokładnością do 1 cm wykonany co 10 mb rozwiniętej rolki. Odchyłka szerokości pasma nie powinna przekraczać +/- 2% wymiaru nominalnego.</w:t>
      </w:r>
    </w:p>
    <w:p w14:paraId="57DA82A1" w14:textId="77777777" w:rsidR="00423217" w:rsidRPr="00662015" w:rsidRDefault="00423217" w:rsidP="0042321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662015">
        <w:rPr>
          <w:rFonts w:ascii="Arial Narrow" w:eastAsia="Times New Roman" w:hAnsi="Arial Narrow" w:cs="Times New Roman"/>
          <w:b/>
          <w:sz w:val="24"/>
          <w:szCs w:val="20"/>
          <w:lang w:eastAsia="x-none"/>
        </w:rPr>
        <w:lastRenderedPageBreak/>
        <w:t xml:space="preserve">6.1.4 </w:t>
      </w:r>
      <w:r w:rsidRPr="00662015">
        <w:rPr>
          <w:rFonts w:ascii="Arial Narrow" w:eastAsia="Times New Roman" w:hAnsi="Arial Narrow" w:cs="Times New Roman"/>
          <w:b/>
          <w:sz w:val="24"/>
          <w:szCs w:val="20"/>
          <w:lang w:val="x-none" w:eastAsia="x-none"/>
        </w:rPr>
        <w:t>Sprawdzenie cech wytrzymałościowych</w:t>
      </w:r>
    </w:p>
    <w:p w14:paraId="74D231B4"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bCs/>
          <w:sz w:val="20"/>
          <w:szCs w:val="20"/>
          <w:lang w:eastAsia="pl-PL"/>
        </w:rPr>
      </w:pPr>
      <w:r w:rsidRPr="00662015">
        <w:rPr>
          <w:rFonts w:ascii="Arial Narrow" w:eastAsia="Times New Roman" w:hAnsi="Arial Narrow" w:cs="Times New Roman"/>
          <w:sz w:val="20"/>
          <w:szCs w:val="20"/>
          <w:lang w:eastAsia="pl-PL"/>
        </w:rPr>
        <w:t xml:space="preserve">Wytrzymałość na rozciąganie wiązek włókien siatki zarówno w układzie poprzecznym jak i podłużnym nie powinna być mniejsza niż podana w punkcie 2.2 przy wydłużeniu jak w pkt. 2.2. Wytrzymałość siatki obliczana jest na podstawie ciężaru powierzchniowego i parametrów mechanicznych włókna użytego do produkcji nici siatki. Pole powierzchni poszczególnych oczek siatki nie może być mniejsze niż 2,4 cm2. </w:t>
      </w:r>
    </w:p>
    <w:p w14:paraId="3EC9B0B7"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6.2. Badania przed przystąpieniem do robót</w:t>
      </w:r>
    </w:p>
    <w:p w14:paraId="5A8D2CBA"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Przed przystąpieniem do robót Wykonawca powinien:</w:t>
      </w:r>
    </w:p>
    <w:p w14:paraId="74F9CA03"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uzyskać wymagane dokumenty, dopuszczające wyroby budowlane do obrotu i powszechnego stosowania (certyfikaty na znak bezpieczeństwa, aprobaty techniczne, certyfikaty zgodności, deklaracje zgodności, ew. badania materiałów wykonane przez dostawców itp.),</w:t>
      </w:r>
    </w:p>
    <w:p w14:paraId="2DC7CB41"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wykonać badania właściwości materiałów przeznaczonych do wykonania robót, określone w pkcie 2,</w:t>
      </w:r>
    </w:p>
    <w:p w14:paraId="64CD4152"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sprawdzić cechy zewnętrzne gotowych materiałów z tworzyw.</w:t>
      </w:r>
    </w:p>
    <w:p w14:paraId="314FD649"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Wszystkie dokumenty oraz wyniki badań Wykonawca przedstawia Inżynierowi do akceptacji.</w:t>
      </w:r>
    </w:p>
    <w:p w14:paraId="5EDC6CC9" w14:textId="77777777" w:rsidR="00423217" w:rsidRPr="00662015" w:rsidRDefault="00423217" w:rsidP="00423217">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6.3. Badania w czasie robót</w:t>
      </w:r>
    </w:p>
    <w:p w14:paraId="494632AF"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Częstotliwość oraz zakres badań i pomiarów, które należy wykonać w czasie robót podaje tablica 1.</w:t>
      </w:r>
    </w:p>
    <w:p w14:paraId="25135159" w14:textId="77777777" w:rsidR="00423217" w:rsidRPr="00662015" w:rsidRDefault="00423217" w:rsidP="00423217">
      <w:pPr>
        <w:keepNext/>
        <w:keepLines/>
        <w:numPr>
          <w:ilvl w:val="12"/>
          <w:numId w:val="0"/>
        </w:numPr>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662015">
        <w:rPr>
          <w:rFonts w:ascii="Arial Narrow" w:eastAsia="Times New Roman" w:hAnsi="Arial Narrow" w:cs="Times New Roman"/>
          <w:b/>
          <w:caps/>
          <w:kern w:val="28"/>
          <w:sz w:val="28"/>
          <w:szCs w:val="20"/>
          <w:lang w:val="x-none" w:eastAsia="x-none"/>
        </w:rPr>
        <w:t>7. obmiar robót</w:t>
      </w:r>
    </w:p>
    <w:p w14:paraId="71247AC7" w14:textId="77777777" w:rsidR="00423217" w:rsidRPr="00662015" w:rsidRDefault="00423217" w:rsidP="00423217">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7.1. Ogólne zasady obmiaru robót</w:t>
      </w:r>
    </w:p>
    <w:p w14:paraId="1F870E05"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Ogólne zasady obmiaru robót podano w SST  D-M-00.00.00 „Wymagania ogólne” [1] pkt 7.</w:t>
      </w:r>
    </w:p>
    <w:p w14:paraId="1B3194AF" w14:textId="77777777" w:rsidR="00423217" w:rsidRPr="00662015" w:rsidRDefault="00423217" w:rsidP="00423217">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7.2. Jednostka obmiarowa</w:t>
      </w:r>
    </w:p>
    <w:p w14:paraId="5821C042"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Jednostką obmiaru robót jest m</w:t>
      </w:r>
      <w:r w:rsidRPr="00662015">
        <w:rPr>
          <w:rFonts w:ascii="Arial Narrow" w:eastAsia="Times New Roman" w:hAnsi="Arial Narrow" w:cs="Times New Roman"/>
          <w:sz w:val="20"/>
          <w:szCs w:val="20"/>
          <w:vertAlign w:val="superscript"/>
          <w:lang w:eastAsia="pl-PL"/>
        </w:rPr>
        <w:t>2</w:t>
      </w:r>
      <w:r w:rsidRPr="00662015">
        <w:rPr>
          <w:rFonts w:ascii="Arial Narrow" w:eastAsia="Times New Roman" w:hAnsi="Arial Narrow" w:cs="Times New Roman"/>
          <w:sz w:val="20"/>
          <w:szCs w:val="20"/>
          <w:lang w:eastAsia="pl-PL"/>
        </w:rPr>
        <w:t xml:space="preserve"> (metr kwadratowy) zabezpieczonej geosiatką powierzchni nawierzchni.</w:t>
      </w:r>
    </w:p>
    <w:p w14:paraId="21D99725"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Tablica 1. Częstotliwość oraz zakres badań i pomiarów w czasie robót</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43"/>
        <w:gridCol w:w="1560"/>
        <w:gridCol w:w="1984"/>
      </w:tblGrid>
      <w:tr w:rsidR="00423217" w:rsidRPr="00662015" w14:paraId="182D41DF" w14:textId="77777777" w:rsidTr="00855929">
        <w:tc>
          <w:tcPr>
            <w:tcW w:w="496" w:type="dxa"/>
            <w:tcBorders>
              <w:bottom w:val="double" w:sz="6" w:space="0" w:color="auto"/>
            </w:tcBorders>
          </w:tcPr>
          <w:p w14:paraId="338820E3"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Lp.</w:t>
            </w:r>
          </w:p>
        </w:tc>
        <w:tc>
          <w:tcPr>
            <w:tcW w:w="3543" w:type="dxa"/>
            <w:tcBorders>
              <w:bottom w:val="double" w:sz="6" w:space="0" w:color="auto"/>
            </w:tcBorders>
          </w:tcPr>
          <w:p w14:paraId="08627205"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Wyszczególnienie badań i pomiarów</w:t>
            </w:r>
          </w:p>
        </w:tc>
        <w:tc>
          <w:tcPr>
            <w:tcW w:w="1560" w:type="dxa"/>
            <w:tcBorders>
              <w:bottom w:val="double" w:sz="6" w:space="0" w:color="auto"/>
            </w:tcBorders>
          </w:tcPr>
          <w:p w14:paraId="43BCDD38"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Częstotliwość badań</w:t>
            </w:r>
          </w:p>
        </w:tc>
        <w:tc>
          <w:tcPr>
            <w:tcW w:w="1984" w:type="dxa"/>
            <w:tcBorders>
              <w:bottom w:val="double" w:sz="6" w:space="0" w:color="auto"/>
            </w:tcBorders>
          </w:tcPr>
          <w:p w14:paraId="3F7F780C"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Wartości dopuszczalne</w:t>
            </w:r>
          </w:p>
        </w:tc>
      </w:tr>
      <w:tr w:rsidR="00423217" w:rsidRPr="00662015" w14:paraId="33C3507C" w14:textId="77777777" w:rsidTr="00855929">
        <w:tc>
          <w:tcPr>
            <w:tcW w:w="496" w:type="dxa"/>
            <w:tcBorders>
              <w:top w:val="nil"/>
            </w:tcBorders>
          </w:tcPr>
          <w:p w14:paraId="1B44D5DD"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3ACD4E8F"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1</w:t>
            </w:r>
          </w:p>
        </w:tc>
        <w:tc>
          <w:tcPr>
            <w:tcW w:w="3543" w:type="dxa"/>
            <w:tcBorders>
              <w:top w:val="nil"/>
            </w:tcBorders>
          </w:tcPr>
          <w:p w14:paraId="714BA487"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Sprawdzenie robót rozbiórkowych nawierzchni (ocena wizualna z ew. pomiarem)</w:t>
            </w:r>
          </w:p>
        </w:tc>
        <w:tc>
          <w:tcPr>
            <w:tcW w:w="1560" w:type="dxa"/>
            <w:tcBorders>
              <w:top w:val="nil"/>
            </w:tcBorders>
          </w:tcPr>
          <w:p w14:paraId="7DF3D469"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 xml:space="preserve">Co 25 m </w:t>
            </w:r>
          </w:p>
          <w:p w14:paraId="0E28CCA3"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 osi i przy krawędziach</w:t>
            </w:r>
          </w:p>
        </w:tc>
        <w:tc>
          <w:tcPr>
            <w:tcW w:w="1984" w:type="dxa"/>
            <w:tcBorders>
              <w:top w:val="nil"/>
            </w:tcBorders>
          </w:tcPr>
          <w:p w14:paraId="4E3F52DE"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 xml:space="preserve">Max. 10 mm rowki </w:t>
            </w:r>
          </w:p>
          <w:p w14:paraId="6E5AFDB1"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po frezowaniu</w:t>
            </w:r>
          </w:p>
        </w:tc>
      </w:tr>
      <w:tr w:rsidR="00423217" w:rsidRPr="00662015" w14:paraId="699C3BFA" w14:textId="77777777" w:rsidTr="00855929">
        <w:tc>
          <w:tcPr>
            <w:tcW w:w="496" w:type="dxa"/>
          </w:tcPr>
          <w:p w14:paraId="66F36F26"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23FBF74C"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2</w:t>
            </w:r>
          </w:p>
        </w:tc>
        <w:tc>
          <w:tcPr>
            <w:tcW w:w="3543" w:type="dxa"/>
          </w:tcPr>
          <w:p w14:paraId="144AE711"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Sprawdzenie oczyszczenia podłoża (Ocena wizualna wg p. 5.5 niniejszej SST)</w:t>
            </w:r>
          </w:p>
        </w:tc>
        <w:tc>
          <w:tcPr>
            <w:tcW w:w="1560" w:type="dxa"/>
          </w:tcPr>
          <w:p w14:paraId="188F4375"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4B1B8F88"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Całe podłoże</w:t>
            </w:r>
          </w:p>
        </w:tc>
        <w:tc>
          <w:tcPr>
            <w:tcW w:w="1984" w:type="dxa"/>
          </w:tcPr>
          <w:p w14:paraId="7B5E3ECD"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Brak luźnych odprysków  i kurzu</w:t>
            </w:r>
          </w:p>
        </w:tc>
      </w:tr>
      <w:tr w:rsidR="00423217" w:rsidRPr="00662015" w14:paraId="3FDE75E7" w14:textId="77777777" w:rsidTr="00855929">
        <w:tc>
          <w:tcPr>
            <w:tcW w:w="496" w:type="dxa"/>
          </w:tcPr>
          <w:p w14:paraId="29B5C940"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3</w:t>
            </w:r>
          </w:p>
        </w:tc>
        <w:tc>
          <w:tcPr>
            <w:tcW w:w="3543" w:type="dxa"/>
          </w:tcPr>
          <w:p w14:paraId="3DF67783"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Badanie skropienia lepiszczem podłoża (wg SST D-04.03.01 [3])</w:t>
            </w:r>
          </w:p>
        </w:tc>
        <w:tc>
          <w:tcPr>
            <w:tcW w:w="1560" w:type="dxa"/>
          </w:tcPr>
          <w:p w14:paraId="3353BF92"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 xml:space="preserve"> Całe podłoże</w:t>
            </w:r>
          </w:p>
        </w:tc>
        <w:tc>
          <w:tcPr>
            <w:tcW w:w="1984" w:type="dxa"/>
          </w:tcPr>
          <w:p w14:paraId="2EE91BDB"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Wg SST [3]</w:t>
            </w:r>
          </w:p>
        </w:tc>
      </w:tr>
      <w:tr w:rsidR="00423217" w:rsidRPr="00662015" w14:paraId="421125D9" w14:textId="77777777" w:rsidTr="00855929">
        <w:tc>
          <w:tcPr>
            <w:tcW w:w="496" w:type="dxa"/>
          </w:tcPr>
          <w:p w14:paraId="545DF47C"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33792385"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4</w:t>
            </w:r>
          </w:p>
          <w:p w14:paraId="4954836D"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3543" w:type="dxa"/>
          </w:tcPr>
          <w:p w14:paraId="4A42CBD5"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Ew. sprawdzenie uszczelnienia bocznych ścian wycięcia taśmą klejącą asfaltowo-kauczukową (ocena wizualna wg p. 5.7 niniejszej SST)</w:t>
            </w:r>
          </w:p>
        </w:tc>
        <w:tc>
          <w:tcPr>
            <w:tcW w:w="1560" w:type="dxa"/>
          </w:tcPr>
          <w:p w14:paraId="7F927F0B"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3220D2F1"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Wycięte pasy nawierzchni</w:t>
            </w:r>
          </w:p>
        </w:tc>
        <w:tc>
          <w:tcPr>
            <w:tcW w:w="1984" w:type="dxa"/>
          </w:tcPr>
          <w:p w14:paraId="30492A77"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01EED294"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Wg  p. 5.7</w:t>
            </w:r>
          </w:p>
        </w:tc>
      </w:tr>
      <w:tr w:rsidR="00423217" w:rsidRPr="00662015" w14:paraId="5CE7E263" w14:textId="77777777" w:rsidTr="00855929">
        <w:tc>
          <w:tcPr>
            <w:tcW w:w="496" w:type="dxa"/>
          </w:tcPr>
          <w:p w14:paraId="26E5C483"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5</w:t>
            </w:r>
          </w:p>
        </w:tc>
        <w:tc>
          <w:tcPr>
            <w:tcW w:w="3543" w:type="dxa"/>
          </w:tcPr>
          <w:p w14:paraId="57B0956D"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Badanie ułożenia geosiatki (ocena wizualna wg p. 5.6 niniejszej SST)</w:t>
            </w:r>
          </w:p>
        </w:tc>
        <w:tc>
          <w:tcPr>
            <w:tcW w:w="1560" w:type="dxa"/>
          </w:tcPr>
          <w:p w14:paraId="2C616D83"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Cała siatka</w:t>
            </w:r>
          </w:p>
        </w:tc>
        <w:tc>
          <w:tcPr>
            <w:tcW w:w="1984" w:type="dxa"/>
          </w:tcPr>
          <w:p w14:paraId="30B2F82F"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 xml:space="preserve"> Wg p. 5.6</w:t>
            </w:r>
          </w:p>
        </w:tc>
      </w:tr>
      <w:tr w:rsidR="00423217" w:rsidRPr="00662015" w14:paraId="6C1760D7" w14:textId="77777777" w:rsidTr="00855929">
        <w:tc>
          <w:tcPr>
            <w:tcW w:w="496" w:type="dxa"/>
          </w:tcPr>
          <w:p w14:paraId="46E4DC76"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54EA754E"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41A31464"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6</w:t>
            </w:r>
          </w:p>
        </w:tc>
        <w:tc>
          <w:tcPr>
            <w:tcW w:w="3543" w:type="dxa"/>
          </w:tcPr>
          <w:p w14:paraId="28521F1D"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Badanie warstwy lub warstw nawierzchni asfaltowej (wg odpowiedniej SST</w:t>
            </w:r>
          </w:p>
        </w:tc>
        <w:tc>
          <w:tcPr>
            <w:tcW w:w="1560" w:type="dxa"/>
          </w:tcPr>
          <w:p w14:paraId="71806CC1"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 xml:space="preserve"> Wg odpowiedniej SST, np. </w:t>
            </w:r>
          </w:p>
          <w:p w14:paraId="66D9246B"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D-05.03.05 [7], D-itp.</w:t>
            </w:r>
          </w:p>
        </w:tc>
        <w:tc>
          <w:tcPr>
            <w:tcW w:w="1984" w:type="dxa"/>
          </w:tcPr>
          <w:p w14:paraId="335703E6"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 xml:space="preserve">Wg odpowiedniej SST, np. </w:t>
            </w:r>
          </w:p>
          <w:p w14:paraId="2C3D5F07"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 xml:space="preserve">D-05.03.05 [7], </w:t>
            </w:r>
          </w:p>
          <w:p w14:paraId="49736C87"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 xml:space="preserve">itp. </w:t>
            </w:r>
          </w:p>
        </w:tc>
      </w:tr>
    </w:tbl>
    <w:p w14:paraId="57EB043A" w14:textId="77777777" w:rsidR="00423217" w:rsidRPr="00662015" w:rsidRDefault="00423217" w:rsidP="0042321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662015">
        <w:rPr>
          <w:rFonts w:ascii="Arial Narrow" w:eastAsia="Times New Roman" w:hAnsi="Arial Narrow" w:cs="Times New Roman"/>
          <w:b/>
          <w:caps/>
          <w:kern w:val="28"/>
          <w:sz w:val="28"/>
          <w:szCs w:val="20"/>
          <w:lang w:val="x-none" w:eastAsia="x-none"/>
        </w:rPr>
        <w:t xml:space="preserve"> 8. odbiór robót</w:t>
      </w:r>
    </w:p>
    <w:p w14:paraId="6E0E031A" w14:textId="77777777" w:rsidR="00423217" w:rsidRPr="00662015" w:rsidRDefault="00423217" w:rsidP="00423217">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8.1. Ogólne zasady odbioru robót</w:t>
      </w:r>
    </w:p>
    <w:p w14:paraId="2A99FB13"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Ogólne zasady odbioru robót podano w SST  D-M-00.00.00 „Wymagania ogólne” [1] pkt 8.</w:t>
      </w:r>
    </w:p>
    <w:p w14:paraId="7041E0D7"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Roboty uznaje się za wykonane zgodnie z dokumentacją projektową, SST i wymaganiami Inżyniera, jeżeli wszystkie pomiary i badania z zachowaniem tolerancji według pktu 6 dały wyniki pozytywne.</w:t>
      </w:r>
    </w:p>
    <w:p w14:paraId="2A5B8940" w14:textId="77777777" w:rsidR="00423217" w:rsidRPr="00662015" w:rsidRDefault="00423217" w:rsidP="00423217">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8.2. Odbiór robót zanikających i ulegających  zakryciu</w:t>
      </w:r>
    </w:p>
    <w:p w14:paraId="14AD1A85"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Odbiorowi robót zanikających i ulegających zakryciu podlegają:</w:t>
      </w:r>
    </w:p>
    <w:p w14:paraId="4FDF119E"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przygotowanie uszkodzonego miejsca nawierzchni (obcięcie krawędzi, oczyszczenie dna i krawędzi, usunięcie wody),</w:t>
      </w:r>
    </w:p>
    <w:p w14:paraId="3BB3C82B"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wypełnienie spękań w istniejącej nawierzchni i równość podłoża,</w:t>
      </w:r>
    </w:p>
    <w:p w14:paraId="7B12F76E"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skropienie lepiszczem podłoża,</w:t>
      </w:r>
    </w:p>
    <w:p w14:paraId="21AB20B0"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ew. przyklejenie taśm kauczukowo-asfaltowych,</w:t>
      </w:r>
    </w:p>
    <w:p w14:paraId="3D11BECE"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rozłożenie geosiatki bez fałd z przymocowaniem do podłoża i wycięciem otworów na studzienki.</w:t>
      </w:r>
    </w:p>
    <w:p w14:paraId="6CD1A785" w14:textId="77777777" w:rsidR="00423217" w:rsidRPr="00662015" w:rsidRDefault="00423217" w:rsidP="00423217">
      <w:pPr>
        <w:keepNext/>
        <w:keepLines/>
        <w:numPr>
          <w:ilvl w:val="12"/>
          <w:numId w:val="0"/>
        </w:numPr>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662015">
        <w:rPr>
          <w:rFonts w:ascii="Arial Narrow" w:eastAsia="Times New Roman" w:hAnsi="Arial Narrow" w:cs="Times New Roman"/>
          <w:b/>
          <w:caps/>
          <w:kern w:val="28"/>
          <w:sz w:val="28"/>
          <w:szCs w:val="20"/>
          <w:lang w:val="x-none" w:eastAsia="x-none"/>
        </w:rPr>
        <w:t>9. podstawa płatności</w:t>
      </w:r>
    </w:p>
    <w:p w14:paraId="42148C7B" w14:textId="77777777" w:rsidR="00423217" w:rsidRPr="00662015" w:rsidRDefault="00423217" w:rsidP="00423217">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9.1. Ogólne ustalenia dotyczące podstawy płatności</w:t>
      </w:r>
    </w:p>
    <w:p w14:paraId="295E2B91"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Ogólne ustalenia dotyczące podstawy płatności podano w SST D-M-00.00.00 „Wymagania ogólne” [1] pkt 9.</w:t>
      </w:r>
    </w:p>
    <w:p w14:paraId="1CBA2E33" w14:textId="77777777" w:rsidR="00423217" w:rsidRPr="00662015" w:rsidRDefault="00423217" w:rsidP="00423217">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9.2. Cena jednostki obmiarowej</w:t>
      </w:r>
    </w:p>
    <w:p w14:paraId="2D8B09CF" w14:textId="77777777" w:rsidR="00423217" w:rsidRPr="00662015" w:rsidRDefault="00423217" w:rsidP="0042321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Cena wykonania 1 m</w:t>
      </w:r>
      <w:r w:rsidRPr="00662015">
        <w:rPr>
          <w:rFonts w:ascii="Arial Narrow" w:eastAsia="Times New Roman" w:hAnsi="Arial Narrow" w:cs="Times New Roman"/>
          <w:sz w:val="20"/>
          <w:szCs w:val="20"/>
          <w:vertAlign w:val="superscript"/>
          <w:lang w:eastAsia="pl-PL"/>
        </w:rPr>
        <w:t>2</w:t>
      </w:r>
      <w:r w:rsidRPr="00662015">
        <w:rPr>
          <w:rFonts w:ascii="Arial Narrow" w:eastAsia="Times New Roman" w:hAnsi="Arial Narrow" w:cs="Times New Roman"/>
          <w:sz w:val="20"/>
          <w:szCs w:val="20"/>
          <w:lang w:eastAsia="pl-PL"/>
        </w:rPr>
        <w:t xml:space="preserve"> nawierzchni asfaltowej z geosiatką obejmuje:</w:t>
      </w:r>
    </w:p>
    <w:p w14:paraId="4A041547"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prace pomiarowe i roboty przygotowawcze,</w:t>
      </w:r>
    </w:p>
    <w:p w14:paraId="19B11EC9"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lastRenderedPageBreak/>
        <w:t>oznakowanie robót,</w:t>
      </w:r>
    </w:p>
    <w:p w14:paraId="3AF6BE44"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dostarczenie materiałów i sprzętu na budowę,</w:t>
      </w:r>
    </w:p>
    <w:p w14:paraId="26EE07DA"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wykonanie nawierzchni zgodnie z dokumentacją projektową, SST i ewentualnie zaleceniami Inżyniera, obejmującej roboty rozbiórkowe, wypełnienie spękań, oczyszczenie podłoża, skropienie lepiszczem, rozłożenie geosiatki, ułożenie nawierzchni asfaltowej, itp.,</w:t>
      </w:r>
    </w:p>
    <w:p w14:paraId="14B0052C"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pomiary i badania laboratoryjne,</w:t>
      </w:r>
    </w:p>
    <w:p w14:paraId="3FC32DB2" w14:textId="77777777" w:rsidR="00423217" w:rsidRPr="00662015" w:rsidRDefault="00423217" w:rsidP="00423217">
      <w:pPr>
        <w:spacing w:after="0" w:line="240" w:lineRule="auto"/>
        <w:ind w:left="1069" w:hanging="360"/>
        <w:outlineLvl w:val="7"/>
        <w:rPr>
          <w:rFonts w:ascii="Arial Narrow" w:eastAsia="Times New Roman" w:hAnsi="Arial Narrow" w:cs="Times New Roman"/>
          <w:sz w:val="20"/>
          <w:szCs w:val="20"/>
          <w:lang w:val="x-none" w:eastAsia="x-none"/>
        </w:rPr>
      </w:pPr>
      <w:r w:rsidRPr="00662015">
        <w:rPr>
          <w:rFonts w:ascii="Arial Narrow" w:eastAsia="Times New Roman" w:hAnsi="Arial Narrow" w:cs="Times New Roman"/>
          <w:sz w:val="20"/>
          <w:szCs w:val="20"/>
          <w:lang w:val="x-none" w:eastAsia="x-none"/>
        </w:rPr>
        <w:t>odtransportowanie sprzętu z placu budowy.</w:t>
      </w:r>
    </w:p>
    <w:p w14:paraId="3DBCCECB" w14:textId="77777777" w:rsidR="00423217" w:rsidRPr="00662015" w:rsidRDefault="00423217" w:rsidP="0042321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662015">
        <w:rPr>
          <w:rFonts w:ascii="Arial Narrow" w:eastAsia="Times New Roman" w:hAnsi="Arial Narrow" w:cs="Times New Roman"/>
          <w:b/>
          <w:caps/>
          <w:kern w:val="28"/>
          <w:sz w:val="28"/>
          <w:szCs w:val="20"/>
          <w:lang w:val="x-none" w:eastAsia="x-none"/>
        </w:rPr>
        <w:t>10. przepisy związane</w:t>
      </w:r>
    </w:p>
    <w:p w14:paraId="0F562661"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10.1. Ogólne specyfikacje techniczne (SST)</w:t>
      </w:r>
    </w:p>
    <w:tbl>
      <w:tblPr>
        <w:tblW w:w="0" w:type="auto"/>
        <w:tblLayout w:type="fixed"/>
        <w:tblCellMar>
          <w:left w:w="70" w:type="dxa"/>
          <w:right w:w="70" w:type="dxa"/>
        </w:tblCellMar>
        <w:tblLook w:val="0000" w:firstRow="0" w:lastRow="0" w:firstColumn="0" w:lastColumn="0" w:noHBand="0" w:noVBand="0"/>
      </w:tblPr>
      <w:tblGrid>
        <w:gridCol w:w="496"/>
        <w:gridCol w:w="1945"/>
        <w:gridCol w:w="5069"/>
      </w:tblGrid>
      <w:tr w:rsidR="00423217" w:rsidRPr="00662015" w14:paraId="52F6333D" w14:textId="77777777" w:rsidTr="00855929">
        <w:tc>
          <w:tcPr>
            <w:tcW w:w="496" w:type="dxa"/>
          </w:tcPr>
          <w:p w14:paraId="770B088A"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1.</w:t>
            </w:r>
          </w:p>
        </w:tc>
        <w:tc>
          <w:tcPr>
            <w:tcW w:w="1945" w:type="dxa"/>
          </w:tcPr>
          <w:p w14:paraId="7D5383E6"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D-M-00.00.00</w:t>
            </w:r>
          </w:p>
        </w:tc>
        <w:tc>
          <w:tcPr>
            <w:tcW w:w="5069" w:type="dxa"/>
          </w:tcPr>
          <w:p w14:paraId="07F812CF"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Wymagania ogólne</w:t>
            </w:r>
          </w:p>
        </w:tc>
      </w:tr>
      <w:tr w:rsidR="00423217" w:rsidRPr="00662015" w14:paraId="7EE70AEB" w14:textId="77777777" w:rsidTr="00855929">
        <w:tc>
          <w:tcPr>
            <w:tcW w:w="496" w:type="dxa"/>
          </w:tcPr>
          <w:p w14:paraId="4A189329"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2.</w:t>
            </w:r>
          </w:p>
        </w:tc>
        <w:tc>
          <w:tcPr>
            <w:tcW w:w="1945" w:type="dxa"/>
          </w:tcPr>
          <w:p w14:paraId="2BD26A3B"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D-01.02.04</w:t>
            </w:r>
          </w:p>
        </w:tc>
        <w:tc>
          <w:tcPr>
            <w:tcW w:w="5069" w:type="dxa"/>
          </w:tcPr>
          <w:p w14:paraId="42422736"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Rozbiórka elementów dróg, ogrodzeń i przepustów (podspecyfikacja w zbiorze D-01.00.00 Roboty przygotowawcze)</w:t>
            </w:r>
          </w:p>
        </w:tc>
      </w:tr>
      <w:tr w:rsidR="00423217" w:rsidRPr="00662015" w14:paraId="6990CC56" w14:textId="77777777" w:rsidTr="00855929">
        <w:tc>
          <w:tcPr>
            <w:tcW w:w="496" w:type="dxa"/>
          </w:tcPr>
          <w:p w14:paraId="009AE471"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3.</w:t>
            </w:r>
          </w:p>
        </w:tc>
        <w:tc>
          <w:tcPr>
            <w:tcW w:w="1945" w:type="dxa"/>
          </w:tcPr>
          <w:p w14:paraId="513A7B52"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D-04.03.01</w:t>
            </w:r>
          </w:p>
        </w:tc>
        <w:tc>
          <w:tcPr>
            <w:tcW w:w="5069" w:type="dxa"/>
          </w:tcPr>
          <w:p w14:paraId="4B99E270"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Oczyszczenie i skropienie warstw konstrukcyjnych (podspecyfikacja w zbiorze D-04.01.01</w:t>
            </w:r>
            <w:r w:rsidRPr="00662015">
              <w:rPr>
                <w:rFonts w:ascii="Arial Narrow" w:eastAsia="Times New Roman" w:hAnsi="Arial Narrow" w:cs="Times New Roman"/>
                <w:sz w:val="20"/>
              </w:rPr>
              <w:sym w:font="Symbol" w:char="F0B8"/>
            </w:r>
            <w:r w:rsidRPr="00662015">
              <w:rPr>
                <w:rFonts w:ascii="Arial Narrow" w:eastAsia="Times New Roman" w:hAnsi="Arial Narrow" w:cs="Times New Roman"/>
                <w:sz w:val="20"/>
              </w:rPr>
              <w:t>04.03.01 Dolne warstwy podbudów oraz oczyszczenie i skropienie)</w:t>
            </w:r>
          </w:p>
        </w:tc>
      </w:tr>
      <w:tr w:rsidR="00423217" w:rsidRPr="00662015" w14:paraId="7E4A0CC4" w14:textId="77777777" w:rsidTr="00855929">
        <w:tc>
          <w:tcPr>
            <w:tcW w:w="496" w:type="dxa"/>
          </w:tcPr>
          <w:p w14:paraId="72FBDD6D"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4.</w:t>
            </w:r>
          </w:p>
        </w:tc>
        <w:tc>
          <w:tcPr>
            <w:tcW w:w="1945" w:type="dxa"/>
          </w:tcPr>
          <w:p w14:paraId="436A84CD"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D-04.04.00</w:t>
            </w:r>
            <w:r w:rsidRPr="00662015">
              <w:rPr>
                <w:rFonts w:ascii="Arial Narrow" w:eastAsia="Times New Roman" w:hAnsi="Arial Narrow" w:cs="Times New Roman"/>
                <w:sz w:val="20"/>
              </w:rPr>
              <w:sym w:font="Symbol" w:char="F0B8"/>
            </w:r>
            <w:r w:rsidRPr="00662015">
              <w:rPr>
                <w:rFonts w:ascii="Arial Narrow" w:eastAsia="Times New Roman" w:hAnsi="Arial Narrow" w:cs="Times New Roman"/>
                <w:sz w:val="20"/>
              </w:rPr>
              <w:t>04.04.03</w:t>
            </w:r>
          </w:p>
        </w:tc>
        <w:tc>
          <w:tcPr>
            <w:tcW w:w="5069" w:type="dxa"/>
          </w:tcPr>
          <w:p w14:paraId="68757D05"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Podbudowy z kruszywa stabilizowanego mechanicznie</w:t>
            </w:r>
          </w:p>
        </w:tc>
      </w:tr>
      <w:tr w:rsidR="00423217" w:rsidRPr="00662015" w14:paraId="57ECEE6E" w14:textId="77777777" w:rsidTr="00855929">
        <w:tc>
          <w:tcPr>
            <w:tcW w:w="496" w:type="dxa"/>
          </w:tcPr>
          <w:p w14:paraId="79D8C73E"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5.</w:t>
            </w:r>
          </w:p>
        </w:tc>
        <w:tc>
          <w:tcPr>
            <w:tcW w:w="1945" w:type="dxa"/>
          </w:tcPr>
          <w:p w14:paraId="0C608219"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D-04.08.01</w:t>
            </w:r>
          </w:p>
        </w:tc>
        <w:tc>
          <w:tcPr>
            <w:tcW w:w="5069" w:type="dxa"/>
          </w:tcPr>
          <w:p w14:paraId="6D6BB433"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Wyrównanie podbudowy mieszankami mineralno-asfaltowymi (podspecyfikacja w zbiorze D-04.08.00 Wyrównanie podbudowy)</w:t>
            </w:r>
          </w:p>
        </w:tc>
      </w:tr>
      <w:tr w:rsidR="00423217" w:rsidRPr="00662015" w14:paraId="2DB461DA" w14:textId="77777777" w:rsidTr="00855929">
        <w:tc>
          <w:tcPr>
            <w:tcW w:w="496" w:type="dxa"/>
          </w:tcPr>
          <w:p w14:paraId="3783CD00"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6.</w:t>
            </w:r>
          </w:p>
        </w:tc>
        <w:tc>
          <w:tcPr>
            <w:tcW w:w="1945" w:type="dxa"/>
          </w:tcPr>
          <w:p w14:paraId="565C4713"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D-05.03.04a</w:t>
            </w:r>
          </w:p>
        </w:tc>
        <w:tc>
          <w:tcPr>
            <w:tcW w:w="5069" w:type="dxa"/>
          </w:tcPr>
          <w:p w14:paraId="2D1F8815"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Wypełnienie szczelin w nawierzchni z betonu cementowego</w:t>
            </w:r>
          </w:p>
        </w:tc>
      </w:tr>
      <w:tr w:rsidR="00423217" w:rsidRPr="00662015" w14:paraId="0024B6BD" w14:textId="77777777" w:rsidTr="00855929">
        <w:tc>
          <w:tcPr>
            <w:tcW w:w="496" w:type="dxa"/>
          </w:tcPr>
          <w:p w14:paraId="7C1AA1F6"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7.</w:t>
            </w:r>
          </w:p>
        </w:tc>
        <w:tc>
          <w:tcPr>
            <w:tcW w:w="1945" w:type="dxa"/>
          </w:tcPr>
          <w:p w14:paraId="24C45C4B"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D-05.03.05</w:t>
            </w:r>
          </w:p>
        </w:tc>
        <w:tc>
          <w:tcPr>
            <w:tcW w:w="5069" w:type="dxa"/>
          </w:tcPr>
          <w:p w14:paraId="1C1581E4"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Nawierzchnia z betonu asfaltowego</w:t>
            </w:r>
          </w:p>
        </w:tc>
      </w:tr>
      <w:tr w:rsidR="00423217" w:rsidRPr="00662015" w14:paraId="5442310A" w14:textId="77777777" w:rsidTr="00855929">
        <w:tc>
          <w:tcPr>
            <w:tcW w:w="496" w:type="dxa"/>
          </w:tcPr>
          <w:p w14:paraId="1B8318E6"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8.</w:t>
            </w:r>
          </w:p>
        </w:tc>
        <w:tc>
          <w:tcPr>
            <w:tcW w:w="1945" w:type="dxa"/>
          </w:tcPr>
          <w:p w14:paraId="0F5EF7CA"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D-05.03.11</w:t>
            </w:r>
          </w:p>
        </w:tc>
        <w:tc>
          <w:tcPr>
            <w:tcW w:w="5069" w:type="dxa"/>
          </w:tcPr>
          <w:p w14:paraId="4954C624"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Recykling (podspecyfikacja „Frezowanie nawierzchni asfaltowych na zimno”)</w:t>
            </w:r>
          </w:p>
        </w:tc>
      </w:tr>
      <w:tr w:rsidR="00423217" w:rsidRPr="00662015" w14:paraId="11DBCCDA" w14:textId="77777777" w:rsidTr="00855929">
        <w:tc>
          <w:tcPr>
            <w:tcW w:w="496" w:type="dxa"/>
          </w:tcPr>
          <w:p w14:paraId="0A601DEF"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9.</w:t>
            </w:r>
          </w:p>
        </w:tc>
        <w:tc>
          <w:tcPr>
            <w:tcW w:w="1945" w:type="dxa"/>
          </w:tcPr>
          <w:p w14:paraId="24691060"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D-05.03.15</w:t>
            </w:r>
          </w:p>
        </w:tc>
        <w:tc>
          <w:tcPr>
            <w:tcW w:w="5069" w:type="dxa"/>
          </w:tcPr>
          <w:p w14:paraId="6DA5EF57"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Naprawa (przez uszczelnienie) podłużnych i poprzecznych spękań nawierzchni bitumicznych</w:t>
            </w:r>
          </w:p>
        </w:tc>
      </w:tr>
      <w:tr w:rsidR="00423217" w:rsidRPr="00662015" w14:paraId="16D04B82" w14:textId="77777777" w:rsidTr="00855929">
        <w:tc>
          <w:tcPr>
            <w:tcW w:w="496" w:type="dxa"/>
          </w:tcPr>
          <w:p w14:paraId="384E7E91"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10.</w:t>
            </w:r>
          </w:p>
        </w:tc>
        <w:tc>
          <w:tcPr>
            <w:tcW w:w="1945" w:type="dxa"/>
          </w:tcPr>
          <w:p w14:paraId="365A636F"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D-05.03.16</w:t>
            </w:r>
          </w:p>
        </w:tc>
        <w:tc>
          <w:tcPr>
            <w:tcW w:w="5069" w:type="dxa"/>
          </w:tcPr>
          <w:p w14:paraId="44A55C3C"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Naprawa (przez uszczelnienie) podłużnych i poprzecznych spękań nawierzchni betonowych</w:t>
            </w:r>
          </w:p>
        </w:tc>
      </w:tr>
      <w:tr w:rsidR="00423217" w:rsidRPr="00662015" w14:paraId="516A7184" w14:textId="77777777" w:rsidTr="00855929">
        <w:tc>
          <w:tcPr>
            <w:tcW w:w="496" w:type="dxa"/>
          </w:tcPr>
          <w:p w14:paraId="4FED684F"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11.</w:t>
            </w:r>
          </w:p>
        </w:tc>
        <w:tc>
          <w:tcPr>
            <w:tcW w:w="1945" w:type="dxa"/>
          </w:tcPr>
          <w:p w14:paraId="61C76D5F"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D-05.03.17</w:t>
            </w:r>
          </w:p>
        </w:tc>
        <w:tc>
          <w:tcPr>
            <w:tcW w:w="5069" w:type="dxa"/>
          </w:tcPr>
          <w:p w14:paraId="3ABBCB13"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Remont cząstkowy nawierzchni bitumicznych</w:t>
            </w:r>
          </w:p>
        </w:tc>
      </w:tr>
      <w:tr w:rsidR="00423217" w:rsidRPr="00662015" w14:paraId="3EE1D673" w14:textId="77777777" w:rsidTr="00855929">
        <w:tc>
          <w:tcPr>
            <w:tcW w:w="496" w:type="dxa"/>
          </w:tcPr>
          <w:p w14:paraId="7B91B814"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12.</w:t>
            </w:r>
          </w:p>
        </w:tc>
        <w:tc>
          <w:tcPr>
            <w:tcW w:w="1945" w:type="dxa"/>
          </w:tcPr>
          <w:p w14:paraId="204FE362"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D-05.03.18</w:t>
            </w:r>
          </w:p>
        </w:tc>
        <w:tc>
          <w:tcPr>
            <w:tcW w:w="5069" w:type="dxa"/>
          </w:tcPr>
          <w:p w14:paraId="33D2F3DB" w14:textId="77777777" w:rsidR="00423217" w:rsidRPr="00662015" w:rsidRDefault="00423217" w:rsidP="0085592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662015">
              <w:rPr>
                <w:rFonts w:ascii="Arial Narrow" w:eastAsia="Times New Roman" w:hAnsi="Arial Narrow" w:cs="Times New Roman"/>
                <w:sz w:val="20"/>
              </w:rPr>
              <w:t>Remont cząstkowy nawierzchni betonowych</w:t>
            </w:r>
          </w:p>
        </w:tc>
      </w:tr>
    </w:tbl>
    <w:p w14:paraId="78ECD4F6" w14:textId="77777777" w:rsidR="00423217" w:rsidRPr="00662015" w:rsidRDefault="00423217" w:rsidP="0042321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662015">
        <w:rPr>
          <w:rFonts w:ascii="Arial Narrow" w:eastAsia="Times New Roman" w:hAnsi="Arial Narrow" w:cs="Times New Roman"/>
          <w:b/>
          <w:sz w:val="28"/>
          <w:szCs w:val="20"/>
          <w:lang w:val="x-none" w:eastAsia="x-none"/>
        </w:rPr>
        <w:t>10.2. Inne dokumenty</w:t>
      </w:r>
    </w:p>
    <w:p w14:paraId="30B2E3BE" w14:textId="77777777" w:rsidR="00423217" w:rsidRPr="00662015" w:rsidRDefault="00423217" w:rsidP="00AD6DA2">
      <w:pPr>
        <w:numPr>
          <w:ilvl w:val="0"/>
          <w:numId w:val="10"/>
        </w:numPr>
        <w:overflowPunct w:val="0"/>
        <w:autoSpaceDE w:val="0"/>
        <w:autoSpaceDN w:val="0"/>
        <w:adjustRightInd w:val="0"/>
        <w:spacing w:after="0" w:line="240" w:lineRule="auto"/>
        <w:ind w:left="426" w:hanging="426"/>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Tymczasowe wytyczne techniczne. Polimeroasfalty drogowe. TWT-PAD-97. Informacje, instrukcje - zeszyt 54, IBDiM, Warszawa, 1997</w:t>
      </w:r>
    </w:p>
    <w:p w14:paraId="59D7CBF6" w14:textId="77777777" w:rsidR="00423217" w:rsidRPr="00662015" w:rsidRDefault="00423217" w:rsidP="00AD6DA2">
      <w:pPr>
        <w:numPr>
          <w:ilvl w:val="0"/>
          <w:numId w:val="10"/>
        </w:numPr>
        <w:overflowPunct w:val="0"/>
        <w:autoSpaceDE w:val="0"/>
        <w:autoSpaceDN w:val="0"/>
        <w:adjustRightInd w:val="0"/>
        <w:spacing w:after="0" w:line="240" w:lineRule="auto"/>
        <w:ind w:left="426" w:hanging="426"/>
        <w:jc w:val="both"/>
        <w:textAlignment w:val="baseline"/>
        <w:rPr>
          <w:rFonts w:ascii="Arial Narrow" w:eastAsia="Times New Roman" w:hAnsi="Arial Narrow" w:cs="Times New Roman"/>
          <w:sz w:val="20"/>
          <w:szCs w:val="20"/>
          <w:lang w:eastAsia="pl-PL"/>
        </w:rPr>
      </w:pPr>
      <w:r w:rsidRPr="00662015">
        <w:rPr>
          <w:rFonts w:ascii="Arial Narrow" w:eastAsia="Times New Roman" w:hAnsi="Arial Narrow" w:cs="Times New Roman"/>
          <w:sz w:val="20"/>
          <w:szCs w:val="20"/>
          <w:lang w:eastAsia="pl-PL"/>
        </w:rPr>
        <w:t>Warunki techniczne. Drogowe kationowe emulsje asfaltowe EmA-99. Informacje, instrukcje - zeszyt 60, IBDiM, Warszawa, 1999</w:t>
      </w:r>
    </w:p>
    <w:p w14:paraId="46B87156" w14:textId="77777777" w:rsidR="00423217" w:rsidRPr="00662015" w:rsidRDefault="00423217" w:rsidP="00AD6DA2">
      <w:pPr>
        <w:numPr>
          <w:ilvl w:val="0"/>
          <w:numId w:val="10"/>
        </w:numPr>
        <w:overflowPunct w:val="0"/>
        <w:autoSpaceDE w:val="0"/>
        <w:autoSpaceDN w:val="0"/>
        <w:adjustRightInd w:val="0"/>
        <w:spacing w:after="0" w:line="240" w:lineRule="auto"/>
        <w:ind w:left="426"/>
        <w:jc w:val="both"/>
        <w:textAlignment w:val="baseline"/>
        <w:rPr>
          <w:rFonts w:ascii="Arial Narrow" w:eastAsia="Calibri" w:hAnsi="Arial Narrow" w:cs="Arial"/>
          <w:spacing w:val="-3"/>
          <w:sz w:val="20"/>
        </w:rPr>
      </w:pPr>
      <w:r w:rsidRPr="00662015">
        <w:rPr>
          <w:rFonts w:ascii="Arial Narrow" w:eastAsia="Times New Roman" w:hAnsi="Arial Narrow" w:cs="Times New Roman"/>
          <w:sz w:val="20"/>
          <w:szCs w:val="20"/>
          <w:lang w:eastAsia="pl-PL"/>
        </w:rPr>
        <w:t>Katalog wzmocnień i remontów nawierzchni podatnych i półsztywnych, GDDP - IBDiM, Warszawa, 2001.</w:t>
      </w:r>
    </w:p>
    <w:p w14:paraId="2CE0C955" w14:textId="77777777" w:rsidR="00423217" w:rsidRDefault="00423217" w:rsidP="00423217"/>
    <w:p w14:paraId="4AEB753E" w14:textId="2005D4B5" w:rsidR="00423217" w:rsidRDefault="00423217"/>
    <w:p w14:paraId="1ABDDA61" w14:textId="006F7EAE" w:rsidR="00423217" w:rsidRDefault="00423217"/>
    <w:p w14:paraId="505B789B" w14:textId="602EB045" w:rsidR="00423217" w:rsidRDefault="00423217"/>
    <w:p w14:paraId="7A2D23D3" w14:textId="30C450E9" w:rsidR="00423217" w:rsidRDefault="00423217"/>
    <w:p w14:paraId="7660CCD6" w14:textId="7A9F37E8" w:rsidR="00423217" w:rsidRDefault="00423217"/>
    <w:p w14:paraId="4930BD63" w14:textId="6DDE4D6A" w:rsidR="00423217" w:rsidRDefault="00423217"/>
    <w:p w14:paraId="044CBC2B" w14:textId="27D93F93" w:rsidR="00423217" w:rsidRDefault="00423217"/>
    <w:p w14:paraId="5468C238" w14:textId="23970B57" w:rsidR="00E46BAA" w:rsidRDefault="00E46BAA"/>
    <w:p w14:paraId="749AC06D" w14:textId="40BC7BD9" w:rsidR="00E46BAA" w:rsidRDefault="00E46BAA"/>
    <w:p w14:paraId="19E7FA1E" w14:textId="1A5A1B0A" w:rsidR="00E46BAA" w:rsidRDefault="00E46BAA"/>
    <w:p w14:paraId="0DCC18D1" w14:textId="71361395" w:rsidR="00E46BAA" w:rsidRDefault="00E46BAA"/>
    <w:p w14:paraId="429A3470" w14:textId="4373637F" w:rsidR="00E46BAA" w:rsidRDefault="00E46BAA"/>
    <w:p w14:paraId="3CBCDC59" w14:textId="31D8E19C" w:rsidR="00E46BAA" w:rsidRDefault="00E46BAA"/>
    <w:p w14:paraId="6853E467" w14:textId="77777777" w:rsidR="00E46BAA" w:rsidRDefault="00E46BAA"/>
    <w:p w14:paraId="6C5D8B79" w14:textId="7E22BBF0" w:rsidR="001F4097" w:rsidRPr="001F4097" w:rsidRDefault="001F4097" w:rsidP="001F4097">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bookmarkStart w:id="796" w:name="_Toc58533559"/>
      <w:r w:rsidRPr="001F4097">
        <w:rPr>
          <w:rFonts w:ascii="Arial Narrow" w:eastAsia="Times New Roman" w:hAnsi="Arial Narrow" w:cs="Times New Roman"/>
          <w:b/>
          <w:sz w:val="28"/>
          <w:szCs w:val="20"/>
          <w:lang w:eastAsia="pl-PL"/>
        </w:rPr>
        <w:lastRenderedPageBreak/>
        <w:t>D – 06.02.01a PRZEPUSTY Z RUR HDPE</w:t>
      </w:r>
      <w:bookmarkEnd w:id="796"/>
    </w:p>
    <w:p w14:paraId="5BBCA1D5"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Kod CPV: 45233000-9</w:t>
      </w:r>
    </w:p>
    <w:p w14:paraId="6E995266"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Roboty w zakresie konstruowania, fundamentowania oraz wykonywania nawierzchni autostrad, dróg</w:t>
      </w:r>
    </w:p>
    <w:p w14:paraId="0AFB1416" w14:textId="77777777" w:rsidR="001F4097" w:rsidRPr="001F4097" w:rsidRDefault="001F4097" w:rsidP="001F4097">
      <w:pPr>
        <w:spacing w:after="0" w:line="240" w:lineRule="auto"/>
        <w:ind w:firstLine="454"/>
        <w:jc w:val="center"/>
        <w:rPr>
          <w:rFonts w:ascii="Arial Narrow" w:eastAsia="Calibri" w:hAnsi="Arial Narrow" w:cs="Times New Roman"/>
        </w:rPr>
      </w:pPr>
    </w:p>
    <w:p w14:paraId="5D3E3B60" w14:textId="77777777" w:rsidR="001F4097" w:rsidRPr="001F4097" w:rsidRDefault="001F4097" w:rsidP="001F409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1F4097">
        <w:rPr>
          <w:rFonts w:ascii="Arial Narrow" w:eastAsia="Times New Roman" w:hAnsi="Arial Narrow" w:cs="Times New Roman"/>
          <w:b/>
          <w:caps/>
          <w:kern w:val="28"/>
          <w:sz w:val="28"/>
          <w:szCs w:val="20"/>
          <w:lang w:eastAsia="x-none"/>
        </w:rPr>
        <w:t xml:space="preserve">1. </w:t>
      </w:r>
      <w:r w:rsidRPr="001F4097">
        <w:rPr>
          <w:rFonts w:ascii="Arial Narrow" w:eastAsia="Times New Roman" w:hAnsi="Arial Narrow" w:cs="Times New Roman"/>
          <w:b/>
          <w:caps/>
          <w:kern w:val="28"/>
          <w:sz w:val="28"/>
          <w:szCs w:val="20"/>
          <w:lang w:val="x-none" w:eastAsia="x-none"/>
        </w:rPr>
        <w:t>wstęp</w:t>
      </w:r>
    </w:p>
    <w:p w14:paraId="3778B23C"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F4097">
        <w:rPr>
          <w:rFonts w:ascii="Arial Narrow" w:eastAsia="Times New Roman" w:hAnsi="Arial Narrow" w:cs="Times New Roman"/>
          <w:b/>
          <w:sz w:val="28"/>
          <w:szCs w:val="20"/>
          <w:lang w:eastAsia="x-none"/>
        </w:rPr>
        <w:t xml:space="preserve">1.1 </w:t>
      </w:r>
      <w:r w:rsidRPr="001F4097">
        <w:rPr>
          <w:rFonts w:ascii="Arial Narrow" w:eastAsia="Times New Roman" w:hAnsi="Arial Narrow" w:cs="Times New Roman"/>
          <w:b/>
          <w:sz w:val="28"/>
          <w:szCs w:val="20"/>
          <w:lang w:val="x-none" w:eastAsia="x-none"/>
        </w:rPr>
        <w:t>Przedmiot STWiORB</w:t>
      </w:r>
    </w:p>
    <w:p w14:paraId="2C5A71E7" w14:textId="1590EF62" w:rsidR="001F4097" w:rsidRPr="001F4097" w:rsidRDefault="001F4097" w:rsidP="001F4097">
      <w:pPr>
        <w:spacing w:after="0" w:line="240" w:lineRule="auto"/>
        <w:ind w:firstLine="454"/>
        <w:jc w:val="both"/>
        <w:rPr>
          <w:rFonts w:ascii="Arial Narrow" w:eastAsia="Calibri" w:hAnsi="Arial Narrow" w:cs="Times New Roman"/>
          <w:sz w:val="20"/>
        </w:rPr>
      </w:pPr>
      <w:r w:rsidRPr="001F4097">
        <w:rPr>
          <w:rFonts w:ascii="Arial Narrow" w:eastAsia="Times New Roman" w:hAnsi="Arial Narrow" w:cs="Times New Roman"/>
          <w:sz w:val="20"/>
          <w:szCs w:val="20"/>
          <w:lang w:eastAsia="pl-PL"/>
        </w:rPr>
        <w:t>Przedmiotem niniejszej szczegółowej specyfikacji technicznej (SST) są wymagania dotyczące wykonania i odbioru robót związanych wykonywaniem przepustów z rur hdpe</w:t>
      </w:r>
      <w:r w:rsidRPr="001F4097">
        <w:rPr>
          <w:rFonts w:ascii="Arial Narrow" w:eastAsia="Calibri" w:hAnsi="Arial Narrow" w:cs="Times New Roman"/>
          <w:sz w:val="20"/>
        </w:rPr>
        <w:t>.</w:t>
      </w:r>
    </w:p>
    <w:p w14:paraId="24D0770C"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F4097">
        <w:rPr>
          <w:rFonts w:ascii="Arial Narrow" w:eastAsia="Times New Roman" w:hAnsi="Arial Narrow" w:cs="Times New Roman"/>
          <w:b/>
          <w:sz w:val="28"/>
          <w:szCs w:val="20"/>
          <w:lang w:eastAsia="x-none"/>
        </w:rPr>
        <w:t xml:space="preserve">1.2 </w:t>
      </w:r>
      <w:r w:rsidRPr="001F4097">
        <w:rPr>
          <w:rFonts w:ascii="Arial Narrow" w:eastAsia="Times New Roman" w:hAnsi="Arial Narrow" w:cs="Times New Roman"/>
          <w:b/>
          <w:sz w:val="28"/>
          <w:szCs w:val="20"/>
          <w:lang w:val="x-none" w:eastAsia="x-none"/>
        </w:rPr>
        <w:t>Zakres stosowania STWiORB</w:t>
      </w:r>
    </w:p>
    <w:p w14:paraId="6C73CFD0" w14:textId="77777777" w:rsidR="001F4097" w:rsidRPr="001F4097" w:rsidRDefault="001F4097" w:rsidP="001F4097">
      <w:pPr>
        <w:tabs>
          <w:tab w:val="left" w:pos="-1440"/>
          <w:tab w:val="left" w:pos="-720"/>
          <w:tab w:val="left" w:pos="0"/>
        </w:tabs>
        <w:spacing w:after="0" w:line="240" w:lineRule="auto"/>
        <w:ind w:firstLine="454"/>
        <w:jc w:val="both"/>
        <w:rPr>
          <w:rFonts w:ascii="Arial Narrow" w:eastAsia="Calibri" w:hAnsi="Arial Narrow" w:cs="Arial"/>
          <w:spacing w:val="-3"/>
          <w:sz w:val="20"/>
        </w:rPr>
      </w:pPr>
      <w:r w:rsidRPr="001F4097">
        <w:rPr>
          <w:rFonts w:ascii="Arial Narrow" w:eastAsia="Calibri" w:hAnsi="Arial Narrow" w:cs="Arial"/>
          <w:sz w:val="20"/>
        </w:rPr>
        <w:t xml:space="preserve">Specyfikacje Techniczne Wykonania i Odbioru Robót Budowlanych </w:t>
      </w:r>
      <w:r w:rsidRPr="001F4097">
        <w:rPr>
          <w:rFonts w:ascii="Arial Narrow" w:eastAsia="Calibri" w:hAnsi="Arial Narrow" w:cs="Arial"/>
          <w:spacing w:val="-3"/>
          <w:sz w:val="20"/>
        </w:rPr>
        <w:t>stanowią Dokument Przetargowy i Kontraktowy przy zlecaniu i realizacji robót na drogach wojewódzkich zarządzanych przez Zarząd Dróg Wojewódzkich w Bydgoszczy.</w:t>
      </w:r>
    </w:p>
    <w:p w14:paraId="31F85134"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97" w:name="_Toc495830444"/>
      <w:r w:rsidRPr="001F4097">
        <w:rPr>
          <w:rFonts w:ascii="Arial Narrow" w:eastAsia="Times New Roman" w:hAnsi="Arial Narrow" w:cs="Times New Roman"/>
          <w:b/>
          <w:sz w:val="28"/>
          <w:szCs w:val="20"/>
          <w:lang w:val="x-none" w:eastAsia="x-none"/>
        </w:rPr>
        <w:t xml:space="preserve">1.3. Zakres robót objętych </w:t>
      </w:r>
      <w:bookmarkEnd w:id="797"/>
      <w:r w:rsidRPr="001F4097">
        <w:rPr>
          <w:rFonts w:ascii="Arial Narrow" w:eastAsia="Times New Roman" w:hAnsi="Arial Narrow" w:cs="Times New Roman"/>
          <w:b/>
          <w:sz w:val="28"/>
          <w:szCs w:val="20"/>
          <w:lang w:val="x-none" w:eastAsia="x-none"/>
        </w:rPr>
        <w:t>STWiORB</w:t>
      </w:r>
    </w:p>
    <w:p w14:paraId="1E500E6F"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Ustalenia zawarte w niniejszej specyfikacji dotyczą zasad prowadzenia robót związanych z wykonaniem i odbiorem przepustu rurowego.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1961"/>
        <w:gridCol w:w="1962"/>
        <w:gridCol w:w="1962"/>
      </w:tblGrid>
      <w:tr w:rsidR="001F4097" w:rsidRPr="001F4097" w14:paraId="53301A69" w14:textId="77777777" w:rsidTr="00855929">
        <w:tc>
          <w:tcPr>
            <w:tcW w:w="534" w:type="dxa"/>
            <w:shd w:val="clear" w:color="auto" w:fill="auto"/>
          </w:tcPr>
          <w:p w14:paraId="00468A4D" w14:textId="77777777" w:rsidR="001F4097" w:rsidRPr="001F4097" w:rsidRDefault="001F4097" w:rsidP="001F409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Lp</w:t>
            </w:r>
          </w:p>
        </w:tc>
        <w:tc>
          <w:tcPr>
            <w:tcW w:w="1961" w:type="dxa"/>
            <w:shd w:val="clear" w:color="auto" w:fill="auto"/>
          </w:tcPr>
          <w:p w14:paraId="2D345483" w14:textId="77777777" w:rsidR="001F4097" w:rsidRPr="001F4097" w:rsidRDefault="001F4097" w:rsidP="001F409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Materiał</w:t>
            </w:r>
          </w:p>
        </w:tc>
        <w:tc>
          <w:tcPr>
            <w:tcW w:w="1962" w:type="dxa"/>
            <w:shd w:val="clear" w:color="auto" w:fill="auto"/>
          </w:tcPr>
          <w:p w14:paraId="4B9AE355" w14:textId="687F27EC" w:rsidR="001F4097" w:rsidRPr="001F4097" w:rsidRDefault="001F4097" w:rsidP="001F409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Średnica wewnętrzna</w:t>
            </w:r>
            <w:r w:rsidR="00B067F8">
              <w:rPr>
                <w:rFonts w:ascii="Arial Narrow" w:eastAsia="Times New Roman" w:hAnsi="Arial Narrow" w:cs="Times New Roman"/>
                <w:sz w:val="20"/>
                <w:szCs w:val="20"/>
                <w:lang w:eastAsia="pl-PL"/>
              </w:rPr>
              <w:t xml:space="preserve"> [mm]</w:t>
            </w:r>
          </w:p>
        </w:tc>
        <w:tc>
          <w:tcPr>
            <w:tcW w:w="1962" w:type="dxa"/>
            <w:shd w:val="clear" w:color="auto" w:fill="auto"/>
          </w:tcPr>
          <w:p w14:paraId="10100F85" w14:textId="77777777" w:rsidR="001F4097" w:rsidRPr="001F4097" w:rsidRDefault="001F4097" w:rsidP="001F409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Miejsce wbudowania</w:t>
            </w:r>
          </w:p>
        </w:tc>
      </w:tr>
      <w:tr w:rsidR="001F4097" w:rsidRPr="001F4097" w14:paraId="1316C2CC" w14:textId="77777777" w:rsidTr="00855929">
        <w:tc>
          <w:tcPr>
            <w:tcW w:w="534" w:type="dxa"/>
            <w:shd w:val="clear" w:color="auto" w:fill="auto"/>
          </w:tcPr>
          <w:p w14:paraId="777217B7" w14:textId="77777777" w:rsidR="001F4097" w:rsidRPr="001F4097" w:rsidRDefault="001F4097" w:rsidP="001F409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1</w:t>
            </w:r>
          </w:p>
        </w:tc>
        <w:tc>
          <w:tcPr>
            <w:tcW w:w="1961" w:type="dxa"/>
            <w:shd w:val="clear" w:color="auto" w:fill="BF8F00"/>
          </w:tcPr>
          <w:p w14:paraId="6F04C50F" w14:textId="77777777" w:rsidR="001F4097" w:rsidRPr="001F4097" w:rsidRDefault="001F4097" w:rsidP="001F409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HDPE</w:t>
            </w:r>
          </w:p>
        </w:tc>
        <w:tc>
          <w:tcPr>
            <w:tcW w:w="1962" w:type="dxa"/>
            <w:shd w:val="clear" w:color="auto" w:fill="BF8F00"/>
          </w:tcPr>
          <w:p w14:paraId="2508BAC6" w14:textId="77777777" w:rsidR="001F4097" w:rsidRPr="001F4097" w:rsidRDefault="001F4097" w:rsidP="001F409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400</w:t>
            </w:r>
          </w:p>
        </w:tc>
        <w:tc>
          <w:tcPr>
            <w:tcW w:w="1962" w:type="dxa"/>
            <w:shd w:val="clear" w:color="auto" w:fill="BF8F00"/>
          </w:tcPr>
          <w:p w14:paraId="5AF20E2D" w14:textId="284E6FB7" w:rsidR="001F4097" w:rsidRPr="001F4097" w:rsidRDefault="001F4097" w:rsidP="001F4097">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Zjazdy indywidualn</w:t>
            </w:r>
            <w:r w:rsidR="0024768B">
              <w:rPr>
                <w:rFonts w:ascii="Arial Narrow" w:eastAsia="Times New Roman" w:hAnsi="Arial Narrow" w:cs="Times New Roman"/>
                <w:sz w:val="20"/>
                <w:szCs w:val="20"/>
                <w:lang w:eastAsia="pl-PL"/>
              </w:rPr>
              <w:t>e i rów kryty</w:t>
            </w:r>
          </w:p>
        </w:tc>
      </w:tr>
    </w:tbl>
    <w:p w14:paraId="6B3BB58B"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6CB0807E"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98" w:name="_Toc495830445"/>
      <w:r w:rsidRPr="001F4097">
        <w:rPr>
          <w:rFonts w:ascii="Arial Narrow" w:eastAsia="Times New Roman" w:hAnsi="Arial Narrow" w:cs="Times New Roman"/>
          <w:b/>
          <w:sz w:val="28"/>
          <w:szCs w:val="20"/>
          <w:lang w:val="x-none" w:eastAsia="x-none"/>
        </w:rPr>
        <w:t>1.4. Określenia podstawowe</w:t>
      </w:r>
      <w:bookmarkEnd w:id="798"/>
    </w:p>
    <w:p w14:paraId="4A3E4A4C"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sz w:val="20"/>
          <w:szCs w:val="20"/>
          <w:lang w:eastAsia="pl-PL"/>
        </w:rPr>
      </w:pPr>
      <w:r w:rsidRPr="001F4097">
        <w:rPr>
          <w:rFonts w:ascii="Arial Narrow" w:eastAsia="Times New Roman" w:hAnsi="Arial Narrow" w:cs="Times New Roman"/>
          <w:b/>
          <w:sz w:val="20"/>
          <w:szCs w:val="20"/>
          <w:lang w:eastAsia="pl-PL"/>
        </w:rPr>
        <w:t xml:space="preserve">1.4.1. </w:t>
      </w:r>
      <w:r w:rsidRPr="001F4097">
        <w:rPr>
          <w:rFonts w:ascii="Arial Narrow" w:eastAsia="Times New Roman" w:hAnsi="Arial Narrow" w:cs="Times New Roman"/>
          <w:sz w:val="20"/>
          <w:szCs w:val="20"/>
          <w:lang w:eastAsia="pl-PL"/>
        </w:rPr>
        <w:t>Przepust – obiekt wybudowany w formie zamkniętej</w:t>
      </w:r>
      <w:r w:rsidRPr="001F4097">
        <w:rPr>
          <w:rFonts w:ascii="Arial Narrow" w:eastAsia="Times New Roman" w:hAnsi="Arial Narrow" w:cs="Times New Roman"/>
          <w:b/>
          <w:sz w:val="20"/>
          <w:szCs w:val="20"/>
          <w:lang w:eastAsia="pl-PL"/>
        </w:rPr>
        <w:t xml:space="preserve"> </w:t>
      </w:r>
      <w:r w:rsidRPr="001F4097">
        <w:rPr>
          <w:rFonts w:ascii="Arial Narrow" w:eastAsia="Times New Roman" w:hAnsi="Arial Narrow" w:cs="Times New Roman"/>
          <w:sz w:val="20"/>
          <w:szCs w:val="20"/>
          <w:lang w:eastAsia="pl-PL"/>
        </w:rPr>
        <w:t>obudowy konstrukcyjnej, służący do przepływu małych cieków wodnych pod nasypem korpusu drogowego lub służący do ruchu kołowego i pieszego.</w:t>
      </w:r>
    </w:p>
    <w:p w14:paraId="52B52E6F"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b/>
          <w:sz w:val="20"/>
          <w:szCs w:val="20"/>
          <w:lang w:eastAsia="pl-PL"/>
        </w:rPr>
        <w:t xml:space="preserve">1.4.2. </w:t>
      </w:r>
      <w:r w:rsidRPr="001F4097">
        <w:rPr>
          <w:rFonts w:ascii="Arial Narrow" w:eastAsia="Times New Roman" w:hAnsi="Arial Narrow" w:cs="Times New Roman"/>
          <w:sz w:val="20"/>
          <w:szCs w:val="20"/>
          <w:lang w:eastAsia="pl-PL"/>
        </w:rPr>
        <w:t>Przepust rurowy – przepust, którego konstrukcja nośna wykonana jest z rur.</w:t>
      </w:r>
    </w:p>
    <w:p w14:paraId="0BC33696"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b/>
          <w:sz w:val="20"/>
          <w:szCs w:val="20"/>
          <w:lang w:eastAsia="pl-PL"/>
        </w:rPr>
        <w:t xml:space="preserve">1.4.3. </w:t>
      </w:r>
      <w:r w:rsidRPr="001F4097">
        <w:rPr>
          <w:rFonts w:ascii="Arial Narrow" w:eastAsia="Times New Roman" w:hAnsi="Arial Narrow" w:cs="Times New Roman"/>
          <w:sz w:val="20"/>
          <w:szCs w:val="20"/>
          <w:lang w:eastAsia="pl-PL"/>
        </w:rPr>
        <w:t>Przepust pod zjazdem – przepust (zwykle rurowy) pod urządzonym miejscem dostępu do drogi (zjazdem), uzgodnionym z zarządzającym drogą.</w:t>
      </w:r>
    </w:p>
    <w:p w14:paraId="5B11DF4C"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b/>
          <w:sz w:val="20"/>
          <w:szCs w:val="20"/>
          <w:lang w:eastAsia="pl-PL"/>
        </w:rPr>
        <w:t xml:space="preserve">1.4.4. </w:t>
      </w:r>
      <w:r w:rsidRPr="001F4097">
        <w:rPr>
          <w:rFonts w:ascii="Arial Narrow" w:eastAsia="Times New Roman" w:hAnsi="Arial Narrow" w:cs="Times New Roman"/>
          <w:sz w:val="20"/>
          <w:szCs w:val="20"/>
          <w:lang w:eastAsia="pl-PL"/>
        </w:rPr>
        <w:t>Polietylen HDPE – wysokoudarowa odmiana polietylenu wysokiej gęstości, charakteryzująca się dobrą odpornością na działanie roztworu soli i olejów mineralnych oraz ograniczoną odpornością na benzynę.</w:t>
      </w:r>
    </w:p>
    <w:p w14:paraId="57B05966"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b/>
          <w:sz w:val="20"/>
          <w:szCs w:val="20"/>
          <w:lang w:eastAsia="pl-PL"/>
        </w:rPr>
        <w:t xml:space="preserve">1.4.5. </w:t>
      </w:r>
      <w:r w:rsidRPr="001F4097">
        <w:rPr>
          <w:rFonts w:ascii="Arial Narrow" w:eastAsia="Times New Roman" w:hAnsi="Arial Narrow" w:cs="Times New Roman"/>
          <w:sz w:val="20"/>
          <w:szCs w:val="20"/>
          <w:lang w:eastAsia="pl-PL"/>
        </w:rPr>
        <w:t>Przepust z rur polietylenowych spiralnie karbowanych – przepust rurowy z polietylenu HDPE, którego zewnętrzna powierzchnia rur jest ukształtowana w formie spiralnego karbu o wielkości i skoku zwoju dostosowanego do średnicy rury.</w:t>
      </w:r>
    </w:p>
    <w:p w14:paraId="23628263"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b/>
          <w:sz w:val="20"/>
          <w:szCs w:val="20"/>
          <w:lang w:eastAsia="pl-PL"/>
        </w:rPr>
        <w:t xml:space="preserve">1.4.6. </w:t>
      </w:r>
      <w:r w:rsidRPr="001F4097">
        <w:rPr>
          <w:rFonts w:ascii="Arial Narrow" w:eastAsia="Times New Roman" w:hAnsi="Arial Narrow" w:cs="Times New Roman"/>
          <w:sz w:val="20"/>
          <w:szCs w:val="20"/>
          <w:lang w:eastAsia="pl-PL"/>
        </w:rPr>
        <w:t>Złączka do rur – element służący do połączenia dwóch odcinków rur, przy montażu przepustu.</w:t>
      </w:r>
    </w:p>
    <w:p w14:paraId="1530CBC3"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b/>
          <w:sz w:val="20"/>
          <w:szCs w:val="20"/>
          <w:lang w:eastAsia="pl-PL"/>
        </w:rPr>
        <w:t xml:space="preserve">1.4.7. </w:t>
      </w:r>
      <w:r w:rsidRPr="001F4097">
        <w:rPr>
          <w:rFonts w:ascii="Arial Narrow" w:eastAsia="Times New Roman" w:hAnsi="Arial Narrow" w:cs="Times New Roman"/>
          <w:sz w:val="20"/>
          <w:szCs w:val="20"/>
          <w:lang w:eastAsia="pl-PL"/>
        </w:rPr>
        <w:t>Element zaciskowy – opaska zaciskowa lub śruba zaciskająca złączkę, przy łączeniu dwóch odcinków rur.</w:t>
      </w:r>
    </w:p>
    <w:p w14:paraId="0C05A95F"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b/>
          <w:sz w:val="20"/>
          <w:szCs w:val="20"/>
          <w:lang w:eastAsia="pl-PL"/>
        </w:rPr>
        <w:t xml:space="preserve">1.4.8. </w:t>
      </w:r>
      <w:r w:rsidRPr="001F4097">
        <w:rPr>
          <w:rFonts w:ascii="Arial Narrow" w:eastAsia="Times New Roman" w:hAnsi="Arial Narrow" w:cs="Times New Roman"/>
          <w:sz w:val="20"/>
          <w:szCs w:val="20"/>
          <w:lang w:eastAsia="pl-PL"/>
        </w:rPr>
        <w:t xml:space="preserve">Pozostałe określenia podstawowe są zgodne z obowiązującymi, odpowiednimi polskimi normami i z definicjami podanymi w STWiORB D-M-00.00.00 „Wymagania ogólne” [1]  pkt 1.4. </w:t>
      </w:r>
    </w:p>
    <w:p w14:paraId="503F5776"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799" w:name="_Toc495830446"/>
      <w:r w:rsidRPr="001F4097">
        <w:rPr>
          <w:rFonts w:ascii="Arial Narrow" w:eastAsia="Times New Roman" w:hAnsi="Arial Narrow" w:cs="Times New Roman"/>
          <w:b/>
          <w:sz w:val="28"/>
          <w:szCs w:val="20"/>
          <w:lang w:val="x-none" w:eastAsia="x-none"/>
        </w:rPr>
        <w:t>1.5. Ogólne wymagania dotyczące robót</w:t>
      </w:r>
      <w:bookmarkEnd w:id="799"/>
    </w:p>
    <w:p w14:paraId="290B1B51"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Ogólne wymagania dotyczące robót podano w STWiORB D-M-00.00.00 „Wymagania ogólne” [1] pkt 1.5.</w:t>
      </w:r>
    </w:p>
    <w:p w14:paraId="2A23B6E9" w14:textId="77777777" w:rsidR="001F4097" w:rsidRPr="001F4097" w:rsidRDefault="001F4097" w:rsidP="001F409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00" w:name="_Toc507909780"/>
      <w:bookmarkStart w:id="801" w:name="_Toc507909887"/>
      <w:bookmarkStart w:id="802" w:name="_Toc138042846"/>
      <w:bookmarkStart w:id="803" w:name="_Toc179178831"/>
      <w:bookmarkStart w:id="804" w:name="_Toc495830447"/>
      <w:r w:rsidRPr="001F4097">
        <w:rPr>
          <w:rFonts w:ascii="Arial Narrow" w:eastAsia="Times New Roman" w:hAnsi="Arial Narrow" w:cs="Times New Roman"/>
          <w:b/>
          <w:caps/>
          <w:kern w:val="28"/>
          <w:sz w:val="28"/>
          <w:szCs w:val="20"/>
          <w:lang w:val="x-none" w:eastAsia="x-none"/>
        </w:rPr>
        <w:t>2. materiały</w:t>
      </w:r>
      <w:bookmarkEnd w:id="800"/>
      <w:bookmarkEnd w:id="801"/>
      <w:bookmarkEnd w:id="802"/>
      <w:bookmarkEnd w:id="803"/>
      <w:bookmarkEnd w:id="804"/>
    </w:p>
    <w:p w14:paraId="372CE33C"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05" w:name="_Toc495830448"/>
      <w:r w:rsidRPr="001F4097">
        <w:rPr>
          <w:rFonts w:ascii="Arial Narrow" w:eastAsia="Times New Roman" w:hAnsi="Arial Narrow" w:cs="Times New Roman"/>
          <w:b/>
          <w:sz w:val="28"/>
          <w:szCs w:val="20"/>
          <w:lang w:val="x-none" w:eastAsia="x-none"/>
        </w:rPr>
        <w:t>2.1. Ogólne wymagania dotyczące materiałów</w:t>
      </w:r>
    </w:p>
    <w:p w14:paraId="50163F6D" w14:textId="77777777" w:rsidR="001F4097" w:rsidRPr="001F4097" w:rsidRDefault="001F4097" w:rsidP="001F4097">
      <w:pPr>
        <w:tabs>
          <w:tab w:val="right" w:leader="dot" w:pos="-1985"/>
          <w:tab w:val="left" w:pos="284"/>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Ogólne wymagania dotyczące materiałów, ich pozyskiwania i składowania, podano w STWiORB D-M-00.00.00 „Wymagania ogólne” pkt 2.</w:t>
      </w:r>
    </w:p>
    <w:p w14:paraId="008C0F25"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F4097">
        <w:rPr>
          <w:rFonts w:ascii="Arial Narrow" w:eastAsia="Times New Roman" w:hAnsi="Arial Narrow" w:cs="Times New Roman"/>
          <w:b/>
          <w:sz w:val="28"/>
          <w:szCs w:val="20"/>
          <w:lang w:val="x-none" w:eastAsia="x-none"/>
        </w:rPr>
        <w:t>2.2. Rodzaje materiałów</w:t>
      </w:r>
    </w:p>
    <w:p w14:paraId="182DAA0D" w14:textId="77777777" w:rsidR="001F4097" w:rsidRPr="001F4097" w:rsidRDefault="001F4097" w:rsidP="001F4097">
      <w:pPr>
        <w:overflowPunct w:val="0"/>
        <w:autoSpaceDE w:val="0"/>
        <w:autoSpaceDN w:val="0"/>
        <w:adjustRightInd w:val="0"/>
        <w:spacing w:after="120" w:line="240" w:lineRule="auto"/>
        <w:ind w:firstLine="709"/>
        <w:jc w:val="both"/>
        <w:textAlignment w:val="baseline"/>
        <w:rPr>
          <w:rFonts w:ascii="Arial Narrow" w:eastAsia="Times New Roman" w:hAnsi="Arial Narrow" w:cs="Times New Roman"/>
          <w:b/>
          <w:sz w:val="20"/>
          <w:szCs w:val="20"/>
          <w:lang w:eastAsia="pl-PL"/>
        </w:rPr>
      </w:pPr>
    </w:p>
    <w:p w14:paraId="2AE183A0" w14:textId="77777777" w:rsidR="001F4097" w:rsidRPr="001F4097" w:rsidRDefault="001F4097" w:rsidP="001F409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F4097">
        <w:rPr>
          <w:rFonts w:ascii="Arial Narrow" w:eastAsia="Times New Roman" w:hAnsi="Arial Narrow" w:cs="Times New Roman"/>
          <w:b/>
          <w:sz w:val="24"/>
          <w:szCs w:val="20"/>
          <w:lang w:val="x-none" w:eastAsia="x-none"/>
        </w:rPr>
        <w:t>2.2.1. Zgodność materiałów z dokumentacją projektową i aprobatą techniczną</w:t>
      </w:r>
    </w:p>
    <w:p w14:paraId="28835A5F"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 xml:space="preserve">Materiały do wykonania robót powinny być zgodne z ustaleniami dokumentacji projektowej lub ST oraz aprobatą techniczną IBDiM. </w:t>
      </w:r>
    </w:p>
    <w:p w14:paraId="522EA40C" w14:textId="77777777" w:rsidR="001F4097" w:rsidRPr="001F4097" w:rsidRDefault="001F4097" w:rsidP="001F409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F4097">
        <w:rPr>
          <w:rFonts w:ascii="Arial Narrow" w:eastAsia="Times New Roman" w:hAnsi="Arial Narrow" w:cs="Times New Roman"/>
          <w:b/>
          <w:sz w:val="24"/>
          <w:szCs w:val="20"/>
          <w:lang w:val="x-none" w:eastAsia="x-none"/>
        </w:rPr>
        <w:t>2.2.2. Rodzaje materiałów</w:t>
      </w:r>
    </w:p>
    <w:p w14:paraId="62584506"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Materiałami stosowanymi przy wykonywaniu przepustu są:</w:t>
      </w:r>
    </w:p>
    <w:p w14:paraId="6F5CE579"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rury polietylenowe HDPE spiralnie karbowane oraz ew. elementy łączące rury, jak złączki, paski zaciskowe lub śruby, odpowiadające wymaganiom aprobaty technicznej,</w:t>
      </w:r>
    </w:p>
    <w:p w14:paraId="59DC3B2E"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materiał, stanowiący fundament pod rury i do zasypki przepustu, zgodny z dokumentacją projektową, np. mieszanka kruszywa naturalnego (pospółka) odpowiadająca wymaganiom D.04.04.00 podbudowa pomocnicza, o uziarnieniu 0÷31,5 mm,</w:t>
      </w:r>
    </w:p>
    <w:p w14:paraId="70D74706" w14:textId="77777777" w:rsidR="001F4097" w:rsidRPr="001F4097" w:rsidRDefault="001F4097" w:rsidP="001F409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F4097">
        <w:rPr>
          <w:rFonts w:ascii="Arial Narrow" w:eastAsia="Times New Roman" w:hAnsi="Arial Narrow" w:cs="Times New Roman"/>
          <w:b/>
          <w:sz w:val="24"/>
          <w:szCs w:val="20"/>
          <w:lang w:val="x-none" w:eastAsia="x-none"/>
        </w:rPr>
        <w:t>2.2.3. Składowanie materiałów</w:t>
      </w:r>
    </w:p>
    <w:p w14:paraId="0DCC9FED"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Rury polietylenowe oraz złączki i paski zaciskowe należy przechowywać tak, aby nie uległy mechanicznemu uszkodzeniu.</w:t>
      </w:r>
    </w:p>
    <w:p w14:paraId="7E200C8D"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 xml:space="preserve">Podłoże, na którym składuje się rury, musi być równe, umożliwiające spoczywanie rury na karbach na całej długości rury. Rury można składować warstwowo do wysokości max. </w:t>
      </w:r>
      <w:smartTag w:uri="urn:schemas-microsoft-com:office:smarttags" w:element="metricconverter">
        <w:smartTagPr>
          <w:attr w:name="ProductID" w:val="3,2 m"/>
        </w:smartTagPr>
        <w:r w:rsidRPr="001F4097">
          <w:rPr>
            <w:rFonts w:ascii="Arial Narrow" w:eastAsia="Times New Roman" w:hAnsi="Arial Narrow" w:cs="Times New Roman"/>
            <w:sz w:val="20"/>
            <w:szCs w:val="20"/>
            <w:lang w:eastAsia="pl-PL"/>
          </w:rPr>
          <w:t>3,2 m</w:t>
        </w:r>
      </w:smartTag>
      <w:r w:rsidRPr="001F4097">
        <w:rPr>
          <w:rFonts w:ascii="Arial Narrow" w:eastAsia="Times New Roman" w:hAnsi="Arial Narrow" w:cs="Times New Roman"/>
          <w:sz w:val="20"/>
          <w:szCs w:val="20"/>
          <w:lang w:eastAsia="pl-PL"/>
        </w:rPr>
        <w:t>. Rury układane swobodnie zaleca się układać warstwami prostopadłymi względem siebie. Układanie można wykonywać z podpórkami drewnianymi lub metalowymi zapobiegającymi przemieszczaniu rur. Kształt podpórek musi być taki, aby nie występował zbyt duży nacisk na sąsiednie warstwy rur, mogący spowodować ich uszkodzenie. Okres składowania na wolnym powietrzu nie powinien przekraczać 2 lat.</w:t>
      </w:r>
    </w:p>
    <w:p w14:paraId="2E8E8C0A"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Składowanie innych materiałów powinno odpowiadać wymaganiom norm i OST wymienionych w punkcie 2.2.2.</w:t>
      </w:r>
    </w:p>
    <w:p w14:paraId="2D9F1734" w14:textId="77777777" w:rsidR="001F4097" w:rsidRPr="001F4097" w:rsidRDefault="001F4097" w:rsidP="001F4097">
      <w:pPr>
        <w:keepNext/>
        <w:keepLines/>
        <w:numPr>
          <w:ilvl w:val="12"/>
          <w:numId w:val="0"/>
        </w:numPr>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06" w:name="_Toc144793977"/>
      <w:bookmarkStart w:id="807" w:name="_Toc146429502"/>
      <w:bookmarkStart w:id="808" w:name="_Toc161023544"/>
      <w:bookmarkStart w:id="809" w:name="_Toc179178832"/>
      <w:bookmarkStart w:id="810" w:name="_Toc495830450"/>
      <w:bookmarkEnd w:id="805"/>
      <w:r w:rsidRPr="001F4097">
        <w:rPr>
          <w:rFonts w:ascii="Arial Narrow" w:eastAsia="Times New Roman" w:hAnsi="Arial Narrow" w:cs="Times New Roman"/>
          <w:b/>
          <w:caps/>
          <w:kern w:val="28"/>
          <w:sz w:val="28"/>
          <w:szCs w:val="20"/>
          <w:lang w:val="x-none" w:eastAsia="x-none"/>
        </w:rPr>
        <w:lastRenderedPageBreak/>
        <w:t>3. sprzęt</w:t>
      </w:r>
      <w:bookmarkEnd w:id="806"/>
      <w:bookmarkEnd w:id="807"/>
      <w:bookmarkEnd w:id="808"/>
      <w:bookmarkEnd w:id="809"/>
      <w:bookmarkEnd w:id="810"/>
    </w:p>
    <w:p w14:paraId="4B49E8E0" w14:textId="77777777" w:rsidR="001F4097" w:rsidRPr="001F4097" w:rsidRDefault="001F4097" w:rsidP="001F4097">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11" w:name="_Toc495830451"/>
      <w:r w:rsidRPr="001F4097">
        <w:rPr>
          <w:rFonts w:ascii="Arial Narrow" w:eastAsia="Times New Roman" w:hAnsi="Arial Narrow" w:cs="Times New Roman"/>
          <w:b/>
          <w:sz w:val="28"/>
          <w:szCs w:val="20"/>
          <w:lang w:val="x-none" w:eastAsia="x-none"/>
        </w:rPr>
        <w:t>3.1. Ogólne wymagania dotyczące sprzętu</w:t>
      </w:r>
      <w:bookmarkEnd w:id="811"/>
    </w:p>
    <w:p w14:paraId="6D77C20C" w14:textId="77777777" w:rsidR="001F4097" w:rsidRPr="001F4097" w:rsidRDefault="001F4097" w:rsidP="001F4097">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Ogólne wymagania dotyczące sprzętu podano w STWiORB  D-M-00.00.00 „Wymagania ogólne” [1] pkt 3.</w:t>
      </w:r>
    </w:p>
    <w:p w14:paraId="265C3D0C"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12" w:name="_Toc495830452"/>
      <w:r w:rsidRPr="001F4097">
        <w:rPr>
          <w:rFonts w:ascii="Arial Narrow" w:eastAsia="Times New Roman" w:hAnsi="Arial Narrow" w:cs="Times New Roman"/>
          <w:b/>
          <w:sz w:val="28"/>
          <w:szCs w:val="20"/>
          <w:lang w:val="x-none" w:eastAsia="x-none"/>
        </w:rPr>
        <w:t>3.2. Sprzęt stosowany do wykonania robót</w:t>
      </w:r>
      <w:bookmarkEnd w:id="812"/>
    </w:p>
    <w:p w14:paraId="3B9EC469"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 xml:space="preserve">  Przy wykonywaniu robót Wykonawca w zależności od potrzeb, powinien wykazać się możliwością korzystania ze sprzętu dostosowanego do przyjętej metody robót, jak np.:</w:t>
      </w:r>
    </w:p>
    <w:p w14:paraId="54E1BBD2"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 xml:space="preserve">koparką chwytakową na podwoziu gąsienicowym o pojemności łyżki </w:t>
      </w:r>
      <w:smartTag w:uri="urn:schemas-microsoft-com:office:smarttags" w:element="metricconverter">
        <w:smartTagPr>
          <w:attr w:name="ProductID" w:val="0,4 m3"/>
        </w:smartTagPr>
        <w:r w:rsidRPr="001F4097">
          <w:rPr>
            <w:rFonts w:ascii="Arial Narrow" w:eastAsia="Times New Roman" w:hAnsi="Arial Narrow" w:cs="Times New Roman"/>
            <w:sz w:val="20"/>
            <w:szCs w:val="20"/>
            <w:lang w:eastAsia="pl-PL"/>
          </w:rPr>
          <w:t>0,4 m</w:t>
        </w:r>
        <w:r w:rsidRPr="001F4097">
          <w:rPr>
            <w:rFonts w:ascii="Arial Narrow" w:eastAsia="Times New Roman" w:hAnsi="Arial Narrow" w:cs="Times New Roman"/>
            <w:sz w:val="20"/>
            <w:szCs w:val="20"/>
            <w:vertAlign w:val="superscript"/>
            <w:lang w:eastAsia="pl-PL"/>
          </w:rPr>
          <w:t>3</w:t>
        </w:r>
      </w:smartTag>
      <w:r w:rsidRPr="001F4097">
        <w:rPr>
          <w:rFonts w:ascii="Arial Narrow" w:eastAsia="Times New Roman" w:hAnsi="Arial Narrow" w:cs="Times New Roman"/>
          <w:sz w:val="20"/>
          <w:szCs w:val="20"/>
          <w:lang w:eastAsia="pl-PL"/>
        </w:rPr>
        <w:t>,</w:t>
      </w:r>
    </w:p>
    <w:p w14:paraId="72EF52A9"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ubijakiem spalinowym, płytą wibracyjną, walcem lub innym sprzętem zagęszczającym,</w:t>
      </w:r>
    </w:p>
    <w:p w14:paraId="62430265"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sprzętem transportowym,</w:t>
      </w:r>
    </w:p>
    <w:p w14:paraId="3FBFD733"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sprzętem do rozładunku rur, jak lekkim sprzętem dźwigowym, wózkami widłowymi (rozładunek może też być wykonywany ręcznie).</w:t>
      </w:r>
    </w:p>
    <w:p w14:paraId="3DAF98B1"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Uwaga: W czasie rozładunku rur należy zwracać uwagę, żeby nie uszkodzić karbów, np. przez zbyt energiczne wyciąganie rur, co powoduje tarcie karbów o podłoże.</w:t>
      </w:r>
    </w:p>
    <w:p w14:paraId="14819DFD"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Sprzęt powinien odpowiadać wymaganiom określonym w dokumentacji projektowej, ST, instrukcjach producentów lub propozycji Wykonawcy i powinien być zaakceptowany przez Inżyniera.</w:t>
      </w:r>
    </w:p>
    <w:p w14:paraId="4B96A4AA" w14:textId="77777777" w:rsidR="001F4097" w:rsidRPr="001F4097" w:rsidRDefault="001F4097" w:rsidP="001F409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13" w:name="_Toc144793978"/>
      <w:bookmarkStart w:id="814" w:name="_Toc146429503"/>
      <w:bookmarkStart w:id="815" w:name="_Toc161023545"/>
      <w:bookmarkStart w:id="816" w:name="_Toc179178833"/>
      <w:bookmarkStart w:id="817" w:name="_Toc495830453"/>
      <w:r w:rsidRPr="001F4097">
        <w:rPr>
          <w:rFonts w:ascii="Arial Narrow" w:eastAsia="Times New Roman" w:hAnsi="Arial Narrow" w:cs="Times New Roman"/>
          <w:b/>
          <w:caps/>
          <w:kern w:val="28"/>
          <w:sz w:val="28"/>
          <w:szCs w:val="20"/>
          <w:lang w:val="x-none" w:eastAsia="x-none"/>
        </w:rPr>
        <w:t>4. TRANSPORT</w:t>
      </w:r>
      <w:bookmarkEnd w:id="813"/>
      <w:bookmarkEnd w:id="814"/>
      <w:bookmarkEnd w:id="815"/>
      <w:bookmarkEnd w:id="816"/>
      <w:bookmarkEnd w:id="817"/>
    </w:p>
    <w:p w14:paraId="6D37D89C" w14:textId="77777777" w:rsidR="001F4097" w:rsidRPr="001F4097" w:rsidRDefault="001F4097" w:rsidP="001F4097">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18" w:name="_Toc495830454"/>
      <w:r w:rsidRPr="001F4097">
        <w:rPr>
          <w:rFonts w:ascii="Arial Narrow" w:eastAsia="Times New Roman" w:hAnsi="Arial Narrow" w:cs="Times New Roman"/>
          <w:b/>
          <w:sz w:val="28"/>
          <w:szCs w:val="20"/>
          <w:lang w:val="x-none" w:eastAsia="x-none"/>
        </w:rPr>
        <w:t>4.1. Ogólne wymagania dotyczące transportu</w:t>
      </w:r>
      <w:bookmarkEnd w:id="818"/>
    </w:p>
    <w:p w14:paraId="127DC41F" w14:textId="77777777" w:rsidR="001F4097" w:rsidRPr="001F4097" w:rsidRDefault="001F4097" w:rsidP="001F4097">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Ogólne wymagania dotyczące transportu podano w STWiORB D-M-00.00.00 „Wymagania ogólne” [1] pkt 4.</w:t>
      </w:r>
    </w:p>
    <w:p w14:paraId="7DD99F04"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19" w:name="_Toc495830455"/>
      <w:r w:rsidRPr="001F4097">
        <w:rPr>
          <w:rFonts w:ascii="Arial Narrow" w:eastAsia="Times New Roman" w:hAnsi="Arial Narrow" w:cs="Times New Roman"/>
          <w:b/>
          <w:sz w:val="28"/>
          <w:szCs w:val="20"/>
          <w:lang w:val="x-none" w:eastAsia="x-none"/>
        </w:rPr>
        <w:t>4.2. Transport materiałów</w:t>
      </w:r>
      <w:bookmarkEnd w:id="819"/>
      <w:r w:rsidRPr="001F4097">
        <w:rPr>
          <w:rFonts w:ascii="Arial Narrow" w:eastAsia="Times New Roman" w:hAnsi="Arial Narrow" w:cs="Times New Roman"/>
          <w:b/>
          <w:sz w:val="28"/>
          <w:szCs w:val="20"/>
          <w:lang w:val="x-none" w:eastAsia="x-none"/>
        </w:rPr>
        <w:t xml:space="preserve"> </w:t>
      </w:r>
    </w:p>
    <w:p w14:paraId="20B660C7"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Materiały sypkie i drobne przedmioty można przewozić dowolnymi środkami transportu, w warunkach zabezpieczających je przed zanieczyszczeniem, zmieszaniem z innymi materiałami i nadmiernym zawilgoceniem.</w:t>
      </w:r>
    </w:p>
    <w:p w14:paraId="0FAB83BE"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 xml:space="preserve">Rury należy ułożyć równomiernie na całej powierzchni ładunkowej obok siebie i zabezpieczyć przed możliwością przesuwania się podczas transportu. Nie należy dopuścić, aby więcej niż </w:t>
      </w:r>
      <w:smartTag w:uri="urn:schemas-microsoft-com:office:smarttags" w:element="metricconverter">
        <w:smartTagPr>
          <w:attr w:name="ProductID" w:val="1 m"/>
        </w:smartTagPr>
        <w:r w:rsidRPr="001F4097">
          <w:rPr>
            <w:rFonts w:ascii="Arial Narrow" w:eastAsia="Times New Roman" w:hAnsi="Arial Narrow" w:cs="Times New Roman"/>
            <w:sz w:val="20"/>
            <w:szCs w:val="20"/>
            <w:lang w:eastAsia="pl-PL"/>
          </w:rPr>
          <w:t>1 m</w:t>
        </w:r>
      </w:smartTag>
      <w:r w:rsidRPr="001F4097">
        <w:rPr>
          <w:rFonts w:ascii="Arial Narrow" w:eastAsia="Times New Roman" w:hAnsi="Arial Narrow" w:cs="Times New Roman"/>
          <w:sz w:val="20"/>
          <w:szCs w:val="20"/>
          <w:lang w:eastAsia="pl-PL"/>
        </w:rPr>
        <w:t xml:space="preserve"> rury wystawał poza obrys środka transportowego.</w:t>
      </w:r>
    </w:p>
    <w:p w14:paraId="41E9D482" w14:textId="77777777" w:rsidR="001F4097" w:rsidRPr="001F4097" w:rsidRDefault="001F4097" w:rsidP="001F409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20" w:name="_Toc131992896"/>
      <w:bookmarkStart w:id="821" w:name="_Toc161023546"/>
      <w:bookmarkStart w:id="822" w:name="_Toc179178834"/>
      <w:bookmarkStart w:id="823" w:name="_Toc495830456"/>
      <w:r w:rsidRPr="001F4097">
        <w:rPr>
          <w:rFonts w:ascii="Arial Narrow" w:eastAsia="Times New Roman" w:hAnsi="Arial Narrow" w:cs="Times New Roman"/>
          <w:b/>
          <w:caps/>
          <w:kern w:val="28"/>
          <w:sz w:val="28"/>
          <w:szCs w:val="20"/>
          <w:lang w:val="x-none" w:eastAsia="x-none"/>
        </w:rPr>
        <w:t>5. wykonanie robót</w:t>
      </w:r>
      <w:bookmarkEnd w:id="820"/>
      <w:bookmarkEnd w:id="821"/>
      <w:bookmarkEnd w:id="822"/>
      <w:bookmarkEnd w:id="823"/>
    </w:p>
    <w:p w14:paraId="428A59D1" w14:textId="77777777" w:rsidR="001F4097" w:rsidRPr="001F4097" w:rsidRDefault="001F4097" w:rsidP="001F4097">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24" w:name="_Toc495830457"/>
      <w:r w:rsidRPr="001F4097">
        <w:rPr>
          <w:rFonts w:ascii="Arial Narrow" w:eastAsia="Times New Roman" w:hAnsi="Arial Narrow" w:cs="Times New Roman"/>
          <w:b/>
          <w:sz w:val="28"/>
          <w:szCs w:val="20"/>
          <w:lang w:val="x-none" w:eastAsia="x-none"/>
        </w:rPr>
        <w:t>5.1. Ogólne zasady wykonania robót</w:t>
      </w:r>
    </w:p>
    <w:p w14:paraId="50A4718E" w14:textId="77777777" w:rsidR="001F4097" w:rsidRPr="001F4097" w:rsidRDefault="001F4097" w:rsidP="001F4097">
      <w:pPr>
        <w:numPr>
          <w:ilvl w:val="12"/>
          <w:numId w:val="0"/>
        </w:numPr>
        <w:tabs>
          <w:tab w:val="right" w:leader="dot" w:pos="-1985"/>
          <w:tab w:val="left" w:pos="284"/>
        </w:tabs>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Ogólne zasady wykonania robót podano w STWiORB D-M-00.00.00 „Wymagania ogólne” pkt 5.</w:t>
      </w:r>
    </w:p>
    <w:p w14:paraId="4FA52B21"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F4097">
        <w:rPr>
          <w:rFonts w:ascii="Arial Narrow" w:eastAsia="Times New Roman" w:hAnsi="Arial Narrow" w:cs="Times New Roman"/>
          <w:b/>
          <w:sz w:val="28"/>
          <w:szCs w:val="20"/>
          <w:lang w:val="x-none" w:eastAsia="x-none"/>
        </w:rPr>
        <w:t>5.2. Zasady wykonywania robót</w:t>
      </w:r>
    </w:p>
    <w:p w14:paraId="0E7462F7"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Sposób wykonania robót powinien być zgodny z dokumentacją projektową i ST. W przypadku braku wystarczających danych można korzystać z ustaleń podanych w niniejszej specyfikacji oraz z informacji podanych w załącznikach.</w:t>
      </w:r>
    </w:p>
    <w:p w14:paraId="22054645"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Podstawowe czynności przy wykonywaniu robót obejmują:</w:t>
      </w:r>
    </w:p>
    <w:p w14:paraId="3F6582CF" w14:textId="77777777" w:rsidR="001F4097" w:rsidRPr="001F4097" w:rsidRDefault="001F4097" w:rsidP="00AD6DA2">
      <w:pPr>
        <w:numPr>
          <w:ilvl w:val="0"/>
          <w:numId w:val="29"/>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 xml:space="preserve">roboty przygotowawcze, </w:t>
      </w:r>
    </w:p>
    <w:p w14:paraId="34580C74" w14:textId="77777777" w:rsidR="001F4097" w:rsidRPr="001F4097" w:rsidRDefault="001F4097" w:rsidP="00AD6DA2">
      <w:pPr>
        <w:numPr>
          <w:ilvl w:val="0"/>
          <w:numId w:val="29"/>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wykonanie wykopów, np. pod ławę,</w:t>
      </w:r>
    </w:p>
    <w:p w14:paraId="30E27C08" w14:textId="77777777" w:rsidR="001F4097" w:rsidRPr="001F4097" w:rsidRDefault="001F4097" w:rsidP="00AD6DA2">
      <w:pPr>
        <w:numPr>
          <w:ilvl w:val="0"/>
          <w:numId w:val="29"/>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 xml:space="preserve">wykonanie fundamentu (ławy) pod rury, np. z mieszanki kruszywa naturalnego (pospółki), </w:t>
      </w:r>
    </w:p>
    <w:p w14:paraId="7BBD1A17" w14:textId="77777777" w:rsidR="001F4097" w:rsidRPr="001F4097" w:rsidRDefault="001F4097" w:rsidP="00AD6DA2">
      <w:pPr>
        <w:numPr>
          <w:ilvl w:val="0"/>
          <w:numId w:val="29"/>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ułożenie rury na ławie w jednym odcinku lub w odcinkach, wymagających połączenia kolejnych dwóch rur złączką,</w:t>
      </w:r>
    </w:p>
    <w:p w14:paraId="209EE6BC" w14:textId="77777777" w:rsidR="001F4097" w:rsidRPr="001F4097" w:rsidRDefault="001F4097" w:rsidP="00AD6DA2">
      <w:pPr>
        <w:numPr>
          <w:ilvl w:val="0"/>
          <w:numId w:val="29"/>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wykonanie zasypki przepustu,</w:t>
      </w:r>
    </w:p>
    <w:p w14:paraId="0B066FE0" w14:textId="77777777" w:rsidR="001F4097" w:rsidRPr="001F4097" w:rsidRDefault="001F4097" w:rsidP="00AD6DA2">
      <w:pPr>
        <w:numPr>
          <w:ilvl w:val="0"/>
          <w:numId w:val="29"/>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umocnienie skarp przy wlocie i wylocie przepustu,</w:t>
      </w:r>
    </w:p>
    <w:p w14:paraId="10FE92FC" w14:textId="77777777" w:rsidR="001F4097" w:rsidRPr="001F4097" w:rsidRDefault="001F4097" w:rsidP="00AD6DA2">
      <w:pPr>
        <w:numPr>
          <w:ilvl w:val="0"/>
          <w:numId w:val="29"/>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roboty wykończeniowe.</w:t>
      </w:r>
    </w:p>
    <w:p w14:paraId="11598047"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F4097">
        <w:rPr>
          <w:rFonts w:ascii="Arial Narrow" w:eastAsia="Times New Roman" w:hAnsi="Arial Narrow" w:cs="Times New Roman"/>
          <w:b/>
          <w:sz w:val="28"/>
          <w:szCs w:val="20"/>
          <w:lang w:val="x-none" w:eastAsia="x-none"/>
        </w:rPr>
        <w:t>5.3. Roboty przygotowawcze</w:t>
      </w:r>
    </w:p>
    <w:p w14:paraId="319AD625"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Przed przystąpieniem do robót należy, na podstawie dokumentacji projektowej,  ST lub wskazań Inżyniera:</w:t>
      </w:r>
    </w:p>
    <w:p w14:paraId="1C1625AE" w14:textId="77777777" w:rsidR="001F4097" w:rsidRPr="001F4097" w:rsidRDefault="001F4097" w:rsidP="00AD6DA2">
      <w:pPr>
        <w:numPr>
          <w:ilvl w:val="0"/>
          <w:numId w:val="8"/>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ustalić lokalizację robót,</w:t>
      </w:r>
    </w:p>
    <w:p w14:paraId="18B04EB1" w14:textId="77777777" w:rsidR="001F4097" w:rsidRPr="001F4097" w:rsidRDefault="001F4097" w:rsidP="00AD6DA2">
      <w:pPr>
        <w:numPr>
          <w:ilvl w:val="0"/>
          <w:numId w:val="8"/>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przeprowadzić obliczenia i pomiary geodezyjne niezbędne do szczegółowego wytyczenia robót oraz ustalenia danych wysokościowych,</w:t>
      </w:r>
    </w:p>
    <w:p w14:paraId="3EC7A4E8" w14:textId="77777777" w:rsidR="001F4097" w:rsidRPr="001F4097" w:rsidRDefault="001F4097" w:rsidP="00AD6DA2">
      <w:pPr>
        <w:numPr>
          <w:ilvl w:val="0"/>
          <w:numId w:val="8"/>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usunąć przeszkody, np. drzewa, krzaki, obiekty, elementy dróg, ogrodzeń itd.,</w:t>
      </w:r>
    </w:p>
    <w:p w14:paraId="0C0E3280" w14:textId="77777777" w:rsidR="001F4097" w:rsidRPr="001F4097" w:rsidRDefault="001F4097" w:rsidP="00AD6DA2">
      <w:pPr>
        <w:numPr>
          <w:ilvl w:val="0"/>
          <w:numId w:val="8"/>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ew. odwodnić teren budowy w zakresie uzgodnionym z Inżynierem.</w:t>
      </w:r>
    </w:p>
    <w:p w14:paraId="17B4004A"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 xml:space="preserve">Zaleca się korzystanie z ustaleń STWiORB D-01.00.00 [2] w zakresie niezbędnym do wykonania robót przygotowawczych. </w:t>
      </w:r>
    </w:p>
    <w:p w14:paraId="6F7BDBAA"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F4097">
        <w:rPr>
          <w:rFonts w:ascii="Arial Narrow" w:eastAsia="Times New Roman" w:hAnsi="Arial Narrow" w:cs="Times New Roman"/>
          <w:b/>
          <w:sz w:val="28"/>
          <w:szCs w:val="20"/>
          <w:lang w:val="x-none" w:eastAsia="x-none"/>
        </w:rPr>
        <w:t>5.4. Wykonanie wykopów</w:t>
      </w:r>
    </w:p>
    <w:p w14:paraId="7DA6FF37"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Wykonanie wykopów pod ławę i ewentualne inne elementy robót powinno być zgodne z dokumentacją projektową. Dobór sprzętu i metody wykonania należy dostosować do rodzajów gruntu, objętości robót i odległości transportu.</w:t>
      </w:r>
    </w:p>
    <w:p w14:paraId="0A99E7EE"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 xml:space="preserve">Wykonanie wykopów powinno odpowiadać wymaganiom określonym w STWiORB D-02.00.00 [3]. Dno wykopu powinno być wyrównane z dokładnością co najmniej ± </w:t>
      </w:r>
      <w:smartTag w:uri="urn:schemas-microsoft-com:office:smarttags" w:element="metricconverter">
        <w:smartTagPr>
          <w:attr w:name="ProductID" w:val="2 cm"/>
        </w:smartTagPr>
        <w:r w:rsidRPr="001F4097">
          <w:rPr>
            <w:rFonts w:ascii="Arial Narrow" w:eastAsia="Times New Roman" w:hAnsi="Arial Narrow" w:cs="Times New Roman"/>
            <w:sz w:val="20"/>
            <w:szCs w:val="20"/>
            <w:lang w:eastAsia="pl-PL"/>
          </w:rPr>
          <w:t>2 cm</w:t>
        </w:r>
      </w:smartTag>
      <w:r w:rsidRPr="001F4097">
        <w:rPr>
          <w:rFonts w:ascii="Arial Narrow" w:eastAsia="Times New Roman" w:hAnsi="Arial Narrow" w:cs="Times New Roman"/>
          <w:sz w:val="20"/>
          <w:szCs w:val="20"/>
          <w:lang w:eastAsia="pl-PL"/>
        </w:rPr>
        <w:t>.</w:t>
      </w:r>
    </w:p>
    <w:p w14:paraId="4D634E2E"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Wykop należy wykonać w takim okresie, aby po jego zakończeniu można było przystąpić do wykonywania przepustu.</w:t>
      </w:r>
    </w:p>
    <w:p w14:paraId="75BB27CE"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F4097">
        <w:rPr>
          <w:rFonts w:ascii="Arial Narrow" w:eastAsia="Times New Roman" w:hAnsi="Arial Narrow" w:cs="Times New Roman"/>
          <w:b/>
          <w:sz w:val="28"/>
          <w:szCs w:val="20"/>
          <w:lang w:val="x-none" w:eastAsia="x-none"/>
        </w:rPr>
        <w:t>5.5. Ława pod przepustem</w:t>
      </w:r>
    </w:p>
    <w:p w14:paraId="27F2F5A9"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 przypadku układania przepustu bezpośrednio na gruncie (np. piaszczystym), kształt podłoża powinien być wyprofilowany stosownie do kształtu spodu rury.</w:t>
      </w:r>
    </w:p>
    <w:p w14:paraId="2EC7168F"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 xml:space="preserve">Jeśli grunt podłoża wymaga rozłożenia nacisku, to rury przepustu powinny być układane na zagęszczonej warstwie podsypki (ławie) o grubości ustalonej w dokumentacji projektowej, z mieszanki kruszywa naturalnego o uziarnieniu np. 0÷20 mm, bez zanieczyszczeń. </w:t>
      </w:r>
    </w:p>
    <w:p w14:paraId="26B92E56"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lastRenderedPageBreak/>
        <w:t>Podsypkę należy zagęścić do 0,98 Proctora normalnego. Górna jej warstwa o grubości równej wysokości karbu powinna być luźna, aby karby rury mogły swobodnie się w niej zagłębić.</w:t>
      </w:r>
    </w:p>
    <w:p w14:paraId="29337089" w14:textId="77777777" w:rsidR="001F4097" w:rsidRPr="001F4097" w:rsidRDefault="001F4097" w:rsidP="001F4097">
      <w:pPr>
        <w:overflowPunct w:val="0"/>
        <w:autoSpaceDE w:val="0"/>
        <w:autoSpaceDN w:val="0"/>
        <w:adjustRightInd w:val="0"/>
        <w:spacing w:after="0" w:line="240" w:lineRule="auto"/>
        <w:ind w:firstLine="397"/>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Dopuszczalne odchyłki dla ław fundamentowych przepustu wynoszą:</w:t>
      </w:r>
    </w:p>
    <w:p w14:paraId="357102B3" w14:textId="77777777" w:rsidR="001F4097" w:rsidRPr="001F4097" w:rsidRDefault="001F4097" w:rsidP="00AD6DA2">
      <w:pPr>
        <w:numPr>
          <w:ilvl w:val="0"/>
          <w:numId w:val="3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 xml:space="preserve">dla wymiarów w planie ± </w:t>
      </w:r>
      <w:smartTag w:uri="urn:schemas-microsoft-com:office:smarttags" w:element="metricconverter">
        <w:smartTagPr>
          <w:attr w:name="ProductID" w:val="5 cm"/>
        </w:smartTagPr>
        <w:r w:rsidRPr="001F4097">
          <w:rPr>
            <w:rFonts w:ascii="Arial Narrow" w:eastAsia="Times New Roman" w:hAnsi="Arial Narrow" w:cs="Times New Roman"/>
            <w:sz w:val="20"/>
            <w:szCs w:val="20"/>
            <w:lang w:eastAsia="pl-PL"/>
          </w:rPr>
          <w:t>5 cm</w:t>
        </w:r>
      </w:smartTag>
      <w:r w:rsidRPr="001F4097">
        <w:rPr>
          <w:rFonts w:ascii="Arial Narrow" w:eastAsia="Times New Roman" w:hAnsi="Arial Narrow" w:cs="Times New Roman"/>
          <w:sz w:val="20"/>
          <w:szCs w:val="20"/>
          <w:lang w:eastAsia="pl-PL"/>
        </w:rPr>
        <w:t>,</w:t>
      </w:r>
    </w:p>
    <w:p w14:paraId="4B815914" w14:textId="77777777" w:rsidR="001F4097" w:rsidRPr="001F4097" w:rsidRDefault="001F4097" w:rsidP="00AD6DA2">
      <w:pPr>
        <w:numPr>
          <w:ilvl w:val="0"/>
          <w:numId w:val="3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 xml:space="preserve">dla rzędnych wierzchu ławy ± </w:t>
      </w:r>
      <w:smartTag w:uri="urn:schemas-microsoft-com:office:smarttags" w:element="metricconverter">
        <w:smartTagPr>
          <w:attr w:name="ProductID" w:val="2 cm"/>
        </w:smartTagPr>
        <w:r w:rsidRPr="001F4097">
          <w:rPr>
            <w:rFonts w:ascii="Arial Narrow" w:eastAsia="Times New Roman" w:hAnsi="Arial Narrow" w:cs="Times New Roman"/>
            <w:sz w:val="20"/>
            <w:szCs w:val="20"/>
            <w:lang w:eastAsia="pl-PL"/>
          </w:rPr>
          <w:t>2 cm</w:t>
        </w:r>
      </w:smartTag>
      <w:r w:rsidRPr="001F4097">
        <w:rPr>
          <w:rFonts w:ascii="Arial Narrow" w:eastAsia="Times New Roman" w:hAnsi="Arial Narrow" w:cs="Times New Roman"/>
          <w:sz w:val="20"/>
          <w:szCs w:val="20"/>
          <w:lang w:eastAsia="pl-PL"/>
        </w:rPr>
        <w:t>.</w:t>
      </w:r>
    </w:p>
    <w:p w14:paraId="3C433C1E"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F4097">
        <w:rPr>
          <w:rFonts w:ascii="Arial Narrow" w:eastAsia="Times New Roman" w:hAnsi="Arial Narrow" w:cs="Times New Roman"/>
          <w:b/>
          <w:sz w:val="28"/>
          <w:szCs w:val="20"/>
          <w:lang w:val="x-none" w:eastAsia="x-none"/>
        </w:rPr>
        <w:t>5.6. Ułożenie rur przepustu na ławie</w:t>
      </w:r>
    </w:p>
    <w:p w14:paraId="7A661B4B"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Ułożenia rury na ławie należy dokonać po zaniwelowaniu poziomu dna i wytyczeniu osi przepustu. Zaleca się układać rurę w jednym odcinku, jeśli możliwa jest dostawa rury o odpowiedniej długości, wynikająca z asortymentu produkcji i możliwości transportowych. W innych przypadkach, przepust złożony z dwóch lub większej liczby rur powinien mieć połączenia złączkami poszczególnych odcinków rur.</w:t>
      </w:r>
    </w:p>
    <w:p w14:paraId="3A3208A1" w14:textId="77777777" w:rsidR="001F4097" w:rsidRPr="001F4097" w:rsidRDefault="001F4097" w:rsidP="001F4097">
      <w:pPr>
        <w:overflowPunct w:val="0"/>
        <w:autoSpaceDE w:val="0"/>
        <w:autoSpaceDN w:val="0"/>
        <w:adjustRightInd w:val="0"/>
        <w:spacing w:after="0" w:line="240" w:lineRule="auto"/>
        <w:ind w:firstLine="340"/>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Łączenie dwóch odcinków rur polega na:</w:t>
      </w:r>
    </w:p>
    <w:p w14:paraId="2C81D00C"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ułożeniu na ławie złączki,</w:t>
      </w:r>
    </w:p>
    <w:p w14:paraId="0B1721BF"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położeniu na złączce dwóch sąsiednich końców rur,</w:t>
      </w:r>
    </w:p>
    <w:p w14:paraId="11765782"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zamknięciu złączki,</w:t>
      </w:r>
    </w:p>
    <w:p w14:paraId="0407D5C5"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założeniu w złączce pasków lub śrub zaciskowych i zaciągnięcie ich.</w:t>
      </w:r>
    </w:p>
    <w:p w14:paraId="3BA09B3E"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 przypadku gdy przepust ułożono na ławie, po uprzednim połączeniu odcinków rur poza ławą, należy sprawdzić skuteczność połączeń między rurami.</w:t>
      </w:r>
    </w:p>
    <w:p w14:paraId="1B70679A"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Rurę przepustu po ułożeniu należy ustabilizować w taki sposób, aby nie zmieniła swojego położenia w czasie zasypywania przepustu. Można dokonać tego podsypką wspierającą.</w:t>
      </w:r>
    </w:p>
    <w:p w14:paraId="42433CC3"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Przycięcie skrajnych rur do płaszczyzny skarpy można wykonać przed montażem przepustu lub też na budowie po wykonaniu nasypu.</w:t>
      </w:r>
    </w:p>
    <w:p w14:paraId="287ED910"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F4097">
        <w:rPr>
          <w:rFonts w:ascii="Arial Narrow" w:eastAsia="Times New Roman" w:hAnsi="Arial Narrow" w:cs="Times New Roman"/>
          <w:b/>
          <w:sz w:val="28"/>
          <w:szCs w:val="20"/>
          <w:lang w:val="x-none" w:eastAsia="x-none"/>
        </w:rPr>
        <w:t>5.7. Zasypka przepustu</w:t>
      </w:r>
    </w:p>
    <w:p w14:paraId="2559F496"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 xml:space="preserve">Zasypka przepustu do wysokości co najmniej </w:t>
      </w:r>
      <w:smartTag w:uri="urn:schemas-microsoft-com:office:smarttags" w:element="metricconverter">
        <w:smartTagPr>
          <w:attr w:name="ProductID" w:val="30 cm"/>
        </w:smartTagPr>
        <w:r w:rsidRPr="001F4097">
          <w:rPr>
            <w:rFonts w:ascii="Arial Narrow" w:eastAsia="Times New Roman" w:hAnsi="Arial Narrow" w:cs="Times New Roman"/>
            <w:sz w:val="20"/>
            <w:szCs w:val="20"/>
            <w:lang w:eastAsia="pl-PL"/>
          </w:rPr>
          <w:t>30 cm</w:t>
        </w:r>
      </w:smartTag>
      <w:r w:rsidRPr="001F4097">
        <w:rPr>
          <w:rFonts w:ascii="Arial Narrow" w:eastAsia="Times New Roman" w:hAnsi="Arial Narrow" w:cs="Times New Roman"/>
          <w:sz w:val="20"/>
          <w:szCs w:val="20"/>
          <w:lang w:eastAsia="pl-PL"/>
        </w:rPr>
        <w:t xml:space="preserve"> ponad górną krawędź przepustu zaleca się wykonać materiałem zgodnym z D.02.03.01. </w:t>
      </w:r>
    </w:p>
    <w:p w14:paraId="0708D3B2"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Zasypka powinna być wykonywana:</w:t>
      </w:r>
    </w:p>
    <w:p w14:paraId="78AE05CA"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równomiernie i równocześnie z obu stron przepustu,</w:t>
      </w:r>
    </w:p>
    <w:p w14:paraId="47210414"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 xml:space="preserve">warstwami o grubości dostosowanej do wysokości zasypki, zagęszczonymi do wskaźnika zagęszczenia  ≥ 0,98,   </w:t>
      </w:r>
    </w:p>
    <w:p w14:paraId="58A64A1B"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ze zwróceniem uwagi, aby średnica ziaren kruszywa, układanego bezpośrednio na rurze, nie przekraczała wielkości skoku karbu zewnętrznego rury.</w:t>
      </w:r>
    </w:p>
    <w:p w14:paraId="7E75DBA6"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Szczególnie starannie należy wykonać podsypkę wspierającą przepust, umieszczoną nad ławą. Materiał na podsypkę wspierającą powinien odpowiadać wymaganiom dla ławy.</w:t>
      </w:r>
    </w:p>
    <w:p w14:paraId="0A787A73"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F4097">
        <w:rPr>
          <w:rFonts w:ascii="Arial Narrow" w:eastAsia="Times New Roman" w:hAnsi="Arial Narrow" w:cs="Times New Roman"/>
          <w:b/>
          <w:sz w:val="28"/>
          <w:szCs w:val="20"/>
          <w:lang w:val="x-none" w:eastAsia="x-none"/>
        </w:rPr>
        <w:t>5.8. Umocnienie skarp przy wlocie i wylocie przepustu</w:t>
      </w:r>
    </w:p>
    <w:p w14:paraId="4AFE4D17" w14:textId="77777777" w:rsidR="001F4097" w:rsidRPr="001F4097" w:rsidRDefault="001F4097" w:rsidP="001F409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F4097">
        <w:rPr>
          <w:rFonts w:ascii="Arial Narrow" w:eastAsia="Times New Roman" w:hAnsi="Arial Narrow" w:cs="Times New Roman"/>
          <w:b/>
          <w:sz w:val="24"/>
          <w:szCs w:val="20"/>
          <w:lang w:val="x-none" w:eastAsia="x-none"/>
        </w:rPr>
        <w:t>5.8.1. Rodzaje umocnień skarp</w:t>
      </w:r>
    </w:p>
    <w:p w14:paraId="18E057DB"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Umocnienie skarp przy wlocie i wylocie przepustu powinno odpowiadać ustaleniom dokumentacji projektowej. Umocnieniu podlega dno oraz skarpy.</w:t>
      </w:r>
    </w:p>
    <w:p w14:paraId="719720A2" w14:textId="77777777" w:rsidR="001F4097" w:rsidRPr="001F4097" w:rsidRDefault="001F4097" w:rsidP="001F409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F4097">
        <w:rPr>
          <w:rFonts w:ascii="Arial Narrow" w:eastAsia="Times New Roman" w:hAnsi="Arial Narrow" w:cs="Times New Roman"/>
          <w:b/>
          <w:sz w:val="24"/>
          <w:szCs w:val="20"/>
          <w:lang w:val="x-none" w:eastAsia="x-none"/>
        </w:rPr>
        <w:t>5.8.2. Umocnienie skarpy betonową kostką brukową</w:t>
      </w:r>
    </w:p>
    <w:p w14:paraId="4DCBC9E8"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Nie dotyczy.</w:t>
      </w:r>
    </w:p>
    <w:p w14:paraId="1E0DA838" w14:textId="77777777" w:rsidR="001F4097" w:rsidRPr="001F4097" w:rsidRDefault="001F4097" w:rsidP="001F4097">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F4097">
        <w:rPr>
          <w:rFonts w:ascii="Arial Narrow" w:eastAsia="Times New Roman" w:hAnsi="Arial Narrow" w:cs="Times New Roman"/>
          <w:b/>
          <w:sz w:val="24"/>
          <w:szCs w:val="20"/>
          <w:lang w:val="x-none" w:eastAsia="x-none"/>
        </w:rPr>
        <w:t>5.8.3. Umocnienie skarpy brukowcem</w:t>
      </w:r>
    </w:p>
    <w:p w14:paraId="0CFB2525"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Brukowiec i sposób wykonania umocnienia powinien odpowiadać wymaganiom STWiORB D-06.01.01 [6].</w:t>
      </w:r>
    </w:p>
    <w:p w14:paraId="19CCA3C8"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F4097">
        <w:rPr>
          <w:rFonts w:ascii="Arial Narrow" w:eastAsia="Times New Roman" w:hAnsi="Arial Narrow" w:cs="Times New Roman"/>
          <w:b/>
          <w:sz w:val="28"/>
          <w:szCs w:val="20"/>
          <w:lang w:val="x-none" w:eastAsia="x-none"/>
        </w:rPr>
        <w:t>5.9. Roboty wykończeniowe</w:t>
      </w:r>
    </w:p>
    <w:p w14:paraId="5AB3F0FE"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Roboty wykończeniowe powinny być zgodne z dokumentacją projektową i ST. Do robót wykończeniowych należą prace związane z dostosowaniem wykonanych robót do istniejących warunków terenowych, takie jak:</w:t>
      </w:r>
    </w:p>
    <w:p w14:paraId="44312919"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odtworzenie przeszkód czasowo usuniętych, np. parkanów, ogrodzeń nawierzchni, chodników, krawężników itp.,</w:t>
      </w:r>
    </w:p>
    <w:p w14:paraId="2D028258"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 xml:space="preserve">niezbędne uzupełnienia zniszczonej w czasie robót roślinności, tj. zatrawienia,  krzewów, </w:t>
      </w:r>
    </w:p>
    <w:p w14:paraId="544F30C6"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roboty porządkujące otoczenie terenu robót.</w:t>
      </w:r>
    </w:p>
    <w:p w14:paraId="7D0F0EB7" w14:textId="77777777" w:rsidR="001F4097" w:rsidRPr="001F4097" w:rsidRDefault="001F4097" w:rsidP="001F409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25" w:name="_Toc424534470"/>
      <w:bookmarkStart w:id="826" w:name="_Toc46644001"/>
      <w:bookmarkStart w:id="827" w:name="_Toc51995834"/>
      <w:bookmarkStart w:id="828" w:name="_Toc70745916"/>
      <w:bookmarkStart w:id="829" w:name="_Toc113338102"/>
      <w:bookmarkStart w:id="830" w:name="_Toc144793980"/>
      <w:bookmarkStart w:id="831" w:name="_Toc146429505"/>
      <w:bookmarkStart w:id="832" w:name="_Toc147039497"/>
      <w:bookmarkStart w:id="833" w:name="_Toc161023547"/>
      <w:bookmarkStart w:id="834" w:name="_Toc179178835"/>
      <w:bookmarkStart w:id="835" w:name="_Toc495830466"/>
      <w:bookmarkEnd w:id="824"/>
      <w:r w:rsidRPr="001F4097">
        <w:rPr>
          <w:rFonts w:ascii="Arial Narrow" w:eastAsia="Times New Roman" w:hAnsi="Arial Narrow" w:cs="Times New Roman"/>
          <w:b/>
          <w:caps/>
          <w:kern w:val="28"/>
          <w:sz w:val="28"/>
          <w:szCs w:val="20"/>
          <w:lang w:val="x-none" w:eastAsia="x-none"/>
        </w:rPr>
        <w:t>6. KONTROLA JAKOŚCI ROBÓT</w:t>
      </w:r>
      <w:bookmarkEnd w:id="825"/>
      <w:bookmarkEnd w:id="826"/>
      <w:bookmarkEnd w:id="827"/>
      <w:bookmarkEnd w:id="828"/>
      <w:bookmarkEnd w:id="829"/>
      <w:bookmarkEnd w:id="830"/>
      <w:bookmarkEnd w:id="831"/>
      <w:bookmarkEnd w:id="832"/>
      <w:bookmarkEnd w:id="833"/>
      <w:bookmarkEnd w:id="834"/>
      <w:bookmarkEnd w:id="835"/>
    </w:p>
    <w:p w14:paraId="45B48D2C"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36" w:name="_Toc495830467"/>
      <w:r w:rsidRPr="001F4097">
        <w:rPr>
          <w:rFonts w:ascii="Arial Narrow" w:eastAsia="Times New Roman" w:hAnsi="Arial Narrow" w:cs="Times New Roman"/>
          <w:b/>
          <w:sz w:val="28"/>
          <w:szCs w:val="20"/>
          <w:lang w:val="x-none" w:eastAsia="x-none"/>
        </w:rPr>
        <w:t>6.1. Ogólne zasady kontroli jakości robót</w:t>
      </w:r>
      <w:bookmarkEnd w:id="836"/>
    </w:p>
    <w:p w14:paraId="3A98B337"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Ogólne zasady kontroli jakości robót podano w STWiORB D-M-00.00.00 „Wymagania ogólne” [1] pkt 6.</w:t>
      </w:r>
    </w:p>
    <w:p w14:paraId="0F2023D8"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37" w:name="_Toc495830468"/>
      <w:r w:rsidRPr="001F4097">
        <w:rPr>
          <w:rFonts w:ascii="Arial Narrow" w:eastAsia="Times New Roman" w:hAnsi="Arial Narrow" w:cs="Times New Roman"/>
          <w:b/>
          <w:sz w:val="28"/>
          <w:szCs w:val="20"/>
          <w:lang w:val="x-none" w:eastAsia="x-none"/>
        </w:rPr>
        <w:t>6.2. Badania  przed przystąpieniem do robót</w:t>
      </w:r>
      <w:bookmarkEnd w:id="837"/>
    </w:p>
    <w:p w14:paraId="5F0BC74B"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Przed przystąpieniem do robót Wykonawca powinien:</w:t>
      </w:r>
    </w:p>
    <w:p w14:paraId="61E9806E"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uzyskać wymagane dokumenty, dopuszczające wyroby budowlane do obrotu i powszechnego stosowania (aprobaty techniczne, certyfikaty zgodności, deklaracje zgodności, ew. badania materiałów wykonane przez dostawców itp.),</w:t>
      </w:r>
    </w:p>
    <w:p w14:paraId="55F0E349"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ew. wykonać własne badania właściwości materiałów przeznaczonych do wykonania robót, określone w pkcie 2,</w:t>
      </w:r>
    </w:p>
    <w:p w14:paraId="154C53DE"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sprawdzić cechy zewnętrzne gotowych materiałów z tworzyw i prefabrykowanych.</w:t>
      </w:r>
    </w:p>
    <w:p w14:paraId="2C3A3827"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Wszystkie dokumenty oraz wyniki badań Wykonawca przedstawia Inżynierowi do akceptacji.</w:t>
      </w:r>
    </w:p>
    <w:p w14:paraId="5088F51A" w14:textId="77777777" w:rsidR="001F4097" w:rsidRPr="001F4097" w:rsidRDefault="001F4097" w:rsidP="001F4097">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38" w:name="_Toc495830469"/>
      <w:r w:rsidRPr="001F4097">
        <w:rPr>
          <w:rFonts w:ascii="Arial Narrow" w:eastAsia="Times New Roman" w:hAnsi="Arial Narrow" w:cs="Times New Roman"/>
          <w:b/>
          <w:sz w:val="28"/>
          <w:szCs w:val="20"/>
          <w:lang w:val="x-none" w:eastAsia="x-none"/>
        </w:rPr>
        <w:t>6.3. Badania w czasie robót</w:t>
      </w:r>
      <w:bookmarkEnd w:id="838"/>
    </w:p>
    <w:p w14:paraId="312FC47B" w14:textId="77777777" w:rsidR="001F4097" w:rsidRPr="001F4097" w:rsidRDefault="001F4097" w:rsidP="001F4097">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Częstotliwość oraz zakres badań i pomiarów, które należy wykonać w czasie robót  podaje tablica 1.</w:t>
      </w:r>
    </w:p>
    <w:p w14:paraId="10917AF4" w14:textId="77777777" w:rsidR="001F4097" w:rsidRPr="001F4097" w:rsidRDefault="001F4097" w:rsidP="001F4097">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Tablica 1. Częstotliwość oraz zakres badań i pomiarów w czasie robót</w:t>
      </w:r>
    </w:p>
    <w:tbl>
      <w:tblPr>
        <w:tblW w:w="758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118"/>
        <w:gridCol w:w="1559"/>
        <w:gridCol w:w="2410"/>
      </w:tblGrid>
      <w:tr w:rsidR="001F4097" w:rsidRPr="001F4097" w14:paraId="442F282D" w14:textId="77777777" w:rsidTr="00855929">
        <w:tc>
          <w:tcPr>
            <w:tcW w:w="496" w:type="dxa"/>
            <w:tcBorders>
              <w:bottom w:val="double" w:sz="6" w:space="0" w:color="auto"/>
            </w:tcBorders>
          </w:tcPr>
          <w:p w14:paraId="38269511"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lastRenderedPageBreak/>
              <w:t>Lp.</w:t>
            </w:r>
          </w:p>
        </w:tc>
        <w:tc>
          <w:tcPr>
            <w:tcW w:w="3118" w:type="dxa"/>
            <w:tcBorders>
              <w:bottom w:val="double" w:sz="6" w:space="0" w:color="auto"/>
            </w:tcBorders>
          </w:tcPr>
          <w:p w14:paraId="3B319062"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Wyszczególnienie robót</w:t>
            </w:r>
          </w:p>
        </w:tc>
        <w:tc>
          <w:tcPr>
            <w:tcW w:w="1559" w:type="dxa"/>
            <w:tcBorders>
              <w:bottom w:val="double" w:sz="6" w:space="0" w:color="auto"/>
            </w:tcBorders>
          </w:tcPr>
          <w:p w14:paraId="777CC5F5"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Częstotliwość badań</w:t>
            </w:r>
          </w:p>
        </w:tc>
        <w:tc>
          <w:tcPr>
            <w:tcW w:w="2410" w:type="dxa"/>
            <w:tcBorders>
              <w:bottom w:val="double" w:sz="6" w:space="0" w:color="auto"/>
            </w:tcBorders>
          </w:tcPr>
          <w:p w14:paraId="08C3375A"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Wartości dopuszczalne</w:t>
            </w:r>
          </w:p>
        </w:tc>
      </w:tr>
      <w:tr w:rsidR="001F4097" w:rsidRPr="001F4097" w14:paraId="6A1FF95D" w14:textId="77777777" w:rsidTr="00855929">
        <w:tc>
          <w:tcPr>
            <w:tcW w:w="496" w:type="dxa"/>
            <w:tcBorders>
              <w:top w:val="nil"/>
            </w:tcBorders>
          </w:tcPr>
          <w:p w14:paraId="60250DD4"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1</w:t>
            </w:r>
          </w:p>
        </w:tc>
        <w:tc>
          <w:tcPr>
            <w:tcW w:w="3118" w:type="dxa"/>
            <w:tcBorders>
              <w:top w:val="nil"/>
            </w:tcBorders>
          </w:tcPr>
          <w:p w14:paraId="089062CC" w14:textId="77777777" w:rsidR="001F4097" w:rsidRPr="001F4097" w:rsidRDefault="001F4097" w:rsidP="001F4097">
            <w:pPr>
              <w:numPr>
                <w:ilvl w:val="12"/>
                <w:numId w:val="0"/>
              </w:numPr>
              <w:overflowPunct w:val="0"/>
              <w:autoSpaceDE w:val="0"/>
              <w:autoSpaceDN w:val="0"/>
              <w:adjustRightInd w:val="0"/>
              <w:spacing w:after="0" w:line="240" w:lineRule="auto"/>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Lokalizacja i zgodność granic terenu robót z dokumentacją projektową</w:t>
            </w:r>
          </w:p>
        </w:tc>
        <w:tc>
          <w:tcPr>
            <w:tcW w:w="1559" w:type="dxa"/>
            <w:tcBorders>
              <w:top w:val="nil"/>
            </w:tcBorders>
          </w:tcPr>
          <w:p w14:paraId="262AEB5A"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1 raz</w:t>
            </w:r>
          </w:p>
        </w:tc>
        <w:tc>
          <w:tcPr>
            <w:tcW w:w="2410" w:type="dxa"/>
            <w:tcBorders>
              <w:top w:val="nil"/>
            </w:tcBorders>
          </w:tcPr>
          <w:p w14:paraId="57939ADC"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Wg pktu 5 i dokumentacji</w:t>
            </w:r>
          </w:p>
          <w:p w14:paraId="54A8C87B"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projektowej</w:t>
            </w:r>
          </w:p>
        </w:tc>
      </w:tr>
      <w:tr w:rsidR="001F4097" w:rsidRPr="001F4097" w14:paraId="71C6E004" w14:textId="77777777" w:rsidTr="00855929">
        <w:tc>
          <w:tcPr>
            <w:tcW w:w="496" w:type="dxa"/>
          </w:tcPr>
          <w:p w14:paraId="67AE4717"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2</w:t>
            </w:r>
          </w:p>
        </w:tc>
        <w:tc>
          <w:tcPr>
            <w:tcW w:w="3118" w:type="dxa"/>
          </w:tcPr>
          <w:p w14:paraId="23EA232F" w14:textId="77777777" w:rsidR="001F4097" w:rsidRPr="001F4097" w:rsidRDefault="001F4097" w:rsidP="001F4097">
            <w:pPr>
              <w:numPr>
                <w:ilvl w:val="12"/>
                <w:numId w:val="0"/>
              </w:numPr>
              <w:overflowPunct w:val="0"/>
              <w:autoSpaceDE w:val="0"/>
              <w:autoSpaceDN w:val="0"/>
              <w:adjustRightInd w:val="0"/>
              <w:spacing w:after="0" w:line="240" w:lineRule="auto"/>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Wykonanie wykopów</w:t>
            </w:r>
          </w:p>
        </w:tc>
        <w:tc>
          <w:tcPr>
            <w:tcW w:w="1559" w:type="dxa"/>
          </w:tcPr>
          <w:p w14:paraId="68549624"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Bieżąco</w:t>
            </w:r>
          </w:p>
        </w:tc>
        <w:tc>
          <w:tcPr>
            <w:tcW w:w="2410" w:type="dxa"/>
          </w:tcPr>
          <w:p w14:paraId="1010DBA4"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Wg pktu 5</w:t>
            </w:r>
          </w:p>
        </w:tc>
      </w:tr>
      <w:tr w:rsidR="001F4097" w:rsidRPr="001F4097" w14:paraId="51D9E49D" w14:textId="77777777" w:rsidTr="00855929">
        <w:tc>
          <w:tcPr>
            <w:tcW w:w="496" w:type="dxa"/>
          </w:tcPr>
          <w:p w14:paraId="758CF78E"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3</w:t>
            </w:r>
          </w:p>
        </w:tc>
        <w:tc>
          <w:tcPr>
            <w:tcW w:w="3118" w:type="dxa"/>
          </w:tcPr>
          <w:p w14:paraId="3C01F766" w14:textId="77777777" w:rsidR="001F4097" w:rsidRPr="001F4097" w:rsidRDefault="001F4097" w:rsidP="001F4097">
            <w:pPr>
              <w:numPr>
                <w:ilvl w:val="12"/>
                <w:numId w:val="0"/>
              </w:numPr>
              <w:overflowPunct w:val="0"/>
              <w:autoSpaceDE w:val="0"/>
              <w:autoSpaceDN w:val="0"/>
              <w:adjustRightInd w:val="0"/>
              <w:spacing w:after="0" w:line="240" w:lineRule="auto"/>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Wykonanie fundamentu (ławy) przepustu</w:t>
            </w:r>
          </w:p>
        </w:tc>
        <w:tc>
          <w:tcPr>
            <w:tcW w:w="1559" w:type="dxa"/>
          </w:tcPr>
          <w:p w14:paraId="327CE4CA"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Bieżąco</w:t>
            </w:r>
          </w:p>
        </w:tc>
        <w:tc>
          <w:tcPr>
            <w:tcW w:w="2410" w:type="dxa"/>
          </w:tcPr>
          <w:p w14:paraId="7C61DFF6"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Wg pktu 5</w:t>
            </w:r>
          </w:p>
        </w:tc>
      </w:tr>
      <w:tr w:rsidR="001F4097" w:rsidRPr="001F4097" w14:paraId="266B087D" w14:textId="77777777" w:rsidTr="00855929">
        <w:tc>
          <w:tcPr>
            <w:tcW w:w="496" w:type="dxa"/>
          </w:tcPr>
          <w:p w14:paraId="2F244BCE"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4</w:t>
            </w:r>
          </w:p>
        </w:tc>
        <w:tc>
          <w:tcPr>
            <w:tcW w:w="3118" w:type="dxa"/>
          </w:tcPr>
          <w:p w14:paraId="1E7CDF7A" w14:textId="77777777" w:rsidR="001F4097" w:rsidRPr="001F4097" w:rsidRDefault="001F4097" w:rsidP="001F4097">
            <w:pPr>
              <w:numPr>
                <w:ilvl w:val="12"/>
                <w:numId w:val="0"/>
              </w:numPr>
              <w:overflowPunct w:val="0"/>
              <w:autoSpaceDE w:val="0"/>
              <w:autoSpaceDN w:val="0"/>
              <w:adjustRightInd w:val="0"/>
              <w:spacing w:after="0" w:line="240" w:lineRule="auto"/>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Ułożenie rur przepustu na ławie</w:t>
            </w:r>
          </w:p>
        </w:tc>
        <w:tc>
          <w:tcPr>
            <w:tcW w:w="1559" w:type="dxa"/>
          </w:tcPr>
          <w:p w14:paraId="3796034B"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Bieżąco</w:t>
            </w:r>
          </w:p>
        </w:tc>
        <w:tc>
          <w:tcPr>
            <w:tcW w:w="2410" w:type="dxa"/>
          </w:tcPr>
          <w:p w14:paraId="11092206"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Wg pktu 5</w:t>
            </w:r>
          </w:p>
        </w:tc>
      </w:tr>
      <w:tr w:rsidR="001F4097" w:rsidRPr="001F4097" w14:paraId="4AD1F991" w14:textId="77777777" w:rsidTr="00855929">
        <w:tc>
          <w:tcPr>
            <w:tcW w:w="496" w:type="dxa"/>
          </w:tcPr>
          <w:p w14:paraId="733161BF"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5</w:t>
            </w:r>
          </w:p>
        </w:tc>
        <w:tc>
          <w:tcPr>
            <w:tcW w:w="3118" w:type="dxa"/>
          </w:tcPr>
          <w:p w14:paraId="487FE162" w14:textId="77777777" w:rsidR="001F4097" w:rsidRPr="001F4097" w:rsidRDefault="001F4097" w:rsidP="001F4097">
            <w:pPr>
              <w:numPr>
                <w:ilvl w:val="12"/>
                <w:numId w:val="0"/>
              </w:numPr>
              <w:overflowPunct w:val="0"/>
              <w:autoSpaceDE w:val="0"/>
              <w:autoSpaceDN w:val="0"/>
              <w:adjustRightInd w:val="0"/>
              <w:spacing w:after="0" w:line="240" w:lineRule="auto"/>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Zasypka przepustu</w:t>
            </w:r>
          </w:p>
        </w:tc>
        <w:tc>
          <w:tcPr>
            <w:tcW w:w="1559" w:type="dxa"/>
          </w:tcPr>
          <w:p w14:paraId="6CF65653"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Bieżąco</w:t>
            </w:r>
          </w:p>
        </w:tc>
        <w:tc>
          <w:tcPr>
            <w:tcW w:w="2410" w:type="dxa"/>
          </w:tcPr>
          <w:p w14:paraId="415A934E"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Wg pktu 5</w:t>
            </w:r>
          </w:p>
        </w:tc>
      </w:tr>
      <w:tr w:rsidR="001F4097" w:rsidRPr="001F4097" w14:paraId="436EF714" w14:textId="77777777" w:rsidTr="00855929">
        <w:tc>
          <w:tcPr>
            <w:tcW w:w="496" w:type="dxa"/>
          </w:tcPr>
          <w:p w14:paraId="74600E88"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6</w:t>
            </w:r>
          </w:p>
        </w:tc>
        <w:tc>
          <w:tcPr>
            <w:tcW w:w="3118" w:type="dxa"/>
          </w:tcPr>
          <w:p w14:paraId="241A75F6" w14:textId="77777777" w:rsidR="001F4097" w:rsidRPr="001F4097" w:rsidRDefault="001F4097" w:rsidP="001F4097">
            <w:pPr>
              <w:numPr>
                <w:ilvl w:val="12"/>
                <w:numId w:val="0"/>
              </w:numPr>
              <w:overflowPunct w:val="0"/>
              <w:autoSpaceDE w:val="0"/>
              <w:autoSpaceDN w:val="0"/>
              <w:adjustRightInd w:val="0"/>
              <w:spacing w:after="0" w:line="240" w:lineRule="auto"/>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Umocnienie skarp przy wlocie i wylocie przepustu</w:t>
            </w:r>
          </w:p>
        </w:tc>
        <w:tc>
          <w:tcPr>
            <w:tcW w:w="1559" w:type="dxa"/>
          </w:tcPr>
          <w:p w14:paraId="262C3044"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Bieżąco</w:t>
            </w:r>
          </w:p>
        </w:tc>
        <w:tc>
          <w:tcPr>
            <w:tcW w:w="2410" w:type="dxa"/>
          </w:tcPr>
          <w:p w14:paraId="084468A3"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Wg pktu 5</w:t>
            </w:r>
          </w:p>
        </w:tc>
      </w:tr>
      <w:tr w:rsidR="001F4097" w:rsidRPr="001F4097" w14:paraId="23EB8AE8" w14:textId="77777777" w:rsidTr="00855929">
        <w:tc>
          <w:tcPr>
            <w:tcW w:w="496" w:type="dxa"/>
          </w:tcPr>
          <w:p w14:paraId="13098725"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7</w:t>
            </w:r>
          </w:p>
        </w:tc>
        <w:tc>
          <w:tcPr>
            <w:tcW w:w="3118" w:type="dxa"/>
          </w:tcPr>
          <w:p w14:paraId="6F9257DA" w14:textId="77777777" w:rsidR="001F4097" w:rsidRPr="001F4097" w:rsidRDefault="001F4097" w:rsidP="001F4097">
            <w:pPr>
              <w:numPr>
                <w:ilvl w:val="12"/>
                <w:numId w:val="0"/>
              </w:numPr>
              <w:overflowPunct w:val="0"/>
              <w:autoSpaceDE w:val="0"/>
              <w:autoSpaceDN w:val="0"/>
              <w:adjustRightInd w:val="0"/>
              <w:spacing w:after="0" w:line="240" w:lineRule="auto"/>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Wykonanie robót wykończeniowych</w:t>
            </w:r>
          </w:p>
        </w:tc>
        <w:tc>
          <w:tcPr>
            <w:tcW w:w="1559" w:type="dxa"/>
          </w:tcPr>
          <w:p w14:paraId="5C4135FD"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Ocena ciągła</w:t>
            </w:r>
          </w:p>
        </w:tc>
        <w:tc>
          <w:tcPr>
            <w:tcW w:w="2410" w:type="dxa"/>
          </w:tcPr>
          <w:p w14:paraId="4CC1050C" w14:textId="77777777" w:rsidR="001F4097" w:rsidRPr="001F4097" w:rsidRDefault="001F4097" w:rsidP="001F4097">
            <w:pPr>
              <w:numPr>
                <w:ilvl w:val="12"/>
                <w:numId w:val="0"/>
              </w:numPr>
              <w:overflowPunct w:val="0"/>
              <w:autoSpaceDE w:val="0"/>
              <w:autoSpaceDN w:val="0"/>
              <w:adjustRightInd w:val="0"/>
              <w:spacing w:after="0" w:line="240" w:lineRule="auto"/>
              <w:jc w:val="center"/>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Wg pktu 5</w:t>
            </w:r>
          </w:p>
        </w:tc>
      </w:tr>
    </w:tbl>
    <w:p w14:paraId="1E3CAF30" w14:textId="77777777" w:rsidR="001F4097" w:rsidRPr="001F4097" w:rsidRDefault="001F4097" w:rsidP="001F409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1F4097">
        <w:rPr>
          <w:rFonts w:ascii="Arial Narrow" w:eastAsia="Times New Roman" w:hAnsi="Arial Narrow" w:cs="Times New Roman"/>
          <w:b/>
          <w:caps/>
          <w:kern w:val="28"/>
          <w:sz w:val="28"/>
          <w:szCs w:val="20"/>
          <w:lang w:val="x-none" w:eastAsia="x-none"/>
        </w:rPr>
        <w:t xml:space="preserve"> </w:t>
      </w:r>
      <w:bookmarkStart w:id="839" w:name="_Toc179178836"/>
      <w:bookmarkStart w:id="840" w:name="_Toc495830470"/>
      <w:r w:rsidRPr="001F4097">
        <w:rPr>
          <w:rFonts w:ascii="Arial Narrow" w:eastAsia="Times New Roman" w:hAnsi="Arial Narrow" w:cs="Times New Roman"/>
          <w:b/>
          <w:caps/>
          <w:kern w:val="28"/>
          <w:sz w:val="28"/>
          <w:szCs w:val="20"/>
          <w:lang w:val="x-none" w:eastAsia="x-none"/>
        </w:rPr>
        <w:t>7. OBMIAR ROBÓT</w:t>
      </w:r>
      <w:bookmarkEnd w:id="839"/>
      <w:bookmarkEnd w:id="840"/>
    </w:p>
    <w:p w14:paraId="1919942A"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41" w:name="_Toc495830471"/>
      <w:r w:rsidRPr="001F4097">
        <w:rPr>
          <w:rFonts w:ascii="Arial Narrow" w:eastAsia="Times New Roman" w:hAnsi="Arial Narrow" w:cs="Times New Roman"/>
          <w:b/>
          <w:sz w:val="28"/>
          <w:szCs w:val="20"/>
          <w:lang w:val="x-none" w:eastAsia="x-none"/>
        </w:rPr>
        <w:t>7.1. Ogólne zasady obmiaru robót</w:t>
      </w:r>
      <w:bookmarkEnd w:id="841"/>
    </w:p>
    <w:p w14:paraId="0555CCED" w14:textId="77777777" w:rsidR="001F4097" w:rsidRPr="001F4097" w:rsidRDefault="001F4097" w:rsidP="001F4097">
      <w:pPr>
        <w:tabs>
          <w:tab w:val="left" w:pos="-709"/>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Ogólne zasady obmiaru robót podano w STWiORB D-M-00.00.00 „Wymagania ogólne” [1]  pkt 7.</w:t>
      </w:r>
    </w:p>
    <w:p w14:paraId="47A36661"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42" w:name="_Toc495830472"/>
      <w:r w:rsidRPr="001F4097">
        <w:rPr>
          <w:rFonts w:ascii="Arial Narrow" w:eastAsia="Times New Roman" w:hAnsi="Arial Narrow" w:cs="Times New Roman"/>
          <w:b/>
          <w:sz w:val="28"/>
          <w:szCs w:val="20"/>
          <w:lang w:val="x-none" w:eastAsia="x-none"/>
        </w:rPr>
        <w:t>7.2. Jednostka obmiarowa</w:t>
      </w:r>
      <w:bookmarkEnd w:id="842"/>
    </w:p>
    <w:p w14:paraId="629B7F9D" w14:textId="77777777" w:rsidR="001F4097" w:rsidRPr="001F4097" w:rsidRDefault="001F4097" w:rsidP="001F4097">
      <w:pPr>
        <w:tabs>
          <w:tab w:val="left" w:pos="-709"/>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Jednostką obmiarową jest m (metr) kompletnego wykonania przepustu.</w:t>
      </w:r>
    </w:p>
    <w:p w14:paraId="027B84DA" w14:textId="77777777" w:rsidR="001F4097" w:rsidRPr="001F4097" w:rsidRDefault="001F4097" w:rsidP="001F409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43" w:name="_Toc179178837"/>
      <w:bookmarkStart w:id="844" w:name="_Toc495830473"/>
      <w:r w:rsidRPr="001F4097">
        <w:rPr>
          <w:rFonts w:ascii="Arial Narrow" w:eastAsia="Times New Roman" w:hAnsi="Arial Narrow" w:cs="Times New Roman"/>
          <w:b/>
          <w:caps/>
          <w:kern w:val="28"/>
          <w:sz w:val="28"/>
          <w:szCs w:val="20"/>
          <w:lang w:val="x-none" w:eastAsia="x-none"/>
        </w:rPr>
        <w:t>8. ODBIÓR ROBÓT</w:t>
      </w:r>
      <w:bookmarkEnd w:id="843"/>
      <w:bookmarkEnd w:id="844"/>
    </w:p>
    <w:p w14:paraId="57A4585D"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45" w:name="_Toc495830474"/>
      <w:r w:rsidRPr="001F4097">
        <w:rPr>
          <w:rFonts w:ascii="Arial Narrow" w:eastAsia="Times New Roman" w:hAnsi="Arial Narrow" w:cs="Times New Roman"/>
          <w:b/>
          <w:sz w:val="28"/>
          <w:szCs w:val="20"/>
          <w:lang w:val="x-none" w:eastAsia="x-none"/>
        </w:rPr>
        <w:t>8.1. Ogólne zasady odbioru robót</w:t>
      </w:r>
      <w:bookmarkEnd w:id="845"/>
    </w:p>
    <w:p w14:paraId="56DED854" w14:textId="77777777" w:rsidR="001F4097" w:rsidRPr="001F4097" w:rsidRDefault="001F4097" w:rsidP="001F4097">
      <w:pPr>
        <w:tabs>
          <w:tab w:val="left" w:pos="-709"/>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Ogólne zasady odbioru robót podano w STWiORB D-M-00.00.00 „Wymagania ogólne” [1] pkt 8.</w:t>
      </w:r>
    </w:p>
    <w:p w14:paraId="3E1DF89D" w14:textId="77777777" w:rsidR="001F4097" w:rsidRPr="001F4097" w:rsidRDefault="001F4097" w:rsidP="001F4097">
      <w:pPr>
        <w:tabs>
          <w:tab w:val="left" w:pos="-709"/>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Roboty uznaje się za wykonane zgodnie z dokumentacją projektową, ST i wymaganiami Inżyniera, jeżeli wszystkie pomiary i badania z zachowaniem tolerancji wg pkt 6 dały wyniki pozytywne.</w:t>
      </w:r>
    </w:p>
    <w:p w14:paraId="1ED780AB"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46" w:name="_Toc495830475"/>
      <w:r w:rsidRPr="001F4097">
        <w:rPr>
          <w:rFonts w:ascii="Arial Narrow" w:eastAsia="Times New Roman" w:hAnsi="Arial Narrow" w:cs="Times New Roman"/>
          <w:b/>
          <w:sz w:val="28"/>
          <w:szCs w:val="20"/>
          <w:lang w:val="x-none" w:eastAsia="x-none"/>
        </w:rPr>
        <w:t>8.2. Odbiór robót zanikających i ulegających zakryciu</w:t>
      </w:r>
      <w:bookmarkEnd w:id="846"/>
    </w:p>
    <w:p w14:paraId="4C6FED99"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Odbiorowi robót zanikających i ulegających zakryciu podlegają:</w:t>
      </w:r>
    </w:p>
    <w:p w14:paraId="7CFAD960"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wykonanie wykopu,</w:t>
      </w:r>
    </w:p>
    <w:p w14:paraId="3E722D10"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wykonanie ławy fundamentowej.</w:t>
      </w:r>
    </w:p>
    <w:p w14:paraId="3D379BF3"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Odbiór tych robót powinien być zgodny z wymaganiami pktu 8.2 D-M-00.00.00 „Wymagania ogólne” [1] oraz niniejszej STWiORB.</w:t>
      </w:r>
    </w:p>
    <w:p w14:paraId="19668AA7" w14:textId="77777777" w:rsidR="001F4097" w:rsidRPr="001F4097" w:rsidRDefault="001F4097" w:rsidP="001F409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47" w:name="_Toc179178838"/>
      <w:bookmarkStart w:id="848" w:name="_Toc495830476"/>
      <w:r w:rsidRPr="001F4097">
        <w:rPr>
          <w:rFonts w:ascii="Arial Narrow" w:eastAsia="Times New Roman" w:hAnsi="Arial Narrow" w:cs="Times New Roman"/>
          <w:b/>
          <w:caps/>
          <w:kern w:val="28"/>
          <w:sz w:val="28"/>
          <w:szCs w:val="20"/>
          <w:lang w:val="x-none" w:eastAsia="x-none"/>
        </w:rPr>
        <w:t>9. PODSTAWA PŁATNOŚCI</w:t>
      </w:r>
      <w:bookmarkEnd w:id="847"/>
      <w:bookmarkEnd w:id="848"/>
    </w:p>
    <w:p w14:paraId="0DE1E630"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49" w:name="_Toc495830477"/>
      <w:r w:rsidRPr="001F4097">
        <w:rPr>
          <w:rFonts w:ascii="Arial Narrow" w:eastAsia="Times New Roman" w:hAnsi="Arial Narrow" w:cs="Times New Roman"/>
          <w:b/>
          <w:sz w:val="28"/>
          <w:szCs w:val="20"/>
          <w:lang w:val="x-none" w:eastAsia="x-none"/>
        </w:rPr>
        <w:t>9.1. Ogólne ustalenia dotyczące podstawy płatności</w:t>
      </w:r>
      <w:bookmarkEnd w:id="849"/>
    </w:p>
    <w:p w14:paraId="2E4877C9" w14:textId="77777777" w:rsidR="001F4097" w:rsidRPr="001F4097" w:rsidRDefault="001F4097" w:rsidP="001F4097">
      <w:pPr>
        <w:tabs>
          <w:tab w:val="left" w:pos="-709"/>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 xml:space="preserve">Ogólne  ustalenia  dotyczące  podstawy  płatności  podano   w </w:t>
      </w:r>
      <w:r w:rsidRPr="001F4097">
        <w:rPr>
          <w:rFonts w:ascii="Arial Narrow" w:eastAsia="Times New Roman" w:hAnsi="Arial Narrow" w:cs="Times New Roman"/>
          <w:b/>
          <w:sz w:val="20"/>
          <w:szCs w:val="20"/>
          <w:lang w:eastAsia="pl-PL"/>
        </w:rPr>
        <w:t xml:space="preserve"> </w:t>
      </w:r>
      <w:r w:rsidRPr="001F4097">
        <w:rPr>
          <w:rFonts w:ascii="Arial Narrow" w:eastAsia="Times New Roman" w:hAnsi="Arial Narrow" w:cs="Times New Roman"/>
          <w:sz w:val="20"/>
          <w:szCs w:val="20"/>
          <w:lang w:eastAsia="pl-PL"/>
        </w:rPr>
        <w:t>STWiORB D-M-00.00.00 „Wymagania ogólne” [1]  pkt 9.</w:t>
      </w:r>
    </w:p>
    <w:p w14:paraId="2D282446"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50" w:name="_Toc495830478"/>
      <w:r w:rsidRPr="001F4097">
        <w:rPr>
          <w:rFonts w:ascii="Arial Narrow" w:eastAsia="Times New Roman" w:hAnsi="Arial Narrow" w:cs="Times New Roman"/>
          <w:b/>
          <w:sz w:val="28"/>
          <w:szCs w:val="20"/>
          <w:lang w:val="x-none" w:eastAsia="x-none"/>
        </w:rPr>
        <w:t>9.2. Cena jednostki obmiarowej</w:t>
      </w:r>
      <w:bookmarkEnd w:id="850"/>
    </w:p>
    <w:p w14:paraId="78046B7E" w14:textId="77777777" w:rsidR="001F4097" w:rsidRPr="001F4097" w:rsidRDefault="001F4097" w:rsidP="001F4097">
      <w:pPr>
        <w:tabs>
          <w:tab w:val="left" w:pos="-709"/>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 xml:space="preserve">Cena wykonania </w:t>
      </w:r>
      <w:smartTag w:uri="urn:schemas-microsoft-com:office:smarttags" w:element="metricconverter">
        <w:smartTagPr>
          <w:attr w:name="ProductID" w:val="1 m"/>
        </w:smartTagPr>
        <w:r w:rsidRPr="001F4097">
          <w:rPr>
            <w:rFonts w:ascii="Arial Narrow" w:eastAsia="Times New Roman" w:hAnsi="Arial Narrow" w:cs="Times New Roman"/>
            <w:sz w:val="20"/>
            <w:szCs w:val="20"/>
            <w:lang w:eastAsia="pl-PL"/>
          </w:rPr>
          <w:t>1 m</w:t>
        </w:r>
      </w:smartTag>
      <w:r w:rsidRPr="001F4097">
        <w:rPr>
          <w:rFonts w:ascii="Arial Narrow" w:eastAsia="Times New Roman" w:hAnsi="Arial Narrow" w:cs="Times New Roman"/>
          <w:sz w:val="20"/>
          <w:szCs w:val="20"/>
          <w:lang w:eastAsia="pl-PL"/>
        </w:rPr>
        <w:t xml:space="preserve"> kompletnego przepustu obejmuje:</w:t>
      </w:r>
    </w:p>
    <w:p w14:paraId="5C9CA759"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prace pomiarowe i roboty przygotowawcze,</w:t>
      </w:r>
    </w:p>
    <w:p w14:paraId="00CCF4CD"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oznakowanie robót,</w:t>
      </w:r>
    </w:p>
    <w:p w14:paraId="51D80C6D"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przygotowanie podłoża,</w:t>
      </w:r>
    </w:p>
    <w:p w14:paraId="68619507"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dostarczenie materiałów i sprzętu,</w:t>
      </w:r>
    </w:p>
    <w:p w14:paraId="029F1446"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wykonanie przepustu z wykopem, ławą, ułożeniem rur, zasypką, umocnieniem skarp według wymagań dokumentacji projektowej, ST i specyfikacji technicznej,</w:t>
      </w:r>
    </w:p>
    <w:p w14:paraId="2BD97608"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przeprowadzenie pomiarów i badań wymaganych w specyfikacji technicznej,</w:t>
      </w:r>
    </w:p>
    <w:p w14:paraId="5091D804"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odwiezienie sprzętu.</w:t>
      </w:r>
    </w:p>
    <w:p w14:paraId="0618EA66"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51" w:name="_Toc495830479"/>
      <w:r w:rsidRPr="001F4097">
        <w:rPr>
          <w:rFonts w:ascii="Arial Narrow" w:eastAsia="Times New Roman" w:hAnsi="Arial Narrow" w:cs="Times New Roman"/>
          <w:b/>
          <w:sz w:val="28"/>
          <w:szCs w:val="20"/>
          <w:lang w:val="x-none" w:eastAsia="x-none"/>
        </w:rPr>
        <w:t>9.3. Sposób rozliczenia robót tymczasowych i prac towarzyszących</w:t>
      </w:r>
      <w:bookmarkEnd w:id="851"/>
    </w:p>
    <w:p w14:paraId="04E4EF79" w14:textId="77777777" w:rsidR="001F4097" w:rsidRPr="001F4097" w:rsidRDefault="001F4097" w:rsidP="001F4097">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F4097">
        <w:rPr>
          <w:rFonts w:ascii="Arial Narrow" w:eastAsia="Times New Roman" w:hAnsi="Arial Narrow" w:cs="Times New Roman"/>
          <w:sz w:val="20"/>
          <w:szCs w:val="20"/>
          <w:lang w:eastAsia="pl-PL"/>
        </w:rPr>
        <w:t>Cena wykonania robót określonych niniejszą STWiORB obejmuje:</w:t>
      </w:r>
    </w:p>
    <w:p w14:paraId="5DC3B312"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roboty tymczasowe, które są potrzebne do wykonania robót podstawowych, ale nie są przekazywane Zamawiającemu i są usuwane po wykonaniu robót podstawowych,</w:t>
      </w:r>
    </w:p>
    <w:p w14:paraId="37B9A9A2" w14:textId="77777777" w:rsidR="001F4097" w:rsidRPr="001F4097" w:rsidRDefault="001F4097" w:rsidP="00AD6DA2">
      <w:pPr>
        <w:numPr>
          <w:ilvl w:val="0"/>
          <w:numId w:val="28"/>
        </w:numPr>
        <w:overflowPunct w:val="0"/>
        <w:autoSpaceDE w:val="0"/>
        <w:autoSpaceDN w:val="0"/>
        <w:adjustRightInd w:val="0"/>
        <w:spacing w:after="0" w:line="240" w:lineRule="auto"/>
        <w:jc w:val="both"/>
        <w:textAlignment w:val="baseline"/>
        <w:outlineLvl w:val="7"/>
        <w:rPr>
          <w:rFonts w:ascii="Arial Narrow" w:eastAsia="Times New Roman" w:hAnsi="Arial Narrow" w:cs="Times New Roman"/>
          <w:sz w:val="20"/>
          <w:szCs w:val="20"/>
          <w:lang w:val="x-none" w:eastAsia="x-none"/>
        </w:rPr>
      </w:pPr>
      <w:r w:rsidRPr="001F4097">
        <w:rPr>
          <w:rFonts w:ascii="Arial Narrow" w:eastAsia="Times New Roman" w:hAnsi="Arial Narrow" w:cs="Times New Roman"/>
          <w:sz w:val="20"/>
          <w:szCs w:val="20"/>
          <w:lang w:val="x-none" w:eastAsia="x-none"/>
        </w:rPr>
        <w:t>prace towarzyszące, które są niezbędne do wykonania robót podstawowych, niezaliczane do robót tymczasowych, jak geodezyjne wytyczenie robót itd.</w:t>
      </w:r>
    </w:p>
    <w:p w14:paraId="68AD7B80" w14:textId="77777777" w:rsidR="001F4097" w:rsidRPr="001F4097" w:rsidRDefault="001F4097" w:rsidP="001F4097">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52" w:name="_Toc179178839"/>
      <w:bookmarkStart w:id="853" w:name="_Toc495830480"/>
      <w:r w:rsidRPr="001F4097">
        <w:rPr>
          <w:rFonts w:ascii="Arial Narrow" w:eastAsia="Times New Roman" w:hAnsi="Arial Narrow" w:cs="Times New Roman"/>
          <w:b/>
          <w:caps/>
          <w:kern w:val="28"/>
          <w:sz w:val="28"/>
          <w:szCs w:val="20"/>
          <w:lang w:val="x-none" w:eastAsia="x-none"/>
        </w:rPr>
        <w:t>10. PRZEPISY ZWIĄZANE</w:t>
      </w:r>
      <w:bookmarkEnd w:id="852"/>
      <w:bookmarkEnd w:id="853"/>
    </w:p>
    <w:p w14:paraId="6267BA8F"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54" w:name="_Toc495830481"/>
      <w:r w:rsidRPr="001F4097">
        <w:rPr>
          <w:rFonts w:ascii="Arial Narrow" w:eastAsia="Times New Roman" w:hAnsi="Arial Narrow" w:cs="Times New Roman"/>
          <w:b/>
          <w:sz w:val="28"/>
          <w:szCs w:val="20"/>
          <w:lang w:val="x-none" w:eastAsia="x-none"/>
        </w:rPr>
        <w:t>10.1. Ogólne specyfikacje techniczne (STWiORB)</w:t>
      </w:r>
      <w:bookmarkEnd w:id="854"/>
    </w:p>
    <w:tbl>
      <w:tblPr>
        <w:tblW w:w="0" w:type="auto"/>
        <w:tblLayout w:type="fixed"/>
        <w:tblCellMar>
          <w:left w:w="70" w:type="dxa"/>
          <w:right w:w="70" w:type="dxa"/>
        </w:tblCellMar>
        <w:tblLook w:val="0000" w:firstRow="0" w:lastRow="0" w:firstColumn="0" w:lastColumn="0" w:noHBand="0" w:noVBand="0"/>
      </w:tblPr>
      <w:tblGrid>
        <w:gridCol w:w="496"/>
        <w:gridCol w:w="1984"/>
        <w:gridCol w:w="5030"/>
      </w:tblGrid>
      <w:tr w:rsidR="001F4097" w:rsidRPr="001F4097" w14:paraId="0D292A98" w14:textId="77777777" w:rsidTr="00855929">
        <w:tc>
          <w:tcPr>
            <w:tcW w:w="496" w:type="dxa"/>
          </w:tcPr>
          <w:p w14:paraId="406CF0B7" w14:textId="77777777" w:rsidR="001F4097" w:rsidRPr="001F4097" w:rsidRDefault="001F4097" w:rsidP="001F409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F4097">
              <w:rPr>
                <w:rFonts w:ascii="Arial Narrow" w:eastAsia="Times New Roman" w:hAnsi="Arial Narrow" w:cs="Times New Roman"/>
                <w:sz w:val="20"/>
              </w:rPr>
              <w:t>1.</w:t>
            </w:r>
          </w:p>
        </w:tc>
        <w:tc>
          <w:tcPr>
            <w:tcW w:w="1984" w:type="dxa"/>
          </w:tcPr>
          <w:p w14:paraId="2E5B847B" w14:textId="77777777" w:rsidR="001F4097" w:rsidRPr="001F4097" w:rsidRDefault="001F4097" w:rsidP="001F409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F4097">
              <w:rPr>
                <w:rFonts w:ascii="Arial Narrow" w:eastAsia="Times New Roman" w:hAnsi="Arial Narrow" w:cs="Times New Roman"/>
                <w:sz w:val="20"/>
              </w:rPr>
              <w:t>D-M-00.00.00</w:t>
            </w:r>
          </w:p>
        </w:tc>
        <w:tc>
          <w:tcPr>
            <w:tcW w:w="5030" w:type="dxa"/>
          </w:tcPr>
          <w:p w14:paraId="07F64106" w14:textId="77777777" w:rsidR="001F4097" w:rsidRPr="001F4097" w:rsidRDefault="001F4097" w:rsidP="001F409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F4097">
              <w:rPr>
                <w:rFonts w:ascii="Arial Narrow" w:eastAsia="Times New Roman" w:hAnsi="Arial Narrow" w:cs="Times New Roman"/>
                <w:sz w:val="20"/>
              </w:rPr>
              <w:t>Wymagania ogólne</w:t>
            </w:r>
          </w:p>
        </w:tc>
      </w:tr>
      <w:tr w:rsidR="001F4097" w:rsidRPr="001F4097" w14:paraId="31D01372" w14:textId="77777777" w:rsidTr="00855929">
        <w:tc>
          <w:tcPr>
            <w:tcW w:w="496" w:type="dxa"/>
          </w:tcPr>
          <w:p w14:paraId="7F53D185" w14:textId="77777777" w:rsidR="001F4097" w:rsidRPr="001F4097" w:rsidRDefault="001F4097" w:rsidP="001F409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F4097">
              <w:rPr>
                <w:rFonts w:ascii="Arial Narrow" w:eastAsia="Times New Roman" w:hAnsi="Arial Narrow" w:cs="Times New Roman"/>
                <w:sz w:val="20"/>
              </w:rPr>
              <w:t>2.</w:t>
            </w:r>
          </w:p>
        </w:tc>
        <w:tc>
          <w:tcPr>
            <w:tcW w:w="1984" w:type="dxa"/>
          </w:tcPr>
          <w:p w14:paraId="4D99E662" w14:textId="77777777" w:rsidR="001F4097" w:rsidRPr="001F4097" w:rsidRDefault="001F4097" w:rsidP="001F409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F4097">
              <w:rPr>
                <w:rFonts w:ascii="Arial Narrow" w:eastAsia="Times New Roman" w:hAnsi="Arial Narrow" w:cs="Times New Roman"/>
                <w:sz w:val="20"/>
              </w:rPr>
              <w:t>D-01.00.00</w:t>
            </w:r>
          </w:p>
        </w:tc>
        <w:tc>
          <w:tcPr>
            <w:tcW w:w="5030" w:type="dxa"/>
          </w:tcPr>
          <w:p w14:paraId="24281C3D" w14:textId="77777777" w:rsidR="001F4097" w:rsidRPr="001F4097" w:rsidRDefault="001F4097" w:rsidP="001F409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F4097">
              <w:rPr>
                <w:rFonts w:ascii="Arial Narrow" w:eastAsia="Times New Roman" w:hAnsi="Arial Narrow" w:cs="Times New Roman"/>
                <w:sz w:val="20"/>
              </w:rPr>
              <w:t>Roboty przygotowawcze</w:t>
            </w:r>
          </w:p>
        </w:tc>
      </w:tr>
      <w:tr w:rsidR="001F4097" w:rsidRPr="001F4097" w14:paraId="010F5EA2" w14:textId="77777777" w:rsidTr="00855929">
        <w:tc>
          <w:tcPr>
            <w:tcW w:w="496" w:type="dxa"/>
          </w:tcPr>
          <w:p w14:paraId="1686DA9A" w14:textId="77777777" w:rsidR="001F4097" w:rsidRPr="001F4097" w:rsidRDefault="001F4097" w:rsidP="001F409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F4097">
              <w:rPr>
                <w:rFonts w:ascii="Arial Narrow" w:eastAsia="Times New Roman" w:hAnsi="Arial Narrow" w:cs="Times New Roman"/>
                <w:sz w:val="20"/>
              </w:rPr>
              <w:t>3.</w:t>
            </w:r>
          </w:p>
        </w:tc>
        <w:tc>
          <w:tcPr>
            <w:tcW w:w="1984" w:type="dxa"/>
          </w:tcPr>
          <w:p w14:paraId="4E7D05C9" w14:textId="77777777" w:rsidR="001F4097" w:rsidRPr="001F4097" w:rsidRDefault="001F4097" w:rsidP="001F409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F4097">
              <w:rPr>
                <w:rFonts w:ascii="Arial Narrow" w:eastAsia="Times New Roman" w:hAnsi="Arial Narrow" w:cs="Times New Roman"/>
                <w:sz w:val="20"/>
              </w:rPr>
              <w:t>D-02.00.00</w:t>
            </w:r>
          </w:p>
        </w:tc>
        <w:tc>
          <w:tcPr>
            <w:tcW w:w="5030" w:type="dxa"/>
          </w:tcPr>
          <w:p w14:paraId="2D53C092" w14:textId="77777777" w:rsidR="001F4097" w:rsidRPr="001F4097" w:rsidRDefault="001F4097" w:rsidP="001F409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F4097">
              <w:rPr>
                <w:rFonts w:ascii="Arial Narrow" w:eastAsia="Times New Roman" w:hAnsi="Arial Narrow" w:cs="Times New Roman"/>
                <w:sz w:val="20"/>
              </w:rPr>
              <w:t>Roboty ziemne</w:t>
            </w:r>
          </w:p>
        </w:tc>
      </w:tr>
      <w:tr w:rsidR="001F4097" w:rsidRPr="001F4097" w14:paraId="5BE2C97D" w14:textId="77777777" w:rsidTr="00855929">
        <w:tc>
          <w:tcPr>
            <w:tcW w:w="496" w:type="dxa"/>
          </w:tcPr>
          <w:p w14:paraId="45AE2C2A" w14:textId="77777777" w:rsidR="001F4097" w:rsidRPr="001F4097" w:rsidRDefault="001F4097" w:rsidP="001F409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F4097">
              <w:rPr>
                <w:rFonts w:ascii="Arial Narrow" w:eastAsia="Times New Roman" w:hAnsi="Arial Narrow" w:cs="Times New Roman"/>
                <w:sz w:val="20"/>
              </w:rPr>
              <w:t>6.</w:t>
            </w:r>
          </w:p>
        </w:tc>
        <w:tc>
          <w:tcPr>
            <w:tcW w:w="1984" w:type="dxa"/>
          </w:tcPr>
          <w:p w14:paraId="45E133C1" w14:textId="77777777" w:rsidR="001F4097" w:rsidRPr="001F4097" w:rsidRDefault="001F4097" w:rsidP="001F409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F4097">
              <w:rPr>
                <w:rFonts w:ascii="Arial Narrow" w:eastAsia="Times New Roman" w:hAnsi="Arial Narrow" w:cs="Times New Roman"/>
                <w:sz w:val="20"/>
              </w:rPr>
              <w:t>D-06.01.01</w:t>
            </w:r>
          </w:p>
        </w:tc>
        <w:tc>
          <w:tcPr>
            <w:tcW w:w="5030" w:type="dxa"/>
          </w:tcPr>
          <w:p w14:paraId="6B8B5903" w14:textId="77777777" w:rsidR="001F4097" w:rsidRPr="001F4097" w:rsidRDefault="001F4097" w:rsidP="001F409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F4097">
              <w:rPr>
                <w:rFonts w:ascii="Arial Narrow" w:eastAsia="Times New Roman" w:hAnsi="Arial Narrow" w:cs="Times New Roman"/>
                <w:sz w:val="20"/>
              </w:rPr>
              <w:t>Umocnienie powierzchniowe skarp, rowów i ścieków</w:t>
            </w:r>
          </w:p>
        </w:tc>
      </w:tr>
    </w:tbl>
    <w:p w14:paraId="2658B4ED" w14:textId="77777777" w:rsidR="001F4097" w:rsidRPr="001F4097" w:rsidRDefault="001F4097" w:rsidP="001F4097">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bookmarkStart w:id="855" w:name="_Toc495830482"/>
      <w:r w:rsidRPr="001F4097">
        <w:rPr>
          <w:rFonts w:ascii="Arial Narrow" w:eastAsia="Times New Roman" w:hAnsi="Arial Narrow" w:cs="Times New Roman"/>
          <w:b/>
          <w:sz w:val="28"/>
          <w:szCs w:val="20"/>
          <w:lang w:val="x-none" w:eastAsia="x-none"/>
        </w:rPr>
        <w:t>10.2. Normy</w:t>
      </w:r>
      <w:bookmarkEnd w:id="855"/>
    </w:p>
    <w:tbl>
      <w:tblPr>
        <w:tblW w:w="0" w:type="auto"/>
        <w:tblInd w:w="108" w:type="dxa"/>
        <w:tblLayout w:type="fixed"/>
        <w:tblLook w:val="01E0" w:firstRow="1" w:lastRow="1" w:firstColumn="1" w:lastColumn="1" w:noHBand="0" w:noVBand="0"/>
      </w:tblPr>
      <w:tblGrid>
        <w:gridCol w:w="426"/>
        <w:gridCol w:w="1984"/>
        <w:gridCol w:w="5069"/>
      </w:tblGrid>
      <w:tr w:rsidR="001F4097" w:rsidRPr="001F4097" w14:paraId="34657C50" w14:textId="77777777" w:rsidTr="00855929">
        <w:tc>
          <w:tcPr>
            <w:tcW w:w="426" w:type="dxa"/>
          </w:tcPr>
          <w:p w14:paraId="3421ACE2" w14:textId="77777777" w:rsidR="001F4097" w:rsidRPr="001F4097" w:rsidRDefault="001F4097" w:rsidP="001F409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1984" w:type="dxa"/>
          </w:tcPr>
          <w:p w14:paraId="0AF22A34" w14:textId="77777777" w:rsidR="001F4097" w:rsidRPr="001F4097" w:rsidRDefault="001F4097" w:rsidP="001F4097">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F4097">
              <w:rPr>
                <w:rFonts w:ascii="Arial Narrow" w:eastAsia="Times New Roman" w:hAnsi="Arial Narrow" w:cs="Times New Roman"/>
                <w:sz w:val="20"/>
              </w:rPr>
              <w:t xml:space="preserve"> PN-EN 13242+A1</w:t>
            </w:r>
          </w:p>
        </w:tc>
        <w:tc>
          <w:tcPr>
            <w:tcW w:w="5069" w:type="dxa"/>
          </w:tcPr>
          <w:p w14:paraId="0749C70A" w14:textId="77777777" w:rsidR="001F4097" w:rsidRPr="001F4097" w:rsidRDefault="001F4097" w:rsidP="001F4097">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r>
    </w:tbl>
    <w:p w14:paraId="345ECCF3" w14:textId="77777777" w:rsidR="001F4097" w:rsidRPr="001F4097" w:rsidRDefault="001F4097" w:rsidP="001F4097">
      <w:pPr>
        <w:tabs>
          <w:tab w:val="left" w:pos="-1440"/>
          <w:tab w:val="left" w:pos="-720"/>
          <w:tab w:val="left" w:pos="0"/>
        </w:tabs>
        <w:spacing w:after="0" w:line="240" w:lineRule="auto"/>
        <w:jc w:val="both"/>
        <w:rPr>
          <w:rFonts w:ascii="Arial Narrow" w:eastAsia="Calibri" w:hAnsi="Arial Narrow" w:cs="Arial"/>
          <w:spacing w:val="-3"/>
          <w:sz w:val="20"/>
        </w:rPr>
      </w:pPr>
    </w:p>
    <w:p w14:paraId="1201141B" w14:textId="13462DD2" w:rsidR="00F623B9" w:rsidRPr="00F623B9" w:rsidRDefault="00F623B9" w:rsidP="00AD6DA2">
      <w:pPr>
        <w:numPr>
          <w:ilvl w:val="0"/>
          <w:numId w:val="9"/>
        </w:numPr>
        <w:tabs>
          <w:tab w:val="num" w:pos="426"/>
        </w:tabs>
        <w:overflowPunct w:val="0"/>
        <w:autoSpaceDE w:val="0"/>
        <w:autoSpaceDN w:val="0"/>
        <w:adjustRightInd w:val="0"/>
        <w:spacing w:after="0" w:line="240" w:lineRule="auto"/>
        <w:ind w:left="426" w:hanging="426"/>
        <w:jc w:val="both"/>
        <w:textAlignment w:val="baseline"/>
        <w:rPr>
          <w:rFonts w:ascii="Arial Narrow" w:eastAsia="Times New Roman" w:hAnsi="Arial Narrow" w:cs="Times New Roman"/>
          <w:sz w:val="20"/>
          <w:szCs w:val="20"/>
          <w:lang w:eastAsia="pl-PL"/>
        </w:rPr>
      </w:pPr>
    </w:p>
    <w:p w14:paraId="5E9D7147" w14:textId="3F1B2BD1" w:rsidR="00F623B9" w:rsidRDefault="00F623B9"/>
    <w:p w14:paraId="2F060792" w14:textId="53A845C1" w:rsidR="00F623B9" w:rsidRPr="00F623B9" w:rsidRDefault="00F623B9" w:rsidP="00F623B9">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bookmarkStart w:id="856" w:name="_Toc58533564"/>
      <w:r w:rsidRPr="00F623B9">
        <w:rPr>
          <w:rFonts w:ascii="Arial Narrow" w:eastAsia="Times New Roman" w:hAnsi="Arial Narrow" w:cs="Times New Roman"/>
          <w:b/>
          <w:sz w:val="28"/>
          <w:szCs w:val="20"/>
          <w:lang w:eastAsia="pl-PL"/>
        </w:rPr>
        <w:lastRenderedPageBreak/>
        <w:t>D – 06.04.01 ROWY</w:t>
      </w:r>
      <w:bookmarkEnd w:id="856"/>
    </w:p>
    <w:p w14:paraId="155D3F23"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Kod CPV: 45233000-9</w:t>
      </w:r>
    </w:p>
    <w:p w14:paraId="354BE60D"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Roboty w zakresie konstruowania, fundamentowania oraz wykonywania nawierzchni autostrad, dróg</w:t>
      </w:r>
    </w:p>
    <w:p w14:paraId="3BC54D60" w14:textId="77777777" w:rsidR="00F623B9" w:rsidRPr="00F623B9" w:rsidRDefault="00F623B9" w:rsidP="00F623B9">
      <w:pPr>
        <w:spacing w:after="0" w:line="240" w:lineRule="auto"/>
        <w:ind w:firstLine="454"/>
        <w:jc w:val="center"/>
        <w:rPr>
          <w:rFonts w:ascii="Arial Narrow" w:eastAsia="Calibri" w:hAnsi="Arial Narrow" w:cs="Times New Roman"/>
        </w:rPr>
      </w:pPr>
    </w:p>
    <w:p w14:paraId="1B362EC0" w14:textId="77777777" w:rsidR="00F623B9" w:rsidRPr="00F623B9" w:rsidRDefault="00F623B9" w:rsidP="00F623B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F623B9">
        <w:rPr>
          <w:rFonts w:ascii="Arial Narrow" w:eastAsia="Times New Roman" w:hAnsi="Arial Narrow" w:cs="Times New Roman"/>
          <w:b/>
          <w:caps/>
          <w:kern w:val="28"/>
          <w:sz w:val="28"/>
          <w:szCs w:val="20"/>
          <w:lang w:eastAsia="x-none"/>
        </w:rPr>
        <w:t xml:space="preserve">1. </w:t>
      </w:r>
      <w:r w:rsidRPr="00F623B9">
        <w:rPr>
          <w:rFonts w:ascii="Arial Narrow" w:eastAsia="Times New Roman" w:hAnsi="Arial Narrow" w:cs="Times New Roman"/>
          <w:b/>
          <w:caps/>
          <w:kern w:val="28"/>
          <w:sz w:val="28"/>
          <w:szCs w:val="20"/>
          <w:lang w:val="x-none" w:eastAsia="x-none"/>
        </w:rPr>
        <w:t>wstęp</w:t>
      </w:r>
    </w:p>
    <w:p w14:paraId="08AC2B2F"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eastAsia="x-none"/>
        </w:rPr>
        <w:t xml:space="preserve">1.1 </w:t>
      </w:r>
      <w:r w:rsidRPr="00F623B9">
        <w:rPr>
          <w:rFonts w:ascii="Arial Narrow" w:eastAsia="Times New Roman" w:hAnsi="Arial Narrow" w:cs="Times New Roman"/>
          <w:b/>
          <w:sz w:val="28"/>
          <w:szCs w:val="20"/>
          <w:lang w:val="x-none" w:eastAsia="x-none"/>
        </w:rPr>
        <w:t>Przedmiot STWiORB</w:t>
      </w:r>
    </w:p>
    <w:p w14:paraId="50015CBA" w14:textId="77777777" w:rsidR="00F623B9" w:rsidRPr="00F623B9" w:rsidRDefault="00F623B9" w:rsidP="00F623B9">
      <w:pPr>
        <w:spacing w:after="0" w:line="240" w:lineRule="auto"/>
        <w:ind w:firstLine="454"/>
        <w:jc w:val="both"/>
        <w:rPr>
          <w:rFonts w:ascii="Arial Narrow" w:eastAsia="Calibri" w:hAnsi="Arial Narrow" w:cs="Times New Roman"/>
          <w:sz w:val="20"/>
        </w:rPr>
      </w:pPr>
      <w:r w:rsidRPr="00F623B9">
        <w:rPr>
          <w:rFonts w:ascii="Arial Narrow" w:eastAsia="Times New Roman" w:hAnsi="Arial Narrow" w:cs="Times New Roman"/>
          <w:sz w:val="20"/>
          <w:szCs w:val="20"/>
          <w:lang w:eastAsia="pl-PL"/>
        </w:rPr>
        <w:t>Przedmiotem niniejszej szczegółowej specyfikacji technicznej (SST) są wymagania dotyczące wykonania i odbioru robót związanych wykonywaniem rowów (przy robotach remontowych i utrzymaniowych)</w:t>
      </w:r>
      <w:r w:rsidRPr="00F623B9">
        <w:rPr>
          <w:rFonts w:ascii="Arial Narrow" w:eastAsia="Calibri" w:hAnsi="Arial Narrow" w:cs="Times New Roman"/>
          <w:sz w:val="20"/>
        </w:rPr>
        <w:t>.</w:t>
      </w:r>
    </w:p>
    <w:p w14:paraId="5F4F1D51"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eastAsia="x-none"/>
        </w:rPr>
        <w:t xml:space="preserve">1.2 </w:t>
      </w:r>
      <w:r w:rsidRPr="00F623B9">
        <w:rPr>
          <w:rFonts w:ascii="Arial Narrow" w:eastAsia="Times New Roman" w:hAnsi="Arial Narrow" w:cs="Times New Roman"/>
          <w:b/>
          <w:sz w:val="28"/>
          <w:szCs w:val="20"/>
          <w:lang w:val="x-none" w:eastAsia="x-none"/>
        </w:rPr>
        <w:t>Zakres stosowania STWiORB</w:t>
      </w:r>
    </w:p>
    <w:p w14:paraId="0A39C521" w14:textId="4270D5D9" w:rsidR="00F623B9" w:rsidRPr="00F623B9" w:rsidRDefault="00F623B9" w:rsidP="00F623B9">
      <w:pPr>
        <w:tabs>
          <w:tab w:val="left" w:pos="-1440"/>
          <w:tab w:val="left" w:pos="-720"/>
          <w:tab w:val="left" w:pos="0"/>
        </w:tabs>
        <w:spacing w:after="0" w:line="240" w:lineRule="auto"/>
        <w:ind w:firstLine="454"/>
        <w:jc w:val="both"/>
        <w:rPr>
          <w:rFonts w:ascii="Arial Narrow" w:eastAsia="Calibri" w:hAnsi="Arial Narrow" w:cs="Arial"/>
          <w:spacing w:val="-3"/>
          <w:sz w:val="20"/>
        </w:rPr>
      </w:pPr>
      <w:r w:rsidRPr="00F623B9">
        <w:rPr>
          <w:rFonts w:ascii="Arial Narrow" w:eastAsia="Calibri" w:hAnsi="Arial Narrow" w:cs="Arial"/>
          <w:sz w:val="20"/>
        </w:rPr>
        <w:t xml:space="preserve">Specyfikacje Techniczne Wykonania i Odbioru Robót Budowlanych </w:t>
      </w:r>
      <w:r w:rsidRPr="00F623B9">
        <w:rPr>
          <w:rFonts w:ascii="Arial Narrow" w:eastAsia="Calibri" w:hAnsi="Arial Narrow" w:cs="Arial"/>
          <w:spacing w:val="-3"/>
          <w:sz w:val="20"/>
        </w:rPr>
        <w:t xml:space="preserve">stanowią Dokument Przetargowy i Kontraktowy przy zlecaniu i realizacji robót na drogach </w:t>
      </w:r>
    </w:p>
    <w:p w14:paraId="654C28D3"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Times New Roman" w:eastAsia="Times New Roman" w:hAnsi="Times New Roman" w:cs="Times New Roman"/>
          <w:b/>
          <w:sz w:val="28"/>
          <w:szCs w:val="20"/>
          <w:lang w:val="x-none" w:eastAsia="x-none"/>
        </w:rPr>
      </w:pPr>
      <w:r w:rsidRPr="00F623B9">
        <w:rPr>
          <w:rFonts w:ascii="Arial Narrow" w:eastAsia="Times New Roman" w:hAnsi="Arial Narrow" w:cs="Times New Roman"/>
          <w:b/>
          <w:sz w:val="28"/>
          <w:szCs w:val="20"/>
          <w:lang w:val="x-none" w:eastAsia="x-none"/>
        </w:rPr>
        <w:t>1.3. Zakres robót objętych STWIORB</w:t>
      </w:r>
    </w:p>
    <w:p w14:paraId="35C71C71"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Ustalenia zawarte w niniejszej specyfikacji dotyczą zasad prowadzenia robót związanych z oczyszczaniem, pogłębianiem oraz profilowaniem dna i skarp rowu.</w:t>
      </w:r>
    </w:p>
    <w:p w14:paraId="329AE335"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val="x-none" w:eastAsia="x-none"/>
        </w:rPr>
        <w:t>1.4. Określenia podstawowe</w:t>
      </w:r>
    </w:p>
    <w:p w14:paraId="7B0B3F05"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b/>
          <w:bCs/>
          <w:sz w:val="20"/>
          <w:szCs w:val="20"/>
          <w:lang w:eastAsia="pl-PL"/>
        </w:rPr>
        <w:t>1.4.1. </w:t>
      </w:r>
      <w:r w:rsidRPr="00F623B9">
        <w:rPr>
          <w:rFonts w:ascii="Arial Narrow" w:eastAsia="Times New Roman" w:hAnsi="Arial Narrow" w:cs="Times New Roman"/>
          <w:sz w:val="20"/>
          <w:szCs w:val="20"/>
          <w:lang w:eastAsia="pl-PL"/>
        </w:rPr>
        <w:t>Rów - otwarty wykop o głębokości co najmniej 30 cm, który zbiera i odprowadza wodę.</w:t>
      </w:r>
    </w:p>
    <w:p w14:paraId="797D89B1"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b/>
          <w:bCs/>
          <w:sz w:val="20"/>
          <w:szCs w:val="20"/>
          <w:lang w:eastAsia="pl-PL"/>
        </w:rPr>
        <w:t>1.4.2. </w:t>
      </w:r>
      <w:r w:rsidRPr="00F623B9">
        <w:rPr>
          <w:rFonts w:ascii="Arial Narrow" w:eastAsia="Times New Roman" w:hAnsi="Arial Narrow" w:cs="Times New Roman"/>
          <w:sz w:val="20"/>
          <w:szCs w:val="20"/>
          <w:lang w:eastAsia="pl-PL"/>
        </w:rPr>
        <w:t>Rów przydrożny - rów zbierający wodę z korony drogi.</w:t>
      </w:r>
    </w:p>
    <w:p w14:paraId="60183446"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b/>
          <w:bCs/>
          <w:sz w:val="20"/>
          <w:szCs w:val="20"/>
          <w:lang w:eastAsia="pl-PL"/>
        </w:rPr>
        <w:t>1.4.3. </w:t>
      </w:r>
      <w:r w:rsidRPr="00F623B9">
        <w:rPr>
          <w:rFonts w:ascii="Arial Narrow" w:eastAsia="Times New Roman" w:hAnsi="Arial Narrow" w:cs="Times New Roman"/>
          <w:sz w:val="20"/>
          <w:szCs w:val="20"/>
          <w:lang w:eastAsia="pl-PL"/>
        </w:rPr>
        <w:t>Rów odpływowy - rów odprowadzający wodę poza pas drogowy.</w:t>
      </w:r>
    </w:p>
    <w:p w14:paraId="1B9A4DB4"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b/>
          <w:bCs/>
          <w:sz w:val="20"/>
          <w:szCs w:val="20"/>
          <w:lang w:eastAsia="pl-PL"/>
        </w:rPr>
        <w:t>1.4.4. </w:t>
      </w:r>
      <w:r w:rsidRPr="00F623B9">
        <w:rPr>
          <w:rFonts w:ascii="Arial Narrow" w:eastAsia="Times New Roman" w:hAnsi="Arial Narrow" w:cs="Times New Roman"/>
          <w:sz w:val="20"/>
          <w:szCs w:val="20"/>
          <w:lang w:eastAsia="pl-PL"/>
        </w:rPr>
        <w:t>Rów stokowy - rów zbierający wodę spływającą ze stoku.</w:t>
      </w:r>
    </w:p>
    <w:p w14:paraId="09A3B7ED"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b/>
          <w:bCs/>
          <w:sz w:val="20"/>
          <w:szCs w:val="20"/>
          <w:lang w:eastAsia="pl-PL"/>
        </w:rPr>
        <w:t>1.4.5. </w:t>
      </w:r>
      <w:r w:rsidRPr="00F623B9">
        <w:rPr>
          <w:rFonts w:ascii="Arial Narrow" w:eastAsia="Times New Roman" w:hAnsi="Arial Narrow" w:cs="Times New Roman"/>
          <w:sz w:val="20"/>
          <w:szCs w:val="20"/>
          <w:lang w:eastAsia="pl-PL"/>
        </w:rPr>
        <w:t>Pozostałe określenia podstawowe są zgodne z obowiązującymi, odpowiednimi polskimi normami i z definicjami podanymi w STWIORB  D-M-00.00.00 „Wymagania ogólne” pkt 1.4.</w:t>
      </w:r>
    </w:p>
    <w:p w14:paraId="68D3C827"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val="x-none" w:eastAsia="x-none"/>
        </w:rPr>
        <w:t>1.5. Ogólne wymagania dotyczące robót</w:t>
      </w:r>
    </w:p>
    <w:p w14:paraId="1FB25DD5"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Ogólne wymagania dotyczące robót podano w STWIORB D-M-00.00.00 „Wymagania ogólne” pkt 1.5.</w:t>
      </w:r>
    </w:p>
    <w:p w14:paraId="18C669CE" w14:textId="77777777" w:rsidR="00F623B9" w:rsidRPr="00F623B9" w:rsidRDefault="00F623B9" w:rsidP="00F623B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57" w:name="_Toc428169258"/>
      <w:bookmarkStart w:id="858" w:name="_Toc500913941"/>
      <w:bookmarkEnd w:id="857"/>
      <w:r w:rsidRPr="00F623B9">
        <w:rPr>
          <w:rFonts w:ascii="Arial Narrow" w:eastAsia="Times New Roman" w:hAnsi="Arial Narrow" w:cs="Times New Roman"/>
          <w:b/>
          <w:caps/>
          <w:kern w:val="28"/>
          <w:sz w:val="28"/>
          <w:szCs w:val="20"/>
          <w:lang w:val="x-none" w:eastAsia="x-none"/>
        </w:rPr>
        <w:t>2. MATERIAŁY</w:t>
      </w:r>
      <w:bookmarkEnd w:id="858"/>
    </w:p>
    <w:p w14:paraId="0ED5CADF"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Materiały nie występują.</w:t>
      </w:r>
    </w:p>
    <w:p w14:paraId="3AD487FB" w14:textId="77777777" w:rsidR="00F623B9" w:rsidRPr="00F623B9" w:rsidRDefault="00F623B9" w:rsidP="00F623B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59" w:name="_Toc428169259"/>
      <w:bookmarkStart w:id="860" w:name="_Toc500913942"/>
      <w:bookmarkEnd w:id="859"/>
      <w:r w:rsidRPr="00F623B9">
        <w:rPr>
          <w:rFonts w:ascii="Arial Narrow" w:eastAsia="Times New Roman" w:hAnsi="Arial Narrow" w:cs="Times New Roman"/>
          <w:b/>
          <w:caps/>
          <w:kern w:val="28"/>
          <w:sz w:val="28"/>
          <w:szCs w:val="20"/>
          <w:lang w:val="x-none" w:eastAsia="x-none"/>
        </w:rPr>
        <w:t>3. SPRZĘT</w:t>
      </w:r>
      <w:bookmarkEnd w:id="860"/>
    </w:p>
    <w:p w14:paraId="06718027"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val="x-none" w:eastAsia="x-none"/>
        </w:rPr>
        <w:t>3.1. Ogólne wymagania dotyczące sprzętu</w:t>
      </w:r>
    </w:p>
    <w:p w14:paraId="4B4E1516"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Ogólne wymagania dotyczące sprzętu podano w STWIORB D-M-00.00.00 „Wymagania ogólne” pkt 3.</w:t>
      </w:r>
    </w:p>
    <w:p w14:paraId="0D8BBA52"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val="x-none" w:eastAsia="x-none"/>
        </w:rPr>
        <w:t>3.2. Sprzęt do wykonywania robót remontowych i utrzymaniowych</w:t>
      </w:r>
    </w:p>
    <w:p w14:paraId="4477A0A6"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Wykonawca przystępujący do wykonania robót powinien wykazać się możliwością korzystania z następującego sprzętu:</w:t>
      </w:r>
    </w:p>
    <w:p w14:paraId="3C5AD75F"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Symbol" w:eastAsia="Times New Roman" w:hAnsi="Symbol" w:cs="Times New Roman"/>
          <w:sz w:val="20"/>
          <w:szCs w:val="20"/>
          <w:lang w:eastAsia="pl-PL"/>
        </w:rPr>
        <w:t></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koparek podsiębiernych,</w:t>
      </w:r>
    </w:p>
    <w:p w14:paraId="040533E7"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Symbol" w:eastAsia="Times New Roman" w:hAnsi="Symbol" w:cs="Times New Roman"/>
          <w:sz w:val="20"/>
          <w:szCs w:val="20"/>
          <w:lang w:eastAsia="pl-PL"/>
        </w:rPr>
        <w:t></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urządzeń kontrolno-pomiarowych,</w:t>
      </w:r>
    </w:p>
    <w:p w14:paraId="56A4D6F8"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Symbol" w:eastAsia="Times New Roman" w:hAnsi="Symbol" w:cs="Times New Roman"/>
          <w:sz w:val="20"/>
          <w:szCs w:val="20"/>
          <w:lang w:eastAsia="pl-PL"/>
        </w:rPr>
        <w:t></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zagęszczarek płytowych wibracyjnych.</w:t>
      </w:r>
    </w:p>
    <w:p w14:paraId="0CD7CED3" w14:textId="77777777" w:rsidR="00F623B9" w:rsidRPr="00F623B9" w:rsidRDefault="00F623B9" w:rsidP="00F623B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61" w:name="_Toc428169260"/>
      <w:bookmarkStart w:id="862" w:name="_Toc500913943"/>
      <w:bookmarkEnd w:id="861"/>
      <w:r w:rsidRPr="00F623B9">
        <w:rPr>
          <w:rFonts w:ascii="Arial Narrow" w:eastAsia="Times New Roman" w:hAnsi="Arial Narrow" w:cs="Times New Roman"/>
          <w:b/>
          <w:caps/>
          <w:kern w:val="28"/>
          <w:sz w:val="28"/>
          <w:szCs w:val="20"/>
          <w:lang w:val="x-none" w:eastAsia="x-none"/>
        </w:rPr>
        <w:t>4. TRANSPORT</w:t>
      </w:r>
      <w:bookmarkEnd w:id="862"/>
    </w:p>
    <w:p w14:paraId="4E262940"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val="x-none" w:eastAsia="x-none"/>
        </w:rPr>
        <w:t>4.1. Ogólne wymagania dotyczące transportu</w:t>
      </w:r>
    </w:p>
    <w:p w14:paraId="290969B9" w14:textId="77777777" w:rsidR="00F623B9" w:rsidRPr="00F623B9" w:rsidRDefault="00F623B9" w:rsidP="00F623B9">
      <w:pPr>
        <w:shd w:val="clear" w:color="auto" w:fill="DDDDDD"/>
        <w:overflowPunct w:val="0"/>
        <w:autoSpaceDE w:val="0"/>
        <w:autoSpaceDN w:val="0"/>
        <w:adjustRightInd w:val="0"/>
        <w:spacing w:after="0" w:line="240" w:lineRule="auto"/>
        <w:ind w:firstLine="709"/>
        <w:jc w:val="both"/>
        <w:textAlignment w:val="baseline"/>
        <w:rPr>
          <w:rFonts w:ascii="Arial Narrow" w:eastAsia="Times New Roman" w:hAnsi="Arial Narrow" w:cs="Times New Roman"/>
          <w:color w:val="000000"/>
          <w:sz w:val="20"/>
          <w:szCs w:val="20"/>
          <w:lang w:eastAsia="pl-PL"/>
        </w:rPr>
      </w:pPr>
      <w:r w:rsidRPr="00F623B9">
        <w:rPr>
          <w:rFonts w:ascii="Arial Narrow" w:eastAsia="Times New Roman" w:hAnsi="Arial Narrow" w:cs="Times New Roman"/>
          <w:color w:val="000000"/>
          <w:sz w:val="20"/>
          <w:szCs w:val="20"/>
          <w:lang w:eastAsia="pl-PL"/>
        </w:rPr>
        <w:t>Ogólne wymagania dotyczące transportu podano w STWIORB D-M-00.00.00 „Wymagania ogólne” pkt 4.</w:t>
      </w:r>
    </w:p>
    <w:p w14:paraId="6929A024"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val="x-none" w:eastAsia="x-none"/>
        </w:rPr>
        <w:t>4.2. Transport materiałów</w:t>
      </w:r>
    </w:p>
    <w:p w14:paraId="7CF17F48"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Przy wykonywaniu robót określonych w niniejszej STWIORB, można korzystać z dowolnych środków transportowych.</w:t>
      </w:r>
    </w:p>
    <w:p w14:paraId="57ACF72C" w14:textId="77777777" w:rsidR="00F623B9" w:rsidRPr="00F623B9" w:rsidRDefault="00F623B9" w:rsidP="00F623B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63" w:name="_Toc428169261"/>
      <w:bookmarkStart w:id="864" w:name="_Toc500913944"/>
      <w:bookmarkEnd w:id="863"/>
      <w:r w:rsidRPr="00F623B9">
        <w:rPr>
          <w:rFonts w:ascii="Arial Narrow" w:eastAsia="Times New Roman" w:hAnsi="Arial Narrow" w:cs="Times New Roman"/>
          <w:b/>
          <w:caps/>
          <w:kern w:val="28"/>
          <w:sz w:val="28"/>
          <w:szCs w:val="20"/>
          <w:lang w:val="x-none" w:eastAsia="x-none"/>
        </w:rPr>
        <w:t>5. WYKONANIE ROBÓT</w:t>
      </w:r>
      <w:bookmarkEnd w:id="864"/>
    </w:p>
    <w:p w14:paraId="2193434E"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val="x-none" w:eastAsia="x-none"/>
        </w:rPr>
        <w:t>5.1. Ogólne zasady wykonania robót</w:t>
      </w:r>
    </w:p>
    <w:p w14:paraId="2989C587"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Ogólne zasady wykonania robót podano w STWIORB D-M-00.00.00 „Wymagania ogólne” pkt 5.</w:t>
      </w:r>
    </w:p>
    <w:p w14:paraId="256B9CBE"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val="x-none" w:eastAsia="x-none"/>
        </w:rPr>
        <w:t>5.2. Oczyszczenie rowu</w:t>
      </w:r>
    </w:p>
    <w:p w14:paraId="2C68F08D"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Oczyszczenie rowu polega na wybraniu namułu naniesionego przez wodę, ścięciu trawy i krzaków w obrębie rowu.</w:t>
      </w:r>
    </w:p>
    <w:p w14:paraId="50E12EA8"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val="x-none" w:eastAsia="x-none"/>
        </w:rPr>
        <w:t>5.3. Pogłębianie i wyprofilowanie dna i skarp rowu</w:t>
      </w:r>
    </w:p>
    <w:p w14:paraId="69C7D046"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W wyniku prac remontowych należy uzyskać podane poniżej wymiary geometryczne rowu i skarp, zgodne z PN-S-02204 [1]:</w:t>
      </w:r>
    </w:p>
    <w:p w14:paraId="318E0730"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Symbol" w:eastAsia="Times New Roman" w:hAnsi="Symbol" w:cs="Times New Roman"/>
          <w:sz w:val="20"/>
          <w:szCs w:val="20"/>
          <w:lang w:eastAsia="pl-PL"/>
        </w:rPr>
        <w:t></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dla rowu przydrożnego w kształcie:</w:t>
      </w:r>
    </w:p>
    <w:p w14:paraId="30B69CA6"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a)</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trapezowym - szerokość dna co najmniej 0,40 m, nachylenie skarp od 1:1,5 do 1:1,3, głębokość od 0,30 m do 1,20 m liczona jako różnica poziomów dna i niższej krawędzi górnej rowu;</w:t>
      </w:r>
    </w:p>
    <w:p w14:paraId="68A44878"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b)</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trójkątnym - dno wyokrąglone łukiem kołowym o promieniu 0,50 m, nachylenie skarpy wewnętrznej 1:3, nachylenie skarpy zewnętrznej od 1:3 do 1:10, głębokość od 0,30 m do 1,50 m liczona jako różnica poziomów dna i niższej krawędzi górnej rowu;</w:t>
      </w:r>
    </w:p>
    <w:p w14:paraId="017D1E55"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c)</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opływowym - dno wyokrąglone łukiem kołowym o promieniu 2,0 m, krawędzie górne wyokrąglone łukami kołowymi o promieniu 1,0 m do 2,0 m, nachylenie skarpy wewnętrznej 1:3, a skarpy zewnętrznej od 1:3 do 1:10, głębokość od 0,30 m do 0,50 m liczona jako różnica poziomów dna i niższej krawędzi górnej rowu;</w:t>
      </w:r>
    </w:p>
    <w:p w14:paraId="38014439"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Symbol" w:eastAsia="Times New Roman" w:hAnsi="Symbol" w:cs="Times New Roman"/>
          <w:sz w:val="20"/>
          <w:szCs w:val="20"/>
          <w:lang w:eastAsia="pl-PL"/>
        </w:rPr>
        <w:lastRenderedPageBreak/>
        <w:t></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dla rowu stokowego - kształt trapezowy, szerokość dna co najmniej   0,40 m, nachylenie skarp od 1:1,5 do 1:3, głębokość co najmniej 0,50 m. Rów ten powinien być oddalony co najmniej o 3,0 m od krawędzi skarpy drogowej przy gruntach suchych i zwartych i co najmniej o 5,0 m w pozostałych przypadkach.</w:t>
      </w:r>
    </w:p>
    <w:p w14:paraId="23A31208"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Symbol" w:eastAsia="Times New Roman" w:hAnsi="Symbol" w:cs="Times New Roman"/>
          <w:sz w:val="20"/>
          <w:szCs w:val="20"/>
          <w:lang w:eastAsia="pl-PL"/>
        </w:rPr>
        <w:t></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dla rowu odpływowego - kształt trapezowy, szerokość dna co najmniej  0,40 m, głębokość minimum 0,50 m, przebieg prostoliniowy, na załamaniach trasy łuki kołowe o promieniu co najmniej 10,0 m.</w:t>
      </w:r>
    </w:p>
    <w:p w14:paraId="41F77B3F"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Najmniejszy dopuszczalny spadek podłużny rowu powinien wynosić 0,2%; w wyjątkowych sytuacjach na odcinkach nie przekraczających 200 m - 0,1%.</w:t>
      </w:r>
    </w:p>
    <w:p w14:paraId="4E3FFE85"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Największy spadek podłużny rowu nie powinien przekraczać:</w:t>
      </w:r>
    </w:p>
    <w:p w14:paraId="08141DF8"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a)</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przy nieumocnionych skarpach i dnie</w:t>
      </w:r>
    </w:p>
    <w:p w14:paraId="06CE6AEB"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 w gruntach piaszczystych - 1,5%,</w:t>
      </w:r>
    </w:p>
    <w:p w14:paraId="37E87936"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 w gruntach piaszczysto-gliniastych, pylastych - 2,0%,</w:t>
      </w:r>
    </w:p>
    <w:p w14:paraId="6C7EDD2A"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 w gruntach gliniastych i ilastych - 3,0%,</w:t>
      </w:r>
    </w:p>
    <w:p w14:paraId="59F77836"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 w gruntach skalistych - 10,0%;</w:t>
      </w:r>
    </w:p>
    <w:p w14:paraId="05CB9573"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b)</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przy umocnionych skarpach i dnie</w:t>
      </w:r>
    </w:p>
    <w:p w14:paraId="6E310A7B"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 matą trawiastą - 2,0%,</w:t>
      </w:r>
    </w:p>
    <w:p w14:paraId="6A6C093E"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 darniną - 3,0%,</w:t>
      </w:r>
    </w:p>
    <w:p w14:paraId="4DAB7367"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 faszyną - 4,0%,</w:t>
      </w:r>
    </w:p>
    <w:p w14:paraId="45771521"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 brukiem na sucho - 6,0%,</w:t>
      </w:r>
    </w:p>
    <w:p w14:paraId="04725D3F"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 elementami betonowymi - 10,0%,</w:t>
      </w:r>
    </w:p>
    <w:p w14:paraId="326FED97"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 brukiem na podsypce cementowo-piaskowej - 15,0%.</w:t>
      </w:r>
    </w:p>
    <w:p w14:paraId="0AFA7A13"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val="x-none" w:eastAsia="x-none"/>
        </w:rPr>
        <w:t>5.4. Roboty wykończeniowe</w:t>
      </w:r>
    </w:p>
    <w:p w14:paraId="4629D191"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Namuł i nadmiar gruntu pochodzącego z remontowanych rowów i skarp należy wywieźć poza obręb pasa drogowego i rozplantować w miejscu zaakceptowanym przez Inżyniera za zgodą właściciela terenu lub utylizować.</w:t>
      </w:r>
    </w:p>
    <w:p w14:paraId="4D597706"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Sposób zniszczenia pozostałości po usuniętej roślinności powinien być zgodny z ustaleniami SST lub wskazaniami Inżyniera.</w:t>
      </w:r>
    </w:p>
    <w:p w14:paraId="7C3808BA" w14:textId="77777777" w:rsidR="00F623B9" w:rsidRPr="00F623B9" w:rsidRDefault="00F623B9" w:rsidP="00F623B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65" w:name="_Toc428169262"/>
      <w:bookmarkStart w:id="866" w:name="_Toc500913945"/>
      <w:bookmarkEnd w:id="865"/>
      <w:r w:rsidRPr="00F623B9">
        <w:rPr>
          <w:rFonts w:ascii="Arial Narrow" w:eastAsia="Times New Roman" w:hAnsi="Arial Narrow" w:cs="Times New Roman"/>
          <w:b/>
          <w:caps/>
          <w:kern w:val="28"/>
          <w:sz w:val="28"/>
          <w:szCs w:val="20"/>
          <w:lang w:val="x-none" w:eastAsia="x-none"/>
        </w:rPr>
        <w:t>6. KONTROLA JAKOŚCI ROBÓT</w:t>
      </w:r>
      <w:bookmarkEnd w:id="866"/>
    </w:p>
    <w:p w14:paraId="0CB3C8D3"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val="x-none" w:eastAsia="x-none"/>
        </w:rPr>
        <w:t>6.1. Ogólne zasady kontroli jakości robót</w:t>
      </w:r>
    </w:p>
    <w:p w14:paraId="682C06DD"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Ogólne zasady kontroli jakości robót podano w STWIORB D-M-00.00.00 „Wymagania ogólne” pkt 6.</w:t>
      </w:r>
    </w:p>
    <w:p w14:paraId="7C103FAC"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val="x-none" w:eastAsia="x-none"/>
        </w:rPr>
        <w:t>6.2. Pomiary cech geometrycznych remontowanego rowu i skarp</w:t>
      </w:r>
    </w:p>
    <w:p w14:paraId="16679F33"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Częstotliwość oraz zakres pomiarów podaje tablica 1.</w:t>
      </w:r>
    </w:p>
    <w:p w14:paraId="205328CB"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 </w:t>
      </w:r>
    </w:p>
    <w:p w14:paraId="3150AF3E"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Tablica 1.</w:t>
      </w:r>
    </w:p>
    <w:tbl>
      <w:tblPr>
        <w:tblW w:w="0" w:type="auto"/>
        <w:shd w:val="clear" w:color="auto" w:fill="DDDDDD"/>
        <w:tblCellMar>
          <w:left w:w="0" w:type="dxa"/>
          <w:right w:w="0" w:type="dxa"/>
        </w:tblCellMar>
        <w:tblLook w:val="04A0" w:firstRow="1" w:lastRow="0" w:firstColumn="1" w:lastColumn="0" w:noHBand="0" w:noVBand="1"/>
      </w:tblPr>
      <w:tblGrid>
        <w:gridCol w:w="496"/>
        <w:gridCol w:w="3260"/>
        <w:gridCol w:w="3685"/>
      </w:tblGrid>
      <w:tr w:rsidR="00F623B9" w:rsidRPr="00F623B9" w14:paraId="774EC7B6" w14:textId="77777777" w:rsidTr="00855929">
        <w:tc>
          <w:tcPr>
            <w:tcW w:w="496" w:type="dxa"/>
            <w:tcBorders>
              <w:top w:val="single" w:sz="6" w:space="0" w:color="auto"/>
              <w:left w:val="single" w:sz="6" w:space="0" w:color="auto"/>
              <w:bottom w:val="double" w:sz="6" w:space="0" w:color="auto"/>
              <w:right w:val="single" w:sz="6" w:space="0" w:color="auto"/>
            </w:tcBorders>
            <w:shd w:val="clear" w:color="auto" w:fill="DDDDDD"/>
            <w:noWrap/>
            <w:tcMar>
              <w:top w:w="0" w:type="dxa"/>
              <w:left w:w="70" w:type="dxa"/>
              <w:bottom w:w="0" w:type="dxa"/>
              <w:right w:w="70" w:type="dxa"/>
            </w:tcMar>
            <w:hideMark/>
          </w:tcPr>
          <w:p w14:paraId="7F5F998A" w14:textId="77777777" w:rsidR="00F623B9" w:rsidRPr="00F623B9" w:rsidRDefault="00F623B9" w:rsidP="00F623B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F623B9">
              <w:rPr>
                <w:rFonts w:ascii="Arial Narrow" w:eastAsia="Times New Roman" w:hAnsi="Arial Narrow" w:cs="Times New Roman"/>
                <w:sz w:val="20"/>
              </w:rPr>
              <w:t>Lp.</w:t>
            </w:r>
          </w:p>
        </w:tc>
        <w:tc>
          <w:tcPr>
            <w:tcW w:w="3260" w:type="dxa"/>
            <w:tcBorders>
              <w:top w:val="single" w:sz="6" w:space="0" w:color="auto"/>
              <w:left w:val="nil"/>
              <w:bottom w:val="double" w:sz="6" w:space="0" w:color="auto"/>
              <w:right w:val="single" w:sz="6" w:space="0" w:color="auto"/>
            </w:tcBorders>
            <w:shd w:val="clear" w:color="auto" w:fill="DDDDDD"/>
            <w:noWrap/>
            <w:tcMar>
              <w:top w:w="0" w:type="dxa"/>
              <w:left w:w="70" w:type="dxa"/>
              <w:bottom w:w="0" w:type="dxa"/>
              <w:right w:w="70" w:type="dxa"/>
            </w:tcMar>
            <w:hideMark/>
          </w:tcPr>
          <w:p w14:paraId="11922FEF" w14:textId="77777777" w:rsidR="00F623B9" w:rsidRPr="00F623B9" w:rsidRDefault="00F623B9" w:rsidP="00F623B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F623B9">
              <w:rPr>
                <w:rFonts w:ascii="Arial Narrow" w:eastAsia="Times New Roman" w:hAnsi="Arial Narrow" w:cs="Times New Roman"/>
                <w:sz w:val="20"/>
              </w:rPr>
              <w:t>Wyszczególnienie</w:t>
            </w:r>
          </w:p>
        </w:tc>
        <w:tc>
          <w:tcPr>
            <w:tcW w:w="3685" w:type="dxa"/>
            <w:tcBorders>
              <w:top w:val="single" w:sz="6" w:space="0" w:color="auto"/>
              <w:left w:val="nil"/>
              <w:bottom w:val="double" w:sz="6" w:space="0" w:color="auto"/>
              <w:right w:val="single" w:sz="6" w:space="0" w:color="auto"/>
            </w:tcBorders>
            <w:shd w:val="clear" w:color="auto" w:fill="DDDDDD"/>
            <w:noWrap/>
            <w:tcMar>
              <w:top w:w="0" w:type="dxa"/>
              <w:left w:w="70" w:type="dxa"/>
              <w:bottom w:w="0" w:type="dxa"/>
              <w:right w:w="70" w:type="dxa"/>
            </w:tcMar>
            <w:hideMark/>
          </w:tcPr>
          <w:p w14:paraId="30458D69" w14:textId="77777777" w:rsidR="00F623B9" w:rsidRPr="00F623B9" w:rsidRDefault="00F623B9" w:rsidP="00F623B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F623B9">
              <w:rPr>
                <w:rFonts w:ascii="Arial Narrow" w:eastAsia="Times New Roman" w:hAnsi="Arial Narrow" w:cs="Times New Roman"/>
                <w:sz w:val="20"/>
              </w:rPr>
              <w:t>Minimalna częstotliwość pomiarów</w:t>
            </w:r>
          </w:p>
        </w:tc>
      </w:tr>
      <w:tr w:rsidR="00F623B9" w:rsidRPr="00F623B9" w14:paraId="25C77D88" w14:textId="77777777" w:rsidTr="00855929">
        <w:tc>
          <w:tcPr>
            <w:tcW w:w="496" w:type="dxa"/>
            <w:tcBorders>
              <w:top w:val="nil"/>
              <w:left w:val="single" w:sz="6" w:space="0" w:color="auto"/>
              <w:bottom w:val="single" w:sz="6" w:space="0" w:color="auto"/>
              <w:right w:val="single" w:sz="6" w:space="0" w:color="auto"/>
            </w:tcBorders>
            <w:shd w:val="clear" w:color="auto" w:fill="DDDDDD"/>
            <w:noWrap/>
            <w:tcMar>
              <w:top w:w="0" w:type="dxa"/>
              <w:left w:w="70" w:type="dxa"/>
              <w:bottom w:w="0" w:type="dxa"/>
              <w:right w:w="70" w:type="dxa"/>
            </w:tcMar>
            <w:hideMark/>
          </w:tcPr>
          <w:p w14:paraId="245097C4" w14:textId="77777777" w:rsidR="00F623B9" w:rsidRPr="00F623B9" w:rsidRDefault="00F623B9" w:rsidP="00F623B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F623B9">
              <w:rPr>
                <w:rFonts w:ascii="Arial Narrow" w:eastAsia="Times New Roman" w:hAnsi="Arial Narrow" w:cs="Times New Roman"/>
                <w:sz w:val="20"/>
              </w:rPr>
              <w:t>1</w:t>
            </w:r>
          </w:p>
        </w:tc>
        <w:tc>
          <w:tcPr>
            <w:tcW w:w="3260" w:type="dxa"/>
            <w:tcBorders>
              <w:top w:val="nil"/>
              <w:left w:val="nil"/>
              <w:bottom w:val="single" w:sz="6" w:space="0" w:color="auto"/>
              <w:right w:val="single" w:sz="6" w:space="0" w:color="auto"/>
            </w:tcBorders>
            <w:shd w:val="clear" w:color="auto" w:fill="DDDDDD"/>
            <w:noWrap/>
            <w:tcMar>
              <w:top w:w="0" w:type="dxa"/>
              <w:left w:w="70" w:type="dxa"/>
              <w:bottom w:w="0" w:type="dxa"/>
              <w:right w:w="70" w:type="dxa"/>
            </w:tcMar>
            <w:hideMark/>
          </w:tcPr>
          <w:p w14:paraId="42DAFD6A" w14:textId="77777777" w:rsidR="00F623B9" w:rsidRPr="00F623B9" w:rsidRDefault="00F623B9" w:rsidP="00F623B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F623B9">
              <w:rPr>
                <w:rFonts w:ascii="Arial Narrow" w:eastAsia="Times New Roman" w:hAnsi="Arial Narrow" w:cs="Times New Roman"/>
                <w:sz w:val="20"/>
              </w:rPr>
              <w:t>Spadek podłużny rowu</w:t>
            </w:r>
          </w:p>
        </w:tc>
        <w:tc>
          <w:tcPr>
            <w:tcW w:w="3685" w:type="dxa"/>
            <w:tcBorders>
              <w:top w:val="nil"/>
              <w:left w:val="nil"/>
              <w:bottom w:val="single" w:sz="6" w:space="0" w:color="auto"/>
              <w:right w:val="single" w:sz="6" w:space="0" w:color="auto"/>
            </w:tcBorders>
            <w:shd w:val="clear" w:color="auto" w:fill="DDDDDD"/>
            <w:noWrap/>
            <w:tcMar>
              <w:top w:w="0" w:type="dxa"/>
              <w:left w:w="70" w:type="dxa"/>
              <w:bottom w:w="0" w:type="dxa"/>
              <w:right w:w="70" w:type="dxa"/>
            </w:tcMar>
            <w:hideMark/>
          </w:tcPr>
          <w:p w14:paraId="6638A2B9" w14:textId="77777777" w:rsidR="00F623B9" w:rsidRPr="00F623B9" w:rsidRDefault="00F623B9" w:rsidP="00F623B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F623B9">
              <w:rPr>
                <w:rFonts w:ascii="Arial Narrow" w:eastAsia="Times New Roman" w:hAnsi="Arial Narrow" w:cs="Times New Roman"/>
                <w:sz w:val="20"/>
              </w:rPr>
              <w:t>1 km na każde 5 km drogi</w:t>
            </w:r>
          </w:p>
        </w:tc>
      </w:tr>
      <w:tr w:rsidR="00F623B9" w:rsidRPr="00F623B9" w14:paraId="2EC01E8C" w14:textId="77777777" w:rsidTr="00855929">
        <w:tc>
          <w:tcPr>
            <w:tcW w:w="496" w:type="dxa"/>
            <w:tcBorders>
              <w:top w:val="nil"/>
              <w:left w:val="single" w:sz="6" w:space="0" w:color="auto"/>
              <w:bottom w:val="single" w:sz="6" w:space="0" w:color="auto"/>
              <w:right w:val="single" w:sz="6" w:space="0" w:color="auto"/>
            </w:tcBorders>
            <w:shd w:val="clear" w:color="auto" w:fill="DDDDDD"/>
            <w:noWrap/>
            <w:tcMar>
              <w:top w:w="0" w:type="dxa"/>
              <w:left w:w="70" w:type="dxa"/>
              <w:bottom w:w="0" w:type="dxa"/>
              <w:right w:w="70" w:type="dxa"/>
            </w:tcMar>
            <w:hideMark/>
          </w:tcPr>
          <w:p w14:paraId="71279A94" w14:textId="77777777" w:rsidR="00F623B9" w:rsidRPr="00F623B9" w:rsidRDefault="00F623B9" w:rsidP="00F623B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F623B9">
              <w:rPr>
                <w:rFonts w:ascii="Arial Narrow" w:eastAsia="Times New Roman" w:hAnsi="Arial Narrow" w:cs="Times New Roman"/>
                <w:sz w:val="20"/>
              </w:rPr>
              <w:t>2</w:t>
            </w:r>
          </w:p>
        </w:tc>
        <w:tc>
          <w:tcPr>
            <w:tcW w:w="3260" w:type="dxa"/>
            <w:tcBorders>
              <w:top w:val="nil"/>
              <w:left w:val="nil"/>
              <w:bottom w:val="single" w:sz="6" w:space="0" w:color="auto"/>
              <w:right w:val="single" w:sz="6" w:space="0" w:color="auto"/>
            </w:tcBorders>
            <w:shd w:val="clear" w:color="auto" w:fill="DDDDDD"/>
            <w:noWrap/>
            <w:tcMar>
              <w:top w:w="0" w:type="dxa"/>
              <w:left w:w="70" w:type="dxa"/>
              <w:bottom w:w="0" w:type="dxa"/>
              <w:right w:w="70" w:type="dxa"/>
            </w:tcMar>
            <w:hideMark/>
          </w:tcPr>
          <w:p w14:paraId="1762073F" w14:textId="77777777" w:rsidR="00F623B9" w:rsidRPr="00F623B9" w:rsidRDefault="00F623B9" w:rsidP="00F623B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F623B9">
              <w:rPr>
                <w:rFonts w:ascii="Arial Narrow" w:eastAsia="Times New Roman" w:hAnsi="Arial Narrow" w:cs="Times New Roman"/>
                <w:sz w:val="20"/>
              </w:rPr>
              <w:t>Szerokość i głębokość rowu</w:t>
            </w:r>
          </w:p>
        </w:tc>
        <w:tc>
          <w:tcPr>
            <w:tcW w:w="3685" w:type="dxa"/>
            <w:tcBorders>
              <w:top w:val="nil"/>
              <w:left w:val="nil"/>
              <w:bottom w:val="single" w:sz="6" w:space="0" w:color="auto"/>
              <w:right w:val="single" w:sz="6" w:space="0" w:color="auto"/>
            </w:tcBorders>
            <w:shd w:val="clear" w:color="auto" w:fill="DDDDDD"/>
            <w:noWrap/>
            <w:tcMar>
              <w:top w:w="0" w:type="dxa"/>
              <w:left w:w="70" w:type="dxa"/>
              <w:bottom w:w="0" w:type="dxa"/>
              <w:right w:w="70" w:type="dxa"/>
            </w:tcMar>
            <w:hideMark/>
          </w:tcPr>
          <w:p w14:paraId="26BCA985" w14:textId="77777777" w:rsidR="00F623B9" w:rsidRPr="00F623B9" w:rsidRDefault="00F623B9" w:rsidP="00F623B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F623B9">
              <w:rPr>
                <w:rFonts w:ascii="Arial Narrow" w:eastAsia="Times New Roman" w:hAnsi="Arial Narrow" w:cs="Times New Roman"/>
                <w:sz w:val="20"/>
              </w:rPr>
              <w:t>1 raz na 100 m</w:t>
            </w:r>
          </w:p>
        </w:tc>
      </w:tr>
      <w:tr w:rsidR="00F623B9" w:rsidRPr="00F623B9" w14:paraId="09E03767" w14:textId="77777777" w:rsidTr="00855929">
        <w:tc>
          <w:tcPr>
            <w:tcW w:w="496" w:type="dxa"/>
            <w:tcBorders>
              <w:top w:val="nil"/>
              <w:left w:val="single" w:sz="6" w:space="0" w:color="auto"/>
              <w:bottom w:val="single" w:sz="6" w:space="0" w:color="auto"/>
              <w:right w:val="single" w:sz="6" w:space="0" w:color="auto"/>
            </w:tcBorders>
            <w:shd w:val="clear" w:color="auto" w:fill="DDDDDD"/>
            <w:noWrap/>
            <w:tcMar>
              <w:top w:w="0" w:type="dxa"/>
              <w:left w:w="70" w:type="dxa"/>
              <w:bottom w:w="0" w:type="dxa"/>
              <w:right w:w="70" w:type="dxa"/>
            </w:tcMar>
            <w:hideMark/>
          </w:tcPr>
          <w:p w14:paraId="1B60A26D" w14:textId="77777777" w:rsidR="00F623B9" w:rsidRPr="00F623B9" w:rsidRDefault="00F623B9" w:rsidP="00F623B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F623B9">
              <w:rPr>
                <w:rFonts w:ascii="Arial Narrow" w:eastAsia="Times New Roman" w:hAnsi="Arial Narrow" w:cs="Times New Roman"/>
                <w:sz w:val="20"/>
              </w:rPr>
              <w:t>3</w:t>
            </w:r>
          </w:p>
        </w:tc>
        <w:tc>
          <w:tcPr>
            <w:tcW w:w="3260" w:type="dxa"/>
            <w:tcBorders>
              <w:top w:val="nil"/>
              <w:left w:val="nil"/>
              <w:bottom w:val="single" w:sz="6" w:space="0" w:color="auto"/>
              <w:right w:val="single" w:sz="6" w:space="0" w:color="auto"/>
            </w:tcBorders>
            <w:shd w:val="clear" w:color="auto" w:fill="DDDDDD"/>
            <w:noWrap/>
            <w:tcMar>
              <w:top w:w="0" w:type="dxa"/>
              <w:left w:w="70" w:type="dxa"/>
              <w:bottom w:w="0" w:type="dxa"/>
              <w:right w:w="70" w:type="dxa"/>
            </w:tcMar>
            <w:hideMark/>
          </w:tcPr>
          <w:p w14:paraId="6543E099" w14:textId="77777777" w:rsidR="00F623B9" w:rsidRPr="00F623B9" w:rsidRDefault="00F623B9" w:rsidP="00F623B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F623B9">
              <w:rPr>
                <w:rFonts w:ascii="Arial Narrow" w:eastAsia="Times New Roman" w:hAnsi="Arial Narrow" w:cs="Times New Roman"/>
                <w:sz w:val="20"/>
              </w:rPr>
              <w:t>Powierzchnia skarp</w:t>
            </w:r>
          </w:p>
        </w:tc>
        <w:tc>
          <w:tcPr>
            <w:tcW w:w="3685" w:type="dxa"/>
            <w:tcBorders>
              <w:top w:val="nil"/>
              <w:left w:val="nil"/>
              <w:bottom w:val="single" w:sz="6" w:space="0" w:color="auto"/>
              <w:right w:val="single" w:sz="6" w:space="0" w:color="auto"/>
            </w:tcBorders>
            <w:shd w:val="clear" w:color="auto" w:fill="DDDDDD"/>
            <w:noWrap/>
            <w:tcMar>
              <w:top w:w="0" w:type="dxa"/>
              <w:left w:w="70" w:type="dxa"/>
              <w:bottom w:w="0" w:type="dxa"/>
              <w:right w:w="70" w:type="dxa"/>
            </w:tcMar>
            <w:hideMark/>
          </w:tcPr>
          <w:p w14:paraId="780C45D7" w14:textId="77777777" w:rsidR="00F623B9" w:rsidRPr="00F623B9" w:rsidRDefault="00F623B9" w:rsidP="00F623B9">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F623B9">
              <w:rPr>
                <w:rFonts w:ascii="Arial Narrow" w:eastAsia="Times New Roman" w:hAnsi="Arial Narrow" w:cs="Times New Roman"/>
                <w:sz w:val="20"/>
              </w:rPr>
              <w:t>1 raz na 100 m</w:t>
            </w:r>
          </w:p>
        </w:tc>
      </w:tr>
    </w:tbl>
    <w:p w14:paraId="79BA2C47" w14:textId="77777777" w:rsidR="00F623B9" w:rsidRPr="00F623B9" w:rsidRDefault="00F623B9" w:rsidP="00F623B9">
      <w:pPr>
        <w:shd w:val="clear" w:color="auto" w:fill="DDDDDD"/>
        <w:overflowPunct w:val="0"/>
        <w:autoSpaceDE w:val="0"/>
        <w:autoSpaceDN w:val="0"/>
        <w:adjustRightInd w:val="0"/>
        <w:spacing w:after="0" w:line="240" w:lineRule="auto"/>
        <w:ind w:firstLine="709"/>
        <w:jc w:val="both"/>
        <w:textAlignment w:val="baseline"/>
        <w:rPr>
          <w:rFonts w:ascii="Arial Narrow" w:eastAsia="Times New Roman" w:hAnsi="Arial Narrow" w:cs="Times New Roman"/>
          <w:color w:val="000000"/>
          <w:sz w:val="20"/>
          <w:szCs w:val="20"/>
          <w:lang w:eastAsia="pl-PL"/>
        </w:rPr>
      </w:pPr>
      <w:r w:rsidRPr="00F623B9">
        <w:rPr>
          <w:rFonts w:ascii="Arial Narrow" w:eastAsia="Times New Roman" w:hAnsi="Arial Narrow" w:cs="Times New Roman"/>
          <w:b/>
          <w:bCs/>
          <w:color w:val="000000"/>
          <w:sz w:val="20"/>
          <w:szCs w:val="20"/>
          <w:lang w:eastAsia="pl-PL"/>
        </w:rPr>
        <w:t> </w:t>
      </w:r>
    </w:p>
    <w:p w14:paraId="76419308" w14:textId="77777777" w:rsidR="00F623B9" w:rsidRPr="00F623B9" w:rsidRDefault="00F623B9" w:rsidP="00F623B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F623B9">
        <w:rPr>
          <w:rFonts w:ascii="Arial Narrow" w:eastAsia="Times New Roman" w:hAnsi="Arial Narrow" w:cs="Times New Roman"/>
          <w:b/>
          <w:bCs/>
          <w:sz w:val="24"/>
          <w:szCs w:val="20"/>
          <w:lang w:val="x-none" w:eastAsia="x-none"/>
        </w:rPr>
        <w:t>6.2.1. </w:t>
      </w:r>
      <w:r w:rsidRPr="00F623B9">
        <w:rPr>
          <w:rFonts w:ascii="Arial Narrow" w:eastAsia="Times New Roman" w:hAnsi="Arial Narrow" w:cs="Times New Roman"/>
          <w:b/>
          <w:sz w:val="24"/>
          <w:szCs w:val="20"/>
          <w:lang w:val="x-none" w:eastAsia="x-none"/>
        </w:rPr>
        <w:t>Spadki podłużne rowu</w:t>
      </w:r>
    </w:p>
    <w:p w14:paraId="4CB281D5"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Spadki podłużne rowu powinny być zgodne z dokumentacją projektową, z tolerancją </w:t>
      </w:r>
      <w:r w:rsidRPr="00F623B9">
        <w:rPr>
          <w:rFonts w:ascii="Symbol" w:eastAsia="Times New Roman" w:hAnsi="Symbol" w:cs="Times New Roman"/>
          <w:sz w:val="20"/>
          <w:szCs w:val="20"/>
          <w:lang w:eastAsia="pl-PL"/>
        </w:rPr>
        <w:t></w:t>
      </w:r>
      <w:r w:rsidRPr="00F623B9">
        <w:rPr>
          <w:rFonts w:ascii="Arial Narrow" w:eastAsia="Times New Roman" w:hAnsi="Arial Narrow" w:cs="Times New Roman"/>
          <w:sz w:val="20"/>
          <w:szCs w:val="20"/>
          <w:lang w:eastAsia="pl-PL"/>
        </w:rPr>
        <w:t> 0,5% spadku.</w:t>
      </w:r>
    </w:p>
    <w:p w14:paraId="772B9FD1" w14:textId="77777777" w:rsidR="00F623B9" w:rsidRPr="00F623B9" w:rsidRDefault="00F623B9" w:rsidP="00F623B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F623B9">
        <w:rPr>
          <w:rFonts w:ascii="Arial Narrow" w:eastAsia="Times New Roman" w:hAnsi="Arial Narrow" w:cs="Times New Roman"/>
          <w:b/>
          <w:bCs/>
          <w:sz w:val="24"/>
          <w:szCs w:val="20"/>
          <w:lang w:val="x-none" w:eastAsia="x-none"/>
        </w:rPr>
        <w:t>6.2.2. </w:t>
      </w:r>
      <w:r w:rsidRPr="00F623B9">
        <w:rPr>
          <w:rFonts w:ascii="Arial Narrow" w:eastAsia="Times New Roman" w:hAnsi="Arial Narrow" w:cs="Times New Roman"/>
          <w:b/>
          <w:sz w:val="24"/>
          <w:szCs w:val="20"/>
          <w:lang w:val="x-none" w:eastAsia="x-none"/>
        </w:rPr>
        <w:t>Szerokość i głębokość rowu</w:t>
      </w:r>
    </w:p>
    <w:p w14:paraId="5F9F1427"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Szerokość i głębokość rowu powinna być zgodna z dokumentacją projektową z tolerancją </w:t>
      </w:r>
      <w:r w:rsidRPr="00F623B9">
        <w:rPr>
          <w:rFonts w:ascii="Symbol" w:eastAsia="Times New Roman" w:hAnsi="Symbol" w:cs="Times New Roman"/>
          <w:sz w:val="20"/>
          <w:szCs w:val="20"/>
          <w:lang w:eastAsia="pl-PL"/>
        </w:rPr>
        <w:t></w:t>
      </w:r>
      <w:r w:rsidRPr="00F623B9">
        <w:rPr>
          <w:rFonts w:ascii="Arial Narrow" w:eastAsia="Times New Roman" w:hAnsi="Arial Narrow" w:cs="Times New Roman"/>
          <w:sz w:val="20"/>
          <w:szCs w:val="20"/>
          <w:lang w:eastAsia="pl-PL"/>
        </w:rPr>
        <w:t> 5 cm.</w:t>
      </w:r>
    </w:p>
    <w:p w14:paraId="74D5067D" w14:textId="77777777" w:rsidR="00F623B9" w:rsidRPr="00F623B9" w:rsidRDefault="00F623B9" w:rsidP="00F623B9">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F623B9">
        <w:rPr>
          <w:rFonts w:ascii="Arial Narrow" w:eastAsia="Times New Roman" w:hAnsi="Arial Narrow" w:cs="Times New Roman"/>
          <w:b/>
          <w:bCs/>
          <w:sz w:val="24"/>
          <w:szCs w:val="20"/>
          <w:lang w:val="x-none" w:eastAsia="x-none"/>
        </w:rPr>
        <w:t>6.2.3. </w:t>
      </w:r>
      <w:r w:rsidRPr="00F623B9">
        <w:rPr>
          <w:rFonts w:ascii="Arial Narrow" w:eastAsia="Times New Roman" w:hAnsi="Arial Narrow" w:cs="Times New Roman"/>
          <w:b/>
          <w:sz w:val="24"/>
          <w:szCs w:val="20"/>
          <w:lang w:val="x-none" w:eastAsia="x-none"/>
        </w:rPr>
        <w:t>Powierzchnia skarp</w:t>
      </w:r>
    </w:p>
    <w:p w14:paraId="2B66DFF3"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Powierzchnię skarp należy sprawdzać szablonem. Prześwit między skarpą a szablonem nie powinien przekraczać 3cm.</w:t>
      </w:r>
    </w:p>
    <w:p w14:paraId="24AA2E8B" w14:textId="77777777" w:rsidR="00F623B9" w:rsidRPr="00F623B9" w:rsidRDefault="00F623B9" w:rsidP="00F623B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67" w:name="_Toc428169263"/>
      <w:bookmarkStart w:id="868" w:name="_Toc500913946"/>
      <w:bookmarkEnd w:id="867"/>
      <w:r w:rsidRPr="00F623B9">
        <w:rPr>
          <w:rFonts w:ascii="Arial Narrow" w:eastAsia="Times New Roman" w:hAnsi="Arial Narrow" w:cs="Times New Roman"/>
          <w:b/>
          <w:caps/>
          <w:kern w:val="28"/>
          <w:sz w:val="28"/>
          <w:szCs w:val="20"/>
          <w:lang w:val="x-none" w:eastAsia="x-none"/>
        </w:rPr>
        <w:t>7. OBMIAR ROBÓT</w:t>
      </w:r>
      <w:bookmarkEnd w:id="868"/>
    </w:p>
    <w:p w14:paraId="2FC845FE"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val="x-none" w:eastAsia="x-none"/>
        </w:rPr>
        <w:t>7.1. Ogólne zasady obmiaru robót</w:t>
      </w:r>
    </w:p>
    <w:p w14:paraId="3131DD4B"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Ogólne zasady obmiaru robót podano w STWIORB D-M-00.00.00 „Wymagania ogólne” pkt 7.</w:t>
      </w:r>
    </w:p>
    <w:p w14:paraId="61034CAD"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val="x-none" w:eastAsia="x-none"/>
        </w:rPr>
        <w:t>7.2. Jednostka obmiarowa</w:t>
      </w:r>
    </w:p>
    <w:p w14:paraId="56A17F29"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Jednostką obmiarową jest m (metr) remontowanego rowu.</w:t>
      </w:r>
    </w:p>
    <w:p w14:paraId="0C981A78" w14:textId="77777777" w:rsidR="00F623B9" w:rsidRPr="00F623B9" w:rsidRDefault="00F623B9" w:rsidP="00F623B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69" w:name="_Toc428169264"/>
      <w:bookmarkStart w:id="870" w:name="_Toc500913947"/>
      <w:bookmarkEnd w:id="869"/>
      <w:r w:rsidRPr="00F623B9">
        <w:rPr>
          <w:rFonts w:ascii="Arial Narrow" w:eastAsia="Times New Roman" w:hAnsi="Arial Narrow" w:cs="Times New Roman"/>
          <w:b/>
          <w:caps/>
          <w:kern w:val="28"/>
          <w:sz w:val="28"/>
          <w:szCs w:val="20"/>
          <w:lang w:val="x-none" w:eastAsia="x-none"/>
        </w:rPr>
        <w:t>8. ODBIÓR ROBÓT</w:t>
      </w:r>
      <w:bookmarkEnd w:id="870"/>
    </w:p>
    <w:p w14:paraId="423C2783"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Ogólne zasady odbioru robót podano w STWIORB D-M-00.00.00 „Wymagania ogólne” pkt 8.</w:t>
      </w:r>
    </w:p>
    <w:p w14:paraId="18C4B617"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Roboty uznaje się za wykonane zgodnie z dokumentacją projektową, SST i wymaganiami Inżyniera, jeżeli wszystkie pomiary i badania z zachowaniem tolerancji wg pkt 6 dały wyniki pozytywne.</w:t>
      </w:r>
    </w:p>
    <w:p w14:paraId="4D8A609A" w14:textId="77777777" w:rsidR="00F623B9" w:rsidRPr="00F623B9" w:rsidRDefault="00F623B9" w:rsidP="00F623B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71" w:name="_Toc428169265"/>
      <w:bookmarkStart w:id="872" w:name="_Toc500913948"/>
      <w:bookmarkEnd w:id="871"/>
      <w:r w:rsidRPr="00F623B9">
        <w:rPr>
          <w:rFonts w:ascii="Arial Narrow" w:eastAsia="Times New Roman" w:hAnsi="Arial Narrow" w:cs="Times New Roman"/>
          <w:b/>
          <w:caps/>
          <w:kern w:val="28"/>
          <w:sz w:val="28"/>
          <w:szCs w:val="20"/>
          <w:lang w:val="x-none" w:eastAsia="x-none"/>
        </w:rPr>
        <w:t>9. PODSTAWA PŁATNOŚCI</w:t>
      </w:r>
      <w:bookmarkEnd w:id="872"/>
    </w:p>
    <w:p w14:paraId="50A8E264"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val="x-none" w:eastAsia="x-none"/>
        </w:rPr>
        <w:t>9.1. Ogólne ustalenia dotyczące podstawy płatności</w:t>
      </w:r>
    </w:p>
    <w:p w14:paraId="7A01E620"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Ogólne ustalenia dotyczące podstawy płatności podano w STWIORB D-M-00.00.00 „Wymagania ogólne” pkt 9.</w:t>
      </w:r>
    </w:p>
    <w:p w14:paraId="35E644A0"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val="x-none" w:eastAsia="x-none"/>
        </w:rPr>
        <w:t>9.2. Cena jednostki obmiarowej</w:t>
      </w:r>
    </w:p>
    <w:p w14:paraId="5DE37049"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Cena wykonania 1 m remontowanego rowu obejmuje:</w:t>
      </w:r>
    </w:p>
    <w:p w14:paraId="79578944"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Symbol" w:eastAsia="Times New Roman" w:hAnsi="Symbol" w:cs="Times New Roman"/>
          <w:sz w:val="20"/>
          <w:szCs w:val="20"/>
          <w:lang w:eastAsia="pl-PL"/>
        </w:rPr>
        <w:t></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roboty pomiarowe i przygotowawcze,</w:t>
      </w:r>
    </w:p>
    <w:p w14:paraId="2E39F35C"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Symbol" w:eastAsia="Times New Roman" w:hAnsi="Symbol" w:cs="Times New Roman"/>
          <w:sz w:val="20"/>
          <w:szCs w:val="20"/>
          <w:lang w:eastAsia="pl-PL"/>
        </w:rPr>
        <w:lastRenderedPageBreak/>
        <w:t></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oznakowanie robót,</w:t>
      </w:r>
    </w:p>
    <w:p w14:paraId="0039DB6E"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Symbol" w:eastAsia="Times New Roman" w:hAnsi="Symbol" w:cs="Times New Roman"/>
          <w:sz w:val="20"/>
          <w:szCs w:val="20"/>
          <w:lang w:eastAsia="pl-PL"/>
        </w:rPr>
        <w:t></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oczyszczenie rowu,</w:t>
      </w:r>
    </w:p>
    <w:p w14:paraId="46A3B79E"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Symbol" w:eastAsia="Times New Roman" w:hAnsi="Symbol" w:cs="Times New Roman"/>
          <w:sz w:val="20"/>
          <w:szCs w:val="20"/>
          <w:lang w:eastAsia="pl-PL"/>
        </w:rPr>
        <w:t></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pogłębianie i profilowanie rowu,</w:t>
      </w:r>
    </w:p>
    <w:p w14:paraId="11C80C22"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Symbol" w:eastAsia="Times New Roman" w:hAnsi="Symbol" w:cs="Times New Roman"/>
          <w:sz w:val="20"/>
          <w:szCs w:val="20"/>
          <w:lang w:eastAsia="pl-PL"/>
        </w:rPr>
        <w:t></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ścięcie trawy i krzaków,</w:t>
      </w:r>
    </w:p>
    <w:p w14:paraId="42862D26"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Symbol" w:eastAsia="Times New Roman" w:hAnsi="Symbol" w:cs="Times New Roman"/>
          <w:sz w:val="20"/>
          <w:szCs w:val="20"/>
          <w:lang w:eastAsia="pl-PL"/>
        </w:rPr>
        <w:t></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odwiezienie urobku,</w:t>
      </w:r>
    </w:p>
    <w:p w14:paraId="307ED882"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Symbol" w:eastAsia="Times New Roman" w:hAnsi="Symbol" w:cs="Times New Roman"/>
          <w:sz w:val="20"/>
          <w:szCs w:val="20"/>
          <w:lang w:eastAsia="pl-PL"/>
        </w:rPr>
        <w:t></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roboty wykończeniowe,</w:t>
      </w:r>
    </w:p>
    <w:p w14:paraId="0D44B491"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Symbol" w:eastAsia="Times New Roman" w:hAnsi="Symbol" w:cs="Times New Roman"/>
          <w:sz w:val="20"/>
          <w:szCs w:val="20"/>
          <w:lang w:eastAsia="pl-PL"/>
        </w:rPr>
        <w:t></w:t>
      </w:r>
      <w:r w:rsidRPr="00F623B9">
        <w:rPr>
          <w:rFonts w:ascii="Arial Narrow" w:eastAsia="Times New Roman" w:hAnsi="Arial Narrow" w:cs="Times New Roman"/>
          <w:sz w:val="14"/>
          <w:szCs w:val="14"/>
          <w:lang w:eastAsia="pl-PL"/>
        </w:rPr>
        <w:t>      </w:t>
      </w:r>
      <w:r w:rsidRPr="00F623B9">
        <w:rPr>
          <w:rFonts w:ascii="Arial Narrow" w:eastAsia="Times New Roman" w:hAnsi="Arial Narrow" w:cs="Times New Roman"/>
          <w:sz w:val="20"/>
          <w:szCs w:val="20"/>
          <w:lang w:eastAsia="pl-PL"/>
        </w:rPr>
        <w:t>przeprowadzenie pomiarów wymaganych w specyfikacji technicznej.</w:t>
      </w:r>
    </w:p>
    <w:p w14:paraId="1FCFE124" w14:textId="77777777" w:rsidR="00F623B9" w:rsidRPr="00F623B9" w:rsidRDefault="00F623B9" w:rsidP="00F623B9">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73" w:name="_Toc428169266"/>
      <w:bookmarkStart w:id="874" w:name="_Toc500913949"/>
      <w:bookmarkEnd w:id="873"/>
      <w:r w:rsidRPr="00F623B9">
        <w:rPr>
          <w:rFonts w:ascii="Arial Narrow" w:eastAsia="Times New Roman" w:hAnsi="Arial Narrow" w:cs="Times New Roman"/>
          <w:b/>
          <w:caps/>
          <w:kern w:val="28"/>
          <w:sz w:val="28"/>
          <w:szCs w:val="20"/>
          <w:lang w:val="x-none" w:eastAsia="x-none"/>
        </w:rPr>
        <w:t>10. PRZEPISY ZWIĄZANE</w:t>
      </w:r>
      <w:bookmarkEnd w:id="874"/>
    </w:p>
    <w:p w14:paraId="04FCD9FB"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val="x-none" w:eastAsia="x-none"/>
        </w:rPr>
        <w:t>10.1. Normy</w:t>
      </w:r>
    </w:p>
    <w:p w14:paraId="734312A0"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1. PN-S-02204       Drogi samochodowe. Odwodnienie dróg</w:t>
      </w:r>
    </w:p>
    <w:p w14:paraId="6F2E76EA" w14:textId="77777777" w:rsidR="00F623B9" w:rsidRPr="00F623B9" w:rsidRDefault="00F623B9" w:rsidP="00F623B9">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F623B9">
        <w:rPr>
          <w:rFonts w:ascii="Arial Narrow" w:eastAsia="Times New Roman" w:hAnsi="Arial Narrow" w:cs="Times New Roman"/>
          <w:b/>
          <w:sz w:val="28"/>
          <w:szCs w:val="20"/>
          <w:lang w:val="x-none" w:eastAsia="x-none"/>
        </w:rPr>
        <w:t>10.2. Inne materiały</w:t>
      </w:r>
    </w:p>
    <w:p w14:paraId="6494D356" w14:textId="77777777" w:rsidR="00F623B9" w:rsidRPr="00F623B9" w:rsidRDefault="00F623B9" w:rsidP="00F623B9">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F623B9">
        <w:rPr>
          <w:rFonts w:ascii="Arial Narrow" w:eastAsia="Times New Roman" w:hAnsi="Arial Narrow" w:cs="Times New Roman"/>
          <w:sz w:val="20"/>
          <w:szCs w:val="20"/>
          <w:lang w:eastAsia="pl-PL"/>
        </w:rPr>
        <w:t>2. Stanisław Datka, Stanisław Lenczewski: Drogowe roboty ziemne</w:t>
      </w:r>
    </w:p>
    <w:p w14:paraId="3C7C6C79" w14:textId="77777777" w:rsidR="00F623B9" w:rsidRPr="00F623B9" w:rsidRDefault="00F623B9" w:rsidP="00F623B9">
      <w:pPr>
        <w:tabs>
          <w:tab w:val="left" w:pos="-1440"/>
          <w:tab w:val="left" w:pos="-720"/>
          <w:tab w:val="left" w:pos="0"/>
        </w:tabs>
        <w:spacing w:after="0" w:line="240" w:lineRule="auto"/>
        <w:ind w:firstLine="454"/>
        <w:jc w:val="both"/>
        <w:rPr>
          <w:rFonts w:ascii="Arial Narrow" w:eastAsia="Calibri" w:hAnsi="Arial Narrow" w:cs="Arial"/>
          <w:spacing w:val="-3"/>
          <w:sz w:val="20"/>
        </w:rPr>
      </w:pPr>
    </w:p>
    <w:p w14:paraId="03FF3163" w14:textId="473E0CA0" w:rsidR="00F623B9" w:rsidRDefault="00F623B9"/>
    <w:p w14:paraId="3277209B" w14:textId="1F2AA2EB" w:rsidR="00F623B9" w:rsidRDefault="00F623B9"/>
    <w:p w14:paraId="41B8C539" w14:textId="6872E9DB" w:rsidR="00F623B9" w:rsidRDefault="00F623B9"/>
    <w:p w14:paraId="1B8261B5" w14:textId="73EB2CD9" w:rsidR="00F623B9" w:rsidRDefault="00F623B9"/>
    <w:p w14:paraId="202487B5" w14:textId="3476DC6F" w:rsidR="00F623B9" w:rsidRDefault="00F623B9"/>
    <w:p w14:paraId="4EF35235" w14:textId="67A5AAD2" w:rsidR="00F623B9" w:rsidRDefault="00F623B9"/>
    <w:p w14:paraId="599725E3" w14:textId="16954903" w:rsidR="00F623B9" w:rsidRDefault="00F623B9"/>
    <w:p w14:paraId="781EBFDE" w14:textId="4EB3A84D" w:rsidR="00F623B9" w:rsidRDefault="00F623B9"/>
    <w:p w14:paraId="5D4C672A" w14:textId="571EA440" w:rsidR="00F623B9" w:rsidRDefault="00F623B9"/>
    <w:p w14:paraId="4D901DF7" w14:textId="2CDA6A18" w:rsidR="00F623B9" w:rsidRDefault="00F623B9"/>
    <w:p w14:paraId="5224DAA2" w14:textId="6AE4505E" w:rsidR="00F623B9" w:rsidRDefault="00F623B9"/>
    <w:p w14:paraId="53EC05FB" w14:textId="20AE5450" w:rsidR="00F623B9" w:rsidRDefault="00F623B9"/>
    <w:p w14:paraId="5AE54AA4" w14:textId="296D5DA8" w:rsidR="00F623B9" w:rsidRDefault="00F623B9"/>
    <w:p w14:paraId="63AEB4F8" w14:textId="40617E1D" w:rsidR="00F623B9" w:rsidRDefault="00F623B9"/>
    <w:p w14:paraId="772FE736" w14:textId="03C60A2B" w:rsidR="00F623B9" w:rsidRDefault="00F623B9"/>
    <w:p w14:paraId="5F80B75C" w14:textId="680736E9" w:rsidR="00F623B9" w:rsidRDefault="00F623B9"/>
    <w:p w14:paraId="77D27776" w14:textId="5ACFE6E1" w:rsidR="00F623B9" w:rsidRDefault="00F623B9"/>
    <w:p w14:paraId="74D92BB6" w14:textId="617D0984" w:rsidR="00145CE4" w:rsidRDefault="00145CE4"/>
    <w:p w14:paraId="14E2F209" w14:textId="616BF804" w:rsidR="00E46BAA" w:rsidRDefault="00E46BAA"/>
    <w:p w14:paraId="0616ACDD" w14:textId="2EF253FB" w:rsidR="00E46BAA" w:rsidRDefault="00E46BAA"/>
    <w:p w14:paraId="218C98C8" w14:textId="29CDE6E8" w:rsidR="00E46BAA" w:rsidRDefault="00E46BAA"/>
    <w:p w14:paraId="5B20193D" w14:textId="79751385" w:rsidR="00E46BAA" w:rsidRDefault="00E46BAA"/>
    <w:p w14:paraId="1B7AD7C5" w14:textId="52B45D2F" w:rsidR="00E46BAA" w:rsidRDefault="00E46BAA"/>
    <w:p w14:paraId="6C67ABE3" w14:textId="603A1F2B" w:rsidR="00E46BAA" w:rsidRDefault="00E46BAA"/>
    <w:p w14:paraId="30CAB0A1" w14:textId="77777777" w:rsidR="00E46BAA" w:rsidRDefault="00E46BAA"/>
    <w:p w14:paraId="6053E9CC"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b/>
          <w:sz w:val="28"/>
          <w:szCs w:val="20"/>
          <w:lang w:eastAsia="pl-PL"/>
        </w:rPr>
      </w:pPr>
      <w:bookmarkStart w:id="875" w:name="_Toc58533568"/>
      <w:r w:rsidRPr="00176CD4">
        <w:rPr>
          <w:rFonts w:ascii="Arial Narrow" w:eastAsia="Times New Roman" w:hAnsi="Arial Narrow" w:cs="Times New Roman"/>
          <w:b/>
          <w:sz w:val="28"/>
          <w:szCs w:val="20"/>
          <w:lang w:eastAsia="pl-PL"/>
        </w:rPr>
        <w:lastRenderedPageBreak/>
        <w:t>D – 07.02.01 OZNAKOWANIE PIONOWE</w:t>
      </w:r>
      <w:bookmarkEnd w:id="875"/>
    </w:p>
    <w:p w14:paraId="0E3D257B"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Kod CPV: 45233000-9</w:t>
      </w:r>
    </w:p>
    <w:p w14:paraId="5AD3A883"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Roboty w zakresie konstruowania, fundamentowania oraz wykonywania nawierzchni autostrad, dróg</w:t>
      </w:r>
    </w:p>
    <w:p w14:paraId="04F498B6" w14:textId="77777777" w:rsidR="00176CD4" w:rsidRPr="00176CD4" w:rsidRDefault="00176CD4" w:rsidP="00176CD4">
      <w:pPr>
        <w:spacing w:after="0" w:line="240" w:lineRule="auto"/>
        <w:ind w:firstLine="454"/>
        <w:jc w:val="center"/>
        <w:rPr>
          <w:rFonts w:ascii="Arial Narrow" w:eastAsia="Calibri" w:hAnsi="Arial Narrow" w:cs="Times New Roman"/>
        </w:rPr>
      </w:pPr>
    </w:p>
    <w:p w14:paraId="36933FE8" w14:textId="77777777" w:rsidR="00176CD4" w:rsidRPr="00176CD4" w:rsidRDefault="00176CD4" w:rsidP="00176CD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176CD4">
        <w:rPr>
          <w:rFonts w:ascii="Arial Narrow" w:eastAsia="Times New Roman" w:hAnsi="Arial Narrow" w:cs="Times New Roman"/>
          <w:b/>
          <w:caps/>
          <w:kern w:val="28"/>
          <w:sz w:val="28"/>
          <w:szCs w:val="20"/>
          <w:lang w:eastAsia="x-none"/>
        </w:rPr>
        <w:t xml:space="preserve">1. </w:t>
      </w:r>
      <w:r w:rsidRPr="00176CD4">
        <w:rPr>
          <w:rFonts w:ascii="Arial Narrow" w:eastAsia="Times New Roman" w:hAnsi="Arial Narrow" w:cs="Times New Roman"/>
          <w:b/>
          <w:caps/>
          <w:kern w:val="28"/>
          <w:sz w:val="28"/>
          <w:szCs w:val="20"/>
          <w:lang w:val="x-none" w:eastAsia="x-none"/>
        </w:rPr>
        <w:t>wstęp</w:t>
      </w:r>
    </w:p>
    <w:p w14:paraId="4A076D30"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eastAsia="x-none"/>
        </w:rPr>
        <w:t xml:space="preserve">1.1 </w:t>
      </w:r>
      <w:r w:rsidRPr="00176CD4">
        <w:rPr>
          <w:rFonts w:ascii="Arial Narrow" w:eastAsia="Times New Roman" w:hAnsi="Arial Narrow" w:cs="Times New Roman"/>
          <w:b/>
          <w:sz w:val="28"/>
          <w:szCs w:val="20"/>
          <w:lang w:val="x-none" w:eastAsia="x-none"/>
        </w:rPr>
        <w:t>Przedmiot STWiORB</w:t>
      </w:r>
    </w:p>
    <w:p w14:paraId="19F4B656" w14:textId="77777777" w:rsidR="00176CD4" w:rsidRPr="00176CD4" w:rsidRDefault="00176CD4" w:rsidP="00176CD4">
      <w:pPr>
        <w:spacing w:after="0" w:line="240" w:lineRule="auto"/>
        <w:ind w:firstLine="454"/>
        <w:jc w:val="both"/>
        <w:rPr>
          <w:rFonts w:ascii="Arial Narrow" w:eastAsia="Calibri" w:hAnsi="Arial Narrow" w:cs="Times New Roman"/>
          <w:sz w:val="20"/>
        </w:rPr>
      </w:pPr>
      <w:r w:rsidRPr="00176CD4">
        <w:rPr>
          <w:rFonts w:ascii="Arial Narrow" w:eastAsia="Times New Roman" w:hAnsi="Arial Narrow" w:cs="Times New Roman"/>
          <w:sz w:val="20"/>
          <w:szCs w:val="20"/>
          <w:lang w:eastAsia="pl-PL"/>
        </w:rPr>
        <w:t>Przedmiotem niniejszej szczegółowej specyfikacji technicznej (SST) są wymagania dotyczące wykonania i odbioru robót związanych wykonywaniem oznakowania pionowego</w:t>
      </w:r>
      <w:r w:rsidRPr="00176CD4">
        <w:rPr>
          <w:rFonts w:ascii="Arial Narrow" w:eastAsia="Calibri" w:hAnsi="Arial Narrow" w:cs="Times New Roman"/>
          <w:sz w:val="20"/>
        </w:rPr>
        <w:t>.</w:t>
      </w:r>
    </w:p>
    <w:p w14:paraId="5C03CA4C"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eastAsia="x-none"/>
        </w:rPr>
        <w:t xml:space="preserve">1.2 </w:t>
      </w:r>
      <w:r w:rsidRPr="00176CD4">
        <w:rPr>
          <w:rFonts w:ascii="Arial Narrow" w:eastAsia="Times New Roman" w:hAnsi="Arial Narrow" w:cs="Times New Roman"/>
          <w:b/>
          <w:sz w:val="28"/>
          <w:szCs w:val="20"/>
          <w:lang w:val="x-none" w:eastAsia="x-none"/>
        </w:rPr>
        <w:t>Zakres stosowania STWiORB</w:t>
      </w:r>
    </w:p>
    <w:p w14:paraId="4DA869DA" w14:textId="3C6112C7" w:rsidR="00176CD4" w:rsidRPr="00176CD4" w:rsidRDefault="00176CD4" w:rsidP="00176CD4">
      <w:pPr>
        <w:tabs>
          <w:tab w:val="left" w:pos="-1440"/>
          <w:tab w:val="left" w:pos="-720"/>
          <w:tab w:val="left" w:pos="0"/>
        </w:tabs>
        <w:spacing w:after="0" w:line="240" w:lineRule="auto"/>
        <w:ind w:firstLine="454"/>
        <w:jc w:val="both"/>
        <w:rPr>
          <w:rFonts w:ascii="Arial Narrow" w:eastAsia="Calibri" w:hAnsi="Arial Narrow" w:cs="Arial"/>
          <w:spacing w:val="-3"/>
          <w:sz w:val="20"/>
        </w:rPr>
      </w:pPr>
      <w:r w:rsidRPr="00176CD4">
        <w:rPr>
          <w:rFonts w:ascii="Arial Narrow" w:eastAsia="Calibri" w:hAnsi="Arial Narrow" w:cs="Arial"/>
          <w:sz w:val="20"/>
        </w:rPr>
        <w:t xml:space="preserve">Specyfikacje Techniczne Wykonania i Odbioru Robót Budowlanych </w:t>
      </w:r>
      <w:r w:rsidRPr="00176CD4">
        <w:rPr>
          <w:rFonts w:ascii="Arial Narrow" w:eastAsia="Calibri" w:hAnsi="Arial Narrow" w:cs="Arial"/>
          <w:spacing w:val="-3"/>
          <w:sz w:val="20"/>
        </w:rPr>
        <w:t xml:space="preserve">stanowią Dokument Przetargowy i Kontraktowy przy zlecaniu i realizacji robót na drogach </w:t>
      </w:r>
    </w:p>
    <w:p w14:paraId="50F1BD97"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1.3. Zakres robót objętych SST</w:t>
      </w:r>
    </w:p>
    <w:p w14:paraId="65032B2F"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Ustalenia zawarte w niniejszej specyfikacji dotyczą zasad prowadzenia robót związanych z wykonywaniem i odbiorem oznakowania pionowego stosowanego na drogach, wg tabeli jak niżej: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3"/>
        <w:gridCol w:w="1935"/>
        <w:gridCol w:w="1940"/>
        <w:gridCol w:w="1951"/>
        <w:gridCol w:w="1899"/>
      </w:tblGrid>
      <w:tr w:rsidR="00176CD4" w:rsidRPr="00176CD4" w14:paraId="0DB7343A" w14:textId="77777777" w:rsidTr="00855929">
        <w:tc>
          <w:tcPr>
            <w:tcW w:w="1961" w:type="dxa"/>
            <w:shd w:val="clear" w:color="auto" w:fill="auto"/>
          </w:tcPr>
          <w:p w14:paraId="459CA867"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Usytuowanie znaki</w:t>
            </w:r>
          </w:p>
        </w:tc>
        <w:tc>
          <w:tcPr>
            <w:tcW w:w="1961" w:type="dxa"/>
            <w:shd w:val="clear" w:color="auto" w:fill="auto"/>
          </w:tcPr>
          <w:p w14:paraId="25F55AB3"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Drogi dwujezdniowe</w:t>
            </w:r>
          </w:p>
        </w:tc>
        <w:tc>
          <w:tcPr>
            <w:tcW w:w="1962" w:type="dxa"/>
            <w:shd w:val="clear" w:color="auto" w:fill="auto"/>
          </w:tcPr>
          <w:p w14:paraId="50A5525A"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Drogi jednojezdniowe</w:t>
            </w:r>
          </w:p>
        </w:tc>
        <w:tc>
          <w:tcPr>
            <w:tcW w:w="1962" w:type="dxa"/>
            <w:shd w:val="clear" w:color="auto" w:fill="auto"/>
          </w:tcPr>
          <w:p w14:paraId="715531EA"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Drogi gminne/powiatowe (podporządkowane)</w:t>
            </w:r>
          </w:p>
        </w:tc>
        <w:tc>
          <w:tcPr>
            <w:tcW w:w="1962" w:type="dxa"/>
            <w:shd w:val="clear" w:color="auto" w:fill="auto"/>
          </w:tcPr>
          <w:p w14:paraId="6C68DB6F"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r>
      <w:tr w:rsidR="00176CD4" w:rsidRPr="00176CD4" w14:paraId="2FAF40CA" w14:textId="77777777" w:rsidTr="00855929">
        <w:tc>
          <w:tcPr>
            <w:tcW w:w="1961" w:type="dxa"/>
            <w:shd w:val="clear" w:color="auto" w:fill="auto"/>
          </w:tcPr>
          <w:p w14:paraId="485B5522"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Obok jezdni</w:t>
            </w:r>
          </w:p>
        </w:tc>
        <w:tc>
          <w:tcPr>
            <w:tcW w:w="1961" w:type="dxa"/>
            <w:shd w:val="clear" w:color="auto" w:fill="auto"/>
          </w:tcPr>
          <w:p w14:paraId="72DDDECD"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2</w:t>
            </w:r>
          </w:p>
        </w:tc>
        <w:tc>
          <w:tcPr>
            <w:tcW w:w="1962" w:type="dxa"/>
            <w:shd w:val="clear" w:color="auto" w:fill="auto"/>
          </w:tcPr>
          <w:p w14:paraId="44B95C6D"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1*)</w:t>
            </w:r>
          </w:p>
        </w:tc>
        <w:tc>
          <w:tcPr>
            <w:tcW w:w="1962" w:type="dxa"/>
            <w:shd w:val="clear" w:color="auto" w:fill="auto"/>
          </w:tcPr>
          <w:p w14:paraId="161BA87A"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1*)</w:t>
            </w:r>
          </w:p>
        </w:tc>
        <w:tc>
          <w:tcPr>
            <w:tcW w:w="1962" w:type="dxa"/>
            <w:shd w:val="clear" w:color="auto" w:fill="auto"/>
          </w:tcPr>
          <w:p w14:paraId="3E1B12DB"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r>
      <w:tr w:rsidR="00176CD4" w:rsidRPr="00176CD4" w14:paraId="3B34F0C7" w14:textId="77777777" w:rsidTr="00855929">
        <w:tc>
          <w:tcPr>
            <w:tcW w:w="1961" w:type="dxa"/>
            <w:shd w:val="clear" w:color="auto" w:fill="auto"/>
          </w:tcPr>
          <w:p w14:paraId="71554811"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Nad jezdnią</w:t>
            </w:r>
          </w:p>
        </w:tc>
        <w:tc>
          <w:tcPr>
            <w:tcW w:w="1961" w:type="dxa"/>
            <w:shd w:val="clear" w:color="auto" w:fill="auto"/>
          </w:tcPr>
          <w:p w14:paraId="6FBAA757"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2</w:t>
            </w:r>
          </w:p>
        </w:tc>
        <w:tc>
          <w:tcPr>
            <w:tcW w:w="1962" w:type="dxa"/>
            <w:shd w:val="clear" w:color="auto" w:fill="auto"/>
          </w:tcPr>
          <w:p w14:paraId="66B2957C"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2</w:t>
            </w:r>
          </w:p>
        </w:tc>
        <w:tc>
          <w:tcPr>
            <w:tcW w:w="1962" w:type="dxa"/>
            <w:shd w:val="clear" w:color="auto" w:fill="auto"/>
          </w:tcPr>
          <w:p w14:paraId="6C1DB100"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2</w:t>
            </w:r>
          </w:p>
        </w:tc>
        <w:tc>
          <w:tcPr>
            <w:tcW w:w="1962" w:type="dxa"/>
            <w:shd w:val="clear" w:color="auto" w:fill="auto"/>
          </w:tcPr>
          <w:p w14:paraId="4A1C4FF9"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r>
      <w:tr w:rsidR="00176CD4" w:rsidRPr="00176CD4" w14:paraId="1A3E62E2" w14:textId="77777777" w:rsidTr="00855929">
        <w:tc>
          <w:tcPr>
            <w:tcW w:w="1961" w:type="dxa"/>
            <w:shd w:val="clear" w:color="auto" w:fill="auto"/>
          </w:tcPr>
          <w:p w14:paraId="7905DCA7"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7847" w:type="dxa"/>
            <w:gridSpan w:val="4"/>
            <w:shd w:val="clear" w:color="auto" w:fill="auto"/>
          </w:tcPr>
          <w:p w14:paraId="70EEF51E"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znaki A-7, B-2, B-20, D-6, D-6a, D-6b – stosować folię 2 generacji</w:t>
            </w:r>
          </w:p>
        </w:tc>
      </w:tr>
    </w:tbl>
    <w:p w14:paraId="666429A1"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Montowanych na fundamentach oraz gniazdach demontowalnych.</w:t>
      </w:r>
    </w:p>
    <w:p w14:paraId="2B9DE1CD"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62EC46EB"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388"/>
        <w:gridCol w:w="837"/>
        <w:gridCol w:w="919"/>
        <w:gridCol w:w="927"/>
        <w:gridCol w:w="852"/>
        <w:gridCol w:w="1015"/>
      </w:tblGrid>
      <w:tr w:rsidR="00176CD4" w:rsidRPr="00176CD4" w14:paraId="21BF9C62" w14:textId="77777777" w:rsidTr="00855929">
        <w:tc>
          <w:tcPr>
            <w:tcW w:w="817" w:type="dxa"/>
            <w:shd w:val="clear" w:color="auto" w:fill="auto"/>
          </w:tcPr>
          <w:p w14:paraId="1D699039"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Grupa znaków</w:t>
            </w:r>
          </w:p>
        </w:tc>
        <w:tc>
          <w:tcPr>
            <w:tcW w:w="3402" w:type="dxa"/>
            <w:shd w:val="clear" w:color="auto" w:fill="auto"/>
          </w:tcPr>
          <w:p w14:paraId="75CE8EEE"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Miejsce stosowania</w:t>
            </w:r>
          </w:p>
        </w:tc>
        <w:tc>
          <w:tcPr>
            <w:tcW w:w="838" w:type="dxa"/>
            <w:shd w:val="clear" w:color="auto" w:fill="auto"/>
          </w:tcPr>
          <w:p w14:paraId="104E3175"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Symbol</w:t>
            </w:r>
          </w:p>
        </w:tc>
        <w:tc>
          <w:tcPr>
            <w:tcW w:w="919" w:type="dxa"/>
            <w:shd w:val="clear" w:color="auto" w:fill="auto"/>
          </w:tcPr>
          <w:p w14:paraId="22CC05AF"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Kategoria znaków</w:t>
            </w:r>
          </w:p>
        </w:tc>
        <w:tc>
          <w:tcPr>
            <w:tcW w:w="931" w:type="dxa"/>
            <w:shd w:val="clear" w:color="auto" w:fill="auto"/>
          </w:tcPr>
          <w:p w14:paraId="0802DC8D"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855" w:type="dxa"/>
            <w:shd w:val="clear" w:color="auto" w:fill="auto"/>
          </w:tcPr>
          <w:p w14:paraId="70D3B5C2"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93" w:type="dxa"/>
            <w:shd w:val="clear" w:color="auto" w:fill="auto"/>
          </w:tcPr>
          <w:p w14:paraId="04F0B796"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r>
      <w:tr w:rsidR="00176CD4" w:rsidRPr="00176CD4" w14:paraId="2811BD45" w14:textId="77777777" w:rsidTr="00855929">
        <w:tc>
          <w:tcPr>
            <w:tcW w:w="817" w:type="dxa"/>
            <w:shd w:val="clear" w:color="auto" w:fill="auto"/>
          </w:tcPr>
          <w:p w14:paraId="4EDF197E"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3402" w:type="dxa"/>
            <w:shd w:val="clear" w:color="auto" w:fill="auto"/>
          </w:tcPr>
          <w:p w14:paraId="5FE1D1F6"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838" w:type="dxa"/>
            <w:shd w:val="clear" w:color="auto" w:fill="auto"/>
          </w:tcPr>
          <w:p w14:paraId="7540A660"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19" w:type="dxa"/>
            <w:shd w:val="clear" w:color="auto" w:fill="auto"/>
          </w:tcPr>
          <w:p w14:paraId="4C3BB32D"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A</w:t>
            </w:r>
          </w:p>
        </w:tc>
        <w:tc>
          <w:tcPr>
            <w:tcW w:w="931" w:type="dxa"/>
            <w:shd w:val="clear" w:color="auto" w:fill="auto"/>
          </w:tcPr>
          <w:p w14:paraId="29559A65"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B</w:t>
            </w:r>
          </w:p>
        </w:tc>
        <w:tc>
          <w:tcPr>
            <w:tcW w:w="855" w:type="dxa"/>
            <w:shd w:val="clear" w:color="auto" w:fill="auto"/>
          </w:tcPr>
          <w:p w14:paraId="5410CE63"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C</w:t>
            </w:r>
          </w:p>
        </w:tc>
        <w:tc>
          <w:tcPr>
            <w:tcW w:w="993" w:type="dxa"/>
            <w:shd w:val="clear" w:color="auto" w:fill="auto"/>
          </w:tcPr>
          <w:p w14:paraId="23CA8090"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D</w:t>
            </w:r>
          </w:p>
          <w:p w14:paraId="2AB2CA90"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n=0,1,2</w:t>
            </w:r>
          </w:p>
        </w:tc>
      </w:tr>
      <w:tr w:rsidR="00176CD4" w:rsidRPr="00176CD4" w14:paraId="43FC5FE6" w14:textId="77777777" w:rsidTr="00855929">
        <w:tc>
          <w:tcPr>
            <w:tcW w:w="817" w:type="dxa"/>
            <w:vMerge w:val="restart"/>
            <w:shd w:val="clear" w:color="auto" w:fill="auto"/>
          </w:tcPr>
          <w:p w14:paraId="4B96DA6E"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Duże</w:t>
            </w:r>
          </w:p>
        </w:tc>
        <w:tc>
          <w:tcPr>
            <w:tcW w:w="3402" w:type="dxa"/>
            <w:shd w:val="clear" w:color="auto" w:fill="auto"/>
          </w:tcPr>
          <w:p w14:paraId="75468A0B"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Drogi dwujezdniowe poza obszarem zabudowanym</w:t>
            </w:r>
          </w:p>
        </w:tc>
        <w:tc>
          <w:tcPr>
            <w:tcW w:w="838" w:type="dxa"/>
            <w:vMerge w:val="restart"/>
            <w:shd w:val="clear" w:color="auto" w:fill="auto"/>
          </w:tcPr>
          <w:p w14:paraId="2E2AD144"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D</w:t>
            </w:r>
          </w:p>
        </w:tc>
        <w:tc>
          <w:tcPr>
            <w:tcW w:w="919" w:type="dxa"/>
            <w:vMerge w:val="restart"/>
            <w:shd w:val="clear" w:color="auto" w:fill="auto"/>
          </w:tcPr>
          <w:p w14:paraId="3BAAEE8D"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1050</w:t>
            </w:r>
          </w:p>
        </w:tc>
        <w:tc>
          <w:tcPr>
            <w:tcW w:w="931" w:type="dxa"/>
            <w:vMerge w:val="restart"/>
            <w:shd w:val="clear" w:color="auto" w:fill="auto"/>
          </w:tcPr>
          <w:p w14:paraId="278E70B0"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900</w:t>
            </w:r>
          </w:p>
        </w:tc>
        <w:tc>
          <w:tcPr>
            <w:tcW w:w="855" w:type="dxa"/>
            <w:vMerge w:val="restart"/>
            <w:shd w:val="clear" w:color="auto" w:fill="auto"/>
          </w:tcPr>
          <w:p w14:paraId="1E85E522"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900</w:t>
            </w:r>
          </w:p>
        </w:tc>
        <w:tc>
          <w:tcPr>
            <w:tcW w:w="993" w:type="dxa"/>
            <w:vMerge w:val="restart"/>
            <w:shd w:val="clear" w:color="auto" w:fill="auto"/>
          </w:tcPr>
          <w:p w14:paraId="11B410FC"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900+n*225</w:t>
            </w:r>
          </w:p>
        </w:tc>
      </w:tr>
      <w:tr w:rsidR="00176CD4" w:rsidRPr="00176CD4" w14:paraId="0F308415" w14:textId="77777777" w:rsidTr="00855929">
        <w:tc>
          <w:tcPr>
            <w:tcW w:w="817" w:type="dxa"/>
            <w:vMerge/>
            <w:shd w:val="clear" w:color="auto" w:fill="auto"/>
          </w:tcPr>
          <w:p w14:paraId="43F7D7EA"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3402" w:type="dxa"/>
            <w:shd w:val="clear" w:color="auto" w:fill="auto"/>
          </w:tcPr>
          <w:p w14:paraId="1623124A"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Drogi dwujezdniowe w obszarze zabudowanym przy Vd&gt;60km/h</w:t>
            </w:r>
          </w:p>
        </w:tc>
        <w:tc>
          <w:tcPr>
            <w:tcW w:w="838" w:type="dxa"/>
            <w:vMerge/>
            <w:shd w:val="clear" w:color="auto" w:fill="auto"/>
          </w:tcPr>
          <w:p w14:paraId="5A815209"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19" w:type="dxa"/>
            <w:vMerge/>
            <w:shd w:val="clear" w:color="auto" w:fill="auto"/>
          </w:tcPr>
          <w:p w14:paraId="2E35031B"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31" w:type="dxa"/>
            <w:vMerge/>
            <w:shd w:val="clear" w:color="auto" w:fill="auto"/>
          </w:tcPr>
          <w:p w14:paraId="42C4E27F"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855" w:type="dxa"/>
            <w:vMerge/>
            <w:shd w:val="clear" w:color="auto" w:fill="auto"/>
          </w:tcPr>
          <w:p w14:paraId="16320B1D"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93" w:type="dxa"/>
            <w:vMerge/>
            <w:shd w:val="clear" w:color="auto" w:fill="auto"/>
          </w:tcPr>
          <w:p w14:paraId="18E11D5F"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r>
      <w:tr w:rsidR="00176CD4" w:rsidRPr="00176CD4" w14:paraId="1ECA5BDE" w14:textId="77777777" w:rsidTr="00855929">
        <w:tc>
          <w:tcPr>
            <w:tcW w:w="817" w:type="dxa"/>
            <w:vMerge w:val="restart"/>
            <w:shd w:val="clear" w:color="auto" w:fill="auto"/>
          </w:tcPr>
          <w:p w14:paraId="5347C071"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Średnie</w:t>
            </w:r>
          </w:p>
        </w:tc>
        <w:tc>
          <w:tcPr>
            <w:tcW w:w="3402" w:type="dxa"/>
            <w:shd w:val="clear" w:color="auto" w:fill="auto"/>
          </w:tcPr>
          <w:p w14:paraId="02AE8C57"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Drogi dwujezdniowe w obszarze zabudowanym przy Vd&lt;=60km/h</w:t>
            </w:r>
          </w:p>
        </w:tc>
        <w:tc>
          <w:tcPr>
            <w:tcW w:w="838" w:type="dxa"/>
            <w:vMerge w:val="restart"/>
            <w:shd w:val="clear" w:color="auto" w:fill="auto"/>
          </w:tcPr>
          <w:p w14:paraId="7D4A9E8C"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Ś</w:t>
            </w:r>
          </w:p>
        </w:tc>
        <w:tc>
          <w:tcPr>
            <w:tcW w:w="919" w:type="dxa"/>
            <w:vMerge w:val="restart"/>
            <w:shd w:val="clear" w:color="auto" w:fill="auto"/>
          </w:tcPr>
          <w:p w14:paraId="32B162DD"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900</w:t>
            </w:r>
          </w:p>
        </w:tc>
        <w:tc>
          <w:tcPr>
            <w:tcW w:w="931" w:type="dxa"/>
            <w:vMerge w:val="restart"/>
            <w:shd w:val="clear" w:color="auto" w:fill="auto"/>
          </w:tcPr>
          <w:p w14:paraId="5A2A8862"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800</w:t>
            </w:r>
          </w:p>
        </w:tc>
        <w:tc>
          <w:tcPr>
            <w:tcW w:w="855" w:type="dxa"/>
            <w:vMerge w:val="restart"/>
            <w:shd w:val="clear" w:color="auto" w:fill="auto"/>
          </w:tcPr>
          <w:p w14:paraId="2CBEF81C"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600</w:t>
            </w:r>
          </w:p>
        </w:tc>
        <w:tc>
          <w:tcPr>
            <w:tcW w:w="993" w:type="dxa"/>
            <w:vMerge w:val="restart"/>
            <w:shd w:val="clear" w:color="auto" w:fill="auto"/>
          </w:tcPr>
          <w:p w14:paraId="35412237"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600+n*150</w:t>
            </w:r>
          </w:p>
        </w:tc>
      </w:tr>
      <w:tr w:rsidR="00176CD4" w:rsidRPr="00176CD4" w14:paraId="2DF39107" w14:textId="77777777" w:rsidTr="00855929">
        <w:tc>
          <w:tcPr>
            <w:tcW w:w="817" w:type="dxa"/>
            <w:vMerge/>
            <w:shd w:val="clear" w:color="auto" w:fill="auto"/>
          </w:tcPr>
          <w:p w14:paraId="54331CDA"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3402" w:type="dxa"/>
            <w:shd w:val="clear" w:color="auto" w:fill="auto"/>
          </w:tcPr>
          <w:p w14:paraId="47E6C2CB"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Drogi jednojezdniowe</w:t>
            </w:r>
          </w:p>
        </w:tc>
        <w:tc>
          <w:tcPr>
            <w:tcW w:w="838" w:type="dxa"/>
            <w:vMerge/>
            <w:shd w:val="clear" w:color="auto" w:fill="auto"/>
          </w:tcPr>
          <w:p w14:paraId="7ACBB94A"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19" w:type="dxa"/>
            <w:vMerge/>
            <w:shd w:val="clear" w:color="auto" w:fill="auto"/>
          </w:tcPr>
          <w:p w14:paraId="74903A06"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31" w:type="dxa"/>
            <w:vMerge/>
            <w:shd w:val="clear" w:color="auto" w:fill="auto"/>
          </w:tcPr>
          <w:p w14:paraId="5C0EF8FB"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855" w:type="dxa"/>
            <w:vMerge/>
            <w:shd w:val="clear" w:color="auto" w:fill="auto"/>
          </w:tcPr>
          <w:p w14:paraId="45729850"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93" w:type="dxa"/>
            <w:vMerge/>
            <w:shd w:val="clear" w:color="auto" w:fill="auto"/>
          </w:tcPr>
          <w:p w14:paraId="584A1AD0"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r>
      <w:tr w:rsidR="00176CD4" w:rsidRPr="00176CD4" w14:paraId="113805F8" w14:textId="77777777" w:rsidTr="00855929">
        <w:tc>
          <w:tcPr>
            <w:tcW w:w="817" w:type="dxa"/>
            <w:vMerge/>
            <w:shd w:val="clear" w:color="auto" w:fill="auto"/>
          </w:tcPr>
          <w:p w14:paraId="740F8FDC"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3402" w:type="dxa"/>
            <w:shd w:val="clear" w:color="auto" w:fill="auto"/>
          </w:tcPr>
          <w:p w14:paraId="140ECE5B"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Drogi powiatowe ( z wyjątkiem drogowskazów tablicowych)</w:t>
            </w:r>
          </w:p>
        </w:tc>
        <w:tc>
          <w:tcPr>
            <w:tcW w:w="838" w:type="dxa"/>
            <w:vMerge/>
            <w:shd w:val="clear" w:color="auto" w:fill="auto"/>
          </w:tcPr>
          <w:p w14:paraId="170F2E09"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19" w:type="dxa"/>
            <w:vMerge/>
            <w:shd w:val="clear" w:color="auto" w:fill="auto"/>
          </w:tcPr>
          <w:p w14:paraId="3C65D2DB"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31" w:type="dxa"/>
            <w:vMerge/>
            <w:shd w:val="clear" w:color="auto" w:fill="auto"/>
          </w:tcPr>
          <w:p w14:paraId="2956EF41"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855" w:type="dxa"/>
            <w:vMerge/>
            <w:shd w:val="clear" w:color="auto" w:fill="auto"/>
          </w:tcPr>
          <w:p w14:paraId="07256656"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93" w:type="dxa"/>
            <w:vMerge/>
            <w:shd w:val="clear" w:color="auto" w:fill="auto"/>
          </w:tcPr>
          <w:p w14:paraId="40D39CED"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r>
      <w:tr w:rsidR="00176CD4" w:rsidRPr="00176CD4" w14:paraId="0A80C873" w14:textId="77777777" w:rsidTr="00855929">
        <w:tc>
          <w:tcPr>
            <w:tcW w:w="817" w:type="dxa"/>
            <w:vMerge w:val="restart"/>
            <w:shd w:val="clear" w:color="auto" w:fill="auto"/>
          </w:tcPr>
          <w:p w14:paraId="2D49B4B7"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Małe</w:t>
            </w:r>
          </w:p>
        </w:tc>
        <w:tc>
          <w:tcPr>
            <w:tcW w:w="3402" w:type="dxa"/>
            <w:shd w:val="clear" w:color="auto" w:fill="auto"/>
          </w:tcPr>
          <w:p w14:paraId="7FA69E1A"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Drogi gminne</w:t>
            </w:r>
          </w:p>
        </w:tc>
        <w:tc>
          <w:tcPr>
            <w:tcW w:w="838" w:type="dxa"/>
            <w:vMerge w:val="restart"/>
            <w:shd w:val="clear" w:color="auto" w:fill="auto"/>
          </w:tcPr>
          <w:p w14:paraId="360C528B"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M</w:t>
            </w:r>
          </w:p>
        </w:tc>
        <w:tc>
          <w:tcPr>
            <w:tcW w:w="919" w:type="dxa"/>
            <w:vMerge w:val="restart"/>
            <w:shd w:val="clear" w:color="auto" w:fill="auto"/>
          </w:tcPr>
          <w:p w14:paraId="11C76528"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759</w:t>
            </w:r>
          </w:p>
        </w:tc>
        <w:tc>
          <w:tcPr>
            <w:tcW w:w="931" w:type="dxa"/>
            <w:vMerge w:val="restart"/>
            <w:shd w:val="clear" w:color="auto" w:fill="auto"/>
          </w:tcPr>
          <w:p w14:paraId="29806E06"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600</w:t>
            </w:r>
          </w:p>
        </w:tc>
        <w:tc>
          <w:tcPr>
            <w:tcW w:w="855" w:type="dxa"/>
            <w:vMerge w:val="restart"/>
            <w:shd w:val="clear" w:color="auto" w:fill="auto"/>
          </w:tcPr>
          <w:p w14:paraId="3F09A263"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600</w:t>
            </w:r>
          </w:p>
        </w:tc>
        <w:tc>
          <w:tcPr>
            <w:tcW w:w="993" w:type="dxa"/>
            <w:vMerge w:val="restart"/>
            <w:shd w:val="clear" w:color="auto" w:fill="auto"/>
          </w:tcPr>
          <w:p w14:paraId="6FA7915E"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600+n*150</w:t>
            </w:r>
          </w:p>
        </w:tc>
      </w:tr>
      <w:tr w:rsidR="00176CD4" w:rsidRPr="00176CD4" w14:paraId="48811EB8" w14:textId="77777777" w:rsidTr="00855929">
        <w:tc>
          <w:tcPr>
            <w:tcW w:w="817" w:type="dxa"/>
            <w:vMerge/>
            <w:shd w:val="clear" w:color="auto" w:fill="auto"/>
          </w:tcPr>
          <w:p w14:paraId="09969CA7"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3402" w:type="dxa"/>
            <w:shd w:val="clear" w:color="auto" w:fill="auto"/>
          </w:tcPr>
          <w:p w14:paraId="720460F9"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Drogowskazy tablicowe na drogach powiatowych</w:t>
            </w:r>
          </w:p>
        </w:tc>
        <w:tc>
          <w:tcPr>
            <w:tcW w:w="838" w:type="dxa"/>
            <w:vMerge/>
            <w:shd w:val="clear" w:color="auto" w:fill="auto"/>
          </w:tcPr>
          <w:p w14:paraId="2D09140A"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19" w:type="dxa"/>
            <w:vMerge/>
            <w:shd w:val="clear" w:color="auto" w:fill="auto"/>
          </w:tcPr>
          <w:p w14:paraId="5052868B"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31" w:type="dxa"/>
            <w:vMerge/>
            <w:shd w:val="clear" w:color="auto" w:fill="auto"/>
          </w:tcPr>
          <w:p w14:paraId="09006435"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855" w:type="dxa"/>
            <w:vMerge/>
            <w:shd w:val="clear" w:color="auto" w:fill="auto"/>
          </w:tcPr>
          <w:p w14:paraId="6F10F355"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93" w:type="dxa"/>
            <w:vMerge/>
            <w:shd w:val="clear" w:color="auto" w:fill="auto"/>
          </w:tcPr>
          <w:p w14:paraId="7853F8EA"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r>
      <w:tr w:rsidR="00176CD4" w:rsidRPr="00176CD4" w14:paraId="465C8A60" w14:textId="77777777" w:rsidTr="00855929">
        <w:tc>
          <w:tcPr>
            <w:tcW w:w="817" w:type="dxa"/>
            <w:vMerge w:val="restart"/>
            <w:shd w:val="clear" w:color="auto" w:fill="auto"/>
          </w:tcPr>
          <w:p w14:paraId="1C846079"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Mini</w:t>
            </w:r>
          </w:p>
        </w:tc>
        <w:tc>
          <w:tcPr>
            <w:tcW w:w="3402" w:type="dxa"/>
            <w:shd w:val="clear" w:color="auto" w:fill="auto"/>
          </w:tcPr>
          <w:p w14:paraId="1D75BD74"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Na słupkach przeszkodowych i tablicach kierujących</w:t>
            </w:r>
          </w:p>
        </w:tc>
        <w:tc>
          <w:tcPr>
            <w:tcW w:w="838" w:type="dxa"/>
            <w:vMerge w:val="restart"/>
            <w:shd w:val="clear" w:color="auto" w:fill="auto"/>
          </w:tcPr>
          <w:p w14:paraId="48F1C728"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Mi</w:t>
            </w:r>
          </w:p>
        </w:tc>
        <w:tc>
          <w:tcPr>
            <w:tcW w:w="919" w:type="dxa"/>
            <w:vMerge w:val="restart"/>
            <w:shd w:val="clear" w:color="auto" w:fill="auto"/>
          </w:tcPr>
          <w:p w14:paraId="7E723653"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600</w:t>
            </w:r>
          </w:p>
        </w:tc>
        <w:tc>
          <w:tcPr>
            <w:tcW w:w="931" w:type="dxa"/>
            <w:vMerge w:val="restart"/>
            <w:shd w:val="clear" w:color="auto" w:fill="auto"/>
          </w:tcPr>
          <w:p w14:paraId="7E9B0476"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400</w:t>
            </w:r>
          </w:p>
        </w:tc>
        <w:tc>
          <w:tcPr>
            <w:tcW w:w="855" w:type="dxa"/>
            <w:vMerge w:val="restart"/>
            <w:shd w:val="clear" w:color="auto" w:fill="auto"/>
          </w:tcPr>
          <w:p w14:paraId="1C071BE1"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400</w:t>
            </w:r>
          </w:p>
        </w:tc>
        <w:tc>
          <w:tcPr>
            <w:tcW w:w="993" w:type="dxa"/>
            <w:vMerge w:val="restart"/>
            <w:shd w:val="clear" w:color="auto" w:fill="auto"/>
          </w:tcPr>
          <w:p w14:paraId="57C547B3"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400+n*100</w:t>
            </w:r>
          </w:p>
        </w:tc>
      </w:tr>
      <w:tr w:rsidR="00176CD4" w:rsidRPr="00176CD4" w14:paraId="43252F1B" w14:textId="77777777" w:rsidTr="00855929">
        <w:tc>
          <w:tcPr>
            <w:tcW w:w="817" w:type="dxa"/>
            <w:vMerge/>
            <w:shd w:val="clear" w:color="auto" w:fill="auto"/>
          </w:tcPr>
          <w:p w14:paraId="67355160"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3402" w:type="dxa"/>
            <w:shd w:val="clear" w:color="auto" w:fill="auto"/>
          </w:tcPr>
          <w:p w14:paraId="037FBB2D"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Na drogach w obszarze zabudowanym, gdy warunki drogowe nie pozwalają na stosowanie znaków większych lub zastosowanie większych znaków pogorszy widoczności pieszych na przejściu lub rowerzystów na przejazdach rowerowych</w:t>
            </w:r>
          </w:p>
        </w:tc>
        <w:tc>
          <w:tcPr>
            <w:tcW w:w="838" w:type="dxa"/>
            <w:vMerge/>
            <w:shd w:val="clear" w:color="auto" w:fill="auto"/>
          </w:tcPr>
          <w:p w14:paraId="563C6505"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19" w:type="dxa"/>
            <w:vMerge/>
            <w:shd w:val="clear" w:color="auto" w:fill="auto"/>
          </w:tcPr>
          <w:p w14:paraId="65FC4914"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31" w:type="dxa"/>
            <w:vMerge/>
            <w:shd w:val="clear" w:color="auto" w:fill="auto"/>
          </w:tcPr>
          <w:p w14:paraId="1A8C836C"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855" w:type="dxa"/>
            <w:vMerge/>
            <w:shd w:val="clear" w:color="auto" w:fill="auto"/>
          </w:tcPr>
          <w:p w14:paraId="1B9A8314"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93" w:type="dxa"/>
            <w:vMerge/>
            <w:shd w:val="clear" w:color="auto" w:fill="auto"/>
          </w:tcPr>
          <w:p w14:paraId="11A35CA0"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r>
      <w:tr w:rsidR="00176CD4" w:rsidRPr="00176CD4" w14:paraId="52A96E40" w14:textId="77777777" w:rsidTr="00855929">
        <w:tc>
          <w:tcPr>
            <w:tcW w:w="817" w:type="dxa"/>
            <w:vMerge/>
            <w:shd w:val="clear" w:color="auto" w:fill="auto"/>
          </w:tcPr>
          <w:p w14:paraId="048CF581"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3402" w:type="dxa"/>
            <w:shd w:val="clear" w:color="auto" w:fill="auto"/>
          </w:tcPr>
          <w:p w14:paraId="2EB30F69"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Na wąskich ulicach o zabytkowej zabudowie</w:t>
            </w:r>
          </w:p>
        </w:tc>
        <w:tc>
          <w:tcPr>
            <w:tcW w:w="838" w:type="dxa"/>
            <w:vMerge/>
            <w:shd w:val="clear" w:color="auto" w:fill="auto"/>
          </w:tcPr>
          <w:p w14:paraId="2662F5CE"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19" w:type="dxa"/>
            <w:vMerge/>
            <w:shd w:val="clear" w:color="auto" w:fill="auto"/>
          </w:tcPr>
          <w:p w14:paraId="3D7C9E54"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31" w:type="dxa"/>
            <w:vMerge/>
            <w:shd w:val="clear" w:color="auto" w:fill="auto"/>
          </w:tcPr>
          <w:p w14:paraId="70D2C2B9"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855" w:type="dxa"/>
            <w:vMerge/>
            <w:shd w:val="clear" w:color="auto" w:fill="auto"/>
          </w:tcPr>
          <w:p w14:paraId="6085149D"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93" w:type="dxa"/>
            <w:vMerge/>
            <w:shd w:val="clear" w:color="auto" w:fill="auto"/>
          </w:tcPr>
          <w:p w14:paraId="6C74A9F8"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r>
      <w:tr w:rsidR="00176CD4" w:rsidRPr="00176CD4" w14:paraId="1F1F3FF8" w14:textId="77777777" w:rsidTr="00855929">
        <w:tc>
          <w:tcPr>
            <w:tcW w:w="817" w:type="dxa"/>
            <w:vMerge/>
            <w:shd w:val="clear" w:color="auto" w:fill="auto"/>
          </w:tcPr>
          <w:p w14:paraId="48F78177"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3402" w:type="dxa"/>
            <w:shd w:val="clear" w:color="auto" w:fill="auto"/>
          </w:tcPr>
          <w:p w14:paraId="5A2E8181"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Na drogach jednokierunkowych, na których poduszczono dwukierunkowy ruch rowerow i wózków rowerowych, dla kierunku ruchu przeciwnego niż określony znakiem D-3</w:t>
            </w:r>
          </w:p>
        </w:tc>
        <w:tc>
          <w:tcPr>
            <w:tcW w:w="838" w:type="dxa"/>
            <w:vMerge/>
            <w:shd w:val="clear" w:color="auto" w:fill="auto"/>
          </w:tcPr>
          <w:p w14:paraId="452B1272"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19" w:type="dxa"/>
            <w:vMerge/>
            <w:shd w:val="clear" w:color="auto" w:fill="auto"/>
          </w:tcPr>
          <w:p w14:paraId="206F7E6D"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31" w:type="dxa"/>
            <w:vMerge/>
            <w:shd w:val="clear" w:color="auto" w:fill="auto"/>
          </w:tcPr>
          <w:p w14:paraId="7051DB5C"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855" w:type="dxa"/>
            <w:vMerge/>
            <w:shd w:val="clear" w:color="auto" w:fill="auto"/>
          </w:tcPr>
          <w:p w14:paraId="0F59485E"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93" w:type="dxa"/>
            <w:vMerge/>
            <w:shd w:val="clear" w:color="auto" w:fill="auto"/>
          </w:tcPr>
          <w:p w14:paraId="6F3A0002"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r>
      <w:tr w:rsidR="00176CD4" w:rsidRPr="00176CD4" w14:paraId="19B91BEE" w14:textId="77777777" w:rsidTr="00855929">
        <w:tc>
          <w:tcPr>
            <w:tcW w:w="817" w:type="dxa"/>
            <w:vMerge/>
            <w:shd w:val="clear" w:color="auto" w:fill="auto"/>
          </w:tcPr>
          <w:p w14:paraId="0CE5CEA9"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3402" w:type="dxa"/>
            <w:shd w:val="clear" w:color="auto" w:fill="auto"/>
          </w:tcPr>
          <w:p w14:paraId="6735DA65"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Na drogach dla rowerów (oraz pieszych) oraz drogach dla pieszych.</w:t>
            </w:r>
          </w:p>
        </w:tc>
        <w:tc>
          <w:tcPr>
            <w:tcW w:w="838" w:type="dxa"/>
            <w:vMerge/>
            <w:shd w:val="clear" w:color="auto" w:fill="auto"/>
          </w:tcPr>
          <w:p w14:paraId="18084CF4"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19" w:type="dxa"/>
            <w:vMerge/>
            <w:shd w:val="clear" w:color="auto" w:fill="auto"/>
          </w:tcPr>
          <w:p w14:paraId="117CF493"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31" w:type="dxa"/>
            <w:vMerge/>
            <w:shd w:val="clear" w:color="auto" w:fill="auto"/>
          </w:tcPr>
          <w:p w14:paraId="01BF6D45"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855" w:type="dxa"/>
            <w:vMerge/>
            <w:shd w:val="clear" w:color="auto" w:fill="auto"/>
          </w:tcPr>
          <w:p w14:paraId="27CF9695"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c>
          <w:tcPr>
            <w:tcW w:w="993" w:type="dxa"/>
            <w:vMerge/>
            <w:shd w:val="clear" w:color="auto" w:fill="auto"/>
          </w:tcPr>
          <w:p w14:paraId="61D0938B"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p>
        </w:tc>
      </w:tr>
    </w:tbl>
    <w:p w14:paraId="6D714A88"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2E4531C7"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Przy oznakowaniu robót prowadzonych w pasie drogowym stosuje się znaki o jedną grupę wielkości wyższą niż stosowane na danym odcinku drogi. Znaki A-7, B-20 powinny mieć taką samą grupę wielkości jak znaki na drodze z pierwszeństwem przejazdu, jednak nie mniejszą niż średnie. </w:t>
      </w:r>
    </w:p>
    <w:p w14:paraId="2F936833"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Znaki C-9,10,11 w zależności od warunków widoczności mogą być stosowane w grupach wielkości niższych niż obowiązujące na drodze.</w:t>
      </w:r>
    </w:p>
    <w:p w14:paraId="45113C40"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41414748" w14:textId="77777777" w:rsidR="00176CD4" w:rsidRPr="00176CD4" w:rsidRDefault="00176CD4" w:rsidP="00176CD4">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1.4. Określenia podstawowe</w:t>
      </w:r>
    </w:p>
    <w:p w14:paraId="00585B71" w14:textId="77777777" w:rsidR="00176CD4" w:rsidRPr="00176CD4" w:rsidRDefault="00176CD4" w:rsidP="00176CD4">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b/>
          <w:sz w:val="20"/>
          <w:szCs w:val="20"/>
          <w:lang w:eastAsia="pl-PL"/>
        </w:rPr>
        <w:t xml:space="preserve">1.4.1. </w:t>
      </w:r>
      <w:r w:rsidRPr="00176CD4">
        <w:rPr>
          <w:rFonts w:ascii="Arial Narrow" w:eastAsia="Times New Roman" w:hAnsi="Arial Narrow" w:cs="Times New Roman"/>
          <w:sz w:val="20"/>
          <w:szCs w:val="20"/>
          <w:lang w:eastAsia="pl-PL"/>
        </w:rPr>
        <w:t xml:space="preserve">Stały znak drogowy pionowy - składa się z lica, tarczy z uchwytem montażowym oraz z konstrukcji wsporczej. </w:t>
      </w:r>
    </w:p>
    <w:p w14:paraId="58B8C010" w14:textId="77777777" w:rsidR="00176CD4" w:rsidRPr="00176CD4" w:rsidRDefault="00176CD4" w:rsidP="00176CD4">
      <w:pPr>
        <w:numPr>
          <w:ilvl w:val="12"/>
          <w:numId w:val="0"/>
        </w:numPr>
        <w:overflowPunct w:val="0"/>
        <w:autoSpaceDE w:val="0"/>
        <w:autoSpaceDN w:val="0"/>
        <w:adjustRightInd w:val="0"/>
        <w:spacing w:before="120" w:after="0" w:line="240" w:lineRule="auto"/>
        <w:jc w:val="both"/>
        <w:textAlignment w:val="baseline"/>
        <w:rPr>
          <w:rFonts w:ascii="Arial Narrow" w:eastAsia="Times New Roman" w:hAnsi="Arial Narrow" w:cs="Times New Roman"/>
          <w:b/>
          <w:sz w:val="20"/>
          <w:szCs w:val="20"/>
          <w:lang w:eastAsia="pl-PL"/>
        </w:rPr>
      </w:pPr>
      <w:r w:rsidRPr="00176CD4">
        <w:rPr>
          <w:rFonts w:ascii="Arial Narrow" w:eastAsia="Times New Roman" w:hAnsi="Arial Narrow" w:cs="Times New Roman"/>
          <w:b/>
          <w:sz w:val="20"/>
          <w:szCs w:val="20"/>
          <w:lang w:eastAsia="pl-PL"/>
        </w:rPr>
        <w:t xml:space="preserve">1.4.2. </w:t>
      </w:r>
      <w:r w:rsidRPr="00176CD4">
        <w:rPr>
          <w:rFonts w:ascii="Arial Narrow" w:eastAsia="Times New Roman" w:hAnsi="Arial Narrow" w:cs="Times New Roman"/>
          <w:sz w:val="20"/>
          <w:szCs w:val="20"/>
          <w:lang w:eastAsia="pl-PL"/>
        </w:rPr>
        <w:t>Tarcza znaku -   płaska powierzchnia z usztywnioną krawędzią, na której w sposób trwały umieszczone jest lico znaku. Tarcza może być wykonana z blachy stalowej ocynkowanej ogniowo albo aluminiowej zabezpieczona przed procesami korozji powłokami ochronnymi  zapewniającymi jakość i trwałość wykonanego znaku.</w:t>
      </w:r>
      <w:r w:rsidRPr="00176CD4">
        <w:rPr>
          <w:rFonts w:ascii="Arial Narrow" w:eastAsia="Times New Roman" w:hAnsi="Arial Narrow" w:cs="Times New Roman"/>
          <w:b/>
          <w:sz w:val="20"/>
          <w:szCs w:val="20"/>
          <w:lang w:eastAsia="pl-PL"/>
        </w:rPr>
        <w:t xml:space="preserve"> </w:t>
      </w:r>
    </w:p>
    <w:p w14:paraId="42AD00A1" w14:textId="77777777" w:rsidR="00176CD4" w:rsidRPr="00176CD4" w:rsidRDefault="00176CD4" w:rsidP="00176CD4">
      <w:pPr>
        <w:numPr>
          <w:ilvl w:val="12"/>
          <w:numId w:val="0"/>
        </w:numPr>
        <w:overflowPunct w:val="0"/>
        <w:autoSpaceDE w:val="0"/>
        <w:autoSpaceDN w:val="0"/>
        <w:adjustRightInd w:val="0"/>
        <w:spacing w:before="120"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b/>
          <w:sz w:val="20"/>
          <w:szCs w:val="20"/>
          <w:lang w:eastAsia="pl-PL"/>
        </w:rPr>
        <w:t xml:space="preserve">1.4.3. </w:t>
      </w:r>
      <w:r w:rsidRPr="00176CD4">
        <w:rPr>
          <w:rFonts w:ascii="Arial Narrow" w:eastAsia="Times New Roman" w:hAnsi="Arial Narrow" w:cs="Times New Roman"/>
          <w:sz w:val="20"/>
          <w:szCs w:val="20"/>
          <w:lang w:eastAsia="pl-PL"/>
        </w:rPr>
        <w:t>Lico znaku -   przednia część znaku, wykonana z samoprzylepnej folii odblaskowej wraz z naniesioną treścią, wykonaną techniką druku sitowego, wyklejaną z transparentnych folii ploterowych lub z folii odblaskowych.</w:t>
      </w:r>
    </w:p>
    <w:p w14:paraId="01FDE80D" w14:textId="77777777" w:rsidR="00176CD4" w:rsidRPr="00176CD4" w:rsidRDefault="00176CD4" w:rsidP="00176CD4">
      <w:pPr>
        <w:numPr>
          <w:ilvl w:val="12"/>
          <w:numId w:val="0"/>
        </w:numPr>
        <w:overflowPunct w:val="0"/>
        <w:autoSpaceDE w:val="0"/>
        <w:autoSpaceDN w:val="0"/>
        <w:adjustRightInd w:val="0"/>
        <w:spacing w:before="120" w:after="0" w:line="240" w:lineRule="auto"/>
        <w:jc w:val="both"/>
        <w:textAlignment w:val="baseline"/>
        <w:rPr>
          <w:rFonts w:ascii="Arial Narrow" w:eastAsia="Times New Roman" w:hAnsi="Arial Narrow" w:cs="Times New Roman"/>
          <w:sz w:val="24"/>
          <w:szCs w:val="20"/>
          <w:lang w:eastAsia="pl-PL"/>
        </w:rPr>
      </w:pPr>
      <w:r w:rsidRPr="00176CD4">
        <w:rPr>
          <w:rFonts w:ascii="Arial Narrow" w:eastAsia="Times New Roman" w:hAnsi="Arial Narrow" w:cs="Times New Roman"/>
          <w:b/>
          <w:sz w:val="20"/>
          <w:szCs w:val="20"/>
          <w:lang w:eastAsia="pl-PL"/>
        </w:rPr>
        <w:t xml:space="preserve">1.4.4. </w:t>
      </w:r>
      <w:r w:rsidRPr="00176CD4">
        <w:rPr>
          <w:rFonts w:ascii="Arial Narrow" w:eastAsia="Times New Roman" w:hAnsi="Arial Narrow" w:cs="Times New Roman"/>
          <w:sz w:val="20"/>
          <w:szCs w:val="20"/>
          <w:lang w:eastAsia="pl-PL"/>
        </w:rPr>
        <w:t>Uchwyt montażowy -   element stalowy lub aluminiowy zabezpieczony przed korozją, służący do zamocowania w sposób rozłączny tarczy znaku do konstrukcji wsporczej.</w:t>
      </w:r>
    </w:p>
    <w:p w14:paraId="04BBD9BF" w14:textId="77777777" w:rsidR="00176CD4" w:rsidRPr="00176CD4" w:rsidRDefault="00176CD4" w:rsidP="00176CD4">
      <w:pPr>
        <w:numPr>
          <w:ilvl w:val="12"/>
          <w:numId w:val="0"/>
        </w:numPr>
        <w:overflowPunct w:val="0"/>
        <w:autoSpaceDE w:val="0"/>
        <w:autoSpaceDN w:val="0"/>
        <w:adjustRightInd w:val="0"/>
        <w:spacing w:before="120"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b/>
          <w:sz w:val="20"/>
          <w:szCs w:val="20"/>
          <w:lang w:eastAsia="pl-PL"/>
        </w:rPr>
        <w:t xml:space="preserve">1.4.5. </w:t>
      </w:r>
      <w:r w:rsidRPr="00176CD4">
        <w:rPr>
          <w:rFonts w:ascii="Arial Narrow" w:eastAsia="Times New Roman" w:hAnsi="Arial Narrow" w:cs="Times New Roman"/>
          <w:sz w:val="20"/>
          <w:szCs w:val="20"/>
          <w:lang w:eastAsia="pl-PL"/>
        </w:rPr>
        <w:t>Znak drogowy odblaskowy - znak, którego lico wykazuje właściwości odblaskowe (wykonane jest z materiału o odbiciu powrotnym - współdrożnym).</w:t>
      </w:r>
    </w:p>
    <w:p w14:paraId="359D2F82" w14:textId="77777777" w:rsidR="00176CD4" w:rsidRPr="00176CD4" w:rsidRDefault="00176CD4" w:rsidP="00176CD4">
      <w:pPr>
        <w:numPr>
          <w:ilvl w:val="12"/>
          <w:numId w:val="0"/>
        </w:numPr>
        <w:overflowPunct w:val="0"/>
        <w:autoSpaceDE w:val="0"/>
        <w:autoSpaceDN w:val="0"/>
        <w:adjustRightInd w:val="0"/>
        <w:spacing w:before="120" w:after="0" w:line="240" w:lineRule="auto"/>
        <w:jc w:val="both"/>
        <w:textAlignment w:val="baseline"/>
        <w:rPr>
          <w:rFonts w:ascii="Arial Narrow" w:eastAsia="Times New Roman" w:hAnsi="Arial Narrow" w:cs="Times New Roman"/>
          <w:sz w:val="24"/>
          <w:szCs w:val="20"/>
          <w:lang w:eastAsia="pl-PL"/>
        </w:rPr>
      </w:pPr>
      <w:r w:rsidRPr="00176CD4">
        <w:rPr>
          <w:rFonts w:ascii="Arial Narrow" w:eastAsia="Times New Roman" w:hAnsi="Arial Narrow" w:cs="Times New Roman"/>
          <w:b/>
          <w:sz w:val="20"/>
          <w:szCs w:val="20"/>
          <w:lang w:eastAsia="pl-PL"/>
        </w:rPr>
        <w:t xml:space="preserve">1.4.6. </w:t>
      </w:r>
      <w:r w:rsidRPr="00176CD4">
        <w:rPr>
          <w:rFonts w:ascii="Arial Narrow" w:eastAsia="Times New Roman" w:hAnsi="Arial Narrow" w:cs="Times New Roman"/>
          <w:sz w:val="20"/>
          <w:szCs w:val="20"/>
          <w:lang w:eastAsia="pl-PL"/>
        </w:rPr>
        <w:t>Konstrukcja wsporcza znaku -   każdy rodzaj konstrukcji (słupek, słup, słupy, kratownice, wysięgniki, bramy, wsporniki itp.) gwarantujący przenoszenie obciążeń zmiennych i stałych działających na konstrukcję i zamontowane na niej znaki lub tablice.</w:t>
      </w:r>
    </w:p>
    <w:p w14:paraId="6A3464C2" w14:textId="77777777" w:rsidR="00176CD4" w:rsidRPr="00176CD4" w:rsidRDefault="00176CD4" w:rsidP="00176CD4">
      <w:pPr>
        <w:numPr>
          <w:ilvl w:val="12"/>
          <w:numId w:val="0"/>
        </w:numPr>
        <w:overflowPunct w:val="0"/>
        <w:autoSpaceDE w:val="0"/>
        <w:autoSpaceDN w:val="0"/>
        <w:adjustRightInd w:val="0"/>
        <w:spacing w:before="120"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b/>
          <w:sz w:val="20"/>
          <w:szCs w:val="20"/>
          <w:lang w:eastAsia="pl-PL"/>
        </w:rPr>
        <w:t xml:space="preserve">1.4.7 </w:t>
      </w:r>
      <w:r w:rsidRPr="00176CD4">
        <w:rPr>
          <w:rFonts w:ascii="Arial Narrow" w:eastAsia="Times New Roman" w:hAnsi="Arial Narrow" w:cs="Times New Roman"/>
          <w:sz w:val="20"/>
          <w:szCs w:val="20"/>
          <w:lang w:eastAsia="pl-PL"/>
        </w:rPr>
        <w:t>Znak drogowy podświetlany - znak, w którym wewnętrzne źródło światła jest umieszczone pod przejrzystym licem znaku.</w:t>
      </w:r>
    </w:p>
    <w:p w14:paraId="770A4F86" w14:textId="77777777" w:rsidR="00176CD4" w:rsidRPr="00176CD4" w:rsidRDefault="00176CD4" w:rsidP="00176CD4">
      <w:pPr>
        <w:numPr>
          <w:ilvl w:val="12"/>
          <w:numId w:val="0"/>
        </w:numPr>
        <w:overflowPunct w:val="0"/>
        <w:autoSpaceDE w:val="0"/>
        <w:autoSpaceDN w:val="0"/>
        <w:adjustRightInd w:val="0"/>
        <w:spacing w:before="120"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b/>
          <w:sz w:val="20"/>
          <w:szCs w:val="20"/>
          <w:lang w:eastAsia="pl-PL"/>
        </w:rPr>
        <w:t xml:space="preserve">1.4.8 </w:t>
      </w:r>
      <w:r w:rsidRPr="00176CD4">
        <w:rPr>
          <w:rFonts w:ascii="Arial Narrow" w:eastAsia="Times New Roman" w:hAnsi="Arial Narrow" w:cs="Times New Roman"/>
          <w:sz w:val="20"/>
          <w:szCs w:val="20"/>
          <w:lang w:eastAsia="pl-PL"/>
        </w:rPr>
        <w:t>Znak drogowy oświetlany - znak, którego lico jest oświetlane źródłem światła umieszczonym na zewnątrz znaku.</w:t>
      </w:r>
    </w:p>
    <w:p w14:paraId="6199BAD8" w14:textId="77777777" w:rsidR="00176CD4" w:rsidRPr="00176CD4" w:rsidRDefault="00176CD4" w:rsidP="00176CD4">
      <w:pPr>
        <w:numPr>
          <w:ilvl w:val="12"/>
          <w:numId w:val="0"/>
        </w:numPr>
        <w:overflowPunct w:val="0"/>
        <w:autoSpaceDE w:val="0"/>
        <w:autoSpaceDN w:val="0"/>
        <w:adjustRightInd w:val="0"/>
        <w:spacing w:before="120"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b/>
          <w:sz w:val="20"/>
          <w:szCs w:val="20"/>
          <w:lang w:eastAsia="pl-PL"/>
        </w:rPr>
        <w:t xml:space="preserve">1.4.9 </w:t>
      </w:r>
      <w:r w:rsidRPr="00176CD4">
        <w:rPr>
          <w:rFonts w:ascii="Arial Narrow" w:eastAsia="Times New Roman" w:hAnsi="Arial Narrow" w:cs="Times New Roman"/>
          <w:sz w:val="20"/>
          <w:szCs w:val="20"/>
          <w:lang w:eastAsia="pl-PL"/>
        </w:rPr>
        <w:t>Znak nowy - znak użytkowany (ustawiony na drodze) lub magazynowany w okresie do 3 miesięcy od daty produkcji.</w:t>
      </w:r>
    </w:p>
    <w:p w14:paraId="61A1D159" w14:textId="77777777" w:rsidR="00176CD4" w:rsidRPr="00176CD4" w:rsidRDefault="00176CD4" w:rsidP="00176CD4">
      <w:pPr>
        <w:numPr>
          <w:ilvl w:val="12"/>
          <w:numId w:val="0"/>
        </w:numPr>
        <w:overflowPunct w:val="0"/>
        <w:autoSpaceDE w:val="0"/>
        <w:autoSpaceDN w:val="0"/>
        <w:adjustRightInd w:val="0"/>
        <w:spacing w:before="120"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b/>
          <w:sz w:val="20"/>
          <w:szCs w:val="20"/>
          <w:lang w:eastAsia="pl-PL"/>
        </w:rPr>
        <w:t xml:space="preserve">1.4.10 </w:t>
      </w:r>
      <w:r w:rsidRPr="00176CD4">
        <w:rPr>
          <w:rFonts w:ascii="Arial Narrow" w:eastAsia="Times New Roman" w:hAnsi="Arial Narrow" w:cs="Times New Roman"/>
          <w:sz w:val="20"/>
          <w:szCs w:val="20"/>
          <w:lang w:eastAsia="pl-PL"/>
        </w:rPr>
        <w:t>Znak użytkowany (eksploatowany) - znak ustawiony na drodze lub magazynowany przez okres dłuższy niż 3 miesiące od daty produkcji.</w:t>
      </w:r>
    </w:p>
    <w:p w14:paraId="17E93E38" w14:textId="77777777" w:rsidR="00176CD4" w:rsidRPr="00176CD4" w:rsidRDefault="00176CD4" w:rsidP="00176CD4">
      <w:pPr>
        <w:numPr>
          <w:ilvl w:val="12"/>
          <w:numId w:val="0"/>
        </w:numPr>
        <w:overflowPunct w:val="0"/>
        <w:autoSpaceDE w:val="0"/>
        <w:autoSpaceDN w:val="0"/>
        <w:adjustRightInd w:val="0"/>
        <w:spacing w:before="120"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b/>
          <w:sz w:val="20"/>
          <w:szCs w:val="20"/>
          <w:lang w:eastAsia="pl-PL"/>
        </w:rPr>
        <w:t xml:space="preserve">1.4.11 </w:t>
      </w:r>
      <w:r w:rsidRPr="00176CD4">
        <w:rPr>
          <w:rFonts w:ascii="Arial Narrow" w:eastAsia="Times New Roman" w:hAnsi="Arial Narrow" w:cs="Times New Roman"/>
          <w:sz w:val="20"/>
          <w:szCs w:val="20"/>
          <w:lang w:eastAsia="pl-PL"/>
        </w:rPr>
        <w:t xml:space="preserve">Pozostałe określenia podstawowe są zgodne z obowiązującymi, odpowiednimi polskimi normami i z definicjami podanymi w SST D-M-00.00.00 „Wymagania ogólne” pkt 1.4. </w:t>
      </w:r>
    </w:p>
    <w:p w14:paraId="6A04999F" w14:textId="77777777" w:rsidR="00176CD4" w:rsidRPr="00176CD4" w:rsidRDefault="00176CD4" w:rsidP="00176CD4">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1.5. Ogólne wymagania dotyczące robót</w:t>
      </w:r>
    </w:p>
    <w:p w14:paraId="4D865A34" w14:textId="77777777" w:rsidR="00176CD4" w:rsidRPr="00176CD4" w:rsidRDefault="00176CD4" w:rsidP="00176CD4">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Ogólne wymagania dotyczące robót podano w SST D-M-00.00.00 „Wymagania ogólne” pkt 1.5. </w:t>
      </w:r>
    </w:p>
    <w:p w14:paraId="363F56E1" w14:textId="77777777" w:rsidR="00176CD4" w:rsidRPr="00176CD4" w:rsidRDefault="00176CD4" w:rsidP="00176CD4">
      <w:pPr>
        <w:keepNext/>
        <w:keepLines/>
        <w:numPr>
          <w:ilvl w:val="12"/>
          <w:numId w:val="0"/>
        </w:numPr>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76" w:name="_Toc425833581"/>
      <w:r w:rsidRPr="00176CD4">
        <w:rPr>
          <w:rFonts w:ascii="Arial Narrow" w:eastAsia="Times New Roman" w:hAnsi="Arial Narrow" w:cs="Times New Roman"/>
          <w:b/>
          <w:caps/>
          <w:kern w:val="28"/>
          <w:sz w:val="28"/>
          <w:szCs w:val="20"/>
          <w:lang w:val="x-none" w:eastAsia="x-none"/>
        </w:rPr>
        <w:t>2. materiały</w:t>
      </w:r>
      <w:bookmarkEnd w:id="876"/>
    </w:p>
    <w:p w14:paraId="36F4D559" w14:textId="77777777" w:rsidR="00176CD4" w:rsidRPr="00176CD4" w:rsidRDefault="00176CD4" w:rsidP="00176CD4">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2.1. Ogólne wymagania dotyczące materiałów</w:t>
      </w:r>
    </w:p>
    <w:p w14:paraId="69A9887A" w14:textId="77777777" w:rsidR="00176CD4" w:rsidRPr="00176CD4" w:rsidRDefault="00176CD4" w:rsidP="00176CD4">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Ogólne wymagania dotyczące materiałów, ich pozyskiwania i składowania podano w SST D-M-00.00.00 „Wymagania ogólne” pkt 2.</w:t>
      </w:r>
    </w:p>
    <w:p w14:paraId="27E5A5A9" w14:textId="77777777" w:rsidR="00176CD4" w:rsidRPr="00176CD4" w:rsidRDefault="00176CD4" w:rsidP="00176CD4">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2.2. Dopuszczenie do stosowania</w:t>
      </w:r>
    </w:p>
    <w:p w14:paraId="3011091B" w14:textId="77777777" w:rsidR="00176CD4" w:rsidRPr="00176CD4" w:rsidRDefault="00176CD4" w:rsidP="00176CD4">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Producent znaków drogowych powinien posiadać dla swojego wyrobu aprobatę techniczną, certyfikat zgodności nadany mu przez uprawnioną jednostkę certyfikującą, znak budowlany „B” i wystawioną przez siebie deklarację zgodności, zgodnie z rozporządzeniem Ministra Infrastruktury [26]. Folie odblaskowe stosowane na lica znaków drogowych powinny posiadać aprobatę techniczną wydaną przez uprawnioną jednostkę oraz deklaracje zgodności wystawioną przez producenta. Słupki, blachy i inne elementy konstrukcyjne powinny mieć deklaracje zgodności z odpowiednimi normami. </w:t>
      </w:r>
    </w:p>
    <w:p w14:paraId="189719F1" w14:textId="77777777" w:rsidR="00176CD4" w:rsidRPr="00176CD4" w:rsidRDefault="00176CD4" w:rsidP="00176CD4">
      <w:pPr>
        <w:numPr>
          <w:ilvl w:val="12"/>
          <w:numId w:val="0"/>
        </w:num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W załączniku nr 1 do rozporządzenia Ministra Infrastruktury z dnia 3 lipca 2003  w sprawie szczegółowych warunków technicznych dla znaków i sygnałów drogowych oraz urządzeń bezpieczeństwa ruchu drogowego i warunków ich umieszczania na drogach [25],  podano szczegółowe informacje odnośnie wymagań dla znaków pionowych.</w:t>
      </w:r>
    </w:p>
    <w:p w14:paraId="77CAF0D0" w14:textId="77777777" w:rsidR="00176CD4" w:rsidRPr="00176CD4" w:rsidRDefault="00176CD4" w:rsidP="00176CD4">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2.3. Materiały stosowane do fundamentów znaków</w:t>
      </w:r>
    </w:p>
    <w:p w14:paraId="3F855998" w14:textId="77777777" w:rsidR="00176CD4" w:rsidRPr="00176CD4" w:rsidRDefault="00176CD4" w:rsidP="00176CD4">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Fundamenty dla zamocowania konstrukcji wsporczych znaków mogą być wykonywane jako:</w:t>
      </w:r>
    </w:p>
    <w:p w14:paraId="79CAE3C6"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prefabrykaty betonowe,</w:t>
      </w:r>
    </w:p>
    <w:p w14:paraId="77910EAC"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z betonu wykonywanego „na mokro”,</w:t>
      </w:r>
    </w:p>
    <w:p w14:paraId="12ECE47B"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z betonu zbrojonego,</w:t>
      </w:r>
    </w:p>
    <w:p w14:paraId="2506103D"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gniazda demontowalne</w:t>
      </w:r>
    </w:p>
    <w:p w14:paraId="74A9A78F"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inne rozwiązania zaakceptowane przez Inżyniera.</w:t>
      </w:r>
    </w:p>
    <w:p w14:paraId="2B8E0A05" w14:textId="77777777" w:rsidR="00176CD4" w:rsidRPr="00176CD4" w:rsidRDefault="00176CD4" w:rsidP="00176CD4">
      <w:pPr>
        <w:widowControl w:val="0"/>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Dla fundamentów należy opracować dokumentację techniczną zgodną z obowiązującymi przepisami.</w:t>
      </w:r>
    </w:p>
    <w:p w14:paraId="0323190B" w14:textId="77777777" w:rsidR="00176CD4" w:rsidRPr="00176CD4" w:rsidRDefault="00176CD4" w:rsidP="00176CD4">
      <w:pPr>
        <w:widowControl w:val="0"/>
        <w:numPr>
          <w:ilvl w:val="12"/>
          <w:numId w:val="0"/>
        </w:num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Fundamenty pod konstrukcje wsporcze oznakowania kierunkowego należy wykonać z betonu lub betonu zbrojonego klasy, co najmniej C16/20 wg PN-EN 206-1:2000</w:t>
      </w:r>
      <w:r w:rsidRPr="00176CD4">
        <w:rPr>
          <w:rFonts w:ascii="Arial Narrow" w:eastAsia="Times New Roman" w:hAnsi="Arial Narrow" w:cs="Times New Roman"/>
          <w:sz w:val="24"/>
          <w:szCs w:val="20"/>
          <w:lang w:eastAsia="pl-PL"/>
        </w:rPr>
        <w:t xml:space="preserve"> </w:t>
      </w:r>
      <w:r w:rsidRPr="00176CD4">
        <w:rPr>
          <w:rFonts w:ascii="Arial Narrow" w:eastAsia="Times New Roman" w:hAnsi="Arial Narrow" w:cs="Times New Roman"/>
          <w:sz w:val="20"/>
          <w:szCs w:val="20"/>
          <w:lang w:eastAsia="pl-PL"/>
        </w:rPr>
        <w:t>[9]. Zbrojenia stalowe należy wykonać  zgodnie z normą PN-B-03264:1984</w:t>
      </w:r>
      <w:r w:rsidRPr="00176CD4">
        <w:rPr>
          <w:rFonts w:ascii="Arial Narrow" w:eastAsia="Times New Roman" w:hAnsi="Arial Narrow" w:cs="Times New Roman"/>
          <w:sz w:val="24"/>
          <w:szCs w:val="20"/>
          <w:lang w:eastAsia="pl-PL"/>
        </w:rPr>
        <w:t xml:space="preserve"> </w:t>
      </w:r>
      <w:r w:rsidRPr="00176CD4">
        <w:rPr>
          <w:rFonts w:ascii="Arial Narrow" w:eastAsia="Times New Roman" w:hAnsi="Arial Narrow" w:cs="Times New Roman"/>
          <w:sz w:val="20"/>
          <w:szCs w:val="20"/>
          <w:lang w:eastAsia="pl-PL"/>
        </w:rPr>
        <w:t>[7]. Wykonanie i osadzenie kotew fundamentowych należy wykonać  zgodnie z normą PN-B-03215:1998</w:t>
      </w:r>
      <w:r w:rsidRPr="00176CD4">
        <w:rPr>
          <w:rFonts w:ascii="Arial Narrow" w:eastAsia="Times New Roman" w:hAnsi="Arial Narrow" w:cs="Times New Roman"/>
          <w:sz w:val="24"/>
          <w:szCs w:val="20"/>
          <w:lang w:eastAsia="pl-PL"/>
        </w:rPr>
        <w:t xml:space="preserve"> </w:t>
      </w:r>
      <w:r w:rsidRPr="00176CD4">
        <w:rPr>
          <w:rFonts w:ascii="Arial Narrow" w:eastAsia="Times New Roman" w:hAnsi="Arial Narrow" w:cs="Times New Roman"/>
          <w:sz w:val="20"/>
          <w:szCs w:val="20"/>
          <w:lang w:eastAsia="pl-PL"/>
        </w:rPr>
        <w:t>[6]. Posadowienie fundamentów należy wykonać na głębokość poniżej przemarzania gruntu.</w:t>
      </w:r>
    </w:p>
    <w:p w14:paraId="74846973" w14:textId="77777777" w:rsidR="00176CD4" w:rsidRPr="00176CD4" w:rsidRDefault="00176CD4" w:rsidP="00176CD4">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2.4. Konstrukcje wsporcze</w:t>
      </w:r>
    </w:p>
    <w:p w14:paraId="16CE524D"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2.4.1. Ogólne charakterystyki konstrukcji</w:t>
      </w:r>
    </w:p>
    <w:p w14:paraId="0437FF36"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Konstrukcje wsporcze znaków pionowych należy wykonać zgodnie z dokumentacją projektową uwzględniającą wymagania postawione w [16] i SST, a w przypadku braku wystarczających ustaleń, zgodnie z propozycją Wykonawcy zaakceptowaną przez Inżyniera. Konstrukcje wsporcze do znaków i tablic należy zaprojektować i wykonać w sposób</w:t>
      </w:r>
      <w:r w:rsidRPr="00176CD4">
        <w:rPr>
          <w:rFonts w:ascii="Arial Narrow" w:eastAsia="Times New Roman" w:hAnsi="Arial Narrow" w:cs="Times New Roman"/>
          <w:b/>
          <w:sz w:val="20"/>
          <w:szCs w:val="20"/>
          <w:lang w:eastAsia="pl-PL"/>
        </w:rPr>
        <w:t xml:space="preserve"> </w:t>
      </w:r>
      <w:r w:rsidRPr="00176CD4">
        <w:rPr>
          <w:rFonts w:ascii="Arial Narrow" w:eastAsia="Times New Roman" w:hAnsi="Arial Narrow" w:cs="Times New Roman"/>
          <w:sz w:val="20"/>
          <w:szCs w:val="20"/>
          <w:lang w:eastAsia="pl-PL"/>
        </w:rPr>
        <w:t>gwarantujący stabilne</w:t>
      </w:r>
      <w:r w:rsidRPr="00176CD4">
        <w:rPr>
          <w:rFonts w:ascii="Arial Narrow" w:eastAsia="Times New Roman" w:hAnsi="Arial Narrow" w:cs="Times New Roman"/>
          <w:b/>
          <w:sz w:val="20"/>
          <w:szCs w:val="20"/>
          <w:lang w:eastAsia="pl-PL"/>
        </w:rPr>
        <w:t xml:space="preserve"> </w:t>
      </w:r>
      <w:r w:rsidRPr="00176CD4">
        <w:rPr>
          <w:rFonts w:ascii="Arial Narrow" w:eastAsia="Times New Roman" w:hAnsi="Arial Narrow" w:cs="Times New Roman"/>
          <w:sz w:val="20"/>
          <w:szCs w:val="20"/>
          <w:lang w:eastAsia="pl-PL"/>
        </w:rPr>
        <w:t>i</w:t>
      </w:r>
      <w:r w:rsidRPr="00176CD4">
        <w:rPr>
          <w:rFonts w:ascii="Arial Narrow" w:eastAsia="Times New Roman" w:hAnsi="Arial Narrow" w:cs="Times New Roman"/>
          <w:b/>
          <w:sz w:val="20"/>
          <w:szCs w:val="20"/>
          <w:lang w:eastAsia="pl-PL"/>
        </w:rPr>
        <w:t xml:space="preserve"> </w:t>
      </w:r>
      <w:r w:rsidRPr="00176CD4">
        <w:rPr>
          <w:rFonts w:ascii="Arial Narrow" w:eastAsia="Times New Roman" w:hAnsi="Arial Narrow" w:cs="Times New Roman"/>
          <w:sz w:val="20"/>
          <w:szCs w:val="20"/>
          <w:lang w:eastAsia="pl-PL"/>
        </w:rPr>
        <w:t xml:space="preserve">prawidłowe ustawienie w pasie drogowym. </w:t>
      </w:r>
    </w:p>
    <w:p w14:paraId="734666AC" w14:textId="77777777" w:rsidR="00176CD4" w:rsidRPr="00176CD4" w:rsidRDefault="00176CD4" w:rsidP="00176CD4">
      <w:pPr>
        <w:numPr>
          <w:ilvl w:val="12"/>
          <w:numId w:val="0"/>
        </w:num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lastRenderedPageBreak/>
        <w:t xml:space="preserve">Zakres dokumentacji powinien obejmować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 miejscach wskazanych przez projektanta inżynierii ruchu,  gdzie występuje  szczególne niebezpieczeństwo bezpośredniej kolizji z konstrukcją wsporczą, usytuowanie i jej dobór wymagają oddzielnych rozwiązań projektowych spełniających warunek bezpieczeństwa dla użytkowników dróg. W takich przypadkach należy stosować konstrukcje zabezpieczające bierne bezpieczeństwo kategorii HE, zgodne z [15].  </w:t>
      </w:r>
    </w:p>
    <w:p w14:paraId="6EDDCD31" w14:textId="77777777" w:rsidR="00176CD4" w:rsidRPr="00176CD4" w:rsidRDefault="00176CD4" w:rsidP="00176CD4">
      <w:pPr>
        <w:numPr>
          <w:ilvl w:val="12"/>
          <w:numId w:val="0"/>
        </w:num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Należy stosować konstrukcje wsporcze pochłaniająca energię w wysokim stopniu (HE).</w:t>
      </w:r>
    </w:p>
    <w:p w14:paraId="4E15C29E"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2.4.2. Rury</w:t>
      </w:r>
    </w:p>
    <w:p w14:paraId="33D7FDF1"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Rury powinny odpowiadać wymaganiom, [22], [3] lub innej normy zaakceptowanej przez Inżyniera.</w:t>
      </w:r>
    </w:p>
    <w:p w14:paraId="0035D887" w14:textId="77777777" w:rsidR="00176CD4" w:rsidRPr="00176CD4" w:rsidRDefault="00176CD4" w:rsidP="00176CD4">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2CC05B95" w14:textId="77777777" w:rsidR="00176CD4" w:rsidRPr="00176CD4" w:rsidRDefault="00176CD4" w:rsidP="00176CD4">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Końce rur powinny być obcięte równo i prostopadle do osi rury.</w:t>
      </w:r>
    </w:p>
    <w:p w14:paraId="6A8620DE" w14:textId="77777777" w:rsidR="00176CD4" w:rsidRPr="00176CD4" w:rsidRDefault="00176CD4" w:rsidP="00176CD4">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Pożądane jest, aby rury były dostarczane o długościach:</w:t>
      </w:r>
    </w:p>
    <w:p w14:paraId="36A7E6A6"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dokładnych, zgodnych z zamówieniem; z dopuszczalną odchyłką </w:t>
      </w:r>
      <w:r w:rsidRPr="00176CD4">
        <w:rPr>
          <w:rFonts w:ascii="Arial Narrow" w:eastAsia="Times New Roman" w:hAnsi="Arial Narrow" w:cs="Times New Roman"/>
          <w:sz w:val="20"/>
          <w:szCs w:val="20"/>
          <w:lang w:val="x-none" w:eastAsia="x-none"/>
        </w:rPr>
        <w:sym w:font="Symbol" w:char="F0B1"/>
      </w:r>
      <w:r w:rsidRPr="00176CD4">
        <w:rPr>
          <w:rFonts w:ascii="Arial Narrow" w:eastAsia="Times New Roman" w:hAnsi="Arial Narrow" w:cs="Times New Roman"/>
          <w:sz w:val="20"/>
          <w:szCs w:val="20"/>
          <w:lang w:val="x-none" w:eastAsia="x-none"/>
        </w:rPr>
        <w:t xml:space="preserve"> </w:t>
      </w:r>
      <w:smartTag w:uri="urn:schemas-microsoft-com:office:smarttags" w:element="metricconverter">
        <w:smartTagPr>
          <w:attr w:name="ProductID" w:val="10 mm"/>
        </w:smartTagPr>
        <w:r w:rsidRPr="00176CD4">
          <w:rPr>
            <w:rFonts w:ascii="Arial Narrow" w:eastAsia="Times New Roman" w:hAnsi="Arial Narrow" w:cs="Times New Roman"/>
            <w:sz w:val="20"/>
            <w:szCs w:val="20"/>
            <w:lang w:val="x-none" w:eastAsia="x-none"/>
          </w:rPr>
          <w:t>10 mm</w:t>
        </w:r>
      </w:smartTag>
      <w:r w:rsidRPr="00176CD4">
        <w:rPr>
          <w:rFonts w:ascii="Arial Narrow" w:eastAsia="Times New Roman" w:hAnsi="Arial Narrow" w:cs="Times New Roman"/>
          <w:sz w:val="20"/>
          <w:szCs w:val="20"/>
          <w:lang w:val="x-none" w:eastAsia="x-none"/>
        </w:rPr>
        <w:t>,</w:t>
      </w:r>
    </w:p>
    <w:p w14:paraId="62484DC3"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wielokrotnych w stosunku do zamówionych długości dokładnych poniżej </w:t>
      </w:r>
      <w:smartTag w:uri="urn:schemas-microsoft-com:office:smarttags" w:element="metricconverter">
        <w:smartTagPr>
          <w:attr w:name="ProductID" w:val="3 m"/>
        </w:smartTagPr>
        <w:r w:rsidRPr="00176CD4">
          <w:rPr>
            <w:rFonts w:ascii="Arial Narrow" w:eastAsia="Times New Roman" w:hAnsi="Arial Narrow" w:cs="Times New Roman"/>
            <w:sz w:val="20"/>
            <w:szCs w:val="20"/>
            <w:lang w:val="x-none" w:eastAsia="x-none"/>
          </w:rPr>
          <w:t>3 m</w:t>
        </w:r>
      </w:smartTag>
      <w:r w:rsidRPr="00176CD4">
        <w:rPr>
          <w:rFonts w:ascii="Arial Narrow" w:eastAsia="Times New Roman" w:hAnsi="Arial Narrow" w:cs="Times New Roman"/>
          <w:sz w:val="20"/>
          <w:szCs w:val="20"/>
          <w:lang w:val="x-none" w:eastAsia="x-none"/>
        </w:rPr>
        <w:t xml:space="preserve"> z naddatkiem </w:t>
      </w:r>
      <w:smartTag w:uri="urn:schemas-microsoft-com:office:smarttags" w:element="metricconverter">
        <w:smartTagPr>
          <w:attr w:name="ProductID" w:val="5 mm"/>
        </w:smartTagPr>
        <w:r w:rsidRPr="00176CD4">
          <w:rPr>
            <w:rFonts w:ascii="Arial Narrow" w:eastAsia="Times New Roman" w:hAnsi="Arial Narrow" w:cs="Times New Roman"/>
            <w:sz w:val="20"/>
            <w:szCs w:val="20"/>
            <w:lang w:val="x-none" w:eastAsia="x-none"/>
          </w:rPr>
          <w:t>5 mm</w:t>
        </w:r>
      </w:smartTag>
      <w:r w:rsidRPr="00176CD4">
        <w:rPr>
          <w:rFonts w:ascii="Arial Narrow" w:eastAsia="Times New Roman" w:hAnsi="Arial Narrow" w:cs="Times New Roman"/>
          <w:sz w:val="20"/>
          <w:szCs w:val="20"/>
          <w:lang w:val="x-none" w:eastAsia="x-none"/>
        </w:rPr>
        <w:t xml:space="preserve"> na każde cięcie i z dopuszczalną odchyłką dla całej długości wielokrotnej, jak dla długości dokładnych.</w:t>
      </w:r>
    </w:p>
    <w:p w14:paraId="0ADC1B6B"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Rury powinny być proste. Dopuszczalna miejscowa krzywizna nie powinna przekraczać </w:t>
      </w:r>
      <w:smartTag w:uri="urn:schemas-microsoft-com:office:smarttags" w:element="metricconverter">
        <w:smartTagPr>
          <w:attr w:name="ProductID" w:val="1,5 mm"/>
        </w:smartTagPr>
        <w:r w:rsidRPr="00176CD4">
          <w:rPr>
            <w:rFonts w:ascii="Arial Narrow" w:eastAsia="Times New Roman" w:hAnsi="Arial Narrow" w:cs="Times New Roman"/>
            <w:sz w:val="20"/>
            <w:szCs w:val="20"/>
            <w:lang w:eastAsia="pl-PL"/>
          </w:rPr>
          <w:t>1,5 mm</w:t>
        </w:r>
      </w:smartTag>
      <w:r w:rsidRPr="00176CD4">
        <w:rPr>
          <w:rFonts w:ascii="Arial Narrow" w:eastAsia="Times New Roman" w:hAnsi="Arial Narrow" w:cs="Times New Roman"/>
          <w:sz w:val="20"/>
          <w:szCs w:val="20"/>
          <w:lang w:eastAsia="pl-PL"/>
        </w:rPr>
        <w:t xml:space="preserve"> na </w:t>
      </w:r>
      <w:smartTag w:uri="urn:schemas-microsoft-com:office:smarttags" w:element="metricconverter">
        <w:smartTagPr>
          <w:attr w:name="ProductID" w:val="1 m"/>
        </w:smartTagPr>
        <w:r w:rsidRPr="00176CD4">
          <w:rPr>
            <w:rFonts w:ascii="Arial Narrow" w:eastAsia="Times New Roman" w:hAnsi="Arial Narrow" w:cs="Times New Roman"/>
            <w:sz w:val="20"/>
            <w:szCs w:val="20"/>
            <w:lang w:eastAsia="pl-PL"/>
          </w:rPr>
          <w:t>1 m</w:t>
        </w:r>
      </w:smartTag>
      <w:r w:rsidRPr="00176CD4">
        <w:rPr>
          <w:rFonts w:ascii="Arial Narrow" w:eastAsia="Times New Roman" w:hAnsi="Arial Narrow" w:cs="Times New Roman"/>
          <w:sz w:val="20"/>
          <w:szCs w:val="20"/>
          <w:lang w:eastAsia="pl-PL"/>
        </w:rPr>
        <w:t xml:space="preserve"> długości rury.</w:t>
      </w:r>
    </w:p>
    <w:p w14:paraId="391488BA"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Rury powinny być wykonane ze stali w gatunkach dopuszczonych przez PN-H-84023.07 [5], lub inne normy. </w:t>
      </w:r>
    </w:p>
    <w:p w14:paraId="63CE0B87"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Rury powinny być dostarczone bez opakowania w wiązkach lub luzem względnie w opakowaniu uzgodnionym z Zamawiającym. Rury powinny być cechowane indywidualnie lub na przywieszkach metalowych.</w:t>
      </w:r>
    </w:p>
    <w:p w14:paraId="729D3094"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2.4.3. Kształtowniki</w:t>
      </w:r>
    </w:p>
    <w:p w14:paraId="135D853F"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Kształtowniki powinny odpowiadać wymaganiom PN-91/H-93010 [23]. Powierzchnia kształtownika powinna być charakterystyczna dla procesu walcowania i wolna od wad jak widoczne łuski, pęknięcia, zwalcowania i 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w:t>
      </w:r>
    </w:p>
    <w:p w14:paraId="05CD6F86"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Kształtowniki powinny być obcięte prostopadle do osi wzdłużnej kształtownika. Powierzchnia końców kształtownika nie powinna wykazywać rzadzizn, rozwarstwień, pęknięć i śladów jamy skurczowej widocznych nie uzbrojonym okiem.</w:t>
      </w:r>
    </w:p>
    <w:p w14:paraId="353C0C8C"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Kształtowniki powinny być ze stali St3W lub St4W oraz mieć własności mechaniczne według aktualnej normy uzgodnionej pomiędzy Zamawiającym i wytwórcą.</w:t>
      </w:r>
    </w:p>
    <w:p w14:paraId="5BBA186C"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2.4.4. Powłoki metalizacyjne cynkowe</w:t>
      </w:r>
    </w:p>
    <w:p w14:paraId="0D47BE9B"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W przypadku zastosowania powłoki metalizacyjnej cynkowej na konstrukcjach stalowych, powinna ona spełniać wymagania [12] i [12a]. Minimalna grubość powłoki cynkowej powinna wynosić 60 </w:t>
      </w:r>
      <w:r w:rsidRPr="00176CD4">
        <w:rPr>
          <w:rFonts w:ascii="Arial Narrow" w:eastAsia="Times New Roman" w:hAnsi="Arial Narrow" w:cs="Times New Roman"/>
          <w:sz w:val="20"/>
          <w:szCs w:val="20"/>
          <w:lang w:eastAsia="pl-PL"/>
        </w:rPr>
        <w:sym w:font="Symbol" w:char="F06D"/>
      </w:r>
      <w:r w:rsidRPr="00176CD4">
        <w:rPr>
          <w:rFonts w:ascii="Arial Narrow" w:eastAsia="Times New Roman" w:hAnsi="Arial Narrow" w:cs="Times New Roman"/>
          <w:sz w:val="20"/>
          <w:szCs w:val="20"/>
          <w:lang w:eastAsia="pl-PL"/>
        </w:rPr>
        <w:t>m.</w:t>
      </w:r>
    </w:p>
    <w:p w14:paraId="1467EBD8"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Powierzchnia powłoki powinna być ciągła i jednorodna pod względem ziarnistości. Nie może ona wykazywać widocznych wad jak rysy, pęknięcia, pęcherze lub odstawanie powłoki od podłoża.</w:t>
      </w:r>
    </w:p>
    <w:p w14:paraId="71CF8566"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2.4.5. Gwarancja producenta lub dostawcy na konstrukcję wsporczą</w:t>
      </w:r>
    </w:p>
    <w:p w14:paraId="413D8248"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6FBBD11B"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1351E78E"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2.5. Tarcza znaku</w:t>
      </w:r>
    </w:p>
    <w:p w14:paraId="482CF80B"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2.5.1.  Trwałość materiałów na wpływy zewnętrzne</w:t>
      </w:r>
    </w:p>
    <w:p w14:paraId="0034A673"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 </w:t>
      </w:r>
    </w:p>
    <w:p w14:paraId="7EE24531"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2.5.2. Warunki gwarancyjne producenta lub dostawcy znaku</w:t>
      </w:r>
    </w:p>
    <w:p w14:paraId="49856A94"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Producent lub dostawca znaku obowiązany jest przy dostawie określić, uzgodnioną z odbiorcą, trwałość znaku oraz warunki gwarancyjne dla znaku, a także udostępnić na życzenie odbiorcy:</w:t>
      </w:r>
    </w:p>
    <w:p w14:paraId="1E5688B5" w14:textId="77777777" w:rsidR="00176CD4" w:rsidRPr="00176CD4" w:rsidRDefault="00176CD4" w:rsidP="00AD6DA2">
      <w:pPr>
        <w:numPr>
          <w:ilvl w:val="0"/>
          <w:numId w:val="32"/>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instrukcję montażu znaku,</w:t>
      </w:r>
    </w:p>
    <w:p w14:paraId="78C75287" w14:textId="77777777" w:rsidR="00176CD4" w:rsidRPr="00176CD4" w:rsidRDefault="00176CD4" w:rsidP="00AD6DA2">
      <w:pPr>
        <w:numPr>
          <w:ilvl w:val="0"/>
          <w:numId w:val="32"/>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dane szczegółowe o ewentualnych ograniczeniach w stosowaniu znaku,</w:t>
      </w:r>
    </w:p>
    <w:p w14:paraId="11B60FE3" w14:textId="77777777" w:rsidR="00176CD4" w:rsidRPr="00176CD4" w:rsidRDefault="00176CD4" w:rsidP="00AD6DA2">
      <w:pPr>
        <w:numPr>
          <w:ilvl w:val="0"/>
          <w:numId w:val="32"/>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instrukcję utrzymania znaku.</w:t>
      </w:r>
    </w:p>
    <w:p w14:paraId="108C4146"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Trwałość znaku powinna być co najmniej równa trwałości zastosowanej folii. </w:t>
      </w:r>
    </w:p>
    <w:p w14:paraId="6FB0CAAE"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2.5.3. Materiały do wykonania tarczy znaku</w:t>
      </w:r>
    </w:p>
    <w:p w14:paraId="6C5C7483"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4"/>
          <w:szCs w:val="20"/>
          <w:lang w:eastAsia="pl-PL"/>
        </w:rPr>
      </w:pPr>
      <w:r w:rsidRPr="00176CD4">
        <w:rPr>
          <w:rFonts w:ascii="Arial Narrow" w:eastAsia="Times New Roman" w:hAnsi="Arial Narrow" w:cs="Times New Roman"/>
          <w:sz w:val="20"/>
          <w:szCs w:val="20"/>
          <w:lang w:eastAsia="pl-PL"/>
        </w:rPr>
        <w:t>Tarcza znaku powinna być wykonana z :</w:t>
      </w:r>
    </w:p>
    <w:p w14:paraId="31EEB6CF"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lastRenderedPageBreak/>
        <w:t xml:space="preserve">blachy aluminiowej o grubości min. </w:t>
      </w:r>
      <w:smartTag w:uri="urn:schemas-microsoft-com:office:smarttags" w:element="metricconverter">
        <w:smartTagPr>
          <w:attr w:name="ProductID" w:val="1,5 m"/>
        </w:smartTagPr>
        <w:r w:rsidRPr="00176CD4">
          <w:rPr>
            <w:rFonts w:ascii="Arial Narrow" w:eastAsia="Times New Roman" w:hAnsi="Arial Narrow" w:cs="Times New Roman"/>
            <w:sz w:val="20"/>
            <w:szCs w:val="20"/>
            <w:lang w:val="x-none" w:eastAsia="x-none"/>
          </w:rPr>
          <w:t>1,5 m</w:t>
        </w:r>
      </w:smartTag>
      <w:r w:rsidRPr="00176CD4">
        <w:rPr>
          <w:rFonts w:ascii="Arial Narrow" w:eastAsia="Times New Roman" w:hAnsi="Arial Narrow" w:cs="Times New Roman"/>
          <w:sz w:val="20"/>
          <w:szCs w:val="20"/>
          <w:lang w:val="x-none" w:eastAsia="x-none"/>
        </w:rPr>
        <w:t xml:space="preserve"> wg [10],</w:t>
      </w:r>
    </w:p>
    <w:p w14:paraId="2DE7E85C"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innych materiałów, np. tworzyw syntetycznych, pod warunkiem uzyskania przez producenta aprobaty technicznej.</w:t>
      </w:r>
    </w:p>
    <w:p w14:paraId="34C9DE00" w14:textId="77777777" w:rsidR="00176CD4" w:rsidRPr="00176CD4" w:rsidRDefault="00176CD4" w:rsidP="00176CD4">
      <w:pPr>
        <w:widowControl w:val="0"/>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Tarcza tablicy o powierzchni &gt; </w:t>
      </w:r>
      <w:smartTag w:uri="urn:schemas-microsoft-com:office:smarttags" w:element="metricconverter">
        <w:smartTagPr>
          <w:attr w:name="ProductID" w:val="1 m2"/>
        </w:smartTagPr>
        <w:r w:rsidRPr="00176CD4">
          <w:rPr>
            <w:rFonts w:ascii="Arial Narrow" w:eastAsia="Times New Roman" w:hAnsi="Arial Narrow" w:cs="Times New Roman"/>
            <w:sz w:val="20"/>
            <w:szCs w:val="20"/>
            <w:lang w:eastAsia="pl-PL"/>
          </w:rPr>
          <w:t>1 m</w:t>
        </w:r>
        <w:r w:rsidRPr="00176CD4">
          <w:rPr>
            <w:rFonts w:ascii="Arial Narrow" w:eastAsia="Times New Roman" w:hAnsi="Arial Narrow" w:cs="Times New Roman"/>
            <w:sz w:val="20"/>
            <w:szCs w:val="20"/>
            <w:vertAlign w:val="superscript"/>
            <w:lang w:eastAsia="pl-PL"/>
          </w:rPr>
          <w:t>2</w:t>
        </w:r>
      </w:smartTag>
      <w:r w:rsidRPr="00176CD4">
        <w:rPr>
          <w:rFonts w:ascii="Arial Narrow" w:eastAsia="Times New Roman" w:hAnsi="Arial Narrow" w:cs="Times New Roman"/>
          <w:sz w:val="20"/>
          <w:szCs w:val="20"/>
          <w:lang w:eastAsia="pl-PL"/>
        </w:rPr>
        <w:t xml:space="preserve">  powinna być wykonana z :</w:t>
      </w:r>
    </w:p>
    <w:p w14:paraId="3F5671E7"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blachy aluminiowej o grubości min. </w:t>
      </w:r>
      <w:smartTag w:uri="urn:schemas-microsoft-com:office:smarttags" w:element="metricconverter">
        <w:smartTagPr>
          <w:attr w:name="ProductID" w:val="2 mm"/>
        </w:smartTagPr>
        <w:r w:rsidRPr="00176CD4">
          <w:rPr>
            <w:rFonts w:ascii="Arial Narrow" w:eastAsia="Times New Roman" w:hAnsi="Arial Narrow" w:cs="Times New Roman"/>
            <w:sz w:val="20"/>
            <w:szCs w:val="20"/>
            <w:lang w:val="x-none" w:eastAsia="x-none"/>
          </w:rPr>
          <w:t>2 mm</w:t>
        </w:r>
      </w:smartTag>
      <w:r w:rsidRPr="00176CD4">
        <w:rPr>
          <w:rFonts w:ascii="Arial Narrow" w:eastAsia="Times New Roman" w:hAnsi="Arial Narrow" w:cs="Times New Roman"/>
          <w:sz w:val="20"/>
          <w:szCs w:val="20"/>
          <w:lang w:val="x-none" w:eastAsia="x-none"/>
        </w:rPr>
        <w:t xml:space="preserve"> wg [10].</w:t>
      </w:r>
    </w:p>
    <w:p w14:paraId="725C84D4" w14:textId="77777777" w:rsidR="00176CD4" w:rsidRPr="00176CD4" w:rsidRDefault="00176CD4" w:rsidP="00176CD4">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Znaki i tablice powinny spełniać następujące wymagania podane w tablicy 1.</w:t>
      </w:r>
    </w:p>
    <w:p w14:paraId="6260B804" w14:textId="77777777" w:rsidR="00176CD4" w:rsidRPr="00176CD4" w:rsidRDefault="00176CD4" w:rsidP="00176CD4">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33806D29" w14:textId="77777777" w:rsidR="00176CD4" w:rsidRPr="00176CD4" w:rsidRDefault="00176CD4" w:rsidP="00176CD4">
      <w:pPr>
        <w:tabs>
          <w:tab w:val="left" w:pos="0"/>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Tablica 1.Wymagania dla znaków i tarcz znaków drogowych</w:t>
      </w:r>
    </w:p>
    <w:tbl>
      <w:tblPr>
        <w:tblW w:w="843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026"/>
        <w:gridCol w:w="1413"/>
        <w:gridCol w:w="3148"/>
        <w:gridCol w:w="1845"/>
      </w:tblGrid>
      <w:tr w:rsidR="00176CD4" w:rsidRPr="00176CD4" w14:paraId="23247842" w14:textId="77777777" w:rsidTr="00855929">
        <w:trPr>
          <w:tblHeader/>
          <w:jc w:val="center"/>
        </w:trPr>
        <w:tc>
          <w:tcPr>
            <w:tcW w:w="2026" w:type="dxa"/>
            <w:tcBorders>
              <w:top w:val="single" w:sz="6" w:space="0" w:color="auto"/>
              <w:left w:val="single" w:sz="6" w:space="0" w:color="auto"/>
              <w:bottom w:val="double" w:sz="4" w:space="0" w:color="auto"/>
              <w:right w:val="single" w:sz="6" w:space="0" w:color="auto"/>
            </w:tcBorders>
            <w:vAlign w:val="center"/>
          </w:tcPr>
          <w:p w14:paraId="60E8937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Parametr</w:t>
            </w:r>
          </w:p>
        </w:tc>
        <w:tc>
          <w:tcPr>
            <w:tcW w:w="1413" w:type="dxa"/>
            <w:tcBorders>
              <w:top w:val="single" w:sz="6" w:space="0" w:color="auto"/>
              <w:left w:val="single" w:sz="6" w:space="0" w:color="auto"/>
              <w:bottom w:val="double" w:sz="4" w:space="0" w:color="auto"/>
              <w:right w:val="single" w:sz="6" w:space="0" w:color="auto"/>
            </w:tcBorders>
            <w:vAlign w:val="center"/>
          </w:tcPr>
          <w:p w14:paraId="556E005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Jednostka</w:t>
            </w:r>
          </w:p>
        </w:tc>
        <w:tc>
          <w:tcPr>
            <w:tcW w:w="3148" w:type="dxa"/>
            <w:tcBorders>
              <w:top w:val="single" w:sz="6" w:space="0" w:color="auto"/>
              <w:left w:val="single" w:sz="6" w:space="0" w:color="auto"/>
              <w:bottom w:val="double" w:sz="4" w:space="0" w:color="auto"/>
              <w:right w:val="single" w:sz="6" w:space="0" w:color="auto"/>
            </w:tcBorders>
            <w:vAlign w:val="center"/>
          </w:tcPr>
          <w:p w14:paraId="780FE7B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Wymaganie</w:t>
            </w:r>
          </w:p>
        </w:tc>
        <w:tc>
          <w:tcPr>
            <w:tcW w:w="1845" w:type="dxa"/>
            <w:tcBorders>
              <w:top w:val="single" w:sz="6" w:space="0" w:color="auto"/>
              <w:left w:val="single" w:sz="6" w:space="0" w:color="auto"/>
              <w:bottom w:val="double" w:sz="4" w:space="0" w:color="auto"/>
              <w:right w:val="single" w:sz="6" w:space="0" w:color="auto"/>
            </w:tcBorders>
            <w:vAlign w:val="center"/>
          </w:tcPr>
          <w:p w14:paraId="153936B8"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Klasa wg</w:t>
            </w:r>
          </w:p>
          <w:p w14:paraId="4EF4DF3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PN-EN 12899-1: 2005 [16]</w:t>
            </w:r>
          </w:p>
        </w:tc>
      </w:tr>
      <w:tr w:rsidR="00176CD4" w:rsidRPr="00176CD4" w14:paraId="2056E9C1" w14:textId="77777777" w:rsidTr="00855929">
        <w:trPr>
          <w:jc w:val="center"/>
        </w:trPr>
        <w:tc>
          <w:tcPr>
            <w:tcW w:w="2026" w:type="dxa"/>
            <w:tcBorders>
              <w:top w:val="double" w:sz="4" w:space="0" w:color="auto"/>
              <w:left w:val="single" w:sz="6" w:space="0" w:color="auto"/>
              <w:bottom w:val="single" w:sz="6" w:space="0" w:color="auto"/>
              <w:right w:val="single" w:sz="6" w:space="0" w:color="auto"/>
            </w:tcBorders>
          </w:tcPr>
          <w:p w14:paraId="49263AB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highlight w:val="green"/>
              </w:rPr>
            </w:pPr>
            <w:r w:rsidRPr="00176CD4">
              <w:rPr>
                <w:rFonts w:ascii="Arial Narrow" w:eastAsia="Times New Roman" w:hAnsi="Arial Narrow" w:cs="Times New Roman"/>
                <w:sz w:val="20"/>
              </w:rPr>
              <w:t>Wytrzymałość na obciążenie siłą naporu wiatru</w:t>
            </w:r>
          </w:p>
        </w:tc>
        <w:tc>
          <w:tcPr>
            <w:tcW w:w="1413" w:type="dxa"/>
            <w:tcBorders>
              <w:top w:val="double" w:sz="4" w:space="0" w:color="auto"/>
              <w:left w:val="single" w:sz="6" w:space="0" w:color="auto"/>
              <w:bottom w:val="single" w:sz="6" w:space="0" w:color="auto"/>
              <w:right w:val="single" w:sz="6" w:space="0" w:color="auto"/>
            </w:tcBorders>
          </w:tcPr>
          <w:p w14:paraId="5AA6736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lang w:val="en-US"/>
              </w:rPr>
            </w:pPr>
            <w:r w:rsidRPr="00176CD4">
              <w:rPr>
                <w:rFonts w:ascii="Arial Narrow" w:eastAsia="Times New Roman" w:hAnsi="Arial Narrow" w:cs="Times New Roman"/>
                <w:sz w:val="20"/>
                <w:lang w:val="en-US"/>
              </w:rPr>
              <w:t>kN m</w:t>
            </w:r>
            <w:r w:rsidRPr="00176CD4">
              <w:rPr>
                <w:rFonts w:ascii="Arial Narrow" w:eastAsia="Times New Roman" w:hAnsi="Arial Narrow" w:cs="Times New Roman"/>
                <w:sz w:val="20"/>
                <w:vertAlign w:val="superscript"/>
                <w:lang w:val="en-US"/>
              </w:rPr>
              <w:t>-2</w:t>
            </w:r>
          </w:p>
        </w:tc>
        <w:tc>
          <w:tcPr>
            <w:tcW w:w="3148" w:type="dxa"/>
            <w:tcBorders>
              <w:top w:val="double" w:sz="4" w:space="0" w:color="auto"/>
              <w:left w:val="single" w:sz="6" w:space="0" w:color="auto"/>
              <w:bottom w:val="single" w:sz="6" w:space="0" w:color="auto"/>
              <w:right w:val="single" w:sz="6" w:space="0" w:color="auto"/>
            </w:tcBorders>
          </w:tcPr>
          <w:p w14:paraId="3EA67E8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highlight w:val="green"/>
                <w:lang w:val="en-US"/>
              </w:rPr>
            </w:pPr>
            <w:r w:rsidRPr="00176CD4">
              <w:rPr>
                <w:rFonts w:ascii="Arial Narrow" w:eastAsia="Times New Roman" w:hAnsi="Arial Narrow" w:cs="Times New Roman"/>
                <w:sz w:val="20"/>
                <w:lang w:val="en-US"/>
              </w:rPr>
              <w:sym w:font="Symbol" w:char="F0B3"/>
            </w:r>
            <w:r w:rsidRPr="00176CD4">
              <w:rPr>
                <w:rFonts w:ascii="Arial Narrow" w:eastAsia="Times New Roman" w:hAnsi="Arial Narrow" w:cs="Times New Roman"/>
                <w:sz w:val="20"/>
                <w:lang w:val="en-US"/>
              </w:rPr>
              <w:t xml:space="preserve"> 0,60</w:t>
            </w:r>
          </w:p>
        </w:tc>
        <w:tc>
          <w:tcPr>
            <w:tcW w:w="1845" w:type="dxa"/>
            <w:tcBorders>
              <w:top w:val="double" w:sz="4" w:space="0" w:color="auto"/>
              <w:left w:val="single" w:sz="6" w:space="0" w:color="auto"/>
              <w:bottom w:val="single" w:sz="6" w:space="0" w:color="auto"/>
              <w:right w:val="single" w:sz="6" w:space="0" w:color="auto"/>
            </w:tcBorders>
          </w:tcPr>
          <w:p w14:paraId="1451C74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lang w:val="en-US"/>
              </w:rPr>
            </w:pPr>
            <w:r w:rsidRPr="00176CD4">
              <w:rPr>
                <w:rFonts w:ascii="Arial Narrow" w:eastAsia="Times New Roman" w:hAnsi="Arial Narrow" w:cs="Times New Roman"/>
                <w:sz w:val="20"/>
                <w:lang w:val="en-US"/>
              </w:rPr>
              <w:t>WL2</w:t>
            </w:r>
          </w:p>
        </w:tc>
      </w:tr>
      <w:tr w:rsidR="00176CD4" w:rsidRPr="00176CD4" w14:paraId="09B62FB5" w14:textId="77777777" w:rsidTr="00855929">
        <w:trPr>
          <w:jc w:val="center"/>
        </w:trPr>
        <w:tc>
          <w:tcPr>
            <w:tcW w:w="2026" w:type="dxa"/>
            <w:tcBorders>
              <w:top w:val="single" w:sz="6" w:space="0" w:color="auto"/>
              <w:left w:val="single" w:sz="6" w:space="0" w:color="auto"/>
              <w:bottom w:val="single" w:sz="6" w:space="0" w:color="auto"/>
              <w:right w:val="single" w:sz="6" w:space="0" w:color="auto"/>
            </w:tcBorders>
          </w:tcPr>
          <w:p w14:paraId="4152475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highlight w:val="green"/>
              </w:rPr>
            </w:pPr>
            <w:r w:rsidRPr="00176CD4">
              <w:rPr>
                <w:rFonts w:ascii="Arial Narrow" w:eastAsia="Times New Roman" w:hAnsi="Arial Narrow" w:cs="Times New Roman"/>
                <w:sz w:val="20"/>
              </w:rPr>
              <w:t>Wytrzymałość na obciążenie skupione</w:t>
            </w:r>
          </w:p>
        </w:tc>
        <w:tc>
          <w:tcPr>
            <w:tcW w:w="1413" w:type="dxa"/>
            <w:tcBorders>
              <w:top w:val="single" w:sz="6" w:space="0" w:color="auto"/>
              <w:left w:val="single" w:sz="6" w:space="0" w:color="auto"/>
              <w:bottom w:val="single" w:sz="6" w:space="0" w:color="auto"/>
              <w:right w:val="single" w:sz="6" w:space="0" w:color="auto"/>
            </w:tcBorders>
          </w:tcPr>
          <w:p w14:paraId="0C8881B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kN</w:t>
            </w:r>
          </w:p>
        </w:tc>
        <w:tc>
          <w:tcPr>
            <w:tcW w:w="3148" w:type="dxa"/>
            <w:tcBorders>
              <w:top w:val="single" w:sz="6" w:space="0" w:color="auto"/>
              <w:left w:val="single" w:sz="6" w:space="0" w:color="auto"/>
              <w:bottom w:val="single" w:sz="6" w:space="0" w:color="auto"/>
              <w:right w:val="single" w:sz="6" w:space="0" w:color="auto"/>
            </w:tcBorders>
          </w:tcPr>
          <w:p w14:paraId="6BE6306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highlight w:val="green"/>
              </w:rPr>
            </w:pPr>
            <w:r w:rsidRPr="00176CD4">
              <w:rPr>
                <w:rFonts w:ascii="Arial Narrow" w:eastAsia="Times New Roman" w:hAnsi="Arial Narrow" w:cs="Times New Roman"/>
                <w:sz w:val="20"/>
                <w:lang w:val="en-US"/>
              </w:rPr>
              <w:sym w:font="Symbol" w:char="F0B3"/>
            </w:r>
            <w:r w:rsidRPr="00176CD4">
              <w:rPr>
                <w:rFonts w:ascii="Arial Narrow" w:eastAsia="Times New Roman" w:hAnsi="Arial Narrow" w:cs="Times New Roman"/>
                <w:sz w:val="20"/>
              </w:rPr>
              <w:t xml:space="preserve"> 0,50</w:t>
            </w:r>
          </w:p>
        </w:tc>
        <w:tc>
          <w:tcPr>
            <w:tcW w:w="1845" w:type="dxa"/>
            <w:tcBorders>
              <w:top w:val="single" w:sz="6" w:space="0" w:color="auto"/>
              <w:left w:val="single" w:sz="6" w:space="0" w:color="auto"/>
              <w:bottom w:val="single" w:sz="6" w:space="0" w:color="auto"/>
              <w:right w:val="single" w:sz="6" w:space="0" w:color="auto"/>
            </w:tcBorders>
          </w:tcPr>
          <w:p w14:paraId="78DB220C"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PL2</w:t>
            </w:r>
          </w:p>
        </w:tc>
      </w:tr>
      <w:tr w:rsidR="00176CD4" w:rsidRPr="00176CD4" w14:paraId="6C8C2245" w14:textId="77777777" w:rsidTr="00855929">
        <w:trPr>
          <w:jc w:val="center"/>
        </w:trPr>
        <w:tc>
          <w:tcPr>
            <w:tcW w:w="2026" w:type="dxa"/>
            <w:tcBorders>
              <w:top w:val="single" w:sz="6" w:space="0" w:color="auto"/>
              <w:left w:val="single" w:sz="6" w:space="0" w:color="auto"/>
              <w:bottom w:val="single" w:sz="6" w:space="0" w:color="auto"/>
              <w:right w:val="single" w:sz="6" w:space="0" w:color="auto"/>
            </w:tcBorders>
          </w:tcPr>
          <w:p w14:paraId="2D50E448"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highlight w:val="green"/>
              </w:rPr>
            </w:pPr>
            <w:r w:rsidRPr="00176CD4">
              <w:rPr>
                <w:rFonts w:ascii="Arial Narrow" w:eastAsia="Times New Roman" w:hAnsi="Arial Narrow" w:cs="Times New Roman"/>
                <w:sz w:val="20"/>
              </w:rPr>
              <w:t>Chwilowe odkształcenie zginające</w:t>
            </w:r>
          </w:p>
        </w:tc>
        <w:tc>
          <w:tcPr>
            <w:tcW w:w="1413" w:type="dxa"/>
            <w:tcBorders>
              <w:top w:val="single" w:sz="6" w:space="0" w:color="auto"/>
              <w:left w:val="single" w:sz="6" w:space="0" w:color="auto"/>
              <w:bottom w:val="single" w:sz="6" w:space="0" w:color="auto"/>
              <w:right w:val="single" w:sz="6" w:space="0" w:color="auto"/>
            </w:tcBorders>
          </w:tcPr>
          <w:p w14:paraId="13527A7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lang w:val="en-US"/>
              </w:rPr>
            </w:pPr>
            <w:r w:rsidRPr="00176CD4">
              <w:rPr>
                <w:rFonts w:ascii="Arial Narrow" w:eastAsia="Times New Roman" w:hAnsi="Arial Narrow" w:cs="Times New Roman"/>
                <w:sz w:val="20"/>
                <w:lang w:val="en-US"/>
              </w:rPr>
              <w:t>mm/m</w:t>
            </w:r>
          </w:p>
        </w:tc>
        <w:tc>
          <w:tcPr>
            <w:tcW w:w="3148" w:type="dxa"/>
            <w:tcBorders>
              <w:top w:val="single" w:sz="6" w:space="0" w:color="auto"/>
              <w:left w:val="single" w:sz="6" w:space="0" w:color="auto"/>
              <w:bottom w:val="single" w:sz="6" w:space="0" w:color="auto"/>
              <w:right w:val="single" w:sz="6" w:space="0" w:color="auto"/>
            </w:tcBorders>
          </w:tcPr>
          <w:p w14:paraId="5E311F0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highlight w:val="green"/>
                <w:lang w:val="en-US"/>
              </w:rPr>
            </w:pPr>
            <w:r w:rsidRPr="00176CD4">
              <w:rPr>
                <w:rFonts w:ascii="Arial Narrow" w:eastAsia="Times New Roman" w:hAnsi="Arial Narrow" w:cs="Times New Roman"/>
                <w:sz w:val="20"/>
                <w:lang w:val="en-US"/>
              </w:rPr>
              <w:sym w:font="Symbol" w:char="F0A3"/>
            </w:r>
            <w:r w:rsidRPr="00176CD4">
              <w:rPr>
                <w:rFonts w:ascii="Arial Narrow" w:eastAsia="Times New Roman" w:hAnsi="Arial Narrow" w:cs="Times New Roman"/>
                <w:sz w:val="20"/>
                <w:lang w:val="en-US"/>
              </w:rPr>
              <w:t xml:space="preserve"> 25</w:t>
            </w:r>
          </w:p>
        </w:tc>
        <w:tc>
          <w:tcPr>
            <w:tcW w:w="1845" w:type="dxa"/>
            <w:tcBorders>
              <w:top w:val="single" w:sz="6" w:space="0" w:color="auto"/>
              <w:left w:val="single" w:sz="6" w:space="0" w:color="auto"/>
              <w:bottom w:val="single" w:sz="6" w:space="0" w:color="auto"/>
              <w:right w:val="single" w:sz="6" w:space="0" w:color="auto"/>
            </w:tcBorders>
          </w:tcPr>
          <w:p w14:paraId="1D80AD7C"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highlight w:val="green"/>
                <w:lang w:val="en-US"/>
              </w:rPr>
            </w:pPr>
            <w:r w:rsidRPr="00176CD4">
              <w:rPr>
                <w:rFonts w:ascii="Arial Narrow" w:eastAsia="Times New Roman" w:hAnsi="Arial Narrow" w:cs="Times New Roman"/>
                <w:sz w:val="20"/>
                <w:lang w:val="en-US"/>
              </w:rPr>
              <w:t>TDB4</w:t>
            </w:r>
          </w:p>
        </w:tc>
      </w:tr>
      <w:tr w:rsidR="00176CD4" w:rsidRPr="00176CD4" w14:paraId="3C745518" w14:textId="77777777" w:rsidTr="00855929">
        <w:trPr>
          <w:jc w:val="center"/>
        </w:trPr>
        <w:tc>
          <w:tcPr>
            <w:tcW w:w="2026" w:type="dxa"/>
            <w:tcBorders>
              <w:top w:val="single" w:sz="6" w:space="0" w:color="auto"/>
              <w:left w:val="single" w:sz="6" w:space="0" w:color="auto"/>
              <w:bottom w:val="single" w:sz="6" w:space="0" w:color="auto"/>
              <w:right w:val="single" w:sz="6" w:space="0" w:color="auto"/>
            </w:tcBorders>
          </w:tcPr>
          <w:p w14:paraId="570BA20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highlight w:val="green"/>
              </w:rPr>
            </w:pPr>
            <w:r w:rsidRPr="00176CD4">
              <w:rPr>
                <w:rFonts w:ascii="Arial Narrow" w:eastAsia="Times New Roman" w:hAnsi="Arial Narrow" w:cs="Times New Roman"/>
                <w:sz w:val="20"/>
              </w:rPr>
              <w:t>Chwilowe odkształcenie skrętne</w:t>
            </w:r>
          </w:p>
        </w:tc>
        <w:tc>
          <w:tcPr>
            <w:tcW w:w="1413" w:type="dxa"/>
            <w:tcBorders>
              <w:top w:val="single" w:sz="6" w:space="0" w:color="auto"/>
              <w:left w:val="single" w:sz="6" w:space="0" w:color="auto"/>
              <w:bottom w:val="single" w:sz="6" w:space="0" w:color="auto"/>
              <w:right w:val="single" w:sz="6" w:space="0" w:color="auto"/>
            </w:tcBorders>
          </w:tcPr>
          <w:p w14:paraId="7454EFF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vertAlign w:val="superscript"/>
              </w:rPr>
            </w:pPr>
            <w:r w:rsidRPr="00176CD4">
              <w:rPr>
                <w:rFonts w:ascii="Arial Narrow" w:eastAsia="Times New Roman" w:hAnsi="Arial Narrow" w:cs="Times New Roman"/>
                <w:sz w:val="20"/>
              </w:rPr>
              <w:t xml:space="preserve">stopień </w:t>
            </w:r>
            <w:r w:rsidRPr="00176CD4">
              <w:rPr>
                <w:rFonts w:ascii="Arial Narrow" w:eastAsia="Times New Roman" w:hAnsi="Arial Narrow" w:cs="Times New Roman"/>
                <w:sz w:val="20"/>
              </w:rPr>
              <w:sym w:font="Symbol" w:char="F0D7"/>
            </w:r>
            <w:r w:rsidRPr="00176CD4">
              <w:rPr>
                <w:rFonts w:ascii="Arial Narrow" w:eastAsia="Times New Roman" w:hAnsi="Arial Narrow" w:cs="Times New Roman"/>
                <w:sz w:val="20"/>
              </w:rPr>
              <w:t xml:space="preserve"> m</w:t>
            </w:r>
          </w:p>
        </w:tc>
        <w:tc>
          <w:tcPr>
            <w:tcW w:w="3148" w:type="dxa"/>
            <w:tcBorders>
              <w:top w:val="single" w:sz="6" w:space="0" w:color="auto"/>
              <w:left w:val="single" w:sz="6" w:space="0" w:color="auto"/>
              <w:bottom w:val="single" w:sz="6" w:space="0" w:color="auto"/>
              <w:right w:val="single" w:sz="6" w:space="0" w:color="auto"/>
            </w:tcBorders>
          </w:tcPr>
          <w:p w14:paraId="7987B53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lang w:val="en-US"/>
              </w:rPr>
              <w:sym w:font="Symbol" w:char="F0A3"/>
            </w:r>
            <w:r w:rsidRPr="00176CD4">
              <w:rPr>
                <w:rFonts w:ascii="Arial Narrow" w:eastAsia="Times New Roman" w:hAnsi="Arial Narrow" w:cs="Times New Roman"/>
                <w:sz w:val="20"/>
              </w:rPr>
              <w:t xml:space="preserve"> 0,02</w:t>
            </w:r>
          </w:p>
          <w:p w14:paraId="664100E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lang w:val="en-US"/>
              </w:rPr>
              <w:sym w:font="Symbol" w:char="F0A3"/>
            </w:r>
            <w:r w:rsidRPr="00176CD4">
              <w:rPr>
                <w:rFonts w:ascii="Arial Narrow" w:eastAsia="Times New Roman" w:hAnsi="Arial Narrow" w:cs="Times New Roman"/>
                <w:sz w:val="20"/>
              </w:rPr>
              <w:t xml:space="preserve"> 0,11</w:t>
            </w:r>
          </w:p>
          <w:p w14:paraId="66CDC2F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lang w:val="en-US"/>
              </w:rPr>
              <w:sym w:font="Symbol" w:char="F0A3"/>
            </w:r>
            <w:r w:rsidRPr="00176CD4">
              <w:rPr>
                <w:rFonts w:ascii="Arial Narrow" w:eastAsia="Times New Roman" w:hAnsi="Arial Narrow" w:cs="Times New Roman"/>
                <w:sz w:val="20"/>
              </w:rPr>
              <w:t xml:space="preserve"> 0,57</w:t>
            </w:r>
          </w:p>
          <w:p w14:paraId="7EBC638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highlight w:val="green"/>
              </w:rPr>
            </w:pPr>
            <w:r w:rsidRPr="00176CD4">
              <w:rPr>
                <w:rFonts w:ascii="Arial Narrow" w:eastAsia="Times New Roman" w:hAnsi="Arial Narrow" w:cs="Times New Roman"/>
                <w:sz w:val="20"/>
                <w:lang w:val="en-US"/>
              </w:rPr>
              <w:sym w:font="Symbol" w:char="F0A3"/>
            </w:r>
            <w:r w:rsidRPr="00176CD4">
              <w:rPr>
                <w:rFonts w:ascii="Arial Narrow" w:eastAsia="Times New Roman" w:hAnsi="Arial Narrow" w:cs="Times New Roman"/>
                <w:sz w:val="20"/>
              </w:rPr>
              <w:t xml:space="preserve"> 1,15</w:t>
            </w:r>
          </w:p>
        </w:tc>
        <w:tc>
          <w:tcPr>
            <w:tcW w:w="1845" w:type="dxa"/>
            <w:tcBorders>
              <w:top w:val="single" w:sz="6" w:space="0" w:color="auto"/>
              <w:left w:val="single" w:sz="6" w:space="0" w:color="auto"/>
              <w:bottom w:val="single" w:sz="6" w:space="0" w:color="auto"/>
              <w:right w:val="single" w:sz="6" w:space="0" w:color="auto"/>
            </w:tcBorders>
          </w:tcPr>
          <w:p w14:paraId="1C4312E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TDT1</w:t>
            </w:r>
          </w:p>
          <w:p w14:paraId="5439E2B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TDT3</w:t>
            </w:r>
          </w:p>
          <w:p w14:paraId="4BBA7CE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TDT5</w:t>
            </w:r>
          </w:p>
          <w:p w14:paraId="4C56E3F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highlight w:val="green"/>
              </w:rPr>
            </w:pPr>
            <w:r w:rsidRPr="00176CD4">
              <w:rPr>
                <w:rFonts w:ascii="Arial Narrow" w:eastAsia="Times New Roman" w:hAnsi="Arial Narrow" w:cs="Times New Roman"/>
                <w:sz w:val="20"/>
              </w:rPr>
              <w:t xml:space="preserve">  TDT6*</w:t>
            </w:r>
          </w:p>
        </w:tc>
      </w:tr>
      <w:tr w:rsidR="00176CD4" w:rsidRPr="00176CD4" w14:paraId="4B314C83" w14:textId="77777777" w:rsidTr="00855929">
        <w:trPr>
          <w:jc w:val="center"/>
        </w:trPr>
        <w:tc>
          <w:tcPr>
            <w:tcW w:w="2026" w:type="dxa"/>
            <w:tcBorders>
              <w:top w:val="single" w:sz="6" w:space="0" w:color="auto"/>
              <w:left w:val="single" w:sz="6" w:space="0" w:color="auto"/>
              <w:bottom w:val="single" w:sz="6" w:space="0" w:color="auto"/>
              <w:right w:val="single" w:sz="6" w:space="0" w:color="auto"/>
            </w:tcBorders>
          </w:tcPr>
          <w:p w14:paraId="55F155C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Odkształcenie trwałe</w:t>
            </w:r>
          </w:p>
        </w:tc>
        <w:tc>
          <w:tcPr>
            <w:tcW w:w="1413" w:type="dxa"/>
            <w:tcBorders>
              <w:top w:val="single" w:sz="6" w:space="0" w:color="auto"/>
              <w:left w:val="single" w:sz="6" w:space="0" w:color="auto"/>
              <w:bottom w:val="single" w:sz="6" w:space="0" w:color="auto"/>
              <w:right w:val="single" w:sz="6" w:space="0" w:color="auto"/>
            </w:tcBorders>
          </w:tcPr>
          <w:p w14:paraId="2675A2B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mm/m  lub stopień </w:t>
            </w:r>
            <w:r w:rsidRPr="00176CD4">
              <w:rPr>
                <w:rFonts w:ascii="Arial Narrow" w:eastAsia="Times New Roman" w:hAnsi="Arial Narrow" w:cs="Times New Roman"/>
                <w:sz w:val="20"/>
              </w:rPr>
              <w:sym w:font="Symbol" w:char="F0D7"/>
            </w:r>
            <w:r w:rsidRPr="00176CD4">
              <w:rPr>
                <w:rFonts w:ascii="Arial Narrow" w:eastAsia="Times New Roman" w:hAnsi="Arial Narrow" w:cs="Times New Roman"/>
                <w:sz w:val="20"/>
              </w:rPr>
              <w:t xml:space="preserve"> m</w:t>
            </w:r>
          </w:p>
        </w:tc>
        <w:tc>
          <w:tcPr>
            <w:tcW w:w="3148" w:type="dxa"/>
            <w:tcBorders>
              <w:top w:val="single" w:sz="6" w:space="0" w:color="auto"/>
              <w:left w:val="single" w:sz="6" w:space="0" w:color="auto"/>
              <w:bottom w:val="single" w:sz="6" w:space="0" w:color="auto"/>
              <w:right w:val="single" w:sz="6" w:space="0" w:color="auto"/>
            </w:tcBorders>
          </w:tcPr>
          <w:p w14:paraId="09F123E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20 % odkształcenia chwilowego</w:t>
            </w:r>
          </w:p>
        </w:tc>
        <w:tc>
          <w:tcPr>
            <w:tcW w:w="1845" w:type="dxa"/>
            <w:tcBorders>
              <w:top w:val="single" w:sz="6" w:space="0" w:color="auto"/>
              <w:left w:val="single" w:sz="6" w:space="0" w:color="auto"/>
              <w:bottom w:val="single" w:sz="6" w:space="0" w:color="auto"/>
              <w:right w:val="single" w:sz="6" w:space="0" w:color="auto"/>
            </w:tcBorders>
          </w:tcPr>
          <w:p w14:paraId="02F9FB7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w:t>
            </w:r>
          </w:p>
        </w:tc>
      </w:tr>
      <w:tr w:rsidR="00176CD4" w:rsidRPr="00176CD4" w14:paraId="303F0DE2" w14:textId="77777777" w:rsidTr="00855929">
        <w:trPr>
          <w:jc w:val="center"/>
        </w:trPr>
        <w:tc>
          <w:tcPr>
            <w:tcW w:w="2026" w:type="dxa"/>
            <w:tcBorders>
              <w:top w:val="single" w:sz="6" w:space="0" w:color="auto"/>
              <w:left w:val="single" w:sz="6" w:space="0" w:color="auto"/>
              <w:bottom w:val="single" w:sz="6" w:space="0" w:color="auto"/>
              <w:right w:val="single" w:sz="6" w:space="0" w:color="auto"/>
            </w:tcBorders>
          </w:tcPr>
          <w:p w14:paraId="3D512B9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Rodzaj krawędzi znaku</w:t>
            </w:r>
          </w:p>
        </w:tc>
        <w:tc>
          <w:tcPr>
            <w:tcW w:w="1413" w:type="dxa"/>
            <w:tcBorders>
              <w:top w:val="single" w:sz="6" w:space="0" w:color="auto"/>
              <w:left w:val="single" w:sz="6" w:space="0" w:color="auto"/>
              <w:bottom w:val="single" w:sz="6" w:space="0" w:color="auto"/>
              <w:right w:val="single" w:sz="6" w:space="0" w:color="auto"/>
            </w:tcBorders>
          </w:tcPr>
          <w:p w14:paraId="6E01FCD8"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w:t>
            </w:r>
          </w:p>
        </w:tc>
        <w:tc>
          <w:tcPr>
            <w:tcW w:w="3148" w:type="dxa"/>
            <w:tcBorders>
              <w:top w:val="single" w:sz="6" w:space="0" w:color="auto"/>
              <w:left w:val="single" w:sz="6" w:space="0" w:color="auto"/>
              <w:bottom w:val="single" w:sz="6" w:space="0" w:color="auto"/>
              <w:right w:val="single" w:sz="6" w:space="0" w:color="auto"/>
            </w:tcBorders>
          </w:tcPr>
          <w:p w14:paraId="5D4DE52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highlight w:val="green"/>
              </w:rPr>
            </w:pPr>
            <w:r w:rsidRPr="00176CD4">
              <w:rPr>
                <w:rFonts w:ascii="Arial Narrow" w:eastAsia="Times New Roman" w:hAnsi="Arial Narrow" w:cs="Times New Roman"/>
                <w:sz w:val="20"/>
              </w:rPr>
              <w:t>Zabezpieczona, krawędź tłoczona, zaginana, prasowana lub zabezpieczona profilem krawędziowym</w:t>
            </w:r>
          </w:p>
        </w:tc>
        <w:tc>
          <w:tcPr>
            <w:tcW w:w="1845" w:type="dxa"/>
            <w:tcBorders>
              <w:top w:val="single" w:sz="6" w:space="0" w:color="auto"/>
              <w:left w:val="single" w:sz="6" w:space="0" w:color="auto"/>
              <w:bottom w:val="single" w:sz="6" w:space="0" w:color="auto"/>
              <w:right w:val="single" w:sz="6" w:space="0" w:color="auto"/>
            </w:tcBorders>
          </w:tcPr>
          <w:p w14:paraId="105BE3C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E2</w:t>
            </w:r>
          </w:p>
        </w:tc>
      </w:tr>
      <w:tr w:rsidR="00176CD4" w:rsidRPr="00176CD4" w14:paraId="13D91925" w14:textId="77777777" w:rsidTr="00855929">
        <w:trPr>
          <w:jc w:val="center"/>
        </w:trPr>
        <w:tc>
          <w:tcPr>
            <w:tcW w:w="2026" w:type="dxa"/>
            <w:tcBorders>
              <w:top w:val="single" w:sz="6" w:space="0" w:color="auto"/>
              <w:left w:val="single" w:sz="6" w:space="0" w:color="auto"/>
              <w:bottom w:val="single" w:sz="6" w:space="0" w:color="auto"/>
              <w:right w:val="single" w:sz="6" w:space="0" w:color="auto"/>
            </w:tcBorders>
          </w:tcPr>
          <w:p w14:paraId="7E046BD8"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highlight w:val="green"/>
              </w:rPr>
            </w:pPr>
            <w:r w:rsidRPr="00176CD4">
              <w:rPr>
                <w:rFonts w:ascii="Arial Narrow" w:eastAsia="Times New Roman" w:hAnsi="Arial Narrow" w:cs="Times New Roman"/>
                <w:sz w:val="20"/>
              </w:rPr>
              <w:t>Przewiercanie lica znaku</w:t>
            </w:r>
          </w:p>
        </w:tc>
        <w:tc>
          <w:tcPr>
            <w:tcW w:w="1413" w:type="dxa"/>
            <w:tcBorders>
              <w:top w:val="single" w:sz="6" w:space="0" w:color="auto"/>
              <w:left w:val="single" w:sz="6" w:space="0" w:color="auto"/>
              <w:bottom w:val="single" w:sz="6" w:space="0" w:color="auto"/>
              <w:right w:val="single" w:sz="6" w:space="0" w:color="auto"/>
            </w:tcBorders>
          </w:tcPr>
          <w:p w14:paraId="0AAA280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w:t>
            </w:r>
          </w:p>
        </w:tc>
        <w:tc>
          <w:tcPr>
            <w:tcW w:w="3148" w:type="dxa"/>
            <w:tcBorders>
              <w:top w:val="single" w:sz="6" w:space="0" w:color="auto"/>
              <w:left w:val="single" w:sz="6" w:space="0" w:color="auto"/>
              <w:bottom w:val="single" w:sz="6" w:space="0" w:color="auto"/>
              <w:right w:val="single" w:sz="6" w:space="0" w:color="auto"/>
            </w:tcBorders>
          </w:tcPr>
          <w:p w14:paraId="3CCE06A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highlight w:val="green"/>
              </w:rPr>
            </w:pPr>
            <w:r w:rsidRPr="00176CD4">
              <w:rPr>
                <w:rFonts w:ascii="Arial Narrow" w:eastAsia="Times New Roman" w:hAnsi="Arial Narrow" w:cs="Times New Roman"/>
                <w:sz w:val="20"/>
              </w:rPr>
              <w:t>Lico znaku nie może być przewiercone z żadnego powodu</w:t>
            </w:r>
          </w:p>
        </w:tc>
        <w:tc>
          <w:tcPr>
            <w:tcW w:w="1845" w:type="dxa"/>
            <w:tcBorders>
              <w:top w:val="single" w:sz="6" w:space="0" w:color="auto"/>
              <w:left w:val="single" w:sz="6" w:space="0" w:color="auto"/>
              <w:bottom w:val="single" w:sz="6" w:space="0" w:color="auto"/>
              <w:right w:val="single" w:sz="6" w:space="0" w:color="auto"/>
            </w:tcBorders>
          </w:tcPr>
          <w:p w14:paraId="46E32A43"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highlight w:val="green"/>
              </w:rPr>
            </w:pPr>
            <w:r w:rsidRPr="00176CD4">
              <w:rPr>
                <w:rFonts w:ascii="Arial Narrow" w:eastAsia="Times New Roman" w:hAnsi="Arial Narrow" w:cs="Times New Roman"/>
                <w:sz w:val="20"/>
              </w:rPr>
              <w:t>P3</w:t>
            </w:r>
          </w:p>
        </w:tc>
      </w:tr>
      <w:tr w:rsidR="00176CD4" w:rsidRPr="00176CD4" w14:paraId="2AF98404" w14:textId="77777777" w:rsidTr="00855929">
        <w:trPr>
          <w:jc w:val="center"/>
        </w:trPr>
        <w:tc>
          <w:tcPr>
            <w:tcW w:w="8432" w:type="dxa"/>
            <w:gridSpan w:val="4"/>
            <w:tcBorders>
              <w:top w:val="single" w:sz="6" w:space="0" w:color="auto"/>
              <w:left w:val="single" w:sz="6" w:space="0" w:color="auto"/>
              <w:bottom w:val="single" w:sz="6" w:space="0" w:color="auto"/>
              <w:right w:val="single" w:sz="6" w:space="0" w:color="auto"/>
            </w:tcBorders>
          </w:tcPr>
          <w:p w14:paraId="0AA65AE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klasę TDT3 stosuje się dla tablic na 2 lub więcej podporach, klasę TDT 5 dla tablic na jednej podporze, klasę TDT1 dla tablic na konstrukcjach bramowych, klasę TDT6 dla tablic na konstrukcjach wysięgnikowych</w:t>
            </w:r>
          </w:p>
        </w:tc>
      </w:tr>
    </w:tbl>
    <w:p w14:paraId="414A6738"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5E669A0C"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Przyjęto zgodnie z tablicą 1, że przy sile naporu wiatru równej 0,6 kN (klasa WL2), chwilowe odkształcenie zginające, zarówno znak, jak i samą tarczę znaku nie może być większe niż 25 mm/m (klasa TDB4).</w:t>
      </w:r>
    </w:p>
    <w:p w14:paraId="21309BDF"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2.5.4. Warunki wykonania tarczy znaku</w:t>
      </w:r>
    </w:p>
    <w:p w14:paraId="60D887DC"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Tarcze znaków powinny spełniać także następujące wymagania:</w:t>
      </w:r>
    </w:p>
    <w:p w14:paraId="6DE0F88F"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176CD4">
          <w:rPr>
            <w:rFonts w:ascii="Arial Narrow" w:eastAsia="Times New Roman" w:hAnsi="Arial Narrow" w:cs="Times New Roman"/>
            <w:sz w:val="20"/>
            <w:szCs w:val="20"/>
            <w:lang w:val="x-none" w:eastAsia="x-none"/>
          </w:rPr>
          <w:t>10 mm</w:t>
        </w:r>
      </w:smartTag>
      <w:r w:rsidRPr="00176CD4">
        <w:rPr>
          <w:rFonts w:ascii="Arial Narrow" w:eastAsia="Times New Roman" w:hAnsi="Arial Narrow" w:cs="Times New Roman"/>
          <w:sz w:val="20"/>
          <w:szCs w:val="20"/>
          <w:lang w:val="x-none" w:eastAsia="x-none"/>
        </w:rPr>
        <w:t xml:space="preserve"> włącznie z narożnikami lub przez zamocowanie odpowiedniego profilu na całym obwodzie znaku, </w:t>
      </w:r>
    </w:p>
    <w:p w14:paraId="6AAC6688"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powierzchnia czołowa tarczy znaku powinna być równa – bez wgięć, pofałdowań i otworów montażowych. Dopuszczalna nierówność wynosi 1 mm/m,</w:t>
      </w:r>
    </w:p>
    <w:p w14:paraId="72E64E7D"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podwójna gięta krawędź  lub przymocowane do tylnej powierzchni  profile montażowe powinny  usztywnić  tarczę znaku  w taki sposób, aby wymagania podane w tablicy 1 były spełnione a zarazem stanowiły element konstrukcyjny do montażu  do konstrukcji wsporczej. Dopuszcza się maksymalne odkształcenie trwałe do 20 % odkształcenia odpowiedniej klasy na zginanie i skręcanie,</w:t>
      </w:r>
    </w:p>
    <w:p w14:paraId="085DFE82"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tylna powierzchnia tarczy powinna być zabezpieczona przed procesami korozji ochronnymi powłokami chemicznymi oraz powłoką lakierniczą o grubości min. 60 µm z proszkowych farb poliestrowych ciemnoszarych matowych lub półmatowych w kolorze RAL 7037; badania należy wykonywać zgodnie z PN-88/C-81523 [4] oraz PN-76/C-81521 [1] w zakresie odporności na działanie mgły solnej oraz wody.  </w:t>
      </w:r>
    </w:p>
    <w:p w14:paraId="18F986B0"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Tarcze znaków i tablic o powierzchni  &gt; </w:t>
      </w:r>
      <w:smartTag w:uri="urn:schemas-microsoft-com:office:smarttags" w:element="metricconverter">
        <w:smartTagPr>
          <w:attr w:name="ProductID" w:val="1 m2"/>
        </w:smartTagPr>
        <w:r w:rsidRPr="00176CD4">
          <w:rPr>
            <w:rFonts w:ascii="Arial Narrow" w:eastAsia="Times New Roman" w:hAnsi="Arial Narrow" w:cs="Times New Roman"/>
            <w:sz w:val="20"/>
            <w:szCs w:val="20"/>
            <w:lang w:eastAsia="pl-PL"/>
          </w:rPr>
          <w:t>1 m</w:t>
        </w:r>
        <w:r w:rsidRPr="00176CD4">
          <w:rPr>
            <w:rFonts w:ascii="Arial Narrow" w:eastAsia="Times New Roman" w:hAnsi="Arial Narrow" w:cs="Times New Roman"/>
            <w:sz w:val="20"/>
            <w:szCs w:val="20"/>
            <w:vertAlign w:val="superscript"/>
            <w:lang w:eastAsia="pl-PL"/>
          </w:rPr>
          <w:t>2</w:t>
        </w:r>
      </w:smartTag>
      <w:r w:rsidRPr="00176CD4">
        <w:rPr>
          <w:rFonts w:ascii="Arial Narrow" w:eastAsia="Times New Roman" w:hAnsi="Arial Narrow" w:cs="Times New Roman"/>
          <w:sz w:val="20"/>
          <w:szCs w:val="20"/>
          <w:vertAlign w:val="superscript"/>
          <w:lang w:eastAsia="pl-PL"/>
        </w:rPr>
        <w:t xml:space="preserve"> </w:t>
      </w:r>
      <w:r w:rsidRPr="00176CD4">
        <w:rPr>
          <w:rFonts w:ascii="Arial Narrow" w:eastAsia="Times New Roman" w:hAnsi="Arial Narrow" w:cs="Times New Roman"/>
          <w:sz w:val="20"/>
          <w:szCs w:val="20"/>
          <w:lang w:eastAsia="pl-PL"/>
        </w:rPr>
        <w:t>powinny spełniać dodatkowo następujące wymagania:</w:t>
      </w:r>
    </w:p>
    <w:p w14:paraId="37B0D006"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narożniki znaku i tablicy powinny być zaokrąglone, o promieniu zgodnym z wymaganiami określonymi w załączniku nr 1 do rozporządzenia Ministra Infrastruktury z dnia 3 lipca 2003 r. [25] nie mniejszym jednak niż </w:t>
      </w:r>
      <w:smartTag w:uri="urn:schemas-microsoft-com:office:smarttags" w:element="metricconverter">
        <w:smartTagPr>
          <w:attr w:name="ProductID" w:val="30 mm"/>
        </w:smartTagPr>
        <w:r w:rsidRPr="00176CD4">
          <w:rPr>
            <w:rFonts w:ascii="Arial Narrow" w:eastAsia="Times New Roman" w:hAnsi="Arial Narrow" w:cs="Times New Roman"/>
            <w:sz w:val="20"/>
            <w:szCs w:val="20"/>
            <w:lang w:val="x-none" w:eastAsia="x-none"/>
          </w:rPr>
          <w:t>30 mm</w:t>
        </w:r>
      </w:smartTag>
      <w:r w:rsidRPr="00176CD4">
        <w:rPr>
          <w:rFonts w:ascii="Arial Narrow" w:eastAsia="Times New Roman" w:hAnsi="Arial Narrow" w:cs="Times New Roman"/>
          <w:sz w:val="20"/>
          <w:szCs w:val="20"/>
          <w:lang w:val="x-none" w:eastAsia="x-none"/>
        </w:rPr>
        <w:t>, gdy wielkości tego promienia nie wskazano,</w:t>
      </w:r>
    </w:p>
    <w:p w14:paraId="152957F7"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łączenie poszczególnych segmentów tarczy (dla znaków wielkogabarytowych) wzdłuż poziomej lub pionowej krawędzi  powinno być wykonane w taki sposób, aby nie występowały przesunięcia i prześwity w miejscach ich łączenia. </w:t>
      </w:r>
    </w:p>
    <w:p w14:paraId="6E2053C7"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2.6. Znaki odblaskowe</w:t>
      </w:r>
    </w:p>
    <w:p w14:paraId="693AEA35"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2.6.1. Wymagania dotyczące powierzchni odblaskowej</w:t>
      </w:r>
    </w:p>
    <w:p w14:paraId="1437E945" w14:textId="77777777" w:rsidR="00176CD4" w:rsidRPr="00176CD4" w:rsidRDefault="00176CD4" w:rsidP="00176CD4">
      <w:pPr>
        <w:overflowPunct w:val="0"/>
        <w:autoSpaceDE w:val="0"/>
        <w:autoSpaceDN w:val="0"/>
        <w:adjustRightInd w:val="0"/>
        <w:spacing w:before="120"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14:paraId="3FFCB2C4"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Folia odblaskowa (odbijająca powrotnie) powinna spełniać wymagania określone w aprobacie technicznej .</w:t>
      </w:r>
    </w:p>
    <w:p w14:paraId="5C62D39B" w14:textId="77777777" w:rsidR="00176CD4" w:rsidRPr="00176CD4" w:rsidRDefault="00176CD4" w:rsidP="00176CD4">
      <w:pPr>
        <w:widowControl w:val="0"/>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4"/>
          <w:szCs w:val="20"/>
          <w:lang w:eastAsia="pl-PL"/>
        </w:rPr>
      </w:pPr>
      <w:r w:rsidRPr="00176CD4">
        <w:rPr>
          <w:rFonts w:ascii="Arial Narrow" w:eastAsia="Times New Roman" w:hAnsi="Arial Narrow" w:cs="Times New Roman"/>
          <w:sz w:val="20"/>
          <w:szCs w:val="20"/>
          <w:lang w:eastAsia="pl-PL"/>
        </w:rPr>
        <w:t>Lico znaku powinno być wykonane z:</w:t>
      </w:r>
    </w:p>
    <w:p w14:paraId="565CC94F"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lastRenderedPageBreak/>
        <w:t>samoprzylepnej folii odblaskowej o właściwościach fotometrycznych i kolorymetrycznych typu 1, typu 2 (folia z kulkami szklanymi lub pryzmatyczna) lub typu 3 (folia pryzmatyczna) potwierdzonych uzyskanymi aprobatami technicznymi dla poszczególnych typów folii,</w:t>
      </w:r>
    </w:p>
    <w:p w14:paraId="40A3BA09"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do nanoszenia barw innych niż biała można stosować: farby transparentne do sitodruku, zalecane przez producenta danej folii, transparentne folie ploterowe posiadające aprobaty techniczne oraz w przypadku folii typu 1 wycinane kształty z folii odblaskowych barwnych,</w:t>
      </w:r>
    </w:p>
    <w:p w14:paraId="6424B90B"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dopuszcza się wycinanie kształtów z folii 2 i 3 typu pod warunkiem zabezpieczenia ich krawędzi lakierem zalecanym przez producenta folii,</w:t>
      </w:r>
    </w:p>
    <w:p w14:paraId="6FDBC9AA"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nie dopuszcza się stosowania folii o okresie trwałości poniżej 7 lat do znaków stałych,</w:t>
      </w:r>
    </w:p>
    <w:p w14:paraId="5DD46376"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folie o 2-letnim i 3-letnim okresie trwałości mogą być wykorzystywane do znaków tymczasowych stosowanych do oznakowania robót drogowych, pod warunkiem posiadania aprobaty technicznej i zachowania zgodności z załącznikiem nr 1 do rozporządzenia Ministra Infrastruktury z dnia 3 lipca 2003 w sprawie szczegółowych warunków technicznych dla znaków i sygnałów drogowych oraz urządzeń bezpieczeństwa ruchu drogowego i warunków ich umieszczania na drogach [25].</w:t>
      </w:r>
    </w:p>
    <w:p w14:paraId="37F88481"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Minimalna początkowa wartość współczynnika odblasku R’(cd·lx</w:t>
      </w:r>
      <w:r w:rsidRPr="00176CD4">
        <w:rPr>
          <w:rFonts w:ascii="Arial Narrow" w:eastAsia="Times New Roman" w:hAnsi="Arial Narrow" w:cs="Times New Roman"/>
          <w:sz w:val="20"/>
          <w:szCs w:val="20"/>
          <w:vertAlign w:val="superscript"/>
          <w:lang w:eastAsia="pl-PL"/>
        </w:rPr>
        <w:t>-1</w:t>
      </w:r>
      <w:r w:rsidRPr="00176CD4">
        <w:rPr>
          <w:rFonts w:ascii="Arial Narrow" w:eastAsia="Times New Roman" w:hAnsi="Arial Narrow" w:cs="Times New Roman"/>
          <w:sz w:val="20"/>
          <w:szCs w:val="20"/>
          <w:lang w:eastAsia="pl-PL"/>
        </w:rPr>
        <w:t>m</w:t>
      </w:r>
      <w:r w:rsidRPr="00176CD4">
        <w:rPr>
          <w:rFonts w:ascii="Arial Narrow" w:eastAsia="Times New Roman" w:hAnsi="Arial Narrow" w:cs="Times New Roman"/>
          <w:sz w:val="20"/>
          <w:szCs w:val="20"/>
          <w:vertAlign w:val="superscript"/>
          <w:lang w:eastAsia="pl-PL"/>
        </w:rPr>
        <w:t xml:space="preserve">-2 </w:t>
      </w:r>
      <w:r w:rsidRPr="00176CD4">
        <w:rPr>
          <w:rFonts w:ascii="Arial Narrow" w:eastAsia="Times New Roman" w:hAnsi="Arial Narrow" w:cs="Times New Roman"/>
          <w:sz w:val="20"/>
          <w:szCs w:val="20"/>
          <w:lang w:eastAsia="pl-PL"/>
        </w:rPr>
        <w:t>) znaków odblaskowych, zmierzona zgodnie z procedurą zawartą w CIE No.54 [29], używając standardowego iluminanta A, powinna spełniać odpowiednio wymagania podane w tablicy 2.</w:t>
      </w:r>
    </w:p>
    <w:p w14:paraId="54000C26"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Współczynnik odblasku R’ dla wszystkich kolorów drukowanych, z wyjątkiem białego, nie powinien być mniejszy niż 70 % wartości podanych w tablicy 2 dla znaków z folią typu 1 lub typu 2,  zgodnie  z publikacją CIE No 39.2 [28]. Folie odblaskowe pryzmatyczne (typ 3) powinny spełniać minimalne wymagania dla folii typu 2 lub zwiększone wymagania postawione w aprobacie technicznej dla danej folii. </w:t>
      </w:r>
    </w:p>
    <w:p w14:paraId="20DEEBFE" w14:textId="77777777" w:rsidR="00176CD4" w:rsidRPr="00176CD4" w:rsidRDefault="00176CD4" w:rsidP="00176CD4">
      <w:pPr>
        <w:widowControl w:val="0"/>
        <w:spacing w:after="120" w:line="240" w:lineRule="auto"/>
        <w:ind w:firstLine="709"/>
        <w:jc w:val="both"/>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W przypadku oświetlenia standardowym iluminantem D 65 i pomiaru w geometrii 45/0 współrzędne chromatyczności i współczynnik luminancji </w:t>
      </w:r>
      <w:r w:rsidRPr="00176CD4">
        <w:rPr>
          <w:rFonts w:ascii="Arial Narrow" w:eastAsia="Times New Roman" w:hAnsi="Arial Narrow" w:cs="Times New Roman"/>
          <w:sz w:val="20"/>
          <w:szCs w:val="20"/>
          <w:lang w:val="x-none" w:eastAsia="x-none"/>
        </w:rPr>
        <w:sym w:font="Symbol" w:char="F062"/>
      </w:r>
      <w:r w:rsidRPr="00176CD4">
        <w:rPr>
          <w:rFonts w:ascii="Arial Narrow" w:eastAsia="Times New Roman" w:hAnsi="Arial Narrow" w:cs="Times New Roman"/>
          <w:sz w:val="20"/>
          <w:szCs w:val="20"/>
          <w:lang w:val="x-none" w:eastAsia="x-none"/>
        </w:rPr>
        <w:t xml:space="preserve"> powinny być zgodne z wymaganiami podanymi w tablicach 2 i 3.</w:t>
      </w:r>
    </w:p>
    <w:p w14:paraId="23102F1D" w14:textId="77777777" w:rsidR="00176CD4" w:rsidRPr="00176CD4" w:rsidRDefault="00176CD4" w:rsidP="00176CD4">
      <w:pPr>
        <w:keepNext/>
        <w:keepLines/>
        <w:tabs>
          <w:tab w:val="left" w:pos="-720"/>
          <w:tab w:val="left" w:pos="993"/>
        </w:tabs>
        <w:suppressAutoHyphens/>
        <w:overflowPunct w:val="0"/>
        <w:autoSpaceDE w:val="0"/>
        <w:autoSpaceDN w:val="0"/>
        <w:adjustRightInd w:val="0"/>
        <w:spacing w:after="120" w:line="240" w:lineRule="auto"/>
        <w:ind w:left="993" w:hanging="993"/>
        <w:jc w:val="both"/>
        <w:textAlignment w:val="baseline"/>
        <w:rPr>
          <w:rFonts w:ascii="Arial Narrow" w:eastAsia="Times New Roman" w:hAnsi="Arial Narrow" w:cs="Times New Roman"/>
          <w:bCs/>
          <w:sz w:val="20"/>
          <w:szCs w:val="20"/>
          <w:lang w:eastAsia="pl-PL"/>
        </w:rPr>
      </w:pPr>
      <w:r w:rsidRPr="00176CD4">
        <w:rPr>
          <w:rFonts w:ascii="Arial Narrow" w:eastAsia="Times New Roman" w:hAnsi="Arial Narrow" w:cs="Times New Roman"/>
          <w:bCs/>
          <w:sz w:val="20"/>
          <w:szCs w:val="20"/>
          <w:lang w:eastAsia="pl-PL"/>
        </w:rPr>
        <w:t xml:space="preserve">Tablica 2. Wymagania dla </w:t>
      </w:r>
      <w:r w:rsidRPr="00176CD4">
        <w:rPr>
          <w:rFonts w:ascii="Arial Narrow" w:eastAsia="Times New Roman" w:hAnsi="Arial Narrow" w:cs="Times New Roman"/>
          <w:sz w:val="20"/>
          <w:szCs w:val="20"/>
          <w:lang w:eastAsia="pl-PL"/>
        </w:rPr>
        <w:t xml:space="preserve">współczynnika luminancji </w:t>
      </w:r>
      <w:r w:rsidRPr="00176CD4">
        <w:rPr>
          <w:rFonts w:ascii="Arial Narrow" w:eastAsia="Times New Roman" w:hAnsi="Arial Narrow" w:cs="Times New Roman"/>
          <w:sz w:val="20"/>
          <w:szCs w:val="20"/>
          <w:lang w:eastAsia="pl-PL"/>
        </w:rPr>
        <w:sym w:font="Symbol" w:char="F062"/>
      </w:r>
      <w:r w:rsidRPr="00176CD4">
        <w:rPr>
          <w:rFonts w:ascii="Arial Narrow" w:eastAsia="Times New Roman" w:hAnsi="Arial Narrow" w:cs="Times New Roman"/>
          <w:sz w:val="20"/>
          <w:szCs w:val="20"/>
          <w:lang w:eastAsia="pl-PL"/>
        </w:rPr>
        <w:t xml:space="preserve"> i współrzędnych chromatyczności x, y oraz współczynnika odblasku R’</w:t>
      </w:r>
    </w:p>
    <w:tbl>
      <w:tblPr>
        <w:tblW w:w="7527" w:type="dxa"/>
        <w:jc w:val="center"/>
        <w:tblLayout w:type="fixed"/>
        <w:tblCellMar>
          <w:left w:w="70" w:type="dxa"/>
          <w:right w:w="70" w:type="dxa"/>
        </w:tblCellMar>
        <w:tblLook w:val="0000" w:firstRow="0" w:lastRow="0" w:firstColumn="0" w:lastColumn="0" w:noHBand="0" w:noVBand="0"/>
      </w:tblPr>
      <w:tblGrid>
        <w:gridCol w:w="567"/>
        <w:gridCol w:w="2835"/>
        <w:gridCol w:w="993"/>
        <w:gridCol w:w="1557"/>
        <w:gridCol w:w="1575"/>
      </w:tblGrid>
      <w:tr w:rsidR="00176CD4" w:rsidRPr="00176CD4" w14:paraId="353A4051" w14:textId="77777777" w:rsidTr="00855929">
        <w:trPr>
          <w:trHeight w:val="218"/>
          <w:tblHeader/>
          <w:jc w:val="center"/>
        </w:trPr>
        <w:tc>
          <w:tcPr>
            <w:tcW w:w="567" w:type="dxa"/>
            <w:tcBorders>
              <w:top w:val="single" w:sz="6" w:space="0" w:color="auto"/>
              <w:left w:val="single" w:sz="6" w:space="0" w:color="auto"/>
              <w:bottom w:val="double" w:sz="4" w:space="0" w:color="auto"/>
              <w:right w:val="single" w:sz="6" w:space="0" w:color="auto"/>
            </w:tcBorders>
          </w:tcPr>
          <w:p w14:paraId="3EEC3C1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Lp.</w:t>
            </w:r>
          </w:p>
        </w:tc>
        <w:tc>
          <w:tcPr>
            <w:tcW w:w="2835" w:type="dxa"/>
            <w:tcBorders>
              <w:top w:val="single" w:sz="6" w:space="0" w:color="auto"/>
              <w:left w:val="single" w:sz="6" w:space="0" w:color="auto"/>
              <w:bottom w:val="double" w:sz="4" w:space="0" w:color="auto"/>
              <w:right w:val="single" w:sz="6" w:space="0" w:color="auto"/>
            </w:tcBorders>
          </w:tcPr>
          <w:p w14:paraId="07C9D59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Właściwości</w:t>
            </w:r>
          </w:p>
        </w:tc>
        <w:tc>
          <w:tcPr>
            <w:tcW w:w="993" w:type="dxa"/>
            <w:tcBorders>
              <w:top w:val="single" w:sz="6" w:space="0" w:color="auto"/>
              <w:left w:val="single" w:sz="6" w:space="0" w:color="auto"/>
              <w:bottom w:val="double" w:sz="4" w:space="0" w:color="auto"/>
              <w:right w:val="single" w:sz="6" w:space="0" w:color="auto"/>
            </w:tcBorders>
          </w:tcPr>
          <w:p w14:paraId="65139AC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Jednostki</w:t>
            </w:r>
          </w:p>
        </w:tc>
        <w:tc>
          <w:tcPr>
            <w:tcW w:w="3132" w:type="dxa"/>
            <w:gridSpan w:val="2"/>
            <w:tcBorders>
              <w:top w:val="single" w:sz="6" w:space="0" w:color="auto"/>
              <w:left w:val="single" w:sz="6" w:space="0" w:color="auto"/>
              <w:bottom w:val="double" w:sz="4" w:space="0" w:color="auto"/>
              <w:right w:val="single" w:sz="6" w:space="0" w:color="auto"/>
            </w:tcBorders>
          </w:tcPr>
          <w:p w14:paraId="3C26BD5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Wymagania</w:t>
            </w:r>
          </w:p>
        </w:tc>
      </w:tr>
      <w:tr w:rsidR="00176CD4" w:rsidRPr="00176CD4" w14:paraId="5C7E0FA9" w14:textId="77777777" w:rsidTr="00855929">
        <w:trPr>
          <w:cantSplit/>
          <w:trHeight w:val="2688"/>
          <w:jc w:val="center"/>
        </w:trPr>
        <w:tc>
          <w:tcPr>
            <w:tcW w:w="567" w:type="dxa"/>
            <w:tcBorders>
              <w:top w:val="single" w:sz="6" w:space="0" w:color="auto"/>
              <w:left w:val="single" w:sz="6" w:space="0" w:color="auto"/>
              <w:bottom w:val="single" w:sz="6" w:space="0" w:color="auto"/>
              <w:right w:val="single" w:sz="6" w:space="0" w:color="auto"/>
            </w:tcBorders>
          </w:tcPr>
          <w:p w14:paraId="16C2467C"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1</w:t>
            </w:r>
          </w:p>
          <w:p w14:paraId="3616BB78"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lang w:val="fr-FR"/>
              </w:rPr>
            </w:pPr>
          </w:p>
          <w:p w14:paraId="2122BBD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lang w:val="fr-FR"/>
              </w:rPr>
            </w:pPr>
          </w:p>
          <w:p w14:paraId="4C8C16D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lang w:val="fr-FR"/>
              </w:rPr>
            </w:pPr>
          </w:p>
          <w:p w14:paraId="3556299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lang w:val="fr-FR"/>
              </w:rPr>
            </w:pPr>
          </w:p>
        </w:tc>
        <w:tc>
          <w:tcPr>
            <w:tcW w:w="2835" w:type="dxa"/>
            <w:tcBorders>
              <w:top w:val="single" w:sz="6" w:space="0" w:color="auto"/>
              <w:left w:val="single" w:sz="6" w:space="0" w:color="auto"/>
              <w:bottom w:val="single" w:sz="6" w:space="0" w:color="auto"/>
              <w:right w:val="single" w:sz="6" w:space="0" w:color="auto"/>
            </w:tcBorders>
          </w:tcPr>
          <w:p w14:paraId="4586C273"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Współczynnik odblasku R’ (kąt oświetlenia 5</w:t>
            </w:r>
            <w:r w:rsidRPr="00176CD4">
              <w:rPr>
                <w:rFonts w:ascii="Arial Narrow" w:eastAsia="Times New Roman" w:hAnsi="Arial Narrow" w:cs="Times New Roman"/>
                <w:sz w:val="20"/>
                <w:vertAlign w:val="superscript"/>
              </w:rPr>
              <w:t>o</w:t>
            </w:r>
            <w:r w:rsidRPr="00176CD4">
              <w:rPr>
                <w:rFonts w:ascii="Arial Narrow" w:eastAsia="Times New Roman" w:hAnsi="Arial Narrow" w:cs="Times New Roman"/>
                <w:sz w:val="20"/>
              </w:rPr>
              <w:t>, kąt obserwacji 0,33</w:t>
            </w:r>
            <w:r w:rsidRPr="00176CD4">
              <w:rPr>
                <w:rFonts w:ascii="Arial Narrow" w:eastAsia="Times New Roman" w:hAnsi="Arial Narrow" w:cs="Times New Roman"/>
                <w:sz w:val="20"/>
                <w:vertAlign w:val="superscript"/>
              </w:rPr>
              <w:t>o</w:t>
            </w:r>
            <w:r w:rsidRPr="00176CD4">
              <w:rPr>
                <w:rFonts w:ascii="Arial Narrow" w:eastAsia="Times New Roman" w:hAnsi="Arial Narrow" w:cs="Times New Roman"/>
                <w:sz w:val="20"/>
              </w:rPr>
              <w:t>) dla folii:</w:t>
            </w:r>
          </w:p>
          <w:p w14:paraId="5DDE96E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białej</w:t>
            </w:r>
          </w:p>
          <w:p w14:paraId="3F4F458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żółtej</w:t>
            </w:r>
          </w:p>
          <w:p w14:paraId="5F2B155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czerwonej</w:t>
            </w:r>
          </w:p>
          <w:p w14:paraId="12DDDD5C"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 zielonej </w:t>
            </w:r>
          </w:p>
          <w:p w14:paraId="6481BB7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bCs/>
                <w:sz w:val="20"/>
              </w:rPr>
            </w:pPr>
            <w:r w:rsidRPr="00176CD4">
              <w:rPr>
                <w:rFonts w:ascii="Arial Narrow" w:eastAsia="Times New Roman" w:hAnsi="Arial Narrow" w:cs="Times New Roman"/>
                <w:bCs/>
                <w:sz w:val="20"/>
              </w:rPr>
              <w:t>- niebieskiej</w:t>
            </w:r>
          </w:p>
          <w:p w14:paraId="60024C3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bCs/>
                <w:sz w:val="20"/>
              </w:rPr>
            </w:pPr>
            <w:r w:rsidRPr="00176CD4">
              <w:rPr>
                <w:rFonts w:ascii="Arial Narrow" w:eastAsia="Times New Roman" w:hAnsi="Arial Narrow" w:cs="Times New Roman"/>
                <w:bCs/>
                <w:sz w:val="20"/>
              </w:rPr>
              <w:t>- brązowej</w:t>
            </w:r>
          </w:p>
          <w:p w14:paraId="53323DA8"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bCs/>
                <w:sz w:val="20"/>
              </w:rPr>
            </w:pPr>
            <w:r w:rsidRPr="00176CD4">
              <w:rPr>
                <w:rFonts w:ascii="Arial Narrow" w:eastAsia="Times New Roman" w:hAnsi="Arial Narrow" w:cs="Times New Roman"/>
                <w:bCs/>
                <w:sz w:val="20"/>
              </w:rPr>
              <w:t>- pomarańczowej</w:t>
            </w:r>
          </w:p>
          <w:p w14:paraId="49743CE8"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bCs/>
                <w:sz w:val="20"/>
              </w:rPr>
            </w:pPr>
            <w:r w:rsidRPr="00176CD4">
              <w:rPr>
                <w:rFonts w:ascii="Arial Narrow" w:eastAsia="Times New Roman" w:hAnsi="Arial Narrow" w:cs="Times New Roman"/>
                <w:bCs/>
                <w:sz w:val="20"/>
              </w:rPr>
              <w:t>- szarej</w:t>
            </w:r>
          </w:p>
        </w:tc>
        <w:tc>
          <w:tcPr>
            <w:tcW w:w="993" w:type="dxa"/>
            <w:tcBorders>
              <w:top w:val="single" w:sz="6" w:space="0" w:color="auto"/>
              <w:left w:val="single" w:sz="6" w:space="0" w:color="auto"/>
              <w:bottom w:val="single" w:sz="6" w:space="0" w:color="auto"/>
              <w:right w:val="single" w:sz="4" w:space="0" w:color="auto"/>
            </w:tcBorders>
          </w:tcPr>
          <w:p w14:paraId="0B51792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cd/m</w:t>
            </w:r>
            <w:r w:rsidRPr="00176CD4">
              <w:rPr>
                <w:rFonts w:ascii="Arial Narrow" w:eastAsia="Times New Roman" w:hAnsi="Arial Narrow" w:cs="Times New Roman"/>
                <w:sz w:val="20"/>
                <w:vertAlign w:val="superscript"/>
              </w:rPr>
              <w:t>2</w:t>
            </w:r>
            <w:r w:rsidRPr="00176CD4">
              <w:rPr>
                <w:rFonts w:ascii="Arial Narrow" w:eastAsia="Times New Roman" w:hAnsi="Arial Narrow" w:cs="Times New Roman"/>
                <w:sz w:val="20"/>
              </w:rPr>
              <w:t>lx</w:t>
            </w:r>
          </w:p>
        </w:tc>
        <w:tc>
          <w:tcPr>
            <w:tcW w:w="1557" w:type="dxa"/>
            <w:tcBorders>
              <w:top w:val="single" w:sz="4" w:space="0" w:color="auto"/>
              <w:left w:val="single" w:sz="4" w:space="0" w:color="auto"/>
              <w:bottom w:val="single" w:sz="4" w:space="0" w:color="auto"/>
              <w:right w:val="single" w:sz="4" w:space="0" w:color="auto"/>
            </w:tcBorders>
          </w:tcPr>
          <w:p w14:paraId="4FA2BEF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typ 1</w:t>
            </w:r>
          </w:p>
          <w:p w14:paraId="3183E63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2C247EF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lang w:val="fr-FR"/>
              </w:rPr>
            </w:pPr>
          </w:p>
          <w:p w14:paraId="0F27842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50</w:t>
            </w:r>
          </w:p>
          <w:p w14:paraId="7A067FE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35</w:t>
            </w:r>
          </w:p>
          <w:p w14:paraId="6665745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10</w:t>
            </w:r>
          </w:p>
          <w:p w14:paraId="5D2C38A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7</w:t>
            </w:r>
          </w:p>
          <w:p w14:paraId="0485D70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2</w:t>
            </w:r>
          </w:p>
          <w:p w14:paraId="1D96ED2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0,6</w:t>
            </w:r>
          </w:p>
          <w:p w14:paraId="4214C13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20</w:t>
            </w:r>
          </w:p>
          <w:p w14:paraId="31444E5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30</w:t>
            </w:r>
          </w:p>
        </w:tc>
        <w:tc>
          <w:tcPr>
            <w:tcW w:w="1575" w:type="dxa"/>
            <w:tcBorders>
              <w:top w:val="single" w:sz="4" w:space="0" w:color="auto"/>
              <w:left w:val="single" w:sz="4" w:space="0" w:color="auto"/>
              <w:bottom w:val="single" w:sz="4" w:space="0" w:color="auto"/>
              <w:right w:val="single" w:sz="4" w:space="0" w:color="auto"/>
            </w:tcBorders>
          </w:tcPr>
          <w:p w14:paraId="247E3BC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highlight w:val="yellow"/>
              </w:rPr>
            </w:pPr>
            <w:r w:rsidRPr="00176CD4">
              <w:rPr>
                <w:rFonts w:ascii="Arial Narrow" w:eastAsia="Times New Roman" w:hAnsi="Arial Narrow" w:cs="Times New Roman"/>
                <w:sz w:val="20"/>
              </w:rPr>
              <w:t>typ 2</w:t>
            </w:r>
          </w:p>
          <w:p w14:paraId="19C7B81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highlight w:val="yellow"/>
              </w:rPr>
            </w:pPr>
          </w:p>
          <w:p w14:paraId="1DEDA3F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highlight w:val="yellow"/>
                <w:lang w:val="fr-FR"/>
              </w:rPr>
            </w:pPr>
          </w:p>
          <w:p w14:paraId="40B9211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180</w:t>
            </w:r>
          </w:p>
          <w:p w14:paraId="1938273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120</w:t>
            </w:r>
          </w:p>
          <w:p w14:paraId="1A44F5A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25</w:t>
            </w:r>
          </w:p>
          <w:p w14:paraId="6290892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21</w:t>
            </w:r>
          </w:p>
          <w:p w14:paraId="5DEB025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14</w:t>
            </w:r>
          </w:p>
          <w:p w14:paraId="1BC6E8D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8</w:t>
            </w:r>
          </w:p>
          <w:p w14:paraId="38DFD41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65</w:t>
            </w:r>
          </w:p>
          <w:p w14:paraId="7DD7D7C8"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highlight w:val="yellow"/>
              </w:rPr>
            </w:pP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90</w:t>
            </w:r>
          </w:p>
        </w:tc>
      </w:tr>
      <w:tr w:rsidR="00176CD4" w:rsidRPr="00176CD4" w14:paraId="01C6B211" w14:textId="77777777" w:rsidTr="00855929">
        <w:trPr>
          <w:jc w:val="center"/>
        </w:trPr>
        <w:tc>
          <w:tcPr>
            <w:tcW w:w="567" w:type="dxa"/>
            <w:tcBorders>
              <w:top w:val="single" w:sz="6" w:space="0" w:color="auto"/>
              <w:left w:val="single" w:sz="6" w:space="0" w:color="auto"/>
              <w:bottom w:val="single" w:sz="6" w:space="0" w:color="auto"/>
              <w:right w:val="single" w:sz="6" w:space="0" w:color="auto"/>
            </w:tcBorders>
          </w:tcPr>
          <w:p w14:paraId="6B2BB7E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2</w:t>
            </w:r>
          </w:p>
        </w:tc>
        <w:tc>
          <w:tcPr>
            <w:tcW w:w="2835" w:type="dxa"/>
            <w:tcBorders>
              <w:top w:val="single" w:sz="6" w:space="0" w:color="auto"/>
              <w:left w:val="single" w:sz="6" w:space="0" w:color="auto"/>
              <w:bottom w:val="single" w:sz="6" w:space="0" w:color="auto"/>
              <w:right w:val="single" w:sz="6" w:space="0" w:color="auto"/>
            </w:tcBorders>
          </w:tcPr>
          <w:p w14:paraId="073B469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Współczynnik luminancji </w:t>
            </w:r>
            <w:r w:rsidRPr="00176CD4">
              <w:rPr>
                <w:rFonts w:ascii="Arial Narrow" w:eastAsia="Times New Roman" w:hAnsi="Arial Narrow" w:cs="Times New Roman"/>
                <w:sz w:val="20"/>
              </w:rPr>
              <w:sym w:font="Symbol" w:char="0062"/>
            </w:r>
            <w:r w:rsidRPr="00176CD4">
              <w:rPr>
                <w:rFonts w:ascii="Arial Narrow" w:eastAsia="Times New Roman" w:hAnsi="Arial Narrow" w:cs="Times New Roman"/>
                <w:sz w:val="20"/>
              </w:rPr>
              <w:t xml:space="preserve"> i współrzędne chromatyczności x, y *) dla folii:</w:t>
            </w:r>
          </w:p>
          <w:p w14:paraId="08105D9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białej</w:t>
            </w:r>
          </w:p>
          <w:p w14:paraId="76E2FC9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żółtej</w:t>
            </w:r>
          </w:p>
          <w:p w14:paraId="7D00F01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czerwonej</w:t>
            </w:r>
          </w:p>
          <w:p w14:paraId="28069378"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 zielonej </w:t>
            </w:r>
          </w:p>
          <w:p w14:paraId="1F542D9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niebieskiej</w:t>
            </w:r>
          </w:p>
          <w:p w14:paraId="7B66199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brązowej</w:t>
            </w:r>
          </w:p>
          <w:p w14:paraId="16F10CA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pomarańczowej</w:t>
            </w:r>
          </w:p>
          <w:p w14:paraId="388019B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szarej</w:t>
            </w:r>
          </w:p>
        </w:tc>
        <w:tc>
          <w:tcPr>
            <w:tcW w:w="993" w:type="dxa"/>
            <w:tcBorders>
              <w:top w:val="single" w:sz="6" w:space="0" w:color="auto"/>
              <w:left w:val="single" w:sz="6" w:space="0" w:color="auto"/>
              <w:bottom w:val="single" w:sz="6" w:space="0" w:color="auto"/>
              <w:right w:val="single" w:sz="4" w:space="0" w:color="auto"/>
            </w:tcBorders>
          </w:tcPr>
          <w:p w14:paraId="25669B2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w:t>
            </w:r>
          </w:p>
        </w:tc>
        <w:tc>
          <w:tcPr>
            <w:tcW w:w="1557" w:type="dxa"/>
            <w:tcBorders>
              <w:top w:val="single" w:sz="4" w:space="0" w:color="auto"/>
              <w:left w:val="single" w:sz="4" w:space="0" w:color="auto"/>
              <w:bottom w:val="single" w:sz="4" w:space="0" w:color="auto"/>
              <w:right w:val="single" w:sz="4" w:space="0" w:color="auto"/>
            </w:tcBorders>
          </w:tcPr>
          <w:p w14:paraId="6C5A162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typ 1</w:t>
            </w:r>
          </w:p>
          <w:p w14:paraId="5711D0B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61807C1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1925F52C"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62"/>
            </w:r>
            <w:r w:rsidRPr="00176CD4">
              <w:rPr>
                <w:rFonts w:ascii="Arial Narrow" w:eastAsia="Times New Roman" w:hAnsi="Arial Narrow" w:cs="Times New Roman"/>
                <w:sz w:val="20"/>
              </w:rPr>
              <w:t xml:space="preserve">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0,35</w:t>
            </w:r>
          </w:p>
          <w:p w14:paraId="603B58E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62"/>
            </w:r>
            <w:r w:rsidRPr="00176CD4">
              <w:rPr>
                <w:rFonts w:ascii="Arial Narrow" w:eastAsia="Times New Roman" w:hAnsi="Arial Narrow" w:cs="Times New Roman"/>
                <w:sz w:val="20"/>
              </w:rPr>
              <w:t xml:space="preserve">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0,27</w:t>
            </w:r>
          </w:p>
          <w:p w14:paraId="5FCE471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62"/>
            </w:r>
            <w:r w:rsidRPr="00176CD4">
              <w:rPr>
                <w:rFonts w:ascii="Arial Narrow" w:eastAsia="Times New Roman" w:hAnsi="Arial Narrow" w:cs="Times New Roman"/>
                <w:sz w:val="20"/>
              </w:rPr>
              <w:t xml:space="preserve">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0,05</w:t>
            </w:r>
          </w:p>
          <w:p w14:paraId="07895D6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62"/>
            </w:r>
            <w:r w:rsidRPr="00176CD4">
              <w:rPr>
                <w:rFonts w:ascii="Arial Narrow" w:eastAsia="Times New Roman" w:hAnsi="Arial Narrow" w:cs="Times New Roman"/>
                <w:sz w:val="20"/>
              </w:rPr>
              <w:t xml:space="preserve">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0,04</w:t>
            </w:r>
          </w:p>
          <w:p w14:paraId="3BCFEB9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62"/>
            </w:r>
            <w:r w:rsidRPr="00176CD4">
              <w:rPr>
                <w:rFonts w:ascii="Arial Narrow" w:eastAsia="Times New Roman" w:hAnsi="Arial Narrow" w:cs="Times New Roman"/>
                <w:sz w:val="20"/>
              </w:rPr>
              <w:t xml:space="preserve">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0,01</w:t>
            </w:r>
          </w:p>
          <w:p w14:paraId="328CDC4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0,09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sym w:font="Symbol" w:char="0062"/>
            </w:r>
            <w:r w:rsidRPr="00176CD4">
              <w:rPr>
                <w:rFonts w:ascii="Arial Narrow" w:eastAsia="Times New Roman" w:hAnsi="Arial Narrow" w:cs="Times New Roman"/>
                <w:sz w:val="20"/>
              </w:rPr>
              <w:t xml:space="preserve">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0,03</w:t>
            </w:r>
          </w:p>
          <w:p w14:paraId="60EBC8B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62"/>
            </w:r>
            <w:r w:rsidRPr="00176CD4">
              <w:rPr>
                <w:rFonts w:ascii="Arial Narrow" w:eastAsia="Times New Roman" w:hAnsi="Arial Narrow" w:cs="Times New Roman"/>
                <w:sz w:val="20"/>
              </w:rPr>
              <w:t xml:space="preserve">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0,17</w:t>
            </w:r>
          </w:p>
          <w:p w14:paraId="507FF968"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0,18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sym w:font="Symbol" w:char="0062"/>
            </w:r>
            <w:r w:rsidRPr="00176CD4">
              <w:rPr>
                <w:rFonts w:ascii="Arial Narrow" w:eastAsia="Times New Roman" w:hAnsi="Arial Narrow" w:cs="Times New Roman"/>
                <w:sz w:val="20"/>
              </w:rPr>
              <w:t xml:space="preserve">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0,12</w:t>
            </w:r>
          </w:p>
        </w:tc>
        <w:tc>
          <w:tcPr>
            <w:tcW w:w="1575" w:type="dxa"/>
            <w:tcBorders>
              <w:top w:val="single" w:sz="4" w:space="0" w:color="auto"/>
              <w:left w:val="single" w:sz="4" w:space="0" w:color="auto"/>
              <w:bottom w:val="single" w:sz="4" w:space="0" w:color="auto"/>
              <w:right w:val="single" w:sz="4" w:space="0" w:color="auto"/>
            </w:tcBorders>
          </w:tcPr>
          <w:p w14:paraId="588FFE5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typ 2</w:t>
            </w:r>
          </w:p>
          <w:p w14:paraId="271C6D1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0891513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49E5604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62"/>
            </w:r>
            <w:r w:rsidRPr="00176CD4">
              <w:rPr>
                <w:rFonts w:ascii="Arial Narrow" w:eastAsia="Times New Roman" w:hAnsi="Arial Narrow" w:cs="Times New Roman"/>
                <w:sz w:val="20"/>
              </w:rPr>
              <w:t xml:space="preserve">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0,27</w:t>
            </w:r>
          </w:p>
          <w:p w14:paraId="7FAA7D1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62"/>
            </w:r>
            <w:r w:rsidRPr="00176CD4">
              <w:rPr>
                <w:rFonts w:ascii="Arial Narrow" w:eastAsia="Times New Roman" w:hAnsi="Arial Narrow" w:cs="Times New Roman"/>
                <w:sz w:val="20"/>
              </w:rPr>
              <w:t xml:space="preserve">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0,16</w:t>
            </w:r>
          </w:p>
          <w:p w14:paraId="4A8D051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62"/>
            </w:r>
            <w:r w:rsidRPr="00176CD4">
              <w:rPr>
                <w:rFonts w:ascii="Arial Narrow" w:eastAsia="Times New Roman" w:hAnsi="Arial Narrow" w:cs="Times New Roman"/>
                <w:sz w:val="20"/>
              </w:rPr>
              <w:t xml:space="preserve">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0,03</w:t>
            </w:r>
          </w:p>
          <w:p w14:paraId="1F0A00D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62"/>
            </w:r>
            <w:r w:rsidRPr="00176CD4">
              <w:rPr>
                <w:rFonts w:ascii="Arial Narrow" w:eastAsia="Times New Roman" w:hAnsi="Arial Narrow" w:cs="Times New Roman"/>
                <w:sz w:val="20"/>
              </w:rPr>
              <w:t xml:space="preserve">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0,03</w:t>
            </w:r>
          </w:p>
          <w:p w14:paraId="5DCE8FF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62"/>
            </w:r>
            <w:r w:rsidRPr="00176CD4">
              <w:rPr>
                <w:rFonts w:ascii="Arial Narrow" w:eastAsia="Times New Roman" w:hAnsi="Arial Narrow" w:cs="Times New Roman"/>
                <w:sz w:val="20"/>
              </w:rPr>
              <w:t xml:space="preserve">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0,01</w:t>
            </w:r>
          </w:p>
          <w:p w14:paraId="587502F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0,09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sym w:font="Symbol" w:char="0062"/>
            </w:r>
            <w:r w:rsidRPr="00176CD4">
              <w:rPr>
                <w:rFonts w:ascii="Arial Narrow" w:eastAsia="Times New Roman" w:hAnsi="Arial Narrow" w:cs="Times New Roman"/>
                <w:sz w:val="20"/>
              </w:rPr>
              <w:t xml:space="preserve">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0,03</w:t>
            </w:r>
          </w:p>
          <w:p w14:paraId="1BFFA59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sym w:font="Symbol" w:char="0062"/>
            </w:r>
            <w:r w:rsidRPr="00176CD4">
              <w:rPr>
                <w:rFonts w:ascii="Arial Narrow" w:eastAsia="Times New Roman" w:hAnsi="Arial Narrow" w:cs="Times New Roman"/>
                <w:sz w:val="20"/>
              </w:rPr>
              <w:t xml:space="preserve">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0,14</w:t>
            </w:r>
          </w:p>
          <w:p w14:paraId="3980158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0,18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sym w:font="Symbol" w:char="0062"/>
            </w:r>
            <w:r w:rsidRPr="00176CD4">
              <w:rPr>
                <w:rFonts w:ascii="Arial Narrow" w:eastAsia="Times New Roman" w:hAnsi="Arial Narrow" w:cs="Times New Roman"/>
                <w:sz w:val="20"/>
              </w:rPr>
              <w:t xml:space="preserve"> </w:t>
            </w:r>
            <w:r w:rsidRPr="00176CD4">
              <w:rPr>
                <w:rFonts w:ascii="Arial Narrow" w:eastAsia="Times New Roman" w:hAnsi="Arial Narrow" w:cs="Times New Roman"/>
                <w:sz w:val="20"/>
              </w:rPr>
              <w:sym w:font="Symbol" w:char="00B3"/>
            </w:r>
            <w:r w:rsidRPr="00176CD4">
              <w:rPr>
                <w:rFonts w:ascii="Arial Narrow" w:eastAsia="Times New Roman" w:hAnsi="Arial Narrow" w:cs="Times New Roman"/>
                <w:sz w:val="20"/>
              </w:rPr>
              <w:t xml:space="preserve"> 0,12</w:t>
            </w:r>
          </w:p>
        </w:tc>
      </w:tr>
      <w:tr w:rsidR="00176CD4" w:rsidRPr="00176CD4" w14:paraId="14B81CE7" w14:textId="77777777" w:rsidTr="00855929">
        <w:trPr>
          <w:jc w:val="center"/>
        </w:trPr>
        <w:tc>
          <w:tcPr>
            <w:tcW w:w="7527" w:type="dxa"/>
            <w:gridSpan w:val="5"/>
            <w:tcBorders>
              <w:top w:val="single" w:sz="6" w:space="0" w:color="auto"/>
              <w:left w:val="single" w:sz="6" w:space="0" w:color="auto"/>
              <w:bottom w:val="single" w:sz="6" w:space="0" w:color="auto"/>
              <w:right w:val="single" w:sz="4" w:space="0" w:color="auto"/>
            </w:tcBorders>
          </w:tcPr>
          <w:p w14:paraId="3EA9D75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bCs/>
                <w:sz w:val="20"/>
              </w:rPr>
              <w:t>*) współrzędne chromatyczności x, y w polu barw według tablicy 3</w:t>
            </w:r>
          </w:p>
        </w:tc>
      </w:tr>
    </w:tbl>
    <w:p w14:paraId="763975AC" w14:textId="77777777" w:rsidR="00176CD4" w:rsidRPr="00176CD4" w:rsidRDefault="00176CD4" w:rsidP="00176CD4">
      <w:pPr>
        <w:keepNext/>
        <w:keepLines/>
        <w:tabs>
          <w:tab w:val="left" w:pos="-720"/>
        </w:tabs>
        <w:suppressAutoHyphens/>
        <w:overflowPunct w:val="0"/>
        <w:autoSpaceDE w:val="0"/>
        <w:autoSpaceDN w:val="0"/>
        <w:adjustRightInd w:val="0"/>
        <w:spacing w:before="120" w:after="0" w:line="360" w:lineRule="auto"/>
        <w:ind w:firstLine="709"/>
        <w:jc w:val="both"/>
        <w:textAlignment w:val="baseline"/>
        <w:rPr>
          <w:rFonts w:ascii="Arial Narrow" w:eastAsia="Times New Roman" w:hAnsi="Arial Narrow" w:cs="Times New Roman"/>
          <w:bCs/>
          <w:sz w:val="20"/>
          <w:szCs w:val="20"/>
          <w:lang w:eastAsia="pl-PL"/>
        </w:rPr>
      </w:pPr>
      <w:r w:rsidRPr="00176CD4">
        <w:rPr>
          <w:rFonts w:ascii="Arial Narrow" w:eastAsia="Times New Roman" w:hAnsi="Arial Narrow" w:cs="Times New Roman"/>
          <w:bCs/>
          <w:sz w:val="20"/>
          <w:szCs w:val="20"/>
          <w:lang w:eastAsia="pl-PL"/>
        </w:rPr>
        <w:t>Tablica 3. Współrzędne punktów narożnych wyznaczających pola barw</w:t>
      </w:r>
    </w:p>
    <w:tbl>
      <w:tblPr>
        <w:tblW w:w="730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913"/>
        <w:gridCol w:w="851"/>
        <w:gridCol w:w="1134"/>
        <w:gridCol w:w="1134"/>
        <w:gridCol w:w="1134"/>
        <w:gridCol w:w="1134"/>
      </w:tblGrid>
      <w:tr w:rsidR="00176CD4" w:rsidRPr="00176CD4" w14:paraId="4A789C59" w14:textId="77777777" w:rsidTr="00855929">
        <w:trPr>
          <w:cantSplit/>
          <w:trHeight w:val="528"/>
          <w:tblHeader/>
        </w:trPr>
        <w:tc>
          <w:tcPr>
            <w:tcW w:w="2764" w:type="dxa"/>
            <w:gridSpan w:val="2"/>
            <w:vMerge w:val="restart"/>
            <w:tcBorders>
              <w:top w:val="single" w:sz="4" w:space="0" w:color="auto"/>
              <w:left w:val="single" w:sz="4" w:space="0" w:color="auto"/>
              <w:bottom w:val="single" w:sz="4" w:space="0" w:color="auto"/>
              <w:right w:val="single" w:sz="4" w:space="0" w:color="auto"/>
            </w:tcBorders>
          </w:tcPr>
          <w:p w14:paraId="15644AB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4391F783"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Barwa folii</w:t>
            </w:r>
          </w:p>
        </w:tc>
        <w:tc>
          <w:tcPr>
            <w:tcW w:w="4536" w:type="dxa"/>
            <w:gridSpan w:val="4"/>
            <w:tcBorders>
              <w:top w:val="single" w:sz="4" w:space="0" w:color="auto"/>
              <w:left w:val="single" w:sz="4" w:space="0" w:color="auto"/>
              <w:bottom w:val="single" w:sz="4" w:space="0" w:color="auto"/>
              <w:right w:val="single" w:sz="4" w:space="0" w:color="auto"/>
            </w:tcBorders>
          </w:tcPr>
          <w:p w14:paraId="51D1318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Współrzędne chromatyczności punktów narożnych wyznaczających pole barwy</w:t>
            </w:r>
          </w:p>
          <w:p w14:paraId="6167140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(źródło światła D</w:t>
            </w:r>
            <w:r w:rsidRPr="00176CD4">
              <w:rPr>
                <w:rFonts w:ascii="Arial Narrow" w:eastAsia="Times New Roman" w:hAnsi="Arial Narrow" w:cs="Times New Roman"/>
                <w:sz w:val="20"/>
                <w:vertAlign w:val="subscript"/>
              </w:rPr>
              <w:t>65</w:t>
            </w:r>
            <w:r w:rsidRPr="00176CD4">
              <w:rPr>
                <w:rFonts w:ascii="Arial Narrow" w:eastAsia="Times New Roman" w:hAnsi="Arial Narrow" w:cs="Times New Roman"/>
                <w:sz w:val="20"/>
              </w:rPr>
              <w:t>, geometria pomiaru 45/0 </w:t>
            </w:r>
            <w:r w:rsidRPr="00176CD4">
              <w:rPr>
                <w:rFonts w:ascii="Arial Narrow" w:eastAsia="Times New Roman" w:hAnsi="Arial Narrow" w:cs="Times New Roman"/>
                <w:sz w:val="20"/>
                <w:vertAlign w:val="superscript"/>
              </w:rPr>
              <w:t>o</w:t>
            </w:r>
            <w:r w:rsidRPr="00176CD4">
              <w:rPr>
                <w:rFonts w:ascii="Arial Narrow" w:eastAsia="Times New Roman" w:hAnsi="Arial Narrow" w:cs="Times New Roman"/>
                <w:sz w:val="20"/>
              </w:rPr>
              <w:t xml:space="preserve">)  </w:t>
            </w:r>
          </w:p>
        </w:tc>
      </w:tr>
      <w:tr w:rsidR="00176CD4" w:rsidRPr="00176CD4" w14:paraId="773276BE" w14:textId="77777777" w:rsidTr="00855929">
        <w:trPr>
          <w:cantSplit/>
          <w:trHeight w:val="194"/>
          <w:tblHeader/>
        </w:trPr>
        <w:tc>
          <w:tcPr>
            <w:tcW w:w="2764" w:type="dxa"/>
            <w:gridSpan w:val="2"/>
            <w:vMerge/>
            <w:tcBorders>
              <w:top w:val="single" w:sz="4" w:space="0" w:color="auto"/>
              <w:left w:val="single" w:sz="4" w:space="0" w:color="auto"/>
              <w:bottom w:val="single" w:sz="4" w:space="0" w:color="auto"/>
              <w:right w:val="single" w:sz="4" w:space="0" w:color="auto"/>
            </w:tcBorders>
            <w:vAlign w:val="center"/>
          </w:tcPr>
          <w:p w14:paraId="1012DE9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bCs/>
                <w:sz w:val="20"/>
              </w:rPr>
            </w:pPr>
          </w:p>
        </w:tc>
        <w:tc>
          <w:tcPr>
            <w:tcW w:w="1134" w:type="dxa"/>
            <w:tcBorders>
              <w:top w:val="single" w:sz="4" w:space="0" w:color="auto"/>
              <w:left w:val="single" w:sz="4" w:space="0" w:color="auto"/>
              <w:bottom w:val="single" w:sz="4" w:space="0" w:color="auto"/>
              <w:right w:val="single" w:sz="4" w:space="0" w:color="auto"/>
            </w:tcBorders>
          </w:tcPr>
          <w:p w14:paraId="3EF1518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szCs w:val="16"/>
              </w:rPr>
            </w:pPr>
            <w:r w:rsidRPr="00176CD4">
              <w:rPr>
                <w:rFonts w:ascii="Arial Narrow" w:eastAsia="Times New Roman" w:hAnsi="Arial Narrow" w:cs="Times New Roman"/>
                <w:sz w:val="20"/>
                <w:szCs w:val="16"/>
              </w:rPr>
              <w:t>1</w:t>
            </w:r>
          </w:p>
        </w:tc>
        <w:tc>
          <w:tcPr>
            <w:tcW w:w="1134" w:type="dxa"/>
            <w:tcBorders>
              <w:top w:val="single" w:sz="4" w:space="0" w:color="auto"/>
              <w:left w:val="single" w:sz="4" w:space="0" w:color="auto"/>
              <w:bottom w:val="single" w:sz="4" w:space="0" w:color="auto"/>
              <w:right w:val="single" w:sz="4" w:space="0" w:color="auto"/>
            </w:tcBorders>
          </w:tcPr>
          <w:p w14:paraId="4AD123EC"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szCs w:val="16"/>
              </w:rPr>
            </w:pPr>
            <w:r w:rsidRPr="00176CD4">
              <w:rPr>
                <w:rFonts w:ascii="Arial Narrow" w:eastAsia="Times New Roman" w:hAnsi="Arial Narrow" w:cs="Times New Roman"/>
                <w:sz w:val="20"/>
                <w:szCs w:val="16"/>
              </w:rPr>
              <w:t>2</w:t>
            </w:r>
          </w:p>
        </w:tc>
        <w:tc>
          <w:tcPr>
            <w:tcW w:w="1134" w:type="dxa"/>
            <w:tcBorders>
              <w:top w:val="single" w:sz="4" w:space="0" w:color="auto"/>
              <w:left w:val="single" w:sz="4" w:space="0" w:color="auto"/>
              <w:bottom w:val="single" w:sz="4" w:space="0" w:color="auto"/>
              <w:right w:val="single" w:sz="4" w:space="0" w:color="auto"/>
            </w:tcBorders>
          </w:tcPr>
          <w:p w14:paraId="545BEEF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szCs w:val="16"/>
              </w:rPr>
            </w:pPr>
            <w:r w:rsidRPr="00176CD4">
              <w:rPr>
                <w:rFonts w:ascii="Arial Narrow" w:eastAsia="Times New Roman" w:hAnsi="Arial Narrow" w:cs="Times New Roman"/>
                <w:sz w:val="20"/>
                <w:szCs w:val="16"/>
              </w:rPr>
              <w:t>3</w:t>
            </w:r>
          </w:p>
        </w:tc>
        <w:tc>
          <w:tcPr>
            <w:tcW w:w="1134" w:type="dxa"/>
            <w:tcBorders>
              <w:top w:val="single" w:sz="4" w:space="0" w:color="auto"/>
              <w:left w:val="single" w:sz="4" w:space="0" w:color="auto"/>
              <w:bottom w:val="single" w:sz="4" w:space="0" w:color="auto"/>
              <w:right w:val="single" w:sz="4" w:space="0" w:color="auto"/>
            </w:tcBorders>
          </w:tcPr>
          <w:p w14:paraId="65EAAE6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szCs w:val="16"/>
              </w:rPr>
            </w:pPr>
            <w:r w:rsidRPr="00176CD4">
              <w:rPr>
                <w:rFonts w:ascii="Arial Narrow" w:eastAsia="Times New Roman" w:hAnsi="Arial Narrow" w:cs="Times New Roman"/>
                <w:sz w:val="20"/>
                <w:szCs w:val="16"/>
              </w:rPr>
              <w:t>4</w:t>
            </w:r>
          </w:p>
        </w:tc>
      </w:tr>
      <w:tr w:rsidR="00176CD4" w:rsidRPr="00176CD4" w14:paraId="4200A528" w14:textId="77777777" w:rsidTr="00855929">
        <w:trPr>
          <w:cantSplit/>
          <w:trHeight w:val="270"/>
        </w:trPr>
        <w:tc>
          <w:tcPr>
            <w:tcW w:w="1913" w:type="dxa"/>
            <w:vMerge w:val="restart"/>
            <w:tcBorders>
              <w:top w:val="single" w:sz="4" w:space="0" w:color="auto"/>
              <w:left w:val="single" w:sz="4" w:space="0" w:color="auto"/>
              <w:bottom w:val="single" w:sz="4" w:space="0" w:color="auto"/>
              <w:right w:val="single" w:sz="4" w:space="0" w:color="auto"/>
            </w:tcBorders>
          </w:tcPr>
          <w:p w14:paraId="66024D7C"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Biała</w:t>
            </w:r>
          </w:p>
        </w:tc>
        <w:tc>
          <w:tcPr>
            <w:tcW w:w="851" w:type="dxa"/>
            <w:tcBorders>
              <w:top w:val="single" w:sz="4" w:space="0" w:color="auto"/>
              <w:left w:val="single" w:sz="4" w:space="0" w:color="auto"/>
              <w:bottom w:val="single" w:sz="4" w:space="0" w:color="auto"/>
              <w:right w:val="single" w:sz="4" w:space="0" w:color="auto"/>
            </w:tcBorders>
          </w:tcPr>
          <w:p w14:paraId="01636EA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x</w:t>
            </w:r>
          </w:p>
        </w:tc>
        <w:tc>
          <w:tcPr>
            <w:tcW w:w="1134" w:type="dxa"/>
            <w:tcBorders>
              <w:top w:val="single" w:sz="4" w:space="0" w:color="auto"/>
              <w:left w:val="single" w:sz="4" w:space="0" w:color="auto"/>
              <w:bottom w:val="single" w:sz="4" w:space="0" w:color="auto"/>
              <w:right w:val="single" w:sz="4" w:space="0" w:color="auto"/>
            </w:tcBorders>
          </w:tcPr>
          <w:p w14:paraId="5E97F57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0,355</w:t>
            </w:r>
          </w:p>
        </w:tc>
        <w:tc>
          <w:tcPr>
            <w:tcW w:w="1134" w:type="dxa"/>
            <w:tcBorders>
              <w:top w:val="single" w:sz="4" w:space="0" w:color="auto"/>
              <w:left w:val="single" w:sz="4" w:space="0" w:color="auto"/>
              <w:bottom w:val="single" w:sz="4" w:space="0" w:color="auto"/>
              <w:right w:val="single" w:sz="4" w:space="0" w:color="auto"/>
            </w:tcBorders>
          </w:tcPr>
          <w:p w14:paraId="06B1EF4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0,305</w:t>
            </w:r>
          </w:p>
        </w:tc>
        <w:tc>
          <w:tcPr>
            <w:tcW w:w="1134" w:type="dxa"/>
            <w:tcBorders>
              <w:top w:val="single" w:sz="4" w:space="0" w:color="auto"/>
              <w:left w:val="single" w:sz="4" w:space="0" w:color="auto"/>
              <w:bottom w:val="single" w:sz="4" w:space="0" w:color="auto"/>
              <w:right w:val="single" w:sz="4" w:space="0" w:color="auto"/>
            </w:tcBorders>
          </w:tcPr>
          <w:p w14:paraId="7334D8B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0,285</w:t>
            </w:r>
          </w:p>
        </w:tc>
        <w:tc>
          <w:tcPr>
            <w:tcW w:w="1134" w:type="dxa"/>
            <w:tcBorders>
              <w:top w:val="single" w:sz="4" w:space="0" w:color="auto"/>
              <w:left w:val="single" w:sz="4" w:space="0" w:color="auto"/>
              <w:bottom w:val="single" w:sz="4" w:space="0" w:color="auto"/>
              <w:right w:val="single" w:sz="4" w:space="0" w:color="auto"/>
            </w:tcBorders>
          </w:tcPr>
          <w:p w14:paraId="4D6BF77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0,335</w:t>
            </w:r>
          </w:p>
        </w:tc>
      </w:tr>
      <w:tr w:rsidR="00176CD4" w:rsidRPr="00176CD4" w14:paraId="11DE450B" w14:textId="77777777" w:rsidTr="00855929">
        <w:trPr>
          <w:cantSplit/>
          <w:trHeight w:val="274"/>
        </w:trPr>
        <w:tc>
          <w:tcPr>
            <w:tcW w:w="1913" w:type="dxa"/>
            <w:vMerge/>
            <w:tcBorders>
              <w:top w:val="single" w:sz="4" w:space="0" w:color="auto"/>
              <w:left w:val="single" w:sz="4" w:space="0" w:color="auto"/>
              <w:bottom w:val="single" w:sz="4" w:space="0" w:color="auto"/>
              <w:right w:val="single" w:sz="4" w:space="0" w:color="auto"/>
            </w:tcBorders>
            <w:vAlign w:val="center"/>
          </w:tcPr>
          <w:p w14:paraId="2DCCDA1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bCs/>
                <w:sz w:val="20"/>
              </w:rPr>
            </w:pPr>
          </w:p>
        </w:tc>
        <w:tc>
          <w:tcPr>
            <w:tcW w:w="851" w:type="dxa"/>
            <w:tcBorders>
              <w:top w:val="single" w:sz="4" w:space="0" w:color="auto"/>
              <w:left w:val="single" w:sz="4" w:space="0" w:color="auto"/>
              <w:bottom w:val="single" w:sz="4" w:space="0" w:color="auto"/>
              <w:right w:val="single" w:sz="4" w:space="0" w:color="auto"/>
            </w:tcBorders>
          </w:tcPr>
          <w:p w14:paraId="26D7165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y</w:t>
            </w:r>
          </w:p>
        </w:tc>
        <w:tc>
          <w:tcPr>
            <w:tcW w:w="1134" w:type="dxa"/>
            <w:tcBorders>
              <w:top w:val="single" w:sz="4" w:space="0" w:color="auto"/>
              <w:left w:val="single" w:sz="4" w:space="0" w:color="auto"/>
              <w:bottom w:val="single" w:sz="4" w:space="0" w:color="auto"/>
              <w:right w:val="single" w:sz="4" w:space="0" w:color="auto"/>
            </w:tcBorders>
          </w:tcPr>
          <w:p w14:paraId="2481091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0,355</w:t>
            </w:r>
          </w:p>
        </w:tc>
        <w:tc>
          <w:tcPr>
            <w:tcW w:w="1134" w:type="dxa"/>
            <w:tcBorders>
              <w:top w:val="single" w:sz="4" w:space="0" w:color="auto"/>
              <w:left w:val="single" w:sz="4" w:space="0" w:color="auto"/>
              <w:bottom w:val="single" w:sz="4" w:space="0" w:color="auto"/>
              <w:right w:val="single" w:sz="4" w:space="0" w:color="auto"/>
            </w:tcBorders>
          </w:tcPr>
          <w:p w14:paraId="05463FA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0,305</w:t>
            </w:r>
          </w:p>
        </w:tc>
        <w:tc>
          <w:tcPr>
            <w:tcW w:w="1134" w:type="dxa"/>
            <w:tcBorders>
              <w:top w:val="single" w:sz="4" w:space="0" w:color="auto"/>
              <w:left w:val="single" w:sz="4" w:space="0" w:color="auto"/>
              <w:bottom w:val="single" w:sz="4" w:space="0" w:color="auto"/>
              <w:right w:val="single" w:sz="4" w:space="0" w:color="auto"/>
            </w:tcBorders>
          </w:tcPr>
          <w:p w14:paraId="7305898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0,325</w:t>
            </w:r>
          </w:p>
        </w:tc>
        <w:tc>
          <w:tcPr>
            <w:tcW w:w="1134" w:type="dxa"/>
            <w:tcBorders>
              <w:top w:val="single" w:sz="4" w:space="0" w:color="auto"/>
              <w:left w:val="single" w:sz="4" w:space="0" w:color="auto"/>
              <w:bottom w:val="single" w:sz="4" w:space="0" w:color="auto"/>
              <w:right w:val="single" w:sz="4" w:space="0" w:color="auto"/>
            </w:tcBorders>
          </w:tcPr>
          <w:p w14:paraId="367A6E1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0,375</w:t>
            </w:r>
          </w:p>
        </w:tc>
      </w:tr>
      <w:tr w:rsidR="00176CD4" w:rsidRPr="00176CD4" w14:paraId="26ECB496" w14:textId="77777777" w:rsidTr="00855929">
        <w:trPr>
          <w:cantSplit/>
          <w:trHeight w:val="214"/>
        </w:trPr>
        <w:tc>
          <w:tcPr>
            <w:tcW w:w="1913" w:type="dxa"/>
            <w:vMerge w:val="restart"/>
            <w:tcBorders>
              <w:top w:val="single" w:sz="4" w:space="0" w:color="auto"/>
              <w:left w:val="single" w:sz="4" w:space="0" w:color="auto"/>
              <w:bottom w:val="single" w:sz="4" w:space="0" w:color="auto"/>
              <w:right w:val="single" w:sz="4" w:space="0" w:color="auto"/>
            </w:tcBorders>
          </w:tcPr>
          <w:p w14:paraId="170B84E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Żółta typ 1 folii</w:t>
            </w:r>
          </w:p>
        </w:tc>
        <w:tc>
          <w:tcPr>
            <w:tcW w:w="851" w:type="dxa"/>
            <w:tcBorders>
              <w:top w:val="single" w:sz="4" w:space="0" w:color="auto"/>
              <w:left w:val="single" w:sz="4" w:space="0" w:color="auto"/>
              <w:bottom w:val="single" w:sz="4" w:space="0" w:color="auto"/>
              <w:right w:val="single" w:sz="4" w:space="0" w:color="auto"/>
            </w:tcBorders>
          </w:tcPr>
          <w:p w14:paraId="2FF727F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x</w:t>
            </w:r>
          </w:p>
        </w:tc>
        <w:tc>
          <w:tcPr>
            <w:tcW w:w="1134" w:type="dxa"/>
            <w:tcBorders>
              <w:top w:val="single" w:sz="4" w:space="0" w:color="auto"/>
              <w:left w:val="single" w:sz="4" w:space="0" w:color="auto"/>
              <w:bottom w:val="single" w:sz="4" w:space="0" w:color="auto"/>
              <w:right w:val="single" w:sz="4" w:space="0" w:color="auto"/>
            </w:tcBorders>
          </w:tcPr>
          <w:p w14:paraId="37C57E48"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0,522</w:t>
            </w:r>
          </w:p>
        </w:tc>
        <w:tc>
          <w:tcPr>
            <w:tcW w:w="1134" w:type="dxa"/>
            <w:tcBorders>
              <w:top w:val="single" w:sz="4" w:space="0" w:color="auto"/>
              <w:left w:val="single" w:sz="4" w:space="0" w:color="auto"/>
              <w:bottom w:val="single" w:sz="4" w:space="0" w:color="auto"/>
              <w:right w:val="single" w:sz="4" w:space="0" w:color="auto"/>
            </w:tcBorders>
          </w:tcPr>
          <w:p w14:paraId="2E8A6F8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0,470</w:t>
            </w:r>
          </w:p>
        </w:tc>
        <w:tc>
          <w:tcPr>
            <w:tcW w:w="1134" w:type="dxa"/>
            <w:tcBorders>
              <w:top w:val="single" w:sz="4" w:space="0" w:color="auto"/>
              <w:left w:val="single" w:sz="4" w:space="0" w:color="auto"/>
              <w:bottom w:val="single" w:sz="4" w:space="0" w:color="auto"/>
              <w:right w:val="single" w:sz="4" w:space="0" w:color="auto"/>
            </w:tcBorders>
          </w:tcPr>
          <w:p w14:paraId="0FE5E3B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0,427</w:t>
            </w:r>
          </w:p>
        </w:tc>
        <w:tc>
          <w:tcPr>
            <w:tcW w:w="1134" w:type="dxa"/>
            <w:tcBorders>
              <w:top w:val="single" w:sz="4" w:space="0" w:color="auto"/>
              <w:left w:val="single" w:sz="4" w:space="0" w:color="auto"/>
              <w:bottom w:val="single" w:sz="4" w:space="0" w:color="auto"/>
              <w:right w:val="single" w:sz="4" w:space="0" w:color="auto"/>
            </w:tcBorders>
          </w:tcPr>
          <w:p w14:paraId="015EA50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0,465</w:t>
            </w:r>
          </w:p>
        </w:tc>
      </w:tr>
      <w:tr w:rsidR="00176CD4" w:rsidRPr="00176CD4" w14:paraId="49463E56" w14:textId="77777777" w:rsidTr="00855929">
        <w:trPr>
          <w:cantSplit/>
          <w:trHeight w:val="281"/>
        </w:trPr>
        <w:tc>
          <w:tcPr>
            <w:tcW w:w="1913" w:type="dxa"/>
            <w:vMerge/>
            <w:tcBorders>
              <w:top w:val="single" w:sz="4" w:space="0" w:color="auto"/>
              <w:left w:val="single" w:sz="4" w:space="0" w:color="auto"/>
              <w:bottom w:val="single" w:sz="4" w:space="0" w:color="auto"/>
              <w:right w:val="single" w:sz="4" w:space="0" w:color="auto"/>
            </w:tcBorders>
            <w:vAlign w:val="center"/>
          </w:tcPr>
          <w:p w14:paraId="61D8B23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bCs/>
                <w:sz w:val="20"/>
              </w:rPr>
            </w:pPr>
          </w:p>
        </w:tc>
        <w:tc>
          <w:tcPr>
            <w:tcW w:w="851" w:type="dxa"/>
            <w:tcBorders>
              <w:top w:val="single" w:sz="4" w:space="0" w:color="auto"/>
              <w:left w:val="single" w:sz="4" w:space="0" w:color="auto"/>
              <w:bottom w:val="single" w:sz="4" w:space="0" w:color="auto"/>
              <w:right w:val="single" w:sz="4" w:space="0" w:color="auto"/>
            </w:tcBorders>
          </w:tcPr>
          <w:p w14:paraId="5138BCA8"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y</w:t>
            </w:r>
          </w:p>
        </w:tc>
        <w:tc>
          <w:tcPr>
            <w:tcW w:w="1134" w:type="dxa"/>
            <w:tcBorders>
              <w:top w:val="single" w:sz="4" w:space="0" w:color="auto"/>
              <w:left w:val="single" w:sz="4" w:space="0" w:color="auto"/>
              <w:bottom w:val="single" w:sz="4" w:space="0" w:color="auto"/>
              <w:right w:val="single" w:sz="4" w:space="0" w:color="auto"/>
            </w:tcBorders>
          </w:tcPr>
          <w:p w14:paraId="08AA59B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0,477</w:t>
            </w:r>
          </w:p>
        </w:tc>
        <w:tc>
          <w:tcPr>
            <w:tcW w:w="1134" w:type="dxa"/>
            <w:tcBorders>
              <w:top w:val="single" w:sz="4" w:space="0" w:color="auto"/>
              <w:left w:val="single" w:sz="4" w:space="0" w:color="auto"/>
              <w:bottom w:val="single" w:sz="4" w:space="0" w:color="auto"/>
              <w:right w:val="single" w:sz="4" w:space="0" w:color="auto"/>
            </w:tcBorders>
          </w:tcPr>
          <w:p w14:paraId="0A3F9AE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0,440</w:t>
            </w:r>
          </w:p>
        </w:tc>
        <w:tc>
          <w:tcPr>
            <w:tcW w:w="1134" w:type="dxa"/>
            <w:tcBorders>
              <w:top w:val="single" w:sz="4" w:space="0" w:color="auto"/>
              <w:left w:val="single" w:sz="4" w:space="0" w:color="auto"/>
              <w:bottom w:val="single" w:sz="4" w:space="0" w:color="auto"/>
              <w:right w:val="single" w:sz="4" w:space="0" w:color="auto"/>
            </w:tcBorders>
          </w:tcPr>
          <w:p w14:paraId="4526E50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0,483</w:t>
            </w:r>
          </w:p>
        </w:tc>
        <w:tc>
          <w:tcPr>
            <w:tcW w:w="1134" w:type="dxa"/>
            <w:tcBorders>
              <w:top w:val="single" w:sz="4" w:space="0" w:color="auto"/>
              <w:left w:val="single" w:sz="4" w:space="0" w:color="auto"/>
              <w:bottom w:val="single" w:sz="4" w:space="0" w:color="auto"/>
              <w:right w:val="single" w:sz="4" w:space="0" w:color="auto"/>
            </w:tcBorders>
          </w:tcPr>
          <w:p w14:paraId="002C946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0,534</w:t>
            </w:r>
          </w:p>
        </w:tc>
      </w:tr>
      <w:tr w:rsidR="00176CD4" w:rsidRPr="00176CD4" w14:paraId="64211445" w14:textId="77777777" w:rsidTr="00855929">
        <w:trPr>
          <w:cantSplit/>
          <w:trHeight w:val="199"/>
        </w:trPr>
        <w:tc>
          <w:tcPr>
            <w:tcW w:w="1913" w:type="dxa"/>
            <w:vMerge w:val="restart"/>
            <w:tcBorders>
              <w:top w:val="single" w:sz="4" w:space="0" w:color="auto"/>
              <w:left w:val="single" w:sz="4" w:space="0" w:color="auto"/>
              <w:right w:val="single" w:sz="4" w:space="0" w:color="auto"/>
            </w:tcBorders>
          </w:tcPr>
          <w:p w14:paraId="26D239F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Żółta typ 2 folii</w:t>
            </w:r>
          </w:p>
        </w:tc>
        <w:tc>
          <w:tcPr>
            <w:tcW w:w="851" w:type="dxa"/>
            <w:tcBorders>
              <w:top w:val="single" w:sz="4" w:space="0" w:color="auto"/>
              <w:left w:val="single" w:sz="4" w:space="0" w:color="auto"/>
              <w:bottom w:val="single" w:sz="4" w:space="0" w:color="auto"/>
              <w:right w:val="single" w:sz="4" w:space="0" w:color="auto"/>
            </w:tcBorders>
          </w:tcPr>
          <w:p w14:paraId="6A05AC7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x</w:t>
            </w:r>
          </w:p>
        </w:tc>
        <w:tc>
          <w:tcPr>
            <w:tcW w:w="1134" w:type="dxa"/>
            <w:tcBorders>
              <w:top w:val="single" w:sz="4" w:space="0" w:color="auto"/>
              <w:left w:val="single" w:sz="4" w:space="0" w:color="auto"/>
              <w:bottom w:val="single" w:sz="4" w:space="0" w:color="auto"/>
              <w:right w:val="single" w:sz="4" w:space="0" w:color="auto"/>
            </w:tcBorders>
          </w:tcPr>
          <w:p w14:paraId="76B629D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0,545</w:t>
            </w:r>
          </w:p>
        </w:tc>
        <w:tc>
          <w:tcPr>
            <w:tcW w:w="1134" w:type="dxa"/>
            <w:tcBorders>
              <w:top w:val="single" w:sz="4" w:space="0" w:color="auto"/>
              <w:left w:val="single" w:sz="4" w:space="0" w:color="auto"/>
              <w:bottom w:val="single" w:sz="4" w:space="0" w:color="auto"/>
              <w:right w:val="single" w:sz="4" w:space="0" w:color="auto"/>
            </w:tcBorders>
          </w:tcPr>
          <w:p w14:paraId="45712548"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0,487</w:t>
            </w:r>
          </w:p>
        </w:tc>
        <w:tc>
          <w:tcPr>
            <w:tcW w:w="1134" w:type="dxa"/>
            <w:tcBorders>
              <w:top w:val="single" w:sz="4" w:space="0" w:color="auto"/>
              <w:left w:val="single" w:sz="4" w:space="0" w:color="auto"/>
              <w:bottom w:val="single" w:sz="4" w:space="0" w:color="auto"/>
              <w:right w:val="single" w:sz="4" w:space="0" w:color="auto"/>
            </w:tcBorders>
          </w:tcPr>
          <w:p w14:paraId="20B009E8"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0,427</w:t>
            </w:r>
          </w:p>
        </w:tc>
        <w:tc>
          <w:tcPr>
            <w:tcW w:w="1134" w:type="dxa"/>
            <w:tcBorders>
              <w:top w:val="single" w:sz="4" w:space="0" w:color="auto"/>
              <w:left w:val="single" w:sz="4" w:space="0" w:color="auto"/>
              <w:bottom w:val="single" w:sz="4" w:space="0" w:color="auto"/>
              <w:right w:val="single" w:sz="4" w:space="0" w:color="auto"/>
            </w:tcBorders>
          </w:tcPr>
          <w:p w14:paraId="1C78DF7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0,465</w:t>
            </w:r>
          </w:p>
        </w:tc>
      </w:tr>
      <w:tr w:rsidR="00176CD4" w:rsidRPr="00176CD4" w14:paraId="62B2C6D3" w14:textId="77777777" w:rsidTr="00855929">
        <w:trPr>
          <w:cantSplit/>
          <w:trHeight w:val="199"/>
        </w:trPr>
        <w:tc>
          <w:tcPr>
            <w:tcW w:w="1913" w:type="dxa"/>
            <w:vMerge/>
            <w:tcBorders>
              <w:left w:val="single" w:sz="4" w:space="0" w:color="auto"/>
              <w:bottom w:val="single" w:sz="4" w:space="0" w:color="auto"/>
              <w:right w:val="single" w:sz="4" w:space="0" w:color="auto"/>
            </w:tcBorders>
          </w:tcPr>
          <w:p w14:paraId="64137E9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851" w:type="dxa"/>
            <w:tcBorders>
              <w:top w:val="single" w:sz="4" w:space="0" w:color="auto"/>
              <w:left w:val="single" w:sz="4" w:space="0" w:color="auto"/>
              <w:bottom w:val="single" w:sz="4" w:space="0" w:color="auto"/>
              <w:right w:val="single" w:sz="4" w:space="0" w:color="auto"/>
            </w:tcBorders>
          </w:tcPr>
          <w:p w14:paraId="5AEB894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y</w:t>
            </w:r>
          </w:p>
        </w:tc>
        <w:tc>
          <w:tcPr>
            <w:tcW w:w="1134" w:type="dxa"/>
            <w:tcBorders>
              <w:top w:val="single" w:sz="4" w:space="0" w:color="auto"/>
              <w:left w:val="single" w:sz="4" w:space="0" w:color="auto"/>
              <w:bottom w:val="single" w:sz="4" w:space="0" w:color="auto"/>
              <w:right w:val="single" w:sz="4" w:space="0" w:color="auto"/>
            </w:tcBorders>
          </w:tcPr>
          <w:p w14:paraId="18FDFAE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0,454</w:t>
            </w:r>
          </w:p>
        </w:tc>
        <w:tc>
          <w:tcPr>
            <w:tcW w:w="1134" w:type="dxa"/>
            <w:tcBorders>
              <w:top w:val="single" w:sz="4" w:space="0" w:color="auto"/>
              <w:left w:val="single" w:sz="4" w:space="0" w:color="auto"/>
              <w:bottom w:val="single" w:sz="4" w:space="0" w:color="auto"/>
              <w:right w:val="single" w:sz="4" w:space="0" w:color="auto"/>
            </w:tcBorders>
          </w:tcPr>
          <w:p w14:paraId="62902E4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0,423</w:t>
            </w:r>
          </w:p>
        </w:tc>
        <w:tc>
          <w:tcPr>
            <w:tcW w:w="1134" w:type="dxa"/>
            <w:tcBorders>
              <w:top w:val="single" w:sz="4" w:space="0" w:color="auto"/>
              <w:left w:val="single" w:sz="4" w:space="0" w:color="auto"/>
              <w:bottom w:val="single" w:sz="4" w:space="0" w:color="auto"/>
              <w:right w:val="single" w:sz="4" w:space="0" w:color="auto"/>
            </w:tcBorders>
          </w:tcPr>
          <w:p w14:paraId="504C9EB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0,483</w:t>
            </w:r>
          </w:p>
        </w:tc>
        <w:tc>
          <w:tcPr>
            <w:tcW w:w="1134" w:type="dxa"/>
            <w:tcBorders>
              <w:top w:val="single" w:sz="4" w:space="0" w:color="auto"/>
              <w:left w:val="single" w:sz="4" w:space="0" w:color="auto"/>
              <w:bottom w:val="single" w:sz="4" w:space="0" w:color="auto"/>
              <w:right w:val="single" w:sz="4" w:space="0" w:color="auto"/>
            </w:tcBorders>
          </w:tcPr>
          <w:p w14:paraId="267146B8"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0,534</w:t>
            </w:r>
          </w:p>
        </w:tc>
      </w:tr>
      <w:tr w:rsidR="00176CD4" w:rsidRPr="00176CD4" w14:paraId="4F5E1E23" w14:textId="77777777" w:rsidTr="00855929">
        <w:trPr>
          <w:cantSplit/>
          <w:trHeight w:val="182"/>
        </w:trPr>
        <w:tc>
          <w:tcPr>
            <w:tcW w:w="1913" w:type="dxa"/>
            <w:vMerge w:val="restart"/>
            <w:tcBorders>
              <w:top w:val="single" w:sz="4" w:space="0" w:color="auto"/>
              <w:left w:val="single" w:sz="4" w:space="0" w:color="auto"/>
              <w:bottom w:val="single" w:sz="4" w:space="0" w:color="auto"/>
              <w:right w:val="single" w:sz="4" w:space="0" w:color="auto"/>
            </w:tcBorders>
          </w:tcPr>
          <w:p w14:paraId="7F827F8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lastRenderedPageBreak/>
              <w:t>Czerwona</w:t>
            </w:r>
          </w:p>
        </w:tc>
        <w:tc>
          <w:tcPr>
            <w:tcW w:w="851" w:type="dxa"/>
            <w:tcBorders>
              <w:top w:val="single" w:sz="4" w:space="0" w:color="auto"/>
              <w:left w:val="single" w:sz="4" w:space="0" w:color="auto"/>
              <w:bottom w:val="single" w:sz="4" w:space="0" w:color="auto"/>
              <w:right w:val="single" w:sz="4" w:space="0" w:color="auto"/>
            </w:tcBorders>
          </w:tcPr>
          <w:p w14:paraId="4C62D64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x </w:t>
            </w:r>
          </w:p>
        </w:tc>
        <w:tc>
          <w:tcPr>
            <w:tcW w:w="1134" w:type="dxa"/>
            <w:tcBorders>
              <w:top w:val="single" w:sz="4" w:space="0" w:color="auto"/>
              <w:left w:val="single" w:sz="4" w:space="0" w:color="auto"/>
              <w:bottom w:val="single" w:sz="4" w:space="0" w:color="auto"/>
              <w:right w:val="single" w:sz="4" w:space="0" w:color="auto"/>
            </w:tcBorders>
          </w:tcPr>
          <w:p w14:paraId="06C2334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0,735</w:t>
            </w:r>
          </w:p>
        </w:tc>
        <w:tc>
          <w:tcPr>
            <w:tcW w:w="1134" w:type="dxa"/>
            <w:tcBorders>
              <w:top w:val="single" w:sz="4" w:space="0" w:color="auto"/>
              <w:left w:val="single" w:sz="4" w:space="0" w:color="auto"/>
              <w:bottom w:val="single" w:sz="4" w:space="0" w:color="auto"/>
              <w:right w:val="single" w:sz="4" w:space="0" w:color="auto"/>
            </w:tcBorders>
          </w:tcPr>
          <w:p w14:paraId="63364FC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0,674</w:t>
            </w:r>
          </w:p>
        </w:tc>
        <w:tc>
          <w:tcPr>
            <w:tcW w:w="1134" w:type="dxa"/>
            <w:tcBorders>
              <w:top w:val="single" w:sz="4" w:space="0" w:color="auto"/>
              <w:left w:val="single" w:sz="4" w:space="0" w:color="auto"/>
              <w:bottom w:val="single" w:sz="4" w:space="0" w:color="auto"/>
              <w:right w:val="single" w:sz="4" w:space="0" w:color="auto"/>
            </w:tcBorders>
          </w:tcPr>
          <w:p w14:paraId="359FAAC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0,569</w:t>
            </w:r>
          </w:p>
        </w:tc>
        <w:tc>
          <w:tcPr>
            <w:tcW w:w="1134" w:type="dxa"/>
            <w:tcBorders>
              <w:top w:val="single" w:sz="4" w:space="0" w:color="auto"/>
              <w:left w:val="single" w:sz="4" w:space="0" w:color="auto"/>
              <w:bottom w:val="single" w:sz="4" w:space="0" w:color="auto"/>
              <w:right w:val="single" w:sz="4" w:space="0" w:color="auto"/>
            </w:tcBorders>
          </w:tcPr>
          <w:p w14:paraId="4968AA6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0,655</w:t>
            </w:r>
          </w:p>
        </w:tc>
      </w:tr>
      <w:tr w:rsidR="00176CD4" w:rsidRPr="00176CD4" w14:paraId="66D53155" w14:textId="77777777" w:rsidTr="00855929">
        <w:trPr>
          <w:cantSplit/>
          <w:trHeight w:val="214"/>
        </w:trPr>
        <w:tc>
          <w:tcPr>
            <w:tcW w:w="1913" w:type="dxa"/>
            <w:vMerge/>
            <w:tcBorders>
              <w:top w:val="single" w:sz="4" w:space="0" w:color="auto"/>
              <w:left w:val="single" w:sz="4" w:space="0" w:color="auto"/>
              <w:bottom w:val="single" w:sz="4" w:space="0" w:color="auto"/>
              <w:right w:val="single" w:sz="4" w:space="0" w:color="auto"/>
            </w:tcBorders>
            <w:vAlign w:val="center"/>
          </w:tcPr>
          <w:p w14:paraId="68B7140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bCs/>
                <w:sz w:val="20"/>
              </w:rPr>
            </w:pPr>
          </w:p>
        </w:tc>
        <w:tc>
          <w:tcPr>
            <w:tcW w:w="851" w:type="dxa"/>
            <w:tcBorders>
              <w:top w:val="single" w:sz="4" w:space="0" w:color="auto"/>
              <w:left w:val="single" w:sz="4" w:space="0" w:color="auto"/>
              <w:bottom w:val="single" w:sz="4" w:space="0" w:color="auto"/>
              <w:right w:val="single" w:sz="4" w:space="0" w:color="auto"/>
            </w:tcBorders>
          </w:tcPr>
          <w:p w14:paraId="52895A2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y </w:t>
            </w:r>
          </w:p>
        </w:tc>
        <w:tc>
          <w:tcPr>
            <w:tcW w:w="1134" w:type="dxa"/>
            <w:tcBorders>
              <w:top w:val="single" w:sz="4" w:space="0" w:color="auto"/>
              <w:left w:val="single" w:sz="4" w:space="0" w:color="auto"/>
              <w:bottom w:val="single" w:sz="4" w:space="0" w:color="auto"/>
              <w:right w:val="single" w:sz="4" w:space="0" w:color="auto"/>
            </w:tcBorders>
          </w:tcPr>
          <w:p w14:paraId="7A53F6FC"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0,265</w:t>
            </w:r>
          </w:p>
        </w:tc>
        <w:tc>
          <w:tcPr>
            <w:tcW w:w="1134" w:type="dxa"/>
            <w:tcBorders>
              <w:top w:val="single" w:sz="4" w:space="0" w:color="auto"/>
              <w:left w:val="single" w:sz="4" w:space="0" w:color="auto"/>
              <w:bottom w:val="single" w:sz="4" w:space="0" w:color="auto"/>
              <w:right w:val="single" w:sz="4" w:space="0" w:color="auto"/>
            </w:tcBorders>
          </w:tcPr>
          <w:p w14:paraId="02370E9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0,236</w:t>
            </w:r>
          </w:p>
        </w:tc>
        <w:tc>
          <w:tcPr>
            <w:tcW w:w="1134" w:type="dxa"/>
            <w:tcBorders>
              <w:top w:val="single" w:sz="4" w:space="0" w:color="auto"/>
              <w:left w:val="single" w:sz="4" w:space="0" w:color="auto"/>
              <w:bottom w:val="single" w:sz="4" w:space="0" w:color="auto"/>
              <w:right w:val="single" w:sz="4" w:space="0" w:color="auto"/>
            </w:tcBorders>
          </w:tcPr>
          <w:p w14:paraId="1536B59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0,341</w:t>
            </w:r>
          </w:p>
        </w:tc>
        <w:tc>
          <w:tcPr>
            <w:tcW w:w="1134" w:type="dxa"/>
            <w:tcBorders>
              <w:top w:val="single" w:sz="4" w:space="0" w:color="auto"/>
              <w:left w:val="single" w:sz="4" w:space="0" w:color="auto"/>
              <w:bottom w:val="single" w:sz="4" w:space="0" w:color="auto"/>
              <w:right w:val="single" w:sz="4" w:space="0" w:color="auto"/>
            </w:tcBorders>
          </w:tcPr>
          <w:p w14:paraId="6EE1C87C"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0,345</w:t>
            </w:r>
          </w:p>
        </w:tc>
      </w:tr>
      <w:tr w:rsidR="00176CD4" w:rsidRPr="00176CD4" w14:paraId="5BE4DD15" w14:textId="77777777" w:rsidTr="00855929">
        <w:trPr>
          <w:cantSplit/>
          <w:trHeight w:val="254"/>
        </w:trPr>
        <w:tc>
          <w:tcPr>
            <w:tcW w:w="1913" w:type="dxa"/>
            <w:vMerge w:val="restart"/>
            <w:tcBorders>
              <w:top w:val="single" w:sz="4" w:space="0" w:color="auto"/>
              <w:left w:val="single" w:sz="4" w:space="0" w:color="auto"/>
              <w:bottom w:val="single" w:sz="4" w:space="0" w:color="auto"/>
              <w:right w:val="single" w:sz="4" w:space="0" w:color="auto"/>
            </w:tcBorders>
          </w:tcPr>
          <w:p w14:paraId="1BD2867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Niebieska</w:t>
            </w:r>
          </w:p>
        </w:tc>
        <w:tc>
          <w:tcPr>
            <w:tcW w:w="851" w:type="dxa"/>
            <w:tcBorders>
              <w:top w:val="single" w:sz="4" w:space="0" w:color="auto"/>
              <w:left w:val="single" w:sz="4" w:space="0" w:color="auto"/>
              <w:bottom w:val="single" w:sz="4" w:space="0" w:color="auto"/>
              <w:right w:val="single" w:sz="4" w:space="0" w:color="auto"/>
            </w:tcBorders>
          </w:tcPr>
          <w:p w14:paraId="767E1F8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x </w:t>
            </w:r>
          </w:p>
        </w:tc>
        <w:tc>
          <w:tcPr>
            <w:tcW w:w="1134" w:type="dxa"/>
            <w:tcBorders>
              <w:top w:val="single" w:sz="4" w:space="0" w:color="auto"/>
              <w:left w:val="single" w:sz="4" w:space="0" w:color="auto"/>
              <w:bottom w:val="single" w:sz="4" w:space="0" w:color="auto"/>
              <w:right w:val="single" w:sz="4" w:space="0" w:color="auto"/>
            </w:tcBorders>
          </w:tcPr>
          <w:p w14:paraId="5F8B9D9C"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0,078</w:t>
            </w:r>
          </w:p>
        </w:tc>
        <w:tc>
          <w:tcPr>
            <w:tcW w:w="1134" w:type="dxa"/>
            <w:tcBorders>
              <w:top w:val="single" w:sz="4" w:space="0" w:color="auto"/>
              <w:left w:val="single" w:sz="4" w:space="0" w:color="auto"/>
              <w:bottom w:val="single" w:sz="4" w:space="0" w:color="auto"/>
              <w:right w:val="single" w:sz="4" w:space="0" w:color="auto"/>
            </w:tcBorders>
          </w:tcPr>
          <w:p w14:paraId="0A2A4C5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0,150</w:t>
            </w:r>
          </w:p>
        </w:tc>
        <w:tc>
          <w:tcPr>
            <w:tcW w:w="1134" w:type="dxa"/>
            <w:tcBorders>
              <w:top w:val="single" w:sz="4" w:space="0" w:color="auto"/>
              <w:left w:val="single" w:sz="4" w:space="0" w:color="auto"/>
              <w:bottom w:val="single" w:sz="4" w:space="0" w:color="auto"/>
              <w:right w:val="single" w:sz="4" w:space="0" w:color="auto"/>
            </w:tcBorders>
          </w:tcPr>
          <w:p w14:paraId="13BFFB0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0,210</w:t>
            </w:r>
          </w:p>
        </w:tc>
        <w:tc>
          <w:tcPr>
            <w:tcW w:w="1134" w:type="dxa"/>
            <w:tcBorders>
              <w:top w:val="single" w:sz="4" w:space="0" w:color="auto"/>
              <w:left w:val="single" w:sz="4" w:space="0" w:color="auto"/>
              <w:bottom w:val="single" w:sz="4" w:space="0" w:color="auto"/>
              <w:right w:val="single" w:sz="4" w:space="0" w:color="auto"/>
            </w:tcBorders>
          </w:tcPr>
          <w:p w14:paraId="470D14D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0,137</w:t>
            </w:r>
          </w:p>
        </w:tc>
      </w:tr>
      <w:tr w:rsidR="00176CD4" w:rsidRPr="00176CD4" w14:paraId="72815B4A" w14:textId="77777777" w:rsidTr="00855929">
        <w:trPr>
          <w:cantSplit/>
          <w:trHeight w:val="144"/>
        </w:trPr>
        <w:tc>
          <w:tcPr>
            <w:tcW w:w="1913" w:type="dxa"/>
            <w:vMerge/>
            <w:tcBorders>
              <w:top w:val="single" w:sz="4" w:space="0" w:color="auto"/>
              <w:left w:val="single" w:sz="4" w:space="0" w:color="auto"/>
              <w:bottom w:val="single" w:sz="4" w:space="0" w:color="auto"/>
              <w:right w:val="single" w:sz="4" w:space="0" w:color="auto"/>
            </w:tcBorders>
            <w:vAlign w:val="center"/>
          </w:tcPr>
          <w:p w14:paraId="7602673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bCs/>
                <w:sz w:val="20"/>
              </w:rPr>
            </w:pPr>
          </w:p>
        </w:tc>
        <w:tc>
          <w:tcPr>
            <w:tcW w:w="851" w:type="dxa"/>
            <w:tcBorders>
              <w:top w:val="single" w:sz="4" w:space="0" w:color="auto"/>
              <w:left w:val="single" w:sz="4" w:space="0" w:color="auto"/>
              <w:bottom w:val="single" w:sz="4" w:space="0" w:color="auto"/>
              <w:right w:val="single" w:sz="4" w:space="0" w:color="auto"/>
            </w:tcBorders>
          </w:tcPr>
          <w:p w14:paraId="553D803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y </w:t>
            </w:r>
          </w:p>
        </w:tc>
        <w:tc>
          <w:tcPr>
            <w:tcW w:w="1134" w:type="dxa"/>
            <w:tcBorders>
              <w:top w:val="single" w:sz="4" w:space="0" w:color="auto"/>
              <w:left w:val="single" w:sz="4" w:space="0" w:color="auto"/>
              <w:bottom w:val="single" w:sz="4" w:space="0" w:color="auto"/>
              <w:right w:val="single" w:sz="4" w:space="0" w:color="auto"/>
            </w:tcBorders>
          </w:tcPr>
          <w:p w14:paraId="336DA24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0,171</w:t>
            </w:r>
          </w:p>
        </w:tc>
        <w:tc>
          <w:tcPr>
            <w:tcW w:w="1134" w:type="dxa"/>
            <w:tcBorders>
              <w:top w:val="single" w:sz="4" w:space="0" w:color="auto"/>
              <w:left w:val="single" w:sz="4" w:space="0" w:color="auto"/>
              <w:bottom w:val="single" w:sz="4" w:space="0" w:color="auto"/>
              <w:right w:val="single" w:sz="4" w:space="0" w:color="auto"/>
            </w:tcBorders>
          </w:tcPr>
          <w:p w14:paraId="0FF6D91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0,220</w:t>
            </w:r>
          </w:p>
        </w:tc>
        <w:tc>
          <w:tcPr>
            <w:tcW w:w="1134" w:type="dxa"/>
            <w:tcBorders>
              <w:top w:val="single" w:sz="4" w:space="0" w:color="auto"/>
              <w:left w:val="single" w:sz="4" w:space="0" w:color="auto"/>
              <w:bottom w:val="single" w:sz="4" w:space="0" w:color="auto"/>
              <w:right w:val="single" w:sz="4" w:space="0" w:color="auto"/>
            </w:tcBorders>
          </w:tcPr>
          <w:p w14:paraId="0BF2ADF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0,160</w:t>
            </w:r>
          </w:p>
        </w:tc>
        <w:tc>
          <w:tcPr>
            <w:tcW w:w="1134" w:type="dxa"/>
            <w:tcBorders>
              <w:top w:val="single" w:sz="4" w:space="0" w:color="auto"/>
              <w:left w:val="single" w:sz="4" w:space="0" w:color="auto"/>
              <w:bottom w:val="single" w:sz="4" w:space="0" w:color="auto"/>
              <w:right w:val="single" w:sz="4" w:space="0" w:color="auto"/>
            </w:tcBorders>
          </w:tcPr>
          <w:p w14:paraId="780853BC"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0,038</w:t>
            </w:r>
          </w:p>
        </w:tc>
      </w:tr>
      <w:tr w:rsidR="00176CD4" w:rsidRPr="00176CD4" w14:paraId="2929C9F9" w14:textId="77777777" w:rsidTr="00855929">
        <w:trPr>
          <w:cantSplit/>
          <w:trHeight w:val="213"/>
        </w:trPr>
        <w:tc>
          <w:tcPr>
            <w:tcW w:w="1913" w:type="dxa"/>
            <w:vMerge w:val="restart"/>
            <w:tcBorders>
              <w:top w:val="single" w:sz="4" w:space="0" w:color="auto"/>
              <w:left w:val="single" w:sz="4" w:space="0" w:color="auto"/>
              <w:bottom w:val="single" w:sz="4" w:space="0" w:color="auto"/>
              <w:right w:val="single" w:sz="4" w:space="0" w:color="auto"/>
            </w:tcBorders>
          </w:tcPr>
          <w:p w14:paraId="679819C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Zielona</w:t>
            </w:r>
          </w:p>
        </w:tc>
        <w:tc>
          <w:tcPr>
            <w:tcW w:w="851" w:type="dxa"/>
            <w:tcBorders>
              <w:top w:val="single" w:sz="4" w:space="0" w:color="auto"/>
              <w:left w:val="single" w:sz="4" w:space="0" w:color="auto"/>
              <w:bottom w:val="single" w:sz="4" w:space="0" w:color="auto"/>
              <w:right w:val="single" w:sz="4" w:space="0" w:color="auto"/>
            </w:tcBorders>
          </w:tcPr>
          <w:p w14:paraId="512280F3"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x </w:t>
            </w:r>
          </w:p>
        </w:tc>
        <w:tc>
          <w:tcPr>
            <w:tcW w:w="1134" w:type="dxa"/>
            <w:tcBorders>
              <w:top w:val="single" w:sz="4" w:space="0" w:color="auto"/>
              <w:left w:val="single" w:sz="4" w:space="0" w:color="auto"/>
              <w:bottom w:val="single" w:sz="4" w:space="0" w:color="auto"/>
              <w:right w:val="single" w:sz="4" w:space="0" w:color="auto"/>
            </w:tcBorders>
          </w:tcPr>
          <w:p w14:paraId="33B9BBF3"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0,007</w:t>
            </w:r>
          </w:p>
        </w:tc>
        <w:tc>
          <w:tcPr>
            <w:tcW w:w="1134" w:type="dxa"/>
            <w:tcBorders>
              <w:top w:val="single" w:sz="4" w:space="0" w:color="auto"/>
              <w:left w:val="single" w:sz="4" w:space="0" w:color="auto"/>
              <w:bottom w:val="single" w:sz="4" w:space="0" w:color="auto"/>
              <w:right w:val="single" w:sz="4" w:space="0" w:color="auto"/>
            </w:tcBorders>
          </w:tcPr>
          <w:p w14:paraId="776C32A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0,248</w:t>
            </w:r>
          </w:p>
        </w:tc>
        <w:tc>
          <w:tcPr>
            <w:tcW w:w="1134" w:type="dxa"/>
            <w:tcBorders>
              <w:top w:val="single" w:sz="4" w:space="0" w:color="auto"/>
              <w:left w:val="single" w:sz="4" w:space="0" w:color="auto"/>
              <w:bottom w:val="single" w:sz="4" w:space="0" w:color="auto"/>
              <w:right w:val="single" w:sz="4" w:space="0" w:color="auto"/>
            </w:tcBorders>
          </w:tcPr>
          <w:p w14:paraId="0CE0985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0,177</w:t>
            </w:r>
          </w:p>
        </w:tc>
        <w:tc>
          <w:tcPr>
            <w:tcW w:w="1134" w:type="dxa"/>
            <w:tcBorders>
              <w:top w:val="single" w:sz="4" w:space="0" w:color="auto"/>
              <w:left w:val="single" w:sz="4" w:space="0" w:color="auto"/>
              <w:bottom w:val="single" w:sz="4" w:space="0" w:color="auto"/>
              <w:right w:val="single" w:sz="4" w:space="0" w:color="auto"/>
            </w:tcBorders>
          </w:tcPr>
          <w:p w14:paraId="1F415A1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0,026</w:t>
            </w:r>
          </w:p>
        </w:tc>
      </w:tr>
      <w:tr w:rsidR="00176CD4" w:rsidRPr="00176CD4" w14:paraId="6D25A61A" w14:textId="77777777" w:rsidTr="00855929">
        <w:trPr>
          <w:cantSplit/>
          <w:trHeight w:val="230"/>
        </w:trPr>
        <w:tc>
          <w:tcPr>
            <w:tcW w:w="1913" w:type="dxa"/>
            <w:vMerge/>
            <w:tcBorders>
              <w:top w:val="single" w:sz="4" w:space="0" w:color="auto"/>
              <w:left w:val="single" w:sz="4" w:space="0" w:color="auto"/>
              <w:bottom w:val="single" w:sz="4" w:space="0" w:color="auto"/>
              <w:right w:val="single" w:sz="4" w:space="0" w:color="auto"/>
            </w:tcBorders>
            <w:vAlign w:val="center"/>
          </w:tcPr>
          <w:p w14:paraId="43360FF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bCs/>
                <w:sz w:val="20"/>
              </w:rPr>
            </w:pPr>
          </w:p>
        </w:tc>
        <w:tc>
          <w:tcPr>
            <w:tcW w:w="851" w:type="dxa"/>
            <w:tcBorders>
              <w:top w:val="single" w:sz="4" w:space="0" w:color="auto"/>
              <w:left w:val="single" w:sz="4" w:space="0" w:color="auto"/>
              <w:bottom w:val="single" w:sz="4" w:space="0" w:color="auto"/>
              <w:right w:val="single" w:sz="4" w:space="0" w:color="auto"/>
            </w:tcBorders>
          </w:tcPr>
          <w:p w14:paraId="0C0FBE58"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y </w:t>
            </w:r>
          </w:p>
        </w:tc>
        <w:tc>
          <w:tcPr>
            <w:tcW w:w="1134" w:type="dxa"/>
            <w:tcBorders>
              <w:top w:val="single" w:sz="4" w:space="0" w:color="auto"/>
              <w:left w:val="single" w:sz="4" w:space="0" w:color="auto"/>
              <w:bottom w:val="single" w:sz="4" w:space="0" w:color="auto"/>
              <w:right w:val="single" w:sz="4" w:space="0" w:color="auto"/>
            </w:tcBorders>
          </w:tcPr>
          <w:p w14:paraId="5305E53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0,703</w:t>
            </w:r>
          </w:p>
        </w:tc>
        <w:tc>
          <w:tcPr>
            <w:tcW w:w="1134" w:type="dxa"/>
            <w:tcBorders>
              <w:top w:val="single" w:sz="4" w:space="0" w:color="auto"/>
              <w:left w:val="single" w:sz="4" w:space="0" w:color="auto"/>
              <w:bottom w:val="single" w:sz="4" w:space="0" w:color="auto"/>
              <w:right w:val="single" w:sz="4" w:space="0" w:color="auto"/>
            </w:tcBorders>
          </w:tcPr>
          <w:p w14:paraId="2438935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0,409</w:t>
            </w:r>
          </w:p>
        </w:tc>
        <w:tc>
          <w:tcPr>
            <w:tcW w:w="1134" w:type="dxa"/>
            <w:tcBorders>
              <w:top w:val="single" w:sz="4" w:space="0" w:color="auto"/>
              <w:left w:val="single" w:sz="4" w:space="0" w:color="auto"/>
              <w:bottom w:val="single" w:sz="4" w:space="0" w:color="auto"/>
              <w:right w:val="single" w:sz="4" w:space="0" w:color="auto"/>
            </w:tcBorders>
          </w:tcPr>
          <w:p w14:paraId="2978D78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0,362</w:t>
            </w:r>
          </w:p>
        </w:tc>
        <w:tc>
          <w:tcPr>
            <w:tcW w:w="1134" w:type="dxa"/>
            <w:tcBorders>
              <w:top w:val="single" w:sz="4" w:space="0" w:color="auto"/>
              <w:left w:val="single" w:sz="4" w:space="0" w:color="auto"/>
              <w:bottom w:val="single" w:sz="4" w:space="0" w:color="auto"/>
              <w:right w:val="single" w:sz="4" w:space="0" w:color="auto"/>
            </w:tcBorders>
          </w:tcPr>
          <w:p w14:paraId="1BF04F7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0,399</w:t>
            </w:r>
          </w:p>
        </w:tc>
      </w:tr>
      <w:tr w:rsidR="00176CD4" w:rsidRPr="00176CD4" w14:paraId="0EAAA2E0" w14:textId="77777777" w:rsidTr="00855929">
        <w:trPr>
          <w:cantSplit/>
          <w:trHeight w:val="213"/>
        </w:trPr>
        <w:tc>
          <w:tcPr>
            <w:tcW w:w="1913" w:type="dxa"/>
            <w:vMerge w:val="restart"/>
            <w:tcBorders>
              <w:top w:val="single" w:sz="4" w:space="0" w:color="auto"/>
              <w:left w:val="single" w:sz="4" w:space="0" w:color="auto"/>
              <w:bottom w:val="single" w:sz="4" w:space="0" w:color="auto"/>
              <w:right w:val="single" w:sz="4" w:space="0" w:color="auto"/>
            </w:tcBorders>
          </w:tcPr>
          <w:p w14:paraId="586228C8"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Brązowa</w:t>
            </w:r>
          </w:p>
        </w:tc>
        <w:tc>
          <w:tcPr>
            <w:tcW w:w="851" w:type="dxa"/>
            <w:tcBorders>
              <w:top w:val="single" w:sz="4" w:space="0" w:color="auto"/>
              <w:left w:val="single" w:sz="4" w:space="0" w:color="auto"/>
              <w:bottom w:val="single" w:sz="4" w:space="0" w:color="auto"/>
              <w:right w:val="single" w:sz="4" w:space="0" w:color="auto"/>
            </w:tcBorders>
          </w:tcPr>
          <w:p w14:paraId="48C36BE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x</w:t>
            </w:r>
          </w:p>
        </w:tc>
        <w:tc>
          <w:tcPr>
            <w:tcW w:w="1134" w:type="dxa"/>
            <w:tcBorders>
              <w:top w:val="single" w:sz="4" w:space="0" w:color="auto"/>
              <w:left w:val="single" w:sz="4" w:space="0" w:color="auto"/>
              <w:bottom w:val="single" w:sz="4" w:space="0" w:color="auto"/>
              <w:right w:val="single" w:sz="4" w:space="0" w:color="auto"/>
            </w:tcBorders>
          </w:tcPr>
          <w:p w14:paraId="0C0E6DC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0,455</w:t>
            </w:r>
          </w:p>
        </w:tc>
        <w:tc>
          <w:tcPr>
            <w:tcW w:w="1134" w:type="dxa"/>
            <w:tcBorders>
              <w:top w:val="single" w:sz="4" w:space="0" w:color="auto"/>
              <w:left w:val="single" w:sz="4" w:space="0" w:color="auto"/>
              <w:bottom w:val="single" w:sz="4" w:space="0" w:color="auto"/>
              <w:right w:val="single" w:sz="4" w:space="0" w:color="auto"/>
            </w:tcBorders>
          </w:tcPr>
          <w:p w14:paraId="2097543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0,523</w:t>
            </w:r>
          </w:p>
        </w:tc>
        <w:tc>
          <w:tcPr>
            <w:tcW w:w="1134" w:type="dxa"/>
            <w:tcBorders>
              <w:top w:val="single" w:sz="4" w:space="0" w:color="auto"/>
              <w:left w:val="single" w:sz="4" w:space="0" w:color="auto"/>
              <w:bottom w:val="single" w:sz="4" w:space="0" w:color="auto"/>
              <w:right w:val="single" w:sz="4" w:space="0" w:color="auto"/>
            </w:tcBorders>
          </w:tcPr>
          <w:p w14:paraId="6886E71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0,479</w:t>
            </w:r>
          </w:p>
        </w:tc>
        <w:tc>
          <w:tcPr>
            <w:tcW w:w="1134" w:type="dxa"/>
            <w:tcBorders>
              <w:top w:val="single" w:sz="4" w:space="0" w:color="auto"/>
              <w:left w:val="single" w:sz="4" w:space="0" w:color="auto"/>
              <w:bottom w:val="single" w:sz="4" w:space="0" w:color="auto"/>
              <w:right w:val="single" w:sz="4" w:space="0" w:color="auto"/>
            </w:tcBorders>
          </w:tcPr>
          <w:p w14:paraId="1A5D76F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0,558</w:t>
            </w:r>
          </w:p>
        </w:tc>
      </w:tr>
      <w:tr w:rsidR="00176CD4" w:rsidRPr="00176CD4" w14:paraId="1851A7C9" w14:textId="77777777" w:rsidTr="00855929">
        <w:trPr>
          <w:cantSplit/>
          <w:trHeight w:val="230"/>
        </w:trPr>
        <w:tc>
          <w:tcPr>
            <w:tcW w:w="1913" w:type="dxa"/>
            <w:vMerge/>
            <w:tcBorders>
              <w:top w:val="single" w:sz="4" w:space="0" w:color="auto"/>
              <w:left w:val="single" w:sz="4" w:space="0" w:color="auto"/>
              <w:bottom w:val="single" w:sz="4" w:space="0" w:color="auto"/>
              <w:right w:val="single" w:sz="4" w:space="0" w:color="auto"/>
            </w:tcBorders>
            <w:vAlign w:val="center"/>
          </w:tcPr>
          <w:p w14:paraId="4337327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bCs/>
                <w:sz w:val="20"/>
              </w:rPr>
            </w:pPr>
          </w:p>
        </w:tc>
        <w:tc>
          <w:tcPr>
            <w:tcW w:w="851" w:type="dxa"/>
            <w:tcBorders>
              <w:top w:val="single" w:sz="4" w:space="0" w:color="auto"/>
              <w:left w:val="single" w:sz="4" w:space="0" w:color="auto"/>
              <w:bottom w:val="single" w:sz="4" w:space="0" w:color="auto"/>
              <w:right w:val="single" w:sz="4" w:space="0" w:color="auto"/>
            </w:tcBorders>
          </w:tcPr>
          <w:p w14:paraId="379880FC"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y</w:t>
            </w:r>
          </w:p>
        </w:tc>
        <w:tc>
          <w:tcPr>
            <w:tcW w:w="1134" w:type="dxa"/>
            <w:tcBorders>
              <w:top w:val="single" w:sz="4" w:space="0" w:color="auto"/>
              <w:left w:val="single" w:sz="4" w:space="0" w:color="auto"/>
              <w:bottom w:val="single" w:sz="4" w:space="0" w:color="auto"/>
              <w:right w:val="single" w:sz="4" w:space="0" w:color="auto"/>
            </w:tcBorders>
          </w:tcPr>
          <w:p w14:paraId="7099176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0,397</w:t>
            </w:r>
          </w:p>
        </w:tc>
        <w:tc>
          <w:tcPr>
            <w:tcW w:w="1134" w:type="dxa"/>
            <w:tcBorders>
              <w:top w:val="single" w:sz="4" w:space="0" w:color="auto"/>
              <w:left w:val="single" w:sz="4" w:space="0" w:color="auto"/>
              <w:bottom w:val="single" w:sz="4" w:space="0" w:color="auto"/>
              <w:right w:val="single" w:sz="4" w:space="0" w:color="auto"/>
            </w:tcBorders>
          </w:tcPr>
          <w:p w14:paraId="3C233AFC"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0,429</w:t>
            </w:r>
          </w:p>
        </w:tc>
        <w:tc>
          <w:tcPr>
            <w:tcW w:w="1134" w:type="dxa"/>
            <w:tcBorders>
              <w:top w:val="single" w:sz="4" w:space="0" w:color="auto"/>
              <w:left w:val="single" w:sz="4" w:space="0" w:color="auto"/>
              <w:bottom w:val="single" w:sz="4" w:space="0" w:color="auto"/>
              <w:right w:val="single" w:sz="4" w:space="0" w:color="auto"/>
            </w:tcBorders>
          </w:tcPr>
          <w:p w14:paraId="2E9A9F8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0,373</w:t>
            </w:r>
          </w:p>
        </w:tc>
        <w:tc>
          <w:tcPr>
            <w:tcW w:w="1134" w:type="dxa"/>
            <w:tcBorders>
              <w:top w:val="single" w:sz="4" w:space="0" w:color="auto"/>
              <w:left w:val="single" w:sz="4" w:space="0" w:color="auto"/>
              <w:bottom w:val="single" w:sz="4" w:space="0" w:color="auto"/>
              <w:right w:val="single" w:sz="4" w:space="0" w:color="auto"/>
            </w:tcBorders>
          </w:tcPr>
          <w:p w14:paraId="7CE5D60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0,394</w:t>
            </w:r>
          </w:p>
        </w:tc>
      </w:tr>
      <w:tr w:rsidR="00176CD4" w:rsidRPr="00176CD4" w14:paraId="0BE8DF0A" w14:textId="77777777" w:rsidTr="00855929">
        <w:trPr>
          <w:cantSplit/>
          <w:trHeight w:val="213"/>
        </w:trPr>
        <w:tc>
          <w:tcPr>
            <w:tcW w:w="1913" w:type="dxa"/>
            <w:vMerge w:val="restart"/>
            <w:tcBorders>
              <w:top w:val="single" w:sz="4" w:space="0" w:color="auto"/>
              <w:left w:val="single" w:sz="4" w:space="0" w:color="auto"/>
              <w:bottom w:val="single" w:sz="4" w:space="0" w:color="auto"/>
              <w:right w:val="single" w:sz="4" w:space="0" w:color="auto"/>
            </w:tcBorders>
          </w:tcPr>
          <w:p w14:paraId="0F9E95A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Pomarańczowa</w:t>
            </w:r>
          </w:p>
        </w:tc>
        <w:tc>
          <w:tcPr>
            <w:tcW w:w="851" w:type="dxa"/>
            <w:tcBorders>
              <w:top w:val="single" w:sz="4" w:space="0" w:color="auto"/>
              <w:left w:val="single" w:sz="4" w:space="0" w:color="auto"/>
              <w:bottom w:val="single" w:sz="4" w:space="0" w:color="auto"/>
              <w:right w:val="single" w:sz="4" w:space="0" w:color="auto"/>
            </w:tcBorders>
          </w:tcPr>
          <w:p w14:paraId="51DED92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x</w:t>
            </w:r>
          </w:p>
        </w:tc>
        <w:tc>
          <w:tcPr>
            <w:tcW w:w="1134" w:type="dxa"/>
            <w:tcBorders>
              <w:top w:val="single" w:sz="4" w:space="0" w:color="auto"/>
              <w:left w:val="single" w:sz="4" w:space="0" w:color="auto"/>
              <w:bottom w:val="single" w:sz="4" w:space="0" w:color="auto"/>
              <w:right w:val="single" w:sz="4" w:space="0" w:color="auto"/>
            </w:tcBorders>
          </w:tcPr>
          <w:p w14:paraId="6D3E096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0,610</w:t>
            </w:r>
          </w:p>
        </w:tc>
        <w:tc>
          <w:tcPr>
            <w:tcW w:w="1134" w:type="dxa"/>
            <w:tcBorders>
              <w:top w:val="single" w:sz="4" w:space="0" w:color="auto"/>
              <w:left w:val="single" w:sz="4" w:space="0" w:color="auto"/>
              <w:bottom w:val="single" w:sz="4" w:space="0" w:color="auto"/>
              <w:right w:val="single" w:sz="4" w:space="0" w:color="auto"/>
            </w:tcBorders>
          </w:tcPr>
          <w:p w14:paraId="7FFAC85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0,535</w:t>
            </w:r>
          </w:p>
        </w:tc>
        <w:tc>
          <w:tcPr>
            <w:tcW w:w="1134" w:type="dxa"/>
            <w:tcBorders>
              <w:top w:val="single" w:sz="4" w:space="0" w:color="auto"/>
              <w:left w:val="single" w:sz="4" w:space="0" w:color="auto"/>
              <w:bottom w:val="single" w:sz="4" w:space="0" w:color="auto"/>
              <w:right w:val="single" w:sz="4" w:space="0" w:color="auto"/>
            </w:tcBorders>
          </w:tcPr>
          <w:p w14:paraId="52E5C15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0,506</w:t>
            </w:r>
          </w:p>
        </w:tc>
        <w:tc>
          <w:tcPr>
            <w:tcW w:w="1134" w:type="dxa"/>
            <w:tcBorders>
              <w:top w:val="single" w:sz="4" w:space="0" w:color="auto"/>
              <w:left w:val="single" w:sz="4" w:space="0" w:color="auto"/>
              <w:bottom w:val="single" w:sz="4" w:space="0" w:color="auto"/>
              <w:right w:val="single" w:sz="4" w:space="0" w:color="auto"/>
            </w:tcBorders>
          </w:tcPr>
          <w:p w14:paraId="53374F4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0,570</w:t>
            </w:r>
          </w:p>
        </w:tc>
      </w:tr>
      <w:tr w:rsidR="00176CD4" w:rsidRPr="00176CD4" w14:paraId="3F648F70" w14:textId="77777777" w:rsidTr="00855929">
        <w:trPr>
          <w:cantSplit/>
          <w:trHeight w:val="230"/>
        </w:trPr>
        <w:tc>
          <w:tcPr>
            <w:tcW w:w="1913" w:type="dxa"/>
            <w:vMerge/>
            <w:tcBorders>
              <w:top w:val="single" w:sz="4" w:space="0" w:color="auto"/>
              <w:left w:val="single" w:sz="4" w:space="0" w:color="auto"/>
              <w:bottom w:val="single" w:sz="4" w:space="0" w:color="auto"/>
              <w:right w:val="single" w:sz="4" w:space="0" w:color="auto"/>
            </w:tcBorders>
            <w:vAlign w:val="center"/>
          </w:tcPr>
          <w:p w14:paraId="7FC1355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bCs/>
                <w:sz w:val="20"/>
              </w:rPr>
            </w:pPr>
          </w:p>
        </w:tc>
        <w:tc>
          <w:tcPr>
            <w:tcW w:w="851" w:type="dxa"/>
            <w:tcBorders>
              <w:top w:val="single" w:sz="4" w:space="0" w:color="auto"/>
              <w:left w:val="single" w:sz="4" w:space="0" w:color="auto"/>
              <w:bottom w:val="single" w:sz="4" w:space="0" w:color="auto"/>
              <w:right w:val="single" w:sz="4" w:space="0" w:color="auto"/>
            </w:tcBorders>
          </w:tcPr>
          <w:p w14:paraId="3228E323"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y</w:t>
            </w:r>
          </w:p>
        </w:tc>
        <w:tc>
          <w:tcPr>
            <w:tcW w:w="1134" w:type="dxa"/>
            <w:tcBorders>
              <w:top w:val="single" w:sz="4" w:space="0" w:color="auto"/>
              <w:left w:val="single" w:sz="4" w:space="0" w:color="auto"/>
              <w:bottom w:val="single" w:sz="4" w:space="0" w:color="auto"/>
              <w:right w:val="single" w:sz="4" w:space="0" w:color="auto"/>
            </w:tcBorders>
          </w:tcPr>
          <w:p w14:paraId="659E91F3"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0,390</w:t>
            </w:r>
          </w:p>
        </w:tc>
        <w:tc>
          <w:tcPr>
            <w:tcW w:w="1134" w:type="dxa"/>
            <w:tcBorders>
              <w:top w:val="single" w:sz="4" w:space="0" w:color="auto"/>
              <w:left w:val="single" w:sz="4" w:space="0" w:color="auto"/>
              <w:bottom w:val="single" w:sz="4" w:space="0" w:color="auto"/>
              <w:right w:val="single" w:sz="4" w:space="0" w:color="auto"/>
            </w:tcBorders>
          </w:tcPr>
          <w:p w14:paraId="0F52081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0,375</w:t>
            </w:r>
          </w:p>
        </w:tc>
        <w:tc>
          <w:tcPr>
            <w:tcW w:w="1134" w:type="dxa"/>
            <w:tcBorders>
              <w:top w:val="single" w:sz="4" w:space="0" w:color="auto"/>
              <w:left w:val="single" w:sz="4" w:space="0" w:color="auto"/>
              <w:bottom w:val="single" w:sz="4" w:space="0" w:color="auto"/>
              <w:right w:val="single" w:sz="4" w:space="0" w:color="auto"/>
            </w:tcBorders>
          </w:tcPr>
          <w:p w14:paraId="590E55D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0,404</w:t>
            </w:r>
          </w:p>
        </w:tc>
        <w:tc>
          <w:tcPr>
            <w:tcW w:w="1134" w:type="dxa"/>
            <w:tcBorders>
              <w:top w:val="single" w:sz="4" w:space="0" w:color="auto"/>
              <w:left w:val="single" w:sz="4" w:space="0" w:color="auto"/>
              <w:bottom w:val="single" w:sz="4" w:space="0" w:color="auto"/>
              <w:right w:val="single" w:sz="4" w:space="0" w:color="auto"/>
            </w:tcBorders>
          </w:tcPr>
          <w:p w14:paraId="1600FFD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0,429</w:t>
            </w:r>
          </w:p>
        </w:tc>
      </w:tr>
      <w:tr w:rsidR="00176CD4" w:rsidRPr="00176CD4" w14:paraId="0B826708" w14:textId="77777777" w:rsidTr="00855929">
        <w:trPr>
          <w:cantSplit/>
          <w:trHeight w:val="199"/>
        </w:trPr>
        <w:tc>
          <w:tcPr>
            <w:tcW w:w="1913" w:type="dxa"/>
            <w:vMerge w:val="restart"/>
            <w:tcBorders>
              <w:top w:val="single" w:sz="4" w:space="0" w:color="auto"/>
              <w:left w:val="single" w:sz="4" w:space="0" w:color="auto"/>
              <w:right w:val="single" w:sz="4" w:space="0" w:color="auto"/>
            </w:tcBorders>
          </w:tcPr>
          <w:p w14:paraId="0FDF807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Szara</w:t>
            </w:r>
          </w:p>
        </w:tc>
        <w:tc>
          <w:tcPr>
            <w:tcW w:w="851" w:type="dxa"/>
            <w:tcBorders>
              <w:top w:val="single" w:sz="4" w:space="0" w:color="auto"/>
              <w:left w:val="single" w:sz="4" w:space="0" w:color="auto"/>
              <w:bottom w:val="single" w:sz="4" w:space="0" w:color="auto"/>
              <w:right w:val="single" w:sz="4" w:space="0" w:color="auto"/>
            </w:tcBorders>
          </w:tcPr>
          <w:p w14:paraId="0C50720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x</w:t>
            </w:r>
          </w:p>
        </w:tc>
        <w:tc>
          <w:tcPr>
            <w:tcW w:w="1134" w:type="dxa"/>
            <w:tcBorders>
              <w:top w:val="single" w:sz="4" w:space="0" w:color="auto"/>
              <w:left w:val="single" w:sz="4" w:space="0" w:color="auto"/>
              <w:bottom w:val="single" w:sz="4" w:space="0" w:color="auto"/>
              <w:right w:val="single" w:sz="4" w:space="0" w:color="auto"/>
            </w:tcBorders>
          </w:tcPr>
          <w:p w14:paraId="0534639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0,350</w:t>
            </w:r>
          </w:p>
        </w:tc>
        <w:tc>
          <w:tcPr>
            <w:tcW w:w="1134" w:type="dxa"/>
            <w:tcBorders>
              <w:top w:val="single" w:sz="4" w:space="0" w:color="auto"/>
              <w:left w:val="single" w:sz="4" w:space="0" w:color="auto"/>
              <w:bottom w:val="single" w:sz="4" w:space="0" w:color="auto"/>
              <w:right w:val="single" w:sz="4" w:space="0" w:color="auto"/>
            </w:tcBorders>
          </w:tcPr>
          <w:p w14:paraId="45DD964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0,300</w:t>
            </w:r>
          </w:p>
        </w:tc>
        <w:tc>
          <w:tcPr>
            <w:tcW w:w="1134" w:type="dxa"/>
            <w:tcBorders>
              <w:top w:val="single" w:sz="4" w:space="0" w:color="auto"/>
              <w:left w:val="single" w:sz="4" w:space="0" w:color="auto"/>
              <w:bottom w:val="single" w:sz="4" w:space="0" w:color="auto"/>
              <w:right w:val="single" w:sz="4" w:space="0" w:color="auto"/>
            </w:tcBorders>
          </w:tcPr>
          <w:p w14:paraId="60DA4C3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0,285</w:t>
            </w:r>
          </w:p>
        </w:tc>
        <w:tc>
          <w:tcPr>
            <w:tcW w:w="1134" w:type="dxa"/>
            <w:tcBorders>
              <w:top w:val="single" w:sz="4" w:space="0" w:color="auto"/>
              <w:left w:val="single" w:sz="4" w:space="0" w:color="auto"/>
              <w:bottom w:val="single" w:sz="4" w:space="0" w:color="auto"/>
              <w:right w:val="single" w:sz="4" w:space="0" w:color="auto"/>
            </w:tcBorders>
          </w:tcPr>
          <w:p w14:paraId="31AB164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0,335</w:t>
            </w:r>
          </w:p>
        </w:tc>
      </w:tr>
      <w:tr w:rsidR="00176CD4" w:rsidRPr="00176CD4" w14:paraId="30F48DD8" w14:textId="77777777" w:rsidTr="00855929">
        <w:trPr>
          <w:cantSplit/>
          <w:trHeight w:val="199"/>
        </w:trPr>
        <w:tc>
          <w:tcPr>
            <w:tcW w:w="1913" w:type="dxa"/>
            <w:vMerge/>
            <w:tcBorders>
              <w:left w:val="single" w:sz="4" w:space="0" w:color="auto"/>
              <w:bottom w:val="single" w:sz="4" w:space="0" w:color="auto"/>
              <w:right w:val="single" w:sz="4" w:space="0" w:color="auto"/>
            </w:tcBorders>
          </w:tcPr>
          <w:p w14:paraId="24B74B1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851" w:type="dxa"/>
            <w:tcBorders>
              <w:top w:val="single" w:sz="4" w:space="0" w:color="auto"/>
              <w:left w:val="single" w:sz="4" w:space="0" w:color="auto"/>
              <w:bottom w:val="single" w:sz="4" w:space="0" w:color="auto"/>
              <w:right w:val="single" w:sz="4" w:space="0" w:color="auto"/>
            </w:tcBorders>
          </w:tcPr>
          <w:p w14:paraId="26C87923"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y</w:t>
            </w:r>
          </w:p>
        </w:tc>
        <w:tc>
          <w:tcPr>
            <w:tcW w:w="1134" w:type="dxa"/>
            <w:tcBorders>
              <w:top w:val="single" w:sz="4" w:space="0" w:color="auto"/>
              <w:left w:val="single" w:sz="4" w:space="0" w:color="auto"/>
              <w:bottom w:val="single" w:sz="4" w:space="0" w:color="auto"/>
              <w:right w:val="single" w:sz="4" w:space="0" w:color="auto"/>
            </w:tcBorders>
          </w:tcPr>
          <w:p w14:paraId="73DC0E0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0,360</w:t>
            </w:r>
          </w:p>
        </w:tc>
        <w:tc>
          <w:tcPr>
            <w:tcW w:w="1134" w:type="dxa"/>
            <w:tcBorders>
              <w:top w:val="single" w:sz="4" w:space="0" w:color="auto"/>
              <w:left w:val="single" w:sz="4" w:space="0" w:color="auto"/>
              <w:bottom w:val="single" w:sz="4" w:space="0" w:color="auto"/>
              <w:right w:val="single" w:sz="4" w:space="0" w:color="auto"/>
            </w:tcBorders>
          </w:tcPr>
          <w:p w14:paraId="5C12117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0,310</w:t>
            </w:r>
          </w:p>
        </w:tc>
        <w:tc>
          <w:tcPr>
            <w:tcW w:w="1134" w:type="dxa"/>
            <w:tcBorders>
              <w:top w:val="single" w:sz="4" w:space="0" w:color="auto"/>
              <w:left w:val="single" w:sz="4" w:space="0" w:color="auto"/>
              <w:bottom w:val="single" w:sz="4" w:space="0" w:color="auto"/>
              <w:right w:val="single" w:sz="4" w:space="0" w:color="auto"/>
            </w:tcBorders>
          </w:tcPr>
          <w:p w14:paraId="3C3582B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0,325</w:t>
            </w:r>
          </w:p>
        </w:tc>
        <w:tc>
          <w:tcPr>
            <w:tcW w:w="1134" w:type="dxa"/>
            <w:tcBorders>
              <w:top w:val="single" w:sz="4" w:space="0" w:color="auto"/>
              <w:left w:val="single" w:sz="4" w:space="0" w:color="auto"/>
              <w:bottom w:val="single" w:sz="4" w:space="0" w:color="auto"/>
              <w:right w:val="single" w:sz="4" w:space="0" w:color="auto"/>
            </w:tcBorders>
          </w:tcPr>
          <w:p w14:paraId="6BE4509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0,375</w:t>
            </w:r>
          </w:p>
        </w:tc>
      </w:tr>
    </w:tbl>
    <w:p w14:paraId="30F25AFB"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 xml:space="preserve">2.6.2. Wymagania jakościowe </w:t>
      </w:r>
    </w:p>
    <w:p w14:paraId="5C991BE9" w14:textId="77777777" w:rsidR="00176CD4" w:rsidRPr="00176CD4" w:rsidRDefault="00176CD4" w:rsidP="00176CD4">
      <w:pPr>
        <w:widowControl w:val="0"/>
        <w:spacing w:after="0" w:line="240" w:lineRule="auto"/>
        <w:ind w:firstLine="709"/>
        <w:jc w:val="both"/>
        <w:rPr>
          <w:rFonts w:ascii="Arial Narrow" w:eastAsia="Times New Roman" w:hAnsi="Arial Narrow" w:cs="Times New Roman"/>
          <w:sz w:val="24"/>
          <w:szCs w:val="20"/>
          <w:lang w:eastAsia="pl-PL"/>
        </w:rPr>
      </w:pPr>
      <w:r w:rsidRPr="00176CD4">
        <w:rPr>
          <w:rFonts w:ascii="Arial Narrow" w:eastAsia="Times New Roman" w:hAnsi="Arial Narrow" w:cs="Times New Roman"/>
          <w:sz w:val="20"/>
          <w:szCs w:val="20"/>
          <w:lang w:eastAsia="pl-PL"/>
        </w:rPr>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176CD4">
          <w:rPr>
            <w:rFonts w:ascii="Arial Narrow" w:eastAsia="Times New Roman" w:hAnsi="Arial Narrow" w:cs="Times New Roman"/>
            <w:sz w:val="20"/>
            <w:szCs w:val="20"/>
            <w:lang w:eastAsia="pl-PL"/>
          </w:rPr>
          <w:t>1 mm</w:t>
        </w:r>
      </w:smartTag>
      <w:r w:rsidRPr="00176CD4">
        <w:rPr>
          <w:rFonts w:ascii="Arial Narrow" w:eastAsia="Times New Roman" w:hAnsi="Arial Narrow" w:cs="Times New Roman"/>
          <w:sz w:val="20"/>
          <w:szCs w:val="20"/>
          <w:lang w:eastAsia="pl-PL"/>
        </w:rPr>
        <w:t>. Rysy nie mają prawa wystąpić.</w:t>
      </w:r>
    </w:p>
    <w:p w14:paraId="78D0937B"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Sposób połączenia folii z powierzchnią tarczy znaku powinien uniemożliwiać jej odłączenie od tarczy bez jej zniszczenia.</w:t>
      </w:r>
    </w:p>
    <w:p w14:paraId="74B6CDB7"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Dokładność rysunku znaku powinna być taka, aby wady konturów znaku, które mogą powstać przy nanoszeniu farby na odblaskową powierzchnię znaku, nie były większe niż podane w p. 2.6.3.</w:t>
      </w:r>
    </w:p>
    <w:p w14:paraId="23FEE563" w14:textId="77777777" w:rsidR="00176CD4" w:rsidRPr="00176CD4" w:rsidRDefault="00176CD4" w:rsidP="00176CD4">
      <w:pPr>
        <w:widowControl w:val="0"/>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Lica znaków wykonane drukiem sitowym powinny być wolne od smug i cieni.</w:t>
      </w:r>
    </w:p>
    <w:p w14:paraId="04B2BCD8" w14:textId="77777777" w:rsidR="00176CD4" w:rsidRPr="00176CD4" w:rsidRDefault="00176CD4" w:rsidP="00176CD4">
      <w:pPr>
        <w:tabs>
          <w:tab w:val="left" w:pos="708"/>
          <w:tab w:val="center" w:pos="4536"/>
          <w:tab w:val="right" w:pos="9072"/>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Krawędzie lica znaku z folii typu 2 i folii pryzmatycznej powinny być odpowiednio zabezpieczone np. przez lakierowanie lub ramą z profilu ceowego.</w:t>
      </w:r>
    </w:p>
    <w:p w14:paraId="58034E95" w14:textId="77777777" w:rsidR="00176CD4" w:rsidRPr="00176CD4" w:rsidRDefault="00176CD4" w:rsidP="00176CD4">
      <w:pPr>
        <w:widowControl w:val="0"/>
        <w:overflowPunct w:val="0"/>
        <w:autoSpaceDE w:val="0"/>
        <w:autoSpaceDN w:val="0"/>
        <w:adjustRightInd w:val="0"/>
        <w:spacing w:after="0" w:line="240" w:lineRule="auto"/>
        <w:ind w:firstLine="709"/>
        <w:jc w:val="both"/>
        <w:textAlignment w:val="baseline"/>
        <w:rPr>
          <w:rFonts w:ascii="Arial Narrow" w:eastAsia="Times New Roman" w:hAnsi="Arial Narrow" w:cs="Times New Roman"/>
          <w:b/>
          <w:bCs/>
          <w:sz w:val="20"/>
          <w:szCs w:val="20"/>
          <w:lang w:eastAsia="pl-PL"/>
        </w:rPr>
      </w:pPr>
      <w:r w:rsidRPr="00176CD4">
        <w:rPr>
          <w:rFonts w:ascii="Arial Narrow" w:eastAsia="Times New Roman" w:hAnsi="Arial Narrow" w:cs="Times New Roman"/>
          <w:sz w:val="20"/>
          <w:szCs w:val="20"/>
          <w:lang w:eastAsia="pl-PL"/>
        </w:rPr>
        <w:t xml:space="preserve">Powłoka lakiernicza w kolorze RAL 7037 na tylnej stronie znaku powinna być równa, gładka bez smug i zacieków.    </w:t>
      </w:r>
    </w:p>
    <w:p w14:paraId="11EA991A" w14:textId="77777777" w:rsidR="00176CD4" w:rsidRPr="00176CD4" w:rsidRDefault="00176CD4" w:rsidP="00176CD4">
      <w:pPr>
        <w:widowControl w:val="0"/>
        <w:overflowPunct w:val="0"/>
        <w:autoSpaceDE w:val="0"/>
        <w:autoSpaceDN w:val="0"/>
        <w:adjustRightInd w:val="0"/>
        <w:spacing w:after="0" w:line="240" w:lineRule="auto"/>
        <w:ind w:firstLine="709"/>
        <w:textAlignment w:val="baseline"/>
        <w:rPr>
          <w:rFonts w:ascii="Arial Narrow" w:eastAsia="Times New Roman" w:hAnsi="Arial Narrow" w:cs="Times New Roman"/>
          <w:b/>
          <w:bCs/>
          <w:sz w:val="20"/>
          <w:szCs w:val="20"/>
          <w:lang w:eastAsia="pl-PL"/>
        </w:rPr>
      </w:pPr>
      <w:r w:rsidRPr="00176CD4">
        <w:rPr>
          <w:rFonts w:ascii="Arial Narrow" w:eastAsia="Times New Roman" w:hAnsi="Arial Narrow" w:cs="Times New Roman"/>
          <w:sz w:val="20"/>
          <w:szCs w:val="20"/>
          <w:lang w:eastAsia="pl-PL"/>
        </w:rPr>
        <w:t>Sprawdzenie polega na ocenie wizualnej.</w:t>
      </w:r>
    </w:p>
    <w:p w14:paraId="70002E4B"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2.6.3  Tolerancje wymiarowe znaków drogowych</w:t>
      </w:r>
    </w:p>
    <w:p w14:paraId="51FCE7C2"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2.6.3.1  Tolerancje wymiarowe dla grubości blach</w:t>
      </w:r>
    </w:p>
    <w:p w14:paraId="6E53E8B2"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Cs/>
          <w:sz w:val="20"/>
          <w:szCs w:val="20"/>
          <w:lang w:eastAsia="pl-PL"/>
        </w:rPr>
      </w:pPr>
      <w:r w:rsidRPr="00176CD4">
        <w:rPr>
          <w:rFonts w:ascii="Arial Narrow" w:eastAsia="Times New Roman" w:hAnsi="Arial Narrow" w:cs="Times New Roman"/>
          <w:bCs/>
          <w:sz w:val="20"/>
          <w:szCs w:val="20"/>
          <w:lang w:eastAsia="pl-PL"/>
        </w:rPr>
        <w:t>Sprawdzenie śrubą mikrometryczną:</w:t>
      </w:r>
    </w:p>
    <w:p w14:paraId="2412F219"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dla blachy stalowej ocynkowanej ogniowo o gr. 1,25 - </w:t>
      </w:r>
      <w:smartTag w:uri="urn:schemas-microsoft-com:office:smarttags" w:element="metricconverter">
        <w:smartTagPr>
          <w:attr w:name="ProductID" w:val="1,5 mm"/>
        </w:smartTagPr>
        <w:r w:rsidRPr="00176CD4">
          <w:rPr>
            <w:rFonts w:ascii="Arial Narrow" w:eastAsia="Times New Roman" w:hAnsi="Arial Narrow" w:cs="Times New Roman"/>
            <w:sz w:val="20"/>
            <w:szCs w:val="20"/>
            <w:lang w:val="x-none" w:eastAsia="x-none"/>
          </w:rPr>
          <w:t>1,5 mm</w:t>
        </w:r>
      </w:smartTag>
      <w:r w:rsidRPr="00176CD4">
        <w:rPr>
          <w:rFonts w:ascii="Arial Narrow" w:eastAsia="Times New Roman" w:hAnsi="Arial Narrow" w:cs="Times New Roman"/>
          <w:sz w:val="20"/>
          <w:szCs w:val="20"/>
          <w:lang w:val="x-none" w:eastAsia="x-none"/>
        </w:rPr>
        <w:t xml:space="preserve"> wynosi  - </w:t>
      </w:r>
      <w:smartTag w:uri="urn:schemas-microsoft-com:office:smarttags" w:element="metricconverter">
        <w:smartTagPr>
          <w:attr w:name="ProductID" w:val="0,14 mm"/>
        </w:smartTagPr>
        <w:r w:rsidRPr="00176CD4">
          <w:rPr>
            <w:rFonts w:ascii="Arial Narrow" w:eastAsia="Times New Roman" w:hAnsi="Arial Narrow" w:cs="Times New Roman"/>
            <w:sz w:val="20"/>
            <w:szCs w:val="20"/>
            <w:lang w:val="x-none" w:eastAsia="x-none"/>
          </w:rPr>
          <w:t>0,14 mm</w:t>
        </w:r>
      </w:smartTag>
      <w:r w:rsidRPr="00176CD4">
        <w:rPr>
          <w:rFonts w:ascii="Arial Narrow" w:eastAsia="Times New Roman" w:hAnsi="Arial Narrow" w:cs="Times New Roman"/>
          <w:sz w:val="20"/>
          <w:szCs w:val="20"/>
          <w:lang w:val="x-none" w:eastAsia="x-none"/>
        </w:rPr>
        <w:t>,</w:t>
      </w:r>
    </w:p>
    <w:p w14:paraId="05DE5F42"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dla blach aluminiowych o gr. 1,5 - </w:t>
      </w:r>
      <w:smartTag w:uri="urn:schemas-microsoft-com:office:smarttags" w:element="metricconverter">
        <w:smartTagPr>
          <w:attr w:name="ProductID" w:val="2,0 mm"/>
        </w:smartTagPr>
        <w:r w:rsidRPr="00176CD4">
          <w:rPr>
            <w:rFonts w:ascii="Arial Narrow" w:eastAsia="Times New Roman" w:hAnsi="Arial Narrow" w:cs="Times New Roman"/>
            <w:sz w:val="20"/>
            <w:szCs w:val="20"/>
            <w:lang w:val="x-none" w:eastAsia="x-none"/>
          </w:rPr>
          <w:t>2,0 mm</w:t>
        </w:r>
      </w:smartTag>
      <w:r w:rsidRPr="00176CD4">
        <w:rPr>
          <w:rFonts w:ascii="Arial Narrow" w:eastAsia="Times New Roman" w:hAnsi="Arial Narrow" w:cs="Times New Roman"/>
          <w:sz w:val="20"/>
          <w:szCs w:val="20"/>
          <w:lang w:val="x-none" w:eastAsia="x-none"/>
        </w:rPr>
        <w:t xml:space="preserve"> wynosi  - </w:t>
      </w:r>
      <w:smartTag w:uri="urn:schemas-microsoft-com:office:smarttags" w:element="metricconverter">
        <w:smartTagPr>
          <w:attr w:name="ProductID" w:val="0,10 mm"/>
        </w:smartTagPr>
        <w:r w:rsidRPr="00176CD4">
          <w:rPr>
            <w:rFonts w:ascii="Arial Narrow" w:eastAsia="Times New Roman" w:hAnsi="Arial Narrow" w:cs="Times New Roman"/>
            <w:sz w:val="20"/>
            <w:szCs w:val="20"/>
            <w:lang w:val="x-none" w:eastAsia="x-none"/>
          </w:rPr>
          <w:t>0,10 mm</w:t>
        </w:r>
      </w:smartTag>
      <w:r w:rsidRPr="00176CD4">
        <w:rPr>
          <w:rFonts w:ascii="Arial Narrow" w:eastAsia="Times New Roman" w:hAnsi="Arial Narrow" w:cs="Times New Roman"/>
          <w:sz w:val="20"/>
          <w:szCs w:val="20"/>
          <w:lang w:val="x-none" w:eastAsia="x-none"/>
        </w:rPr>
        <w:t>.</w:t>
      </w:r>
    </w:p>
    <w:p w14:paraId="3EF926F7"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 2.6.3.2 Tolerancje wymiarowe dla grubości powłok malarskich </w:t>
      </w:r>
    </w:p>
    <w:p w14:paraId="7758B036"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bCs/>
          <w:sz w:val="20"/>
          <w:szCs w:val="20"/>
          <w:lang w:eastAsia="pl-PL"/>
        </w:rPr>
      </w:pPr>
      <w:r w:rsidRPr="00176CD4">
        <w:rPr>
          <w:rFonts w:ascii="Arial Narrow" w:eastAsia="Times New Roman" w:hAnsi="Arial Narrow" w:cs="Times New Roman"/>
          <w:sz w:val="20"/>
          <w:szCs w:val="20"/>
          <w:lang w:eastAsia="pl-PL"/>
        </w:rPr>
        <w:t xml:space="preserve">Dla powłoki lakierniczej na tylnej powierzchni tarczy znaku o grubości 60 µm wynosi  </w:t>
      </w:r>
      <w:r w:rsidRPr="00176CD4">
        <w:rPr>
          <w:rFonts w:ascii="Arial Narrow" w:eastAsia="Times New Roman" w:hAnsi="Arial Narrow" w:cs="Times New Roman"/>
          <w:sz w:val="20"/>
          <w:szCs w:val="20"/>
          <w:lang w:eastAsia="pl-PL"/>
        </w:rPr>
        <w:sym w:font="Symbol" w:char="F0B1"/>
      </w:r>
      <w:r w:rsidRPr="00176CD4">
        <w:rPr>
          <w:rFonts w:ascii="Arial Narrow" w:eastAsia="Times New Roman" w:hAnsi="Arial Narrow" w:cs="Times New Roman"/>
          <w:sz w:val="20"/>
          <w:szCs w:val="20"/>
          <w:lang w:eastAsia="pl-PL"/>
        </w:rPr>
        <w:t xml:space="preserve">15 nm.  </w:t>
      </w:r>
      <w:r w:rsidRPr="00176CD4">
        <w:rPr>
          <w:rFonts w:ascii="Arial Narrow" w:eastAsia="Times New Roman" w:hAnsi="Arial Narrow" w:cs="Times New Roman"/>
          <w:bCs/>
          <w:sz w:val="20"/>
          <w:szCs w:val="20"/>
          <w:lang w:eastAsia="pl-PL"/>
        </w:rPr>
        <w:t>Sprawdzenie wg PN-EN ISO 2808:2000 [22].</w:t>
      </w:r>
    </w:p>
    <w:p w14:paraId="206D09B2"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2.6.3.3 Tolerancje wymiarowe dla płaskości powierzchni</w:t>
      </w:r>
    </w:p>
    <w:p w14:paraId="1219B1BB"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Odchylenia od poziomu nie mogą wynieść więcej niż 0,2 %, wyjątkowo do 0,5 %. Sprawdzenie szczelinomierzem.</w:t>
      </w:r>
    </w:p>
    <w:p w14:paraId="7EC41205"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2.6.3.4 Tolerancje wymiarowe dla tarcz znaków</w:t>
      </w:r>
    </w:p>
    <w:p w14:paraId="42F447C5"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Sprawdzenie przymiarem liniowym:</w:t>
      </w:r>
    </w:p>
    <w:p w14:paraId="30723772"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wymiary dla tarcz znaków o powierzchni &lt; 1m</w:t>
      </w:r>
      <w:r w:rsidRPr="00176CD4">
        <w:rPr>
          <w:rFonts w:ascii="Arial Narrow" w:eastAsia="Times New Roman" w:hAnsi="Arial Narrow" w:cs="Times New Roman"/>
          <w:sz w:val="20"/>
          <w:szCs w:val="20"/>
          <w:vertAlign w:val="superscript"/>
          <w:lang w:val="x-none" w:eastAsia="x-none"/>
        </w:rPr>
        <w:t>2</w:t>
      </w:r>
      <w:r w:rsidRPr="00176CD4">
        <w:rPr>
          <w:rFonts w:ascii="Arial Narrow" w:eastAsia="Times New Roman" w:hAnsi="Arial Narrow" w:cs="Times New Roman"/>
          <w:sz w:val="20"/>
          <w:szCs w:val="20"/>
          <w:lang w:val="x-none" w:eastAsia="x-none"/>
        </w:rPr>
        <w:t xml:space="preserve"> podane w opisach szczegółowych załącznika nr 1 [25] są  należy powiększyć o </w:t>
      </w:r>
      <w:smartTag w:uri="urn:schemas-microsoft-com:office:smarttags" w:element="metricconverter">
        <w:smartTagPr>
          <w:attr w:name="ProductID" w:val="10 mm"/>
        </w:smartTagPr>
        <w:r w:rsidRPr="00176CD4">
          <w:rPr>
            <w:rFonts w:ascii="Arial Narrow" w:eastAsia="Times New Roman" w:hAnsi="Arial Narrow" w:cs="Times New Roman"/>
            <w:sz w:val="20"/>
            <w:szCs w:val="20"/>
            <w:lang w:val="x-none" w:eastAsia="x-none"/>
          </w:rPr>
          <w:t>10 mm</w:t>
        </w:r>
      </w:smartTag>
      <w:r w:rsidRPr="00176CD4">
        <w:rPr>
          <w:rFonts w:ascii="Arial Narrow" w:eastAsia="Times New Roman" w:hAnsi="Arial Narrow" w:cs="Times New Roman"/>
          <w:sz w:val="20"/>
          <w:szCs w:val="20"/>
          <w:lang w:val="x-none" w:eastAsia="x-none"/>
        </w:rPr>
        <w:t xml:space="preserve"> i wykonać w tolerancji wymiarowej </w:t>
      </w:r>
      <w:r w:rsidRPr="00176CD4">
        <w:rPr>
          <w:rFonts w:ascii="Arial Narrow" w:eastAsia="Times New Roman" w:hAnsi="Arial Narrow" w:cs="Times New Roman"/>
          <w:sz w:val="20"/>
          <w:szCs w:val="20"/>
          <w:lang w:val="x-none" w:eastAsia="x-none"/>
        </w:rPr>
        <w:sym w:font="Symbol" w:char="F0B1"/>
      </w:r>
      <w:r w:rsidRPr="00176CD4">
        <w:rPr>
          <w:rFonts w:ascii="Arial Narrow" w:eastAsia="Times New Roman" w:hAnsi="Arial Narrow" w:cs="Times New Roman"/>
          <w:sz w:val="20"/>
          <w:szCs w:val="20"/>
          <w:lang w:val="x-none" w:eastAsia="x-none"/>
        </w:rPr>
        <w:t xml:space="preserve"> </w:t>
      </w:r>
      <w:smartTag w:uri="urn:schemas-microsoft-com:office:smarttags" w:element="metricconverter">
        <w:smartTagPr>
          <w:attr w:name="ProductID" w:val="5 mm"/>
        </w:smartTagPr>
        <w:r w:rsidRPr="00176CD4">
          <w:rPr>
            <w:rFonts w:ascii="Arial Narrow" w:eastAsia="Times New Roman" w:hAnsi="Arial Narrow" w:cs="Times New Roman"/>
            <w:sz w:val="20"/>
            <w:szCs w:val="20"/>
            <w:lang w:val="x-none" w:eastAsia="x-none"/>
          </w:rPr>
          <w:t>5 mm</w:t>
        </w:r>
      </w:smartTag>
      <w:r w:rsidRPr="00176CD4">
        <w:rPr>
          <w:rFonts w:ascii="Arial Narrow" w:eastAsia="Times New Roman" w:hAnsi="Arial Narrow" w:cs="Times New Roman"/>
          <w:sz w:val="20"/>
          <w:szCs w:val="20"/>
          <w:lang w:val="x-none" w:eastAsia="x-none"/>
        </w:rPr>
        <w:t>,</w:t>
      </w:r>
    </w:p>
    <w:p w14:paraId="28C5D2F4"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wymiary dla tarcz znaków i tablic  o powierzchni &gt; 1m</w:t>
      </w:r>
      <w:r w:rsidRPr="00176CD4">
        <w:rPr>
          <w:rFonts w:ascii="Arial Narrow" w:eastAsia="Times New Roman" w:hAnsi="Arial Narrow" w:cs="Times New Roman"/>
          <w:sz w:val="20"/>
          <w:szCs w:val="20"/>
          <w:vertAlign w:val="superscript"/>
          <w:lang w:val="x-none" w:eastAsia="x-none"/>
        </w:rPr>
        <w:t>2</w:t>
      </w:r>
      <w:r w:rsidRPr="00176CD4">
        <w:rPr>
          <w:rFonts w:ascii="Arial Narrow" w:eastAsia="Times New Roman" w:hAnsi="Arial Narrow" w:cs="Times New Roman"/>
          <w:sz w:val="20"/>
          <w:szCs w:val="20"/>
          <w:lang w:val="x-none" w:eastAsia="x-none"/>
        </w:rPr>
        <w:t xml:space="preserve"> podane w opisach szczegółowych załącznika nr 1 [25] oraz  wymiary wynikowe dla tablic grupy E należy powiększyć o </w:t>
      </w:r>
      <w:smartTag w:uri="urn:schemas-microsoft-com:office:smarttags" w:element="metricconverter">
        <w:smartTagPr>
          <w:attr w:name="ProductID" w:val="15 mm"/>
        </w:smartTagPr>
        <w:r w:rsidRPr="00176CD4">
          <w:rPr>
            <w:rFonts w:ascii="Arial Narrow" w:eastAsia="Times New Roman" w:hAnsi="Arial Narrow" w:cs="Times New Roman"/>
            <w:sz w:val="20"/>
            <w:szCs w:val="20"/>
            <w:lang w:val="x-none" w:eastAsia="x-none"/>
          </w:rPr>
          <w:t>15 mm</w:t>
        </w:r>
      </w:smartTag>
      <w:r w:rsidRPr="00176CD4">
        <w:rPr>
          <w:rFonts w:ascii="Arial Narrow" w:eastAsia="Times New Roman" w:hAnsi="Arial Narrow" w:cs="Times New Roman"/>
          <w:sz w:val="20"/>
          <w:szCs w:val="20"/>
          <w:lang w:val="x-none" w:eastAsia="x-none"/>
        </w:rPr>
        <w:t xml:space="preserve"> i wykonać w tolerancji wymiarowej  </w:t>
      </w:r>
      <w:r w:rsidRPr="00176CD4">
        <w:rPr>
          <w:rFonts w:ascii="Arial Narrow" w:eastAsia="Times New Roman" w:hAnsi="Arial Narrow" w:cs="Times New Roman"/>
          <w:sz w:val="20"/>
          <w:szCs w:val="20"/>
          <w:lang w:val="x-none" w:eastAsia="x-none"/>
        </w:rPr>
        <w:sym w:font="Symbol" w:char="F0B1"/>
      </w:r>
      <w:r w:rsidRPr="00176CD4">
        <w:rPr>
          <w:rFonts w:ascii="Arial Narrow" w:eastAsia="Times New Roman" w:hAnsi="Arial Narrow" w:cs="Times New Roman"/>
          <w:sz w:val="20"/>
          <w:szCs w:val="20"/>
          <w:lang w:val="x-none" w:eastAsia="x-none"/>
        </w:rPr>
        <w:t xml:space="preserve"> </w:t>
      </w:r>
      <w:smartTag w:uri="urn:schemas-microsoft-com:office:smarttags" w:element="metricconverter">
        <w:smartTagPr>
          <w:attr w:name="ProductID" w:val="10 mm"/>
        </w:smartTagPr>
        <w:r w:rsidRPr="00176CD4">
          <w:rPr>
            <w:rFonts w:ascii="Arial Narrow" w:eastAsia="Times New Roman" w:hAnsi="Arial Narrow" w:cs="Times New Roman"/>
            <w:sz w:val="20"/>
            <w:szCs w:val="20"/>
            <w:lang w:val="x-none" w:eastAsia="x-none"/>
          </w:rPr>
          <w:t>10 mm</w:t>
        </w:r>
      </w:smartTag>
      <w:r w:rsidRPr="00176CD4">
        <w:rPr>
          <w:rFonts w:ascii="Arial Narrow" w:eastAsia="Times New Roman" w:hAnsi="Arial Narrow" w:cs="Times New Roman"/>
          <w:sz w:val="20"/>
          <w:szCs w:val="20"/>
          <w:lang w:val="x-none" w:eastAsia="x-none"/>
        </w:rPr>
        <w:t>.</w:t>
      </w:r>
    </w:p>
    <w:p w14:paraId="483A9981" w14:textId="77777777" w:rsidR="00176CD4" w:rsidRPr="00176CD4" w:rsidRDefault="00176CD4" w:rsidP="00176CD4">
      <w:p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2.6.3.5 Tolerancje wymiarowe dla lica znaku </w:t>
      </w:r>
    </w:p>
    <w:p w14:paraId="0B1FD2EB"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Sprawdzone przymiarem liniowym:</w:t>
      </w:r>
    </w:p>
    <w:p w14:paraId="5EEB27CF"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tolerancje wymiarowe rysunku lica  wykonanego drukiem sitowym wynoszą  </w:t>
      </w:r>
      <w:r w:rsidRPr="00176CD4">
        <w:rPr>
          <w:rFonts w:ascii="Arial Narrow" w:eastAsia="Times New Roman" w:hAnsi="Arial Narrow" w:cs="Times New Roman"/>
          <w:sz w:val="20"/>
          <w:szCs w:val="20"/>
          <w:lang w:val="x-none" w:eastAsia="x-none"/>
        </w:rPr>
        <w:sym w:font="Symbol" w:char="F0B1"/>
      </w:r>
      <w:r w:rsidRPr="00176CD4">
        <w:rPr>
          <w:rFonts w:ascii="Arial Narrow" w:eastAsia="Times New Roman" w:hAnsi="Arial Narrow" w:cs="Times New Roman"/>
          <w:sz w:val="20"/>
          <w:szCs w:val="20"/>
          <w:lang w:val="x-none" w:eastAsia="x-none"/>
        </w:rPr>
        <w:t xml:space="preserve"> </w:t>
      </w:r>
      <w:smartTag w:uri="urn:schemas-microsoft-com:office:smarttags" w:element="metricconverter">
        <w:smartTagPr>
          <w:attr w:name="ProductID" w:val="1,5 mm"/>
        </w:smartTagPr>
        <w:r w:rsidRPr="00176CD4">
          <w:rPr>
            <w:rFonts w:ascii="Arial Narrow" w:eastAsia="Times New Roman" w:hAnsi="Arial Narrow" w:cs="Times New Roman"/>
            <w:sz w:val="20"/>
            <w:szCs w:val="20"/>
            <w:lang w:val="x-none" w:eastAsia="x-none"/>
          </w:rPr>
          <w:t>1,5 mm</w:t>
        </w:r>
      </w:smartTag>
      <w:r w:rsidRPr="00176CD4">
        <w:rPr>
          <w:rFonts w:ascii="Arial Narrow" w:eastAsia="Times New Roman" w:hAnsi="Arial Narrow" w:cs="Times New Roman"/>
          <w:sz w:val="20"/>
          <w:szCs w:val="20"/>
          <w:lang w:val="x-none" w:eastAsia="x-none"/>
        </w:rPr>
        <w:t>,</w:t>
      </w:r>
    </w:p>
    <w:p w14:paraId="7E631101"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tolerancje wymiarowe rysunku lica wykonanego metodą wyklejania wynoszą  </w:t>
      </w:r>
      <w:r w:rsidRPr="00176CD4">
        <w:rPr>
          <w:rFonts w:ascii="Arial Narrow" w:eastAsia="Times New Roman" w:hAnsi="Arial Narrow" w:cs="Times New Roman"/>
          <w:sz w:val="20"/>
          <w:szCs w:val="20"/>
          <w:lang w:val="x-none" w:eastAsia="x-none"/>
        </w:rPr>
        <w:sym w:font="Symbol" w:char="F0B1"/>
      </w:r>
      <w:r w:rsidRPr="00176CD4">
        <w:rPr>
          <w:rFonts w:ascii="Arial Narrow" w:eastAsia="Times New Roman" w:hAnsi="Arial Narrow" w:cs="Times New Roman"/>
          <w:sz w:val="20"/>
          <w:szCs w:val="20"/>
          <w:lang w:val="x-none" w:eastAsia="x-none"/>
        </w:rPr>
        <w:t xml:space="preserve"> </w:t>
      </w:r>
      <w:smartTag w:uri="urn:schemas-microsoft-com:office:smarttags" w:element="metricconverter">
        <w:smartTagPr>
          <w:attr w:name="ProductID" w:val="2 mm"/>
        </w:smartTagPr>
        <w:r w:rsidRPr="00176CD4">
          <w:rPr>
            <w:rFonts w:ascii="Arial Narrow" w:eastAsia="Times New Roman" w:hAnsi="Arial Narrow" w:cs="Times New Roman"/>
            <w:sz w:val="20"/>
            <w:szCs w:val="20"/>
            <w:lang w:val="x-none" w:eastAsia="x-none"/>
          </w:rPr>
          <w:t>2 mm</w:t>
        </w:r>
      </w:smartTag>
      <w:r w:rsidRPr="00176CD4">
        <w:rPr>
          <w:rFonts w:ascii="Arial Narrow" w:eastAsia="Times New Roman" w:hAnsi="Arial Narrow" w:cs="Times New Roman"/>
          <w:sz w:val="20"/>
          <w:szCs w:val="20"/>
          <w:lang w:val="x-none" w:eastAsia="x-none"/>
        </w:rPr>
        <w:t>,</w:t>
      </w:r>
    </w:p>
    <w:p w14:paraId="39904747"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kontury rysunku znaku (obwódka i symbol) muszą być równe z dokładnością  w każdym  kierunku do </w:t>
      </w:r>
      <w:smartTag w:uri="urn:schemas-microsoft-com:office:smarttags" w:element="metricconverter">
        <w:smartTagPr>
          <w:attr w:name="ProductID" w:val="1,0 mm"/>
        </w:smartTagPr>
        <w:r w:rsidRPr="00176CD4">
          <w:rPr>
            <w:rFonts w:ascii="Arial Narrow" w:eastAsia="Times New Roman" w:hAnsi="Arial Narrow" w:cs="Times New Roman"/>
            <w:sz w:val="20"/>
            <w:szCs w:val="20"/>
            <w:lang w:val="x-none" w:eastAsia="x-none"/>
          </w:rPr>
          <w:t>1,0 mm</w:t>
        </w:r>
      </w:smartTag>
      <w:r w:rsidRPr="00176CD4">
        <w:rPr>
          <w:rFonts w:ascii="Arial Narrow" w:eastAsia="Times New Roman" w:hAnsi="Arial Narrow" w:cs="Times New Roman"/>
          <w:sz w:val="20"/>
          <w:szCs w:val="20"/>
          <w:lang w:val="x-none" w:eastAsia="x-none"/>
        </w:rPr>
        <w:t>.</w:t>
      </w:r>
    </w:p>
    <w:p w14:paraId="6F0B48A1"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1EEE4087"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W znakach nowych na każdym z fragmentów powierzchni znaku o wymiarach 4 x </w:t>
      </w:r>
      <w:smartTag w:uri="urn:schemas-microsoft-com:office:smarttags" w:element="metricconverter">
        <w:smartTagPr>
          <w:attr w:name="ProductID" w:val="4 cm"/>
        </w:smartTagPr>
        <w:r w:rsidRPr="00176CD4">
          <w:rPr>
            <w:rFonts w:ascii="Arial Narrow" w:eastAsia="Times New Roman" w:hAnsi="Arial Narrow" w:cs="Times New Roman"/>
            <w:sz w:val="20"/>
            <w:szCs w:val="20"/>
            <w:lang w:eastAsia="pl-PL"/>
          </w:rPr>
          <w:t>4 cm</w:t>
        </w:r>
      </w:smartTag>
      <w:r w:rsidRPr="00176CD4">
        <w:rPr>
          <w:rFonts w:ascii="Arial Narrow" w:eastAsia="Times New Roman" w:hAnsi="Arial Narrow" w:cs="Times New Roman"/>
          <w:sz w:val="20"/>
          <w:szCs w:val="20"/>
          <w:lang w:eastAsia="pl-PL"/>
        </w:rPr>
        <w:t xml:space="preserve"> nie może występować więcej niż 0,7 lokalnych usterek (załamania, pęcherzyki) o wymiarach nie większych niż </w:t>
      </w:r>
      <w:smartTag w:uri="urn:schemas-microsoft-com:office:smarttags" w:element="metricconverter">
        <w:smartTagPr>
          <w:attr w:name="ProductID" w:val="1 mm"/>
        </w:smartTagPr>
        <w:r w:rsidRPr="00176CD4">
          <w:rPr>
            <w:rFonts w:ascii="Arial Narrow" w:eastAsia="Times New Roman" w:hAnsi="Arial Narrow" w:cs="Times New Roman"/>
            <w:sz w:val="20"/>
            <w:szCs w:val="20"/>
            <w:lang w:eastAsia="pl-PL"/>
          </w:rPr>
          <w:t>1 mm</w:t>
        </w:r>
      </w:smartTag>
      <w:r w:rsidRPr="00176CD4">
        <w:rPr>
          <w:rFonts w:ascii="Arial Narrow" w:eastAsia="Times New Roman" w:hAnsi="Arial Narrow" w:cs="Times New Roman"/>
          <w:sz w:val="20"/>
          <w:szCs w:val="20"/>
          <w:lang w:eastAsia="pl-PL"/>
        </w:rPr>
        <w:t xml:space="preserve"> w każdym kierunku. Niedopuszczalne jest występowanie jakichkolwiek zarysowań powierzchni znaku.</w:t>
      </w:r>
    </w:p>
    <w:p w14:paraId="352E2E38"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Na znakach w okresie gwarancji, na każdym z fragmentów powierzchni znaku o wymiarach 4 x </w:t>
      </w:r>
      <w:smartTag w:uri="urn:schemas-microsoft-com:office:smarttags" w:element="metricconverter">
        <w:smartTagPr>
          <w:attr w:name="ProductID" w:val="4 cm"/>
        </w:smartTagPr>
        <w:r w:rsidRPr="00176CD4">
          <w:rPr>
            <w:rFonts w:ascii="Arial Narrow" w:eastAsia="Times New Roman" w:hAnsi="Arial Narrow" w:cs="Times New Roman"/>
            <w:sz w:val="20"/>
            <w:szCs w:val="20"/>
            <w:lang w:eastAsia="pl-PL"/>
          </w:rPr>
          <w:t>4 cm</w:t>
        </w:r>
      </w:smartTag>
      <w:r w:rsidRPr="00176CD4">
        <w:rPr>
          <w:rFonts w:ascii="Arial Narrow" w:eastAsia="Times New Roman" w:hAnsi="Arial Narrow" w:cs="Times New Roman"/>
          <w:sz w:val="20"/>
          <w:szCs w:val="20"/>
          <w:lang w:eastAsia="pl-PL"/>
        </w:rPr>
        <w:t xml:space="preserve"> dopuszcza się do 2 usterek jak wyżej, o wymiarach nie większych niż </w:t>
      </w:r>
      <w:smartTag w:uri="urn:schemas-microsoft-com:office:smarttags" w:element="metricconverter">
        <w:smartTagPr>
          <w:attr w:name="ProductID" w:val="1 mm"/>
        </w:smartTagPr>
        <w:r w:rsidRPr="00176CD4">
          <w:rPr>
            <w:rFonts w:ascii="Arial Narrow" w:eastAsia="Times New Roman" w:hAnsi="Arial Narrow" w:cs="Times New Roman"/>
            <w:sz w:val="20"/>
            <w:szCs w:val="20"/>
            <w:lang w:eastAsia="pl-PL"/>
          </w:rPr>
          <w:t>1 mm</w:t>
        </w:r>
      </w:smartTag>
      <w:r w:rsidRPr="00176CD4">
        <w:rPr>
          <w:rFonts w:ascii="Arial Narrow" w:eastAsia="Times New Roman" w:hAnsi="Arial Narrow" w:cs="Times New Roman"/>
          <w:sz w:val="20"/>
          <w:szCs w:val="20"/>
          <w:lang w:eastAsia="pl-PL"/>
        </w:rPr>
        <w:t xml:space="preserve"> w każdym kierunku. Na powierzchni tej dopuszcza się do 3 zarysowań o szerokości nie większej niż </w:t>
      </w:r>
      <w:smartTag w:uri="urn:schemas-microsoft-com:office:smarttags" w:element="metricconverter">
        <w:smartTagPr>
          <w:attr w:name="ProductID" w:val="0,8 mm"/>
        </w:smartTagPr>
        <w:r w:rsidRPr="00176CD4">
          <w:rPr>
            <w:rFonts w:ascii="Arial Narrow" w:eastAsia="Times New Roman" w:hAnsi="Arial Narrow" w:cs="Times New Roman"/>
            <w:sz w:val="20"/>
            <w:szCs w:val="20"/>
            <w:lang w:eastAsia="pl-PL"/>
          </w:rPr>
          <w:t>0,8 mm</w:t>
        </w:r>
      </w:smartTag>
      <w:r w:rsidRPr="00176CD4">
        <w:rPr>
          <w:rFonts w:ascii="Arial Narrow" w:eastAsia="Times New Roman" w:hAnsi="Arial Narrow" w:cs="Times New Roman"/>
          <w:sz w:val="20"/>
          <w:szCs w:val="20"/>
          <w:lang w:eastAsia="pl-PL"/>
        </w:rPr>
        <w:t xml:space="preserve"> i całkowitej długości nie większej niż </w:t>
      </w:r>
      <w:smartTag w:uri="urn:schemas-microsoft-com:office:smarttags" w:element="metricconverter">
        <w:smartTagPr>
          <w:attr w:name="ProductID" w:val="10 cm"/>
        </w:smartTagPr>
        <w:r w:rsidRPr="00176CD4">
          <w:rPr>
            <w:rFonts w:ascii="Arial Narrow" w:eastAsia="Times New Roman" w:hAnsi="Arial Narrow" w:cs="Times New Roman"/>
            <w:sz w:val="20"/>
            <w:szCs w:val="20"/>
            <w:lang w:eastAsia="pl-PL"/>
          </w:rPr>
          <w:t>10 cm</w:t>
        </w:r>
      </w:smartTag>
      <w:r w:rsidRPr="00176CD4">
        <w:rPr>
          <w:rFonts w:ascii="Arial Narrow" w:eastAsia="Times New Roman" w:hAnsi="Arial Narrow" w:cs="Times New Roman"/>
          <w:sz w:val="20"/>
          <w:szCs w:val="20"/>
          <w:lang w:eastAsia="pl-PL"/>
        </w:rPr>
        <w:t xml:space="preserve">. Na całkowitej długości znaku dopuszcza się nie więcej niż 5 rys szerokości nie większej niż </w:t>
      </w:r>
      <w:smartTag w:uri="urn:schemas-microsoft-com:office:smarttags" w:element="metricconverter">
        <w:smartTagPr>
          <w:attr w:name="ProductID" w:val="0,8 mm"/>
        </w:smartTagPr>
        <w:r w:rsidRPr="00176CD4">
          <w:rPr>
            <w:rFonts w:ascii="Arial Narrow" w:eastAsia="Times New Roman" w:hAnsi="Arial Narrow" w:cs="Times New Roman"/>
            <w:sz w:val="20"/>
            <w:szCs w:val="20"/>
            <w:lang w:eastAsia="pl-PL"/>
          </w:rPr>
          <w:t>0,8 mm</w:t>
        </w:r>
      </w:smartTag>
      <w:r w:rsidRPr="00176CD4">
        <w:rPr>
          <w:rFonts w:ascii="Arial Narrow" w:eastAsia="Times New Roman" w:hAnsi="Arial Narrow" w:cs="Times New Roman"/>
          <w:sz w:val="20"/>
          <w:szCs w:val="20"/>
          <w:lang w:eastAsia="pl-PL"/>
        </w:rPr>
        <w:t xml:space="preserve"> i długości przekraczającej </w:t>
      </w:r>
      <w:smartTag w:uri="urn:schemas-microsoft-com:office:smarttags" w:element="metricconverter">
        <w:smartTagPr>
          <w:attr w:name="ProductID" w:val="10 cm"/>
        </w:smartTagPr>
        <w:r w:rsidRPr="00176CD4">
          <w:rPr>
            <w:rFonts w:ascii="Arial Narrow" w:eastAsia="Times New Roman" w:hAnsi="Arial Narrow" w:cs="Times New Roman"/>
            <w:sz w:val="20"/>
            <w:szCs w:val="20"/>
            <w:lang w:eastAsia="pl-PL"/>
          </w:rPr>
          <w:t>10 cm</w:t>
        </w:r>
      </w:smartTag>
      <w:r w:rsidRPr="00176CD4">
        <w:rPr>
          <w:rFonts w:ascii="Arial Narrow" w:eastAsia="Times New Roman" w:hAnsi="Arial Narrow" w:cs="Times New Roman"/>
          <w:sz w:val="20"/>
          <w:szCs w:val="20"/>
          <w:lang w:eastAsia="pl-PL"/>
        </w:rPr>
        <w:t xml:space="preserve"> - pod warunkiem, że zarysowania te nie zniekształcają treści znaku.</w:t>
      </w:r>
    </w:p>
    <w:p w14:paraId="47AFF681"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Na znakach w okresie gwarancji dopuszcza się również lokalne uszkodzenie folii o powierzchni nie przekraczającej 6 mm</w:t>
      </w:r>
      <w:r w:rsidRPr="00176CD4">
        <w:rPr>
          <w:rFonts w:ascii="Arial Narrow" w:eastAsia="Times New Roman" w:hAnsi="Arial Narrow" w:cs="Times New Roman"/>
          <w:sz w:val="20"/>
          <w:szCs w:val="20"/>
          <w:vertAlign w:val="superscript"/>
          <w:lang w:eastAsia="pl-PL"/>
        </w:rPr>
        <w:t>2</w:t>
      </w:r>
      <w:r w:rsidRPr="00176CD4">
        <w:rPr>
          <w:rFonts w:ascii="Arial Narrow" w:eastAsia="Times New Roman" w:hAnsi="Arial Narrow" w:cs="Times New Roman"/>
          <w:sz w:val="20"/>
          <w:szCs w:val="20"/>
          <w:lang w:eastAsia="pl-PL"/>
        </w:rPr>
        <w:t xml:space="preserve"> każde - w liczbie nie większej niż pięć na powierzchni znaku małego lub średniego, oraz o powierzchni nie przekraczającej 8 mm</w:t>
      </w:r>
      <w:r w:rsidRPr="00176CD4">
        <w:rPr>
          <w:rFonts w:ascii="Arial Narrow" w:eastAsia="Times New Roman" w:hAnsi="Arial Narrow" w:cs="Times New Roman"/>
          <w:sz w:val="20"/>
          <w:szCs w:val="20"/>
          <w:vertAlign w:val="superscript"/>
          <w:lang w:eastAsia="pl-PL"/>
        </w:rPr>
        <w:t>2</w:t>
      </w:r>
      <w:r w:rsidRPr="00176CD4">
        <w:rPr>
          <w:rFonts w:ascii="Arial Narrow" w:eastAsia="Times New Roman" w:hAnsi="Arial Narrow" w:cs="Times New Roman"/>
          <w:sz w:val="20"/>
          <w:szCs w:val="20"/>
          <w:lang w:eastAsia="pl-PL"/>
        </w:rPr>
        <w:t xml:space="preserve"> </w:t>
      </w:r>
      <w:r w:rsidRPr="00176CD4">
        <w:rPr>
          <w:rFonts w:ascii="Arial Narrow" w:eastAsia="Times New Roman" w:hAnsi="Arial Narrow" w:cs="Times New Roman"/>
          <w:sz w:val="20"/>
          <w:szCs w:val="20"/>
          <w:lang w:eastAsia="pl-PL"/>
        </w:rPr>
        <w:lastRenderedPageBreak/>
        <w:t xml:space="preserve">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176CD4">
          <w:rPr>
            <w:rFonts w:ascii="Arial Narrow" w:eastAsia="Times New Roman" w:hAnsi="Arial Narrow" w:cs="Times New Roman"/>
            <w:sz w:val="20"/>
            <w:szCs w:val="20"/>
            <w:lang w:eastAsia="pl-PL"/>
          </w:rPr>
          <w:t>1200 mm</w:t>
        </w:r>
      </w:smartTag>
      <w:r w:rsidRPr="00176CD4">
        <w:rPr>
          <w:rFonts w:ascii="Arial Narrow" w:eastAsia="Times New Roman" w:hAnsi="Arial Narrow" w:cs="Times New Roman"/>
          <w:sz w:val="20"/>
          <w:szCs w:val="20"/>
          <w:lang w:eastAsia="pl-PL"/>
        </w:rPr>
        <w:t>.</w:t>
      </w:r>
    </w:p>
    <w:p w14:paraId="44909CBD"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Uszkodzenia folii nie mogą zniekształcać treści znaku - w przypadku występowania takiego zniekształcenia znak musi być bezzwłocznie wymieniony.</w:t>
      </w:r>
    </w:p>
    <w:p w14:paraId="7AD9CB62"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105C6ECF"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176CD4">
          <w:rPr>
            <w:rFonts w:ascii="Arial Narrow" w:eastAsia="Times New Roman" w:hAnsi="Arial Narrow" w:cs="Times New Roman"/>
            <w:sz w:val="20"/>
            <w:szCs w:val="20"/>
            <w:lang w:eastAsia="pl-PL"/>
          </w:rPr>
          <w:t>2,0 mm</w:t>
        </w:r>
      </w:smartTag>
      <w:r w:rsidRPr="00176CD4">
        <w:rPr>
          <w:rFonts w:ascii="Arial Narrow" w:eastAsia="Times New Roman" w:hAnsi="Arial Narrow" w:cs="Times New Roman"/>
          <w:sz w:val="20"/>
          <w:szCs w:val="20"/>
          <w:lang w:eastAsia="pl-PL"/>
        </w:rPr>
        <w:t xml:space="preserve"> w każdym kierunku na powierzchni każdego z fragmentów znaku o wymiarach 4 × </w:t>
      </w:r>
      <w:smartTag w:uri="urn:schemas-microsoft-com:office:smarttags" w:element="metricconverter">
        <w:smartTagPr>
          <w:attr w:name="ProductID" w:val="4 cm"/>
        </w:smartTagPr>
        <w:r w:rsidRPr="00176CD4">
          <w:rPr>
            <w:rFonts w:ascii="Arial Narrow" w:eastAsia="Times New Roman" w:hAnsi="Arial Narrow" w:cs="Times New Roman"/>
            <w:sz w:val="20"/>
            <w:szCs w:val="20"/>
            <w:lang w:eastAsia="pl-PL"/>
          </w:rPr>
          <w:t>4 cm</w:t>
        </w:r>
      </w:smartTag>
      <w:r w:rsidRPr="00176CD4">
        <w:rPr>
          <w:rFonts w:ascii="Arial Narrow" w:eastAsia="Times New Roman" w:hAnsi="Arial Narrow" w:cs="Times New Roman"/>
          <w:sz w:val="20"/>
          <w:szCs w:val="20"/>
          <w:lang w:eastAsia="pl-PL"/>
        </w:rPr>
        <w:t>. W znakach nowych oraz w znakach znajdujących się w okresie wymaganej gwarancji żadna korozja tarczy znaku nie może występować.</w:t>
      </w:r>
    </w:p>
    <w:p w14:paraId="4513A695"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Wymagana jest taka wytrzymałość połączenia folii odblaskowej z tarczą znaku, by po zgięciu tarczy o 90</w:t>
      </w:r>
      <w:r w:rsidRPr="00176CD4">
        <w:rPr>
          <w:rFonts w:ascii="Arial Narrow" w:eastAsia="Times New Roman" w:hAnsi="Arial Narrow" w:cs="Times New Roman"/>
          <w:sz w:val="20"/>
          <w:szCs w:val="20"/>
          <w:vertAlign w:val="superscript"/>
          <w:lang w:eastAsia="pl-PL"/>
        </w:rPr>
        <w:t>o</w:t>
      </w:r>
      <w:r w:rsidRPr="00176CD4">
        <w:rPr>
          <w:rFonts w:ascii="Arial Narrow" w:eastAsia="Times New Roman" w:hAnsi="Arial Narrow" w:cs="Times New Roman"/>
          <w:sz w:val="20"/>
          <w:szCs w:val="20"/>
          <w:lang w:eastAsia="pl-PL"/>
        </w:rPr>
        <w:t xml:space="preserve"> przy promieniu łuku zgięcia do </w:t>
      </w:r>
      <w:smartTag w:uri="urn:schemas-microsoft-com:office:smarttags" w:element="metricconverter">
        <w:smartTagPr>
          <w:attr w:name="ProductID" w:val="10 mm"/>
        </w:smartTagPr>
        <w:r w:rsidRPr="00176CD4">
          <w:rPr>
            <w:rFonts w:ascii="Arial Narrow" w:eastAsia="Times New Roman" w:hAnsi="Arial Narrow" w:cs="Times New Roman"/>
            <w:sz w:val="20"/>
            <w:szCs w:val="20"/>
            <w:lang w:eastAsia="pl-PL"/>
          </w:rPr>
          <w:t>10 mm</w:t>
        </w:r>
      </w:smartTag>
      <w:r w:rsidRPr="00176CD4">
        <w:rPr>
          <w:rFonts w:ascii="Arial Narrow" w:eastAsia="Times New Roman" w:hAnsi="Arial Narrow" w:cs="Times New Roman"/>
          <w:sz w:val="20"/>
          <w:szCs w:val="20"/>
          <w:lang w:eastAsia="pl-PL"/>
        </w:rPr>
        <w:t xml:space="preserve"> w żadnym miejscu nie uległo ono zniszczeniu.</w:t>
      </w:r>
    </w:p>
    <w:p w14:paraId="1DEA827D"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2.6.4   Obowiązujący system oceny zgodności</w:t>
      </w:r>
    </w:p>
    <w:p w14:paraId="489CBF84"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Zgodnie z art. 4, art. 5 ust. 1 oraz art. 8, ust. 1 ustawy z dnia 16 kwietnia 2004 r. o wyrobach budowlanych [30] wyrób, który posiada aprobatę techniczną może być wprowadzony do obrotu i stosowania przy wykonywaniu robót budowlanych w zakresie odpowiadającym jego właściwościom użytkowym i przeznaczeniu, jeżeli producent dokonał oceny zgodności, wydał krajową deklarację zgodności z aprobatą techniczną i oznakował wyrób budowlany zgodnie z obowiązującymi przepisami.</w:t>
      </w:r>
    </w:p>
    <w:p w14:paraId="406BF715"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Zgodnie z rozporządzeniem Ministra Infrastruktury z dnia 11 sierpnia 2004 r. [26] oceny zgodności wyrobu z aprobatą techniczną dokonuje producent, stosując system 1. </w:t>
      </w:r>
    </w:p>
    <w:p w14:paraId="08F2A917"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2.7. Znaki aktywne</w:t>
      </w:r>
    </w:p>
    <w:p w14:paraId="604D7D44"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Znak drogowy musi mieć umieszczone w sposób trwały oznaczenia przewidziane na naklejce według ustalenia punktu </w:t>
      </w:r>
      <w:smartTag w:uri="urn:schemas-microsoft-com:office:smarttags" w:element="metricconverter">
        <w:smartTagPr>
          <w:attr w:name="ProductID" w:val="5.12 a"/>
        </w:smartTagPr>
        <w:r w:rsidRPr="00176CD4">
          <w:rPr>
            <w:rFonts w:ascii="Arial Narrow" w:eastAsia="Times New Roman" w:hAnsi="Arial Narrow" w:cs="Times New Roman"/>
            <w:sz w:val="20"/>
            <w:szCs w:val="20"/>
            <w:lang w:eastAsia="pl-PL"/>
          </w:rPr>
          <w:t>5.12 a</w:t>
        </w:r>
      </w:smartTag>
      <w:r w:rsidRPr="00176CD4">
        <w:rPr>
          <w:rFonts w:ascii="Arial Narrow" w:eastAsia="Times New Roman" w:hAnsi="Arial Narrow" w:cs="Times New Roman"/>
          <w:sz w:val="20"/>
          <w:szCs w:val="20"/>
          <w:lang w:eastAsia="pl-PL"/>
        </w:rPr>
        <w:t xml:space="preserve"> ponadto oznaczenie oprawy:</w:t>
      </w:r>
    </w:p>
    <w:p w14:paraId="17CB9676"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eastAsia="x-none"/>
        </w:rPr>
        <w:t>n</w:t>
      </w:r>
      <w:r w:rsidRPr="00176CD4">
        <w:rPr>
          <w:rFonts w:ascii="Arial Narrow" w:eastAsia="Times New Roman" w:hAnsi="Arial Narrow" w:cs="Times New Roman"/>
          <w:sz w:val="20"/>
          <w:szCs w:val="20"/>
          <w:lang w:val="x-none" w:eastAsia="x-none"/>
        </w:rPr>
        <w:t xml:space="preserve">apięcia znamionowego zasilania, </w:t>
      </w:r>
    </w:p>
    <w:p w14:paraId="7857F0E6"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rodzaju prądu, </w:t>
      </w:r>
    </w:p>
    <w:p w14:paraId="60C1A50F"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liczby typu i mocy znamionowej źródeł światła, </w:t>
      </w:r>
    </w:p>
    <w:p w14:paraId="7FE613E0"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symbolu klasy ochronności elektrycznej oprawy wbudowanej w znak, </w:t>
      </w:r>
    </w:p>
    <w:p w14:paraId="38957A00"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symbolu IP stopnia ochrony odporności na wnikanie wilgoci i ciał obcych.</w:t>
      </w:r>
    </w:p>
    <w:p w14:paraId="59763521"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Znaki aktywne należy montować w tulejach pozwalających na szybki montaż i demontaż oznakowania zgodnie z zatwierdzeniem</w:t>
      </w:r>
    </w:p>
    <w:p w14:paraId="26E118BE"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 xml:space="preserve">2.7.1. Lico znaku </w:t>
      </w:r>
    </w:p>
    <w:p w14:paraId="247EFE20"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Matryca diodowa LED, światłość pojedynczego punktu 10 000 mcd.</w:t>
      </w:r>
    </w:p>
    <w:p w14:paraId="36E7E7F1"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2.7.2. Zasilanie</w:t>
      </w:r>
    </w:p>
    <w:p w14:paraId="79B9EBFA"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Zasilanie znaków aktywnych wykonać przy użyciu paneli fotowoltaicznych wraz z generatorem wiatrowym.</w:t>
      </w:r>
    </w:p>
    <w:p w14:paraId="6C9ED772"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2.</w:t>
      </w:r>
      <w:r w:rsidRPr="00176CD4">
        <w:rPr>
          <w:rFonts w:ascii="Arial Narrow" w:eastAsia="Times New Roman" w:hAnsi="Arial Narrow" w:cs="Times New Roman"/>
          <w:b/>
          <w:sz w:val="28"/>
          <w:szCs w:val="20"/>
          <w:lang w:eastAsia="x-none"/>
        </w:rPr>
        <w:t>8</w:t>
      </w:r>
      <w:r w:rsidRPr="00176CD4">
        <w:rPr>
          <w:rFonts w:ascii="Arial Narrow" w:eastAsia="Times New Roman" w:hAnsi="Arial Narrow" w:cs="Times New Roman"/>
          <w:b/>
          <w:sz w:val="28"/>
          <w:szCs w:val="20"/>
          <w:lang w:val="x-none" w:eastAsia="x-none"/>
        </w:rPr>
        <w:t>. Materiały do montażu znaków</w:t>
      </w:r>
    </w:p>
    <w:p w14:paraId="24BC138C"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Wszystkie łączniki metalowe przewidywane do mocowania między sobą elementów konstrukcji wsporczych znaków jak śruby, listwy, wkręty, nakrętki itp. powinny być czyste, gładkie, bez pęknięć, naderwań, rozwarstwień i wypukłych karbów.</w:t>
      </w:r>
    </w:p>
    <w:p w14:paraId="5E46A152" w14:textId="77777777" w:rsidR="00176CD4" w:rsidRPr="00176CD4" w:rsidRDefault="00176CD4" w:rsidP="00176CD4">
      <w:pPr>
        <w:overflowPunct w:val="0"/>
        <w:autoSpaceDE w:val="0"/>
        <w:autoSpaceDN w:val="0"/>
        <w:adjustRightInd w:val="0"/>
        <w:spacing w:after="0" w:line="240" w:lineRule="auto"/>
        <w:ind w:right="-250"/>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Łączniki mogą być dostarczane w pudełkach tekturowych, pojemnikach blaszanych lub paletach, w zależności od ich wielkości. Łączniki powinny być ocynkowane ogniowo lub wykonane z materiałów odpornych na korozję w czasie nie krótszym niż tarcza znaku i konstrukcja wsporcza.</w:t>
      </w:r>
    </w:p>
    <w:p w14:paraId="56A7C139"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eastAsia="x-none"/>
        </w:rPr>
      </w:pPr>
      <w:r w:rsidRPr="00176CD4">
        <w:rPr>
          <w:rFonts w:ascii="Arial Narrow" w:eastAsia="Times New Roman" w:hAnsi="Arial Narrow" w:cs="Times New Roman"/>
          <w:b/>
          <w:sz w:val="24"/>
          <w:szCs w:val="20"/>
          <w:lang w:eastAsia="x-none"/>
        </w:rPr>
        <w:t>2.8.1 Gniazda demontowalne</w:t>
      </w:r>
    </w:p>
    <w:p w14:paraId="7CAC79E6"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Znaki montowane na wyspach dzielących mają posiadać system do łatwego demontażu znaku.</w:t>
      </w:r>
    </w:p>
    <w:p w14:paraId="7FCD76B8"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Gniazdo na płaskiej podstawie powinno być wykonane ze staliwa ISO 3755 230-450, którego zewnętrzna jak i zewnętrzna powłoka wykończona jest poprzez cynkowanie elektrolityczne. Gniazdo zdolne jest do przeciwstawienia się sile uderzenia pojazdu dla słupów o grubości ścianki do 6mm. Gniazdo powinno być wyposażone w dwie śruby mocujące ze stali nierdzewnej M16 A2 znajdujące się w komorze mocującej. Komora mocująca powinna być zabezpieczona pokrywą wykonaną ze staliwa o klasie nośności EN 124 - B125 zamykaną specjalnym ślimakiem oraz gumową uszczelką. Gniazdo powinno posiadać płaską podstawę połączoną z kolumną wykonaną z polietylenu. Wszystkie podzespoły gniazda powinny być łatwe w demontażu.</w:t>
      </w:r>
    </w:p>
    <w:p w14:paraId="08506EF4"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2.</w:t>
      </w:r>
      <w:r w:rsidRPr="00176CD4">
        <w:rPr>
          <w:rFonts w:ascii="Arial Narrow" w:eastAsia="Times New Roman" w:hAnsi="Arial Narrow" w:cs="Times New Roman"/>
          <w:b/>
          <w:sz w:val="28"/>
          <w:szCs w:val="20"/>
          <w:lang w:eastAsia="x-none"/>
        </w:rPr>
        <w:t>9</w:t>
      </w:r>
      <w:r w:rsidRPr="00176CD4">
        <w:rPr>
          <w:rFonts w:ascii="Arial Narrow" w:eastAsia="Times New Roman" w:hAnsi="Arial Narrow" w:cs="Times New Roman"/>
          <w:b/>
          <w:sz w:val="28"/>
          <w:szCs w:val="20"/>
          <w:lang w:val="x-none" w:eastAsia="x-none"/>
        </w:rPr>
        <w:t>. Przechowywanie i składowanie materiałów</w:t>
      </w:r>
    </w:p>
    <w:p w14:paraId="10BD2EBB"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Prefabrykaty betonowe powinny być składowane na wyrównanym, utwardzonym i odwodnionym podłożu. Prefabrykaty należy układać na podkładach z zachowaniem prześwitu minimum </w:t>
      </w:r>
      <w:smartTag w:uri="urn:schemas-microsoft-com:office:smarttags" w:element="metricconverter">
        <w:smartTagPr>
          <w:attr w:name="ProductID" w:val="10 cm"/>
        </w:smartTagPr>
        <w:r w:rsidRPr="00176CD4">
          <w:rPr>
            <w:rFonts w:ascii="Arial Narrow" w:eastAsia="Times New Roman" w:hAnsi="Arial Narrow" w:cs="Times New Roman"/>
            <w:sz w:val="20"/>
            <w:szCs w:val="20"/>
            <w:lang w:eastAsia="pl-PL"/>
          </w:rPr>
          <w:t>10 cm</w:t>
        </w:r>
      </w:smartTag>
      <w:r w:rsidRPr="00176CD4">
        <w:rPr>
          <w:rFonts w:ascii="Arial Narrow" w:eastAsia="Times New Roman" w:hAnsi="Arial Narrow" w:cs="Times New Roman"/>
          <w:sz w:val="20"/>
          <w:szCs w:val="20"/>
          <w:lang w:eastAsia="pl-PL"/>
        </w:rPr>
        <w:t xml:space="preserve"> między podłożem a prefabrykatem.</w:t>
      </w:r>
    </w:p>
    <w:p w14:paraId="44B6763A"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Znaki powinny być przechowywane w pomieszczeniach suchych, z dala od materiałów działających korodująco i w warunkach zabezpieczających przed uszkodzeniami.</w:t>
      </w:r>
    </w:p>
    <w:p w14:paraId="26E2750D" w14:textId="77777777" w:rsidR="00176CD4" w:rsidRPr="00176CD4" w:rsidRDefault="00176CD4" w:rsidP="00176CD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77" w:name="_Toc425833582"/>
      <w:r w:rsidRPr="00176CD4">
        <w:rPr>
          <w:rFonts w:ascii="Arial Narrow" w:eastAsia="Times New Roman" w:hAnsi="Arial Narrow" w:cs="Times New Roman"/>
          <w:b/>
          <w:caps/>
          <w:kern w:val="28"/>
          <w:sz w:val="28"/>
          <w:szCs w:val="20"/>
          <w:lang w:val="x-none" w:eastAsia="x-none"/>
        </w:rPr>
        <w:t>3. sprzęt</w:t>
      </w:r>
      <w:bookmarkEnd w:id="877"/>
    </w:p>
    <w:p w14:paraId="58B12F5D"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3.1. Ogólne wymagania dotyczące sprzętu</w:t>
      </w:r>
    </w:p>
    <w:p w14:paraId="2072F31B"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Ogólne wymagania dotyczące sprzętu podano w SST D-M-00.00.00 „Wymagania ogólne” pkt 3.</w:t>
      </w:r>
    </w:p>
    <w:p w14:paraId="74E510FF"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3.2. Sprzęt do wykonania oznakowania pionowego</w:t>
      </w:r>
    </w:p>
    <w:p w14:paraId="12C9FDB3"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Wykonawca przystępujący do wykonania oznakowania pionowego powinien wykazać się możliwością korzystania z następującego sprzętu:</w:t>
      </w:r>
    </w:p>
    <w:p w14:paraId="6A1687A1"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koparek kołowych, np. </w:t>
      </w:r>
      <w:smartTag w:uri="urn:schemas-microsoft-com:office:smarttags" w:element="metricconverter">
        <w:smartTagPr>
          <w:attr w:name="ProductID" w:val="0,15 m3"/>
        </w:smartTagPr>
        <w:r w:rsidRPr="00176CD4">
          <w:rPr>
            <w:rFonts w:ascii="Arial Narrow" w:eastAsia="Times New Roman" w:hAnsi="Arial Narrow" w:cs="Times New Roman"/>
            <w:sz w:val="20"/>
            <w:szCs w:val="20"/>
            <w:lang w:val="x-none" w:eastAsia="x-none"/>
          </w:rPr>
          <w:t>0,15 m</w:t>
        </w:r>
        <w:r w:rsidRPr="00176CD4">
          <w:rPr>
            <w:rFonts w:ascii="Arial Narrow" w:eastAsia="Times New Roman" w:hAnsi="Arial Narrow" w:cs="Times New Roman"/>
            <w:sz w:val="20"/>
            <w:szCs w:val="20"/>
            <w:vertAlign w:val="superscript"/>
            <w:lang w:val="x-none" w:eastAsia="x-none"/>
          </w:rPr>
          <w:t>3</w:t>
        </w:r>
      </w:smartTag>
      <w:r w:rsidRPr="00176CD4">
        <w:rPr>
          <w:rFonts w:ascii="Arial Narrow" w:eastAsia="Times New Roman" w:hAnsi="Arial Narrow" w:cs="Times New Roman"/>
          <w:sz w:val="20"/>
          <w:szCs w:val="20"/>
          <w:lang w:val="x-none" w:eastAsia="x-none"/>
        </w:rPr>
        <w:t xml:space="preserve"> lub koparek gąsienicowych, np. </w:t>
      </w:r>
      <w:smartTag w:uri="urn:schemas-microsoft-com:office:smarttags" w:element="metricconverter">
        <w:smartTagPr>
          <w:attr w:name="ProductID" w:val="0,25 m3"/>
        </w:smartTagPr>
        <w:r w:rsidRPr="00176CD4">
          <w:rPr>
            <w:rFonts w:ascii="Arial Narrow" w:eastAsia="Times New Roman" w:hAnsi="Arial Narrow" w:cs="Times New Roman"/>
            <w:sz w:val="20"/>
            <w:szCs w:val="20"/>
            <w:lang w:val="x-none" w:eastAsia="x-none"/>
          </w:rPr>
          <w:t>0,25 m</w:t>
        </w:r>
        <w:r w:rsidRPr="00176CD4">
          <w:rPr>
            <w:rFonts w:ascii="Arial Narrow" w:eastAsia="Times New Roman" w:hAnsi="Arial Narrow" w:cs="Times New Roman"/>
            <w:sz w:val="20"/>
            <w:szCs w:val="20"/>
            <w:vertAlign w:val="superscript"/>
            <w:lang w:val="x-none" w:eastAsia="x-none"/>
          </w:rPr>
          <w:t>3</w:t>
        </w:r>
      </w:smartTag>
      <w:r w:rsidRPr="00176CD4">
        <w:rPr>
          <w:rFonts w:ascii="Arial Narrow" w:eastAsia="Times New Roman" w:hAnsi="Arial Narrow" w:cs="Times New Roman"/>
          <w:sz w:val="20"/>
          <w:szCs w:val="20"/>
          <w:lang w:val="x-none" w:eastAsia="x-none"/>
        </w:rPr>
        <w:t>,</w:t>
      </w:r>
    </w:p>
    <w:p w14:paraId="7D5E0FE4"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lastRenderedPageBreak/>
        <w:t>żurawi samochodowych o udźwigu do 4 t,</w:t>
      </w:r>
    </w:p>
    <w:p w14:paraId="1C9486F4"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wiertnic do wykonywania dołów pod słupki w gruncie spoistym,</w:t>
      </w:r>
    </w:p>
    <w:p w14:paraId="090A127D"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betoniarek przewoźnych do wykonywania fundamentów betonowych „na mokro”,</w:t>
      </w:r>
    </w:p>
    <w:p w14:paraId="627402B3"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środków transportowych do przewozu materiałów,</w:t>
      </w:r>
    </w:p>
    <w:p w14:paraId="17987D33"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przewoźnych zbiorników na wodę,</w:t>
      </w:r>
    </w:p>
    <w:p w14:paraId="5007BDC8"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sprzętu spawalniczego, itp.</w:t>
      </w:r>
    </w:p>
    <w:p w14:paraId="54087A98" w14:textId="77777777" w:rsidR="00176CD4" w:rsidRPr="00176CD4" w:rsidRDefault="00176CD4" w:rsidP="00176CD4">
      <w:pPr>
        <w:overflowPunct w:val="0"/>
        <w:autoSpaceDE w:val="0"/>
        <w:autoSpaceDN w:val="0"/>
        <w:adjustRightInd w:val="0"/>
        <w:spacing w:after="0" w:line="240" w:lineRule="auto"/>
        <w:ind w:left="283" w:firstLine="426"/>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Pierwsze dwie pozycje dotyczą wykonawcy znaków bramowych.</w:t>
      </w:r>
    </w:p>
    <w:p w14:paraId="64540A5C" w14:textId="77777777" w:rsidR="00176CD4" w:rsidRPr="00176CD4" w:rsidRDefault="00176CD4" w:rsidP="00176CD4">
      <w:pPr>
        <w:keepNext/>
        <w:keepLines/>
        <w:numPr>
          <w:ilvl w:val="12"/>
          <w:numId w:val="0"/>
        </w:numPr>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78" w:name="_Toc425833583"/>
      <w:r w:rsidRPr="00176CD4">
        <w:rPr>
          <w:rFonts w:ascii="Arial Narrow" w:eastAsia="Times New Roman" w:hAnsi="Arial Narrow" w:cs="Times New Roman"/>
          <w:b/>
          <w:caps/>
          <w:kern w:val="28"/>
          <w:sz w:val="28"/>
          <w:szCs w:val="20"/>
          <w:lang w:val="x-none" w:eastAsia="x-none"/>
        </w:rPr>
        <w:t>4. transport</w:t>
      </w:r>
      <w:bookmarkEnd w:id="878"/>
    </w:p>
    <w:p w14:paraId="071E4FE8" w14:textId="77777777" w:rsidR="00176CD4" w:rsidRPr="00176CD4" w:rsidRDefault="00176CD4" w:rsidP="00176CD4">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4.1. Ogólne wymagania dotyczące transportu</w:t>
      </w:r>
    </w:p>
    <w:p w14:paraId="30EC1AA6" w14:textId="77777777" w:rsidR="00176CD4" w:rsidRPr="00176CD4" w:rsidRDefault="00176CD4" w:rsidP="00176CD4">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Ogólne wymagania dotyczące transportu podano w SST D-M-00.00.00 „Wymagania ogólne” pkt 4.</w:t>
      </w:r>
    </w:p>
    <w:p w14:paraId="6CC721F3" w14:textId="77777777" w:rsidR="00176CD4" w:rsidRPr="00176CD4" w:rsidRDefault="00176CD4" w:rsidP="00176CD4">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4.2. Transport znaków do pionowego oznakowania dróg</w:t>
      </w:r>
    </w:p>
    <w:p w14:paraId="2E6E6AB4" w14:textId="77777777" w:rsidR="00176CD4" w:rsidRPr="00176CD4" w:rsidRDefault="00176CD4" w:rsidP="00176CD4">
      <w:pPr>
        <w:widowControl w:val="0"/>
        <w:autoSpaceDN w:val="0"/>
        <w:spacing w:after="0" w:line="240" w:lineRule="auto"/>
        <w:ind w:firstLine="709"/>
        <w:textAlignment w:val="baseline"/>
        <w:rPr>
          <w:rFonts w:ascii="Arial Narrow" w:eastAsia="Times New Roman" w:hAnsi="Arial Narrow" w:cs="Times New Roman"/>
          <w:sz w:val="24"/>
          <w:szCs w:val="20"/>
          <w:lang w:eastAsia="pl-PL"/>
        </w:rPr>
      </w:pPr>
      <w:bookmarkStart w:id="879" w:name="_Toc425833584"/>
      <w:r w:rsidRPr="00176CD4">
        <w:rPr>
          <w:rFonts w:ascii="Arial Narrow" w:eastAsia="Times New Roman" w:hAnsi="Arial Narrow" w:cs="Times New Roman"/>
          <w:sz w:val="20"/>
          <w:szCs w:val="20"/>
          <w:lang w:eastAsia="pl-PL"/>
        </w:rPr>
        <w:t>Znaki drogowe należy na okres transportu odpowiednio zabezpieczyć, tak aby nie ulegały przemieszczaniu i w sposób nie uszkodzony dotarły do odbiorcy.</w:t>
      </w:r>
    </w:p>
    <w:p w14:paraId="5D0045F1" w14:textId="77777777" w:rsidR="00176CD4" w:rsidRPr="00176CD4" w:rsidRDefault="00176CD4" w:rsidP="00176CD4">
      <w:pPr>
        <w:keepNext/>
        <w:keepLines/>
        <w:numPr>
          <w:ilvl w:val="12"/>
          <w:numId w:val="0"/>
        </w:numPr>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r w:rsidRPr="00176CD4">
        <w:rPr>
          <w:rFonts w:ascii="Arial Narrow" w:eastAsia="Times New Roman" w:hAnsi="Arial Narrow" w:cs="Times New Roman"/>
          <w:b/>
          <w:caps/>
          <w:kern w:val="28"/>
          <w:sz w:val="28"/>
          <w:szCs w:val="20"/>
          <w:lang w:val="x-none" w:eastAsia="x-none"/>
        </w:rPr>
        <w:t>5. wykonanie robót</w:t>
      </w:r>
      <w:bookmarkEnd w:id="879"/>
    </w:p>
    <w:p w14:paraId="6E88247C" w14:textId="77777777" w:rsidR="00176CD4" w:rsidRPr="00176CD4" w:rsidRDefault="00176CD4" w:rsidP="00176CD4">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5.1. Ogólne zasady wykonywania robót</w:t>
      </w:r>
    </w:p>
    <w:p w14:paraId="77ECA580" w14:textId="77777777" w:rsidR="00176CD4" w:rsidRPr="00176CD4" w:rsidRDefault="00176CD4" w:rsidP="00176CD4">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Ogólne zasady wykonywania robót podano w SST D-M-00.00.00 „Wymagania ogólne” pkt 5.</w:t>
      </w:r>
    </w:p>
    <w:p w14:paraId="4C961476" w14:textId="77777777" w:rsidR="00176CD4" w:rsidRPr="00176CD4" w:rsidRDefault="00176CD4" w:rsidP="00176CD4">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5.2. Roboty przygotowawcze</w:t>
      </w:r>
    </w:p>
    <w:p w14:paraId="349BE18A"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Przed przystąpieniem do robót należy wyznaczyć:</w:t>
      </w:r>
    </w:p>
    <w:p w14:paraId="5B282979"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lokalizację znaku, tj. jego pikietaż oraz odległość od krawędzi jezdni, krawędzi pobocza umocnionego lub pasa awaryjnego postoju,</w:t>
      </w:r>
    </w:p>
    <w:p w14:paraId="2ECBE598"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wysokość zamocowania znaku na konstrukcji wsporczej.</w:t>
      </w:r>
    </w:p>
    <w:p w14:paraId="5F33BB81"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Punkty stabilizujące miejsca ustawienia znaków należy zabezpieczyć w taki sposób, aby w czasie trwania i odbioru robót istniała możliwość sprawdzenia lokalizacji znaków. Lokalizacja i wysokość zamocowania znaku powinny być zgodne z dokumentacją projektową. Miejsce wykonywania prac należy oznakować, w celu zabezpieczenia pracowników i kierujących pojazdami na drodze.</w:t>
      </w:r>
    </w:p>
    <w:p w14:paraId="5EAD220C" w14:textId="77777777" w:rsidR="00176CD4" w:rsidRPr="00176CD4" w:rsidRDefault="00176CD4" w:rsidP="00176CD4">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5.3. Wykonanie wykopów i fundamentów dla konstrukcji wsporczych znaków</w:t>
      </w:r>
    </w:p>
    <w:p w14:paraId="33000C90"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Sposób wykonania wykopu pod fundament znaku pionowego powinien być dostosowany do głębokości wykopu, rodzaju gruntu i posiadanego sprzętu. Wymiary wykopu powinny być zgodne z dokumentacją projektową lub wskazaniami Inżyniera.</w:t>
      </w:r>
    </w:p>
    <w:p w14:paraId="23EEC0DD" w14:textId="77777777" w:rsidR="00176CD4" w:rsidRPr="00176CD4" w:rsidRDefault="00176CD4" w:rsidP="00176CD4">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Wykopy fundamentowe powinny być wykonane w takim okresie, aby po ich zakończeniu można było przystąpić natychmiast do wykonania w nich robót fundamentowych.</w:t>
      </w:r>
    </w:p>
    <w:p w14:paraId="19699BE1"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5.3.1. Prefabrykaty betonowe</w:t>
      </w:r>
    </w:p>
    <w:p w14:paraId="038DC60F"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Dno wykopu przed ułożeniem prefabrykatu należy wyrównać i zagęścić. Wolne przestrzenie między ścianami gruntu i prefabrykatem należy wypełnić materiałem kamiennym, np. klińcem i dokładnie zagęścić ubijakami ręcznymi.</w:t>
      </w:r>
    </w:p>
    <w:p w14:paraId="70F3CD37" w14:textId="77777777" w:rsidR="00176CD4" w:rsidRPr="00176CD4" w:rsidRDefault="00176CD4" w:rsidP="00176CD4">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176CD4">
          <w:rPr>
            <w:rFonts w:ascii="Arial Narrow" w:eastAsia="Times New Roman" w:hAnsi="Arial Narrow" w:cs="Times New Roman"/>
            <w:sz w:val="20"/>
            <w:szCs w:val="20"/>
            <w:lang w:eastAsia="pl-PL"/>
          </w:rPr>
          <w:t>0,03 m</w:t>
        </w:r>
      </w:smartTag>
      <w:r w:rsidRPr="00176CD4">
        <w:rPr>
          <w:rFonts w:ascii="Arial Narrow" w:eastAsia="Times New Roman" w:hAnsi="Arial Narrow" w:cs="Times New Roman"/>
          <w:sz w:val="20"/>
          <w:szCs w:val="20"/>
          <w:lang w:eastAsia="pl-PL"/>
        </w:rPr>
        <w:t>.</w:t>
      </w:r>
    </w:p>
    <w:p w14:paraId="5414B7C8"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5.3.2. Fundamenty z betonu i betonu zbrojonego</w:t>
      </w:r>
    </w:p>
    <w:p w14:paraId="39DB56C9"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Wykopy pod fundamenty konstrukcji wsporczych dla zamocowania znaków wielkowymiarowych (znak kierunku i miejscowości), wykonywane z betonu „na mokro” lub z betonu zbrojonego należy wykonać zgodnie z PN-S-02205:1998 [24].</w:t>
      </w:r>
    </w:p>
    <w:p w14:paraId="2E9D42C6" w14:textId="77777777" w:rsidR="00176CD4" w:rsidRPr="00176CD4" w:rsidRDefault="00176CD4" w:rsidP="00176CD4">
      <w:pPr>
        <w:numPr>
          <w:ilvl w:val="12"/>
          <w:numId w:val="0"/>
        </w:numPr>
        <w:overflowPunct w:val="0"/>
        <w:autoSpaceDE w:val="0"/>
        <w:autoSpaceDN w:val="0"/>
        <w:adjustRightInd w:val="0"/>
        <w:spacing w:after="0" w:line="240" w:lineRule="auto"/>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Posadowienie fundamentów w wykopach otwartych bądź rozpartych należy wykonywać zgodnie z dokumentacją projektową, SST lub wskazaniami Inżyniera. Wykopy należy zabezpieczyć przed napływem wód opadowych przez wyprofilowanie terenu ze spadkiem umożliwiającym łatwy odpływ wody poza teren przylegający do wykopu. Dno wykopu powinno być wyrównane z dokładnością </w:t>
      </w:r>
      <w:r w:rsidRPr="00176CD4">
        <w:rPr>
          <w:rFonts w:ascii="Arial Narrow" w:eastAsia="Times New Roman" w:hAnsi="Arial Narrow" w:cs="Times New Roman"/>
          <w:sz w:val="20"/>
          <w:szCs w:val="20"/>
          <w:lang w:eastAsia="pl-PL"/>
        </w:rPr>
        <w:sym w:font="Symbol" w:char="F0B1"/>
      </w:r>
      <w:r w:rsidRPr="00176CD4">
        <w:rPr>
          <w:rFonts w:ascii="Arial Narrow" w:eastAsia="Times New Roman" w:hAnsi="Arial Narrow" w:cs="Times New Roman"/>
          <w:sz w:val="20"/>
          <w:szCs w:val="20"/>
          <w:lang w:eastAsia="pl-PL"/>
        </w:rPr>
        <w:t xml:space="preserve"> </w:t>
      </w:r>
      <w:smartTag w:uri="urn:schemas-microsoft-com:office:smarttags" w:element="metricconverter">
        <w:smartTagPr>
          <w:attr w:name="ProductID" w:val="2 cm"/>
        </w:smartTagPr>
        <w:r w:rsidRPr="00176CD4">
          <w:rPr>
            <w:rFonts w:ascii="Arial Narrow" w:eastAsia="Times New Roman" w:hAnsi="Arial Narrow" w:cs="Times New Roman"/>
            <w:sz w:val="20"/>
            <w:szCs w:val="20"/>
            <w:lang w:eastAsia="pl-PL"/>
          </w:rPr>
          <w:t>2 cm</w:t>
        </w:r>
      </w:smartTag>
      <w:r w:rsidRPr="00176CD4">
        <w:rPr>
          <w:rFonts w:ascii="Arial Narrow" w:eastAsia="Times New Roman" w:hAnsi="Arial Narrow" w:cs="Times New Roman"/>
          <w:sz w:val="20"/>
          <w:szCs w:val="20"/>
          <w:lang w:eastAsia="pl-PL"/>
        </w:rPr>
        <w:t>.</w:t>
      </w:r>
    </w:p>
    <w:p w14:paraId="62177307"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Przy naruszonej strukturze gruntu rodzimego, grunt należy usunąć i miejsce wypełnić do spodu fundamentu betonem. Płaszczyzny boczne fundamentów stykające się z gruntem należy zabezpieczyć izolacją, np. emulsją asfaltową. Po wykonaniu fundamentu wykop należy zasypać warstwami grubości </w:t>
      </w:r>
      <w:smartTag w:uri="urn:schemas-microsoft-com:office:smarttags" w:element="metricconverter">
        <w:smartTagPr>
          <w:attr w:name="ProductID" w:val="20 cm"/>
        </w:smartTagPr>
        <w:r w:rsidRPr="00176CD4">
          <w:rPr>
            <w:rFonts w:ascii="Arial Narrow" w:eastAsia="Times New Roman" w:hAnsi="Arial Narrow" w:cs="Times New Roman"/>
            <w:sz w:val="20"/>
            <w:szCs w:val="20"/>
            <w:lang w:eastAsia="pl-PL"/>
          </w:rPr>
          <w:t>20 cm</w:t>
        </w:r>
      </w:smartTag>
      <w:r w:rsidRPr="00176CD4">
        <w:rPr>
          <w:rFonts w:ascii="Arial Narrow" w:eastAsia="Times New Roman" w:hAnsi="Arial Narrow" w:cs="Times New Roman"/>
          <w:sz w:val="20"/>
          <w:szCs w:val="20"/>
          <w:lang w:eastAsia="pl-PL"/>
        </w:rPr>
        <w:t xml:space="preserve"> z dokładnym zagęszczeniem gruntu.</w:t>
      </w:r>
    </w:p>
    <w:p w14:paraId="38A4D039" w14:textId="77777777" w:rsidR="00176CD4" w:rsidRPr="00176CD4" w:rsidRDefault="00176CD4" w:rsidP="00176CD4">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5.4. Tolerancje ustawienia znaku pionowego</w:t>
      </w:r>
    </w:p>
    <w:p w14:paraId="25D4FE24"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Konstrukcje wsporcze znaków - słupki, słupy, wysięgniki, konstrukcje dla tablic wielkowymiarowych, powinny być wykonane zgodnie z dokumentacją i  SST.</w:t>
      </w:r>
    </w:p>
    <w:p w14:paraId="77265FF9"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Dopuszczalne tolerancje ustawienia znaku:</w:t>
      </w:r>
    </w:p>
    <w:p w14:paraId="163CDCCE"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odchyłka od pionu, nie więcej niż </w:t>
      </w:r>
      <w:r w:rsidRPr="00176CD4">
        <w:rPr>
          <w:rFonts w:ascii="Arial Narrow" w:eastAsia="Times New Roman" w:hAnsi="Arial Narrow" w:cs="Times New Roman"/>
          <w:sz w:val="20"/>
          <w:szCs w:val="20"/>
          <w:lang w:val="x-none" w:eastAsia="x-none"/>
        </w:rPr>
        <w:sym w:font="Symbol" w:char="F0B1"/>
      </w:r>
      <w:r w:rsidRPr="00176CD4">
        <w:rPr>
          <w:rFonts w:ascii="Arial Narrow" w:eastAsia="Times New Roman" w:hAnsi="Arial Narrow" w:cs="Times New Roman"/>
          <w:sz w:val="20"/>
          <w:szCs w:val="20"/>
          <w:lang w:val="x-none" w:eastAsia="x-none"/>
        </w:rPr>
        <w:t xml:space="preserve"> 1 %,</w:t>
      </w:r>
    </w:p>
    <w:p w14:paraId="37EF7C5D"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odchyłka w wysokości umieszczenia znaku, nie więcej niż </w:t>
      </w:r>
      <w:r w:rsidRPr="00176CD4">
        <w:rPr>
          <w:rFonts w:ascii="Arial Narrow" w:eastAsia="Times New Roman" w:hAnsi="Arial Narrow" w:cs="Times New Roman"/>
          <w:sz w:val="20"/>
          <w:szCs w:val="20"/>
          <w:lang w:val="x-none" w:eastAsia="x-none"/>
        </w:rPr>
        <w:sym w:font="Symbol" w:char="F0B1"/>
      </w:r>
      <w:r w:rsidRPr="00176CD4">
        <w:rPr>
          <w:rFonts w:ascii="Arial Narrow" w:eastAsia="Times New Roman" w:hAnsi="Arial Narrow" w:cs="Times New Roman"/>
          <w:sz w:val="20"/>
          <w:szCs w:val="20"/>
          <w:lang w:val="x-none" w:eastAsia="x-none"/>
        </w:rPr>
        <w:t xml:space="preserve"> </w:t>
      </w:r>
      <w:smartTag w:uri="urn:schemas-microsoft-com:office:smarttags" w:element="metricconverter">
        <w:smartTagPr>
          <w:attr w:name="ProductID" w:val="2 cm"/>
        </w:smartTagPr>
        <w:r w:rsidRPr="00176CD4">
          <w:rPr>
            <w:rFonts w:ascii="Arial Narrow" w:eastAsia="Times New Roman" w:hAnsi="Arial Narrow" w:cs="Times New Roman"/>
            <w:sz w:val="20"/>
            <w:szCs w:val="20"/>
            <w:lang w:val="x-none" w:eastAsia="x-none"/>
          </w:rPr>
          <w:t>2 cm</w:t>
        </w:r>
      </w:smartTag>
      <w:r w:rsidRPr="00176CD4">
        <w:rPr>
          <w:rFonts w:ascii="Arial Narrow" w:eastAsia="Times New Roman" w:hAnsi="Arial Narrow" w:cs="Times New Roman"/>
          <w:sz w:val="20"/>
          <w:szCs w:val="20"/>
          <w:lang w:val="x-none" w:eastAsia="x-none"/>
        </w:rPr>
        <w:t>,</w:t>
      </w:r>
    </w:p>
    <w:p w14:paraId="7982D818"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 xml:space="preserve">odchyłka w odległości ustawienia znaku od krawędzi jezdni utwardzonego pobocza lub pasa awaryjnego postoju, nie więcej niż </w:t>
      </w:r>
      <w:r w:rsidRPr="00176CD4">
        <w:rPr>
          <w:rFonts w:ascii="Arial Narrow" w:eastAsia="Times New Roman" w:hAnsi="Arial Narrow" w:cs="Times New Roman"/>
          <w:sz w:val="20"/>
          <w:szCs w:val="20"/>
          <w:lang w:val="x-none" w:eastAsia="x-none"/>
        </w:rPr>
        <w:sym w:font="Symbol" w:char="F0B1"/>
      </w:r>
      <w:r w:rsidRPr="00176CD4">
        <w:rPr>
          <w:rFonts w:ascii="Arial Narrow" w:eastAsia="Times New Roman" w:hAnsi="Arial Narrow" w:cs="Times New Roman"/>
          <w:sz w:val="20"/>
          <w:szCs w:val="20"/>
          <w:lang w:val="x-none" w:eastAsia="x-none"/>
        </w:rPr>
        <w:t xml:space="preserve"> </w:t>
      </w:r>
      <w:smartTag w:uri="urn:schemas-microsoft-com:office:smarttags" w:element="metricconverter">
        <w:smartTagPr>
          <w:attr w:name="ProductID" w:val="5 cm"/>
        </w:smartTagPr>
        <w:r w:rsidRPr="00176CD4">
          <w:rPr>
            <w:rFonts w:ascii="Arial Narrow" w:eastAsia="Times New Roman" w:hAnsi="Arial Narrow" w:cs="Times New Roman"/>
            <w:sz w:val="20"/>
            <w:szCs w:val="20"/>
            <w:lang w:val="x-none" w:eastAsia="x-none"/>
          </w:rPr>
          <w:t>5 cm</w:t>
        </w:r>
      </w:smartTag>
      <w:r w:rsidRPr="00176CD4">
        <w:rPr>
          <w:rFonts w:ascii="Arial Narrow" w:eastAsia="Times New Roman" w:hAnsi="Arial Narrow" w:cs="Times New Roman"/>
          <w:sz w:val="20"/>
          <w:szCs w:val="20"/>
          <w:lang w:val="x-none" w:eastAsia="x-none"/>
        </w:rPr>
        <w:t>, przy zachowaniu minimalnej odległości umieszczenia znaku zgodnie z załącznikiem nr 1 do rozporządzenia Ministra Infrastruktury z dnia 3 lipca 2003 r. w sprawie szczegółowych warunków technicznych dla znaków i sygnałów drogowych oraz urządzeń bezpieczeństwa ruchu drogowego i warunków ich umieszczania na drogach  [25].</w:t>
      </w:r>
    </w:p>
    <w:p w14:paraId="2BA90888"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5.5. Konstrukcje wsporcze</w:t>
      </w:r>
    </w:p>
    <w:p w14:paraId="0EB90DF8"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5.5.1. Zabezpieczenie konstrukcji wsporczej przed najechaniem</w:t>
      </w:r>
    </w:p>
    <w:p w14:paraId="6C599E49"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Konstrukcje wsporcze znaków drogowych bramowych lub wysięgnikowych jedno lub dwustronnych, jak również konstrukcje wsporcze znaków tablicowych bocznych o powierzchni większej od </w:t>
      </w:r>
      <w:smartTag w:uri="urn:schemas-microsoft-com:office:smarttags" w:element="metricconverter">
        <w:smartTagPr>
          <w:attr w:name="ProductID" w:val="4,5 m2"/>
        </w:smartTagPr>
        <w:r w:rsidRPr="00176CD4">
          <w:rPr>
            <w:rFonts w:ascii="Arial Narrow" w:eastAsia="Times New Roman" w:hAnsi="Arial Narrow" w:cs="Times New Roman"/>
            <w:sz w:val="20"/>
            <w:szCs w:val="20"/>
            <w:lang w:eastAsia="pl-PL"/>
          </w:rPr>
          <w:t>4,5 m</w:t>
        </w:r>
        <w:r w:rsidRPr="00176CD4">
          <w:rPr>
            <w:rFonts w:ascii="Arial Narrow" w:eastAsia="Times New Roman" w:hAnsi="Arial Narrow" w:cs="Times New Roman"/>
            <w:sz w:val="20"/>
            <w:szCs w:val="20"/>
            <w:vertAlign w:val="superscript"/>
            <w:lang w:eastAsia="pl-PL"/>
          </w:rPr>
          <w:t>2</w:t>
        </w:r>
      </w:smartTag>
      <w:r w:rsidRPr="00176CD4">
        <w:rPr>
          <w:rFonts w:ascii="Arial Narrow" w:eastAsia="Times New Roman" w:hAnsi="Arial Narrow" w:cs="Times New Roman"/>
          <w:sz w:val="20"/>
          <w:szCs w:val="20"/>
          <w:lang w:eastAsia="pl-PL"/>
        </w:rPr>
        <w:t xml:space="preserve">, gdy występuje możliwość bezpośredniego najechania na nie przez pojazd - muszą być zabezpieczone odpowiednio umieszczonymi barierami ochronnymi lub innego rodzaju urządzeniami ochronnymi lub przeciwdestrukcyjnymi, zgodnie z dokumentacją projektową, SST lub wskazaniami Inżyniera. Podobne zabezpieczenie </w:t>
      </w:r>
      <w:r w:rsidRPr="00176CD4">
        <w:rPr>
          <w:rFonts w:ascii="Arial Narrow" w:eastAsia="Times New Roman" w:hAnsi="Arial Narrow" w:cs="Times New Roman"/>
          <w:sz w:val="20"/>
          <w:szCs w:val="20"/>
          <w:lang w:eastAsia="pl-PL"/>
        </w:rPr>
        <w:lastRenderedPageBreak/>
        <w:t>należy stosować w przypadku innych konstrukcji wsporczych, gdy najechanie na nie w większym stopniu zagraża bezpieczeństwu użytkowników pojazdów, niż najechanie pojazdu na barierę, jeśli przewiduje to dokumentacja projektowa, SST lub Inżynier.</w:t>
      </w:r>
    </w:p>
    <w:p w14:paraId="451A4364"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5.5.2. Łatwo zrywalne złącza konstrukcji wsporczej</w:t>
      </w:r>
    </w:p>
    <w:p w14:paraId="1B982A53"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W przypadku konstrukcji wsporczych, nie osłoniętych barierami ochronnymi - zaleca się stosowanie łatwo zrywalnych lub łatwo rozłączalnych przekrojów, złączy lub przegubów o odpowiednio bezpiecznej konstrukcji, umieszczonych na wysokości od 0,15 do </w:t>
      </w:r>
      <w:smartTag w:uri="urn:schemas-microsoft-com:office:smarttags" w:element="metricconverter">
        <w:smartTagPr>
          <w:attr w:name="ProductID" w:val="0,20 m"/>
        </w:smartTagPr>
        <w:r w:rsidRPr="00176CD4">
          <w:rPr>
            <w:rFonts w:ascii="Arial Narrow" w:eastAsia="Times New Roman" w:hAnsi="Arial Narrow" w:cs="Times New Roman"/>
            <w:sz w:val="20"/>
            <w:szCs w:val="20"/>
            <w:lang w:eastAsia="pl-PL"/>
          </w:rPr>
          <w:t>0,20 m</w:t>
        </w:r>
      </w:smartTag>
      <w:r w:rsidRPr="00176CD4">
        <w:rPr>
          <w:rFonts w:ascii="Arial Narrow" w:eastAsia="Times New Roman" w:hAnsi="Arial Narrow" w:cs="Times New Roman"/>
          <w:sz w:val="20"/>
          <w:szCs w:val="20"/>
          <w:lang w:eastAsia="pl-PL"/>
        </w:rPr>
        <w:t xml:space="preserve"> nad powierzchnią terenu.</w:t>
      </w:r>
    </w:p>
    <w:p w14:paraId="379C6135"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W szczególności - zaleca się stosowanie takich przekrojów, złączy lub przegubów w konstrukcjach wsporczych nie osłoniętych barierami ochronnymi, które znajdują się na obszarach zwiększonego zagrożenia kolizyjnego (ostrza rozgałęzień dróg łącznikowych, zewnętrzna strona łuków drogi itp.).</w:t>
      </w:r>
    </w:p>
    <w:p w14:paraId="054A0ACB"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Łatwo zrywalne lub łatwo rozłączalne złącza, przekroje lub przeguby powinny być tak skonstruowane i umieszczone, by znak wraz z konstrukcją wsporczą po zerwaniu nie przewracał się na jezdnię. Wysokość części konstrukcji wsporczej, pozostałej po odłączeniu górnej jej części od fundamentu, nie może być większa od </w:t>
      </w:r>
      <w:smartTag w:uri="urn:schemas-microsoft-com:office:smarttags" w:element="metricconverter">
        <w:smartTagPr>
          <w:attr w:name="ProductID" w:val="0,25 m"/>
        </w:smartTagPr>
        <w:r w:rsidRPr="00176CD4">
          <w:rPr>
            <w:rFonts w:ascii="Arial Narrow" w:eastAsia="Times New Roman" w:hAnsi="Arial Narrow" w:cs="Times New Roman"/>
            <w:sz w:val="20"/>
            <w:szCs w:val="20"/>
            <w:lang w:eastAsia="pl-PL"/>
          </w:rPr>
          <w:t>0,25 m</w:t>
        </w:r>
      </w:smartTag>
      <w:r w:rsidRPr="00176CD4">
        <w:rPr>
          <w:rFonts w:ascii="Arial Narrow" w:eastAsia="Times New Roman" w:hAnsi="Arial Narrow" w:cs="Times New Roman"/>
          <w:sz w:val="20"/>
          <w:szCs w:val="20"/>
          <w:lang w:eastAsia="pl-PL"/>
        </w:rPr>
        <w:t>.</w:t>
      </w:r>
    </w:p>
    <w:p w14:paraId="048CCDBD"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5.5.3.  Zapobieganie   zagrożeniu   użytkowników   drogi   i   terenu   przyległego   -   przez konstrukcję wsporczą</w:t>
      </w:r>
    </w:p>
    <w:p w14:paraId="28BD83C8"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innego rodzaju uszkodzenia znaku.</w:t>
      </w:r>
    </w:p>
    <w:p w14:paraId="09756B5F"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5.5.4. Tablicowe znaki drogowe na dwóch słupach lub podporach</w:t>
      </w:r>
    </w:p>
    <w:p w14:paraId="78A4DB93"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176CD4">
          <w:rPr>
            <w:rFonts w:ascii="Arial Narrow" w:eastAsia="Times New Roman" w:hAnsi="Arial Narrow" w:cs="Times New Roman"/>
            <w:sz w:val="20"/>
            <w:szCs w:val="20"/>
            <w:lang w:eastAsia="pl-PL"/>
          </w:rPr>
          <w:t>1,75 m</w:t>
        </w:r>
      </w:smartTag>
      <w:r w:rsidRPr="00176CD4">
        <w:rPr>
          <w:rFonts w:ascii="Arial Narrow" w:eastAsia="Times New Roman" w:hAnsi="Arial Narrow" w:cs="Times New Roman"/>
          <w:sz w:val="20"/>
          <w:szCs w:val="20"/>
          <w:lang w:eastAsia="pl-PL"/>
        </w:rPr>
        <w:t>. Przy stosowaniu większej liczby słupów niż dwa - odległość między nimi może być mniejsza.</w:t>
      </w:r>
    </w:p>
    <w:p w14:paraId="67887BDA"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5.5.5. Poziom górnej powierzchni fundamentu</w:t>
      </w:r>
    </w:p>
    <w:p w14:paraId="7A04584C"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Przy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Pr="00176CD4">
          <w:rPr>
            <w:rFonts w:ascii="Arial Narrow" w:eastAsia="Times New Roman" w:hAnsi="Arial Narrow" w:cs="Times New Roman"/>
            <w:sz w:val="20"/>
            <w:szCs w:val="20"/>
            <w:lang w:eastAsia="pl-PL"/>
          </w:rPr>
          <w:t>0,03 m</w:t>
        </w:r>
      </w:smartTag>
      <w:r w:rsidRPr="00176CD4">
        <w:rPr>
          <w:rFonts w:ascii="Arial Narrow" w:eastAsia="Times New Roman" w:hAnsi="Arial Narrow" w:cs="Times New Roman"/>
          <w:sz w:val="20"/>
          <w:szCs w:val="20"/>
          <w:lang w:eastAsia="pl-PL"/>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Pr="00176CD4">
          <w:rPr>
            <w:rFonts w:ascii="Arial Narrow" w:eastAsia="Times New Roman" w:hAnsi="Arial Narrow" w:cs="Times New Roman"/>
            <w:sz w:val="20"/>
            <w:szCs w:val="20"/>
            <w:lang w:eastAsia="pl-PL"/>
          </w:rPr>
          <w:t>0,15 m</w:t>
        </w:r>
      </w:smartTag>
      <w:r w:rsidRPr="00176CD4">
        <w:rPr>
          <w:rFonts w:ascii="Arial Narrow" w:eastAsia="Times New Roman" w:hAnsi="Arial Narrow" w:cs="Times New Roman"/>
          <w:sz w:val="20"/>
          <w:szCs w:val="20"/>
          <w:lang w:eastAsia="pl-PL"/>
        </w:rPr>
        <w:t>.</w:t>
      </w:r>
    </w:p>
    <w:p w14:paraId="13BC505A"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5.5.6. Barwa konstrukcji wsporczej</w:t>
      </w:r>
    </w:p>
    <w:p w14:paraId="3A63402C"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0CA1A9A9" w14:textId="77777777" w:rsidR="00176CD4" w:rsidRPr="00176CD4" w:rsidRDefault="00176CD4" w:rsidP="00176CD4">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5.6. Połączenie tarczy znaku z konstrukcją wsporczą</w:t>
      </w:r>
    </w:p>
    <w:p w14:paraId="30F66B6C"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Tarcza znaku musi być zamocowana do konstrukcji wsporczej w sposób uniemożliwiający jej przesunięcie lub obrót.</w:t>
      </w:r>
    </w:p>
    <w:p w14:paraId="7883DC75"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Materiał i sposób wykonania połączenia tarczy znaku z konstrukcją wsporczą musi umożliwiać, przy użyciu odpowiednich narzędzi, odłączenie tarczy znaku od tej konstrukcji przez cały okres użytkowania znaku.</w:t>
      </w:r>
    </w:p>
    <w:p w14:paraId="75AD669E"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Na drogach i obszarach, na których występują częste przypadki dewastacji znaków, zaleca się stosowanie elementów złącznych o konstrukcji uniemożliwiającej lub znacznie utrudniającej ich rozłączenie przez osoby niepowołane.</w:t>
      </w:r>
    </w:p>
    <w:p w14:paraId="1846ADD1"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Nie dopuszcza się zamocowania znaku do konstrukcji wsporczej w sposób wymagający bezpośredniego przeprowadzenia śrub mocujących przez lico znaku.</w:t>
      </w:r>
    </w:p>
    <w:p w14:paraId="6A86EC7C" w14:textId="77777777" w:rsidR="00176CD4" w:rsidRPr="00176CD4" w:rsidRDefault="00176CD4" w:rsidP="00176CD4">
      <w:pPr>
        <w:keepNext/>
        <w:numPr>
          <w:ilvl w:val="12"/>
          <w:numId w:val="0"/>
        </w:numPr>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5.7. Urządzenia elektryczne na konstrukcji wsporczej</w:t>
      </w:r>
    </w:p>
    <w:p w14:paraId="552B4EC7"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7979FA30"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Aparaturę elektryczną należy montować na pojedynczym słupie. Na słupie powinna być zamocowana skrzynka elektryczna zgodnie z PN-EN 40-5:2004 [8]. Każda skrzynka elektryczna powinna być zabezpieczona zamkiem natomiast poziomem zabezpieczenia przed przenikaniem kurzu i wody, określonym w EN 60529:2003 [18], powinien być poziom 2 dla cząstek stałych i poziom 3 dla wody.</w:t>
      </w:r>
    </w:p>
    <w:p w14:paraId="577FF1BB"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5.</w:t>
      </w:r>
      <w:r w:rsidRPr="00176CD4">
        <w:rPr>
          <w:rFonts w:ascii="Arial Narrow" w:eastAsia="Times New Roman" w:hAnsi="Arial Narrow" w:cs="Times New Roman"/>
          <w:b/>
          <w:sz w:val="28"/>
          <w:szCs w:val="20"/>
          <w:lang w:eastAsia="x-none"/>
        </w:rPr>
        <w:t>8</w:t>
      </w:r>
      <w:r w:rsidRPr="00176CD4">
        <w:rPr>
          <w:rFonts w:ascii="Arial Narrow" w:eastAsia="Times New Roman" w:hAnsi="Arial Narrow" w:cs="Times New Roman"/>
          <w:b/>
          <w:sz w:val="28"/>
          <w:szCs w:val="20"/>
          <w:lang w:val="x-none" w:eastAsia="x-none"/>
        </w:rPr>
        <w:t>. Oznakowanie znaku</w:t>
      </w:r>
    </w:p>
    <w:p w14:paraId="62697B28" w14:textId="77777777" w:rsidR="00176CD4" w:rsidRPr="00176CD4" w:rsidRDefault="00176CD4" w:rsidP="00176CD4">
      <w:pPr>
        <w:tabs>
          <w:tab w:val="left" w:pos="708"/>
          <w:tab w:val="center" w:pos="4536"/>
          <w:tab w:val="right" w:pos="9072"/>
        </w:tabs>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Każdy wykonany znak drogowy musi mieć naklejoną na rewersie naklejkę zawierającą następujące informacje:</w:t>
      </w:r>
    </w:p>
    <w:p w14:paraId="03A6A0C6"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numer i datę normy tj. PN-EN 12899-1:2005 [16],</w:t>
      </w:r>
    </w:p>
    <w:p w14:paraId="2A728D58"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klasy istotnych właściwości wyrobu,</w:t>
      </w:r>
    </w:p>
    <w:p w14:paraId="07A53267"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miesiąc i dwie ostatnie cyfry roku produkcji</w:t>
      </w:r>
    </w:p>
    <w:p w14:paraId="678B4D31"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nazwę, znak handlowy i inne oznaczenia identyfikujące producenta lub dostawcę jeśli nie jest producentem,</w:t>
      </w:r>
    </w:p>
    <w:p w14:paraId="661D3E58"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znak budowlany „B”,</w:t>
      </w:r>
    </w:p>
    <w:p w14:paraId="0AEDA53E"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numer aprobaty technicznej IBDiM,</w:t>
      </w:r>
    </w:p>
    <w:p w14:paraId="59E8E4E2"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numer certyfikatu zgodności i numer jednostki certyfikującej.</w:t>
      </w:r>
    </w:p>
    <w:p w14:paraId="56A19621"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Oznakowania powinny być wykonane w sposób trwały i wyraźny, czytelny z normalnej odległości widzenia, a całkowita powierzchnia naklejki nie była większa niż 30 cm</w:t>
      </w:r>
      <w:r w:rsidRPr="00176CD4">
        <w:rPr>
          <w:rFonts w:ascii="Arial Narrow" w:eastAsia="Times New Roman" w:hAnsi="Arial Narrow" w:cs="Times New Roman"/>
          <w:sz w:val="20"/>
          <w:szCs w:val="20"/>
          <w:vertAlign w:val="superscript"/>
          <w:lang w:eastAsia="pl-PL"/>
        </w:rPr>
        <w:t>2</w:t>
      </w:r>
      <w:r w:rsidRPr="00176CD4">
        <w:rPr>
          <w:rFonts w:ascii="Arial Narrow" w:eastAsia="Times New Roman" w:hAnsi="Arial Narrow" w:cs="Times New Roman"/>
          <w:sz w:val="20"/>
          <w:szCs w:val="20"/>
          <w:lang w:eastAsia="pl-PL"/>
        </w:rPr>
        <w:t xml:space="preserve"> . Czytelność i trwałość cechy na tylnej stronie tarczy znaku nie powinna być niższa od wymaganej trwałości znaku. Naklejkę należy wykonać z folii nieodblaskowej.</w:t>
      </w:r>
    </w:p>
    <w:p w14:paraId="10095CA3"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lastRenderedPageBreak/>
        <w:t>5.12 Znak zmiennej treści.</w:t>
      </w:r>
    </w:p>
    <w:p w14:paraId="52339B3A"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Zmiana treści powinna być realizowana pod wpływem sygnałów sterujących przekazywanych z CZR, przez trójkątne bryły (pryzmaty), które powinny być obracane pojedynczo lub w grupach przez odpowiednie napędy – urządzenia elektromechaniczne. Ruchome powierzchnie znaków powinny układać się w równych liniach z przodu obudowy w taki sposób, aby lico znaku stanowiło gładką powierzchnię frontową, podobną do konwencjonalnych znaków. Wykonane znaki powinny pozwalać na zmianę poszczególnych wierszy informacji albo na zmianę całego znaku (zgodnie z zaprojektowanymi i zatwierdzonymi treściami). Trójkątne bryły (pryzmaty) powinny być wykonane z surowego aluminium wraz z odpowiednim zabezpieczeniem przed korozją. </w:t>
      </w:r>
    </w:p>
    <w:p w14:paraId="20D6DAE3" w14:textId="77777777" w:rsidR="00176CD4" w:rsidRPr="00176CD4" w:rsidRDefault="00176CD4" w:rsidP="00176CD4">
      <w:pPr>
        <w:widowControl w:val="0"/>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Zastosowane napędy (urządzenia elektromechaniczne) powinny blokować pryzmy, aby nie obróciły się one pod wpływem czynników zewnętrznych (m.in. wiatr, opad atmosferyczny). Znaki powinny posiadać funkcję odladzania np. w przypadku spadku temperatury pryzmy powinny co jakiś czas (zgodnie z zaprogramowanym odstępem czasowym) obracać się o około 10° do przodu i do tyłu, w celu zapobieżenia zamarznięciu się łożysk i tworzenia stałych warstw lodu na powierzchni pryzm.</w:t>
      </w:r>
    </w:p>
    <w:p w14:paraId="6D97EFA2" w14:textId="77777777" w:rsidR="00176CD4" w:rsidRPr="00176CD4" w:rsidRDefault="00176CD4" w:rsidP="00176CD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80" w:name="_Toc425833585"/>
      <w:r w:rsidRPr="00176CD4">
        <w:rPr>
          <w:rFonts w:ascii="Arial Narrow" w:eastAsia="Times New Roman" w:hAnsi="Arial Narrow" w:cs="Times New Roman"/>
          <w:b/>
          <w:caps/>
          <w:kern w:val="28"/>
          <w:sz w:val="28"/>
          <w:szCs w:val="20"/>
          <w:lang w:val="x-none" w:eastAsia="x-none"/>
        </w:rPr>
        <w:t>6. kontrola jakości robót</w:t>
      </w:r>
      <w:bookmarkEnd w:id="880"/>
    </w:p>
    <w:p w14:paraId="78D10A64"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6.1. Ogólne zasady kontroli jakości robót</w:t>
      </w:r>
    </w:p>
    <w:p w14:paraId="068897F1"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Ogólne zasady kontroli jakości robót podano w SST D-M-00.00.00 „Wymagania ogólne” pkt 6.</w:t>
      </w:r>
    </w:p>
    <w:p w14:paraId="4139A489"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6.2. Badania materiałów do wykonania fundamentów betonowych</w:t>
      </w:r>
    </w:p>
    <w:p w14:paraId="5B69E725"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08D56C4F"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6.3. Badania w czasie wykonywania robót</w:t>
      </w:r>
    </w:p>
    <w:p w14:paraId="7EA8BB75"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6.3.1. Badania materiałów w czasie wykonywania robót</w:t>
      </w:r>
    </w:p>
    <w:p w14:paraId="2A2C7084"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Wszystkie materiały dostarczone na budowę powinny być sprawdzone w zakresie powierzchni wyrobu i jego wymiarów.</w:t>
      </w:r>
    </w:p>
    <w:p w14:paraId="05E538EB"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Częstotliwość badań i ocena ich wyników powinna być zgodna z ustaleniami zawartymi w tablicy 7.</w:t>
      </w:r>
    </w:p>
    <w:p w14:paraId="45C5555B"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Tablica 7. Częstotliwość badań przy sprawdzeniu powierzchni i wymiarów wyrobów dostarczonych przez producentów</w:t>
      </w:r>
    </w:p>
    <w:tbl>
      <w:tblPr>
        <w:tblW w:w="75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1417"/>
        <w:gridCol w:w="1505"/>
        <w:gridCol w:w="2748"/>
        <w:gridCol w:w="1417"/>
      </w:tblGrid>
      <w:tr w:rsidR="00176CD4" w:rsidRPr="00176CD4" w14:paraId="2A2945AA" w14:textId="77777777" w:rsidTr="00855929">
        <w:tc>
          <w:tcPr>
            <w:tcW w:w="496" w:type="dxa"/>
            <w:tcBorders>
              <w:bottom w:val="double" w:sz="4" w:space="0" w:color="auto"/>
            </w:tcBorders>
          </w:tcPr>
          <w:p w14:paraId="3E68509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Lp.</w:t>
            </w:r>
          </w:p>
        </w:tc>
        <w:tc>
          <w:tcPr>
            <w:tcW w:w="1417" w:type="dxa"/>
            <w:tcBorders>
              <w:bottom w:val="double" w:sz="4" w:space="0" w:color="auto"/>
            </w:tcBorders>
          </w:tcPr>
          <w:p w14:paraId="42E7693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Rodzaj badania</w:t>
            </w:r>
          </w:p>
        </w:tc>
        <w:tc>
          <w:tcPr>
            <w:tcW w:w="1505" w:type="dxa"/>
            <w:tcBorders>
              <w:bottom w:val="double" w:sz="4" w:space="0" w:color="auto"/>
            </w:tcBorders>
          </w:tcPr>
          <w:p w14:paraId="42BD73EC"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Liczba badań</w:t>
            </w:r>
          </w:p>
        </w:tc>
        <w:tc>
          <w:tcPr>
            <w:tcW w:w="2748" w:type="dxa"/>
            <w:tcBorders>
              <w:bottom w:val="double" w:sz="4" w:space="0" w:color="auto"/>
            </w:tcBorders>
          </w:tcPr>
          <w:p w14:paraId="7914FCF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Opis badań</w:t>
            </w:r>
          </w:p>
        </w:tc>
        <w:tc>
          <w:tcPr>
            <w:tcW w:w="1417" w:type="dxa"/>
            <w:tcBorders>
              <w:bottom w:val="double" w:sz="4" w:space="0" w:color="auto"/>
            </w:tcBorders>
          </w:tcPr>
          <w:p w14:paraId="353AC1C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Ocena wyników badań</w:t>
            </w:r>
          </w:p>
        </w:tc>
      </w:tr>
      <w:tr w:rsidR="00176CD4" w:rsidRPr="00176CD4" w14:paraId="1153D6CD" w14:textId="77777777" w:rsidTr="00855929">
        <w:trPr>
          <w:cantSplit/>
        </w:trPr>
        <w:tc>
          <w:tcPr>
            <w:tcW w:w="496" w:type="dxa"/>
            <w:tcBorders>
              <w:top w:val="double" w:sz="4" w:space="0" w:color="auto"/>
            </w:tcBorders>
          </w:tcPr>
          <w:p w14:paraId="0C62581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1</w:t>
            </w:r>
          </w:p>
        </w:tc>
        <w:tc>
          <w:tcPr>
            <w:tcW w:w="1417" w:type="dxa"/>
            <w:tcBorders>
              <w:top w:val="double" w:sz="4" w:space="0" w:color="auto"/>
            </w:tcBorders>
          </w:tcPr>
          <w:p w14:paraId="33DA08D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Sprawdzenie powierzchni</w:t>
            </w:r>
          </w:p>
        </w:tc>
        <w:tc>
          <w:tcPr>
            <w:tcW w:w="1505" w:type="dxa"/>
            <w:vMerge w:val="restart"/>
            <w:tcBorders>
              <w:top w:val="double" w:sz="4" w:space="0" w:color="auto"/>
            </w:tcBorders>
          </w:tcPr>
          <w:p w14:paraId="4E926A43"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od 5 do 10 badań z wybra-  nych losowo elementów w każdej dostar-  czonej partii wyrobów liczą-cej do 1000 elementów</w:t>
            </w:r>
          </w:p>
        </w:tc>
        <w:tc>
          <w:tcPr>
            <w:tcW w:w="2748" w:type="dxa"/>
            <w:tcBorders>
              <w:top w:val="double" w:sz="4" w:space="0" w:color="auto"/>
            </w:tcBorders>
          </w:tcPr>
          <w:p w14:paraId="620368B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Powierzchnię zbadać nieuzbrojonym okiem. Do ew. sprawdzenia głębokości wad użyć dostępnych narzędzi (np. liniałów z czujnikiem, suwmiarek, mikrometrów itp.</w:t>
            </w:r>
          </w:p>
        </w:tc>
        <w:tc>
          <w:tcPr>
            <w:tcW w:w="1417" w:type="dxa"/>
            <w:vMerge w:val="restart"/>
            <w:tcBorders>
              <w:top w:val="double" w:sz="4" w:space="0" w:color="auto"/>
            </w:tcBorders>
          </w:tcPr>
          <w:p w14:paraId="37D57FF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149BCD4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381ED16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Wyniki badań powinny być zgodne z wymaganiami punktu 2</w:t>
            </w:r>
          </w:p>
        </w:tc>
      </w:tr>
      <w:tr w:rsidR="00176CD4" w:rsidRPr="00176CD4" w14:paraId="7E6AF97F" w14:textId="77777777" w:rsidTr="00855929">
        <w:trPr>
          <w:cantSplit/>
        </w:trPr>
        <w:tc>
          <w:tcPr>
            <w:tcW w:w="496" w:type="dxa"/>
          </w:tcPr>
          <w:p w14:paraId="5864386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17D4E7F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2</w:t>
            </w:r>
          </w:p>
        </w:tc>
        <w:tc>
          <w:tcPr>
            <w:tcW w:w="1417" w:type="dxa"/>
          </w:tcPr>
          <w:p w14:paraId="5DD4B89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p>
          <w:p w14:paraId="44B95C7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Sprawdzenie wymiarów</w:t>
            </w:r>
          </w:p>
        </w:tc>
        <w:tc>
          <w:tcPr>
            <w:tcW w:w="1505" w:type="dxa"/>
            <w:vMerge/>
          </w:tcPr>
          <w:p w14:paraId="161DB14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c>
          <w:tcPr>
            <w:tcW w:w="2748" w:type="dxa"/>
          </w:tcPr>
          <w:p w14:paraId="0C27AFE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Przeprowadzić uniwersalnymi przyrządami pomiarowymi lub sprawdzianami (np. liniałami, przymiarami itp.)</w:t>
            </w:r>
          </w:p>
        </w:tc>
        <w:tc>
          <w:tcPr>
            <w:tcW w:w="1417" w:type="dxa"/>
            <w:vMerge/>
          </w:tcPr>
          <w:p w14:paraId="69946EC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p>
        </w:tc>
      </w:tr>
    </w:tbl>
    <w:p w14:paraId="68F26D3A"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37554015"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 xml:space="preserve">W przypadkach budzących wątpliwości można zlecić uprawnionej jednostce zbadanie właściwości dostarczonych wyrobów i materiałów w zakresie wymagań podanych w punkcie 2.  </w:t>
      </w:r>
    </w:p>
    <w:p w14:paraId="5C8842B0" w14:textId="77777777" w:rsidR="00176CD4" w:rsidRPr="00176CD4" w:rsidRDefault="00176CD4" w:rsidP="00176CD4">
      <w:pPr>
        <w:keepNext/>
        <w:shd w:val="clear" w:color="auto" w:fill="D9D9D9"/>
        <w:overflowPunct w:val="0"/>
        <w:autoSpaceDE w:val="0"/>
        <w:autoSpaceDN w:val="0"/>
        <w:adjustRightInd w:val="0"/>
        <w:spacing w:after="0" w:line="240" w:lineRule="auto"/>
        <w:textAlignment w:val="baseline"/>
        <w:outlineLvl w:val="2"/>
        <w:rPr>
          <w:rFonts w:ascii="Arial Narrow" w:eastAsia="Times New Roman" w:hAnsi="Arial Narrow" w:cs="Times New Roman"/>
          <w:b/>
          <w:sz w:val="24"/>
          <w:szCs w:val="20"/>
          <w:lang w:val="x-none" w:eastAsia="x-none"/>
        </w:rPr>
      </w:pPr>
      <w:r w:rsidRPr="00176CD4">
        <w:rPr>
          <w:rFonts w:ascii="Arial Narrow" w:eastAsia="Times New Roman" w:hAnsi="Arial Narrow" w:cs="Times New Roman"/>
          <w:b/>
          <w:sz w:val="24"/>
          <w:szCs w:val="20"/>
          <w:lang w:val="x-none" w:eastAsia="x-none"/>
        </w:rPr>
        <w:t>6.3.2. Kontrola w czasie wykonywania robót</w:t>
      </w:r>
    </w:p>
    <w:p w14:paraId="72734AB4"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W czasie wykonywania robót należy sprawdzać:</w:t>
      </w:r>
    </w:p>
    <w:p w14:paraId="4C05C364"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zgodność wykonania znaków pionowych z dokumentacją projektową (lokalizacja, wymiary znaków, wysokość zamocowania znaków),</w:t>
      </w:r>
    </w:p>
    <w:p w14:paraId="1425B1AA"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zachowanie dopuszczalnych odchyłek wymiarów, zgodnie z punktem 2 i 5,</w:t>
      </w:r>
    </w:p>
    <w:p w14:paraId="051D948A"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prawidłowość wykonania wykopów pod konstrukcje wsporcze, zgodnie z punktem 5.3,</w:t>
      </w:r>
    </w:p>
    <w:p w14:paraId="5AD81413"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poprawność wykonania fundamentów pod słupki zgodnie z punktem 5.3,</w:t>
      </w:r>
    </w:p>
    <w:p w14:paraId="2E87019B"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poprawność ustawienia słupków i konstrukcji wsporczych, zgodnie z punktem 5.4 i 5.5,</w:t>
      </w:r>
    </w:p>
    <w:p w14:paraId="0C5575F2"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zgodność rodzaju i grubości blachy ze specyfikacją.</w:t>
      </w:r>
    </w:p>
    <w:p w14:paraId="459A8833" w14:textId="77777777" w:rsidR="00176CD4" w:rsidRPr="00176CD4" w:rsidRDefault="00176CD4" w:rsidP="00176CD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81" w:name="_Toc425833586"/>
      <w:r w:rsidRPr="00176CD4">
        <w:rPr>
          <w:rFonts w:ascii="Arial Narrow" w:eastAsia="Times New Roman" w:hAnsi="Arial Narrow" w:cs="Times New Roman"/>
          <w:b/>
          <w:caps/>
          <w:kern w:val="28"/>
          <w:sz w:val="28"/>
          <w:szCs w:val="20"/>
          <w:lang w:val="x-none" w:eastAsia="x-none"/>
        </w:rPr>
        <w:t>7. OBMIAR ROBÓT</w:t>
      </w:r>
      <w:bookmarkEnd w:id="881"/>
    </w:p>
    <w:p w14:paraId="5467EAB6"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7.1. Ogólne zasady obmiaru robót</w:t>
      </w:r>
    </w:p>
    <w:p w14:paraId="31A42E52"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Ogólne zasady obmiaru robót podano w SST D-M-00.00.00 „Wymagania ogólne” pkt 7.</w:t>
      </w:r>
    </w:p>
    <w:p w14:paraId="0291D057"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7.2. Jednostka obmiarowa</w:t>
      </w:r>
    </w:p>
    <w:p w14:paraId="2EF25733"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Jednostkami obmiarowymi są:</w:t>
      </w:r>
    </w:p>
    <w:p w14:paraId="2207FED9"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szt. (sztuka), dla znaków drogowych konwencjonalnych oraz konstrukcji wsporczych,</w:t>
      </w:r>
    </w:p>
    <w:p w14:paraId="27C8819B" w14:textId="77777777" w:rsidR="00176CD4" w:rsidRPr="00176CD4" w:rsidRDefault="00176CD4" w:rsidP="00176CD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82" w:name="_Toc425833587"/>
      <w:r w:rsidRPr="00176CD4">
        <w:rPr>
          <w:rFonts w:ascii="Arial Narrow" w:eastAsia="Times New Roman" w:hAnsi="Arial Narrow" w:cs="Times New Roman"/>
          <w:b/>
          <w:caps/>
          <w:kern w:val="28"/>
          <w:sz w:val="28"/>
          <w:szCs w:val="20"/>
          <w:lang w:val="x-none" w:eastAsia="x-none"/>
        </w:rPr>
        <w:t>8. ODBIÓR ROBÓT</w:t>
      </w:r>
      <w:bookmarkEnd w:id="882"/>
    </w:p>
    <w:p w14:paraId="5220E8AE"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8.1. Ogólne zasady odbioru robót</w:t>
      </w:r>
    </w:p>
    <w:p w14:paraId="538B3F17"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Ogólne zasady odbioru robót podano w SST D-M-00.00.00 „Wymagania ogólne” pkt 8.</w:t>
      </w:r>
    </w:p>
    <w:p w14:paraId="20003411"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Roboty uznaje się za wykonane zgodnie z dokumentacją projektową, SST i wymaganiami Inżyniera, jeżeli wszystkie pomiary i badania z zachowaniem tolerancji wg pkt 6, dały wyniki pozytywne.</w:t>
      </w:r>
    </w:p>
    <w:p w14:paraId="42DA3A6E"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lastRenderedPageBreak/>
        <w:t>8.2. Odbiór ostateczny</w:t>
      </w:r>
    </w:p>
    <w:p w14:paraId="49006806"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Odbiór robót oznakowania pionowego dokonywany jest na zasadzie odbioru ostatecznego.</w:t>
      </w:r>
    </w:p>
    <w:p w14:paraId="2FA394C2"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Odbiór ostateczny powinien być dokonany po całkowitym zakończeniu robót, na podstawie wyników pomiarów i badań jakościowych określonych w punktach 2 i 5.</w:t>
      </w:r>
    </w:p>
    <w:p w14:paraId="318EA381"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8.3. Odbiór pogwarancyjny</w:t>
      </w:r>
    </w:p>
    <w:p w14:paraId="48235B36"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Przed upływem okresu gwarancyjnego należy wykonać przegląd znaków i wybraną grupę poddać badaniom fotometrycznym lica. Pozytywne wyniki przeglądu i badań mogą być podstawą odbioru pogwarancyjnego.</w:t>
      </w:r>
    </w:p>
    <w:p w14:paraId="0F6F0E2C"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Odbiór pogwarancyjny należy przeprowadzić w ciągu 1 miesiąca po upływie okresu gwarancyjnego, ustalonego w SST.</w:t>
      </w:r>
    </w:p>
    <w:p w14:paraId="327F6283" w14:textId="77777777" w:rsidR="00176CD4" w:rsidRPr="00176CD4" w:rsidRDefault="00176CD4" w:rsidP="00176CD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83" w:name="_Toc425833588"/>
      <w:r w:rsidRPr="00176CD4">
        <w:rPr>
          <w:rFonts w:ascii="Arial Narrow" w:eastAsia="Times New Roman" w:hAnsi="Arial Narrow" w:cs="Times New Roman"/>
          <w:b/>
          <w:caps/>
          <w:kern w:val="28"/>
          <w:sz w:val="28"/>
          <w:szCs w:val="20"/>
          <w:lang w:val="x-none" w:eastAsia="x-none"/>
        </w:rPr>
        <w:t>9. podstawa płatności</w:t>
      </w:r>
      <w:bookmarkEnd w:id="883"/>
    </w:p>
    <w:p w14:paraId="5BF2FBBA"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9.1. Ogólne ustalenia dotyczące podstawy płatności</w:t>
      </w:r>
    </w:p>
    <w:p w14:paraId="13AFFAFF"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Ogólne ustalenia dotyczące podstawy płatności podano w SST D-M-00.00.00 „Wymagania ogólne” pkt 9.</w:t>
      </w:r>
    </w:p>
    <w:p w14:paraId="613CB5BE"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9.2. Cena jednostki obmiarowej</w:t>
      </w:r>
    </w:p>
    <w:p w14:paraId="71152132"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Cena wykonania jednostki obmiarowej [szt.] oznakowania pionowego obejmuje:</w:t>
      </w:r>
    </w:p>
    <w:p w14:paraId="52A77FF0"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prace pomiarowe i roboty przygotowawcze,</w:t>
      </w:r>
    </w:p>
    <w:p w14:paraId="7EE3EEEE"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wykonanie fundamentów,</w:t>
      </w:r>
    </w:p>
    <w:p w14:paraId="09520B03"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dostarczenie i ustawienie konstrukcji wsporczych,</w:t>
      </w:r>
    </w:p>
    <w:p w14:paraId="2B7D30F5"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zamocowanie tarcz znaków drogowych,</w:t>
      </w:r>
    </w:p>
    <w:p w14:paraId="7CCBE9B0"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zastosowanie tulei przy znakach aktywnych i w obrębie azyli,</w:t>
      </w:r>
    </w:p>
    <w:p w14:paraId="35D0F81A" w14:textId="77777777" w:rsidR="00176CD4" w:rsidRPr="00176CD4" w:rsidRDefault="00176CD4" w:rsidP="00176CD4">
      <w:pPr>
        <w:numPr>
          <w:ilvl w:val="0"/>
          <w:numId w:val="2"/>
        </w:numPr>
        <w:overflowPunct w:val="0"/>
        <w:autoSpaceDE w:val="0"/>
        <w:autoSpaceDN w:val="0"/>
        <w:adjustRightInd w:val="0"/>
        <w:spacing w:after="0" w:line="240" w:lineRule="auto"/>
        <w:ind w:left="283" w:hanging="283"/>
        <w:jc w:val="both"/>
        <w:textAlignment w:val="baseline"/>
        <w:outlineLvl w:val="7"/>
        <w:rPr>
          <w:rFonts w:ascii="Arial Narrow" w:eastAsia="Times New Roman" w:hAnsi="Arial Narrow" w:cs="Times New Roman"/>
          <w:sz w:val="20"/>
          <w:szCs w:val="20"/>
          <w:lang w:val="x-none" w:eastAsia="x-none"/>
        </w:rPr>
      </w:pPr>
      <w:r w:rsidRPr="00176CD4">
        <w:rPr>
          <w:rFonts w:ascii="Arial Narrow" w:eastAsia="Times New Roman" w:hAnsi="Arial Narrow" w:cs="Times New Roman"/>
          <w:sz w:val="20"/>
          <w:szCs w:val="20"/>
          <w:lang w:val="x-none" w:eastAsia="x-none"/>
        </w:rPr>
        <w:t>przeprowadzenie pomiarów i badań wymaganych w SST.</w:t>
      </w:r>
    </w:p>
    <w:p w14:paraId="2CCADE54" w14:textId="77777777" w:rsidR="00176CD4" w:rsidRPr="00176CD4" w:rsidRDefault="00176CD4" w:rsidP="00176CD4">
      <w:pPr>
        <w:keepNext/>
        <w:keepLines/>
        <w:suppressAutoHyphens/>
        <w:overflowPunct w:val="0"/>
        <w:autoSpaceDE w:val="0"/>
        <w:autoSpaceDN w:val="0"/>
        <w:adjustRightInd w:val="0"/>
        <w:spacing w:after="0" w:line="240" w:lineRule="auto"/>
        <w:jc w:val="both"/>
        <w:textAlignment w:val="baseline"/>
        <w:outlineLvl w:val="0"/>
        <w:rPr>
          <w:rFonts w:ascii="Arial Narrow" w:eastAsia="Times New Roman" w:hAnsi="Arial Narrow" w:cs="Times New Roman"/>
          <w:b/>
          <w:caps/>
          <w:kern w:val="28"/>
          <w:sz w:val="28"/>
          <w:szCs w:val="20"/>
          <w:lang w:val="x-none" w:eastAsia="x-none"/>
        </w:rPr>
      </w:pPr>
      <w:bookmarkStart w:id="884" w:name="_Toc425833589"/>
      <w:r w:rsidRPr="00176CD4">
        <w:rPr>
          <w:rFonts w:ascii="Arial Narrow" w:eastAsia="Times New Roman" w:hAnsi="Arial Narrow" w:cs="Times New Roman"/>
          <w:b/>
          <w:caps/>
          <w:kern w:val="28"/>
          <w:sz w:val="28"/>
          <w:szCs w:val="20"/>
          <w:lang w:val="x-none" w:eastAsia="x-none"/>
        </w:rPr>
        <w:t>10. NORMY I przepisy związane</w:t>
      </w:r>
      <w:bookmarkEnd w:id="884"/>
    </w:p>
    <w:p w14:paraId="7DC01108"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10.1. Normy</w:t>
      </w:r>
    </w:p>
    <w:tbl>
      <w:tblPr>
        <w:tblW w:w="0" w:type="auto"/>
        <w:tblLayout w:type="fixed"/>
        <w:tblCellMar>
          <w:left w:w="70" w:type="dxa"/>
          <w:right w:w="70" w:type="dxa"/>
        </w:tblCellMar>
        <w:tblLook w:val="0000" w:firstRow="0" w:lastRow="0" w:firstColumn="0" w:lastColumn="0" w:noHBand="0" w:noVBand="0"/>
      </w:tblPr>
      <w:tblGrid>
        <w:gridCol w:w="496"/>
        <w:gridCol w:w="2268"/>
        <w:gridCol w:w="4745"/>
      </w:tblGrid>
      <w:tr w:rsidR="00176CD4" w:rsidRPr="00176CD4" w14:paraId="2BAFDAAF" w14:textId="77777777" w:rsidTr="00855929">
        <w:tc>
          <w:tcPr>
            <w:tcW w:w="496" w:type="dxa"/>
            <w:tcBorders>
              <w:top w:val="nil"/>
              <w:left w:val="nil"/>
              <w:bottom w:val="nil"/>
              <w:right w:val="nil"/>
            </w:tcBorders>
          </w:tcPr>
          <w:p w14:paraId="4C5A5BE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  1.</w:t>
            </w:r>
          </w:p>
        </w:tc>
        <w:tc>
          <w:tcPr>
            <w:tcW w:w="2268" w:type="dxa"/>
            <w:tcBorders>
              <w:top w:val="nil"/>
              <w:left w:val="nil"/>
              <w:bottom w:val="nil"/>
              <w:right w:val="nil"/>
            </w:tcBorders>
          </w:tcPr>
          <w:p w14:paraId="4184EB2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PN-76/C-81521</w:t>
            </w:r>
          </w:p>
        </w:tc>
        <w:tc>
          <w:tcPr>
            <w:tcW w:w="4745" w:type="dxa"/>
            <w:tcBorders>
              <w:top w:val="nil"/>
              <w:left w:val="nil"/>
              <w:bottom w:val="nil"/>
              <w:right w:val="nil"/>
            </w:tcBorders>
          </w:tcPr>
          <w:p w14:paraId="233E64D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Wyroby lakierowane - badanie odporności powłoki lakierowanej na działanie wody oraz oznaczanie nasiąkliwości </w:t>
            </w:r>
          </w:p>
        </w:tc>
      </w:tr>
      <w:tr w:rsidR="00176CD4" w:rsidRPr="00176CD4" w14:paraId="1AA9A02A" w14:textId="77777777" w:rsidTr="00855929">
        <w:tc>
          <w:tcPr>
            <w:tcW w:w="496" w:type="dxa"/>
            <w:tcBorders>
              <w:top w:val="nil"/>
              <w:left w:val="nil"/>
              <w:bottom w:val="nil"/>
              <w:right w:val="nil"/>
            </w:tcBorders>
          </w:tcPr>
          <w:p w14:paraId="14653D1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  2.</w:t>
            </w:r>
          </w:p>
        </w:tc>
        <w:tc>
          <w:tcPr>
            <w:tcW w:w="2268" w:type="dxa"/>
            <w:tcBorders>
              <w:top w:val="nil"/>
              <w:left w:val="nil"/>
              <w:bottom w:val="nil"/>
              <w:right w:val="nil"/>
            </w:tcBorders>
          </w:tcPr>
          <w:p w14:paraId="0AE5B38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PN-83/B-03010</w:t>
            </w:r>
          </w:p>
        </w:tc>
        <w:tc>
          <w:tcPr>
            <w:tcW w:w="4745" w:type="dxa"/>
            <w:tcBorders>
              <w:top w:val="nil"/>
              <w:left w:val="nil"/>
              <w:bottom w:val="nil"/>
              <w:right w:val="nil"/>
            </w:tcBorders>
          </w:tcPr>
          <w:p w14:paraId="2925653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Ściany oporowe - Obliczenia statyczne i projektowanie</w:t>
            </w:r>
          </w:p>
        </w:tc>
      </w:tr>
      <w:tr w:rsidR="00176CD4" w:rsidRPr="00176CD4" w14:paraId="69E17A81" w14:textId="77777777" w:rsidTr="00855929">
        <w:tc>
          <w:tcPr>
            <w:tcW w:w="496" w:type="dxa"/>
            <w:tcBorders>
              <w:top w:val="nil"/>
              <w:left w:val="nil"/>
              <w:bottom w:val="nil"/>
              <w:right w:val="nil"/>
            </w:tcBorders>
          </w:tcPr>
          <w:p w14:paraId="78723E4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  3.</w:t>
            </w:r>
          </w:p>
        </w:tc>
        <w:tc>
          <w:tcPr>
            <w:tcW w:w="2268" w:type="dxa"/>
            <w:tcBorders>
              <w:top w:val="nil"/>
              <w:left w:val="nil"/>
              <w:bottom w:val="nil"/>
              <w:right w:val="nil"/>
            </w:tcBorders>
          </w:tcPr>
          <w:p w14:paraId="51CC0D8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PN-84/H-74220</w:t>
            </w:r>
          </w:p>
        </w:tc>
        <w:tc>
          <w:tcPr>
            <w:tcW w:w="4745" w:type="dxa"/>
            <w:tcBorders>
              <w:top w:val="nil"/>
              <w:left w:val="nil"/>
              <w:bottom w:val="nil"/>
              <w:right w:val="nil"/>
            </w:tcBorders>
          </w:tcPr>
          <w:p w14:paraId="1C2F9E88"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Rury stalowe bez szwu ciągnione i walcowane na zimno ogólnego zastosowania</w:t>
            </w:r>
          </w:p>
        </w:tc>
      </w:tr>
      <w:tr w:rsidR="00176CD4" w:rsidRPr="00176CD4" w14:paraId="25F65A5D" w14:textId="77777777" w:rsidTr="00855929">
        <w:tc>
          <w:tcPr>
            <w:tcW w:w="496" w:type="dxa"/>
            <w:tcBorders>
              <w:top w:val="nil"/>
              <w:left w:val="nil"/>
              <w:bottom w:val="nil"/>
              <w:right w:val="nil"/>
            </w:tcBorders>
          </w:tcPr>
          <w:p w14:paraId="0A25A26C"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  4.</w:t>
            </w:r>
          </w:p>
        </w:tc>
        <w:tc>
          <w:tcPr>
            <w:tcW w:w="2268" w:type="dxa"/>
            <w:tcBorders>
              <w:top w:val="nil"/>
              <w:left w:val="nil"/>
              <w:bottom w:val="nil"/>
              <w:right w:val="nil"/>
            </w:tcBorders>
          </w:tcPr>
          <w:p w14:paraId="60D4D0D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PN-88/C-81523</w:t>
            </w:r>
          </w:p>
        </w:tc>
        <w:tc>
          <w:tcPr>
            <w:tcW w:w="4745" w:type="dxa"/>
            <w:tcBorders>
              <w:top w:val="nil"/>
              <w:left w:val="nil"/>
              <w:bottom w:val="nil"/>
              <w:right w:val="nil"/>
            </w:tcBorders>
          </w:tcPr>
          <w:p w14:paraId="5F5DA10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Wyroby lakierowane  - Oznaczanie odporności powłoki na działanie mgły solnej</w:t>
            </w:r>
          </w:p>
        </w:tc>
      </w:tr>
      <w:tr w:rsidR="00176CD4" w:rsidRPr="00176CD4" w14:paraId="61493F91" w14:textId="77777777" w:rsidTr="00855929">
        <w:tc>
          <w:tcPr>
            <w:tcW w:w="496" w:type="dxa"/>
            <w:tcBorders>
              <w:top w:val="nil"/>
              <w:left w:val="nil"/>
              <w:bottom w:val="nil"/>
              <w:right w:val="nil"/>
            </w:tcBorders>
          </w:tcPr>
          <w:p w14:paraId="76F561B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  5.</w:t>
            </w:r>
          </w:p>
        </w:tc>
        <w:tc>
          <w:tcPr>
            <w:tcW w:w="2268" w:type="dxa"/>
            <w:tcBorders>
              <w:top w:val="nil"/>
              <w:left w:val="nil"/>
              <w:bottom w:val="nil"/>
              <w:right w:val="nil"/>
            </w:tcBorders>
          </w:tcPr>
          <w:p w14:paraId="3EB1E78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PN-89/H-84023.07</w:t>
            </w:r>
          </w:p>
        </w:tc>
        <w:tc>
          <w:tcPr>
            <w:tcW w:w="4745" w:type="dxa"/>
            <w:tcBorders>
              <w:top w:val="nil"/>
              <w:left w:val="nil"/>
              <w:bottom w:val="nil"/>
              <w:right w:val="nil"/>
            </w:tcBorders>
          </w:tcPr>
          <w:p w14:paraId="4A0C9F5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Stal określonego zastosowania. Stal na rury. Gatunki</w:t>
            </w:r>
          </w:p>
        </w:tc>
      </w:tr>
      <w:tr w:rsidR="00176CD4" w:rsidRPr="00176CD4" w14:paraId="5A09FA23" w14:textId="77777777" w:rsidTr="00855929">
        <w:tc>
          <w:tcPr>
            <w:tcW w:w="496" w:type="dxa"/>
            <w:tcBorders>
              <w:top w:val="nil"/>
              <w:left w:val="nil"/>
              <w:bottom w:val="nil"/>
              <w:right w:val="nil"/>
            </w:tcBorders>
          </w:tcPr>
          <w:p w14:paraId="521886A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  6.</w:t>
            </w:r>
          </w:p>
        </w:tc>
        <w:tc>
          <w:tcPr>
            <w:tcW w:w="2268" w:type="dxa"/>
            <w:tcBorders>
              <w:top w:val="nil"/>
              <w:left w:val="nil"/>
              <w:bottom w:val="nil"/>
              <w:right w:val="nil"/>
            </w:tcBorders>
          </w:tcPr>
          <w:p w14:paraId="11F27A8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PN-B-03215:1998</w:t>
            </w:r>
          </w:p>
        </w:tc>
        <w:tc>
          <w:tcPr>
            <w:tcW w:w="4745" w:type="dxa"/>
            <w:tcBorders>
              <w:top w:val="nil"/>
              <w:left w:val="nil"/>
              <w:bottom w:val="nil"/>
              <w:right w:val="nil"/>
            </w:tcBorders>
          </w:tcPr>
          <w:p w14:paraId="1E52656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Konstrukcje stalowe - Połączenia z fundamentami - Projektowanie i wykonanie</w:t>
            </w:r>
          </w:p>
        </w:tc>
      </w:tr>
      <w:tr w:rsidR="00176CD4" w:rsidRPr="00176CD4" w14:paraId="433229B3" w14:textId="77777777" w:rsidTr="00855929">
        <w:tc>
          <w:tcPr>
            <w:tcW w:w="496" w:type="dxa"/>
            <w:tcBorders>
              <w:top w:val="nil"/>
              <w:left w:val="nil"/>
              <w:bottom w:val="nil"/>
              <w:right w:val="nil"/>
            </w:tcBorders>
          </w:tcPr>
          <w:p w14:paraId="4BCDEE0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  7.</w:t>
            </w:r>
          </w:p>
        </w:tc>
        <w:tc>
          <w:tcPr>
            <w:tcW w:w="2268" w:type="dxa"/>
            <w:tcBorders>
              <w:top w:val="nil"/>
              <w:left w:val="nil"/>
              <w:bottom w:val="nil"/>
              <w:right w:val="nil"/>
            </w:tcBorders>
          </w:tcPr>
          <w:p w14:paraId="3630554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PN-B-03264:2002</w:t>
            </w:r>
          </w:p>
        </w:tc>
        <w:tc>
          <w:tcPr>
            <w:tcW w:w="4745" w:type="dxa"/>
            <w:tcBorders>
              <w:top w:val="nil"/>
              <w:left w:val="nil"/>
              <w:bottom w:val="nil"/>
              <w:right w:val="nil"/>
            </w:tcBorders>
          </w:tcPr>
          <w:p w14:paraId="7745935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Konstrukcje betonowe, żelbetowe i sprężone - Obliczenia statyczne i projektowanie</w:t>
            </w:r>
          </w:p>
        </w:tc>
      </w:tr>
      <w:tr w:rsidR="00176CD4" w:rsidRPr="00176CD4" w14:paraId="25A5AFAA" w14:textId="77777777" w:rsidTr="00855929">
        <w:tc>
          <w:tcPr>
            <w:tcW w:w="496" w:type="dxa"/>
            <w:tcBorders>
              <w:top w:val="nil"/>
              <w:left w:val="nil"/>
              <w:bottom w:val="nil"/>
              <w:right w:val="nil"/>
            </w:tcBorders>
          </w:tcPr>
          <w:p w14:paraId="7676A1C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  8.</w:t>
            </w:r>
          </w:p>
        </w:tc>
        <w:tc>
          <w:tcPr>
            <w:tcW w:w="2268" w:type="dxa"/>
            <w:tcBorders>
              <w:top w:val="nil"/>
              <w:left w:val="nil"/>
              <w:bottom w:val="nil"/>
              <w:right w:val="nil"/>
            </w:tcBorders>
          </w:tcPr>
          <w:p w14:paraId="402827E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PN-EN 40-5:2004</w:t>
            </w:r>
          </w:p>
        </w:tc>
        <w:tc>
          <w:tcPr>
            <w:tcW w:w="4745" w:type="dxa"/>
            <w:tcBorders>
              <w:top w:val="nil"/>
              <w:left w:val="nil"/>
              <w:bottom w:val="nil"/>
              <w:right w:val="nil"/>
            </w:tcBorders>
          </w:tcPr>
          <w:p w14:paraId="5F8FAB2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Słupy oświetleniowe. Część 5. Słupy oświetleniowe stalowe. Wymagania.</w:t>
            </w:r>
          </w:p>
        </w:tc>
      </w:tr>
      <w:tr w:rsidR="00176CD4" w:rsidRPr="00176CD4" w14:paraId="5F756020" w14:textId="77777777" w:rsidTr="00855929">
        <w:tc>
          <w:tcPr>
            <w:tcW w:w="496" w:type="dxa"/>
            <w:tcBorders>
              <w:top w:val="nil"/>
              <w:left w:val="nil"/>
              <w:bottom w:val="nil"/>
              <w:right w:val="nil"/>
            </w:tcBorders>
          </w:tcPr>
          <w:p w14:paraId="6050E4F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  9. </w:t>
            </w:r>
          </w:p>
        </w:tc>
        <w:tc>
          <w:tcPr>
            <w:tcW w:w="2268" w:type="dxa"/>
            <w:tcBorders>
              <w:top w:val="nil"/>
              <w:left w:val="nil"/>
              <w:bottom w:val="nil"/>
              <w:right w:val="nil"/>
            </w:tcBorders>
          </w:tcPr>
          <w:p w14:paraId="1A6C101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PN-EN 206-1:2003</w:t>
            </w:r>
          </w:p>
        </w:tc>
        <w:tc>
          <w:tcPr>
            <w:tcW w:w="4745" w:type="dxa"/>
            <w:tcBorders>
              <w:top w:val="nil"/>
              <w:left w:val="nil"/>
              <w:bottom w:val="nil"/>
              <w:right w:val="nil"/>
            </w:tcBorders>
          </w:tcPr>
          <w:p w14:paraId="3EB2766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Beton Część 1: Wymagania, właściwości, produkcja i zgodność</w:t>
            </w:r>
          </w:p>
        </w:tc>
      </w:tr>
    </w:tbl>
    <w:p w14:paraId="34F59E7E"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tbl>
      <w:tblPr>
        <w:tblW w:w="0" w:type="auto"/>
        <w:tblLayout w:type="fixed"/>
        <w:tblCellMar>
          <w:left w:w="70" w:type="dxa"/>
          <w:right w:w="70" w:type="dxa"/>
        </w:tblCellMar>
        <w:tblLook w:val="0000" w:firstRow="0" w:lastRow="0" w:firstColumn="0" w:lastColumn="0" w:noHBand="0" w:noVBand="0"/>
      </w:tblPr>
      <w:tblGrid>
        <w:gridCol w:w="496"/>
        <w:gridCol w:w="2268"/>
        <w:gridCol w:w="4745"/>
      </w:tblGrid>
      <w:tr w:rsidR="00176CD4" w:rsidRPr="00176CD4" w14:paraId="5DB2233E" w14:textId="77777777" w:rsidTr="00855929">
        <w:tc>
          <w:tcPr>
            <w:tcW w:w="496" w:type="dxa"/>
            <w:tcBorders>
              <w:top w:val="nil"/>
              <w:left w:val="nil"/>
              <w:bottom w:val="nil"/>
              <w:right w:val="nil"/>
            </w:tcBorders>
          </w:tcPr>
          <w:p w14:paraId="4DCE0CB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10.</w:t>
            </w:r>
          </w:p>
        </w:tc>
        <w:tc>
          <w:tcPr>
            <w:tcW w:w="2268" w:type="dxa"/>
            <w:tcBorders>
              <w:top w:val="nil"/>
              <w:left w:val="nil"/>
              <w:bottom w:val="nil"/>
              <w:right w:val="nil"/>
            </w:tcBorders>
          </w:tcPr>
          <w:p w14:paraId="74CA59C9"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PN-EN 485-4:1997</w:t>
            </w:r>
          </w:p>
        </w:tc>
        <w:tc>
          <w:tcPr>
            <w:tcW w:w="4745" w:type="dxa"/>
            <w:tcBorders>
              <w:top w:val="nil"/>
              <w:left w:val="nil"/>
              <w:bottom w:val="nil"/>
              <w:right w:val="nil"/>
            </w:tcBorders>
          </w:tcPr>
          <w:p w14:paraId="11E372A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Aluminium i stopy aluminium - Blachy, taśmy i płyty - Tolerancje kształtu i wymiarów wyrobów walcowanych na zimno</w:t>
            </w:r>
          </w:p>
        </w:tc>
      </w:tr>
      <w:tr w:rsidR="00176CD4" w:rsidRPr="00176CD4" w14:paraId="0AE49B7B" w14:textId="77777777" w:rsidTr="00855929">
        <w:tc>
          <w:tcPr>
            <w:tcW w:w="496" w:type="dxa"/>
            <w:tcBorders>
              <w:top w:val="nil"/>
              <w:left w:val="nil"/>
              <w:bottom w:val="nil"/>
              <w:right w:val="nil"/>
            </w:tcBorders>
          </w:tcPr>
          <w:p w14:paraId="15FEF2A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11.</w:t>
            </w:r>
          </w:p>
        </w:tc>
        <w:tc>
          <w:tcPr>
            <w:tcW w:w="2268" w:type="dxa"/>
            <w:tcBorders>
              <w:top w:val="nil"/>
              <w:left w:val="nil"/>
              <w:bottom w:val="nil"/>
              <w:right w:val="nil"/>
            </w:tcBorders>
          </w:tcPr>
          <w:p w14:paraId="70B0483C"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lang w:val="de-DE"/>
              </w:rPr>
            </w:pPr>
            <w:r w:rsidRPr="00176CD4">
              <w:rPr>
                <w:rFonts w:ascii="Arial Narrow" w:eastAsia="Times New Roman" w:hAnsi="Arial Narrow" w:cs="Times New Roman"/>
                <w:sz w:val="20"/>
                <w:lang w:val="de-DE"/>
              </w:rPr>
              <w:t>PN-EN ISO 1461:2000</w:t>
            </w:r>
          </w:p>
        </w:tc>
        <w:tc>
          <w:tcPr>
            <w:tcW w:w="4745" w:type="dxa"/>
            <w:tcBorders>
              <w:top w:val="nil"/>
              <w:left w:val="nil"/>
              <w:bottom w:val="nil"/>
              <w:right w:val="nil"/>
            </w:tcBorders>
          </w:tcPr>
          <w:p w14:paraId="35D015E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Powłoki cynkowe nanoszone na stal metodą zanurzeniową (cynkowanie jednostkowe) – Wymaganie i badanie </w:t>
            </w:r>
          </w:p>
        </w:tc>
      </w:tr>
      <w:tr w:rsidR="00176CD4" w:rsidRPr="00176CD4" w14:paraId="1117D1FE" w14:textId="77777777" w:rsidTr="00855929">
        <w:tc>
          <w:tcPr>
            <w:tcW w:w="496" w:type="dxa"/>
            <w:tcBorders>
              <w:top w:val="nil"/>
              <w:left w:val="nil"/>
              <w:bottom w:val="nil"/>
              <w:right w:val="nil"/>
            </w:tcBorders>
          </w:tcPr>
          <w:p w14:paraId="7F2D746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12.</w:t>
            </w:r>
          </w:p>
        </w:tc>
        <w:tc>
          <w:tcPr>
            <w:tcW w:w="2268" w:type="dxa"/>
            <w:tcBorders>
              <w:top w:val="nil"/>
              <w:left w:val="nil"/>
              <w:bottom w:val="nil"/>
              <w:right w:val="nil"/>
            </w:tcBorders>
          </w:tcPr>
          <w:p w14:paraId="0DD69E0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PN-EN 10240:2001</w:t>
            </w:r>
          </w:p>
        </w:tc>
        <w:tc>
          <w:tcPr>
            <w:tcW w:w="4745" w:type="dxa"/>
            <w:tcBorders>
              <w:top w:val="nil"/>
              <w:left w:val="nil"/>
              <w:bottom w:val="nil"/>
              <w:right w:val="nil"/>
            </w:tcBorders>
          </w:tcPr>
          <w:p w14:paraId="7D78746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Wewnętrzne i/lub zewnętrzne powłoki ochronne rur stalowych. Wymagania dotyczące powłok wykonanych przez cynkowanie ogniowe w ocynkowniach zautomatyzowanych</w:t>
            </w:r>
          </w:p>
        </w:tc>
      </w:tr>
      <w:tr w:rsidR="00176CD4" w:rsidRPr="00176CD4" w14:paraId="581E6B71" w14:textId="77777777" w:rsidTr="00855929">
        <w:tc>
          <w:tcPr>
            <w:tcW w:w="496" w:type="dxa"/>
            <w:tcBorders>
              <w:top w:val="nil"/>
              <w:left w:val="nil"/>
              <w:bottom w:val="nil"/>
              <w:right w:val="nil"/>
            </w:tcBorders>
          </w:tcPr>
          <w:p w14:paraId="59DFC6E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13.</w:t>
            </w:r>
          </w:p>
        </w:tc>
        <w:tc>
          <w:tcPr>
            <w:tcW w:w="2268" w:type="dxa"/>
            <w:tcBorders>
              <w:top w:val="nil"/>
              <w:left w:val="nil"/>
              <w:bottom w:val="nil"/>
              <w:right w:val="nil"/>
            </w:tcBorders>
          </w:tcPr>
          <w:p w14:paraId="78DF6123"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PN-EN 10292:2003/ A1:2004/A1:2005(U)</w:t>
            </w:r>
          </w:p>
        </w:tc>
        <w:tc>
          <w:tcPr>
            <w:tcW w:w="4745" w:type="dxa"/>
            <w:tcBorders>
              <w:top w:val="nil"/>
              <w:left w:val="nil"/>
              <w:bottom w:val="nil"/>
              <w:right w:val="nil"/>
            </w:tcBorders>
          </w:tcPr>
          <w:p w14:paraId="2C9E8343"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Taśmy i blachy ze stali o podwyższonej granicy plastyczności powlekane ogniowo w sposób ciągły do obróbki plastycznej na zimno. Warunki techniczne dostawy</w:t>
            </w:r>
          </w:p>
        </w:tc>
      </w:tr>
      <w:tr w:rsidR="00176CD4" w:rsidRPr="00176CD4" w14:paraId="3195B5C4" w14:textId="77777777" w:rsidTr="00855929">
        <w:tc>
          <w:tcPr>
            <w:tcW w:w="496" w:type="dxa"/>
            <w:tcBorders>
              <w:top w:val="nil"/>
              <w:left w:val="nil"/>
              <w:bottom w:val="nil"/>
              <w:right w:val="nil"/>
            </w:tcBorders>
          </w:tcPr>
          <w:p w14:paraId="220CC08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14.</w:t>
            </w:r>
          </w:p>
        </w:tc>
        <w:tc>
          <w:tcPr>
            <w:tcW w:w="2268" w:type="dxa"/>
            <w:tcBorders>
              <w:top w:val="nil"/>
              <w:left w:val="nil"/>
              <w:bottom w:val="nil"/>
              <w:right w:val="nil"/>
            </w:tcBorders>
          </w:tcPr>
          <w:p w14:paraId="5E435CF3"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lang w:val="de-DE"/>
              </w:rPr>
            </w:pPr>
            <w:r w:rsidRPr="00176CD4">
              <w:rPr>
                <w:rFonts w:ascii="Arial Narrow" w:eastAsia="Times New Roman" w:hAnsi="Arial Narrow" w:cs="Times New Roman"/>
                <w:sz w:val="20"/>
                <w:lang w:val="de-DE"/>
              </w:rPr>
              <w:t>PN-EN 10327:2005(U)</w:t>
            </w:r>
          </w:p>
        </w:tc>
        <w:tc>
          <w:tcPr>
            <w:tcW w:w="4745" w:type="dxa"/>
            <w:tcBorders>
              <w:top w:val="nil"/>
              <w:left w:val="nil"/>
              <w:bottom w:val="nil"/>
              <w:right w:val="nil"/>
            </w:tcBorders>
          </w:tcPr>
          <w:p w14:paraId="5951C8EB"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Taśmy i blachy ze stali niskowęglowych powlekane ogniowo w sposób ciągły do obróbki plastycznej na zimno. Warunki techniczne dostawy</w:t>
            </w:r>
          </w:p>
        </w:tc>
      </w:tr>
      <w:tr w:rsidR="00176CD4" w:rsidRPr="00176CD4" w14:paraId="79EE8ACF" w14:textId="77777777" w:rsidTr="00855929">
        <w:tc>
          <w:tcPr>
            <w:tcW w:w="496" w:type="dxa"/>
            <w:tcBorders>
              <w:top w:val="nil"/>
              <w:left w:val="nil"/>
              <w:bottom w:val="nil"/>
              <w:right w:val="nil"/>
            </w:tcBorders>
          </w:tcPr>
          <w:p w14:paraId="576AE43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15.</w:t>
            </w:r>
          </w:p>
        </w:tc>
        <w:tc>
          <w:tcPr>
            <w:tcW w:w="2268" w:type="dxa"/>
            <w:tcBorders>
              <w:top w:val="nil"/>
              <w:left w:val="nil"/>
              <w:bottom w:val="nil"/>
              <w:right w:val="nil"/>
            </w:tcBorders>
          </w:tcPr>
          <w:p w14:paraId="3AC2CF4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PN-EN 12767:2003</w:t>
            </w:r>
          </w:p>
        </w:tc>
        <w:tc>
          <w:tcPr>
            <w:tcW w:w="4745" w:type="dxa"/>
            <w:tcBorders>
              <w:top w:val="nil"/>
              <w:left w:val="nil"/>
              <w:bottom w:val="nil"/>
              <w:right w:val="nil"/>
            </w:tcBorders>
          </w:tcPr>
          <w:p w14:paraId="5E97A053"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Bierne bezpieczeństwo konstrukcji wsporczych dla urządzeń drogowych.  Wymagania i metody badań</w:t>
            </w:r>
          </w:p>
        </w:tc>
      </w:tr>
      <w:tr w:rsidR="00176CD4" w:rsidRPr="00176CD4" w14:paraId="7E8E84AE" w14:textId="77777777" w:rsidTr="00855929">
        <w:tc>
          <w:tcPr>
            <w:tcW w:w="496" w:type="dxa"/>
            <w:tcBorders>
              <w:top w:val="nil"/>
              <w:left w:val="nil"/>
              <w:bottom w:val="nil"/>
              <w:right w:val="nil"/>
            </w:tcBorders>
          </w:tcPr>
          <w:p w14:paraId="4F500E4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16.</w:t>
            </w:r>
          </w:p>
        </w:tc>
        <w:tc>
          <w:tcPr>
            <w:tcW w:w="2268" w:type="dxa"/>
            <w:tcBorders>
              <w:top w:val="nil"/>
              <w:left w:val="nil"/>
              <w:bottom w:val="nil"/>
              <w:right w:val="nil"/>
            </w:tcBorders>
          </w:tcPr>
          <w:p w14:paraId="4D41776A"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PN-EN 12899-1:2005</w:t>
            </w:r>
          </w:p>
        </w:tc>
        <w:tc>
          <w:tcPr>
            <w:tcW w:w="4745" w:type="dxa"/>
            <w:tcBorders>
              <w:top w:val="nil"/>
              <w:left w:val="nil"/>
              <w:bottom w:val="nil"/>
              <w:right w:val="nil"/>
            </w:tcBorders>
          </w:tcPr>
          <w:p w14:paraId="638EF65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Stałe, pionowe znaki drogowe - Część 1: Znaki stałe </w:t>
            </w:r>
          </w:p>
        </w:tc>
      </w:tr>
      <w:tr w:rsidR="00176CD4" w:rsidRPr="00176CD4" w14:paraId="10A8E89E" w14:textId="77777777" w:rsidTr="00855929">
        <w:tc>
          <w:tcPr>
            <w:tcW w:w="496" w:type="dxa"/>
            <w:tcBorders>
              <w:top w:val="nil"/>
              <w:left w:val="nil"/>
              <w:bottom w:val="nil"/>
              <w:right w:val="nil"/>
            </w:tcBorders>
          </w:tcPr>
          <w:p w14:paraId="3C85162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17.</w:t>
            </w:r>
          </w:p>
        </w:tc>
        <w:tc>
          <w:tcPr>
            <w:tcW w:w="2268" w:type="dxa"/>
            <w:tcBorders>
              <w:top w:val="nil"/>
              <w:left w:val="nil"/>
              <w:bottom w:val="nil"/>
              <w:right w:val="nil"/>
            </w:tcBorders>
          </w:tcPr>
          <w:p w14:paraId="58B085B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prEN 12899-5</w:t>
            </w:r>
          </w:p>
        </w:tc>
        <w:tc>
          <w:tcPr>
            <w:tcW w:w="4745" w:type="dxa"/>
            <w:tcBorders>
              <w:top w:val="nil"/>
              <w:left w:val="nil"/>
              <w:bottom w:val="nil"/>
              <w:right w:val="nil"/>
            </w:tcBorders>
          </w:tcPr>
          <w:p w14:paraId="07061D91"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Stałe, pionowe znaki drogowe - Część 5 Badanie wstępne typu</w:t>
            </w:r>
          </w:p>
        </w:tc>
      </w:tr>
      <w:tr w:rsidR="00176CD4" w:rsidRPr="00176CD4" w14:paraId="503390F4" w14:textId="77777777" w:rsidTr="00855929">
        <w:tc>
          <w:tcPr>
            <w:tcW w:w="496" w:type="dxa"/>
            <w:tcBorders>
              <w:top w:val="nil"/>
              <w:left w:val="nil"/>
              <w:bottom w:val="nil"/>
              <w:right w:val="nil"/>
            </w:tcBorders>
          </w:tcPr>
          <w:p w14:paraId="3AF0BDE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18.</w:t>
            </w:r>
          </w:p>
        </w:tc>
        <w:tc>
          <w:tcPr>
            <w:tcW w:w="2268" w:type="dxa"/>
            <w:tcBorders>
              <w:top w:val="nil"/>
              <w:left w:val="nil"/>
              <w:bottom w:val="nil"/>
              <w:right w:val="nil"/>
            </w:tcBorders>
          </w:tcPr>
          <w:p w14:paraId="40B326B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PN-EN 60529:2003</w:t>
            </w:r>
          </w:p>
        </w:tc>
        <w:tc>
          <w:tcPr>
            <w:tcW w:w="4745" w:type="dxa"/>
            <w:tcBorders>
              <w:top w:val="nil"/>
              <w:left w:val="nil"/>
              <w:bottom w:val="nil"/>
              <w:right w:val="nil"/>
            </w:tcBorders>
          </w:tcPr>
          <w:p w14:paraId="33E0C00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Stopnie ochrony zapewnianej przez obudowy (Kod IP)</w:t>
            </w:r>
          </w:p>
        </w:tc>
      </w:tr>
      <w:tr w:rsidR="00176CD4" w:rsidRPr="00176CD4" w14:paraId="27FFF72D" w14:textId="77777777" w:rsidTr="00855929">
        <w:tc>
          <w:tcPr>
            <w:tcW w:w="496" w:type="dxa"/>
            <w:tcBorders>
              <w:top w:val="nil"/>
              <w:left w:val="nil"/>
              <w:bottom w:val="nil"/>
              <w:right w:val="nil"/>
            </w:tcBorders>
          </w:tcPr>
          <w:p w14:paraId="654CB44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19.</w:t>
            </w:r>
          </w:p>
        </w:tc>
        <w:tc>
          <w:tcPr>
            <w:tcW w:w="2268" w:type="dxa"/>
            <w:tcBorders>
              <w:top w:val="nil"/>
              <w:left w:val="nil"/>
              <w:bottom w:val="nil"/>
              <w:right w:val="nil"/>
            </w:tcBorders>
          </w:tcPr>
          <w:p w14:paraId="4AAC3D17"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PN-EN 60598-1: 1990</w:t>
            </w:r>
          </w:p>
        </w:tc>
        <w:tc>
          <w:tcPr>
            <w:tcW w:w="4745" w:type="dxa"/>
            <w:tcBorders>
              <w:top w:val="nil"/>
              <w:left w:val="nil"/>
              <w:bottom w:val="nil"/>
              <w:right w:val="nil"/>
            </w:tcBorders>
          </w:tcPr>
          <w:p w14:paraId="4CB0718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Oprawy oświetleniowe. Wymagania ogólne i badania</w:t>
            </w:r>
          </w:p>
        </w:tc>
      </w:tr>
      <w:tr w:rsidR="00176CD4" w:rsidRPr="00176CD4" w14:paraId="71325E06" w14:textId="77777777" w:rsidTr="00855929">
        <w:tc>
          <w:tcPr>
            <w:tcW w:w="496" w:type="dxa"/>
            <w:tcBorders>
              <w:top w:val="nil"/>
              <w:left w:val="nil"/>
              <w:bottom w:val="nil"/>
              <w:right w:val="nil"/>
            </w:tcBorders>
          </w:tcPr>
          <w:p w14:paraId="21BA367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20.</w:t>
            </w:r>
          </w:p>
        </w:tc>
        <w:tc>
          <w:tcPr>
            <w:tcW w:w="2268" w:type="dxa"/>
            <w:tcBorders>
              <w:top w:val="nil"/>
              <w:left w:val="nil"/>
              <w:bottom w:val="nil"/>
              <w:right w:val="nil"/>
            </w:tcBorders>
          </w:tcPr>
          <w:p w14:paraId="7FC93BA3"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lang w:val="de-DE"/>
              </w:rPr>
            </w:pPr>
            <w:r w:rsidRPr="00176CD4">
              <w:rPr>
                <w:rFonts w:ascii="Arial Narrow" w:eastAsia="Times New Roman" w:hAnsi="Arial Narrow" w:cs="Times New Roman"/>
                <w:sz w:val="20"/>
                <w:lang w:val="de-DE"/>
              </w:rPr>
              <w:t>PN-EN 60598-2:2003(U)</w:t>
            </w:r>
          </w:p>
        </w:tc>
        <w:tc>
          <w:tcPr>
            <w:tcW w:w="4745" w:type="dxa"/>
            <w:tcBorders>
              <w:top w:val="nil"/>
              <w:left w:val="nil"/>
              <w:bottom w:val="nil"/>
              <w:right w:val="nil"/>
            </w:tcBorders>
          </w:tcPr>
          <w:p w14:paraId="6601E16F"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Oprawy oświetleniowe - Wymagania szczegółowe - Oprawy oświetleniowe drogowe</w:t>
            </w:r>
          </w:p>
        </w:tc>
      </w:tr>
      <w:tr w:rsidR="00176CD4" w:rsidRPr="00176CD4" w14:paraId="033F9D51" w14:textId="77777777" w:rsidTr="00855929">
        <w:tc>
          <w:tcPr>
            <w:tcW w:w="496" w:type="dxa"/>
            <w:tcBorders>
              <w:top w:val="nil"/>
              <w:left w:val="nil"/>
              <w:bottom w:val="nil"/>
              <w:right w:val="nil"/>
            </w:tcBorders>
          </w:tcPr>
          <w:p w14:paraId="344E124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21.</w:t>
            </w:r>
          </w:p>
        </w:tc>
        <w:tc>
          <w:tcPr>
            <w:tcW w:w="2268" w:type="dxa"/>
            <w:tcBorders>
              <w:top w:val="nil"/>
              <w:left w:val="nil"/>
              <w:bottom w:val="nil"/>
              <w:right w:val="nil"/>
            </w:tcBorders>
          </w:tcPr>
          <w:p w14:paraId="3220F33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lang w:val="de-DE"/>
              </w:rPr>
            </w:pPr>
            <w:r w:rsidRPr="00176CD4">
              <w:rPr>
                <w:rFonts w:ascii="Arial Narrow" w:eastAsia="Times New Roman" w:hAnsi="Arial Narrow" w:cs="Times New Roman"/>
                <w:sz w:val="20"/>
                <w:lang w:val="de-DE"/>
              </w:rPr>
              <w:t>PN-H-74200:1998</w:t>
            </w:r>
          </w:p>
        </w:tc>
        <w:tc>
          <w:tcPr>
            <w:tcW w:w="4745" w:type="dxa"/>
            <w:tcBorders>
              <w:top w:val="nil"/>
              <w:left w:val="nil"/>
              <w:bottom w:val="nil"/>
              <w:right w:val="nil"/>
            </w:tcBorders>
          </w:tcPr>
          <w:p w14:paraId="351F0CE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 xml:space="preserve">Rury stalowe ze szwem, gwintowane </w:t>
            </w:r>
          </w:p>
        </w:tc>
      </w:tr>
      <w:tr w:rsidR="00176CD4" w:rsidRPr="00176CD4" w14:paraId="409BC4FA" w14:textId="77777777" w:rsidTr="00855929">
        <w:tc>
          <w:tcPr>
            <w:tcW w:w="496" w:type="dxa"/>
            <w:tcBorders>
              <w:top w:val="nil"/>
              <w:left w:val="nil"/>
              <w:bottom w:val="nil"/>
              <w:right w:val="nil"/>
            </w:tcBorders>
          </w:tcPr>
          <w:p w14:paraId="3A82EF43"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lastRenderedPageBreak/>
              <w:t>22.</w:t>
            </w:r>
          </w:p>
        </w:tc>
        <w:tc>
          <w:tcPr>
            <w:tcW w:w="2268" w:type="dxa"/>
            <w:tcBorders>
              <w:top w:val="nil"/>
              <w:left w:val="nil"/>
              <w:bottom w:val="nil"/>
              <w:right w:val="nil"/>
            </w:tcBorders>
          </w:tcPr>
          <w:p w14:paraId="4C21B814"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lang w:val="de-DE"/>
              </w:rPr>
            </w:pPr>
            <w:r w:rsidRPr="00176CD4">
              <w:rPr>
                <w:rFonts w:ascii="Arial Narrow" w:eastAsia="Times New Roman" w:hAnsi="Arial Narrow" w:cs="Times New Roman"/>
                <w:sz w:val="20"/>
                <w:lang w:val="de-DE"/>
              </w:rPr>
              <w:t>PN-EN ISO 2808:2000</w:t>
            </w:r>
          </w:p>
        </w:tc>
        <w:tc>
          <w:tcPr>
            <w:tcW w:w="4745" w:type="dxa"/>
            <w:tcBorders>
              <w:top w:val="nil"/>
              <w:left w:val="nil"/>
              <w:bottom w:val="nil"/>
              <w:right w:val="nil"/>
            </w:tcBorders>
          </w:tcPr>
          <w:p w14:paraId="449FC6D5"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Farby i lakiery - oznaczanie grubości powłoki</w:t>
            </w:r>
          </w:p>
        </w:tc>
      </w:tr>
      <w:tr w:rsidR="00176CD4" w:rsidRPr="00176CD4" w14:paraId="6A7489DE" w14:textId="77777777" w:rsidTr="00855929">
        <w:tc>
          <w:tcPr>
            <w:tcW w:w="496" w:type="dxa"/>
            <w:tcBorders>
              <w:top w:val="nil"/>
              <w:left w:val="nil"/>
              <w:bottom w:val="nil"/>
              <w:right w:val="nil"/>
            </w:tcBorders>
          </w:tcPr>
          <w:p w14:paraId="32E07E5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23.</w:t>
            </w:r>
          </w:p>
        </w:tc>
        <w:tc>
          <w:tcPr>
            <w:tcW w:w="2268" w:type="dxa"/>
            <w:tcBorders>
              <w:top w:val="nil"/>
              <w:left w:val="nil"/>
              <w:bottom w:val="nil"/>
              <w:right w:val="nil"/>
            </w:tcBorders>
          </w:tcPr>
          <w:p w14:paraId="695CA3ED"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PN-91/H-93010</w:t>
            </w:r>
          </w:p>
        </w:tc>
        <w:tc>
          <w:tcPr>
            <w:tcW w:w="4745" w:type="dxa"/>
            <w:tcBorders>
              <w:top w:val="nil"/>
              <w:left w:val="nil"/>
              <w:bottom w:val="nil"/>
              <w:right w:val="nil"/>
            </w:tcBorders>
          </w:tcPr>
          <w:p w14:paraId="2209BBC0"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Stal. Kształtowniki walcowane na gorąco</w:t>
            </w:r>
          </w:p>
        </w:tc>
      </w:tr>
      <w:tr w:rsidR="00176CD4" w:rsidRPr="00176CD4" w14:paraId="13A678BB" w14:textId="77777777" w:rsidTr="00855929">
        <w:tc>
          <w:tcPr>
            <w:tcW w:w="496" w:type="dxa"/>
            <w:tcBorders>
              <w:top w:val="nil"/>
              <w:left w:val="nil"/>
              <w:bottom w:val="nil"/>
              <w:right w:val="nil"/>
            </w:tcBorders>
          </w:tcPr>
          <w:p w14:paraId="13D9F0AE"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24.</w:t>
            </w:r>
          </w:p>
        </w:tc>
        <w:tc>
          <w:tcPr>
            <w:tcW w:w="2268" w:type="dxa"/>
            <w:tcBorders>
              <w:top w:val="nil"/>
              <w:left w:val="nil"/>
              <w:bottom w:val="nil"/>
              <w:right w:val="nil"/>
            </w:tcBorders>
          </w:tcPr>
          <w:p w14:paraId="2AF2ED52"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PN-S-02205:1998</w:t>
            </w:r>
          </w:p>
        </w:tc>
        <w:tc>
          <w:tcPr>
            <w:tcW w:w="4745" w:type="dxa"/>
            <w:tcBorders>
              <w:top w:val="nil"/>
              <w:left w:val="nil"/>
              <w:bottom w:val="nil"/>
              <w:right w:val="nil"/>
            </w:tcBorders>
          </w:tcPr>
          <w:p w14:paraId="44873FC6" w14:textId="77777777" w:rsidR="00176CD4" w:rsidRPr="00176CD4" w:rsidRDefault="00176CD4" w:rsidP="00176CD4">
            <w:pPr>
              <w:overflowPunct w:val="0"/>
              <w:autoSpaceDE w:val="0"/>
              <w:autoSpaceDN w:val="0"/>
              <w:adjustRightInd w:val="0"/>
              <w:spacing w:after="0" w:line="240" w:lineRule="auto"/>
              <w:textAlignment w:val="baseline"/>
              <w:rPr>
                <w:rFonts w:ascii="Arial Narrow" w:eastAsia="Times New Roman" w:hAnsi="Arial Narrow" w:cs="Times New Roman"/>
                <w:sz w:val="20"/>
              </w:rPr>
            </w:pPr>
            <w:r w:rsidRPr="00176CD4">
              <w:rPr>
                <w:rFonts w:ascii="Arial Narrow" w:eastAsia="Times New Roman" w:hAnsi="Arial Narrow" w:cs="Times New Roman"/>
                <w:sz w:val="20"/>
              </w:rPr>
              <w:t>Drogi samochodowe. Roboty ziemne. Wymagania i badania</w:t>
            </w:r>
          </w:p>
        </w:tc>
      </w:tr>
    </w:tbl>
    <w:p w14:paraId="747263B0"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63675B42" w14:textId="77777777" w:rsidR="00176CD4" w:rsidRPr="00176CD4" w:rsidRDefault="00176CD4" w:rsidP="00176CD4">
      <w:pPr>
        <w:keepNext/>
        <w:shd w:val="clear" w:color="auto" w:fill="BFBFBF"/>
        <w:overflowPunct w:val="0"/>
        <w:autoSpaceDE w:val="0"/>
        <w:autoSpaceDN w:val="0"/>
        <w:adjustRightInd w:val="0"/>
        <w:spacing w:after="0" w:line="240" w:lineRule="auto"/>
        <w:jc w:val="both"/>
        <w:textAlignment w:val="baseline"/>
        <w:outlineLvl w:val="1"/>
        <w:rPr>
          <w:rFonts w:ascii="Arial Narrow" w:eastAsia="Times New Roman" w:hAnsi="Arial Narrow" w:cs="Times New Roman"/>
          <w:b/>
          <w:sz w:val="28"/>
          <w:szCs w:val="20"/>
          <w:lang w:val="x-none" w:eastAsia="x-none"/>
        </w:rPr>
      </w:pPr>
      <w:r w:rsidRPr="00176CD4">
        <w:rPr>
          <w:rFonts w:ascii="Arial Narrow" w:eastAsia="Times New Roman" w:hAnsi="Arial Narrow" w:cs="Times New Roman"/>
          <w:b/>
          <w:sz w:val="28"/>
          <w:szCs w:val="20"/>
          <w:lang w:val="x-none" w:eastAsia="x-none"/>
        </w:rPr>
        <w:t>10.2  Przepisy związane</w:t>
      </w:r>
    </w:p>
    <w:p w14:paraId="0F24EACA" w14:textId="77777777" w:rsidR="00176CD4" w:rsidRPr="00176CD4" w:rsidRDefault="00176CD4" w:rsidP="00176CD4">
      <w:pPr>
        <w:overflowPunct w:val="0"/>
        <w:autoSpaceDE w:val="0"/>
        <w:autoSpaceDN w:val="0"/>
        <w:adjustRightInd w:val="0"/>
        <w:spacing w:after="0" w:line="240" w:lineRule="auto"/>
        <w:ind w:firstLine="709"/>
        <w:jc w:val="both"/>
        <w:textAlignment w:val="baseline"/>
        <w:rPr>
          <w:rFonts w:ascii="Arial Narrow" w:eastAsia="Times New Roman" w:hAnsi="Arial Narrow" w:cs="Times New Roman"/>
          <w:sz w:val="20"/>
          <w:szCs w:val="20"/>
          <w:lang w:eastAsia="pl-PL"/>
        </w:rPr>
      </w:pPr>
    </w:p>
    <w:p w14:paraId="16500BDF" w14:textId="77777777" w:rsidR="00176CD4" w:rsidRPr="00176CD4" w:rsidRDefault="00176CD4" w:rsidP="00AD6DA2">
      <w:pPr>
        <w:numPr>
          <w:ilvl w:val="0"/>
          <w:numId w:val="33"/>
        </w:numPr>
        <w:tabs>
          <w:tab w:val="clear" w:pos="720"/>
          <w:tab w:val="num" w:pos="567"/>
        </w:tabs>
        <w:overflowPunct w:val="0"/>
        <w:autoSpaceDE w:val="0"/>
        <w:autoSpaceDN w:val="0"/>
        <w:adjustRightInd w:val="0"/>
        <w:spacing w:after="0" w:line="240" w:lineRule="auto"/>
        <w:ind w:left="567" w:hanging="567"/>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p>
    <w:p w14:paraId="17E41E3D" w14:textId="77777777" w:rsidR="00176CD4" w:rsidRPr="00176CD4" w:rsidRDefault="00176CD4" w:rsidP="00AD6DA2">
      <w:pPr>
        <w:numPr>
          <w:ilvl w:val="0"/>
          <w:numId w:val="33"/>
        </w:numPr>
        <w:tabs>
          <w:tab w:val="clear" w:pos="720"/>
          <w:tab w:val="num" w:pos="567"/>
        </w:tabs>
        <w:overflowPunct w:val="0"/>
        <w:autoSpaceDE w:val="0"/>
        <w:autoSpaceDN w:val="0"/>
        <w:adjustRightInd w:val="0"/>
        <w:spacing w:after="0" w:line="240" w:lineRule="auto"/>
        <w:ind w:left="567" w:hanging="567"/>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Rozporządzenie Ministra Infrastruktury z dn. 11 sierpnia 2004 r. w sprawie sposobów deklarowania zgodności wyrobów budowlanych oraz sposobu znakowania ich znakiem budowlanym (Dz. U. nr 198, poz. 2041)</w:t>
      </w:r>
    </w:p>
    <w:p w14:paraId="2568D4CA" w14:textId="77777777" w:rsidR="00176CD4" w:rsidRPr="00176CD4" w:rsidRDefault="00176CD4" w:rsidP="00AD6DA2">
      <w:pPr>
        <w:numPr>
          <w:ilvl w:val="0"/>
          <w:numId w:val="33"/>
        </w:numPr>
        <w:tabs>
          <w:tab w:val="clear" w:pos="720"/>
          <w:tab w:val="num" w:pos="567"/>
        </w:tabs>
        <w:overflowPunct w:val="0"/>
        <w:autoSpaceDE w:val="0"/>
        <w:autoSpaceDN w:val="0"/>
        <w:adjustRightInd w:val="0"/>
        <w:spacing w:after="0" w:line="240" w:lineRule="auto"/>
        <w:ind w:left="567" w:hanging="567"/>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Rozporządzenie Ministra Infrastruktury z dn. 08 listopada 2004 r. w sprawie aprobat technicznych oraz jednostek organizacyjnych upoważnionych do ich wydawania (Dz. U. nr 249, poz. 2497)</w:t>
      </w:r>
    </w:p>
    <w:p w14:paraId="41B81FED" w14:textId="77777777" w:rsidR="00176CD4" w:rsidRPr="00176CD4" w:rsidRDefault="00176CD4" w:rsidP="00AD6DA2">
      <w:pPr>
        <w:numPr>
          <w:ilvl w:val="0"/>
          <w:numId w:val="33"/>
        </w:numPr>
        <w:tabs>
          <w:tab w:val="clear" w:pos="720"/>
          <w:tab w:val="num" w:pos="567"/>
        </w:tabs>
        <w:overflowPunct w:val="0"/>
        <w:autoSpaceDE w:val="0"/>
        <w:autoSpaceDN w:val="0"/>
        <w:adjustRightInd w:val="0"/>
        <w:spacing w:after="0" w:line="240" w:lineRule="auto"/>
        <w:ind w:left="567" w:hanging="567"/>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CIE No. 39.2 1983 Recommendations for surface colours for visual signalling (Zalecenia dla barw powierzchniowych sygnalizacji wizualnej)</w:t>
      </w:r>
    </w:p>
    <w:p w14:paraId="4FAD9912" w14:textId="77777777" w:rsidR="00176CD4" w:rsidRPr="00176CD4" w:rsidRDefault="00176CD4" w:rsidP="00AD6DA2">
      <w:pPr>
        <w:numPr>
          <w:ilvl w:val="0"/>
          <w:numId w:val="33"/>
        </w:numPr>
        <w:tabs>
          <w:tab w:val="clear" w:pos="720"/>
          <w:tab w:val="num" w:pos="567"/>
        </w:tabs>
        <w:overflowPunct w:val="0"/>
        <w:autoSpaceDE w:val="0"/>
        <w:autoSpaceDN w:val="0"/>
        <w:adjustRightInd w:val="0"/>
        <w:spacing w:after="0" w:line="240" w:lineRule="auto"/>
        <w:ind w:left="567" w:hanging="567"/>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CIE No. 54 Retroreflection definition and measurement (Powierzchniowy współczynnik odblasku definicja i pomiary)</w:t>
      </w:r>
    </w:p>
    <w:p w14:paraId="51D61670" w14:textId="77777777" w:rsidR="00176CD4" w:rsidRPr="00176CD4" w:rsidRDefault="00176CD4" w:rsidP="00AD6DA2">
      <w:pPr>
        <w:numPr>
          <w:ilvl w:val="0"/>
          <w:numId w:val="33"/>
        </w:numPr>
        <w:tabs>
          <w:tab w:val="clear" w:pos="720"/>
          <w:tab w:val="num" w:pos="567"/>
        </w:tabs>
        <w:overflowPunct w:val="0"/>
        <w:autoSpaceDE w:val="0"/>
        <w:autoSpaceDN w:val="0"/>
        <w:adjustRightInd w:val="0"/>
        <w:spacing w:after="0" w:line="240" w:lineRule="auto"/>
        <w:ind w:left="567" w:hanging="567"/>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Ustawa z dnia 16 kwietnia 2004 r. o wyrobach budowlanych ( Dz. U. nr 92, poz. 881)</w:t>
      </w:r>
    </w:p>
    <w:p w14:paraId="1D27AACB" w14:textId="77777777" w:rsidR="00176CD4" w:rsidRPr="00176CD4" w:rsidRDefault="00176CD4" w:rsidP="00AD6DA2">
      <w:pPr>
        <w:numPr>
          <w:ilvl w:val="0"/>
          <w:numId w:val="33"/>
        </w:numPr>
        <w:tabs>
          <w:tab w:val="clear" w:pos="720"/>
          <w:tab w:val="num" w:pos="567"/>
        </w:tabs>
        <w:overflowPunct w:val="0"/>
        <w:autoSpaceDE w:val="0"/>
        <w:autoSpaceDN w:val="0"/>
        <w:adjustRightInd w:val="0"/>
        <w:spacing w:after="0" w:line="240" w:lineRule="auto"/>
        <w:ind w:left="567" w:hanging="567"/>
        <w:jc w:val="both"/>
        <w:textAlignment w:val="baseline"/>
        <w:rPr>
          <w:rFonts w:ascii="Arial Narrow" w:eastAsia="Times New Roman" w:hAnsi="Arial Narrow" w:cs="Times New Roman"/>
          <w:sz w:val="20"/>
          <w:szCs w:val="20"/>
          <w:lang w:eastAsia="pl-PL"/>
        </w:rPr>
      </w:pPr>
      <w:r w:rsidRPr="00176CD4">
        <w:rPr>
          <w:rFonts w:ascii="Arial Narrow" w:eastAsia="Times New Roman" w:hAnsi="Arial Narrow" w:cs="Times New Roman"/>
          <w:sz w:val="20"/>
          <w:szCs w:val="20"/>
          <w:lang w:eastAsia="pl-PL"/>
        </w:rPr>
        <w:t>Stałe odblaskowe znaki drogowe i urządzenia bezpieczeństwa ruchu drogowego. Zalecenia IBDiM do udzielania aprobat technicznych nr Z/2005-03-009</w:t>
      </w:r>
    </w:p>
    <w:p w14:paraId="5662A843" w14:textId="51FDCDE5" w:rsidR="00F623B9" w:rsidRDefault="00F623B9"/>
    <w:p w14:paraId="10D0A622" w14:textId="2F8214F5" w:rsidR="00176CD4" w:rsidRDefault="00176CD4"/>
    <w:p w14:paraId="2C6AD418" w14:textId="19577570" w:rsidR="00176CD4" w:rsidRDefault="00176CD4"/>
    <w:p w14:paraId="4B40FF90" w14:textId="179901CB" w:rsidR="00176CD4" w:rsidRDefault="00176CD4"/>
    <w:p w14:paraId="63E6915A" w14:textId="1F6303E9" w:rsidR="00176CD4" w:rsidRDefault="00176CD4"/>
    <w:p w14:paraId="3499CFCC" w14:textId="0BC589E6" w:rsidR="00176CD4" w:rsidRDefault="00176CD4"/>
    <w:p w14:paraId="3447E64A" w14:textId="3A53C104" w:rsidR="00176CD4" w:rsidRDefault="00176CD4"/>
    <w:p w14:paraId="3A20935D" w14:textId="0EC2399E" w:rsidR="00E46BAA" w:rsidRDefault="00E46BAA"/>
    <w:p w14:paraId="4C292C47" w14:textId="62947D60" w:rsidR="00E46BAA" w:rsidRDefault="00E46BAA"/>
    <w:p w14:paraId="759AC70E" w14:textId="4DD3559A" w:rsidR="00E46BAA" w:rsidRDefault="00E46BAA"/>
    <w:p w14:paraId="3F87D5FA" w14:textId="5928BA46" w:rsidR="00E46BAA" w:rsidRDefault="00E46BAA"/>
    <w:p w14:paraId="0A7F0333" w14:textId="45AA60FE" w:rsidR="00E46BAA" w:rsidRDefault="00E46BAA"/>
    <w:p w14:paraId="3457C338" w14:textId="25E9181B" w:rsidR="00E46BAA" w:rsidRDefault="00E46BAA"/>
    <w:p w14:paraId="7A4E98B3" w14:textId="34450383" w:rsidR="00E46BAA" w:rsidRDefault="00E46BAA"/>
    <w:p w14:paraId="56A4956D" w14:textId="03055277" w:rsidR="00E46BAA" w:rsidRDefault="00E46BAA"/>
    <w:p w14:paraId="7E3946DD" w14:textId="76608FDC" w:rsidR="00E46BAA" w:rsidRDefault="00E46BAA"/>
    <w:p w14:paraId="717BDA56" w14:textId="37741957" w:rsidR="00E46BAA" w:rsidRDefault="00E46BAA"/>
    <w:p w14:paraId="7BFD016F" w14:textId="342CEF91" w:rsidR="00E46BAA" w:rsidRDefault="00E46BAA"/>
    <w:p w14:paraId="3AEF6B69" w14:textId="0DF87DE7" w:rsidR="00E46BAA" w:rsidRDefault="00E46BAA"/>
    <w:p w14:paraId="1102C9D5" w14:textId="3305ABB9" w:rsidR="00E46BAA" w:rsidRDefault="00E46BAA"/>
    <w:p w14:paraId="7B99ACA6" w14:textId="77777777" w:rsidR="00E46BAA" w:rsidRDefault="00E46BAA"/>
    <w:p w14:paraId="3CBC255F" w14:textId="18F27166" w:rsidR="00176CD4" w:rsidRDefault="00176CD4"/>
    <w:p w14:paraId="51331A07" w14:textId="054B4717" w:rsidR="006952C9" w:rsidRDefault="006952C9" w:rsidP="006952C9">
      <w:pPr>
        <w:pStyle w:val="NAZWASST"/>
      </w:pPr>
      <w:bookmarkStart w:id="885" w:name="_Toc58533519"/>
      <w:r>
        <w:lastRenderedPageBreak/>
        <w:t>D – 03.04.01 STUDNIE REWIZYJNE/CHŁONNE</w:t>
      </w:r>
      <w:bookmarkEnd w:id="885"/>
    </w:p>
    <w:p w14:paraId="307A4CEB" w14:textId="77777777" w:rsidR="006952C9" w:rsidRDefault="006952C9" w:rsidP="006952C9">
      <w:r>
        <w:t>Kod CPV: 45111200-0</w:t>
      </w:r>
    </w:p>
    <w:p w14:paraId="5EE5AD0F" w14:textId="77777777" w:rsidR="006952C9" w:rsidRDefault="006952C9" w:rsidP="006952C9">
      <w:r>
        <w:t>Roboty w zakresie przygotowania terenu pod budowę i roboty ziemne</w:t>
      </w:r>
    </w:p>
    <w:p w14:paraId="2C2D028D" w14:textId="77777777" w:rsidR="006952C9" w:rsidRDefault="006952C9" w:rsidP="006952C9">
      <w:pPr>
        <w:pStyle w:val="Nagwek1"/>
      </w:pPr>
      <w:r>
        <w:rPr>
          <w:b w:val="0"/>
          <w:lang w:val="pl-PL"/>
        </w:rPr>
        <w:t xml:space="preserve">1. </w:t>
      </w:r>
      <w:r>
        <w:rPr>
          <w:b w:val="0"/>
        </w:rPr>
        <w:t>wstęp</w:t>
      </w:r>
    </w:p>
    <w:p w14:paraId="55C7967D" w14:textId="77777777" w:rsidR="006952C9" w:rsidRDefault="006952C9" w:rsidP="006952C9">
      <w:pPr>
        <w:pStyle w:val="Nagwek2"/>
        <w:rPr>
          <w:b w:val="0"/>
        </w:rPr>
      </w:pPr>
      <w:r>
        <w:rPr>
          <w:b w:val="0"/>
          <w:lang w:val="pl-PL"/>
        </w:rPr>
        <w:t xml:space="preserve">1.1 </w:t>
      </w:r>
      <w:r>
        <w:rPr>
          <w:b w:val="0"/>
        </w:rPr>
        <w:t>Przedmiot STWiORB</w:t>
      </w:r>
    </w:p>
    <w:p w14:paraId="64E52D3F" w14:textId="77777777" w:rsidR="006952C9" w:rsidRDefault="006952C9" w:rsidP="006952C9">
      <w:pPr>
        <w:ind w:firstLine="454"/>
        <w:rPr>
          <w:rFonts w:eastAsia="Calibri"/>
        </w:rPr>
      </w:pPr>
      <w:r>
        <w:t>Przedmiotem niniejszej szczegółowej specyfikacji technicznej (SST) są wymagania dotyczące wykonania i odbioru robót związanych z wykonaniem studni chłonnych</w:t>
      </w:r>
      <w:r>
        <w:rPr>
          <w:rFonts w:eastAsia="Calibri"/>
        </w:rPr>
        <w:t>.</w:t>
      </w:r>
    </w:p>
    <w:p w14:paraId="4705C30C" w14:textId="77777777" w:rsidR="006952C9" w:rsidRDefault="006952C9" w:rsidP="006952C9">
      <w:pPr>
        <w:pStyle w:val="Nagwek2"/>
      </w:pPr>
      <w:r>
        <w:rPr>
          <w:b w:val="0"/>
          <w:lang w:val="pl-PL"/>
        </w:rPr>
        <w:t xml:space="preserve">1.2 </w:t>
      </w:r>
      <w:r>
        <w:rPr>
          <w:b w:val="0"/>
        </w:rPr>
        <w:t>Zakres stosowania STWiORB</w:t>
      </w:r>
    </w:p>
    <w:p w14:paraId="1BE15236" w14:textId="1BA8F8E4" w:rsidR="006952C9" w:rsidRDefault="006952C9" w:rsidP="00DD698C">
      <w:pPr>
        <w:tabs>
          <w:tab w:val="left" w:pos="-1440"/>
          <w:tab w:val="left" w:pos="-720"/>
          <w:tab w:val="left" w:pos="0"/>
        </w:tabs>
        <w:ind w:firstLine="454"/>
        <w:rPr>
          <w:rFonts w:eastAsia="Calibri" w:cs="Arial"/>
          <w:spacing w:val="-3"/>
        </w:rPr>
      </w:pPr>
      <w:r>
        <w:rPr>
          <w:rFonts w:eastAsia="Calibri" w:cs="Arial"/>
        </w:rPr>
        <w:t xml:space="preserve">Specyfikacje Techniczne Wykonania i Odbioru Robót Budowlanych </w:t>
      </w:r>
      <w:r>
        <w:rPr>
          <w:rFonts w:eastAsia="Calibri" w:cs="Arial"/>
          <w:spacing w:val="-3"/>
        </w:rPr>
        <w:t xml:space="preserve">stanowią Dokument Przetargowy i Kontraktowy przy zlecaniu i realizacji robót na drogach </w:t>
      </w:r>
    </w:p>
    <w:p w14:paraId="2E1BB2FE" w14:textId="77777777" w:rsidR="006952C9" w:rsidRDefault="006952C9" w:rsidP="006952C9">
      <w:pPr>
        <w:pStyle w:val="Nagwek2"/>
      </w:pPr>
      <w:r>
        <w:rPr>
          <w:b w:val="0"/>
        </w:rPr>
        <w:t xml:space="preserve">1.3. Zakres robót objętych SST </w:t>
      </w:r>
    </w:p>
    <w:p w14:paraId="77AE77C9" w14:textId="77777777" w:rsidR="006952C9" w:rsidRDefault="006952C9" w:rsidP="006952C9">
      <w:pPr>
        <w:spacing w:after="31" w:line="256" w:lineRule="auto"/>
      </w:pPr>
      <w:r>
        <w:t xml:space="preserve"> Niniejsze opracowanie dotyczy wykonania studni chłonnych z kręgów żelbetowych o śr. 2000 mm. </w:t>
      </w:r>
    </w:p>
    <w:p w14:paraId="7B365F17" w14:textId="77777777" w:rsidR="006952C9" w:rsidRDefault="006952C9" w:rsidP="006952C9">
      <w:pPr>
        <w:pStyle w:val="Nagwek2"/>
      </w:pPr>
      <w:r>
        <w:rPr>
          <w:b w:val="0"/>
        </w:rPr>
        <w:t xml:space="preserve">1.4. Określenia podstawowe </w:t>
      </w:r>
    </w:p>
    <w:p w14:paraId="6FEAE5F8" w14:textId="77777777" w:rsidR="006952C9" w:rsidRDefault="006952C9" w:rsidP="006952C9">
      <w:r>
        <w:rPr>
          <w:b/>
        </w:rPr>
        <w:t>1.4.1.</w:t>
      </w:r>
      <w:r>
        <w:t xml:space="preserve"> Studnia chłonna - wykop jamisty lub studzienka z kręgów, przeznaczona do zbierania wody powierzchniowej i wchłaniania jej przez podłoże gruntowe. </w:t>
      </w:r>
    </w:p>
    <w:p w14:paraId="21855B99" w14:textId="77777777" w:rsidR="006952C9" w:rsidRDefault="006952C9" w:rsidP="006952C9">
      <w:r>
        <w:rPr>
          <w:b/>
        </w:rPr>
        <w:t>1.4.2.</w:t>
      </w:r>
      <w:r>
        <w:t xml:space="preserve"> Pozostałe określenia podstawowe są zgodne z obowiązującymi, odpowiednimi polskimi normami i z definicjami podanymi w STWIORB D-M-00.00.00 „Wymagania ogólne” pkt 1.4. </w:t>
      </w:r>
    </w:p>
    <w:p w14:paraId="1417C3D8" w14:textId="77777777" w:rsidR="006952C9" w:rsidRDefault="006952C9" w:rsidP="006952C9">
      <w:pPr>
        <w:pStyle w:val="Nagwek2"/>
      </w:pPr>
      <w:r>
        <w:rPr>
          <w:b w:val="0"/>
        </w:rPr>
        <w:t xml:space="preserve">1.5. Ogólne wymagania dotyczące robót </w:t>
      </w:r>
    </w:p>
    <w:p w14:paraId="6EC0DEFA" w14:textId="77777777" w:rsidR="006952C9" w:rsidRDefault="006952C9" w:rsidP="006952C9">
      <w:r>
        <w:t xml:space="preserve">Ogólne wymagania dotyczące robót podano w STWIORB D-M-00.00.00 „Wymagania ogólne” pkt 1.5. </w:t>
      </w:r>
    </w:p>
    <w:p w14:paraId="78370EC8" w14:textId="77777777" w:rsidR="006952C9" w:rsidRDefault="006952C9" w:rsidP="006952C9">
      <w:pPr>
        <w:pStyle w:val="Nagwek1"/>
      </w:pPr>
      <w:r>
        <w:rPr>
          <w:b w:val="0"/>
        </w:rPr>
        <w:t xml:space="preserve">2. MATERIAŁY </w:t>
      </w:r>
    </w:p>
    <w:p w14:paraId="733F197F" w14:textId="77777777" w:rsidR="006952C9" w:rsidRDefault="006952C9" w:rsidP="006952C9">
      <w:pPr>
        <w:pStyle w:val="Nagwek2"/>
        <w:rPr>
          <w:b w:val="0"/>
        </w:rPr>
      </w:pPr>
      <w:r>
        <w:rPr>
          <w:b w:val="0"/>
        </w:rPr>
        <w:t xml:space="preserve">2.1. Ogólne wymagania dotyczące materiałów </w:t>
      </w:r>
    </w:p>
    <w:p w14:paraId="56C20D4E" w14:textId="77777777" w:rsidR="006952C9" w:rsidRDefault="006952C9" w:rsidP="006952C9">
      <w:r>
        <w:t xml:space="preserve">Ogólne wymagania dotyczące materiałów, ich pozyskiwania i składowania, podano w  STWIORB D-M-00.00.00 „Wymagania ogólne” pkt 2. </w:t>
      </w:r>
    </w:p>
    <w:p w14:paraId="6D854007" w14:textId="77777777" w:rsidR="006952C9" w:rsidRDefault="006952C9" w:rsidP="006952C9">
      <w:pPr>
        <w:pStyle w:val="Nagwek2"/>
      </w:pPr>
      <w:r>
        <w:rPr>
          <w:b w:val="0"/>
        </w:rPr>
        <w:t xml:space="preserve">2.2. Rodzaje materiałów stosowanych w studniach chłonnych </w:t>
      </w:r>
    </w:p>
    <w:p w14:paraId="2BF62C74" w14:textId="77777777" w:rsidR="006952C9" w:rsidRDefault="006952C9" w:rsidP="006952C9">
      <w:r>
        <w:t>Materiałami stosowanymi przy wykonywaniu studni chłonnych są: a)</w:t>
      </w:r>
      <w:r>
        <w:rPr>
          <w:rFonts w:eastAsia="Arial" w:cs="Arial"/>
        </w:rPr>
        <w:t xml:space="preserve"> </w:t>
      </w:r>
      <w:r>
        <w:t xml:space="preserve">dla studni z kręgów - kręgi żelbetowe  i materiały filtracyjne. </w:t>
      </w:r>
    </w:p>
    <w:p w14:paraId="1E1424CD" w14:textId="77777777" w:rsidR="006952C9" w:rsidRDefault="006952C9" w:rsidP="006952C9">
      <w:pPr>
        <w:pStyle w:val="Nagwek2"/>
      </w:pPr>
      <w:r>
        <w:rPr>
          <w:b w:val="0"/>
        </w:rPr>
        <w:t xml:space="preserve">2.3. Materiał filtracyjny w studni chłonnej </w:t>
      </w:r>
    </w:p>
    <w:p w14:paraId="05D48AF7" w14:textId="77777777" w:rsidR="006952C9" w:rsidRDefault="006952C9" w:rsidP="006952C9">
      <w:r>
        <w:t>Jako materiał filtracyjny, którym zasypuje się studnię chłonną, stosuje się tłuczeń i żwir o frakcjach:</w:t>
      </w:r>
    </w:p>
    <w:p w14:paraId="45E3EBF0" w14:textId="77777777" w:rsidR="006952C9" w:rsidRDefault="006952C9" w:rsidP="006952C9">
      <w:pPr>
        <w:pStyle w:val="Nagwek8"/>
      </w:pPr>
      <w:r>
        <w:rPr>
          <w:lang w:val="pl-PL"/>
        </w:rPr>
        <w:t xml:space="preserve">Od </w:t>
      </w:r>
      <w:r>
        <w:t xml:space="preserve">2 do 4, </w:t>
      </w:r>
    </w:p>
    <w:p w14:paraId="53DF3798" w14:textId="77777777" w:rsidR="006952C9" w:rsidRDefault="006952C9" w:rsidP="006952C9">
      <w:pPr>
        <w:pStyle w:val="Nagwek8"/>
      </w:pPr>
      <w:r>
        <w:t xml:space="preserve">od 4 do 8, </w:t>
      </w:r>
    </w:p>
    <w:p w14:paraId="3564A127" w14:textId="77777777" w:rsidR="006952C9" w:rsidRDefault="006952C9" w:rsidP="006952C9">
      <w:pPr>
        <w:pStyle w:val="Nagwek8"/>
      </w:pPr>
      <w:r>
        <w:t xml:space="preserve">od 8 do 16, </w:t>
      </w:r>
    </w:p>
    <w:p w14:paraId="70873453" w14:textId="77777777" w:rsidR="006952C9" w:rsidRDefault="006952C9" w:rsidP="006952C9">
      <w:pPr>
        <w:pStyle w:val="Nagwek8"/>
      </w:pPr>
      <w:r>
        <w:t xml:space="preserve">od 16 do 31,5, </w:t>
      </w:r>
    </w:p>
    <w:p w14:paraId="0DEF4838" w14:textId="77777777" w:rsidR="006952C9" w:rsidRDefault="006952C9" w:rsidP="006952C9">
      <w:pPr>
        <w:pStyle w:val="Nagwek8"/>
      </w:pPr>
      <w:r>
        <w:t xml:space="preserve">od 31,5 do 63 mm </w:t>
      </w:r>
    </w:p>
    <w:p w14:paraId="2FB24DC2" w14:textId="77777777" w:rsidR="006952C9" w:rsidRDefault="006952C9" w:rsidP="006952C9">
      <w:r>
        <w:t xml:space="preserve">wg    PN-B-01100 [1] oraz piasek gruby wg PN-B-02480 [2]. </w:t>
      </w:r>
    </w:p>
    <w:p w14:paraId="665DD4E7" w14:textId="77777777" w:rsidR="006952C9" w:rsidRDefault="006952C9" w:rsidP="006952C9">
      <w:r>
        <w:t xml:space="preserve">Wskaźnik  wodoprzepuszczalności piasków powinien wynosić co najmniej  8 m/dobę,  wg PN-B-04492 [3]. </w:t>
      </w:r>
    </w:p>
    <w:p w14:paraId="38BDA26C" w14:textId="77777777" w:rsidR="006952C9" w:rsidRDefault="006952C9" w:rsidP="006952C9">
      <w:r>
        <w:t>Żwiry i piaski nie powinny mieć zawartości związków siarki w przeliczeniu na SO</w:t>
      </w:r>
      <w:r>
        <w:rPr>
          <w:vertAlign w:val="subscript"/>
        </w:rPr>
        <w:t>3</w:t>
      </w:r>
      <w:r>
        <w:t xml:space="preserve"> większej niŻ 0,2 % masy, wg PN-B-06714-28 [5]. </w:t>
      </w:r>
    </w:p>
    <w:p w14:paraId="5E0CD06A" w14:textId="77777777" w:rsidR="006952C9" w:rsidRDefault="006952C9" w:rsidP="006952C9">
      <w:pPr>
        <w:pStyle w:val="Nagwek2"/>
      </w:pPr>
      <w:r>
        <w:rPr>
          <w:b w:val="0"/>
        </w:rPr>
        <w:t xml:space="preserve">2.4. Kręgi </w:t>
      </w:r>
      <w:r>
        <w:rPr>
          <w:b w:val="0"/>
          <w:lang w:val="pl-PL"/>
        </w:rPr>
        <w:t>ż</w:t>
      </w:r>
      <w:r>
        <w:rPr>
          <w:b w:val="0"/>
        </w:rPr>
        <w:t xml:space="preserve">elbetowe </w:t>
      </w:r>
    </w:p>
    <w:p w14:paraId="2CA461C7" w14:textId="77777777" w:rsidR="006952C9" w:rsidRDefault="006952C9" w:rsidP="006952C9">
      <w:r>
        <w:t xml:space="preserve">Kręgi żelbetowe powinny odpowiadać wymaganiom  określonym przez BN86/8971-08 [7] i podanym w tablicach 1 i 2. </w:t>
      </w:r>
    </w:p>
    <w:p w14:paraId="3947DF04" w14:textId="77777777" w:rsidR="006952C9" w:rsidRDefault="006952C9" w:rsidP="006952C9">
      <w:pPr>
        <w:spacing w:after="10"/>
        <w:ind w:left="-5"/>
      </w:pPr>
      <w:r>
        <w:t xml:space="preserve">Tablica 1. Wymiary kręgów żelbetowych  </w:t>
      </w:r>
    </w:p>
    <w:tbl>
      <w:tblPr>
        <w:tblW w:w="8498" w:type="dxa"/>
        <w:tblInd w:w="1137" w:type="dxa"/>
        <w:tblCellMar>
          <w:top w:w="44" w:type="dxa"/>
          <w:left w:w="0" w:type="dxa"/>
          <w:right w:w="12" w:type="dxa"/>
        </w:tblCellMar>
        <w:tblLook w:val="04A0" w:firstRow="1" w:lastRow="0" w:firstColumn="1" w:lastColumn="0" w:noHBand="0" w:noVBand="1"/>
      </w:tblPr>
      <w:tblGrid>
        <w:gridCol w:w="2010"/>
        <w:gridCol w:w="2299"/>
        <w:gridCol w:w="1112"/>
        <w:gridCol w:w="816"/>
        <w:gridCol w:w="1278"/>
        <w:gridCol w:w="983"/>
      </w:tblGrid>
      <w:tr w:rsidR="006952C9" w14:paraId="247F0DE5" w14:textId="77777777" w:rsidTr="006952C9">
        <w:trPr>
          <w:trHeight w:val="278"/>
        </w:trPr>
        <w:tc>
          <w:tcPr>
            <w:tcW w:w="5421" w:type="dxa"/>
            <w:gridSpan w:val="3"/>
            <w:tcBorders>
              <w:top w:val="single" w:sz="2" w:space="0" w:color="000000"/>
              <w:left w:val="single" w:sz="2" w:space="0" w:color="000000"/>
              <w:bottom w:val="single" w:sz="2" w:space="0" w:color="000000"/>
              <w:right w:val="single" w:sz="2" w:space="0" w:color="000000"/>
            </w:tcBorders>
            <w:hideMark/>
          </w:tcPr>
          <w:p w14:paraId="1543807C" w14:textId="77777777" w:rsidR="006952C9" w:rsidRDefault="006952C9">
            <w:pPr>
              <w:pStyle w:val="Bezodstpw"/>
            </w:pPr>
            <w:r>
              <w:lastRenderedPageBreak/>
              <w:t xml:space="preserve">Wymiary podstawowe, mm </w:t>
            </w:r>
          </w:p>
        </w:tc>
        <w:tc>
          <w:tcPr>
            <w:tcW w:w="3077" w:type="dxa"/>
            <w:gridSpan w:val="3"/>
            <w:tcBorders>
              <w:top w:val="single" w:sz="2" w:space="0" w:color="000000"/>
              <w:left w:val="single" w:sz="2" w:space="0" w:color="000000"/>
              <w:bottom w:val="single" w:sz="2" w:space="0" w:color="000000"/>
              <w:right w:val="single" w:sz="2" w:space="0" w:color="000000"/>
            </w:tcBorders>
            <w:hideMark/>
          </w:tcPr>
          <w:p w14:paraId="59A4DB54" w14:textId="77777777" w:rsidR="006952C9" w:rsidRDefault="006952C9">
            <w:pPr>
              <w:pStyle w:val="Bezodstpw"/>
            </w:pPr>
            <w:r>
              <w:t xml:space="preserve">Dopuszczalne odchyłki, mm </w:t>
            </w:r>
          </w:p>
        </w:tc>
      </w:tr>
      <w:tr w:rsidR="006952C9" w14:paraId="1802FF6C" w14:textId="77777777" w:rsidTr="006952C9">
        <w:trPr>
          <w:trHeight w:val="732"/>
        </w:trPr>
        <w:tc>
          <w:tcPr>
            <w:tcW w:w="2010" w:type="dxa"/>
            <w:tcBorders>
              <w:top w:val="single" w:sz="2" w:space="0" w:color="000000"/>
              <w:left w:val="single" w:sz="2" w:space="0" w:color="000000"/>
              <w:bottom w:val="single" w:sz="8" w:space="0" w:color="000000"/>
              <w:right w:val="single" w:sz="2" w:space="0" w:color="000000"/>
            </w:tcBorders>
            <w:hideMark/>
          </w:tcPr>
          <w:p w14:paraId="3944BEA4" w14:textId="77777777" w:rsidR="006952C9" w:rsidRDefault="006952C9">
            <w:pPr>
              <w:pStyle w:val="Bezodstpw"/>
            </w:pPr>
            <w:r>
              <w:t xml:space="preserve">średnica </w:t>
            </w:r>
          </w:p>
          <w:p w14:paraId="1D52791D" w14:textId="77777777" w:rsidR="006952C9" w:rsidRDefault="006952C9">
            <w:pPr>
              <w:pStyle w:val="Bezodstpw"/>
            </w:pPr>
            <w:r>
              <w:t xml:space="preserve">wewnętrzna kręgu </w:t>
            </w:r>
          </w:p>
        </w:tc>
        <w:tc>
          <w:tcPr>
            <w:tcW w:w="2299" w:type="dxa"/>
            <w:tcBorders>
              <w:top w:val="single" w:sz="2" w:space="0" w:color="000000"/>
              <w:left w:val="single" w:sz="2" w:space="0" w:color="000000"/>
              <w:bottom w:val="nil"/>
              <w:right w:val="single" w:sz="2" w:space="0" w:color="000000"/>
            </w:tcBorders>
            <w:hideMark/>
          </w:tcPr>
          <w:p w14:paraId="7FFD17B6" w14:textId="77777777" w:rsidR="006952C9" w:rsidRDefault="006952C9">
            <w:pPr>
              <w:pStyle w:val="Bezodstpw"/>
            </w:pPr>
            <w:r>
              <w:t>wysokość kręgu  żelbetowego</w:t>
            </w:r>
          </w:p>
          <w:p w14:paraId="2B839A94" w14:textId="77777777" w:rsidR="006952C9" w:rsidRDefault="006952C9">
            <w:pPr>
              <w:pStyle w:val="Bezodstpw"/>
            </w:pPr>
            <w:r>
              <w:t xml:space="preserve"> </w:t>
            </w:r>
          </w:p>
        </w:tc>
        <w:tc>
          <w:tcPr>
            <w:tcW w:w="1112" w:type="dxa"/>
            <w:tcBorders>
              <w:top w:val="single" w:sz="2" w:space="0" w:color="000000"/>
              <w:left w:val="single" w:sz="2" w:space="0" w:color="000000"/>
              <w:bottom w:val="single" w:sz="8" w:space="0" w:color="000000"/>
              <w:right w:val="single" w:sz="2" w:space="0" w:color="000000"/>
            </w:tcBorders>
            <w:hideMark/>
          </w:tcPr>
          <w:p w14:paraId="72CDE42C" w14:textId="77777777" w:rsidR="006952C9" w:rsidRDefault="006952C9">
            <w:pPr>
              <w:pStyle w:val="Bezodstpw"/>
            </w:pPr>
            <w:r>
              <w:t xml:space="preserve"> </w:t>
            </w:r>
          </w:p>
          <w:p w14:paraId="5FB765F7" w14:textId="77777777" w:rsidR="006952C9" w:rsidRDefault="006952C9">
            <w:pPr>
              <w:pStyle w:val="Bezodstpw"/>
            </w:pPr>
            <w:r>
              <w:t xml:space="preserve">grubość ścianki </w:t>
            </w:r>
          </w:p>
        </w:tc>
        <w:tc>
          <w:tcPr>
            <w:tcW w:w="816" w:type="dxa"/>
            <w:tcBorders>
              <w:top w:val="single" w:sz="2" w:space="0" w:color="000000"/>
              <w:left w:val="single" w:sz="2" w:space="0" w:color="000000"/>
              <w:bottom w:val="single" w:sz="8" w:space="0" w:color="000000"/>
              <w:right w:val="single" w:sz="2" w:space="0" w:color="000000"/>
            </w:tcBorders>
            <w:hideMark/>
          </w:tcPr>
          <w:p w14:paraId="19CFA9D9" w14:textId="77777777" w:rsidR="006952C9" w:rsidRDefault="006952C9">
            <w:pPr>
              <w:pStyle w:val="Bezodstpw"/>
            </w:pPr>
            <w:r>
              <w:t xml:space="preserve"> </w:t>
            </w:r>
          </w:p>
          <w:p w14:paraId="4EB399A3" w14:textId="77777777" w:rsidR="006952C9" w:rsidRDefault="006952C9">
            <w:pPr>
              <w:pStyle w:val="Bezodstpw"/>
            </w:pPr>
            <w:r>
              <w:t xml:space="preserve">średnicy </w:t>
            </w:r>
          </w:p>
          <w:p w14:paraId="5B19D7B5" w14:textId="77777777" w:rsidR="006952C9" w:rsidRDefault="006952C9">
            <w:pPr>
              <w:pStyle w:val="Bezodstpw"/>
            </w:pPr>
            <w:r>
              <w:t xml:space="preserve"> </w:t>
            </w:r>
          </w:p>
        </w:tc>
        <w:tc>
          <w:tcPr>
            <w:tcW w:w="1278" w:type="dxa"/>
            <w:tcBorders>
              <w:top w:val="single" w:sz="2" w:space="0" w:color="000000"/>
              <w:left w:val="single" w:sz="2" w:space="0" w:color="000000"/>
              <w:bottom w:val="single" w:sz="8" w:space="0" w:color="000000"/>
              <w:right w:val="single" w:sz="2" w:space="0" w:color="000000"/>
            </w:tcBorders>
            <w:hideMark/>
          </w:tcPr>
          <w:p w14:paraId="09751E43" w14:textId="77777777" w:rsidR="006952C9" w:rsidRDefault="006952C9">
            <w:pPr>
              <w:pStyle w:val="Bezodstpw"/>
            </w:pPr>
            <w:r>
              <w:t xml:space="preserve"> </w:t>
            </w:r>
          </w:p>
          <w:p w14:paraId="6D16AC35" w14:textId="77777777" w:rsidR="006952C9" w:rsidRDefault="006952C9">
            <w:pPr>
              <w:pStyle w:val="Bezodstpw"/>
            </w:pPr>
            <w:r>
              <w:t xml:space="preserve">wysokości </w:t>
            </w:r>
          </w:p>
          <w:p w14:paraId="19D94C1E" w14:textId="77777777" w:rsidR="006952C9" w:rsidRDefault="006952C9">
            <w:pPr>
              <w:pStyle w:val="Bezodstpw"/>
            </w:pPr>
            <w:r>
              <w:t xml:space="preserve"> </w:t>
            </w:r>
          </w:p>
        </w:tc>
        <w:tc>
          <w:tcPr>
            <w:tcW w:w="983" w:type="dxa"/>
            <w:tcBorders>
              <w:top w:val="single" w:sz="2" w:space="0" w:color="000000"/>
              <w:left w:val="single" w:sz="2" w:space="0" w:color="000000"/>
              <w:bottom w:val="single" w:sz="8" w:space="0" w:color="000000"/>
              <w:right w:val="single" w:sz="2" w:space="0" w:color="000000"/>
            </w:tcBorders>
            <w:hideMark/>
          </w:tcPr>
          <w:p w14:paraId="4049CCE0" w14:textId="77777777" w:rsidR="006952C9" w:rsidRDefault="006952C9">
            <w:pPr>
              <w:pStyle w:val="Bezodstpw"/>
            </w:pPr>
            <w:r>
              <w:t xml:space="preserve"> </w:t>
            </w:r>
          </w:p>
          <w:p w14:paraId="6A458D22" w14:textId="77777777" w:rsidR="006952C9" w:rsidRDefault="006952C9">
            <w:pPr>
              <w:pStyle w:val="Bezodstpw"/>
            </w:pPr>
            <w:r>
              <w:t xml:space="preserve">grubości </w:t>
            </w:r>
          </w:p>
          <w:p w14:paraId="09443070" w14:textId="77777777" w:rsidR="006952C9" w:rsidRDefault="006952C9">
            <w:pPr>
              <w:pStyle w:val="Bezodstpw"/>
            </w:pPr>
            <w:r>
              <w:t xml:space="preserve"> </w:t>
            </w:r>
          </w:p>
        </w:tc>
      </w:tr>
      <w:tr w:rsidR="006952C9" w14:paraId="73C68FCA" w14:textId="77777777" w:rsidTr="006952C9">
        <w:trPr>
          <w:trHeight w:val="877"/>
        </w:trPr>
        <w:tc>
          <w:tcPr>
            <w:tcW w:w="2010" w:type="dxa"/>
            <w:vMerge w:val="restart"/>
            <w:tcBorders>
              <w:top w:val="single" w:sz="8" w:space="0" w:color="000000"/>
              <w:left w:val="single" w:sz="2" w:space="0" w:color="000000"/>
              <w:bottom w:val="single" w:sz="2" w:space="0" w:color="000000"/>
              <w:right w:val="single" w:sz="2" w:space="0" w:color="000000"/>
            </w:tcBorders>
            <w:hideMark/>
          </w:tcPr>
          <w:p w14:paraId="460D97B1" w14:textId="77777777" w:rsidR="006952C9" w:rsidRDefault="006952C9">
            <w:pPr>
              <w:pStyle w:val="Bezodstpw"/>
            </w:pPr>
            <w:r>
              <w:t xml:space="preserve"> </w:t>
            </w:r>
          </w:p>
          <w:p w14:paraId="128149C1" w14:textId="77777777" w:rsidR="006952C9" w:rsidRDefault="006952C9">
            <w:pPr>
              <w:pStyle w:val="Bezodstpw"/>
            </w:pPr>
            <w:r>
              <w:t xml:space="preserve">800  </w:t>
            </w:r>
          </w:p>
          <w:p w14:paraId="04F72C89" w14:textId="77777777" w:rsidR="006952C9" w:rsidRDefault="006952C9">
            <w:pPr>
              <w:pStyle w:val="Bezodstpw"/>
            </w:pPr>
            <w:r>
              <w:t xml:space="preserve">1000 </w:t>
            </w:r>
          </w:p>
          <w:p w14:paraId="197438D2" w14:textId="77777777" w:rsidR="006952C9" w:rsidRDefault="006952C9">
            <w:pPr>
              <w:pStyle w:val="Bezodstpw"/>
            </w:pPr>
            <w:r>
              <w:t xml:space="preserve">1200 </w:t>
            </w:r>
          </w:p>
          <w:p w14:paraId="1AB49AD8" w14:textId="77777777" w:rsidR="006952C9" w:rsidRDefault="006952C9">
            <w:pPr>
              <w:pStyle w:val="Bezodstpw"/>
            </w:pPr>
            <w:r>
              <w:t xml:space="preserve">1400 </w:t>
            </w:r>
          </w:p>
          <w:p w14:paraId="1DA5200C" w14:textId="77777777" w:rsidR="006952C9" w:rsidRDefault="006952C9">
            <w:pPr>
              <w:pStyle w:val="Bezodstpw"/>
            </w:pPr>
            <w:r>
              <w:t xml:space="preserve">1800 </w:t>
            </w:r>
          </w:p>
          <w:p w14:paraId="62CB1C16" w14:textId="77777777" w:rsidR="006952C9" w:rsidRDefault="006952C9">
            <w:pPr>
              <w:pStyle w:val="Bezodstpw"/>
            </w:pPr>
            <w:r>
              <w:t xml:space="preserve">2000 </w:t>
            </w:r>
          </w:p>
        </w:tc>
        <w:tc>
          <w:tcPr>
            <w:tcW w:w="2299" w:type="dxa"/>
            <w:vMerge w:val="restart"/>
            <w:tcBorders>
              <w:top w:val="single" w:sz="8" w:space="0" w:color="000000"/>
              <w:left w:val="single" w:sz="2" w:space="0" w:color="000000"/>
              <w:bottom w:val="single" w:sz="2" w:space="0" w:color="000000"/>
              <w:right w:val="single" w:sz="2" w:space="0" w:color="000000"/>
            </w:tcBorders>
            <w:hideMark/>
          </w:tcPr>
          <w:p w14:paraId="25016CE2" w14:textId="77777777" w:rsidR="006952C9" w:rsidRDefault="006952C9">
            <w:pPr>
              <w:pStyle w:val="Bezodstpw"/>
            </w:pPr>
            <w:r>
              <w:t xml:space="preserve"> </w:t>
            </w:r>
          </w:p>
          <w:p w14:paraId="42BADB5D" w14:textId="77777777" w:rsidR="006952C9" w:rsidRDefault="006952C9">
            <w:pPr>
              <w:pStyle w:val="Bezodstpw"/>
            </w:pPr>
            <w:r>
              <w:t xml:space="preserve"> </w:t>
            </w:r>
          </w:p>
          <w:p w14:paraId="157E60A5" w14:textId="77777777" w:rsidR="006952C9" w:rsidRDefault="006952C9">
            <w:pPr>
              <w:pStyle w:val="Bezodstpw"/>
            </w:pPr>
            <w:r>
              <w:t xml:space="preserve">600 </w:t>
            </w:r>
          </w:p>
        </w:tc>
        <w:tc>
          <w:tcPr>
            <w:tcW w:w="1112" w:type="dxa"/>
            <w:vMerge w:val="restart"/>
            <w:tcBorders>
              <w:top w:val="single" w:sz="8" w:space="0" w:color="000000"/>
              <w:left w:val="single" w:sz="2" w:space="0" w:color="000000"/>
              <w:bottom w:val="single" w:sz="2" w:space="0" w:color="000000"/>
              <w:right w:val="single" w:sz="2" w:space="0" w:color="000000"/>
            </w:tcBorders>
            <w:hideMark/>
          </w:tcPr>
          <w:p w14:paraId="2C4E55F6" w14:textId="77777777" w:rsidR="006952C9" w:rsidRDefault="006952C9">
            <w:pPr>
              <w:pStyle w:val="Bezodstpw"/>
            </w:pPr>
            <w:r>
              <w:t xml:space="preserve"> </w:t>
            </w:r>
          </w:p>
          <w:p w14:paraId="544484CD" w14:textId="77777777" w:rsidR="006952C9" w:rsidRDefault="006952C9">
            <w:pPr>
              <w:pStyle w:val="Bezodstpw"/>
            </w:pPr>
            <w:r>
              <w:t xml:space="preserve">80 </w:t>
            </w:r>
          </w:p>
          <w:p w14:paraId="63A77C6B" w14:textId="77777777" w:rsidR="006952C9" w:rsidRDefault="006952C9">
            <w:pPr>
              <w:pStyle w:val="Bezodstpw"/>
            </w:pPr>
            <w:r>
              <w:t xml:space="preserve">100  </w:t>
            </w:r>
          </w:p>
          <w:p w14:paraId="2B5D0DCF" w14:textId="77777777" w:rsidR="006952C9" w:rsidRDefault="006952C9">
            <w:pPr>
              <w:pStyle w:val="Bezodstpw"/>
            </w:pPr>
            <w:r>
              <w:t xml:space="preserve">120 </w:t>
            </w:r>
          </w:p>
          <w:p w14:paraId="2BE7781F" w14:textId="77777777" w:rsidR="006952C9" w:rsidRDefault="006952C9">
            <w:pPr>
              <w:pStyle w:val="Bezodstpw"/>
            </w:pPr>
            <w:r>
              <w:t xml:space="preserve">120 </w:t>
            </w:r>
          </w:p>
          <w:p w14:paraId="69F80065" w14:textId="77777777" w:rsidR="006952C9" w:rsidRDefault="006952C9">
            <w:pPr>
              <w:pStyle w:val="Bezodstpw"/>
            </w:pPr>
            <w:r>
              <w:t xml:space="preserve">120 </w:t>
            </w:r>
          </w:p>
          <w:p w14:paraId="6A34194D" w14:textId="77777777" w:rsidR="006952C9" w:rsidRDefault="006952C9">
            <w:pPr>
              <w:pStyle w:val="Bezodstpw"/>
            </w:pPr>
            <w:r>
              <w:t xml:space="preserve">120 </w:t>
            </w:r>
          </w:p>
        </w:tc>
        <w:tc>
          <w:tcPr>
            <w:tcW w:w="816" w:type="dxa"/>
            <w:vMerge w:val="restart"/>
            <w:tcBorders>
              <w:top w:val="single" w:sz="8" w:space="0" w:color="000000"/>
              <w:left w:val="single" w:sz="2" w:space="0" w:color="000000"/>
              <w:bottom w:val="single" w:sz="2" w:space="0" w:color="000000"/>
              <w:right w:val="single" w:sz="2" w:space="0" w:color="000000"/>
            </w:tcBorders>
            <w:hideMark/>
          </w:tcPr>
          <w:p w14:paraId="6BBB8D6A" w14:textId="77777777" w:rsidR="006952C9" w:rsidRDefault="006952C9">
            <w:pPr>
              <w:pStyle w:val="Bezodstpw"/>
            </w:pPr>
            <w:r>
              <w:t xml:space="preserve"> </w:t>
            </w:r>
          </w:p>
          <w:p w14:paraId="152D11AC" w14:textId="77777777" w:rsidR="006952C9" w:rsidRDefault="006952C9">
            <w:pPr>
              <w:pStyle w:val="Bezodstpw"/>
            </w:pPr>
            <w:r>
              <w:t xml:space="preserve"> </w:t>
            </w:r>
          </w:p>
          <w:p w14:paraId="7D0BB831" w14:textId="77777777" w:rsidR="006952C9" w:rsidRDefault="006952C9">
            <w:pPr>
              <w:pStyle w:val="Bezodstpw"/>
            </w:pPr>
            <w:r>
              <w:rPr>
                <w:rFonts w:eastAsia="Segoe UI Symbol"/>
              </w:rPr>
              <w:t>±</w:t>
            </w:r>
            <w:r>
              <w:t xml:space="preserve"> 8 </w:t>
            </w:r>
          </w:p>
        </w:tc>
        <w:tc>
          <w:tcPr>
            <w:tcW w:w="1278" w:type="dxa"/>
            <w:vMerge w:val="restart"/>
            <w:tcBorders>
              <w:top w:val="single" w:sz="8" w:space="0" w:color="000000"/>
              <w:left w:val="single" w:sz="2" w:space="0" w:color="000000"/>
              <w:bottom w:val="single" w:sz="2" w:space="0" w:color="000000"/>
              <w:right w:val="single" w:sz="2" w:space="0" w:color="000000"/>
            </w:tcBorders>
            <w:hideMark/>
          </w:tcPr>
          <w:p w14:paraId="45A61F4B" w14:textId="77777777" w:rsidR="006952C9" w:rsidRDefault="006952C9">
            <w:pPr>
              <w:pStyle w:val="Bezodstpw"/>
            </w:pPr>
            <w:r>
              <w:t xml:space="preserve"> </w:t>
            </w:r>
          </w:p>
          <w:p w14:paraId="110B64E1" w14:textId="77777777" w:rsidR="006952C9" w:rsidRDefault="006952C9">
            <w:pPr>
              <w:pStyle w:val="Bezodstpw"/>
            </w:pPr>
            <w:r>
              <w:t xml:space="preserve"> </w:t>
            </w:r>
          </w:p>
          <w:p w14:paraId="7D29BD0A" w14:textId="77777777" w:rsidR="006952C9" w:rsidRDefault="006952C9">
            <w:pPr>
              <w:pStyle w:val="Bezodstpw"/>
            </w:pPr>
            <w:r>
              <w:rPr>
                <w:rFonts w:eastAsia="Segoe UI Symbol"/>
              </w:rPr>
              <w:t>±</w:t>
            </w:r>
            <w:r>
              <w:t xml:space="preserve"> 5 </w:t>
            </w:r>
          </w:p>
        </w:tc>
        <w:tc>
          <w:tcPr>
            <w:tcW w:w="983" w:type="dxa"/>
            <w:tcBorders>
              <w:top w:val="single" w:sz="8" w:space="0" w:color="000000"/>
              <w:left w:val="single" w:sz="2" w:space="0" w:color="000000"/>
              <w:bottom w:val="single" w:sz="2" w:space="0" w:color="000000"/>
              <w:right w:val="single" w:sz="2" w:space="0" w:color="000000"/>
            </w:tcBorders>
            <w:hideMark/>
          </w:tcPr>
          <w:p w14:paraId="45461667" w14:textId="77777777" w:rsidR="006952C9" w:rsidRDefault="006952C9">
            <w:pPr>
              <w:pStyle w:val="Bezodstpw"/>
            </w:pPr>
            <w:r>
              <w:t xml:space="preserve"> </w:t>
            </w:r>
          </w:p>
          <w:p w14:paraId="2CD64B4E" w14:textId="77777777" w:rsidR="006952C9" w:rsidRDefault="006952C9">
            <w:pPr>
              <w:pStyle w:val="Bezodstpw"/>
            </w:pPr>
            <w:r>
              <w:rPr>
                <w:rFonts w:eastAsia="Segoe UI Symbol"/>
              </w:rPr>
              <w:t>±</w:t>
            </w:r>
            <w:r>
              <w:t xml:space="preserve"> 3 </w:t>
            </w:r>
          </w:p>
          <w:p w14:paraId="3413B9AA" w14:textId="77777777" w:rsidR="006952C9" w:rsidRDefault="006952C9">
            <w:pPr>
              <w:pStyle w:val="Bezodstpw"/>
            </w:pPr>
            <w:r>
              <w:t xml:space="preserve"> </w:t>
            </w:r>
          </w:p>
        </w:tc>
      </w:tr>
      <w:tr w:rsidR="006952C9" w14:paraId="0208E6DF" w14:textId="77777777" w:rsidTr="006952C9">
        <w:trPr>
          <w:trHeight w:val="841"/>
        </w:trPr>
        <w:tc>
          <w:tcPr>
            <w:tcW w:w="0" w:type="auto"/>
            <w:vMerge/>
            <w:tcBorders>
              <w:top w:val="single" w:sz="8" w:space="0" w:color="000000"/>
              <w:left w:val="single" w:sz="2" w:space="0" w:color="000000"/>
              <w:bottom w:val="single" w:sz="2" w:space="0" w:color="000000"/>
              <w:right w:val="single" w:sz="2" w:space="0" w:color="000000"/>
            </w:tcBorders>
            <w:vAlign w:val="center"/>
            <w:hideMark/>
          </w:tcPr>
          <w:p w14:paraId="23871AD7" w14:textId="77777777" w:rsidR="006952C9" w:rsidRDefault="006952C9">
            <w:pPr>
              <w:rPr>
                <w:rFonts w:ascii="Arial Narrow" w:hAnsi="Arial Narrow"/>
              </w:rPr>
            </w:pPr>
          </w:p>
        </w:tc>
        <w:tc>
          <w:tcPr>
            <w:tcW w:w="0" w:type="auto"/>
            <w:vMerge/>
            <w:tcBorders>
              <w:top w:val="single" w:sz="8" w:space="0" w:color="000000"/>
              <w:left w:val="single" w:sz="2" w:space="0" w:color="000000"/>
              <w:bottom w:val="single" w:sz="2" w:space="0" w:color="000000"/>
              <w:right w:val="single" w:sz="2" w:space="0" w:color="000000"/>
            </w:tcBorders>
            <w:vAlign w:val="center"/>
            <w:hideMark/>
          </w:tcPr>
          <w:p w14:paraId="111D77A9" w14:textId="77777777" w:rsidR="006952C9" w:rsidRDefault="006952C9">
            <w:pPr>
              <w:rPr>
                <w:rFonts w:ascii="Arial Narrow" w:hAnsi="Arial Narrow"/>
              </w:rPr>
            </w:pPr>
          </w:p>
        </w:tc>
        <w:tc>
          <w:tcPr>
            <w:tcW w:w="0" w:type="auto"/>
            <w:vMerge/>
            <w:tcBorders>
              <w:top w:val="single" w:sz="8" w:space="0" w:color="000000"/>
              <w:left w:val="single" w:sz="2" w:space="0" w:color="000000"/>
              <w:bottom w:val="single" w:sz="2" w:space="0" w:color="000000"/>
              <w:right w:val="single" w:sz="2" w:space="0" w:color="000000"/>
            </w:tcBorders>
            <w:vAlign w:val="center"/>
            <w:hideMark/>
          </w:tcPr>
          <w:p w14:paraId="328441CC" w14:textId="77777777" w:rsidR="006952C9" w:rsidRDefault="006952C9">
            <w:pPr>
              <w:rPr>
                <w:rFonts w:ascii="Arial Narrow" w:hAnsi="Arial Narrow"/>
              </w:rPr>
            </w:pPr>
          </w:p>
        </w:tc>
        <w:tc>
          <w:tcPr>
            <w:tcW w:w="0" w:type="auto"/>
            <w:vMerge/>
            <w:tcBorders>
              <w:top w:val="single" w:sz="8" w:space="0" w:color="000000"/>
              <w:left w:val="single" w:sz="2" w:space="0" w:color="000000"/>
              <w:bottom w:val="single" w:sz="2" w:space="0" w:color="000000"/>
              <w:right w:val="single" w:sz="2" w:space="0" w:color="000000"/>
            </w:tcBorders>
            <w:vAlign w:val="center"/>
            <w:hideMark/>
          </w:tcPr>
          <w:p w14:paraId="16DCF9D1" w14:textId="77777777" w:rsidR="006952C9" w:rsidRDefault="006952C9">
            <w:pPr>
              <w:rPr>
                <w:rFonts w:ascii="Arial Narrow" w:hAnsi="Arial Narrow"/>
              </w:rPr>
            </w:pPr>
          </w:p>
        </w:tc>
        <w:tc>
          <w:tcPr>
            <w:tcW w:w="0" w:type="auto"/>
            <w:vMerge/>
            <w:tcBorders>
              <w:top w:val="single" w:sz="8" w:space="0" w:color="000000"/>
              <w:left w:val="single" w:sz="2" w:space="0" w:color="000000"/>
              <w:bottom w:val="single" w:sz="2" w:space="0" w:color="000000"/>
              <w:right w:val="single" w:sz="2" w:space="0" w:color="000000"/>
            </w:tcBorders>
            <w:vAlign w:val="center"/>
            <w:hideMark/>
          </w:tcPr>
          <w:p w14:paraId="36687E13" w14:textId="77777777" w:rsidR="006952C9" w:rsidRDefault="006952C9">
            <w:pPr>
              <w:rPr>
                <w:rFonts w:ascii="Arial Narrow" w:hAnsi="Arial Narrow"/>
              </w:rPr>
            </w:pPr>
          </w:p>
        </w:tc>
        <w:tc>
          <w:tcPr>
            <w:tcW w:w="983" w:type="dxa"/>
            <w:tcBorders>
              <w:top w:val="single" w:sz="2" w:space="0" w:color="000000"/>
              <w:left w:val="single" w:sz="2" w:space="0" w:color="000000"/>
              <w:bottom w:val="single" w:sz="2" w:space="0" w:color="000000"/>
              <w:right w:val="single" w:sz="2" w:space="0" w:color="000000"/>
            </w:tcBorders>
            <w:hideMark/>
          </w:tcPr>
          <w:p w14:paraId="61B96CC0" w14:textId="77777777" w:rsidR="006952C9" w:rsidRDefault="006952C9">
            <w:pPr>
              <w:pStyle w:val="Bezodstpw"/>
            </w:pPr>
            <w:r>
              <w:t xml:space="preserve"> </w:t>
            </w:r>
          </w:p>
          <w:p w14:paraId="218DF764" w14:textId="77777777" w:rsidR="006952C9" w:rsidRDefault="006952C9">
            <w:pPr>
              <w:pStyle w:val="Bezodstpw"/>
            </w:pPr>
            <w:r>
              <w:rPr>
                <w:rFonts w:eastAsia="Segoe UI Symbol"/>
              </w:rPr>
              <w:t>±</w:t>
            </w:r>
            <w:r>
              <w:t xml:space="preserve"> 5 </w:t>
            </w:r>
          </w:p>
          <w:p w14:paraId="5E58718C" w14:textId="77777777" w:rsidR="006952C9" w:rsidRDefault="006952C9">
            <w:pPr>
              <w:pStyle w:val="Bezodstpw"/>
            </w:pPr>
            <w:r>
              <w:t xml:space="preserve"> </w:t>
            </w:r>
          </w:p>
        </w:tc>
      </w:tr>
    </w:tbl>
    <w:p w14:paraId="2A8DB8C7" w14:textId="77777777" w:rsidR="006952C9" w:rsidRDefault="006952C9" w:rsidP="006952C9">
      <w:pPr>
        <w:spacing w:line="256" w:lineRule="auto"/>
        <w:rPr>
          <w:rFonts w:ascii="Arial Narrow" w:hAnsi="Arial Narrow"/>
          <w:sz w:val="20"/>
          <w:szCs w:val="20"/>
        </w:rPr>
      </w:pPr>
      <w:r>
        <w:t xml:space="preserve"> </w:t>
      </w:r>
    </w:p>
    <w:p w14:paraId="19F673E1" w14:textId="77777777" w:rsidR="006952C9" w:rsidRDefault="006952C9" w:rsidP="006952C9">
      <w:pPr>
        <w:spacing w:after="24" w:line="256" w:lineRule="auto"/>
      </w:pPr>
      <w:r>
        <w:t xml:space="preserve"> </w:t>
      </w:r>
    </w:p>
    <w:p w14:paraId="1EC83118" w14:textId="77777777" w:rsidR="006952C9" w:rsidRDefault="006952C9" w:rsidP="006952C9">
      <w:r>
        <w:t xml:space="preserve">Tablica 2. Dopuszczalne wady powierzchni kręgów studni  chłonnych  </w:t>
      </w:r>
    </w:p>
    <w:tbl>
      <w:tblPr>
        <w:tblW w:w="7445" w:type="dxa"/>
        <w:tblInd w:w="-73" w:type="dxa"/>
        <w:tblCellMar>
          <w:top w:w="48" w:type="dxa"/>
          <w:left w:w="0" w:type="dxa"/>
          <w:right w:w="0" w:type="dxa"/>
        </w:tblCellMar>
        <w:tblLook w:val="04A0" w:firstRow="1" w:lastRow="0" w:firstColumn="1" w:lastColumn="0" w:noHBand="0" w:noVBand="1"/>
      </w:tblPr>
      <w:tblGrid>
        <w:gridCol w:w="1181"/>
        <w:gridCol w:w="1668"/>
        <w:gridCol w:w="2389"/>
        <w:gridCol w:w="2207"/>
      </w:tblGrid>
      <w:tr w:rsidR="006952C9" w14:paraId="4F8F42D4" w14:textId="77777777" w:rsidTr="006952C9">
        <w:trPr>
          <w:trHeight w:val="278"/>
        </w:trPr>
        <w:tc>
          <w:tcPr>
            <w:tcW w:w="1181" w:type="dxa"/>
            <w:vMerge w:val="restart"/>
            <w:tcBorders>
              <w:top w:val="single" w:sz="2" w:space="0" w:color="000000"/>
              <w:left w:val="single" w:sz="2" w:space="0" w:color="000000"/>
              <w:bottom w:val="single" w:sz="8" w:space="0" w:color="000000"/>
              <w:right w:val="single" w:sz="2" w:space="0" w:color="000000"/>
            </w:tcBorders>
            <w:hideMark/>
          </w:tcPr>
          <w:p w14:paraId="01101B99" w14:textId="77777777" w:rsidR="006952C9" w:rsidRDefault="006952C9">
            <w:pPr>
              <w:pStyle w:val="Bezodstpw"/>
            </w:pPr>
            <w:r>
              <w:t xml:space="preserve"> </w:t>
            </w:r>
          </w:p>
          <w:p w14:paraId="61FF60B2" w14:textId="77777777" w:rsidR="006952C9" w:rsidRDefault="006952C9">
            <w:pPr>
              <w:pStyle w:val="Bezodstpw"/>
            </w:pPr>
            <w:r>
              <w:t>Średnica  wewn</w:t>
            </w:r>
            <w:r>
              <w:rPr>
                <w:sz w:val="24"/>
              </w:rPr>
              <w:t>ętrzna kr</w:t>
            </w:r>
            <w:r>
              <w:t>ęgu, mm</w:t>
            </w:r>
            <w:r>
              <w:rPr>
                <w:sz w:val="24"/>
              </w:rPr>
              <w:t xml:space="preserve"> </w:t>
            </w:r>
          </w:p>
          <w:p w14:paraId="1D2D7BA3" w14:textId="77777777" w:rsidR="006952C9" w:rsidRDefault="006952C9">
            <w:pPr>
              <w:pStyle w:val="Bezodstpw"/>
            </w:pPr>
            <w:r>
              <w:t xml:space="preserve"> </w:t>
            </w:r>
          </w:p>
        </w:tc>
        <w:tc>
          <w:tcPr>
            <w:tcW w:w="1668" w:type="dxa"/>
            <w:vMerge w:val="restart"/>
            <w:tcBorders>
              <w:top w:val="single" w:sz="2" w:space="0" w:color="000000"/>
              <w:left w:val="single" w:sz="2" w:space="0" w:color="000000"/>
              <w:bottom w:val="single" w:sz="8" w:space="0" w:color="000000"/>
              <w:right w:val="single" w:sz="2" w:space="0" w:color="000000"/>
            </w:tcBorders>
            <w:hideMark/>
          </w:tcPr>
          <w:p w14:paraId="74ECDB87" w14:textId="77777777" w:rsidR="006952C9" w:rsidRDefault="006952C9">
            <w:pPr>
              <w:pStyle w:val="Bezodstpw"/>
            </w:pPr>
            <w:r>
              <w:t xml:space="preserve"> </w:t>
            </w:r>
          </w:p>
          <w:p w14:paraId="3DAEB68A" w14:textId="77777777" w:rsidR="006952C9" w:rsidRDefault="006952C9">
            <w:pPr>
              <w:pStyle w:val="Bezodstpw"/>
            </w:pPr>
            <w:r>
              <w:t xml:space="preserve">Rysy włoskowate skurczowe na dowolnej </w:t>
            </w:r>
          </w:p>
          <w:p w14:paraId="729DA692" w14:textId="77777777" w:rsidR="006952C9" w:rsidRDefault="006952C9">
            <w:pPr>
              <w:pStyle w:val="Bezodstpw"/>
            </w:pPr>
            <w:r>
              <w:t xml:space="preserve">powierzchni </w:t>
            </w:r>
          </w:p>
          <w:p w14:paraId="250C1219" w14:textId="77777777" w:rsidR="006952C9" w:rsidRDefault="006952C9">
            <w:pPr>
              <w:pStyle w:val="Bezodstpw"/>
            </w:pPr>
            <w:r>
              <w:t xml:space="preserve"> </w:t>
            </w:r>
          </w:p>
        </w:tc>
        <w:tc>
          <w:tcPr>
            <w:tcW w:w="4596" w:type="dxa"/>
            <w:gridSpan w:val="2"/>
            <w:tcBorders>
              <w:top w:val="single" w:sz="2" w:space="0" w:color="000000"/>
              <w:left w:val="single" w:sz="2" w:space="0" w:color="000000"/>
              <w:bottom w:val="single" w:sz="2" w:space="0" w:color="000000"/>
              <w:right w:val="single" w:sz="2" w:space="0" w:color="000000"/>
            </w:tcBorders>
            <w:hideMark/>
          </w:tcPr>
          <w:p w14:paraId="5B1F01A7" w14:textId="77777777" w:rsidR="006952C9" w:rsidRDefault="006952C9">
            <w:pPr>
              <w:pStyle w:val="Bezodstpw"/>
            </w:pPr>
            <w:r>
              <w:t xml:space="preserve">Ubytek betonu na powierzchni </w:t>
            </w:r>
          </w:p>
        </w:tc>
      </w:tr>
      <w:tr w:rsidR="006952C9" w14:paraId="0215034C" w14:textId="77777777" w:rsidTr="006952C9">
        <w:trPr>
          <w:trHeight w:val="1380"/>
        </w:trPr>
        <w:tc>
          <w:tcPr>
            <w:tcW w:w="0" w:type="auto"/>
            <w:vMerge/>
            <w:tcBorders>
              <w:top w:val="single" w:sz="2" w:space="0" w:color="000000"/>
              <w:left w:val="single" w:sz="2" w:space="0" w:color="000000"/>
              <w:bottom w:val="single" w:sz="8" w:space="0" w:color="000000"/>
              <w:right w:val="single" w:sz="2" w:space="0" w:color="000000"/>
            </w:tcBorders>
            <w:vAlign w:val="center"/>
            <w:hideMark/>
          </w:tcPr>
          <w:p w14:paraId="46038CB7" w14:textId="77777777" w:rsidR="006952C9" w:rsidRDefault="006952C9">
            <w:pPr>
              <w:rPr>
                <w:rFonts w:ascii="Arial Narrow" w:hAnsi="Arial Narrow"/>
              </w:rPr>
            </w:pPr>
          </w:p>
        </w:tc>
        <w:tc>
          <w:tcPr>
            <w:tcW w:w="0" w:type="auto"/>
            <w:vMerge/>
            <w:tcBorders>
              <w:top w:val="single" w:sz="2" w:space="0" w:color="000000"/>
              <w:left w:val="single" w:sz="2" w:space="0" w:color="000000"/>
              <w:bottom w:val="single" w:sz="8" w:space="0" w:color="000000"/>
              <w:right w:val="single" w:sz="2" w:space="0" w:color="000000"/>
            </w:tcBorders>
            <w:vAlign w:val="center"/>
            <w:hideMark/>
          </w:tcPr>
          <w:p w14:paraId="113A302F" w14:textId="77777777" w:rsidR="006952C9" w:rsidRDefault="006952C9">
            <w:pPr>
              <w:rPr>
                <w:rFonts w:ascii="Arial Narrow" w:hAnsi="Arial Narrow"/>
              </w:rPr>
            </w:pPr>
          </w:p>
        </w:tc>
        <w:tc>
          <w:tcPr>
            <w:tcW w:w="2389" w:type="dxa"/>
            <w:tcBorders>
              <w:top w:val="single" w:sz="2" w:space="0" w:color="000000"/>
              <w:left w:val="single" w:sz="2" w:space="0" w:color="000000"/>
              <w:bottom w:val="single" w:sz="2" w:space="0" w:color="000000"/>
              <w:right w:val="single" w:sz="2" w:space="0" w:color="000000"/>
            </w:tcBorders>
            <w:hideMark/>
          </w:tcPr>
          <w:p w14:paraId="00573D8A" w14:textId="77777777" w:rsidR="006952C9" w:rsidRDefault="006952C9">
            <w:pPr>
              <w:pStyle w:val="Bezodstpw"/>
            </w:pPr>
            <w:r>
              <w:rPr>
                <w:sz w:val="24"/>
              </w:rPr>
              <w:t>jednego elementu złącza</w:t>
            </w:r>
          </w:p>
          <w:p w14:paraId="2DE08F08" w14:textId="77777777" w:rsidR="006952C9" w:rsidRDefault="006952C9">
            <w:pPr>
              <w:pStyle w:val="Bezodstpw"/>
            </w:pPr>
            <w:r>
              <w:t xml:space="preserve">- </w:t>
            </w:r>
            <w:r>
              <w:rPr>
                <w:sz w:val="24"/>
              </w:rPr>
              <w:t xml:space="preserve">nie więcej niż        </w:t>
            </w:r>
            <w:r>
              <w:t xml:space="preserve">3 uszkodzenia </w:t>
            </w:r>
          </w:p>
        </w:tc>
        <w:tc>
          <w:tcPr>
            <w:tcW w:w="2207" w:type="dxa"/>
            <w:tcBorders>
              <w:top w:val="single" w:sz="2" w:space="0" w:color="000000"/>
              <w:left w:val="single" w:sz="2" w:space="0" w:color="000000"/>
              <w:bottom w:val="single" w:sz="2" w:space="0" w:color="000000"/>
              <w:right w:val="single" w:sz="2" w:space="0" w:color="000000"/>
            </w:tcBorders>
            <w:hideMark/>
          </w:tcPr>
          <w:p w14:paraId="1ADBECB8" w14:textId="77777777" w:rsidR="006952C9" w:rsidRDefault="006952C9">
            <w:pPr>
              <w:pStyle w:val="Bezodstpw"/>
            </w:pPr>
            <w:r>
              <w:rPr>
                <w:sz w:val="24"/>
              </w:rPr>
              <w:t xml:space="preserve"> pozostałej - nie więcej ni</w:t>
            </w:r>
            <w:r>
              <w:t xml:space="preserve">ż 5 uszkodzeń </w:t>
            </w:r>
          </w:p>
        </w:tc>
      </w:tr>
      <w:tr w:rsidR="006952C9" w14:paraId="444A799C" w14:textId="77777777" w:rsidTr="006952C9">
        <w:trPr>
          <w:trHeight w:val="563"/>
        </w:trPr>
        <w:tc>
          <w:tcPr>
            <w:tcW w:w="0" w:type="auto"/>
            <w:vMerge/>
            <w:tcBorders>
              <w:top w:val="single" w:sz="2" w:space="0" w:color="000000"/>
              <w:left w:val="single" w:sz="2" w:space="0" w:color="000000"/>
              <w:bottom w:val="single" w:sz="8" w:space="0" w:color="000000"/>
              <w:right w:val="single" w:sz="2" w:space="0" w:color="000000"/>
            </w:tcBorders>
            <w:vAlign w:val="center"/>
            <w:hideMark/>
          </w:tcPr>
          <w:p w14:paraId="7B2C33C7" w14:textId="77777777" w:rsidR="006952C9" w:rsidRDefault="006952C9">
            <w:pPr>
              <w:rPr>
                <w:rFonts w:ascii="Arial Narrow" w:hAnsi="Arial Narrow"/>
              </w:rPr>
            </w:pPr>
          </w:p>
        </w:tc>
        <w:tc>
          <w:tcPr>
            <w:tcW w:w="0" w:type="auto"/>
            <w:vMerge/>
            <w:tcBorders>
              <w:top w:val="single" w:sz="2" w:space="0" w:color="000000"/>
              <w:left w:val="single" w:sz="2" w:space="0" w:color="000000"/>
              <w:bottom w:val="single" w:sz="8" w:space="0" w:color="000000"/>
              <w:right w:val="single" w:sz="2" w:space="0" w:color="000000"/>
            </w:tcBorders>
            <w:vAlign w:val="center"/>
            <w:hideMark/>
          </w:tcPr>
          <w:p w14:paraId="69CB49D6" w14:textId="77777777" w:rsidR="006952C9" w:rsidRDefault="006952C9">
            <w:pPr>
              <w:rPr>
                <w:rFonts w:ascii="Arial Narrow" w:hAnsi="Arial Narrow"/>
              </w:rPr>
            </w:pPr>
          </w:p>
        </w:tc>
        <w:tc>
          <w:tcPr>
            <w:tcW w:w="4596" w:type="dxa"/>
            <w:gridSpan w:val="2"/>
            <w:tcBorders>
              <w:top w:val="single" w:sz="2" w:space="0" w:color="000000"/>
              <w:left w:val="single" w:sz="2" w:space="0" w:color="000000"/>
              <w:bottom w:val="single" w:sz="8" w:space="0" w:color="000000"/>
              <w:right w:val="single" w:sz="2" w:space="0" w:color="000000"/>
            </w:tcBorders>
            <w:hideMark/>
          </w:tcPr>
          <w:p w14:paraId="36DC80EB" w14:textId="77777777" w:rsidR="006952C9" w:rsidRDefault="006952C9">
            <w:pPr>
              <w:pStyle w:val="Bezodstpw"/>
            </w:pPr>
            <w:r>
              <w:t>o głębokości do 10 mm i powierzchni jednego uszkodzenia nie większej niŻ cm</w:t>
            </w:r>
            <w:r>
              <w:rPr>
                <w:vertAlign w:val="superscript"/>
              </w:rPr>
              <w:t xml:space="preserve">2 </w:t>
            </w:r>
          </w:p>
        </w:tc>
      </w:tr>
      <w:tr w:rsidR="006952C9" w14:paraId="4C159E91" w14:textId="77777777" w:rsidTr="006952C9">
        <w:trPr>
          <w:trHeight w:val="990"/>
        </w:trPr>
        <w:tc>
          <w:tcPr>
            <w:tcW w:w="1181" w:type="dxa"/>
            <w:tcBorders>
              <w:top w:val="single" w:sz="8" w:space="0" w:color="000000"/>
              <w:left w:val="single" w:sz="2" w:space="0" w:color="000000"/>
              <w:bottom w:val="single" w:sz="2" w:space="0" w:color="000000"/>
              <w:right w:val="single" w:sz="2" w:space="0" w:color="000000"/>
            </w:tcBorders>
            <w:hideMark/>
          </w:tcPr>
          <w:p w14:paraId="78281F06" w14:textId="77777777" w:rsidR="006952C9" w:rsidRDefault="006952C9">
            <w:pPr>
              <w:pStyle w:val="Bezodstpw"/>
            </w:pPr>
            <w:r>
              <w:t xml:space="preserve"> 1200 </w:t>
            </w:r>
          </w:p>
          <w:p w14:paraId="363B22B7" w14:textId="77777777" w:rsidR="006952C9" w:rsidRDefault="006952C9">
            <w:pPr>
              <w:pStyle w:val="Bezodstpw"/>
            </w:pPr>
            <w:r>
              <w:t xml:space="preserve">1400 </w:t>
            </w:r>
          </w:p>
          <w:p w14:paraId="15AF91F0" w14:textId="77777777" w:rsidR="006952C9" w:rsidRDefault="006952C9">
            <w:pPr>
              <w:pStyle w:val="Bezodstpw"/>
            </w:pPr>
            <w:r>
              <w:t xml:space="preserve">1800 </w:t>
            </w:r>
          </w:p>
          <w:p w14:paraId="0B7E544C" w14:textId="77777777" w:rsidR="006952C9" w:rsidRDefault="006952C9">
            <w:pPr>
              <w:pStyle w:val="Bezodstpw"/>
            </w:pPr>
            <w:r>
              <w:t xml:space="preserve">2000 </w:t>
            </w:r>
          </w:p>
        </w:tc>
        <w:tc>
          <w:tcPr>
            <w:tcW w:w="1668" w:type="dxa"/>
            <w:tcBorders>
              <w:top w:val="single" w:sz="8" w:space="0" w:color="000000"/>
              <w:left w:val="single" w:sz="2" w:space="0" w:color="000000"/>
              <w:bottom w:val="single" w:sz="2" w:space="0" w:color="000000"/>
              <w:right w:val="single" w:sz="2" w:space="0" w:color="000000"/>
            </w:tcBorders>
            <w:hideMark/>
          </w:tcPr>
          <w:p w14:paraId="08748C41" w14:textId="77777777" w:rsidR="006952C9" w:rsidRDefault="006952C9">
            <w:pPr>
              <w:pStyle w:val="Bezodstpw"/>
            </w:pPr>
            <w:r>
              <w:t xml:space="preserve"> </w:t>
            </w:r>
          </w:p>
          <w:p w14:paraId="7A354644" w14:textId="77777777" w:rsidR="006952C9" w:rsidRDefault="006952C9">
            <w:pPr>
              <w:pStyle w:val="Bezodstpw"/>
            </w:pPr>
            <w:r>
              <w:t xml:space="preserve"> nie ogranicza się</w:t>
            </w:r>
          </w:p>
        </w:tc>
        <w:tc>
          <w:tcPr>
            <w:tcW w:w="2389" w:type="dxa"/>
            <w:tcBorders>
              <w:top w:val="single" w:sz="8" w:space="0" w:color="000000"/>
              <w:left w:val="single" w:sz="2" w:space="0" w:color="000000"/>
              <w:bottom w:val="single" w:sz="2" w:space="0" w:color="000000"/>
              <w:right w:val="single" w:sz="2" w:space="0" w:color="000000"/>
            </w:tcBorders>
            <w:hideMark/>
          </w:tcPr>
          <w:p w14:paraId="68D5A8CB" w14:textId="77777777" w:rsidR="006952C9" w:rsidRDefault="006952C9">
            <w:pPr>
              <w:pStyle w:val="Bezodstpw"/>
            </w:pPr>
            <w:r>
              <w:t xml:space="preserve"> 15 </w:t>
            </w:r>
          </w:p>
          <w:p w14:paraId="67B96AF4" w14:textId="77777777" w:rsidR="006952C9" w:rsidRDefault="006952C9">
            <w:pPr>
              <w:pStyle w:val="Bezodstpw"/>
            </w:pPr>
            <w:r>
              <w:t xml:space="preserve">18 </w:t>
            </w:r>
          </w:p>
          <w:p w14:paraId="4F491278" w14:textId="77777777" w:rsidR="006952C9" w:rsidRDefault="006952C9">
            <w:pPr>
              <w:pStyle w:val="Bezodstpw"/>
            </w:pPr>
            <w:r>
              <w:t xml:space="preserve">20 </w:t>
            </w:r>
          </w:p>
          <w:p w14:paraId="41565ACA" w14:textId="77777777" w:rsidR="006952C9" w:rsidRDefault="006952C9">
            <w:pPr>
              <w:pStyle w:val="Bezodstpw"/>
            </w:pPr>
            <w:r>
              <w:t xml:space="preserve">22 </w:t>
            </w:r>
          </w:p>
        </w:tc>
        <w:tc>
          <w:tcPr>
            <w:tcW w:w="2207" w:type="dxa"/>
            <w:tcBorders>
              <w:top w:val="single" w:sz="8" w:space="0" w:color="000000"/>
              <w:left w:val="single" w:sz="2" w:space="0" w:color="000000"/>
              <w:bottom w:val="single" w:sz="2" w:space="0" w:color="000000"/>
              <w:right w:val="single" w:sz="2" w:space="0" w:color="000000"/>
            </w:tcBorders>
            <w:hideMark/>
          </w:tcPr>
          <w:p w14:paraId="28E5BF04" w14:textId="77777777" w:rsidR="006952C9" w:rsidRDefault="006952C9">
            <w:pPr>
              <w:pStyle w:val="Bezodstpw"/>
            </w:pPr>
            <w:r>
              <w:t xml:space="preserve"> 150 </w:t>
            </w:r>
          </w:p>
          <w:p w14:paraId="10DDC8CF" w14:textId="77777777" w:rsidR="006952C9" w:rsidRDefault="006952C9">
            <w:pPr>
              <w:pStyle w:val="Bezodstpw"/>
            </w:pPr>
            <w:r>
              <w:t xml:space="preserve">175 </w:t>
            </w:r>
          </w:p>
          <w:p w14:paraId="276D6433" w14:textId="77777777" w:rsidR="006952C9" w:rsidRDefault="006952C9">
            <w:pPr>
              <w:pStyle w:val="Bezodstpw"/>
            </w:pPr>
            <w:r>
              <w:t xml:space="preserve">185 </w:t>
            </w:r>
          </w:p>
          <w:p w14:paraId="2AA9B871" w14:textId="77777777" w:rsidR="006952C9" w:rsidRDefault="006952C9">
            <w:pPr>
              <w:pStyle w:val="Bezodstpw"/>
            </w:pPr>
            <w:r>
              <w:t xml:space="preserve">195 </w:t>
            </w:r>
          </w:p>
        </w:tc>
      </w:tr>
    </w:tbl>
    <w:p w14:paraId="74710082" w14:textId="77777777" w:rsidR="006952C9" w:rsidRDefault="006952C9" w:rsidP="006952C9">
      <w:pPr>
        <w:spacing w:after="23" w:line="256" w:lineRule="auto"/>
        <w:rPr>
          <w:rFonts w:ascii="Arial Narrow" w:hAnsi="Arial Narrow"/>
          <w:sz w:val="20"/>
          <w:szCs w:val="20"/>
        </w:rPr>
      </w:pPr>
      <w:r>
        <w:t xml:space="preserve">  </w:t>
      </w:r>
    </w:p>
    <w:p w14:paraId="2E2D6148" w14:textId="77777777" w:rsidR="006952C9" w:rsidRDefault="006952C9" w:rsidP="006952C9">
      <w:r>
        <w:t xml:space="preserve">Kręgi powinny być wykonane z betonu klasy nie niższej niż  C30/37. Kręgi przeznaczone na studnię, do której wprowadza się wodę powierzchniową z rowu powinny być „typu I” wg BN-86/8971-08 [7], bez gniazd na stopnie złazowe (studnie chłonne przeznaczone do odbioru wody ze studzienek ściekowych powinny być „typu II” z gniazdami na stopnie złazowe). </w:t>
      </w:r>
    </w:p>
    <w:p w14:paraId="1DF9C9EB" w14:textId="77777777" w:rsidR="006952C9" w:rsidRDefault="006952C9" w:rsidP="006952C9">
      <w:r>
        <w:t xml:space="preserve">Powierzchnie kręgów powinny być gładkie, jednolite, bez rys, pęknięć, ubytków i rozwarstwień. Wtrącenie ciał obcych widoczne na powierzchni wyrobu, np. drewno, odłamki cegły itp. naleŻy traktować jako ubytki betonu o rozmiarach tych wtrąceń. Naddatki betonu na powierzchniach roboczych elementu złącza są niedopuszczalne. </w:t>
      </w:r>
    </w:p>
    <w:p w14:paraId="12C41025" w14:textId="77777777" w:rsidR="006952C9" w:rsidRDefault="006952C9" w:rsidP="006952C9">
      <w:r>
        <w:t xml:space="preserve">Prostopadłość czoła mierzona różnicą wysokości kręgu powinna wynosić </w:t>
      </w:r>
      <w:r>
        <w:rPr>
          <w:rFonts w:eastAsia="Segoe UI Symbol" w:cs="Segoe UI Symbol"/>
        </w:rPr>
        <w:t>±</w:t>
      </w:r>
      <w:r>
        <w:t xml:space="preserve"> 5 mm. </w:t>
      </w:r>
    </w:p>
    <w:p w14:paraId="06AC11C5" w14:textId="77777777" w:rsidR="006952C9" w:rsidRDefault="006952C9" w:rsidP="006952C9">
      <w:r>
        <w:t xml:space="preserve">Kręg badany pod ciśnieniem 0,5 MPa nie powinien wykazywać przecieków wody. </w:t>
      </w:r>
    </w:p>
    <w:p w14:paraId="12325A22" w14:textId="77777777" w:rsidR="006952C9" w:rsidRDefault="006952C9" w:rsidP="006952C9">
      <w:r>
        <w:t xml:space="preserve">Dopuszcza się zawilgocenie zewnętrznej powierzchni kręgu, jednak bez występowania widocznych kropel. </w:t>
      </w:r>
    </w:p>
    <w:p w14:paraId="30B87A3B" w14:textId="77777777" w:rsidR="006952C9" w:rsidRDefault="006952C9" w:rsidP="006952C9">
      <w:r>
        <w:t xml:space="preserve">Składowanie kręgów powinno odbywać się na terenie utwardzonym z możliwością odprowadzenia wód opadowych. Składowanie na wyrównanym gruncie nieutwardzonym jest możliwe, jeśli naciski przekazywane na grunt nie przekroczą 0,5 MPa. Kręgi mogą być składowane, z zapewnieniem stateczności, w pozycji wbudowania (wielowarstwowo do wysokości 1,8 m) bez podkładów lub prostopadle do pozycji wbudowania (jednowarstwowo) z zabezpieczeniem przed przesunięciem. </w:t>
      </w:r>
    </w:p>
    <w:p w14:paraId="303605E5" w14:textId="77777777" w:rsidR="006952C9" w:rsidRDefault="006952C9" w:rsidP="006952C9">
      <w:pPr>
        <w:pStyle w:val="Nagwek1"/>
      </w:pPr>
      <w:r>
        <w:rPr>
          <w:b w:val="0"/>
        </w:rPr>
        <w:t xml:space="preserve">3. SPRZĘT </w:t>
      </w:r>
    </w:p>
    <w:p w14:paraId="238D0194" w14:textId="77777777" w:rsidR="006952C9" w:rsidRDefault="006952C9" w:rsidP="006952C9">
      <w:pPr>
        <w:pStyle w:val="Nagwek3"/>
        <w:ind w:left="-5"/>
        <w:rPr>
          <w:b w:val="0"/>
        </w:rPr>
      </w:pPr>
      <w:r>
        <w:rPr>
          <w:b w:val="0"/>
        </w:rPr>
        <w:t xml:space="preserve">3.1. Ogólne wymagania dotyczące sprzętu </w:t>
      </w:r>
    </w:p>
    <w:p w14:paraId="73824701" w14:textId="77777777" w:rsidR="006952C9" w:rsidRDefault="006952C9" w:rsidP="006952C9">
      <w:r>
        <w:t xml:space="preserve">Ogólne wymagania dotyczące sprzętu podano w STWIORB D-M-00.00.00 „Wymagania ogólne” pkt 3. </w:t>
      </w:r>
    </w:p>
    <w:p w14:paraId="67EAF310" w14:textId="77777777" w:rsidR="006952C9" w:rsidRDefault="006952C9" w:rsidP="006952C9">
      <w:pPr>
        <w:pStyle w:val="Nagwek3"/>
        <w:ind w:left="-5"/>
      </w:pPr>
      <w:r>
        <w:rPr>
          <w:b w:val="0"/>
        </w:rPr>
        <w:lastRenderedPageBreak/>
        <w:t xml:space="preserve">3.2. Sprzęt do wykonania studni chłonnej </w:t>
      </w:r>
    </w:p>
    <w:p w14:paraId="3B7B96D6" w14:textId="77777777" w:rsidR="006952C9" w:rsidRDefault="006952C9" w:rsidP="006952C9">
      <w:r>
        <w:t xml:space="preserve">Studnie chłonne mogą być wykonane częściowo ręcznie i częściowo mechanicznie. Wykonawca powinien dysponować następującym, sprawnym technicznie, sprzętem dowolnego typu, pod warunkiem zaakceptowania go przez InŻyniera: </w:t>
      </w:r>
    </w:p>
    <w:p w14:paraId="0F566A69" w14:textId="77777777" w:rsidR="006952C9" w:rsidRDefault="006952C9" w:rsidP="006952C9">
      <w:pPr>
        <w:pStyle w:val="Nagwek8"/>
      </w:pPr>
      <w:r>
        <w:t xml:space="preserve">koparką do mechanicznego wykonania wykopu pod studnię, </w:t>
      </w:r>
    </w:p>
    <w:p w14:paraId="013CE962" w14:textId="77777777" w:rsidR="006952C9" w:rsidRDefault="006952C9" w:rsidP="006952C9">
      <w:pPr>
        <w:pStyle w:val="Nagwek8"/>
      </w:pPr>
      <w:r>
        <w:t xml:space="preserve">Żurawiem samochodowym o udźwigu do 4 t, do ustawiania kręgów studni  w gotowym wykopie, </w:t>
      </w:r>
    </w:p>
    <w:p w14:paraId="18D200AA" w14:textId="77777777" w:rsidR="006952C9" w:rsidRDefault="006952C9" w:rsidP="006952C9">
      <w:pPr>
        <w:pStyle w:val="Nagwek8"/>
      </w:pPr>
      <w:r>
        <w:t xml:space="preserve">innym, jak: ubijakami ręcznymi, sprzętem do transportu kręgów  i materiałów filtracyjnych, itp. </w:t>
      </w:r>
    </w:p>
    <w:p w14:paraId="4B7025BE" w14:textId="77777777" w:rsidR="006952C9" w:rsidRDefault="006952C9" w:rsidP="006952C9">
      <w:pPr>
        <w:pStyle w:val="Nagwek1"/>
      </w:pPr>
      <w:r>
        <w:rPr>
          <w:b w:val="0"/>
        </w:rPr>
        <w:t xml:space="preserve">4. TRANSPORT </w:t>
      </w:r>
    </w:p>
    <w:p w14:paraId="2864C0E8" w14:textId="77777777" w:rsidR="006952C9" w:rsidRDefault="006952C9" w:rsidP="006952C9">
      <w:pPr>
        <w:pStyle w:val="Nagwek3"/>
        <w:ind w:left="-5"/>
        <w:rPr>
          <w:b w:val="0"/>
        </w:rPr>
      </w:pPr>
      <w:r>
        <w:rPr>
          <w:b w:val="0"/>
        </w:rPr>
        <w:t xml:space="preserve">4.1. Ogólne wymagania dotyczące transportu </w:t>
      </w:r>
    </w:p>
    <w:p w14:paraId="3C493C07" w14:textId="77777777" w:rsidR="006952C9" w:rsidRDefault="006952C9" w:rsidP="006952C9">
      <w:r>
        <w:t xml:space="preserve"> Ogólne wymagania dotyczące transportu podano w STWIORB D-M-00.00.00 „Wymagania ogólne” pkt 4. </w:t>
      </w:r>
    </w:p>
    <w:p w14:paraId="6090B7C6" w14:textId="77777777" w:rsidR="006952C9" w:rsidRDefault="006952C9" w:rsidP="006952C9">
      <w:pPr>
        <w:pStyle w:val="Nagwek3"/>
        <w:ind w:left="-5"/>
      </w:pPr>
      <w:r>
        <w:rPr>
          <w:b w:val="0"/>
        </w:rPr>
        <w:t xml:space="preserve">4.2. Transport przy wykonywaniu studni chłonnej </w:t>
      </w:r>
    </w:p>
    <w:p w14:paraId="2AE721F7" w14:textId="77777777" w:rsidR="006952C9" w:rsidRDefault="006952C9" w:rsidP="006952C9">
      <w:r>
        <w:t xml:space="preserve">Kręgi żelbetowe w czasie transportu powinny być układane, przy zachowaniu warunków układania jak przy składowaniu (punkt 2.4) z tym, Że górna warstwa kręgów nie może przewyższać ścian środka transportowego o więcej niż 1/3 średnicy zewnętrznej kręgu lub 1/3 jego wysokości.   </w:t>
      </w:r>
    </w:p>
    <w:p w14:paraId="000EBDF3" w14:textId="77777777" w:rsidR="006952C9" w:rsidRDefault="006952C9" w:rsidP="006952C9">
      <w:pPr>
        <w:pStyle w:val="Nagwek1"/>
      </w:pPr>
      <w:r>
        <w:rPr>
          <w:b w:val="0"/>
        </w:rPr>
        <w:t xml:space="preserve">5. WYKONANIE ROBÓT </w:t>
      </w:r>
    </w:p>
    <w:p w14:paraId="5099D61D" w14:textId="77777777" w:rsidR="006952C9" w:rsidRDefault="006952C9" w:rsidP="006952C9">
      <w:pPr>
        <w:pStyle w:val="Nagwek2"/>
        <w:rPr>
          <w:b w:val="0"/>
        </w:rPr>
      </w:pPr>
      <w:r>
        <w:rPr>
          <w:b w:val="0"/>
        </w:rPr>
        <w:t xml:space="preserve">5.1. Ogólne zasady wykonania robót </w:t>
      </w:r>
    </w:p>
    <w:p w14:paraId="38B7F147" w14:textId="77777777" w:rsidR="006952C9" w:rsidRDefault="006952C9" w:rsidP="006952C9">
      <w:r>
        <w:t xml:space="preserve">Ogólne zasady wykonania robót podano w STWIORB D-M-00.00.00 „Wymagania ogólne” pkt 5. </w:t>
      </w:r>
    </w:p>
    <w:p w14:paraId="03AFF0A3" w14:textId="77777777" w:rsidR="006952C9" w:rsidRDefault="006952C9" w:rsidP="006952C9">
      <w:pPr>
        <w:pStyle w:val="Nagwek3"/>
        <w:ind w:left="-5"/>
      </w:pPr>
      <w:r>
        <w:rPr>
          <w:b w:val="0"/>
        </w:rPr>
        <w:t xml:space="preserve">5.2. Zasady wykonania studni chłonnej </w:t>
      </w:r>
    </w:p>
    <w:p w14:paraId="0FAF4767" w14:textId="77777777" w:rsidR="006952C9" w:rsidRDefault="006952C9" w:rsidP="006952C9">
      <w:r>
        <w:t xml:space="preserve">Jeśli w dokumentacji projektowej nie określono inaczej, wykop pod studnię chłonną powinien być wykonany w sposób dostosowany do głębokości, danych geotechnicznych i posiadanego sprzętu. Zaleca się wykonanie wykopu ręcznie do głębokości nie większej niż 2 m. </w:t>
      </w:r>
    </w:p>
    <w:p w14:paraId="5252F802" w14:textId="77777777" w:rsidR="006952C9" w:rsidRDefault="006952C9" w:rsidP="006952C9">
      <w:r>
        <w:t xml:space="preserve">Studnia powinna być zagłębiona co najmniej 0,5 m w warstwie gruntu przepuszczalnego. Wykonanie wykopu poniżej poziomu wód gruntowych bez odwodnienia wgłębnego jest dopuszczalne tylko do głębokości 1 m poniżej poziomu piezometrycznego wód gruntowych. Nadmiar gruntu z wykopu należy odwieźć na miejsce odkładu lub rozplantować przy studni oraz przy rowach dopływowych. </w:t>
      </w:r>
    </w:p>
    <w:p w14:paraId="54014A67" w14:textId="77777777" w:rsidR="006952C9" w:rsidRDefault="006952C9" w:rsidP="006952C9">
      <w:pPr>
        <w:ind w:left="-5"/>
      </w:pPr>
      <w:r>
        <w:t xml:space="preserve">Wydobyty grunt powinien być składowany przy studni, z pozostawieniem wolnego pasa terenu o szerokości co najmniej 1 m, licząc od krawędzi wykopu - dla komunikacji; kąt nachylenia skarpy wydobytego gruntu nie powinien być większy od kąta jego stoku naturalnego. </w:t>
      </w:r>
    </w:p>
    <w:p w14:paraId="50903DEA" w14:textId="77777777" w:rsidR="006952C9" w:rsidRDefault="006952C9" w:rsidP="006952C9">
      <w:pPr>
        <w:ind w:left="-5"/>
      </w:pPr>
      <w:r>
        <w:t xml:space="preserve">W celu zabezpieczenia wykopu przed zalaniem wodą z opadów atmosferycznych, należy powierzchnię terenu wyprofilować ze spadkiem umożliwiającym łatwy odpływ wody poza teren przylegający do wykopu. </w:t>
      </w:r>
    </w:p>
    <w:p w14:paraId="48A41472" w14:textId="77777777" w:rsidR="006952C9" w:rsidRDefault="006952C9" w:rsidP="006952C9">
      <w:r>
        <w:t xml:space="preserve">Studnię należy zabezpieczyć przed dopływem wód z otaczającego terenu przez nadanie odpowiednich spadków lub obwałowanie studni. </w:t>
      </w:r>
    </w:p>
    <w:p w14:paraId="59B13C78" w14:textId="77777777" w:rsidR="006952C9" w:rsidRDefault="006952C9" w:rsidP="006952C9">
      <w:pPr>
        <w:pStyle w:val="Nagwek2"/>
      </w:pPr>
      <w:r>
        <w:rPr>
          <w:b w:val="0"/>
        </w:rPr>
        <w:t xml:space="preserve">5.3. Wykonanie studni chłonnej z kręgów </w:t>
      </w:r>
    </w:p>
    <w:p w14:paraId="7F69A660" w14:textId="77777777" w:rsidR="006952C9" w:rsidRDefault="006952C9" w:rsidP="006952C9">
      <w:r>
        <w:t xml:space="preserve">Studnie chłonne z kręgów żelbetowych  należy, jeśli dokumentacja projektowa nie określi tego inaczej, zagłębić w gruncie  poprzez wykonanie wykopu i opuszczenie do niego kręgów. Metoda polegająca na wykonaniu wykopu i opuszczeniu do niego kręgów zakłada wykonanie wykopu w takim czasie, aby po jego zakończeniu szybko można było przystąpić do ustawiania kręgów. </w:t>
      </w:r>
    </w:p>
    <w:p w14:paraId="1320A877" w14:textId="77777777" w:rsidR="006952C9" w:rsidRDefault="006952C9" w:rsidP="006952C9">
      <w:pPr>
        <w:ind w:left="-5"/>
      </w:pPr>
      <w:r>
        <w:t xml:space="preserve">Jeśli w dokumentacji projektowej nie określono inaczej, wykop powinien być wykonany zgodnie z zaleceniami punktu 5.2 z tym, Że bezpieczne nachylenia skarp powinny wynosić: </w:t>
      </w:r>
    </w:p>
    <w:p w14:paraId="66EB8CCF" w14:textId="77777777" w:rsidR="006952C9" w:rsidRDefault="006952C9" w:rsidP="006952C9">
      <w:pPr>
        <w:pStyle w:val="Nagwek8"/>
      </w:pPr>
      <w:r>
        <w:t xml:space="preserve">w gruntach spoistych (glinach, iłach) niespękanych  -         2:1, </w:t>
      </w:r>
    </w:p>
    <w:p w14:paraId="7585C826" w14:textId="77777777" w:rsidR="006952C9" w:rsidRDefault="006952C9" w:rsidP="006952C9">
      <w:pPr>
        <w:pStyle w:val="Nagwek8"/>
      </w:pPr>
      <w:r>
        <w:t xml:space="preserve">w gruntach małospoistych i słabych gruntach spoistych -    1:1,25. </w:t>
      </w:r>
    </w:p>
    <w:p w14:paraId="285C49AD" w14:textId="77777777" w:rsidR="006952C9" w:rsidRDefault="006952C9" w:rsidP="006952C9">
      <w:r>
        <w:t xml:space="preserve">Ustawienie kręgów w wykopie wykonuje się za pomocą Żurawia o udźwigu do 4 t lub innym sposobem uzgodnionym przez Inżyniera. Należy zwracać uwagę na dokładne ustawienie poszczególnych kręgów ze złączami prawidłowo dopasowanymi.  </w:t>
      </w:r>
    </w:p>
    <w:p w14:paraId="77832CAA" w14:textId="77777777" w:rsidR="006952C9" w:rsidRDefault="006952C9" w:rsidP="006952C9">
      <w:pPr>
        <w:ind w:left="-5"/>
      </w:pPr>
      <w:r>
        <w:lastRenderedPageBreak/>
        <w:t xml:space="preserve">Zasypanie wykopu wokół studni należy przeprowadzić możliwie jak najszybciej. Do zasypania powinien być użyty grunt z wykopu, bez zanieczyszczeń (np. torfu, darniny, korzeni, odpadków). Zasypywanie należy wykonać warstwami grubości od 15 do 20 cm i zagęszczać ubijakami ręcznymi. Wskaźnik zagęszczania gruntu mierzony  wg BN-77/8931-12 [6] powinien być określony w SST.  Nasypywanie warstwy gruntu i ich zagęszczanie w pobliżu studni należy wykonywać w taki sposób, aby nie spowodować uszkodzenia kręgów. </w:t>
      </w:r>
    </w:p>
    <w:p w14:paraId="7E556626" w14:textId="77777777" w:rsidR="006952C9" w:rsidRDefault="006952C9" w:rsidP="006952C9">
      <w:pPr>
        <w:pStyle w:val="Nagwek1"/>
      </w:pPr>
      <w:r>
        <w:rPr>
          <w:b w:val="0"/>
        </w:rPr>
        <w:t xml:space="preserve">6. KONTROLA JAKOŚCI ROBÓT </w:t>
      </w:r>
    </w:p>
    <w:p w14:paraId="2D3CAB54" w14:textId="77777777" w:rsidR="006952C9" w:rsidRDefault="006952C9" w:rsidP="006952C9">
      <w:pPr>
        <w:pStyle w:val="Nagwek2"/>
        <w:rPr>
          <w:b w:val="0"/>
        </w:rPr>
      </w:pPr>
      <w:r>
        <w:rPr>
          <w:b w:val="0"/>
        </w:rPr>
        <w:t xml:space="preserve">6.1. Ogólne zasady kontroli jakości robót </w:t>
      </w:r>
    </w:p>
    <w:p w14:paraId="0B85822C" w14:textId="77777777" w:rsidR="006952C9" w:rsidRDefault="006952C9" w:rsidP="006952C9">
      <w:r>
        <w:t xml:space="preserve">Ogólne zasady kontroli jakości robót podano w STWIORB D-M-00.00.00 „Wymagania ogólne” pkt 6. </w:t>
      </w:r>
    </w:p>
    <w:p w14:paraId="1BDF7E7F" w14:textId="77777777" w:rsidR="006952C9" w:rsidRDefault="006952C9" w:rsidP="006952C9">
      <w:pPr>
        <w:pStyle w:val="Nagwek2"/>
      </w:pPr>
      <w:r>
        <w:rPr>
          <w:b w:val="0"/>
        </w:rPr>
        <w:t xml:space="preserve">6.2. Kontrola wstępna przed wykonaniem studni chłonnej </w:t>
      </w:r>
    </w:p>
    <w:p w14:paraId="68047D90" w14:textId="77777777" w:rsidR="006952C9" w:rsidRDefault="006952C9" w:rsidP="006952C9">
      <w:r>
        <w:t xml:space="preserve">Kręgi żelbetowe powinny posiadać świadectwo jakości, wydane przez producenta, według zasad ustalonych w BN-86/8971-08 [7]. </w:t>
      </w:r>
    </w:p>
    <w:p w14:paraId="0F51FCB2" w14:textId="77777777" w:rsidR="006952C9" w:rsidRDefault="006952C9" w:rsidP="006952C9">
      <w:r>
        <w:t xml:space="preserve">Materiał filtracyjny (tłuczeń, żwir i piasek) powinien być zbadany w zakresie: </w:t>
      </w:r>
    </w:p>
    <w:p w14:paraId="5757E40C" w14:textId="77777777" w:rsidR="006952C9" w:rsidRDefault="006952C9" w:rsidP="006952C9">
      <w:pPr>
        <w:pStyle w:val="Nagwek8"/>
      </w:pPr>
      <w:r>
        <w:t xml:space="preserve">składu ziarnowego, wg PN-B-06714-15 [4], </w:t>
      </w:r>
    </w:p>
    <w:p w14:paraId="61D480B7" w14:textId="77777777" w:rsidR="006952C9" w:rsidRDefault="006952C9" w:rsidP="006952C9">
      <w:pPr>
        <w:pStyle w:val="Nagwek8"/>
      </w:pPr>
      <w:r>
        <w:t xml:space="preserve">zawartości związków siarki, wg PN-B-06714-28 [5], </w:t>
      </w:r>
    </w:p>
    <w:p w14:paraId="305ADCF3" w14:textId="77777777" w:rsidR="006952C9" w:rsidRDefault="006952C9" w:rsidP="006952C9">
      <w:pPr>
        <w:pStyle w:val="Nagwek8"/>
      </w:pPr>
      <w:r>
        <w:t xml:space="preserve">wskaźnika wodoprzepuszczalności piasków, wg PN-B-04492 [3]. </w:t>
      </w:r>
    </w:p>
    <w:p w14:paraId="28DB2268" w14:textId="77777777" w:rsidR="006952C9" w:rsidRDefault="006952C9" w:rsidP="006952C9">
      <w:pPr>
        <w:spacing w:line="256" w:lineRule="auto"/>
      </w:pPr>
      <w:r>
        <w:t xml:space="preserve"> </w:t>
      </w:r>
    </w:p>
    <w:p w14:paraId="79C3B83C" w14:textId="77777777" w:rsidR="006952C9" w:rsidRDefault="006952C9" w:rsidP="006952C9">
      <w:pPr>
        <w:pStyle w:val="Nagwek2"/>
      </w:pPr>
      <w:r>
        <w:rPr>
          <w:b w:val="0"/>
        </w:rPr>
        <w:t xml:space="preserve">6.3. Kontrola w czasie wykonywania studni chłonnej </w:t>
      </w:r>
    </w:p>
    <w:p w14:paraId="647FC86F" w14:textId="77777777" w:rsidR="006952C9" w:rsidRDefault="006952C9" w:rsidP="006952C9">
      <w:r>
        <w:t xml:space="preserve">W czasie wykonywania studni chłonnej należy zbadać: </w:t>
      </w:r>
    </w:p>
    <w:p w14:paraId="1539473C" w14:textId="77777777" w:rsidR="006952C9" w:rsidRDefault="006952C9" w:rsidP="006952C9">
      <w:pPr>
        <w:pStyle w:val="Nagwek8"/>
      </w:pPr>
      <w:r>
        <w:rPr>
          <w:lang w:val="pl-PL"/>
        </w:rPr>
        <w:t>z</w:t>
      </w:r>
      <w:r>
        <w:t xml:space="preserve">godność wykonania studni z dokumentacją projektową, </w:t>
      </w:r>
    </w:p>
    <w:p w14:paraId="516E7468" w14:textId="77777777" w:rsidR="006952C9" w:rsidRDefault="006952C9" w:rsidP="006952C9">
      <w:pPr>
        <w:pStyle w:val="Nagwek8"/>
      </w:pPr>
      <w:r>
        <w:t xml:space="preserve">poprawność zasypki wykopu wokół studni z kręgów, zgodnie z p. 5.4, </w:t>
      </w:r>
    </w:p>
    <w:p w14:paraId="157488AF" w14:textId="77777777" w:rsidR="006952C9" w:rsidRDefault="006952C9" w:rsidP="006952C9">
      <w:pPr>
        <w:pStyle w:val="Nagwek8"/>
      </w:pPr>
      <w:r>
        <w:t xml:space="preserve">chłonność warstwy przepuszczalnej w dnie studni (wizualnie), </w:t>
      </w:r>
    </w:p>
    <w:p w14:paraId="32AC5F51" w14:textId="77777777" w:rsidR="006952C9" w:rsidRDefault="006952C9" w:rsidP="006952C9">
      <w:pPr>
        <w:pStyle w:val="Nagwek8"/>
      </w:pPr>
      <w:r>
        <w:t xml:space="preserve">zabezpieczenie studni przed dopływem wód z otaczającego terenu, według  zasady podanej w p. 5.2. </w:t>
      </w:r>
    </w:p>
    <w:p w14:paraId="19D173AE" w14:textId="77777777" w:rsidR="006952C9" w:rsidRDefault="006952C9" w:rsidP="006952C9">
      <w:pPr>
        <w:pStyle w:val="Nagwek1"/>
      </w:pPr>
      <w:r>
        <w:rPr>
          <w:b w:val="0"/>
        </w:rPr>
        <w:t xml:space="preserve">7. OBMIAR ROBÓT </w:t>
      </w:r>
    </w:p>
    <w:p w14:paraId="134F981B" w14:textId="77777777" w:rsidR="006952C9" w:rsidRDefault="006952C9" w:rsidP="006952C9">
      <w:pPr>
        <w:pStyle w:val="Nagwek2"/>
        <w:rPr>
          <w:b w:val="0"/>
        </w:rPr>
      </w:pPr>
      <w:r>
        <w:rPr>
          <w:b w:val="0"/>
        </w:rPr>
        <w:t xml:space="preserve">7.1. Ogólne zasady obmiaru robót </w:t>
      </w:r>
    </w:p>
    <w:p w14:paraId="6F8AF8A1" w14:textId="77777777" w:rsidR="006952C9" w:rsidRDefault="006952C9" w:rsidP="006952C9">
      <w:r>
        <w:t xml:space="preserve">Ogólne zasady obmiaru robót podano w STWIORB D-M-00.00.00 „Wymagania ogólne” pkt 7. </w:t>
      </w:r>
    </w:p>
    <w:p w14:paraId="41713ADD" w14:textId="77777777" w:rsidR="006952C9" w:rsidRDefault="006952C9" w:rsidP="006952C9">
      <w:pPr>
        <w:pStyle w:val="Nagwek2"/>
      </w:pPr>
      <w:r>
        <w:rPr>
          <w:b w:val="0"/>
        </w:rPr>
        <w:t xml:space="preserve">7.2. Jednostka obmiarowa </w:t>
      </w:r>
    </w:p>
    <w:p w14:paraId="2FEC0C39" w14:textId="77777777" w:rsidR="006952C9" w:rsidRDefault="006952C9" w:rsidP="006952C9">
      <w:r>
        <w:t xml:space="preserve">Jednostką obmiarową studni chłonnej jest – 1 szt. (sztuka) określonego wymiaru. </w:t>
      </w:r>
    </w:p>
    <w:p w14:paraId="0D9DBBAE" w14:textId="77777777" w:rsidR="006952C9" w:rsidRDefault="006952C9" w:rsidP="006952C9">
      <w:pPr>
        <w:pStyle w:val="Nagwek1"/>
      </w:pPr>
      <w:r>
        <w:rPr>
          <w:b w:val="0"/>
        </w:rPr>
        <w:t xml:space="preserve">8. ODBIÓR ROBÓT </w:t>
      </w:r>
    </w:p>
    <w:p w14:paraId="7735B4EF" w14:textId="77777777" w:rsidR="006952C9" w:rsidRDefault="006952C9" w:rsidP="006952C9">
      <w:pPr>
        <w:pStyle w:val="Nagwek2"/>
        <w:rPr>
          <w:b w:val="0"/>
        </w:rPr>
      </w:pPr>
      <w:r>
        <w:rPr>
          <w:b w:val="0"/>
        </w:rPr>
        <w:t xml:space="preserve">8.1. Ogólne zasady odbioru robót </w:t>
      </w:r>
    </w:p>
    <w:p w14:paraId="626B33E7" w14:textId="77777777" w:rsidR="006952C9" w:rsidRDefault="006952C9" w:rsidP="006952C9">
      <w:r>
        <w:t xml:space="preserve">Ogólne zasady odbioru robót podano w STWIORB D-M-00.00.00 „Wymagania ogólne” pkt 8. Roboty uznaje się za wykonane zgodnie z dokumentacją projektową, SST i wymaganiami Inżyniera, jeżeli wszystkie pomiary i badania z zachowaniem tolerancji wg pkt 6 dały wyniki pozytywne. </w:t>
      </w:r>
    </w:p>
    <w:p w14:paraId="45B30128" w14:textId="77777777" w:rsidR="006952C9" w:rsidRDefault="006952C9" w:rsidP="006952C9">
      <w:pPr>
        <w:pStyle w:val="Nagwek2"/>
      </w:pPr>
      <w:r>
        <w:rPr>
          <w:b w:val="0"/>
        </w:rPr>
        <w:t xml:space="preserve">8.2. Odbiór robót zanikających i ulegających zakryciu </w:t>
      </w:r>
    </w:p>
    <w:p w14:paraId="7F402602" w14:textId="77777777" w:rsidR="006952C9" w:rsidRDefault="006952C9" w:rsidP="006952C9">
      <w:r>
        <w:t xml:space="preserve">Odbiorowi robót zanikających i ulegających zakryciu dla studni chłonnej podlegają: </w:t>
      </w:r>
    </w:p>
    <w:p w14:paraId="5AFF09B2" w14:textId="77777777" w:rsidR="006952C9" w:rsidRDefault="006952C9" w:rsidP="006952C9">
      <w:pPr>
        <w:pStyle w:val="Nagwek8"/>
      </w:pPr>
      <w:r>
        <w:t xml:space="preserve">wykonany wykop (dotyczy sprawdzenia, czy dno wykopu jest zagłębione co najmniej 0,5 m w warstwie gruntu przepuszczalnego), </w:t>
      </w:r>
    </w:p>
    <w:p w14:paraId="0523CBF5" w14:textId="77777777" w:rsidR="006952C9" w:rsidRDefault="006952C9" w:rsidP="006952C9">
      <w:pPr>
        <w:pStyle w:val="Nagwek8"/>
      </w:pPr>
      <w:r>
        <w:t xml:space="preserve">ustawione kręgi, </w:t>
      </w:r>
    </w:p>
    <w:p w14:paraId="495424C2" w14:textId="77777777" w:rsidR="006952C9" w:rsidRDefault="006952C9" w:rsidP="006952C9">
      <w:pPr>
        <w:pStyle w:val="Nagwek8"/>
      </w:pPr>
      <w:r>
        <w:t xml:space="preserve">zasypana studnia  kolejnymi warstwami materiału filtracyjnego. </w:t>
      </w:r>
    </w:p>
    <w:p w14:paraId="3C130D81" w14:textId="77777777" w:rsidR="006952C9" w:rsidRDefault="006952C9" w:rsidP="006952C9">
      <w:pPr>
        <w:pStyle w:val="Nagwek1"/>
      </w:pPr>
      <w:r>
        <w:rPr>
          <w:b w:val="0"/>
        </w:rPr>
        <w:t xml:space="preserve">9. PODSTAWA PŁATNOŚCI </w:t>
      </w:r>
    </w:p>
    <w:p w14:paraId="41F9DE56" w14:textId="77777777" w:rsidR="006952C9" w:rsidRDefault="006952C9" w:rsidP="006952C9">
      <w:pPr>
        <w:pStyle w:val="Nagwek2"/>
        <w:rPr>
          <w:b w:val="0"/>
        </w:rPr>
      </w:pPr>
      <w:r>
        <w:rPr>
          <w:b w:val="0"/>
        </w:rPr>
        <w:t xml:space="preserve">9.1. Ogólne ustalenia dotyczące podstawy płatności </w:t>
      </w:r>
    </w:p>
    <w:p w14:paraId="29D3663B" w14:textId="77777777" w:rsidR="006952C9" w:rsidRDefault="006952C9" w:rsidP="006952C9">
      <w:r>
        <w:t xml:space="preserve"> Ogólne ustalenia dotyczące podstawy płatności podano w STWIORB D-M-00.00.00 „Wymagania ogólne” pkt 9.  </w:t>
      </w:r>
    </w:p>
    <w:p w14:paraId="2E05A8DF" w14:textId="77777777" w:rsidR="006952C9" w:rsidRDefault="006952C9" w:rsidP="006952C9">
      <w:pPr>
        <w:pStyle w:val="Nagwek2"/>
      </w:pPr>
      <w:r>
        <w:rPr>
          <w:b w:val="0"/>
        </w:rPr>
        <w:t xml:space="preserve">9.2. Cena jednostki obmiarowej  </w:t>
      </w:r>
    </w:p>
    <w:p w14:paraId="2A2C38C6" w14:textId="77777777" w:rsidR="006952C9" w:rsidRDefault="006952C9" w:rsidP="006952C9">
      <w:r>
        <w:t xml:space="preserve">Cena wykonania 1 szt. studni chłonnej obejmuje: </w:t>
      </w:r>
    </w:p>
    <w:p w14:paraId="7D8ABB86" w14:textId="77777777" w:rsidR="006952C9" w:rsidRDefault="006952C9" w:rsidP="006952C9">
      <w:pPr>
        <w:pStyle w:val="Nagwek8"/>
      </w:pPr>
      <w:r>
        <w:lastRenderedPageBreak/>
        <w:t xml:space="preserve">wyznaczenie studni, </w:t>
      </w:r>
    </w:p>
    <w:p w14:paraId="4E48FB57" w14:textId="77777777" w:rsidR="006952C9" w:rsidRDefault="006952C9" w:rsidP="006952C9">
      <w:pPr>
        <w:pStyle w:val="Nagwek8"/>
      </w:pPr>
      <w:r>
        <w:t xml:space="preserve">dostarczenie materiałów, </w:t>
      </w:r>
    </w:p>
    <w:p w14:paraId="60DF1597" w14:textId="77777777" w:rsidR="006952C9" w:rsidRDefault="006952C9" w:rsidP="006952C9">
      <w:pPr>
        <w:pStyle w:val="Nagwek8"/>
      </w:pPr>
      <w:r>
        <w:t xml:space="preserve">wypełnienie studni warstwami materiałem filtracyjnym z kruszywa, zgodnie z dokumentacją projektową i specyfikacją techniczną, </w:t>
      </w:r>
    </w:p>
    <w:p w14:paraId="694C2BA7" w14:textId="77777777" w:rsidR="006952C9" w:rsidRDefault="006952C9" w:rsidP="006952C9">
      <w:pPr>
        <w:pStyle w:val="Nagwek8"/>
      </w:pPr>
      <w:r>
        <w:t xml:space="preserve">rozplantowanie gruntu z wykopu wzdłuŻ krawędzi studni lub rowu albo odwiezienie gruntu na odkład wraz z rozplantowaniem, </w:t>
      </w:r>
    </w:p>
    <w:p w14:paraId="2A3391CB" w14:textId="77777777" w:rsidR="006952C9" w:rsidRDefault="006952C9" w:rsidP="006952C9">
      <w:pPr>
        <w:pStyle w:val="Nagwek8"/>
      </w:pPr>
      <w:r>
        <w:t xml:space="preserve">wykonanie pomiarów i badań laboratoryjnych wymaganych w specyfikacji technicznej. </w:t>
      </w:r>
    </w:p>
    <w:p w14:paraId="176CD058" w14:textId="77777777" w:rsidR="006952C9" w:rsidRDefault="006952C9" w:rsidP="006952C9">
      <w:pPr>
        <w:pStyle w:val="Nagwek2"/>
        <w:ind w:left="-5"/>
      </w:pPr>
      <w:r>
        <w:rPr>
          <w:b w:val="0"/>
        </w:rPr>
        <w:t xml:space="preserve">10. PRZEPISY ZWIĄZANE </w:t>
      </w:r>
    </w:p>
    <w:tbl>
      <w:tblPr>
        <w:tblW w:w="7272" w:type="dxa"/>
        <w:tblInd w:w="1289" w:type="dxa"/>
        <w:tblCellMar>
          <w:left w:w="0" w:type="dxa"/>
          <w:right w:w="0" w:type="dxa"/>
        </w:tblCellMar>
        <w:tblLook w:val="04A0" w:firstRow="1" w:lastRow="0" w:firstColumn="1" w:lastColumn="0" w:noHBand="0" w:noVBand="1"/>
      </w:tblPr>
      <w:tblGrid>
        <w:gridCol w:w="2141"/>
        <w:gridCol w:w="5131"/>
      </w:tblGrid>
      <w:tr w:rsidR="006952C9" w14:paraId="7F39FBDD" w14:textId="77777777" w:rsidTr="006952C9">
        <w:trPr>
          <w:trHeight w:val="497"/>
        </w:trPr>
        <w:tc>
          <w:tcPr>
            <w:tcW w:w="2141" w:type="dxa"/>
            <w:hideMark/>
          </w:tcPr>
          <w:p w14:paraId="44819144" w14:textId="77777777" w:rsidR="006952C9" w:rsidRDefault="006952C9">
            <w:pPr>
              <w:pStyle w:val="Bezodstpw"/>
            </w:pPr>
            <w:r>
              <w:t xml:space="preserve">1. PN-B-01100 </w:t>
            </w:r>
          </w:p>
        </w:tc>
        <w:tc>
          <w:tcPr>
            <w:tcW w:w="5131" w:type="dxa"/>
            <w:hideMark/>
          </w:tcPr>
          <w:p w14:paraId="39AEBA9D" w14:textId="77777777" w:rsidR="006952C9" w:rsidRDefault="006952C9">
            <w:pPr>
              <w:pStyle w:val="Bezodstpw"/>
            </w:pPr>
            <w:r>
              <w:t xml:space="preserve">Kruszywa mineralne. Kruszywa skalne. Podział, nazwy                     i określenia </w:t>
            </w:r>
          </w:p>
        </w:tc>
      </w:tr>
      <w:tr w:rsidR="006952C9" w14:paraId="5279521F" w14:textId="77777777" w:rsidTr="006952C9">
        <w:trPr>
          <w:trHeight w:val="552"/>
        </w:trPr>
        <w:tc>
          <w:tcPr>
            <w:tcW w:w="2141" w:type="dxa"/>
            <w:hideMark/>
          </w:tcPr>
          <w:p w14:paraId="6E803D86" w14:textId="77777777" w:rsidR="006952C9" w:rsidRDefault="006952C9">
            <w:pPr>
              <w:pStyle w:val="Bezodstpw"/>
            </w:pPr>
            <w:r>
              <w:t xml:space="preserve">2. PN-B-02480 </w:t>
            </w:r>
          </w:p>
        </w:tc>
        <w:tc>
          <w:tcPr>
            <w:tcW w:w="5131" w:type="dxa"/>
            <w:hideMark/>
          </w:tcPr>
          <w:p w14:paraId="48C541C7" w14:textId="77777777" w:rsidR="006952C9" w:rsidRDefault="006952C9">
            <w:pPr>
              <w:pStyle w:val="Bezodstpw"/>
            </w:pPr>
            <w:r>
              <w:t xml:space="preserve">Grunty budowlane. Określenia, symbole, podział i opis gruntów </w:t>
            </w:r>
          </w:p>
        </w:tc>
      </w:tr>
      <w:tr w:rsidR="006952C9" w14:paraId="426AA5BC" w14:textId="77777777" w:rsidTr="006952C9">
        <w:trPr>
          <w:trHeight w:val="577"/>
        </w:trPr>
        <w:tc>
          <w:tcPr>
            <w:tcW w:w="2141" w:type="dxa"/>
            <w:hideMark/>
          </w:tcPr>
          <w:p w14:paraId="13505F82" w14:textId="77777777" w:rsidR="006952C9" w:rsidRDefault="006952C9">
            <w:pPr>
              <w:pStyle w:val="Bezodstpw"/>
            </w:pPr>
            <w:r>
              <w:t xml:space="preserve">3. PN-B-04492 </w:t>
            </w:r>
          </w:p>
        </w:tc>
        <w:tc>
          <w:tcPr>
            <w:tcW w:w="5131" w:type="dxa"/>
            <w:hideMark/>
          </w:tcPr>
          <w:p w14:paraId="0D6CB574" w14:textId="77777777" w:rsidR="006952C9" w:rsidRDefault="006952C9">
            <w:pPr>
              <w:pStyle w:val="Bezodstpw"/>
            </w:pPr>
            <w:r>
              <w:t xml:space="preserve">Grunty budowlane. Badania własności fizycznych. </w:t>
            </w:r>
          </w:p>
          <w:p w14:paraId="1E79D199" w14:textId="77777777" w:rsidR="006952C9" w:rsidRDefault="006952C9">
            <w:pPr>
              <w:pStyle w:val="Bezodstpw"/>
            </w:pPr>
            <w:r>
              <w:t xml:space="preserve">Oznaczanie wskaźnika wodoprzepuszczalności </w:t>
            </w:r>
          </w:p>
        </w:tc>
      </w:tr>
      <w:tr w:rsidR="006952C9" w14:paraId="3DCDB9F8" w14:textId="77777777" w:rsidTr="006952C9">
        <w:trPr>
          <w:trHeight w:val="550"/>
        </w:trPr>
        <w:tc>
          <w:tcPr>
            <w:tcW w:w="2141" w:type="dxa"/>
            <w:hideMark/>
          </w:tcPr>
          <w:p w14:paraId="1064FE42" w14:textId="77777777" w:rsidR="006952C9" w:rsidRDefault="006952C9">
            <w:pPr>
              <w:pStyle w:val="Bezodstpw"/>
            </w:pPr>
            <w:r>
              <w:t xml:space="preserve">4. PN-B-06714-15 </w:t>
            </w:r>
          </w:p>
        </w:tc>
        <w:tc>
          <w:tcPr>
            <w:tcW w:w="5131" w:type="dxa"/>
            <w:hideMark/>
          </w:tcPr>
          <w:p w14:paraId="0D7ADF1B" w14:textId="77777777" w:rsidR="006952C9" w:rsidRDefault="006952C9">
            <w:pPr>
              <w:pStyle w:val="Bezodstpw"/>
            </w:pPr>
            <w:r>
              <w:t xml:space="preserve">Kruszywa mineralne. Badania. Oznaczanie składu ziarnowego </w:t>
            </w:r>
          </w:p>
        </w:tc>
      </w:tr>
      <w:tr w:rsidR="006952C9" w14:paraId="6B0F4884" w14:textId="77777777" w:rsidTr="006952C9">
        <w:trPr>
          <w:trHeight w:val="527"/>
        </w:trPr>
        <w:tc>
          <w:tcPr>
            <w:tcW w:w="2141" w:type="dxa"/>
            <w:hideMark/>
          </w:tcPr>
          <w:p w14:paraId="18642A8D" w14:textId="77777777" w:rsidR="006952C9" w:rsidRDefault="006952C9">
            <w:pPr>
              <w:pStyle w:val="Bezodstpw"/>
            </w:pPr>
            <w:r>
              <w:t xml:space="preserve">5. PN-B-06714-28 </w:t>
            </w:r>
          </w:p>
        </w:tc>
        <w:tc>
          <w:tcPr>
            <w:tcW w:w="5131" w:type="dxa"/>
            <w:hideMark/>
          </w:tcPr>
          <w:p w14:paraId="55C11353" w14:textId="77777777" w:rsidR="006952C9" w:rsidRDefault="006952C9">
            <w:pPr>
              <w:pStyle w:val="Bezodstpw"/>
            </w:pPr>
            <w:r>
              <w:t xml:space="preserve">Kruszywa mineralne. Badania. Oznaczanie zawartości siarki metodą bromową </w:t>
            </w:r>
          </w:p>
        </w:tc>
      </w:tr>
      <w:tr w:rsidR="006952C9" w14:paraId="20B4003B" w14:textId="77777777" w:rsidTr="006952C9">
        <w:trPr>
          <w:trHeight w:val="276"/>
        </w:trPr>
        <w:tc>
          <w:tcPr>
            <w:tcW w:w="2141" w:type="dxa"/>
            <w:hideMark/>
          </w:tcPr>
          <w:p w14:paraId="445DE956" w14:textId="77777777" w:rsidR="006952C9" w:rsidRDefault="006952C9">
            <w:pPr>
              <w:pStyle w:val="Bezodstpw"/>
            </w:pPr>
            <w:r>
              <w:t xml:space="preserve">6. BN-77/8931-12 </w:t>
            </w:r>
          </w:p>
        </w:tc>
        <w:tc>
          <w:tcPr>
            <w:tcW w:w="5131" w:type="dxa"/>
            <w:hideMark/>
          </w:tcPr>
          <w:p w14:paraId="61CD6BF8" w14:textId="77777777" w:rsidR="006952C9" w:rsidRDefault="006952C9">
            <w:pPr>
              <w:pStyle w:val="Bezodstpw"/>
            </w:pPr>
            <w:r>
              <w:t xml:space="preserve">Oznaczanie wskaźnika zagęszczania gruntu </w:t>
            </w:r>
          </w:p>
        </w:tc>
      </w:tr>
      <w:tr w:rsidR="006952C9" w14:paraId="4B86E18D" w14:textId="77777777" w:rsidTr="00755118">
        <w:trPr>
          <w:trHeight w:val="146"/>
        </w:trPr>
        <w:tc>
          <w:tcPr>
            <w:tcW w:w="2141" w:type="dxa"/>
            <w:hideMark/>
          </w:tcPr>
          <w:p w14:paraId="3479A9EE" w14:textId="77777777" w:rsidR="006952C9" w:rsidRDefault="006952C9">
            <w:pPr>
              <w:pStyle w:val="Bezodstpw"/>
            </w:pPr>
            <w:r>
              <w:t xml:space="preserve">7. BN-86/8971-08 </w:t>
            </w:r>
          </w:p>
        </w:tc>
        <w:tc>
          <w:tcPr>
            <w:tcW w:w="5131" w:type="dxa"/>
            <w:hideMark/>
          </w:tcPr>
          <w:p w14:paraId="3A78E8C7" w14:textId="77777777" w:rsidR="006952C9" w:rsidRDefault="006952C9">
            <w:pPr>
              <w:pStyle w:val="Bezodstpw"/>
            </w:pPr>
            <w:r>
              <w:t>Prefabrykaty budowlane z betonu. Kr</w:t>
            </w:r>
            <w:r>
              <w:rPr>
                <w:sz w:val="24"/>
              </w:rPr>
              <w:t xml:space="preserve">ęgi betonowe    i </w:t>
            </w:r>
            <w:r>
              <w:t xml:space="preserve">Żelbetowe. </w:t>
            </w:r>
          </w:p>
        </w:tc>
      </w:tr>
    </w:tbl>
    <w:p w14:paraId="0364DFAC" w14:textId="079B2F83" w:rsidR="00176CD4" w:rsidRDefault="00176CD4"/>
    <w:p w14:paraId="0EFCB217" w14:textId="33F2DE2D" w:rsidR="00C93767" w:rsidRDefault="00C93767"/>
    <w:p w14:paraId="07422D42" w14:textId="10CEE657" w:rsidR="006952C9" w:rsidRDefault="006952C9"/>
    <w:p w14:paraId="6C675545" w14:textId="533F24B6" w:rsidR="006952C9" w:rsidRDefault="006952C9"/>
    <w:p w14:paraId="387042A5" w14:textId="45B97654" w:rsidR="006952C9" w:rsidRDefault="006952C9"/>
    <w:p w14:paraId="76FD4BCE" w14:textId="6E520F20" w:rsidR="006952C9" w:rsidRDefault="006952C9"/>
    <w:p w14:paraId="5D1B310A" w14:textId="7735348E" w:rsidR="006952C9" w:rsidRDefault="006952C9"/>
    <w:p w14:paraId="4F2E2951" w14:textId="38F3DA79" w:rsidR="006952C9" w:rsidRDefault="006952C9"/>
    <w:p w14:paraId="7E1129D2" w14:textId="737E63A2" w:rsidR="006952C9" w:rsidRDefault="006952C9"/>
    <w:p w14:paraId="52C131EA" w14:textId="58A4C5C8" w:rsidR="006952C9" w:rsidRDefault="006952C9"/>
    <w:p w14:paraId="44447973" w14:textId="11F40AEB" w:rsidR="006952C9" w:rsidRDefault="006952C9"/>
    <w:p w14:paraId="5A53A08D" w14:textId="5543307D" w:rsidR="006952C9" w:rsidRDefault="006952C9"/>
    <w:p w14:paraId="0DA82180" w14:textId="0619E92B" w:rsidR="006952C9" w:rsidRDefault="006952C9"/>
    <w:p w14:paraId="2B12DCE8" w14:textId="0DB1724C" w:rsidR="006952C9" w:rsidRDefault="006952C9"/>
    <w:p w14:paraId="6B7A820F" w14:textId="55DC58FB" w:rsidR="006952C9" w:rsidRDefault="006952C9"/>
    <w:p w14:paraId="4E84B491" w14:textId="77777777" w:rsidR="00DD698C" w:rsidRDefault="00DD698C" w:rsidP="00755118">
      <w:pPr>
        <w:pStyle w:val="NAZWASST"/>
      </w:pPr>
      <w:bookmarkStart w:id="886" w:name="_Toc58533517"/>
    </w:p>
    <w:p w14:paraId="06195678" w14:textId="77777777" w:rsidR="00DD698C" w:rsidRDefault="00DD698C" w:rsidP="00755118">
      <w:pPr>
        <w:pStyle w:val="NAZWASST"/>
      </w:pPr>
    </w:p>
    <w:p w14:paraId="2E0A00C3" w14:textId="77777777" w:rsidR="00DD698C" w:rsidRDefault="00DD698C" w:rsidP="00755118">
      <w:pPr>
        <w:pStyle w:val="NAZWASST"/>
      </w:pPr>
    </w:p>
    <w:p w14:paraId="3C40D990" w14:textId="77777777" w:rsidR="00DD698C" w:rsidRDefault="00DD698C" w:rsidP="00755118">
      <w:pPr>
        <w:pStyle w:val="NAZWASST"/>
      </w:pPr>
    </w:p>
    <w:p w14:paraId="25CC2616" w14:textId="77777777" w:rsidR="00DD698C" w:rsidRDefault="00DD698C" w:rsidP="00755118">
      <w:pPr>
        <w:pStyle w:val="NAZWASST"/>
      </w:pPr>
    </w:p>
    <w:p w14:paraId="1472C8F8" w14:textId="77777777" w:rsidR="00DD698C" w:rsidRDefault="00DD698C" w:rsidP="00755118">
      <w:pPr>
        <w:pStyle w:val="NAZWASST"/>
      </w:pPr>
    </w:p>
    <w:p w14:paraId="673C7F0E" w14:textId="77777777" w:rsidR="00DD698C" w:rsidRDefault="00DD698C" w:rsidP="00755118">
      <w:pPr>
        <w:pStyle w:val="NAZWASST"/>
      </w:pPr>
    </w:p>
    <w:p w14:paraId="70EBDAAB" w14:textId="12948845" w:rsidR="00755118" w:rsidRDefault="00755118" w:rsidP="00755118">
      <w:pPr>
        <w:pStyle w:val="NAZWASST"/>
      </w:pPr>
      <w:r>
        <w:lastRenderedPageBreak/>
        <w:t>D – 03.02.01 KANALIZACJA DESZCZOWA</w:t>
      </w:r>
      <w:bookmarkEnd w:id="886"/>
    </w:p>
    <w:p w14:paraId="2330D373" w14:textId="77777777" w:rsidR="00755118" w:rsidRDefault="00755118" w:rsidP="00755118">
      <w:r>
        <w:t>Kod CPV: 45111200-0</w:t>
      </w:r>
    </w:p>
    <w:p w14:paraId="232CAA09" w14:textId="77777777" w:rsidR="00755118" w:rsidRDefault="00755118" w:rsidP="00755118">
      <w:r>
        <w:t>Roboty w zakresie przygotowania terenu pod budowę i roboty ziemne</w:t>
      </w:r>
    </w:p>
    <w:p w14:paraId="0383EB26" w14:textId="77777777" w:rsidR="00755118" w:rsidRDefault="00755118" w:rsidP="00755118">
      <w:pPr>
        <w:pStyle w:val="Nagwek1"/>
      </w:pPr>
      <w:r>
        <w:rPr>
          <w:b w:val="0"/>
          <w:lang w:val="pl-PL"/>
        </w:rPr>
        <w:t xml:space="preserve">1. </w:t>
      </w:r>
      <w:r>
        <w:rPr>
          <w:b w:val="0"/>
        </w:rPr>
        <w:t>wstęp</w:t>
      </w:r>
    </w:p>
    <w:p w14:paraId="76E0B60B" w14:textId="77777777" w:rsidR="00755118" w:rsidRDefault="00755118" w:rsidP="00755118">
      <w:pPr>
        <w:pStyle w:val="Nagwek2"/>
        <w:rPr>
          <w:b w:val="0"/>
        </w:rPr>
      </w:pPr>
      <w:r>
        <w:rPr>
          <w:b w:val="0"/>
          <w:lang w:val="pl-PL"/>
        </w:rPr>
        <w:t xml:space="preserve">1.1 </w:t>
      </w:r>
      <w:r>
        <w:rPr>
          <w:b w:val="0"/>
        </w:rPr>
        <w:t>Przedmiot STWiORB</w:t>
      </w:r>
    </w:p>
    <w:p w14:paraId="25B4A867" w14:textId="77777777" w:rsidR="00755118" w:rsidRDefault="00755118" w:rsidP="00755118">
      <w:pPr>
        <w:ind w:firstLine="454"/>
        <w:rPr>
          <w:rFonts w:eastAsia="Calibri"/>
        </w:rPr>
      </w:pPr>
      <w:r>
        <w:t>Przedmiotem niniejszej szczegółowej specyfikacji technicznej (SST) są wymagania dotyczące wykonania i odbioru robót związanych z budową kanalizacji deszczowej</w:t>
      </w:r>
      <w:r>
        <w:rPr>
          <w:rFonts w:eastAsia="Calibri"/>
        </w:rPr>
        <w:t>.</w:t>
      </w:r>
    </w:p>
    <w:p w14:paraId="1EAD3A2E" w14:textId="77777777" w:rsidR="00755118" w:rsidRDefault="00755118" w:rsidP="00755118">
      <w:pPr>
        <w:pStyle w:val="Nagwek2"/>
      </w:pPr>
      <w:r>
        <w:rPr>
          <w:b w:val="0"/>
          <w:lang w:val="pl-PL"/>
        </w:rPr>
        <w:t xml:space="preserve">1.2 </w:t>
      </w:r>
      <w:r>
        <w:rPr>
          <w:b w:val="0"/>
        </w:rPr>
        <w:t>Zakres stosowania STWiORB</w:t>
      </w:r>
    </w:p>
    <w:p w14:paraId="1E6DAD5F" w14:textId="217F2EC1" w:rsidR="00755118" w:rsidRDefault="00755118" w:rsidP="00DD698C">
      <w:pPr>
        <w:tabs>
          <w:tab w:val="left" w:pos="-1440"/>
          <w:tab w:val="left" w:pos="-720"/>
          <w:tab w:val="left" w:pos="0"/>
        </w:tabs>
        <w:ind w:firstLine="454"/>
        <w:rPr>
          <w:rFonts w:eastAsia="Calibri" w:cs="Arial"/>
          <w:spacing w:val="-3"/>
        </w:rPr>
      </w:pPr>
      <w:r>
        <w:rPr>
          <w:rFonts w:eastAsia="Calibri" w:cs="Arial"/>
        </w:rPr>
        <w:t xml:space="preserve">Specyfikacje Techniczne Wykonania i Odbioru Robót Budowlanych </w:t>
      </w:r>
      <w:r>
        <w:rPr>
          <w:rFonts w:eastAsia="Calibri" w:cs="Arial"/>
          <w:spacing w:val="-3"/>
        </w:rPr>
        <w:t xml:space="preserve">stanowią Dokument Przetargowy i Kontraktowy przy zlecaniu i realizacji robót na drogach </w:t>
      </w:r>
    </w:p>
    <w:p w14:paraId="70A0E382" w14:textId="77777777" w:rsidR="00755118" w:rsidRDefault="00755118" w:rsidP="00755118">
      <w:pPr>
        <w:pStyle w:val="Nagwek2"/>
        <w:rPr>
          <w:lang w:val="pl-PL"/>
        </w:rPr>
      </w:pPr>
      <w:r>
        <w:rPr>
          <w:b w:val="0"/>
          <w:lang w:val="pl-PL"/>
        </w:rPr>
        <w:t>1.3 Podstawowe definicje</w:t>
      </w:r>
    </w:p>
    <w:p w14:paraId="6744F5CC" w14:textId="77777777" w:rsidR="00755118" w:rsidRDefault="00755118" w:rsidP="00755118">
      <w:pPr>
        <w:pStyle w:val="Nagwek8"/>
        <w:numPr>
          <w:ilvl w:val="0"/>
          <w:numId w:val="59"/>
        </w:numPr>
      </w:pPr>
      <w:r>
        <w:rPr>
          <w:rStyle w:val="TeksttreciPogrubienie"/>
          <w:rFonts w:ascii="Calibri" w:hAnsi="Calibri" w:cs="Calibri"/>
          <w:sz w:val="22"/>
          <w:szCs w:val="22"/>
          <w:u w:val="single"/>
        </w:rPr>
        <w:t>Kanał deszczowy</w:t>
      </w:r>
      <w:r>
        <w:rPr>
          <w:rStyle w:val="TeksttreciPogrubienie"/>
          <w:rFonts w:ascii="Calibri" w:hAnsi="Calibri" w:cs="Calibri"/>
          <w:sz w:val="22"/>
          <w:szCs w:val="22"/>
        </w:rPr>
        <w:t xml:space="preserve"> - kanał przeznaczony do odprowadzenia ścieków opadowych.</w:t>
      </w:r>
    </w:p>
    <w:p w14:paraId="5B9691D0" w14:textId="77777777" w:rsidR="00755118" w:rsidRDefault="00755118" w:rsidP="00755118">
      <w:pPr>
        <w:pStyle w:val="Nagwek8"/>
        <w:numPr>
          <w:ilvl w:val="0"/>
          <w:numId w:val="59"/>
        </w:numPr>
      </w:pPr>
      <w:r>
        <w:rPr>
          <w:rStyle w:val="TeksttreciPogrubienie"/>
          <w:rFonts w:ascii="Calibri" w:hAnsi="Calibri" w:cs="Calibri"/>
          <w:kern w:val="2"/>
          <w:sz w:val="22"/>
          <w:szCs w:val="22"/>
          <w:u w:val="single"/>
        </w:rPr>
        <w:t xml:space="preserve">Kanalizacja deszczowa </w:t>
      </w:r>
      <w:r>
        <w:t xml:space="preserve">- sieć kanalizacyjna zewnętrzna przeznaczona do odprowadzania ścieków </w:t>
      </w:r>
    </w:p>
    <w:p w14:paraId="3A64B852" w14:textId="77777777" w:rsidR="00755118" w:rsidRDefault="00755118" w:rsidP="00755118">
      <w:pPr>
        <w:pStyle w:val="Nagwek8"/>
        <w:numPr>
          <w:ilvl w:val="0"/>
          <w:numId w:val="59"/>
        </w:numPr>
      </w:pPr>
      <w:r>
        <w:rPr>
          <w:rStyle w:val="TeksttreciPogrubienie"/>
          <w:rFonts w:ascii="Calibri" w:hAnsi="Calibri" w:cs="Calibri"/>
          <w:sz w:val="22"/>
          <w:szCs w:val="22"/>
          <w:u w:val="single"/>
        </w:rPr>
        <w:t>Przykanalik</w:t>
      </w:r>
      <w:r>
        <w:rPr>
          <w:rStyle w:val="TeksttreciPogrubienie"/>
          <w:rFonts w:ascii="Calibri" w:hAnsi="Calibri" w:cs="Calibri"/>
          <w:sz w:val="22"/>
          <w:szCs w:val="22"/>
        </w:rPr>
        <w:t xml:space="preserve"> </w:t>
      </w:r>
      <w:r>
        <w:t>- prosty kanał przeznaczony do połączenia wpustu deszczowego z siecią kanalizacji deszczowej lub z wylotem.</w:t>
      </w:r>
    </w:p>
    <w:p w14:paraId="450000E0" w14:textId="77777777" w:rsidR="00755118" w:rsidRDefault="00755118" w:rsidP="00755118">
      <w:pPr>
        <w:pStyle w:val="Nagwek8"/>
        <w:numPr>
          <w:ilvl w:val="0"/>
          <w:numId w:val="59"/>
        </w:numPr>
      </w:pPr>
      <w:r>
        <w:rPr>
          <w:rStyle w:val="TeksttreciPogrubienie"/>
          <w:rFonts w:ascii="Calibri" w:hAnsi="Calibri" w:cs="Calibri"/>
          <w:sz w:val="22"/>
          <w:szCs w:val="22"/>
          <w:u w:val="single"/>
        </w:rPr>
        <w:t>Kanał nieprzełazowy</w:t>
      </w:r>
      <w:r>
        <w:rPr>
          <w:rStyle w:val="TeksttreciPogrubienie"/>
          <w:rFonts w:ascii="Calibri" w:hAnsi="Calibri" w:cs="Calibri"/>
          <w:sz w:val="22"/>
          <w:szCs w:val="22"/>
        </w:rPr>
        <w:t xml:space="preserve"> </w:t>
      </w:r>
      <w:r>
        <w:t xml:space="preserve">- kanał zamknięty o wysokości wewnętrznej mniejszej niż 1,0 m </w:t>
      </w:r>
    </w:p>
    <w:p w14:paraId="2C2E581C" w14:textId="77777777" w:rsidR="00755118" w:rsidRDefault="00755118" w:rsidP="00755118">
      <w:pPr>
        <w:pStyle w:val="Nagwek8"/>
        <w:numPr>
          <w:ilvl w:val="0"/>
          <w:numId w:val="59"/>
        </w:numPr>
      </w:pPr>
      <w:r>
        <w:rPr>
          <w:rStyle w:val="TeksttreciPogrubienie"/>
          <w:rFonts w:ascii="Calibri" w:hAnsi="Calibri" w:cs="Calibri"/>
          <w:sz w:val="22"/>
          <w:szCs w:val="22"/>
          <w:u w:val="single"/>
        </w:rPr>
        <w:t>Kanał zbiorczy</w:t>
      </w:r>
      <w:r>
        <w:rPr>
          <w:rStyle w:val="TeksttreciPogrubienie"/>
          <w:rFonts w:ascii="Calibri" w:hAnsi="Calibri" w:cs="Calibri"/>
          <w:sz w:val="22"/>
          <w:szCs w:val="22"/>
        </w:rPr>
        <w:t xml:space="preserve"> </w:t>
      </w:r>
      <w:r>
        <w:t xml:space="preserve">- kanał przeznaczony do zbierania ścieków z co najmniej dwóch kanałów bocznych. </w:t>
      </w:r>
    </w:p>
    <w:p w14:paraId="08F6EFA2" w14:textId="77777777" w:rsidR="00755118" w:rsidRDefault="00755118" w:rsidP="00755118">
      <w:pPr>
        <w:pStyle w:val="Nagwek8"/>
        <w:numPr>
          <w:ilvl w:val="0"/>
          <w:numId w:val="59"/>
        </w:numPr>
      </w:pPr>
      <w:r>
        <w:rPr>
          <w:rStyle w:val="TeksttreciPogrubienie"/>
          <w:rFonts w:ascii="Calibri" w:hAnsi="Calibri" w:cs="Calibri"/>
          <w:sz w:val="22"/>
          <w:szCs w:val="22"/>
          <w:u w:val="single"/>
        </w:rPr>
        <w:t>Kolektor główny</w:t>
      </w:r>
      <w:r>
        <w:rPr>
          <w:rStyle w:val="TeksttreciPogrubienie"/>
          <w:rFonts w:ascii="Calibri" w:hAnsi="Calibri" w:cs="Calibri"/>
          <w:sz w:val="22"/>
          <w:szCs w:val="22"/>
        </w:rPr>
        <w:t xml:space="preserve"> </w:t>
      </w:r>
      <w:r>
        <w:t>- kanał przeznaczony do zbierania ścieków z kanałów zbiorczych i odprowadzania ich do odbiornika.</w:t>
      </w:r>
    </w:p>
    <w:p w14:paraId="0453DBF1" w14:textId="77777777" w:rsidR="00755118" w:rsidRDefault="00755118" w:rsidP="00755118">
      <w:pPr>
        <w:pStyle w:val="Nagwek8"/>
        <w:numPr>
          <w:ilvl w:val="0"/>
          <w:numId w:val="59"/>
        </w:numPr>
      </w:pPr>
      <w:r>
        <w:rPr>
          <w:rStyle w:val="TeksttreciPogrubienie"/>
          <w:rFonts w:ascii="Calibri" w:hAnsi="Calibri" w:cs="Calibri"/>
          <w:sz w:val="22"/>
          <w:szCs w:val="22"/>
          <w:u w:val="single"/>
        </w:rPr>
        <w:t>Studzienka kanalizacyjna (rewizyjna)</w:t>
      </w:r>
      <w:r>
        <w:rPr>
          <w:rStyle w:val="TeksttreciPogrubienie"/>
          <w:rFonts w:ascii="Calibri" w:hAnsi="Calibri" w:cs="Calibri"/>
          <w:b w:val="0"/>
          <w:bCs w:val="0"/>
          <w:sz w:val="22"/>
          <w:szCs w:val="22"/>
        </w:rPr>
        <w:t xml:space="preserve"> </w:t>
      </w:r>
      <w:r>
        <w:t>- obiekt na kanale przeznaczony do kontroli i prawidłowej eksploatacji kanałów.</w:t>
      </w:r>
    </w:p>
    <w:p w14:paraId="202967F9" w14:textId="77777777" w:rsidR="00755118" w:rsidRDefault="00755118" w:rsidP="00755118">
      <w:pPr>
        <w:pStyle w:val="Nagwek8"/>
        <w:numPr>
          <w:ilvl w:val="0"/>
          <w:numId w:val="59"/>
        </w:numPr>
      </w:pPr>
      <w:r>
        <w:rPr>
          <w:rStyle w:val="TeksttreciPogrubienie"/>
          <w:rFonts w:ascii="Calibri" w:hAnsi="Calibri" w:cs="Calibri"/>
          <w:sz w:val="22"/>
          <w:szCs w:val="22"/>
          <w:u w:val="single"/>
        </w:rPr>
        <w:t>Studzienka przelotowa</w:t>
      </w:r>
      <w:r>
        <w:rPr>
          <w:rStyle w:val="TeksttreciPogrubienie"/>
          <w:rFonts w:ascii="Calibri" w:hAnsi="Calibri" w:cs="Calibri"/>
          <w:sz w:val="22"/>
          <w:szCs w:val="22"/>
        </w:rPr>
        <w:t xml:space="preserve"> </w:t>
      </w:r>
      <w:r>
        <w:t>- studzienka kanalizacyjna zlokalizowana na załamaniach osi kanału w planie, na załamaniach spadku kanału oraz na odcinkach prostych.</w:t>
      </w:r>
    </w:p>
    <w:p w14:paraId="6F867081" w14:textId="77777777" w:rsidR="00755118" w:rsidRDefault="00755118" w:rsidP="00755118">
      <w:pPr>
        <w:pStyle w:val="Nagwek8"/>
        <w:numPr>
          <w:ilvl w:val="0"/>
          <w:numId w:val="59"/>
        </w:numPr>
      </w:pPr>
      <w:r>
        <w:rPr>
          <w:rStyle w:val="TeksttreciPogrubienie"/>
          <w:rFonts w:ascii="Calibri" w:hAnsi="Calibri" w:cs="Calibri"/>
          <w:sz w:val="22"/>
          <w:szCs w:val="22"/>
          <w:u w:val="single"/>
        </w:rPr>
        <w:t xml:space="preserve">Studzienka połączeniowa </w:t>
      </w:r>
      <w:r>
        <w:t>- studzienka kanalizacyjna przeznaczona do łączenia co najmniej dwóch kanałów dopływowych w jeden kanał odpływowy.</w:t>
      </w:r>
    </w:p>
    <w:p w14:paraId="1396F5C9" w14:textId="77777777" w:rsidR="00755118" w:rsidRDefault="00755118" w:rsidP="00755118">
      <w:pPr>
        <w:pStyle w:val="Nagwek8"/>
        <w:numPr>
          <w:ilvl w:val="0"/>
          <w:numId w:val="59"/>
        </w:numPr>
      </w:pPr>
      <w:r>
        <w:rPr>
          <w:rStyle w:val="TeksttreciPogrubienie"/>
          <w:rFonts w:ascii="Calibri" w:hAnsi="Calibri" w:cs="Calibri"/>
          <w:sz w:val="22"/>
          <w:szCs w:val="22"/>
          <w:u w:val="single"/>
        </w:rPr>
        <w:t>Studzienka kaskadowa</w:t>
      </w:r>
      <w:r>
        <w:rPr>
          <w:rStyle w:val="TeksttreciPogrubienie"/>
          <w:rFonts w:ascii="Calibri" w:hAnsi="Calibri" w:cs="Calibri"/>
          <w:sz w:val="22"/>
          <w:szCs w:val="22"/>
        </w:rPr>
        <w:t xml:space="preserve"> </w:t>
      </w:r>
      <w:r>
        <w:t>- studzienka kanalizacyjna, mająca dodatkowy przewód pionowy lub odpowiednią konstrukcję umożliwiającą wytracenie nadmiaru energii ścieków, spływających z wyżej położonego kanału dopływowego do niżej położonego kanału odpływowego.</w:t>
      </w:r>
    </w:p>
    <w:p w14:paraId="215FC94F" w14:textId="77777777" w:rsidR="00755118" w:rsidRDefault="00755118" w:rsidP="00755118">
      <w:pPr>
        <w:pStyle w:val="Nagwek8"/>
        <w:numPr>
          <w:ilvl w:val="0"/>
          <w:numId w:val="59"/>
        </w:numPr>
      </w:pPr>
      <w:r>
        <w:rPr>
          <w:rStyle w:val="TeksttreciPogrubienie"/>
          <w:rFonts w:ascii="Calibri" w:hAnsi="Calibri" w:cs="Calibri"/>
          <w:sz w:val="22"/>
          <w:szCs w:val="22"/>
          <w:u w:val="single"/>
        </w:rPr>
        <w:t>Wpust ściekowy (deszczowy)</w:t>
      </w:r>
      <w:r>
        <w:rPr>
          <w:rStyle w:val="TeksttreciPogrubienie"/>
          <w:rFonts w:ascii="Calibri" w:hAnsi="Calibri" w:cs="Calibri"/>
          <w:sz w:val="22"/>
          <w:szCs w:val="22"/>
        </w:rPr>
        <w:t xml:space="preserve"> </w:t>
      </w:r>
      <w:r>
        <w:t>- urządzenie do odbioru ścieków opadowych spływających do kanału z utwardzonych powierzchni terenu.</w:t>
      </w:r>
    </w:p>
    <w:p w14:paraId="72BA9265" w14:textId="77777777" w:rsidR="00755118" w:rsidRDefault="00755118" w:rsidP="00755118">
      <w:pPr>
        <w:pStyle w:val="Nagwek8"/>
        <w:numPr>
          <w:ilvl w:val="0"/>
          <w:numId w:val="59"/>
        </w:numPr>
      </w:pPr>
      <w:r>
        <w:t>Elementy studzienek i komór</w:t>
      </w:r>
    </w:p>
    <w:p w14:paraId="7A8F1D75" w14:textId="77777777" w:rsidR="00755118" w:rsidRDefault="00755118" w:rsidP="00755118">
      <w:pPr>
        <w:pStyle w:val="Nagwek8"/>
        <w:numPr>
          <w:ilvl w:val="0"/>
          <w:numId w:val="59"/>
        </w:numPr>
      </w:pPr>
      <w:r>
        <w:rPr>
          <w:rStyle w:val="TeksttreciPogrubienie"/>
          <w:rFonts w:ascii="Calibri" w:hAnsi="Calibri" w:cs="Calibri"/>
          <w:sz w:val="22"/>
          <w:szCs w:val="22"/>
          <w:u w:val="single"/>
        </w:rPr>
        <w:t>Kineta</w:t>
      </w:r>
      <w:r>
        <w:rPr>
          <w:rStyle w:val="TeksttreciPogrubienie"/>
          <w:rFonts w:ascii="Calibri" w:hAnsi="Calibri" w:cs="Calibri"/>
          <w:sz w:val="22"/>
          <w:szCs w:val="22"/>
        </w:rPr>
        <w:t xml:space="preserve"> </w:t>
      </w:r>
      <w:r>
        <w:t xml:space="preserve">- wyprofilowane koryto w dnie studzienki kanalizacyjnej, przeznaczone do przepływu ścieków. </w:t>
      </w:r>
    </w:p>
    <w:p w14:paraId="5F69F994" w14:textId="77777777" w:rsidR="00755118" w:rsidRDefault="00755118" w:rsidP="00755118">
      <w:pPr>
        <w:pStyle w:val="Nagwek8"/>
        <w:numPr>
          <w:ilvl w:val="0"/>
          <w:numId w:val="59"/>
        </w:numPr>
      </w:pPr>
      <w:r>
        <w:rPr>
          <w:rStyle w:val="TeksttreciPogrubienie"/>
          <w:rFonts w:ascii="Calibri" w:hAnsi="Calibri" w:cs="Calibri"/>
          <w:sz w:val="22"/>
          <w:szCs w:val="22"/>
          <w:u w:val="single"/>
        </w:rPr>
        <w:t>Właz kanałowy</w:t>
      </w:r>
      <w:r>
        <w:rPr>
          <w:rStyle w:val="TeksttreciPogrubienie"/>
          <w:rFonts w:ascii="Calibri" w:hAnsi="Calibri" w:cs="Calibri"/>
          <w:sz w:val="22"/>
          <w:szCs w:val="22"/>
        </w:rPr>
        <w:t xml:space="preserve"> </w:t>
      </w:r>
      <w:r>
        <w:t>- element żeliwny przeznaczony do przykrycia podziemnych studzienek kanalizacyjnych, składający się z korpusu i pokrywy.</w:t>
      </w:r>
    </w:p>
    <w:p w14:paraId="7F988824" w14:textId="77777777" w:rsidR="00755118" w:rsidRDefault="00755118" w:rsidP="00755118">
      <w:pPr>
        <w:pStyle w:val="Nagwek1"/>
      </w:pPr>
      <w:r>
        <w:rPr>
          <w:b w:val="0"/>
        </w:rPr>
        <w:t xml:space="preserve">2. </w:t>
      </w:r>
      <w:bookmarkStart w:id="887" w:name="bookmark1"/>
      <w:r>
        <w:rPr>
          <w:b w:val="0"/>
        </w:rPr>
        <w:t>MATERIAŁY</w:t>
      </w:r>
      <w:bookmarkEnd w:id="887"/>
    </w:p>
    <w:p w14:paraId="19ABC411" w14:textId="77777777" w:rsidR="00755118" w:rsidRDefault="00755118" w:rsidP="00755118">
      <w:r>
        <w:rPr>
          <w:rFonts w:eastAsia="TimesNewRomanPSMT"/>
        </w:rPr>
        <w:t>Ogólne wymagania dotyczące materiałów, ich pozyskiwania i składowania podano</w:t>
      </w:r>
      <w:r>
        <w:rPr>
          <w:rFonts w:eastAsia="TimesNewRomanPSMT"/>
        </w:rPr>
        <w:br/>
        <w:t>w specyfikacji  „Wymagania ogólne”.</w:t>
      </w:r>
    </w:p>
    <w:p w14:paraId="6D8D84BC" w14:textId="77777777" w:rsidR="00755118" w:rsidRDefault="00755118" w:rsidP="00755118">
      <w:r>
        <w:rPr>
          <w:rFonts w:eastAsia="TimesNewRomanPSMT"/>
        </w:rPr>
        <w:t>Wszelkie nazwy materiałów i producentów  podane w projekcie budowlanym i wykonawczym mają charakter jedynie poglądowy, a głównym kryterium akceptacji materiału są wymagane parametry zawarte w niniejszej STWiORB.</w:t>
      </w:r>
    </w:p>
    <w:p w14:paraId="692A01DA" w14:textId="77777777" w:rsidR="00755118" w:rsidRDefault="00755118" w:rsidP="00755118">
      <w:pPr>
        <w:pStyle w:val="Nagwek2"/>
      </w:pPr>
      <w:r>
        <w:rPr>
          <w:b w:val="0"/>
        </w:rPr>
        <w:t>2.1. Rury kanałowe</w:t>
      </w:r>
    </w:p>
    <w:p w14:paraId="0B95F538" w14:textId="77777777" w:rsidR="00755118" w:rsidRDefault="00755118" w:rsidP="00755118">
      <w:r>
        <w:rPr>
          <w:rFonts w:eastAsia="TimesNewRomanPSMT"/>
          <w:lang w:eastAsia="zh-CN" w:bidi="hi-IN"/>
        </w:rPr>
        <w:t>Przewody projektowanej sieci  kanalizacji deszczowej wraz z przykanalikami o dn 200 – 500 mm projektuje się z rur polipropylenowych PP o sztywności obwodowej SN8 spełniających wymagania PN-EN 1852. Łączenie rur  na uszczelki systemowe wargowe..</w:t>
      </w:r>
    </w:p>
    <w:p w14:paraId="12ED23D6" w14:textId="77777777" w:rsidR="00755118" w:rsidRDefault="00755118" w:rsidP="00755118">
      <w:r>
        <w:rPr>
          <w:rFonts w:eastAsia="TimesNewRomanPSMT"/>
          <w:lang w:eastAsia="zh-CN" w:bidi="hi-IN"/>
        </w:rPr>
        <w:t>Montaż i układanie rur w gruncie wykonać zgodnie z „Instrukcją układania i montażu” opracowaną przez producenta systemu.</w:t>
      </w:r>
    </w:p>
    <w:p w14:paraId="2E848EF4" w14:textId="77777777" w:rsidR="00755118" w:rsidRDefault="00755118" w:rsidP="00755118">
      <w:r>
        <w:rPr>
          <w:rFonts w:eastAsia="TimesNewRomanPSMT"/>
          <w:lang w:eastAsia="zh-CN" w:bidi="hi-IN"/>
        </w:rPr>
        <w:t xml:space="preserve">Przewody układać na uprzednio przygotowanym podłożu. W miejscach złączy wykonać dołki montażowe o głębokości 10 cm dla umożliwienia prawidłowego wykonania złącza. </w:t>
      </w:r>
    </w:p>
    <w:p w14:paraId="2E6CE1AF" w14:textId="77777777" w:rsidR="00755118" w:rsidRDefault="00755118" w:rsidP="00755118">
      <w:r>
        <w:rPr>
          <w:rFonts w:eastAsia="TimesNewRomanPSMT"/>
          <w:lang w:eastAsia="zh-CN" w:bidi="hi-IN"/>
        </w:rPr>
        <w:lastRenderedPageBreak/>
        <w:t>Budowa kanałów winna być prowadzona zgodnie z wymaganiami PN-EN 752-2 - Zewnętrzne systemy kanalizacyjne – Wymagania oraz PN-EN 1610 Budowa i badania przewodów kanalizacyjnych.</w:t>
      </w:r>
      <w:r>
        <w:rPr>
          <w:rFonts w:ascii="Century Gothic" w:hAnsi="Century Gothic" w:cs="Century Gothic"/>
        </w:rPr>
        <w:tab/>
      </w:r>
      <w:r>
        <w:rPr>
          <w:rFonts w:ascii="Century Gothic" w:hAnsi="Century Gothic" w:cs="Century Gothic"/>
        </w:rPr>
        <w:tab/>
      </w:r>
      <w:r>
        <w:rPr>
          <w:rFonts w:ascii="Century Gothic" w:hAnsi="Century Gothic" w:cs="Century Gothic"/>
        </w:rPr>
        <w:tab/>
      </w:r>
    </w:p>
    <w:p w14:paraId="221AD583" w14:textId="77777777" w:rsidR="00755118" w:rsidRDefault="00755118" w:rsidP="00755118">
      <w:pPr>
        <w:pStyle w:val="Nagwek2"/>
      </w:pPr>
      <w:r>
        <w:rPr>
          <w:b w:val="0"/>
        </w:rPr>
        <w:t xml:space="preserve">2.2. Studnie kanalizacyjne betonowe </w:t>
      </w:r>
    </w:p>
    <w:p w14:paraId="7A7DBB62" w14:textId="77777777" w:rsidR="00755118" w:rsidRDefault="00755118" w:rsidP="00755118">
      <w:pPr>
        <w:pStyle w:val="Nagwek3"/>
        <w:rPr>
          <w:b w:val="0"/>
        </w:rPr>
      </w:pPr>
      <w:r>
        <w:rPr>
          <w:rFonts w:eastAsia="TimesNewRomanPSMT"/>
          <w:b w:val="0"/>
          <w:lang w:val="pl-PL" w:bidi="hi-IN"/>
        </w:rPr>
        <w:t xml:space="preserve">2.2.1 </w:t>
      </w:r>
      <w:r>
        <w:rPr>
          <w:rFonts w:eastAsia="TimesNewRomanPSMT"/>
          <w:b w:val="0"/>
          <w:lang w:bidi="hi-IN"/>
        </w:rPr>
        <w:t>Studnie rewizyjne</w:t>
      </w:r>
    </w:p>
    <w:p w14:paraId="448A92AA" w14:textId="77777777" w:rsidR="00755118" w:rsidRDefault="00755118" w:rsidP="00755118">
      <w:r>
        <w:rPr>
          <w:rFonts w:eastAsia="TimesNewRomanPSMT"/>
          <w:lang w:bidi="hi-IN"/>
        </w:rPr>
        <w:t>Zaprojektowano studzienki kanalizacyjne rewizyjne DN 1500-2000 mm (łączenie na uszczelkę) - z elementów prefabrykowanych z betonu klasy C35/45.</w:t>
      </w:r>
    </w:p>
    <w:p w14:paraId="13296B89" w14:textId="77777777" w:rsidR="00755118" w:rsidRDefault="00755118" w:rsidP="00755118">
      <w:r>
        <w:rPr>
          <w:rFonts w:eastAsia="TimesNewRomanPSMT"/>
          <w:lang w:bidi="hi-IN"/>
        </w:rPr>
        <w:t>W skład studni rewizyjnych wchodzą:</w:t>
      </w:r>
    </w:p>
    <w:p w14:paraId="370F3033" w14:textId="77777777" w:rsidR="00755118" w:rsidRDefault="00755118" w:rsidP="00755118">
      <w:pPr>
        <w:pStyle w:val="Nagwek8"/>
        <w:numPr>
          <w:ilvl w:val="0"/>
          <w:numId w:val="59"/>
        </w:numPr>
      </w:pPr>
      <w:r>
        <w:rPr>
          <w:rFonts w:eastAsia="TimesNewRomanPSMT"/>
          <w:lang w:bidi="hi-IN"/>
        </w:rPr>
        <w:t>żelbetowa podstawa studni (C35/45) o wysokości h=100 cm i grubości ścianki 15 cm;</w:t>
      </w:r>
    </w:p>
    <w:p w14:paraId="5CB8EEAA" w14:textId="77777777" w:rsidR="00755118" w:rsidRDefault="00755118" w:rsidP="00755118">
      <w:pPr>
        <w:pStyle w:val="Nagwek8"/>
        <w:numPr>
          <w:ilvl w:val="0"/>
          <w:numId w:val="59"/>
        </w:numPr>
      </w:pPr>
      <w:r>
        <w:rPr>
          <w:rFonts w:eastAsia="TimesNewRomanPSMT"/>
          <w:lang w:bidi="hi-IN"/>
        </w:rPr>
        <w:t>kręgi żelbetowe (C35/45) o wysokości h=30, 50 i 100 cm, grubości ścianki 15,0 cm;</w:t>
      </w:r>
    </w:p>
    <w:p w14:paraId="3DA8DD4E" w14:textId="77777777" w:rsidR="00755118" w:rsidRDefault="00755118" w:rsidP="00755118">
      <w:pPr>
        <w:pStyle w:val="Nagwek8"/>
        <w:numPr>
          <w:ilvl w:val="0"/>
          <w:numId w:val="59"/>
        </w:numPr>
      </w:pPr>
      <w:r>
        <w:rPr>
          <w:rFonts w:eastAsia="TimesNewRomanPSMT"/>
          <w:lang w:bidi="hi-IN"/>
        </w:rPr>
        <w:t>zwężka żelbetowa DN 1000/600 otworem DN 62,5 cm;</w:t>
      </w:r>
    </w:p>
    <w:p w14:paraId="123EC23F" w14:textId="77777777" w:rsidR="00755118" w:rsidRDefault="00755118" w:rsidP="00755118">
      <w:pPr>
        <w:pStyle w:val="Nagwek8"/>
        <w:numPr>
          <w:ilvl w:val="0"/>
          <w:numId w:val="59"/>
        </w:numPr>
      </w:pPr>
      <w:r>
        <w:rPr>
          <w:rFonts w:eastAsia="TimesNewRomanPSMT"/>
          <w:lang w:bidi="hi-IN"/>
        </w:rPr>
        <w:t>kineta wylewana z betonu klasy C35/45;</w:t>
      </w:r>
    </w:p>
    <w:p w14:paraId="0CAE9440" w14:textId="77777777" w:rsidR="00755118" w:rsidRDefault="00755118" w:rsidP="00755118">
      <w:pPr>
        <w:pStyle w:val="Nagwek8"/>
        <w:numPr>
          <w:ilvl w:val="0"/>
          <w:numId w:val="59"/>
        </w:numPr>
      </w:pPr>
      <w:r>
        <w:rPr>
          <w:rFonts w:eastAsia="TimesNewRomanPSMT"/>
          <w:lang w:bidi="hi-IN"/>
        </w:rPr>
        <w:t xml:space="preserve">właz żeliwny DN 600 mm zgodnie z PN-EN 124: 2000, z zamknięciem ryglowym -  osadzony na pierścieniach wyrównawczych żelbetowych h=6 cm i h=8 cm; </w:t>
      </w:r>
    </w:p>
    <w:p w14:paraId="207A18EB" w14:textId="77777777" w:rsidR="00755118" w:rsidRDefault="00755118" w:rsidP="00755118">
      <w:pPr>
        <w:pStyle w:val="Nagwek8"/>
        <w:numPr>
          <w:ilvl w:val="0"/>
          <w:numId w:val="59"/>
        </w:numPr>
      </w:pPr>
      <w:r>
        <w:rPr>
          <w:rFonts w:eastAsia="TimesNewRomanPSMT"/>
          <w:lang w:bidi="hi-IN"/>
        </w:rPr>
        <w:t>stopnie złazowe żeliwne osadzone fabrycznie w kręgach;</w:t>
      </w:r>
    </w:p>
    <w:p w14:paraId="071AB5A8" w14:textId="77777777" w:rsidR="00755118" w:rsidRDefault="00755118" w:rsidP="00755118">
      <w:pPr>
        <w:pStyle w:val="Nagwek8"/>
        <w:numPr>
          <w:ilvl w:val="0"/>
          <w:numId w:val="59"/>
        </w:numPr>
      </w:pPr>
      <w:r>
        <w:rPr>
          <w:rFonts w:eastAsia="TimesNewRomanPSMT"/>
          <w:lang w:bidi="hi-IN"/>
        </w:rPr>
        <w:t>izolacja stropu oraz zewnętrznych powierzchni ścian prefabrykowanych preparetem wodoszczelnym;</w:t>
      </w:r>
    </w:p>
    <w:p w14:paraId="26B7B00C" w14:textId="77777777" w:rsidR="00755118" w:rsidRDefault="00755118" w:rsidP="00755118">
      <w:pPr>
        <w:pStyle w:val="Nagwek8"/>
        <w:numPr>
          <w:ilvl w:val="0"/>
          <w:numId w:val="59"/>
        </w:numPr>
      </w:pPr>
      <w:r>
        <w:rPr>
          <w:rFonts w:eastAsia="TimesNewRomanPSMT"/>
          <w:lang w:bidi="hi-IN"/>
        </w:rPr>
        <w:t>wzmocnienie powierzchni kinet preparatem impregnacyjnym w ilości łącznej 0,2 l/m</w:t>
      </w:r>
      <w:r>
        <w:rPr>
          <w:rFonts w:eastAsia="TimesNewRomanPSMT"/>
          <w:vertAlign w:val="superscript"/>
          <w:lang w:bidi="hi-IN"/>
        </w:rPr>
        <w:t>2</w:t>
      </w:r>
      <w:r>
        <w:rPr>
          <w:rFonts w:eastAsia="TimesNewRomanPSMT"/>
          <w:lang w:bidi="hi-IN"/>
        </w:rPr>
        <w:t>;</w:t>
      </w:r>
    </w:p>
    <w:p w14:paraId="6FE970CE" w14:textId="77777777" w:rsidR="00755118" w:rsidRDefault="00755118" w:rsidP="00755118">
      <w:pPr>
        <w:pStyle w:val="Nagwek8"/>
        <w:numPr>
          <w:ilvl w:val="0"/>
          <w:numId w:val="59"/>
        </w:numPr>
      </w:pPr>
      <w:r>
        <w:rPr>
          <w:rFonts w:eastAsia="TimesNewRomanPSMT"/>
          <w:lang w:bidi="hi-IN"/>
        </w:rPr>
        <w:t>uszczelnienia wejść rur kanalizacyjnych do studzienek.</w:t>
      </w:r>
    </w:p>
    <w:p w14:paraId="699994BB" w14:textId="77777777" w:rsidR="00755118" w:rsidRDefault="00755118" w:rsidP="00755118">
      <w:r>
        <w:rPr>
          <w:rFonts w:eastAsia="TimesNewRomanPSMT"/>
          <w:lang w:bidi="hi-IN"/>
        </w:rPr>
        <w:t>Włazy studni lokalizowanych w jezdni montować w osi pasa jezdni.</w:t>
      </w:r>
    </w:p>
    <w:p w14:paraId="43EBBA8D" w14:textId="77777777" w:rsidR="00755118" w:rsidRDefault="00755118" w:rsidP="00755118">
      <w:pPr>
        <w:pStyle w:val="Nagwek3"/>
      </w:pPr>
      <w:r>
        <w:rPr>
          <w:b w:val="0"/>
          <w:lang w:val="pl-PL"/>
        </w:rPr>
        <w:t xml:space="preserve">2.2.2 </w:t>
      </w:r>
      <w:r>
        <w:rPr>
          <w:b w:val="0"/>
        </w:rPr>
        <w:t>Studzienki kaskadowe (spadowe)</w:t>
      </w:r>
    </w:p>
    <w:p w14:paraId="45608D49" w14:textId="77777777" w:rsidR="00755118" w:rsidRDefault="00755118" w:rsidP="00755118">
      <w:r>
        <w:rPr>
          <w:rFonts w:eastAsia="TimesNewRomanPSMT"/>
        </w:rPr>
        <w:t xml:space="preserve">Przepady wewnętrzne wykonać z rur pełnościennych PE100 SDR17 PN10 (trójnik, rura pionowa, kolano monolityczne) połączonych przez zgrzewanie. Mocowanie rury pionowej przepadu za pomocą obejm sytemowych i prętów </w:t>
      </w:r>
      <w:r>
        <w:rPr>
          <w:rFonts w:eastAsia="TimesNewRomanPSMT"/>
          <w:lang w:bidi="hi-IN"/>
        </w:rPr>
        <w:t>nagwintowanych wklejanych. Wszystkie elementy stalowe ocynkowane.</w:t>
      </w:r>
    </w:p>
    <w:p w14:paraId="24191019" w14:textId="77777777" w:rsidR="00755118" w:rsidRDefault="00755118" w:rsidP="00755118">
      <w:pPr>
        <w:pStyle w:val="Nagwek3"/>
      </w:pPr>
      <w:r>
        <w:rPr>
          <w:b w:val="0"/>
          <w:lang w:val="pl-PL"/>
        </w:rPr>
        <w:t xml:space="preserve">2.2.3 </w:t>
      </w:r>
      <w:r>
        <w:rPr>
          <w:b w:val="0"/>
        </w:rPr>
        <w:t>Wpusty ściekowe uliczne</w:t>
      </w:r>
    </w:p>
    <w:p w14:paraId="708B5C1B" w14:textId="77777777" w:rsidR="00755118" w:rsidRDefault="00755118" w:rsidP="00755118">
      <w:r>
        <w:t>Studzienki ściekowe z prefabrykowanych elementów betonowych łączonych na uszczelki z betonu B45 (C35/45) wodoszczelnego i mrozoodpornego spełniające wymagania PN-EN 1917, składające się z:</w:t>
      </w:r>
    </w:p>
    <w:p w14:paraId="2D596D86" w14:textId="77777777" w:rsidR="00755118" w:rsidRDefault="00755118" w:rsidP="00755118">
      <w:pPr>
        <w:pStyle w:val="Nagwek8"/>
        <w:numPr>
          <w:ilvl w:val="0"/>
          <w:numId w:val="59"/>
        </w:numPr>
      </w:pPr>
      <w:r>
        <w:rPr>
          <w:lang w:bidi="hi-IN"/>
        </w:rPr>
        <w:t>z części dennej o średnicy wewn. 500mm i o wysokości dostosowanej do głębokości studzienki</w:t>
      </w:r>
    </w:p>
    <w:p w14:paraId="5ACB6EF1" w14:textId="77777777" w:rsidR="00755118" w:rsidRDefault="00755118" w:rsidP="00755118">
      <w:pPr>
        <w:pStyle w:val="Nagwek8"/>
        <w:numPr>
          <w:ilvl w:val="0"/>
          <w:numId w:val="59"/>
        </w:numPr>
      </w:pPr>
      <w:r>
        <w:rPr>
          <w:lang w:bidi="hi-IN"/>
        </w:rPr>
        <w:t>kręgów betonowych o średnicy 500mm i wysokości wg oferty producenta</w:t>
      </w:r>
    </w:p>
    <w:p w14:paraId="496BF568" w14:textId="77777777" w:rsidR="00755118" w:rsidRDefault="00755118" w:rsidP="00755118">
      <w:pPr>
        <w:pStyle w:val="Nagwek8"/>
        <w:numPr>
          <w:ilvl w:val="0"/>
          <w:numId w:val="59"/>
        </w:numPr>
      </w:pPr>
      <w:r>
        <w:rPr>
          <w:lang w:bidi="hi-IN"/>
        </w:rPr>
        <w:t>osadnika wysokości min. 1,05m,</w:t>
      </w:r>
    </w:p>
    <w:p w14:paraId="4DB27929" w14:textId="77777777" w:rsidR="00755118" w:rsidRDefault="00755118" w:rsidP="00755118">
      <w:pPr>
        <w:pStyle w:val="Nagwek8"/>
        <w:numPr>
          <w:ilvl w:val="0"/>
          <w:numId w:val="59"/>
        </w:numPr>
      </w:pPr>
      <w:r>
        <w:rPr>
          <w:lang w:bidi="hi-IN"/>
        </w:rPr>
        <w:t>pierścienia odciążającego z betonu C25/30zgodnie z dokumentacją projektową,</w:t>
      </w:r>
    </w:p>
    <w:p w14:paraId="52DF06B1" w14:textId="77777777" w:rsidR="00755118" w:rsidRDefault="00755118" w:rsidP="00755118">
      <w:pPr>
        <w:pStyle w:val="Nagwek8"/>
        <w:numPr>
          <w:ilvl w:val="0"/>
          <w:numId w:val="59"/>
        </w:numPr>
      </w:pPr>
      <w:r>
        <w:rPr>
          <w:lang w:bidi="hi-IN"/>
        </w:rPr>
        <w:t>płyty  pokrywowej z betonu C40/50 i stali 18G2 lub S235JR zgodnie z dokumentacją projektową z otworem do zamontowania wpustu,</w:t>
      </w:r>
    </w:p>
    <w:p w14:paraId="51108440" w14:textId="77777777" w:rsidR="00755118" w:rsidRDefault="00755118" w:rsidP="00755118">
      <w:pPr>
        <w:pStyle w:val="Nagwek8"/>
        <w:numPr>
          <w:ilvl w:val="0"/>
          <w:numId w:val="59"/>
        </w:numPr>
      </w:pPr>
      <w:r>
        <w:rPr>
          <w:lang w:bidi="hi-IN"/>
        </w:rPr>
        <w:t>wpustu ulicznego żeliwnego klasy D400  spełniającego wymagania PN-EN 124.</w:t>
      </w:r>
    </w:p>
    <w:p w14:paraId="01AE5DD3" w14:textId="77777777" w:rsidR="00755118" w:rsidRDefault="00755118" w:rsidP="00755118">
      <w:pPr>
        <w:pStyle w:val="Nagwek3"/>
      </w:pPr>
      <w:r>
        <w:rPr>
          <w:b w:val="0"/>
          <w:lang w:val="pl-PL"/>
        </w:rPr>
        <w:t xml:space="preserve">2.2.4 </w:t>
      </w:r>
      <w:r>
        <w:rPr>
          <w:b w:val="0"/>
        </w:rPr>
        <w:t>Izolacja zewnętrzna studni żelbetowych</w:t>
      </w:r>
    </w:p>
    <w:p w14:paraId="19522193" w14:textId="77777777" w:rsidR="00755118" w:rsidRDefault="00755118" w:rsidP="00755118">
      <w:r>
        <w:rPr>
          <w:rFonts w:eastAsia="Calibri"/>
        </w:rPr>
        <w:t xml:space="preserve">        </w:t>
      </w:r>
      <w:r>
        <w:t>Izolacja zewnętrznych powierzchni  studni  za pomocą roztwór asfaltowy do gruntowania i izolacji</w:t>
      </w:r>
    </w:p>
    <w:p w14:paraId="7EDEC789" w14:textId="77777777" w:rsidR="00755118" w:rsidRDefault="00755118" w:rsidP="00755118">
      <w:pPr>
        <w:pStyle w:val="Nagwek1"/>
      </w:pPr>
      <w:r>
        <w:rPr>
          <w:b w:val="0"/>
        </w:rPr>
        <w:t xml:space="preserve">3. </w:t>
      </w:r>
      <w:bookmarkStart w:id="888" w:name="bookmark2"/>
      <w:r>
        <w:rPr>
          <w:b w:val="0"/>
        </w:rPr>
        <w:t>SPRZĘT</w:t>
      </w:r>
      <w:bookmarkEnd w:id="888"/>
    </w:p>
    <w:p w14:paraId="4399E062" w14:textId="77777777" w:rsidR="00755118" w:rsidRDefault="00755118" w:rsidP="00755118">
      <w:r>
        <w:t>Ogólne wymagania dotyczące sprzętu podano w „Wymagania ogólne”.</w:t>
      </w:r>
    </w:p>
    <w:p w14:paraId="0141F522" w14:textId="77777777" w:rsidR="00755118" w:rsidRDefault="00755118" w:rsidP="00755118">
      <w:r>
        <w:t>Wykonawca przystępujący do wykonania kanalizacji deszczowej powinien wykazać się możliwością korzystania z następującego sprzętu:</w:t>
      </w:r>
    </w:p>
    <w:p w14:paraId="5A65D18C" w14:textId="77777777" w:rsidR="00755118" w:rsidRDefault="00755118" w:rsidP="00755118">
      <w:pPr>
        <w:pStyle w:val="Nagwek8"/>
        <w:numPr>
          <w:ilvl w:val="0"/>
          <w:numId w:val="59"/>
        </w:numPr>
      </w:pPr>
      <w:r>
        <w:t>żurawi budowlanych samochodowych</w:t>
      </w:r>
    </w:p>
    <w:p w14:paraId="0F24CA8B" w14:textId="77777777" w:rsidR="00755118" w:rsidRDefault="00755118" w:rsidP="00755118">
      <w:pPr>
        <w:pStyle w:val="Nagwek8"/>
        <w:numPr>
          <w:ilvl w:val="0"/>
          <w:numId w:val="59"/>
        </w:numPr>
      </w:pPr>
      <w:r>
        <w:t>samochodu dostawczego</w:t>
      </w:r>
    </w:p>
    <w:p w14:paraId="117AFDE8" w14:textId="77777777" w:rsidR="00755118" w:rsidRDefault="00755118" w:rsidP="00755118">
      <w:pPr>
        <w:pStyle w:val="Nagwek8"/>
        <w:numPr>
          <w:ilvl w:val="0"/>
          <w:numId w:val="59"/>
        </w:numPr>
      </w:pPr>
      <w:r>
        <w:t>samochodu skrzyniowego</w:t>
      </w:r>
    </w:p>
    <w:p w14:paraId="366B64BB" w14:textId="77777777" w:rsidR="00755118" w:rsidRDefault="00755118" w:rsidP="00755118">
      <w:pPr>
        <w:pStyle w:val="Nagwek8"/>
        <w:numPr>
          <w:ilvl w:val="0"/>
          <w:numId w:val="59"/>
        </w:numPr>
      </w:pPr>
      <w:r>
        <w:t>koparek podsiębiernych</w:t>
      </w:r>
    </w:p>
    <w:p w14:paraId="51041D4B" w14:textId="77777777" w:rsidR="00755118" w:rsidRDefault="00755118" w:rsidP="00755118">
      <w:pPr>
        <w:pStyle w:val="Nagwek8"/>
        <w:numPr>
          <w:ilvl w:val="0"/>
          <w:numId w:val="59"/>
        </w:numPr>
      </w:pPr>
      <w:r>
        <w:t>spycharek kołowych lub gąsienicowych</w:t>
      </w:r>
    </w:p>
    <w:p w14:paraId="25E4AB67" w14:textId="77777777" w:rsidR="00755118" w:rsidRDefault="00755118" w:rsidP="00755118">
      <w:pPr>
        <w:pStyle w:val="Nagwek8"/>
        <w:numPr>
          <w:ilvl w:val="0"/>
          <w:numId w:val="59"/>
        </w:numPr>
      </w:pPr>
      <w:r>
        <w:t>sprzętu mechanicznego do zagęszczania gruntu</w:t>
      </w:r>
    </w:p>
    <w:p w14:paraId="50904A23" w14:textId="77777777" w:rsidR="00755118" w:rsidRDefault="00755118" w:rsidP="00755118">
      <w:pPr>
        <w:pStyle w:val="Nagwek8"/>
        <w:numPr>
          <w:ilvl w:val="0"/>
          <w:numId w:val="59"/>
        </w:numPr>
      </w:pPr>
      <w:r>
        <w:t>sprzętu ręcznego ( ubijaków ) i mechanicznego do zagęszczania gruntu</w:t>
      </w:r>
    </w:p>
    <w:p w14:paraId="4A78F1A3" w14:textId="77777777" w:rsidR="00755118" w:rsidRDefault="00755118" w:rsidP="00755118">
      <w:pPr>
        <w:pStyle w:val="Nagwek8"/>
        <w:numPr>
          <w:ilvl w:val="0"/>
          <w:numId w:val="59"/>
        </w:numPr>
      </w:pPr>
      <w:r>
        <w:t>wciągarek mechanicznych</w:t>
      </w:r>
    </w:p>
    <w:p w14:paraId="1CDADAA6" w14:textId="77777777" w:rsidR="00755118" w:rsidRDefault="00755118" w:rsidP="00755118">
      <w:pPr>
        <w:pStyle w:val="Nagwek8"/>
        <w:numPr>
          <w:ilvl w:val="0"/>
          <w:numId w:val="59"/>
        </w:numPr>
      </w:pPr>
      <w:r>
        <w:t>betoniarki kołowej</w:t>
      </w:r>
    </w:p>
    <w:p w14:paraId="1302E361" w14:textId="77777777" w:rsidR="00755118" w:rsidRDefault="00755118" w:rsidP="00755118">
      <w:pPr>
        <w:pStyle w:val="Nagwek8"/>
        <w:numPr>
          <w:ilvl w:val="0"/>
          <w:numId w:val="59"/>
        </w:numPr>
      </w:pPr>
      <w:r>
        <w:t>beczkowozów</w:t>
      </w:r>
    </w:p>
    <w:p w14:paraId="70D9C83E" w14:textId="77777777" w:rsidR="00755118" w:rsidRDefault="00755118" w:rsidP="00755118">
      <w:pPr>
        <w:pStyle w:val="Nagwek8"/>
        <w:numPr>
          <w:ilvl w:val="0"/>
          <w:numId w:val="59"/>
        </w:numPr>
      </w:pPr>
      <w:r>
        <w:lastRenderedPageBreak/>
        <w:t>piła do cięcia asfaltu</w:t>
      </w:r>
    </w:p>
    <w:p w14:paraId="6DE3E1B7" w14:textId="77777777" w:rsidR="00755118" w:rsidRDefault="00755118" w:rsidP="00755118">
      <w:pPr>
        <w:pStyle w:val="Nagwek8"/>
        <w:numPr>
          <w:ilvl w:val="0"/>
          <w:numId w:val="59"/>
        </w:numPr>
      </w:pPr>
      <w:r>
        <w:rPr>
          <w:rFonts w:eastAsia="TimesNewRomanPSMT"/>
        </w:rPr>
        <w:t>systemy szalowania wykopów</w:t>
      </w:r>
    </w:p>
    <w:p w14:paraId="5A571899" w14:textId="77777777" w:rsidR="00755118" w:rsidRDefault="00755118" w:rsidP="00755118">
      <w:pPr>
        <w:pStyle w:val="Nagwek1"/>
      </w:pPr>
      <w:r>
        <w:rPr>
          <w:b w:val="0"/>
        </w:rPr>
        <w:t xml:space="preserve">4. </w:t>
      </w:r>
      <w:bookmarkStart w:id="889" w:name="bookmark3"/>
      <w:r>
        <w:rPr>
          <w:b w:val="0"/>
        </w:rPr>
        <w:t>TRANSPORT</w:t>
      </w:r>
      <w:bookmarkEnd w:id="889"/>
    </w:p>
    <w:p w14:paraId="5A578DCE" w14:textId="77777777" w:rsidR="00755118" w:rsidRDefault="00755118" w:rsidP="00755118">
      <w:r>
        <w:t>Ogólne wymagania dotyczące transportu podano w „Wymagania ogólne”.</w:t>
      </w:r>
    </w:p>
    <w:p w14:paraId="6BE80B13" w14:textId="77777777" w:rsidR="00755118" w:rsidRDefault="00755118" w:rsidP="00755118">
      <w:r>
        <w:t>Materiały do budowy kanalizacji można transportować dowolnymi środkami transportu, zabezpieczone przed uszkodzeniem lub zniszczeniem. Wykonawca zabezpieczy wyroby przewożone w pozycji poziomej przed przesuwaniem i przetaczaniem pod wpływem sił bezwładności występujących w czasie ruchu pojazdów. Przy wielowarstwowym układaniu materiałów warstwa nie może przewyższać ścian środka transportu o więcej niż 1/3 średnicy zewnętrznej wyrobu. Materiały mogące ulec uszkodzeniu w czasie transportu (rury) układać na podkładach drewnianych, zaś poszczególne warstwy w miejscach stykania się wyrobów należy przekładać materiałem wyściółkowym (o grubości warstwy od 2 do 4 cm po ugnieceniu).</w:t>
      </w:r>
    </w:p>
    <w:p w14:paraId="3FFDBFAE" w14:textId="77777777" w:rsidR="00755118" w:rsidRDefault="00755118" w:rsidP="00755118">
      <w:r>
        <w:rPr>
          <w:rFonts w:eastAsia="TimesNewRomanPSMT"/>
        </w:rPr>
        <w:t>Przy przewożeniu rur kanalizacyjnych środki transportu powinny mieć powierzchnie gładkie bez gwoździ lub innych ostrych krawędzi. Rury należy chronić przed wpływem temperatury powyżej 30°C. Szczególną ostrożność należy zachować w temperaturze bliskiej 0</w:t>
      </w:r>
      <w:r>
        <w:rPr>
          <w:rFonts w:eastAsia="TimesNewRomanPSMT"/>
          <w:vertAlign w:val="superscript"/>
        </w:rPr>
        <w:t>o</w:t>
      </w:r>
      <w:r>
        <w:rPr>
          <w:rFonts w:eastAsia="TimesNewRomanPSMT"/>
        </w:rPr>
        <w:t>C i niższej z uwagi na kruchość rur w tych temperaturach.</w:t>
      </w:r>
    </w:p>
    <w:p w14:paraId="04AF3FB8" w14:textId="77777777" w:rsidR="00755118" w:rsidRDefault="00755118" w:rsidP="00755118">
      <w:pPr>
        <w:pStyle w:val="Nagwek1"/>
      </w:pPr>
      <w:r>
        <w:rPr>
          <w:b w:val="0"/>
        </w:rPr>
        <w:t>5.</w:t>
      </w:r>
      <w:bookmarkStart w:id="890" w:name="bookmark4"/>
      <w:r>
        <w:rPr>
          <w:b w:val="0"/>
        </w:rPr>
        <w:t xml:space="preserve"> WYKONANIE ROBÓT</w:t>
      </w:r>
      <w:bookmarkEnd w:id="890"/>
    </w:p>
    <w:p w14:paraId="522C3096" w14:textId="77777777" w:rsidR="00755118" w:rsidRDefault="00755118" w:rsidP="00755118">
      <w:r>
        <w:t>Ogólne zasady wykonania robót podano w  „Wymagania ogólne”.</w:t>
      </w:r>
    </w:p>
    <w:p w14:paraId="0450D3EC" w14:textId="77777777" w:rsidR="00755118" w:rsidRDefault="00755118" w:rsidP="00755118">
      <w:pPr>
        <w:pStyle w:val="Nagwek2"/>
      </w:pPr>
      <w:r>
        <w:rPr>
          <w:b w:val="0"/>
          <w:lang w:val="pl-PL"/>
        </w:rPr>
        <w:t xml:space="preserve">5.1 </w:t>
      </w:r>
      <w:r>
        <w:rPr>
          <w:b w:val="0"/>
        </w:rPr>
        <w:t>Roboty przygotowawcze</w:t>
      </w:r>
    </w:p>
    <w:p w14:paraId="2BDEA7A7" w14:textId="77777777" w:rsidR="00755118" w:rsidRDefault="00755118" w:rsidP="00755118">
      <w:r>
        <w:rPr>
          <w:lang w:eastAsia="zh-CN" w:bidi="hi-IN"/>
        </w:rPr>
        <w:t>Trasę projektowanej sieci kanalizacyjnej oraz wszystkich elementów należy wytyczyć w oparciu o plan sytuacyjny i trwale oznaczyć w terenie za pomocą kołków osiowych, kołków świadków i kołków krawędziowych.</w:t>
      </w:r>
    </w:p>
    <w:p w14:paraId="17D27DDF" w14:textId="77777777" w:rsidR="00755118" w:rsidRDefault="00755118" w:rsidP="00755118">
      <w:r>
        <w:rPr>
          <w:lang w:eastAsia="zh-CN" w:bidi="hi-IN"/>
        </w:rPr>
        <w:t>W przypadku niedostatecznej ilości reperów stałych, Wykonawca wbuduje repery tymczasowe (z rzędnymi sprawdzonymi przez służby geodezyjne), a szkice sytuacyjne reperów i ich rzędne przekaże Inżynierowi.</w:t>
      </w:r>
    </w:p>
    <w:p w14:paraId="0133A371" w14:textId="77777777" w:rsidR="00755118" w:rsidRDefault="00755118" w:rsidP="00755118">
      <w:r>
        <w:rPr>
          <w:lang w:eastAsia="zh-CN" w:bidi="hi-IN"/>
        </w:rPr>
        <w:t>Jeżeli jest to konieczne do wykonania robót, Wykonawca przygotuje platformy robocze dla sprzętu.</w:t>
      </w:r>
    </w:p>
    <w:p w14:paraId="3511C7D8" w14:textId="77777777" w:rsidR="00755118" w:rsidRDefault="00755118" w:rsidP="00755118">
      <w:pPr>
        <w:pStyle w:val="Nagwek2"/>
      </w:pPr>
      <w:r>
        <w:rPr>
          <w:b w:val="0"/>
          <w:lang w:val="pl-PL"/>
        </w:rPr>
        <w:t xml:space="preserve">5.2 </w:t>
      </w:r>
      <w:r>
        <w:rPr>
          <w:b w:val="0"/>
        </w:rPr>
        <w:t>Roboty ziemne</w:t>
      </w:r>
    </w:p>
    <w:p w14:paraId="062C803E" w14:textId="77777777" w:rsidR="00755118" w:rsidRDefault="00755118" w:rsidP="00755118">
      <w:r>
        <w:t>Wykopy dla sieci kanalizacyjnej należy wykonać jako liniowe, o ścianach pionowych umocnionych. W pobliżu istniejącego uzbrojenia podziemnego - ręcznie. Odspojony grunt może zostać użyty do ponownego zsypanie wykopów lub odwieziony na odkład.</w:t>
      </w:r>
    </w:p>
    <w:p w14:paraId="7440702C" w14:textId="77777777" w:rsidR="00755118" w:rsidRDefault="00755118" w:rsidP="00755118">
      <w:r>
        <w:t>W wypadku układania rurociągów w nasypach drogowych, wykopy pod kanały wolno rozpocząć po wykonaniu i zagęszczeniu nasypu drogowego do rzędnej co najmniej większej o 0,5m od rzędnej wierzchu rury kanalizacyjnej.</w:t>
      </w:r>
    </w:p>
    <w:p w14:paraId="671C3F88" w14:textId="77777777" w:rsidR="00755118" w:rsidRDefault="00755118" w:rsidP="00755118">
      <w:r>
        <w:t>Wykop dla studni oraz separatora z uwagi na ich głębokość oraz możliwość zaistnienia wysokiego poziomu wód gruntowych, może być wykonywany w szczelnych ściankach.</w:t>
      </w:r>
    </w:p>
    <w:p w14:paraId="41BE2A16" w14:textId="77777777" w:rsidR="00755118" w:rsidRDefault="00755118" w:rsidP="00755118">
      <w:r>
        <w:t>Roboty ziemne należy prowadzić zgodnie z normą PN-B-10736, instrukcją producenta rur oraz z normą PN-EN 1610.</w:t>
      </w:r>
    </w:p>
    <w:p w14:paraId="37615420" w14:textId="77777777" w:rsidR="00755118" w:rsidRDefault="00755118" w:rsidP="00755118">
      <w:r>
        <w:t>Podczas prowadzenia robót, przez cały czas trwania budowy, należy zabezpieczyć wykopy barierami ochronnymi i tablicami ostrzegawczymi, a w nocy oświetlić światłem sztucznym - ostrzegawczym. W miejscach przejść dla pieszych ustawić kładki z barierkami.</w:t>
      </w:r>
    </w:p>
    <w:p w14:paraId="2BE52A11" w14:textId="77777777" w:rsidR="00755118" w:rsidRDefault="00755118" w:rsidP="00755118">
      <w:r>
        <w:t>W miejscu występowania wód gruntowych w dnie wkopów należy wykonać odwodnienie na czas prowadzenia robót. Sposób odwodnienia wykopów należy dostosować. do panujących w czasie wykonywania robót warunków gruntowo-wodnych. Odprowadzenie wód do istniejących zbiorników naturalnych i urządzeń odwadniających musi być poprzedzone uzgodnieniem z odpowiednimi instytucjami.</w:t>
      </w:r>
    </w:p>
    <w:p w14:paraId="118B8ADF" w14:textId="77777777" w:rsidR="00755118" w:rsidRDefault="00755118" w:rsidP="00755118">
      <w:pPr>
        <w:pStyle w:val="Nagwek2"/>
      </w:pPr>
      <w:r>
        <w:rPr>
          <w:b w:val="0"/>
          <w:lang w:val="pl-PL" w:bidi="hi-IN"/>
        </w:rPr>
        <w:lastRenderedPageBreak/>
        <w:t xml:space="preserve">5.3 </w:t>
      </w:r>
      <w:r>
        <w:rPr>
          <w:b w:val="0"/>
          <w:lang w:bidi="hi-IN"/>
        </w:rPr>
        <w:t>Przygotowanie podłoża</w:t>
      </w:r>
    </w:p>
    <w:p w14:paraId="315B456F" w14:textId="77777777" w:rsidR="00755118" w:rsidRDefault="00755118" w:rsidP="00755118">
      <w:r>
        <w:t>Podłoże pod projektowany kanał należy wykonać zgodnie z dokumentacją projektową, a szczególnie z przekrojami podbudowy podanymi na profilach kanałów</w:t>
      </w:r>
    </w:p>
    <w:p w14:paraId="1583848D" w14:textId="77777777" w:rsidR="00755118" w:rsidRDefault="00755118" w:rsidP="00755118">
      <w:r>
        <w:t>Pod rury należy wykonać podsypkę z piasku grubości co najmniej 10-20cm. Podłoże pod rury powinno być tak przygotowane, aby rury po ich ułożeniu opierały się na całej jego długości w co najmniej 1/4 obwodu z wyłączeniem złącz. W miejscach łączenia rur, w podłożu należy wykonać niecki montażowe o szerokości odpowiadającej 2-3 krotnej szerokości złącza. Dopuszczalne zmniejszenie grubości podłoża od przewidywanej w Dokumentacji Projektowej, nie powinno być większe niż 10%. Dopuszczalne odchylenie rzędnych podłoża od rzędnych w dokumentacji nie powinno przekraczać +1cm.</w:t>
      </w:r>
    </w:p>
    <w:p w14:paraId="7180C4CD" w14:textId="77777777" w:rsidR="00755118" w:rsidRDefault="00755118" w:rsidP="00755118">
      <w:r>
        <w:t>W obszarze występowania gruntów plastycznych wykonać wzmocnienie podsypki z zastosowaniem georusztów na warstwie tłucznia.</w:t>
      </w:r>
    </w:p>
    <w:p w14:paraId="740AD36C" w14:textId="77777777" w:rsidR="00755118" w:rsidRDefault="00755118" w:rsidP="00755118">
      <w:pPr>
        <w:pStyle w:val="Nagwek2"/>
      </w:pPr>
      <w:r>
        <w:rPr>
          <w:b w:val="0"/>
          <w:lang w:val="pl-PL" w:bidi="hi-IN"/>
        </w:rPr>
        <w:t xml:space="preserve">5.4 </w:t>
      </w:r>
      <w:r>
        <w:rPr>
          <w:b w:val="0"/>
          <w:lang w:bidi="hi-IN"/>
        </w:rPr>
        <w:t>Roboty montażowe</w:t>
      </w:r>
    </w:p>
    <w:p w14:paraId="5E5DC640" w14:textId="77777777" w:rsidR="00755118" w:rsidRDefault="00755118" w:rsidP="00755118">
      <w:r>
        <w:t>Sposób budowy kanału musi gwarantować utrzymanie trasy i spadków zgodnie z Dokumentacją Projektową oraz spełniać warunki określone w normie PN-EN 1610. Przy układaniu kanału należy zachować prostoliniowość osi zarówno w płaszczyźnie poziomej jak i pionowej.</w:t>
      </w:r>
    </w:p>
    <w:p w14:paraId="4E8B745E" w14:textId="77777777" w:rsidR="00755118" w:rsidRDefault="00755118" w:rsidP="00755118">
      <w:r>
        <w:t>Całość robót montażowych związanych z budową sieci kanalizacji deszczowej należy wykonać zgodnie: z zasadami sztuki budowlanej, z normą PN-EN 1610, z instrukcjami producentów poszczególnych elementów oraz z Warunkami Technicznymi Wykonania i Odbioru Rurociągów z Tworzyw Sztucznych -wydanymi przez Polską Korporację Techniki Sanitarnej , Grzewczej i Klimatyzacji Warszawa 1994r.</w:t>
      </w:r>
    </w:p>
    <w:p w14:paraId="56FC224C" w14:textId="77777777" w:rsidR="00755118" w:rsidRDefault="00755118" w:rsidP="00755118">
      <w:r>
        <w:t>Rury należy układać w temperaturze powyżej 0</w:t>
      </w:r>
      <w:r>
        <w:rPr>
          <w:vertAlign w:val="superscript"/>
        </w:rPr>
        <w:t>o</w:t>
      </w:r>
      <w:r>
        <w:t xml:space="preserve"> C, a wszelkiego rodzaju betonowania wykonywać w temperaturze nie mniejszej niż +8</w:t>
      </w:r>
      <w:r>
        <w:rPr>
          <w:vertAlign w:val="superscript"/>
        </w:rPr>
        <w:t>o</w:t>
      </w:r>
      <w:r>
        <w:t xml:space="preserve"> C.</w:t>
      </w:r>
    </w:p>
    <w:p w14:paraId="21BCA9E2" w14:textId="77777777" w:rsidR="00755118" w:rsidRDefault="00755118" w:rsidP="00755118">
      <w:r>
        <w:t>Przed zakończeniem dnia roboczego bądź przed zejściem z budowy należy zabezpieczyć końce ułożonego kanału przed zamuleniem.</w:t>
      </w:r>
    </w:p>
    <w:p w14:paraId="5DCE08A2" w14:textId="77777777" w:rsidR="00755118" w:rsidRDefault="00755118" w:rsidP="00755118">
      <w:r>
        <w:t>Wszystkie roboty należy prowadzić zgodnie z: Rozporządzeniem Ministra Infrastruktury z dnia 6 lutego 2003r. w sprawie bezpieczeństwa i higieny pracy podczas wykonywania robót budowlanych (Dz. U. Nr 47 poz. 401 z późniejszymi zmianami) oraz „Warunkami technicznymi wykonania i odbioru sieci kanalizacyjnych” zeszyt nr 9 CORBIT INSTAL lub instrukcjami montażowymi producenta.</w:t>
      </w:r>
    </w:p>
    <w:p w14:paraId="442E1E45" w14:textId="77777777" w:rsidR="00755118" w:rsidRDefault="00755118" w:rsidP="00755118">
      <w:r>
        <w:t>Na odcinkach przejścia kanałów pod drogami w przypadku niewystarczającego przykrycia przewidziano ich ułożenie w rurach ochronnych GRP lub stalowych układanych na podsypce piaskowej. Rury przewodowe posadowić na płozach ślizgowych.</w:t>
      </w:r>
    </w:p>
    <w:p w14:paraId="384C1ABA" w14:textId="77777777" w:rsidR="00755118" w:rsidRDefault="00755118" w:rsidP="00755118">
      <w:r>
        <w:t>Połączenia oraz posadowienie rur powinny być wykonane zgodnie z instrukcją oraz wytycznymi montażowymi producenta rur.</w:t>
      </w:r>
    </w:p>
    <w:p w14:paraId="5AAA2D5B" w14:textId="77777777" w:rsidR="00755118" w:rsidRDefault="00755118" w:rsidP="00755118">
      <w:r>
        <w:t>Odchyłka osi ułożonego przewodu od osi projektowanej nie może przekraczać + 2 cm.</w:t>
      </w:r>
    </w:p>
    <w:p w14:paraId="4D9AE974" w14:textId="77777777" w:rsidR="00755118" w:rsidRDefault="00755118" w:rsidP="00755118">
      <w:r>
        <w:t>Po zakończeniu dnia roboczego należy końcówki rur zabezpieczyć przed zamuleniem (folią lub deklami). Rurociągi o przykryciu mniejszym niż 1,0 m należy zabezpieczyć termicznie poprzez ocieplenie. Dotyczy to szczególnie przejść pod rowami.</w:t>
      </w:r>
    </w:p>
    <w:p w14:paraId="4AFAE879" w14:textId="77777777" w:rsidR="00755118" w:rsidRDefault="00755118" w:rsidP="00755118">
      <w:pPr>
        <w:pStyle w:val="Nagwek2"/>
      </w:pPr>
      <w:r>
        <w:rPr>
          <w:b w:val="0"/>
          <w:lang w:val="pl-PL" w:bidi="hi-IN"/>
        </w:rPr>
        <w:t xml:space="preserve">5.5 </w:t>
      </w:r>
      <w:r>
        <w:rPr>
          <w:b w:val="0"/>
          <w:lang w:bidi="hi-IN"/>
        </w:rPr>
        <w:t>Studnie kanalizacyjne</w:t>
      </w:r>
    </w:p>
    <w:p w14:paraId="16B541ED" w14:textId="77777777" w:rsidR="00755118" w:rsidRDefault="00755118" w:rsidP="00755118">
      <w:r>
        <w:rPr>
          <w:lang w:bidi="hi-IN"/>
        </w:rPr>
        <w:t>Studnie kanalizacyjne należy wykonać z elementów prefabrykowanych łączonych na uszczelki, o średnicach jak podano w dokumentacji projektowej.</w:t>
      </w:r>
    </w:p>
    <w:p w14:paraId="42AEDE04" w14:textId="77777777" w:rsidR="00755118" w:rsidRDefault="00755118" w:rsidP="00755118">
      <w:r>
        <w:rPr>
          <w:lang w:bidi="hi-IN"/>
        </w:rPr>
        <w:t>Zwieńczenie studni wykonać za pomocą systemowej płyty pokrywowej betonowej zbrojonej o średnicy dostosowanej do średnicy projektowanej z pierścieniem odciążającym z betonu, Dopuszcza się rezygnację z pierścieni odciążających w terenach nie obciążonych ruchem</w:t>
      </w:r>
    </w:p>
    <w:p w14:paraId="49880CC7" w14:textId="77777777" w:rsidR="00755118" w:rsidRDefault="00755118" w:rsidP="00755118">
      <w:r>
        <w:rPr>
          <w:lang w:bidi="hi-IN"/>
        </w:rPr>
        <w:lastRenderedPageBreak/>
        <w:t>Powierzchnie betonowe zewnętrzne studni osadników oraz elementy betonowe stykające się z warstwą gruntu lub narażone na działanie wilgoci należy zabezpieczyć przed przesiąkaniem wody powłoką wodoodporną.</w:t>
      </w:r>
    </w:p>
    <w:p w14:paraId="035F1985" w14:textId="77777777" w:rsidR="00755118" w:rsidRDefault="00755118" w:rsidP="00755118">
      <w:r>
        <w:rPr>
          <w:rFonts w:eastAsia="TimesNewRomanPSMT"/>
          <w:lang w:bidi="hi-IN"/>
        </w:rPr>
        <w:t xml:space="preserve">Na studniach kanalizacyjnych zamontować włazy żeliwne z zabezpieczeniem przed obrotem 2-4 ryglami. W </w:t>
      </w:r>
    </w:p>
    <w:p w14:paraId="7262B404" w14:textId="77777777" w:rsidR="00755118" w:rsidRDefault="00755118" w:rsidP="00755118">
      <w:pPr>
        <w:pStyle w:val="Nagwek2"/>
      </w:pPr>
      <w:r>
        <w:rPr>
          <w:b w:val="0"/>
          <w:lang w:val="pl-PL" w:bidi="hi-IN"/>
        </w:rPr>
        <w:t xml:space="preserve">5.6 </w:t>
      </w:r>
      <w:r>
        <w:rPr>
          <w:b w:val="0"/>
          <w:lang w:bidi="hi-IN"/>
        </w:rPr>
        <w:t>Zasypanie wykopów i ich zagęszczenie</w:t>
      </w:r>
    </w:p>
    <w:p w14:paraId="4FA10034" w14:textId="77777777" w:rsidR="00755118" w:rsidRDefault="00755118" w:rsidP="00755118">
      <w:r>
        <w:t>Zasypywanie rur w wykopie należy prowadzić warstwami grubości 20 cm. Materiał zasypkowy powinien być równomiernie układany i zagęszczany po obu stronach przewodu.</w:t>
      </w:r>
    </w:p>
    <w:p w14:paraId="6E91A361" w14:textId="77777777" w:rsidR="00755118" w:rsidRDefault="00755118" w:rsidP="00755118">
      <w:r>
        <w:t>Rury należy ułożyć na podsypce ochronnej z piasku grubości 20 cm. Po ich ułożeniu należy wykonać ich obsypkę ochronną z piasku o grubości równej średnicy zewnętrznej +30 cm nad rurociągiem. Dalszą zasypkę rurociągu w terenie zieleni poza korpusem drogowym wykonać rozdrobnionym gruntem rodzimym, a pod korpusem drogowym oraz poza korpusem drogowym pod jezdnią i chodnikiem gruntem przydatnym do budowy nasypów, natomiast do rzędnej wód gruntowych materiałem spełniającym wymagania górnej warstwy nasypu.</w:t>
      </w:r>
    </w:p>
    <w:p w14:paraId="6435ADEE" w14:textId="77777777" w:rsidR="00755118" w:rsidRDefault="00755118" w:rsidP="00755118">
      <w:r>
        <w:t>Wartość wskaźnika zagęszczenia I</w:t>
      </w:r>
      <w:r>
        <w:rPr>
          <w:rStyle w:val="Teksttreci6pt"/>
          <w:rFonts w:ascii="Calibri" w:hAnsi="Calibri" w:cs="Calibri"/>
        </w:rPr>
        <w:t xml:space="preserve">s </w:t>
      </w:r>
      <w:r>
        <w:t xml:space="preserve">w nasypach i wykopach w obrębie korpusu drogowego powinna być zgodna z wymaganiami podanymi w PN-S-02205.  </w:t>
      </w:r>
    </w:p>
    <w:p w14:paraId="7A5E80AA" w14:textId="77777777" w:rsidR="00755118" w:rsidRDefault="00755118" w:rsidP="00755118">
      <w:r>
        <w:t>Pod poboczem drogi wskaźnik zagęszczenia gruntu może wynosić Is&gt;0,97.</w:t>
      </w:r>
    </w:p>
    <w:p w14:paraId="167AE79B" w14:textId="77777777" w:rsidR="00755118" w:rsidRDefault="00755118" w:rsidP="00755118">
      <w:r>
        <w:t>Pod terenami przyległymi i poza korpusem drogi Is&gt;0,95.</w:t>
      </w:r>
    </w:p>
    <w:p w14:paraId="0413E3E1" w14:textId="77777777" w:rsidR="00755118" w:rsidRDefault="00755118" w:rsidP="00755118">
      <w:r>
        <w:t>Wskaźnik zagęszczenia zasypki wykopów należy określać w 2 miejscach na długości 100 m. W gruntach piaszczystych kontrolę zagęszczenia można przeprowadzić metodą sondowania.</w:t>
      </w:r>
    </w:p>
    <w:p w14:paraId="0A19D58E" w14:textId="77777777" w:rsidR="00755118" w:rsidRDefault="00755118" w:rsidP="00755118">
      <w:r>
        <w:t xml:space="preserve">Dopuszcza się badanie zagęszczenia płytą dynamiczną, za wyjątkiem warstw w konstrukcji drogi. </w:t>
      </w:r>
    </w:p>
    <w:p w14:paraId="1C225F83" w14:textId="77777777" w:rsidR="00755118" w:rsidRDefault="00755118" w:rsidP="00755118">
      <w:pPr>
        <w:pStyle w:val="Nagwek8"/>
        <w:numPr>
          <w:ilvl w:val="0"/>
          <w:numId w:val="59"/>
        </w:numPr>
      </w:pPr>
      <w:r>
        <w:t xml:space="preserve">Wymagania dla Is&gt;0,95 - Evd &gt; 20 </w:t>
      </w:r>
    </w:p>
    <w:p w14:paraId="6DB6DD88" w14:textId="77777777" w:rsidR="00755118" w:rsidRDefault="00755118" w:rsidP="00755118">
      <w:pPr>
        <w:pStyle w:val="Nagwek8"/>
        <w:numPr>
          <w:ilvl w:val="0"/>
          <w:numId w:val="59"/>
        </w:numPr>
      </w:pPr>
      <w:r>
        <w:t xml:space="preserve">Wymagania dla Is&gt;0,97 - Evd &gt; 25 </w:t>
      </w:r>
    </w:p>
    <w:p w14:paraId="1B5DAC69" w14:textId="77777777" w:rsidR="00755118" w:rsidRDefault="00755118" w:rsidP="00755118">
      <w:pPr>
        <w:pStyle w:val="Nagwek8"/>
        <w:numPr>
          <w:ilvl w:val="0"/>
          <w:numId w:val="59"/>
        </w:numPr>
      </w:pPr>
      <w:r>
        <w:t>Wymagania dla Is&gt;1,00 - Evd &gt; 35</w:t>
      </w:r>
    </w:p>
    <w:p w14:paraId="73ABF150" w14:textId="77777777" w:rsidR="00755118" w:rsidRDefault="00755118" w:rsidP="00755118">
      <w:r>
        <w:rPr>
          <w:rFonts w:eastAsia="TimesNewRomanPSMT"/>
        </w:rPr>
        <w:t>Niedopuszczalne jest jeżdżenie ciężkim sprzętem drogowym po przewodach kanalizacyjnych przykrytych warstwą gruntu mniejszą niż 1,0m.</w:t>
      </w:r>
    </w:p>
    <w:p w14:paraId="26557A9B" w14:textId="77777777" w:rsidR="00755118" w:rsidRDefault="00755118" w:rsidP="00755118">
      <w:pPr>
        <w:pStyle w:val="Nagwek1"/>
      </w:pPr>
      <w:r>
        <w:rPr>
          <w:b w:val="0"/>
        </w:rPr>
        <w:t xml:space="preserve">6. </w:t>
      </w:r>
      <w:bookmarkStart w:id="891" w:name="bookmark5"/>
      <w:r>
        <w:rPr>
          <w:b w:val="0"/>
        </w:rPr>
        <w:t>KONTROLA JAKOŚCI ROBÓT</w:t>
      </w:r>
      <w:bookmarkEnd w:id="891"/>
    </w:p>
    <w:p w14:paraId="384D5F8E" w14:textId="77777777" w:rsidR="00755118" w:rsidRDefault="00755118" w:rsidP="00755118">
      <w:r>
        <w:t>Ogólne zasady kontroli jakości robót podano w  „Wymagania ogólne”.</w:t>
      </w:r>
    </w:p>
    <w:p w14:paraId="0B579CDC" w14:textId="77777777" w:rsidR="00755118" w:rsidRDefault="00755118" w:rsidP="00755118">
      <w:pPr>
        <w:pStyle w:val="Nagwek2"/>
      </w:pPr>
      <w:r>
        <w:rPr>
          <w:b w:val="0"/>
        </w:rPr>
        <w:t>6.1 Badanie przed przystąpieniem do robót</w:t>
      </w:r>
    </w:p>
    <w:p w14:paraId="3B296855" w14:textId="77777777" w:rsidR="00755118" w:rsidRDefault="00755118" w:rsidP="00755118">
      <w:r>
        <w:t>Przed przystąpieniem do robót Wykonawca powinien:</w:t>
      </w:r>
    </w:p>
    <w:p w14:paraId="3E945880" w14:textId="77777777" w:rsidR="00755118" w:rsidRDefault="00755118" w:rsidP="00755118">
      <w:pPr>
        <w:pStyle w:val="Nagwek8"/>
        <w:numPr>
          <w:ilvl w:val="0"/>
          <w:numId w:val="59"/>
        </w:numPr>
      </w:pPr>
      <w:r>
        <w:t>uzyskać wymagane dokumenty, dopuszczające wyroby budowlane do obrotu i powszechnego stosowania (certyfikaty zgodności, deklarację właściwości użytkowych, ew. badania materiałów wykonane przez dostawców itp.),</w:t>
      </w:r>
    </w:p>
    <w:p w14:paraId="5C13F540" w14:textId="77777777" w:rsidR="00755118" w:rsidRDefault="00755118" w:rsidP="00755118">
      <w:pPr>
        <w:pStyle w:val="Nagwek8"/>
        <w:numPr>
          <w:ilvl w:val="0"/>
          <w:numId w:val="59"/>
        </w:numPr>
      </w:pPr>
      <w:r>
        <w:t>sprawdzić cechy zewnętrzne gotowych materiałów.</w:t>
      </w:r>
    </w:p>
    <w:p w14:paraId="04B46E6C" w14:textId="77777777" w:rsidR="00755118" w:rsidRDefault="00755118" w:rsidP="00755118">
      <w:r>
        <w:t>Wszystkie dokumenty oraz wyniki badań Wykonawca przedstawia Inżynierowi do akceptacji.</w:t>
      </w:r>
    </w:p>
    <w:p w14:paraId="18FCD45E" w14:textId="77777777" w:rsidR="00755118" w:rsidRDefault="00755118" w:rsidP="00755118">
      <w:r>
        <w:t>Przed przystąpieniem do robót Wykonawca powinien wykonać badania materiałów do betonu i zapraw i ustalić recepturę.</w:t>
      </w:r>
    </w:p>
    <w:p w14:paraId="366BD74A" w14:textId="77777777" w:rsidR="00755118" w:rsidRDefault="00755118" w:rsidP="00755118">
      <w:pPr>
        <w:pStyle w:val="Nagwek2"/>
      </w:pPr>
      <w:r>
        <w:rPr>
          <w:b w:val="0"/>
        </w:rPr>
        <w:t>6.2. Kontrola, pomiary i badania w czasie robót</w:t>
      </w:r>
    </w:p>
    <w:p w14:paraId="622F141D" w14:textId="77777777" w:rsidR="00755118" w:rsidRDefault="00755118" w:rsidP="00755118">
      <w:r>
        <w:t>Kontrola związana z wykonaniem kanalizacji deszczowej i urządzeń oczyszczających powinna być przeprowadzona w czasie wszystkich faz robót zgodnie z wymaganiami normy PN-EN 1610. Wyniki przeprowadzonych badań należy uznać za dodatnie, jeżeli wszystkie wymagania dla danej fazy robót zostały spełnione. Jeśli którekolwiek z wymagań nie zostało spełnione, należy daną fazę robót uznać za niezgodną z wymaganiami normy i po wykonaniu poprawek przeprowadzić badania ponownie.</w:t>
      </w:r>
    </w:p>
    <w:p w14:paraId="43237B65" w14:textId="77777777" w:rsidR="00755118" w:rsidRDefault="00755118" w:rsidP="00755118">
      <w:r>
        <w:t>Kontrola jakości robót powinna obejmować następujące badania:</w:t>
      </w:r>
    </w:p>
    <w:p w14:paraId="4341A9E2" w14:textId="77777777" w:rsidR="00755118" w:rsidRDefault="00755118" w:rsidP="00755118">
      <w:pPr>
        <w:pStyle w:val="Nagwek8"/>
        <w:numPr>
          <w:ilvl w:val="0"/>
          <w:numId w:val="59"/>
        </w:numPr>
      </w:pPr>
      <w:r>
        <w:rPr>
          <w:rFonts w:eastAsia="Arial"/>
        </w:rPr>
        <w:lastRenderedPageBreak/>
        <w:t>Sprawdzenie zgodności z Dokumentacją Projektową</w:t>
      </w:r>
      <w:r>
        <w:t xml:space="preserve"> polega na porównaniu wykonywanych bądź wykonanych robót z Dokumentacją Projektową oraz na stwierdzeniu wzajemnej zgodności na podstawie oględzin i pomiarów.</w:t>
      </w:r>
    </w:p>
    <w:p w14:paraId="491F14EC" w14:textId="77777777" w:rsidR="00755118" w:rsidRDefault="00755118" w:rsidP="00755118">
      <w:pPr>
        <w:pStyle w:val="Nagwek8"/>
        <w:numPr>
          <w:ilvl w:val="0"/>
          <w:numId w:val="59"/>
        </w:numPr>
      </w:pPr>
      <w:r>
        <w:t>Badania wykopów otwartych obejmują badania materiałów i elementów obudowy, zabezpieczenia wykopów przed zalaniem wodą z opadów atmosferycznych, zachowanie warunków bezpieczeństwa pracy.</w:t>
      </w:r>
    </w:p>
    <w:p w14:paraId="4872890F" w14:textId="77777777" w:rsidR="00755118" w:rsidRDefault="00755118" w:rsidP="00755118">
      <w:pPr>
        <w:pStyle w:val="Nagwek8"/>
        <w:numPr>
          <w:ilvl w:val="0"/>
          <w:numId w:val="59"/>
        </w:numPr>
      </w:pPr>
      <w:r>
        <w:t>Badania podłoża naturalnego przeprowadza się dla stwierdzenia czy grunt podłoża stanowi nienaruszony rodzimy grunt sypki, ma naturalną wilgotność, nie został podebrany, jest zgodny z określonymi warunkami w Dokumentacji Projektowej i odpowiada wymaganiom normy PN-B-02480. W przypadku niezgodności z warunkami określonymi w Dokumentacji Projektowej należy przeprowadzić dodatkowe badania wg PN-B-03020 rodzaju i stopnia agresywności środowiska i wprowadzić korektę w Dokumentacji Projektowej oraz przedstawić do akceptacji Inspektorowi Nadzoru.</w:t>
      </w:r>
    </w:p>
    <w:p w14:paraId="6D00F0CB" w14:textId="77777777" w:rsidR="00755118" w:rsidRDefault="00755118" w:rsidP="00755118">
      <w:pPr>
        <w:pStyle w:val="Nagwek8"/>
        <w:numPr>
          <w:ilvl w:val="0"/>
          <w:numId w:val="59"/>
        </w:numPr>
      </w:pPr>
      <w:r>
        <w:t>Badania zasypu przewodu sprowadza się do badania warstwy ochronnej zasypu, zasypu przewodu do powierzchni terenu.</w:t>
      </w:r>
    </w:p>
    <w:p w14:paraId="58228E9C" w14:textId="77777777" w:rsidR="00755118" w:rsidRDefault="00755118" w:rsidP="00755118">
      <w:pPr>
        <w:pStyle w:val="Nagwek8"/>
        <w:numPr>
          <w:ilvl w:val="0"/>
          <w:numId w:val="59"/>
        </w:numPr>
      </w:pPr>
      <w:r>
        <w:t>Badania warstwy ochronnej zasypu należy wykonać przez pomiar jego wysokości nad wierzchem kanału, zbadanie dotykiem sypkości materiału użytego do zasypu, skontrolowanie ubicia ziemi. Pomiar należy wykonać z dokładnością do 10 cm w miejscach odległych od siebie nie więcej niż 80 m.</w:t>
      </w:r>
    </w:p>
    <w:p w14:paraId="40C5E20B" w14:textId="77777777" w:rsidR="00755118" w:rsidRDefault="00755118" w:rsidP="00755118">
      <w:pPr>
        <w:pStyle w:val="Nagwek8"/>
        <w:numPr>
          <w:ilvl w:val="0"/>
          <w:numId w:val="59"/>
        </w:numPr>
      </w:pPr>
      <w:r>
        <w:t>Badania nasypu stałego sprowadza się do badania zagęszczenia gruntu nasypowego wg pkt. 5.8.</w:t>
      </w:r>
    </w:p>
    <w:p w14:paraId="027DA501" w14:textId="77777777" w:rsidR="00755118" w:rsidRDefault="00755118" w:rsidP="00755118">
      <w:pPr>
        <w:pStyle w:val="Nagwek8"/>
        <w:numPr>
          <w:ilvl w:val="0"/>
          <w:numId w:val="59"/>
        </w:numPr>
      </w:pPr>
      <w:r>
        <w:t>Badania w zakresie przewodu, studzienek, separator, zbiornika  obejmują czynności wstępne sprowadzające się do pomiaru w planie i w profilu, badanie połączenia rur i prefabrykatów. Ułożenie przewodu na podłożu naturalnym i wzmocnionym powinno zapewnić ścisłe oparcie rur na całej długości podłoża Sprawdzenie wykonania połączeń rur i prefabrykatów należy przeprowadzić przez oględziny zewnętrzne. Sprawdzenie działania zasuw.</w:t>
      </w:r>
    </w:p>
    <w:p w14:paraId="292FC525" w14:textId="77777777" w:rsidR="00755118" w:rsidRDefault="00755118" w:rsidP="00755118">
      <w:pPr>
        <w:pStyle w:val="Nagwek8"/>
        <w:numPr>
          <w:ilvl w:val="0"/>
          <w:numId w:val="59"/>
        </w:numPr>
      </w:pPr>
      <w:r>
        <w:t>Badanie szczelności odcinka przewodu na eksfiltrację i infiltrację zgodnie z PN EN 1610. Dopuszcza się zastąpienie badania szczelności przez napełnienie wodą, przez inspekcją kamerą poszczególnych odcinków.</w:t>
      </w:r>
    </w:p>
    <w:p w14:paraId="28AAF59C" w14:textId="77777777" w:rsidR="00755118" w:rsidRDefault="00755118" w:rsidP="00755118">
      <w:pPr>
        <w:pStyle w:val="Nagwek8"/>
        <w:numPr>
          <w:ilvl w:val="0"/>
          <w:numId w:val="59"/>
        </w:numPr>
      </w:pPr>
      <w:r>
        <w:t>Badanie wykonania umocnienia wylotów do odbiorników należy sprawdzić przez oględziny zewnętrzne.</w:t>
      </w:r>
    </w:p>
    <w:p w14:paraId="419D31FF" w14:textId="77777777" w:rsidR="00755118" w:rsidRDefault="00755118" w:rsidP="00755118">
      <w:pPr>
        <w:pStyle w:val="Nagwek2"/>
      </w:pPr>
      <w:r>
        <w:rPr>
          <w:b w:val="0"/>
        </w:rPr>
        <w:t>6.3. Dopuszczalne tolerancje i wymagania</w:t>
      </w:r>
    </w:p>
    <w:p w14:paraId="4693D2B0" w14:textId="77777777" w:rsidR="00755118" w:rsidRDefault="00755118" w:rsidP="00755118">
      <w:pPr>
        <w:pStyle w:val="Nagwek8"/>
        <w:numPr>
          <w:ilvl w:val="0"/>
          <w:numId w:val="59"/>
        </w:numPr>
      </w:pPr>
      <w:r>
        <w:rPr>
          <w:rFonts w:eastAsia="Calibri"/>
          <w:lang w:bidi="hi-IN"/>
        </w:rPr>
        <w:t xml:space="preserve"> </w:t>
      </w:r>
      <w:r>
        <w:rPr>
          <w:lang w:bidi="hi-IN"/>
        </w:rPr>
        <w:t>odchylenie odległości krawędzi wykopu w dnie od ustalonej w planie osi wykopu nie powinno wynosić więcej niż + 5 cm,</w:t>
      </w:r>
    </w:p>
    <w:p w14:paraId="3006759E" w14:textId="77777777" w:rsidR="00755118" w:rsidRDefault="00755118" w:rsidP="00755118">
      <w:pPr>
        <w:pStyle w:val="Nagwek8"/>
        <w:numPr>
          <w:ilvl w:val="0"/>
          <w:numId w:val="59"/>
        </w:numPr>
      </w:pPr>
      <w:r>
        <w:rPr>
          <w:lang w:bidi="hi-IN"/>
        </w:rPr>
        <w:t>odchylenie wymiarów w planie nie powinno być większe niż 0,1 m,</w:t>
      </w:r>
    </w:p>
    <w:p w14:paraId="02DAF369" w14:textId="77777777" w:rsidR="00755118" w:rsidRDefault="00755118" w:rsidP="00755118">
      <w:pPr>
        <w:pStyle w:val="Nagwek8"/>
        <w:numPr>
          <w:ilvl w:val="0"/>
          <w:numId w:val="59"/>
        </w:numPr>
      </w:pPr>
      <w:r>
        <w:rPr>
          <w:lang w:bidi="hi-IN"/>
        </w:rPr>
        <w:t>odchylenie grubości warstwy podłoża nie powinno przekraczać + 3 cm,</w:t>
      </w:r>
    </w:p>
    <w:p w14:paraId="24B8C1C9" w14:textId="77777777" w:rsidR="00755118" w:rsidRDefault="00755118" w:rsidP="00755118">
      <w:pPr>
        <w:pStyle w:val="Nagwek8"/>
        <w:numPr>
          <w:ilvl w:val="0"/>
          <w:numId w:val="59"/>
        </w:numPr>
      </w:pPr>
      <w:r>
        <w:rPr>
          <w:lang w:bidi="hi-IN"/>
        </w:rPr>
        <w:t>odchylenie szerokości warstwy podłoża nie powinno przekraczać + 5 cm,</w:t>
      </w:r>
    </w:p>
    <w:p w14:paraId="5EEF102A" w14:textId="77777777" w:rsidR="00755118" w:rsidRDefault="00755118" w:rsidP="00755118">
      <w:pPr>
        <w:pStyle w:val="Nagwek8"/>
        <w:numPr>
          <w:ilvl w:val="0"/>
          <w:numId w:val="59"/>
        </w:numPr>
      </w:pPr>
      <w:r>
        <w:rPr>
          <w:lang w:bidi="hi-IN"/>
        </w:rPr>
        <w:t>odchylenie kolektora rurowego w planie, odchylenie odległości osi ułożonego kolektora od osi przewodu ustalonej na ławach celowniczych nie powinna przekraczać 5 cm,</w:t>
      </w:r>
    </w:p>
    <w:p w14:paraId="144C0B6E" w14:textId="77777777" w:rsidR="00755118" w:rsidRDefault="00755118" w:rsidP="00755118">
      <w:pPr>
        <w:pStyle w:val="Nagwek8"/>
        <w:numPr>
          <w:ilvl w:val="0"/>
          <w:numId w:val="59"/>
        </w:numPr>
      </w:pPr>
      <w:r>
        <w:rPr>
          <w:rFonts w:eastAsia="Calibri"/>
          <w:lang w:bidi="hi-IN"/>
        </w:rPr>
        <w:t xml:space="preserve"> </w:t>
      </w:r>
      <w:r>
        <w:rPr>
          <w:lang w:bidi="hi-IN"/>
        </w:rPr>
        <w:t>odchylenie spadku ułożonego kolektora od przewidzianego w projekcie nie powinno przekraczać -5% projektowanego spadku (przy zmniejszonym spadku) i +10% projektowanego spadku (przy zwiększonym spadku),</w:t>
      </w:r>
    </w:p>
    <w:p w14:paraId="445F2B37" w14:textId="77777777" w:rsidR="00755118" w:rsidRDefault="00755118" w:rsidP="00755118">
      <w:pPr>
        <w:pStyle w:val="Nagwek8"/>
        <w:numPr>
          <w:ilvl w:val="0"/>
          <w:numId w:val="59"/>
        </w:numPr>
      </w:pPr>
      <w:r>
        <w:rPr>
          <w:rFonts w:eastAsia="Calibri"/>
          <w:lang w:bidi="hi-IN"/>
        </w:rPr>
        <w:t xml:space="preserve"> </w:t>
      </w:r>
      <w:r>
        <w:rPr>
          <w:lang w:bidi="hi-IN"/>
        </w:rPr>
        <w:t>rzędne kratek ściekowych i pokryw studzienek w nawierzchni utwardzonej powinny być wykonane z dokładnością do + 5 mm</w:t>
      </w:r>
    </w:p>
    <w:p w14:paraId="1209B5EC" w14:textId="77777777" w:rsidR="00755118" w:rsidRDefault="00755118" w:rsidP="00755118">
      <w:pPr>
        <w:pStyle w:val="Nagwek8"/>
        <w:numPr>
          <w:ilvl w:val="0"/>
          <w:numId w:val="59"/>
        </w:numPr>
      </w:pPr>
      <w:r>
        <w:rPr>
          <w:rFonts w:eastAsia="Calibri"/>
          <w:lang w:bidi="hi-IN"/>
        </w:rPr>
        <w:t xml:space="preserve"> </w:t>
      </w:r>
      <w:r>
        <w:rPr>
          <w:lang w:bidi="hi-IN"/>
        </w:rPr>
        <w:t>rzędne kratek ściekowych i pokryw studzienek w terenie nieutwardzonym powinny być wykonane z dokładnością do ± 3 cm</w:t>
      </w:r>
    </w:p>
    <w:p w14:paraId="1994E984" w14:textId="77777777" w:rsidR="00755118" w:rsidRDefault="00755118" w:rsidP="00755118">
      <w:pPr>
        <w:pStyle w:val="Nagwek1"/>
      </w:pPr>
      <w:r>
        <w:rPr>
          <w:b w:val="0"/>
        </w:rPr>
        <w:t>7.</w:t>
      </w:r>
      <w:bookmarkStart w:id="892" w:name="bookmark6"/>
      <w:r>
        <w:rPr>
          <w:b w:val="0"/>
        </w:rPr>
        <w:t xml:space="preserve"> OBMIAR ROBÓT</w:t>
      </w:r>
      <w:bookmarkEnd w:id="892"/>
    </w:p>
    <w:p w14:paraId="00CF2B13" w14:textId="77777777" w:rsidR="00755118" w:rsidRDefault="00755118" w:rsidP="00755118">
      <w:pPr>
        <w:pStyle w:val="Nagwek2"/>
        <w:rPr>
          <w:b w:val="0"/>
        </w:rPr>
      </w:pPr>
      <w:r>
        <w:rPr>
          <w:b w:val="0"/>
        </w:rPr>
        <w:t xml:space="preserve">7.1 Ogólne zasady obmiaru robót </w:t>
      </w:r>
    </w:p>
    <w:p w14:paraId="26B41B45" w14:textId="77777777" w:rsidR="00755118" w:rsidRDefault="00755118" w:rsidP="00755118">
      <w:r>
        <w:t xml:space="preserve">Ogólne zasady obmiaru robót podano w STWiORB  „Wymagania ogólne dla robót” </w:t>
      </w:r>
    </w:p>
    <w:p w14:paraId="6686F5B7" w14:textId="77777777" w:rsidR="00755118" w:rsidRDefault="00755118" w:rsidP="00755118">
      <w:r>
        <w:t>Kontrakt ryczałtowy – jednostką obmiaru jest wykonana i odebrana protokołem Odbioru Końcowego jednostka obmiarowa jest w STWiORB.</w:t>
      </w:r>
    </w:p>
    <w:p w14:paraId="628D560B" w14:textId="77777777" w:rsidR="00755118" w:rsidRDefault="00755118" w:rsidP="00755118">
      <w:pPr>
        <w:pStyle w:val="Nagwek2"/>
      </w:pPr>
      <w:r>
        <w:rPr>
          <w:b w:val="0"/>
        </w:rPr>
        <w:t>7.2 Jednostka obmiarowa</w:t>
      </w:r>
    </w:p>
    <w:p w14:paraId="632ABD02" w14:textId="77777777" w:rsidR="00755118" w:rsidRDefault="00755118" w:rsidP="00755118">
      <w:r>
        <w:t xml:space="preserve">Jednostką obmiarową jest: </w:t>
      </w:r>
    </w:p>
    <w:p w14:paraId="79A1EDD5" w14:textId="77777777" w:rsidR="00755118" w:rsidRDefault="00755118" w:rsidP="00755118">
      <w:pPr>
        <w:pStyle w:val="Nagwek8"/>
        <w:numPr>
          <w:ilvl w:val="0"/>
          <w:numId w:val="59"/>
        </w:numPr>
      </w:pPr>
      <w:r>
        <w:t>1 mb wykonania i odbioru sieci kanalizacji deszczowej,</w:t>
      </w:r>
    </w:p>
    <w:p w14:paraId="542E0B19" w14:textId="77777777" w:rsidR="00755118" w:rsidRDefault="00755118" w:rsidP="00755118">
      <w:pPr>
        <w:pStyle w:val="Nagwek8"/>
        <w:numPr>
          <w:ilvl w:val="0"/>
          <w:numId w:val="59"/>
        </w:numPr>
      </w:pPr>
      <w:r>
        <w:t>1szt wykonania i odbioru studni rewizyjnej,</w:t>
      </w:r>
    </w:p>
    <w:p w14:paraId="056CAEB4" w14:textId="77777777" w:rsidR="00755118" w:rsidRDefault="00755118" w:rsidP="00755118">
      <w:pPr>
        <w:pStyle w:val="Nagwek8"/>
        <w:numPr>
          <w:ilvl w:val="0"/>
          <w:numId w:val="59"/>
        </w:numPr>
      </w:pPr>
      <w:r>
        <w:rPr>
          <w:rFonts w:eastAsia="Calibri"/>
          <w:lang w:val="pl-PL"/>
        </w:rPr>
        <w:t>1</w:t>
      </w:r>
      <w:r>
        <w:t>szt wykonania i odbioru wpustu ściekowego,</w:t>
      </w:r>
    </w:p>
    <w:p w14:paraId="3576E318" w14:textId="77777777" w:rsidR="00755118" w:rsidRDefault="00755118" w:rsidP="00755118">
      <w:pPr>
        <w:pStyle w:val="Nagwek1"/>
      </w:pPr>
      <w:r>
        <w:rPr>
          <w:b w:val="0"/>
        </w:rPr>
        <w:t>8.</w:t>
      </w:r>
      <w:bookmarkStart w:id="893" w:name="bookmark7"/>
      <w:r>
        <w:rPr>
          <w:b w:val="0"/>
        </w:rPr>
        <w:t xml:space="preserve"> ODBIÓR ROBÓT</w:t>
      </w:r>
      <w:bookmarkEnd w:id="893"/>
    </w:p>
    <w:p w14:paraId="2CF2CFEF" w14:textId="77777777" w:rsidR="00755118" w:rsidRDefault="00755118" w:rsidP="00755118">
      <w:r>
        <w:t>Ogólne zasady odbioru robót podano w STWiORB  „Wymagania ogólne”.</w:t>
      </w:r>
    </w:p>
    <w:p w14:paraId="7A1FD0D9" w14:textId="77777777" w:rsidR="00755118" w:rsidRDefault="00755118" w:rsidP="00755118">
      <w:r>
        <w:t>Odbiór przeprowadzić zgodnie z normą PN-EN 1610. Roboty uznaje się za wykonane zgodnie z dokumentacją projektową, WWiORB i wymaganiami Inżyniera, jeżeli wszystkie pomiary i badania z zachowaniem tolerancji wg pkt 6 dały wyniki pozytywne.</w:t>
      </w:r>
    </w:p>
    <w:p w14:paraId="319C0A8C" w14:textId="77777777" w:rsidR="00755118" w:rsidRDefault="00755118" w:rsidP="00755118">
      <w:pPr>
        <w:pStyle w:val="Nagwek2"/>
      </w:pPr>
      <w:r>
        <w:rPr>
          <w:b w:val="0"/>
        </w:rPr>
        <w:t>8.1. Odbiór robót zanikających i ulegających zakryciu</w:t>
      </w:r>
    </w:p>
    <w:p w14:paraId="4A4D5E1F" w14:textId="77777777" w:rsidR="00755118" w:rsidRDefault="00755118" w:rsidP="00755118">
      <w:r>
        <w:t>Odbiorowi robót zanikających i ulegających zakryciu podlegają:</w:t>
      </w:r>
    </w:p>
    <w:p w14:paraId="1520AD1F" w14:textId="77777777" w:rsidR="00755118" w:rsidRDefault="00755118" w:rsidP="00755118">
      <w:pPr>
        <w:pStyle w:val="Nagwek8"/>
        <w:numPr>
          <w:ilvl w:val="0"/>
          <w:numId w:val="59"/>
        </w:numPr>
      </w:pPr>
      <w:r>
        <w:t>przygotowanie podłoża pod kanały, studnie</w:t>
      </w:r>
    </w:p>
    <w:p w14:paraId="219E3A48" w14:textId="77777777" w:rsidR="00755118" w:rsidRDefault="00755118" w:rsidP="00755118">
      <w:pPr>
        <w:pStyle w:val="Nagwek8"/>
        <w:numPr>
          <w:ilvl w:val="0"/>
          <w:numId w:val="59"/>
        </w:numPr>
      </w:pPr>
      <w:r>
        <w:lastRenderedPageBreak/>
        <w:t>montaż rur kanałowych i przykanalika,</w:t>
      </w:r>
    </w:p>
    <w:p w14:paraId="4E2EA297" w14:textId="77777777" w:rsidR="00755118" w:rsidRDefault="00755118" w:rsidP="00755118">
      <w:pPr>
        <w:pStyle w:val="Nagwek8"/>
        <w:numPr>
          <w:ilvl w:val="0"/>
          <w:numId w:val="59"/>
        </w:numPr>
      </w:pPr>
      <w:r>
        <w:t>wykonane studnie kanalizacyjne, wpusty uliczne</w:t>
      </w:r>
    </w:p>
    <w:p w14:paraId="6E204ACD" w14:textId="77777777" w:rsidR="00755118" w:rsidRDefault="00755118" w:rsidP="00755118">
      <w:pPr>
        <w:pStyle w:val="Nagwek8"/>
        <w:numPr>
          <w:ilvl w:val="0"/>
          <w:numId w:val="59"/>
        </w:numPr>
      </w:pPr>
      <w:r>
        <w:rPr>
          <w:kern w:val="2"/>
          <w:lang w:eastAsia="zh-CN" w:bidi="hi-IN"/>
        </w:rPr>
        <w:t>wykonana izolacja,</w:t>
      </w:r>
    </w:p>
    <w:p w14:paraId="67E29368" w14:textId="77777777" w:rsidR="00755118" w:rsidRDefault="00755118" w:rsidP="00755118">
      <w:pPr>
        <w:pStyle w:val="Nagwek8"/>
        <w:numPr>
          <w:ilvl w:val="0"/>
          <w:numId w:val="59"/>
        </w:numPr>
      </w:pPr>
      <w:r>
        <w:rPr>
          <w:kern w:val="2"/>
          <w:lang w:eastAsia="zh-CN" w:bidi="hi-IN"/>
        </w:rPr>
        <w:t>zasypany zagęszczony wykop.</w:t>
      </w:r>
    </w:p>
    <w:p w14:paraId="7A3DDD36" w14:textId="77777777" w:rsidR="00755118" w:rsidRDefault="00755118" w:rsidP="00755118">
      <w:r>
        <w:t>Odbiór robót zanikających powinien być dokonany w czasie umożliwiającym wykonanie korekt i poprawek, bez hamowania ogólnego postępu robót.</w:t>
      </w:r>
    </w:p>
    <w:p w14:paraId="325C580E" w14:textId="77777777" w:rsidR="00755118" w:rsidRDefault="00755118" w:rsidP="00755118">
      <w:r>
        <w:t>Długość odcinka robót ziemnych poddana odbiorowi nie powinna być mniejsza od 50 m.</w:t>
      </w:r>
    </w:p>
    <w:p w14:paraId="1BAAD93F" w14:textId="77777777" w:rsidR="00755118" w:rsidRDefault="00755118" w:rsidP="00755118">
      <w:pPr>
        <w:pStyle w:val="Nagwek1"/>
      </w:pPr>
      <w:r>
        <w:rPr>
          <w:b w:val="0"/>
        </w:rPr>
        <w:t xml:space="preserve">9. </w:t>
      </w:r>
      <w:bookmarkStart w:id="894" w:name="bookmark8"/>
      <w:r>
        <w:rPr>
          <w:b w:val="0"/>
        </w:rPr>
        <w:t>PODSTAWA PŁATNOŚCI</w:t>
      </w:r>
      <w:bookmarkEnd w:id="894"/>
    </w:p>
    <w:p w14:paraId="045CF64B" w14:textId="77777777" w:rsidR="00755118" w:rsidRDefault="00755118" w:rsidP="00755118">
      <w:pPr>
        <w:pStyle w:val="Nagwek2"/>
        <w:rPr>
          <w:b w:val="0"/>
        </w:rPr>
      </w:pPr>
      <w:r>
        <w:rPr>
          <w:b w:val="0"/>
        </w:rPr>
        <w:t xml:space="preserve">9.1. Ogólne ustalenia dotyczące podstawy płatności </w:t>
      </w:r>
    </w:p>
    <w:p w14:paraId="7D615BC2" w14:textId="77777777" w:rsidR="00755118" w:rsidRDefault="00755118" w:rsidP="00755118">
      <w:r>
        <w:t xml:space="preserve">Ogólne ustalenia dotyczące podstawy płatności podano w STWiORB  „Wymagania ogólne dla robót” . </w:t>
      </w:r>
    </w:p>
    <w:p w14:paraId="1B0A0A61" w14:textId="77777777" w:rsidR="00755118" w:rsidRDefault="00755118" w:rsidP="00755118">
      <w:r>
        <w:t>Wynagrodzenie ryczałtowe: zasady płatności podano w umowie pomiędzy Zamawiającym a Wykonawcą.</w:t>
      </w:r>
    </w:p>
    <w:p w14:paraId="6B3CEA1A" w14:textId="77777777" w:rsidR="00755118" w:rsidRDefault="00755118" w:rsidP="00755118">
      <w:pPr>
        <w:pStyle w:val="Nagwek2"/>
      </w:pPr>
      <w:r>
        <w:rPr>
          <w:b w:val="0"/>
        </w:rPr>
        <w:t>9.2 Cena jednostki obmiarowej</w:t>
      </w:r>
    </w:p>
    <w:p w14:paraId="1AEDD07F" w14:textId="77777777" w:rsidR="00755118" w:rsidRDefault="00755118" w:rsidP="00755118">
      <w:r>
        <w:t>Cena wykonania jednostek obmiarowych z pkt. 7.2. obejmuje:</w:t>
      </w:r>
    </w:p>
    <w:p w14:paraId="30646517" w14:textId="77777777" w:rsidR="00755118" w:rsidRDefault="00755118" w:rsidP="00755118">
      <w:pPr>
        <w:pStyle w:val="Nagwek8"/>
        <w:numPr>
          <w:ilvl w:val="0"/>
          <w:numId w:val="59"/>
        </w:numPr>
      </w:pPr>
      <w:r>
        <w:t>roboty przygotowawcze i pomiarowe,</w:t>
      </w:r>
    </w:p>
    <w:p w14:paraId="1686EBBD" w14:textId="77777777" w:rsidR="00755118" w:rsidRDefault="00755118" w:rsidP="00755118">
      <w:pPr>
        <w:pStyle w:val="Nagwek8"/>
        <w:numPr>
          <w:ilvl w:val="0"/>
          <w:numId w:val="59"/>
        </w:numPr>
      </w:pPr>
      <w:r>
        <w:t>zakup i dostawa materiałów,</w:t>
      </w:r>
    </w:p>
    <w:p w14:paraId="510E76F8" w14:textId="77777777" w:rsidR="00755118" w:rsidRDefault="00755118" w:rsidP="00755118">
      <w:pPr>
        <w:pStyle w:val="Nagwek8"/>
        <w:numPr>
          <w:ilvl w:val="0"/>
          <w:numId w:val="59"/>
        </w:numPr>
      </w:pPr>
      <w:r>
        <w:t>przygotowanie podłoża pod kanały, studnie</w:t>
      </w:r>
    </w:p>
    <w:p w14:paraId="32F6E29C" w14:textId="77777777" w:rsidR="00755118" w:rsidRDefault="00755118" w:rsidP="00755118">
      <w:pPr>
        <w:pStyle w:val="Nagwek8"/>
        <w:numPr>
          <w:ilvl w:val="0"/>
          <w:numId w:val="59"/>
        </w:numPr>
      </w:pPr>
      <w:r>
        <w:t>montaż rur kanałowych i przykanalika,</w:t>
      </w:r>
    </w:p>
    <w:p w14:paraId="44603E55" w14:textId="77777777" w:rsidR="00755118" w:rsidRDefault="00755118" w:rsidP="00755118">
      <w:pPr>
        <w:pStyle w:val="Nagwek8"/>
        <w:numPr>
          <w:ilvl w:val="0"/>
          <w:numId w:val="59"/>
        </w:numPr>
      </w:pPr>
      <w:r>
        <w:t>wykonane studnie kanalizacyjne, wpusty uliczne</w:t>
      </w:r>
    </w:p>
    <w:p w14:paraId="3B441D8B" w14:textId="77777777" w:rsidR="00755118" w:rsidRDefault="00755118" w:rsidP="00755118">
      <w:pPr>
        <w:pStyle w:val="Nagwek8"/>
        <w:numPr>
          <w:ilvl w:val="0"/>
          <w:numId w:val="59"/>
        </w:numPr>
      </w:pPr>
      <w:r>
        <w:t>wykonana izolacja,</w:t>
      </w:r>
    </w:p>
    <w:p w14:paraId="3F2E2F18" w14:textId="77777777" w:rsidR="00755118" w:rsidRDefault="00755118" w:rsidP="00755118">
      <w:pPr>
        <w:pStyle w:val="Nagwek8"/>
        <w:numPr>
          <w:ilvl w:val="0"/>
          <w:numId w:val="59"/>
        </w:numPr>
      </w:pPr>
      <w:r>
        <w:t>zasypany zagęszczony wykop,</w:t>
      </w:r>
    </w:p>
    <w:p w14:paraId="69D17E23" w14:textId="77777777" w:rsidR="00755118" w:rsidRDefault="00755118" w:rsidP="00755118">
      <w:pPr>
        <w:pStyle w:val="Nagwek8"/>
        <w:numPr>
          <w:ilvl w:val="0"/>
          <w:numId w:val="59"/>
        </w:numPr>
      </w:pPr>
      <w:r>
        <w:t>uporządkowanie terenu,</w:t>
      </w:r>
    </w:p>
    <w:p w14:paraId="24E0FD6D" w14:textId="77777777" w:rsidR="00755118" w:rsidRDefault="00755118" w:rsidP="00755118">
      <w:pPr>
        <w:pStyle w:val="Nagwek8"/>
        <w:numPr>
          <w:ilvl w:val="0"/>
          <w:numId w:val="59"/>
        </w:numPr>
      </w:pPr>
      <w:r>
        <w:t>inne roboty i  czynności składające się na kompletne wykonanie zakresu robót przewidzianych w  niniejszej specyfikacji.</w:t>
      </w:r>
    </w:p>
    <w:p w14:paraId="666709F9" w14:textId="77777777" w:rsidR="00755118" w:rsidRDefault="00755118" w:rsidP="00755118">
      <w:pPr>
        <w:pStyle w:val="Nagwek1"/>
      </w:pPr>
      <w:r>
        <w:rPr>
          <w:b w:val="0"/>
        </w:rPr>
        <w:t>10. PRZEPISY ZWIĄZANE</w:t>
      </w:r>
    </w:p>
    <w:p w14:paraId="19F68B52" w14:textId="77777777" w:rsidR="00755118" w:rsidRDefault="00755118" w:rsidP="00755118">
      <w:pPr>
        <w:pStyle w:val="Nagwek2"/>
        <w:rPr>
          <w:b w:val="0"/>
        </w:rPr>
      </w:pPr>
      <w:r>
        <w:rPr>
          <w:b w:val="0"/>
        </w:rPr>
        <w:t>10.1. NORMY</w:t>
      </w:r>
    </w:p>
    <w:p w14:paraId="224B97EA" w14:textId="77777777" w:rsidR="00755118" w:rsidRDefault="00755118" w:rsidP="00755118">
      <w:pPr>
        <w:pStyle w:val="Tytu"/>
        <w:numPr>
          <w:ilvl w:val="0"/>
          <w:numId w:val="61"/>
        </w:numPr>
        <w:textAlignment w:val="auto"/>
      </w:pPr>
      <w:r>
        <w:t>PN-EN 476 - Wymagania ogólne dotyczące elementów stosowanych w systemach kanalizacji grawitacyjnej</w:t>
      </w:r>
    </w:p>
    <w:p w14:paraId="490FBEA7" w14:textId="77777777" w:rsidR="00755118" w:rsidRDefault="00755118" w:rsidP="00755118">
      <w:pPr>
        <w:pStyle w:val="Tytu"/>
        <w:numPr>
          <w:ilvl w:val="0"/>
          <w:numId w:val="60"/>
        </w:numPr>
        <w:ind w:left="360"/>
        <w:textAlignment w:val="auto"/>
      </w:pPr>
      <w:r>
        <w:t xml:space="preserve">PN-EN 752-2 - Zewnętrzne systemy kanalizacyjne – Wymagania </w:t>
      </w:r>
    </w:p>
    <w:p w14:paraId="7C11F3EA" w14:textId="77777777" w:rsidR="00755118" w:rsidRDefault="00755118" w:rsidP="00755118">
      <w:pPr>
        <w:pStyle w:val="Tytu"/>
        <w:numPr>
          <w:ilvl w:val="0"/>
          <w:numId w:val="60"/>
        </w:numPr>
        <w:ind w:left="360"/>
        <w:textAlignment w:val="auto"/>
      </w:pPr>
      <w:r>
        <w:t>PN-EN 1610 - Budowa i badania przewodów kanalizacyjnych</w:t>
      </w:r>
    </w:p>
    <w:p w14:paraId="57C763BF" w14:textId="77777777" w:rsidR="00755118" w:rsidRDefault="00755118" w:rsidP="00755118">
      <w:pPr>
        <w:pStyle w:val="Tytu"/>
        <w:numPr>
          <w:ilvl w:val="0"/>
          <w:numId w:val="60"/>
        </w:numPr>
        <w:ind w:left="360"/>
        <w:textAlignment w:val="auto"/>
      </w:pPr>
      <w:r>
        <w:t>PN-EN 1401 - Systemy przewodowe z tworzyw sztucznych</w:t>
      </w:r>
    </w:p>
    <w:p w14:paraId="174A8D73" w14:textId="77777777" w:rsidR="00755118" w:rsidRDefault="00755118" w:rsidP="00755118">
      <w:pPr>
        <w:pStyle w:val="Tytu"/>
        <w:numPr>
          <w:ilvl w:val="0"/>
          <w:numId w:val="60"/>
        </w:numPr>
        <w:ind w:left="360"/>
        <w:textAlignment w:val="auto"/>
      </w:pPr>
      <w:r>
        <w:t>PN-EN 124 - Zwieńczenia wpustów i studzienek kanalizacyjnych do nawierzchni dla ruchu pieszego i kołowego - Zasady konstrukcji, badania typu</w:t>
      </w:r>
    </w:p>
    <w:p w14:paraId="2221404F" w14:textId="77777777" w:rsidR="00755118" w:rsidRDefault="00755118" w:rsidP="00755118">
      <w:pPr>
        <w:pStyle w:val="Tytu"/>
        <w:numPr>
          <w:ilvl w:val="0"/>
          <w:numId w:val="60"/>
        </w:numPr>
        <w:ind w:left="360"/>
        <w:textAlignment w:val="auto"/>
      </w:pPr>
      <w:r>
        <w:t>PN-EN 206 - Beton - Wymagania, właściwości, produkcja i zgodność</w:t>
      </w:r>
    </w:p>
    <w:p w14:paraId="70ACCDC5" w14:textId="77777777" w:rsidR="00755118" w:rsidRDefault="00755118" w:rsidP="00755118">
      <w:pPr>
        <w:pStyle w:val="Tytu"/>
        <w:numPr>
          <w:ilvl w:val="0"/>
          <w:numId w:val="60"/>
        </w:numPr>
        <w:ind w:left="360"/>
        <w:textAlignment w:val="auto"/>
      </w:pPr>
      <w:r>
        <w:t>PN-EN 858-1/A1 - Instalacje oddzielaczy cieczy lekkich (np. olej i benzyna) -- Część 1:Zasady projektowania, właściwości użytkowe i badania, znakowanie i sterowanie jakością</w:t>
      </w:r>
    </w:p>
    <w:p w14:paraId="305EEBD0" w14:textId="77777777" w:rsidR="00755118" w:rsidRDefault="00755118" w:rsidP="00755118">
      <w:pPr>
        <w:pStyle w:val="Tytu"/>
        <w:numPr>
          <w:ilvl w:val="0"/>
          <w:numId w:val="60"/>
        </w:numPr>
        <w:ind w:left="360"/>
        <w:textAlignment w:val="auto"/>
      </w:pPr>
      <w:r>
        <w:t>PN-EN 1852-1 - Systemy przewodowe z tworzyw sztucznych, Podziemne bezciśnieniowe systemy przewodowe z polipropylenu (PP) do odwadniania i izolacji. Wymagania dotyczące rur, kształtek i systemów</w:t>
      </w:r>
    </w:p>
    <w:p w14:paraId="44895E1C" w14:textId="77777777" w:rsidR="00755118" w:rsidRDefault="00755118" w:rsidP="00755118">
      <w:pPr>
        <w:pStyle w:val="Tytu"/>
        <w:numPr>
          <w:ilvl w:val="0"/>
          <w:numId w:val="60"/>
        </w:numPr>
        <w:ind w:left="360"/>
        <w:textAlignment w:val="auto"/>
      </w:pPr>
      <w:r>
        <w:t>PN-EN 1852-1/A1 - Systemy przewodowe z tworzyw sztucznych, Podziemne bezciśnieniowe systemy przewodowe z polipropylenu (PP) do odwadniania i izolacji. Wymagania dotyczące rur, kształtek i systemów. (Zmiana A1)</w:t>
      </w:r>
    </w:p>
    <w:p w14:paraId="64EC1FF4" w14:textId="77777777" w:rsidR="00755118" w:rsidRDefault="00755118" w:rsidP="00755118">
      <w:pPr>
        <w:pStyle w:val="Tytu"/>
        <w:numPr>
          <w:ilvl w:val="0"/>
          <w:numId w:val="60"/>
        </w:numPr>
        <w:ind w:left="360"/>
        <w:textAlignment w:val="auto"/>
      </w:pPr>
      <w:r>
        <w:t>PN-EN 1917 - Studzienki włazowe i niewłazowe z betonu niezbrojonego, z betonu zbrojonego włóknem stalowym i żelbetowe</w:t>
      </w:r>
    </w:p>
    <w:p w14:paraId="5192ADEE" w14:textId="77777777" w:rsidR="00755118" w:rsidRDefault="00755118" w:rsidP="00755118">
      <w:pPr>
        <w:pStyle w:val="Tytu"/>
        <w:numPr>
          <w:ilvl w:val="0"/>
          <w:numId w:val="60"/>
        </w:numPr>
        <w:ind w:left="360"/>
        <w:textAlignment w:val="auto"/>
      </w:pPr>
      <w:r>
        <w:t xml:space="preserve">PN-EN 681-1 - Uszczelnienia z elastomerów -- Wymagania materiałowe dotyczące uszczelek złączy rur wodociągowych i odwadniających -- Część 1: Guma </w:t>
      </w:r>
    </w:p>
    <w:p w14:paraId="03275895" w14:textId="77777777" w:rsidR="00755118" w:rsidRDefault="00755118" w:rsidP="00755118">
      <w:pPr>
        <w:pStyle w:val="Tytu"/>
        <w:numPr>
          <w:ilvl w:val="0"/>
          <w:numId w:val="60"/>
        </w:numPr>
        <w:ind w:left="360"/>
        <w:textAlignment w:val="auto"/>
      </w:pPr>
      <w:r>
        <w:t>PN-EN 13242 - Kruszywa do niezwiązanych i związanych hydraulicznie materiałów stosowanych w obiektach budowlanych i budownictwie drogowym</w:t>
      </w:r>
    </w:p>
    <w:p w14:paraId="177E0CCB" w14:textId="77777777" w:rsidR="00755118" w:rsidRDefault="00755118" w:rsidP="00755118">
      <w:pPr>
        <w:pStyle w:val="Tytu"/>
        <w:numPr>
          <w:ilvl w:val="0"/>
          <w:numId w:val="60"/>
        </w:numPr>
        <w:ind w:left="360"/>
        <w:textAlignment w:val="auto"/>
      </w:pPr>
      <w:r>
        <w:t>PN-B-06050 - Geotechnika - Roboty ziemne - Wymagania ogólne</w:t>
      </w:r>
    </w:p>
    <w:p w14:paraId="59BD9838" w14:textId="77777777" w:rsidR="00755118" w:rsidRDefault="00755118" w:rsidP="00755118">
      <w:pPr>
        <w:pStyle w:val="Tytu"/>
        <w:numPr>
          <w:ilvl w:val="0"/>
          <w:numId w:val="60"/>
        </w:numPr>
        <w:ind w:left="360"/>
        <w:textAlignment w:val="auto"/>
      </w:pPr>
      <w:r>
        <w:t>PN-B-10736 - Wykopy otwarte dla przewodów wodociągowych i kanalizacyjnych- Warunki techniczne wykonania</w:t>
      </w:r>
    </w:p>
    <w:p w14:paraId="59859055" w14:textId="77777777" w:rsidR="00755118" w:rsidRDefault="00755118" w:rsidP="00755118">
      <w:pPr>
        <w:pStyle w:val="Tytu"/>
        <w:numPr>
          <w:ilvl w:val="0"/>
          <w:numId w:val="60"/>
        </w:numPr>
        <w:ind w:left="360"/>
        <w:textAlignment w:val="auto"/>
      </w:pPr>
      <w:r>
        <w:t>PN-B-02480 - Grunty budowlane - określenia, symbole, podział i opis gruntów</w:t>
      </w:r>
    </w:p>
    <w:p w14:paraId="73FEED9C" w14:textId="77777777" w:rsidR="00755118" w:rsidRDefault="00755118" w:rsidP="00755118">
      <w:pPr>
        <w:pStyle w:val="Tytu"/>
        <w:numPr>
          <w:ilvl w:val="0"/>
          <w:numId w:val="60"/>
        </w:numPr>
        <w:ind w:left="360"/>
        <w:textAlignment w:val="auto"/>
      </w:pPr>
      <w:r>
        <w:t>PN-S-02205 - Drogi samochodowe. Roboty ziemne. Wymagania i badania</w:t>
      </w:r>
    </w:p>
    <w:p w14:paraId="15EE669F" w14:textId="77777777" w:rsidR="00755118" w:rsidRDefault="00755118" w:rsidP="00755118">
      <w:pPr>
        <w:pStyle w:val="Tytu"/>
        <w:numPr>
          <w:ilvl w:val="0"/>
          <w:numId w:val="60"/>
        </w:numPr>
        <w:ind w:left="360"/>
        <w:textAlignment w:val="auto"/>
      </w:pPr>
      <w:r>
        <w:t xml:space="preserve">PN-EN 1990 - Podstawy projektowania konstrukcji </w:t>
      </w:r>
    </w:p>
    <w:p w14:paraId="75E3996E" w14:textId="77777777" w:rsidR="00755118" w:rsidRDefault="00755118" w:rsidP="00755118">
      <w:pPr>
        <w:pStyle w:val="Nagwek2"/>
      </w:pPr>
      <w:r>
        <w:rPr>
          <w:b w:val="0"/>
        </w:rPr>
        <w:t>10.2. Inne dokumenty</w:t>
      </w:r>
    </w:p>
    <w:p w14:paraId="37820F97" w14:textId="77777777" w:rsidR="00755118" w:rsidRDefault="00755118" w:rsidP="00755118">
      <w:pPr>
        <w:pStyle w:val="Tytu"/>
        <w:numPr>
          <w:ilvl w:val="0"/>
          <w:numId w:val="60"/>
        </w:numPr>
        <w:ind w:left="360"/>
        <w:textAlignment w:val="auto"/>
      </w:pPr>
      <w:r>
        <w:t>Rozporządzenie Ministra Infrastruktury z dnia 6 lutego 2003 r. w sprawie bezpieczeństwa i higieny pracy podczas wykonywania robót budowlanych. (Dz. U. Nr 47, poz. 401 z 2003 r. z późniejszymi zmianami)</w:t>
      </w:r>
    </w:p>
    <w:p w14:paraId="139CECCC" w14:textId="77777777" w:rsidR="00755118" w:rsidRDefault="00755118" w:rsidP="00755118">
      <w:pPr>
        <w:pStyle w:val="Tytu"/>
        <w:numPr>
          <w:ilvl w:val="0"/>
          <w:numId w:val="60"/>
        </w:numPr>
        <w:ind w:left="360"/>
        <w:textAlignment w:val="auto"/>
      </w:pPr>
      <w:r>
        <w:t>Rozporządzenie Ministra Pracy i Polityki Socjalnej z dnia 26 września 1997 r. w sprawie ogólnych przepisów bezpieczeństwa i higieny pracy. (Dz. U. Nr 129, poz. 844 z1997 r z późniejszymi zmianami)</w:t>
      </w:r>
    </w:p>
    <w:p w14:paraId="063518E4" w14:textId="77777777" w:rsidR="00755118" w:rsidRDefault="00755118" w:rsidP="00755118">
      <w:pPr>
        <w:pStyle w:val="Tytu"/>
        <w:numPr>
          <w:ilvl w:val="0"/>
          <w:numId w:val="60"/>
        </w:numPr>
        <w:ind w:left="360"/>
        <w:textAlignment w:val="auto"/>
      </w:pPr>
      <w:r>
        <w:t>Rozporządzenie Ministra Pracy i Polityki Społecznej z dnia 11 czerwca 2002r. zmieniając rozporządzenie w sprawie ogólnych przepisów bezpieczeństwa i higieny pracy. (Dz. U. Nr 91, poz. 811 z 2002 r.. z późniejszymi zmianami)</w:t>
      </w:r>
    </w:p>
    <w:p w14:paraId="3E08A0F2" w14:textId="77777777" w:rsidR="00755118" w:rsidRDefault="00755118" w:rsidP="00755118">
      <w:pPr>
        <w:pStyle w:val="Tytu"/>
        <w:numPr>
          <w:ilvl w:val="0"/>
          <w:numId w:val="60"/>
        </w:numPr>
        <w:ind w:left="360"/>
        <w:textAlignment w:val="auto"/>
      </w:pPr>
      <w:r>
        <w:t>Warunkami Technicznymi Wykonawstwa i Odbioru Robót Budowlano - Montażowych cz. II - Instalacje Sanitarne i Przemysłowe</w:t>
      </w:r>
    </w:p>
    <w:p w14:paraId="6C132DA4" w14:textId="77777777" w:rsidR="00755118" w:rsidRDefault="00755118" w:rsidP="00755118">
      <w:pPr>
        <w:pStyle w:val="Tytu"/>
        <w:numPr>
          <w:ilvl w:val="0"/>
          <w:numId w:val="60"/>
        </w:numPr>
        <w:ind w:left="360"/>
        <w:textAlignment w:val="auto"/>
      </w:pPr>
      <w:r>
        <w:lastRenderedPageBreak/>
        <w:t>Warunki Techniczne Wykonania i Odbioru Rurociągów z Tworzyw Sztucznych -wydanymi przez Polską Korporację Techniki Sanitarnej , Grzewczej i Klimatyzacji Warszawa 1994r</w:t>
      </w:r>
    </w:p>
    <w:p w14:paraId="36CAE297" w14:textId="77777777" w:rsidR="00755118" w:rsidRDefault="00755118" w:rsidP="00755118">
      <w:pPr>
        <w:pStyle w:val="Tytu"/>
        <w:numPr>
          <w:ilvl w:val="0"/>
          <w:numId w:val="60"/>
        </w:numPr>
        <w:ind w:left="360"/>
        <w:textAlignment w:val="auto"/>
      </w:pPr>
      <w:r>
        <w:t>Warunki techniczne wykonania i odbioru sieci kanalizacyjnych zeszyt nr 9 CORBIT INSTAL</w:t>
      </w:r>
    </w:p>
    <w:p w14:paraId="206397FE" w14:textId="77777777" w:rsidR="00755118" w:rsidRDefault="00755118" w:rsidP="00755118">
      <w:pPr>
        <w:pStyle w:val="Tytu"/>
        <w:numPr>
          <w:ilvl w:val="0"/>
          <w:numId w:val="60"/>
        </w:numPr>
        <w:ind w:left="360"/>
        <w:textAlignment w:val="auto"/>
      </w:pPr>
      <w:r>
        <w:t>„Katalog powtarzalnych elementów drogowych”. „Transprojekt” - Warszawa, 1979-1982 r.</w:t>
      </w:r>
    </w:p>
    <w:p w14:paraId="27CABCA6" w14:textId="77777777" w:rsidR="00755118" w:rsidRDefault="00755118" w:rsidP="00755118">
      <w:pPr>
        <w:pStyle w:val="Tytu"/>
        <w:numPr>
          <w:ilvl w:val="0"/>
          <w:numId w:val="60"/>
        </w:numPr>
        <w:ind w:left="360"/>
        <w:textAlignment w:val="auto"/>
      </w:pPr>
      <w:r>
        <w:t>Rozporządzenia Ministra Środowiska z dn 18.11.2014 r. (poz. 1800) w sprawie warunków, jakie należy spełnić przy wprowadzaniu ścieków do wód lub do ziemi oraz w sprawie substancji szczególnie szkodliwych dla środowiska wodnego w zakresie zawartości zawiesin ogólnych (poniżej 100 mg/l) oraz węglowodorów ropopochodnych (poniżej 15 mg/l)</w:t>
      </w:r>
    </w:p>
    <w:p w14:paraId="014E85CE" w14:textId="19F86DEB" w:rsidR="006952C9" w:rsidRDefault="006952C9"/>
    <w:p w14:paraId="6A9D8E8F" w14:textId="3972FB03" w:rsidR="00755118" w:rsidRDefault="00755118"/>
    <w:p w14:paraId="0B146D9F" w14:textId="29BE23D6" w:rsidR="00755118" w:rsidRDefault="00755118"/>
    <w:p w14:paraId="7E718F9F" w14:textId="659FC085" w:rsidR="00755118" w:rsidRDefault="00755118"/>
    <w:p w14:paraId="3CA98E9A" w14:textId="4FD06D15" w:rsidR="00755118" w:rsidRDefault="00755118"/>
    <w:p w14:paraId="09F58EE1" w14:textId="2C7715D2" w:rsidR="00755118" w:rsidRDefault="00755118"/>
    <w:p w14:paraId="6F8CE916" w14:textId="0BD6DBFE" w:rsidR="00755118" w:rsidRDefault="00755118"/>
    <w:p w14:paraId="4CC2616F" w14:textId="5820C813" w:rsidR="00755118" w:rsidRDefault="00755118"/>
    <w:p w14:paraId="7CA85831" w14:textId="614C4117" w:rsidR="00755118" w:rsidRDefault="00755118"/>
    <w:p w14:paraId="456A01C5" w14:textId="0ED2CA6C" w:rsidR="00755118" w:rsidRDefault="00755118"/>
    <w:p w14:paraId="47AC3B45" w14:textId="356A9C16" w:rsidR="00755118" w:rsidRDefault="00755118"/>
    <w:p w14:paraId="55F2BF8C" w14:textId="5CAB499B" w:rsidR="00755118" w:rsidRDefault="00755118"/>
    <w:p w14:paraId="3233A0CB" w14:textId="01AC4B4A" w:rsidR="00755118" w:rsidRDefault="00755118"/>
    <w:p w14:paraId="49D10A8F" w14:textId="738EDE06" w:rsidR="00755118" w:rsidRDefault="00755118"/>
    <w:p w14:paraId="4AE8875D" w14:textId="559DC5F0" w:rsidR="00755118" w:rsidRDefault="00755118"/>
    <w:p w14:paraId="20BF6926" w14:textId="6A318BED" w:rsidR="00755118" w:rsidRDefault="00755118"/>
    <w:p w14:paraId="09D1FAFD" w14:textId="57966100" w:rsidR="00755118" w:rsidRDefault="00755118"/>
    <w:p w14:paraId="3F141378" w14:textId="003BAD9A" w:rsidR="00755118" w:rsidRDefault="00755118"/>
    <w:p w14:paraId="0C7F999B" w14:textId="16348CAE" w:rsidR="00755118" w:rsidRDefault="00755118"/>
    <w:p w14:paraId="7905A7FE" w14:textId="690AC673" w:rsidR="00755118" w:rsidRDefault="00755118"/>
    <w:p w14:paraId="5D6C2615" w14:textId="18FDDA95" w:rsidR="00755118" w:rsidRDefault="00755118"/>
    <w:p w14:paraId="5DB74FA2" w14:textId="5C76DAF5" w:rsidR="00755118" w:rsidRDefault="00755118"/>
    <w:p w14:paraId="56BAD26D" w14:textId="58278F3D" w:rsidR="00755118" w:rsidRDefault="00755118"/>
    <w:p w14:paraId="00AF09BB" w14:textId="5614F3FE" w:rsidR="00755118" w:rsidRDefault="00755118"/>
    <w:p w14:paraId="7CE145CA" w14:textId="693F5EFA" w:rsidR="00755118" w:rsidRDefault="00755118"/>
    <w:p w14:paraId="3F2B7BC1" w14:textId="02377A47" w:rsidR="00755118" w:rsidRDefault="00755118"/>
    <w:p w14:paraId="2C903DCD" w14:textId="77777777" w:rsidR="00DD698C" w:rsidRDefault="00DD698C" w:rsidP="00826F93">
      <w:pPr>
        <w:pStyle w:val="NAZWASST"/>
      </w:pPr>
      <w:bookmarkStart w:id="895" w:name="_Toc58533575"/>
    </w:p>
    <w:p w14:paraId="6E8B819D" w14:textId="77777777" w:rsidR="00DD698C" w:rsidRDefault="00DD698C" w:rsidP="00826F93">
      <w:pPr>
        <w:pStyle w:val="NAZWASST"/>
      </w:pPr>
    </w:p>
    <w:p w14:paraId="67A0FE27" w14:textId="77777777" w:rsidR="00DD698C" w:rsidRDefault="00DD698C" w:rsidP="00826F93">
      <w:pPr>
        <w:pStyle w:val="NAZWASST"/>
      </w:pPr>
    </w:p>
    <w:p w14:paraId="4D75A067" w14:textId="78F845F7" w:rsidR="00826F93" w:rsidRDefault="00826F93" w:rsidP="00826F93">
      <w:pPr>
        <w:pStyle w:val="NAZWASST"/>
      </w:pPr>
      <w:r>
        <w:lastRenderedPageBreak/>
        <w:t>D – 08.01.01b USTAWIENIE KRAWĘŻNIKÓW BETONOWYCH</w:t>
      </w:r>
      <w:bookmarkEnd w:id="895"/>
    </w:p>
    <w:p w14:paraId="3497741F" w14:textId="77777777" w:rsidR="00826F93" w:rsidRDefault="00826F93" w:rsidP="00826F93">
      <w:r>
        <w:t>Kod CPV: 45233000-9</w:t>
      </w:r>
    </w:p>
    <w:p w14:paraId="318BE5D7" w14:textId="3BF7C68F" w:rsidR="00826F93" w:rsidRPr="00826F93" w:rsidRDefault="00826F93" w:rsidP="00826F93">
      <w:r>
        <w:t>Roboty w zakresie konstruowania, fundamentowania oraz wykonywania nawierzchni autostrad, dróg</w:t>
      </w:r>
    </w:p>
    <w:p w14:paraId="5EFD474A" w14:textId="77777777" w:rsidR="00826F93" w:rsidRDefault="00826F93" w:rsidP="00826F93">
      <w:pPr>
        <w:pStyle w:val="Nagwek1"/>
      </w:pPr>
      <w:r>
        <w:rPr>
          <w:b w:val="0"/>
          <w:lang w:val="pl-PL"/>
        </w:rPr>
        <w:t xml:space="preserve">1. </w:t>
      </w:r>
      <w:r>
        <w:rPr>
          <w:b w:val="0"/>
        </w:rPr>
        <w:t>wstęp</w:t>
      </w:r>
    </w:p>
    <w:p w14:paraId="35A4C816" w14:textId="77777777" w:rsidR="00826F93" w:rsidRDefault="00826F93" w:rsidP="00826F93">
      <w:pPr>
        <w:pStyle w:val="Nagwek2"/>
        <w:rPr>
          <w:b w:val="0"/>
        </w:rPr>
      </w:pPr>
      <w:r>
        <w:rPr>
          <w:b w:val="0"/>
          <w:lang w:val="pl-PL"/>
        </w:rPr>
        <w:t xml:space="preserve">1.1 </w:t>
      </w:r>
      <w:r>
        <w:rPr>
          <w:b w:val="0"/>
        </w:rPr>
        <w:t>Przedmiot STWiORB</w:t>
      </w:r>
    </w:p>
    <w:p w14:paraId="0D9CC48B" w14:textId="77777777" w:rsidR="00826F93" w:rsidRDefault="00826F93" w:rsidP="00826F93">
      <w:pPr>
        <w:ind w:firstLine="454"/>
        <w:rPr>
          <w:rFonts w:eastAsia="Calibri"/>
        </w:rPr>
      </w:pPr>
      <w:r>
        <w:t>Przedmiotem niniejszej szczegółowej specyfikacji technicznej (SST) są wymagania dotyczące wykonania i odbioru robót związanych wykonywaniem krawężników betonowych</w:t>
      </w:r>
      <w:r>
        <w:rPr>
          <w:rFonts w:eastAsia="Calibri"/>
        </w:rPr>
        <w:t>.</w:t>
      </w:r>
    </w:p>
    <w:p w14:paraId="522CC616" w14:textId="77777777" w:rsidR="00826F93" w:rsidRDefault="00826F93" w:rsidP="00826F93">
      <w:pPr>
        <w:pStyle w:val="Nagwek2"/>
      </w:pPr>
      <w:r>
        <w:rPr>
          <w:b w:val="0"/>
          <w:lang w:val="pl-PL"/>
        </w:rPr>
        <w:t xml:space="preserve">1.2 </w:t>
      </w:r>
      <w:r>
        <w:rPr>
          <w:b w:val="0"/>
        </w:rPr>
        <w:t>Zakres stosowania STWiORB</w:t>
      </w:r>
    </w:p>
    <w:p w14:paraId="24A3CF9F" w14:textId="26430DE3" w:rsidR="00826F93" w:rsidRDefault="00826F93" w:rsidP="00826F93">
      <w:pPr>
        <w:tabs>
          <w:tab w:val="left" w:pos="-1440"/>
          <w:tab w:val="left" w:pos="-720"/>
          <w:tab w:val="left" w:pos="0"/>
        </w:tabs>
        <w:ind w:firstLine="454"/>
        <w:rPr>
          <w:rFonts w:eastAsia="Calibri" w:cs="Arial"/>
          <w:spacing w:val="-3"/>
        </w:rPr>
      </w:pPr>
      <w:r>
        <w:rPr>
          <w:rFonts w:eastAsia="Calibri" w:cs="Arial"/>
        </w:rPr>
        <w:t xml:space="preserve">Specyfikacje Techniczne Wykonania i Odbioru Robót Budowlanych </w:t>
      </w:r>
      <w:r>
        <w:rPr>
          <w:rFonts w:eastAsia="Calibri" w:cs="Arial"/>
          <w:spacing w:val="-3"/>
        </w:rPr>
        <w:t xml:space="preserve">stanowią Dokument Przetargowy i Kontraktowy przy zlecaniu i realizacji robót na drogach </w:t>
      </w:r>
    </w:p>
    <w:p w14:paraId="3B60BAD6" w14:textId="77777777" w:rsidR="00826F93" w:rsidRDefault="00826F93" w:rsidP="00826F93">
      <w:pPr>
        <w:rPr>
          <w:rFonts w:eastAsia="Times New Roman" w:cs="Times New Roman"/>
          <w:szCs w:val="20"/>
          <w:lang w:eastAsia="pl-PL"/>
        </w:rPr>
      </w:pPr>
      <w:r>
        <w:t>Zakres obejmuje wykonanie:</w:t>
      </w:r>
    </w:p>
    <w:p w14:paraId="08EC86CD" w14:textId="77777777" w:rsidR="00826F93" w:rsidRDefault="00826F93" w:rsidP="00826F93">
      <w:pPr>
        <w:numPr>
          <w:ilvl w:val="0"/>
          <w:numId w:val="63"/>
        </w:numPr>
        <w:overflowPunct w:val="0"/>
        <w:autoSpaceDE w:val="0"/>
        <w:autoSpaceDN w:val="0"/>
        <w:adjustRightInd w:val="0"/>
        <w:spacing w:after="0" w:line="240" w:lineRule="auto"/>
        <w:jc w:val="both"/>
        <w:rPr>
          <w:highlight w:val="green"/>
        </w:rPr>
      </w:pPr>
      <w:r>
        <w:rPr>
          <w:highlight w:val="green"/>
        </w:rPr>
        <w:t>Krawężników betonowych (oporniki) 15x30 na ławie z betonu C12/15,</w:t>
      </w:r>
    </w:p>
    <w:p w14:paraId="74FC1EE4" w14:textId="77777777" w:rsidR="00826F93" w:rsidRDefault="00826F93" w:rsidP="00826F93">
      <w:pPr>
        <w:numPr>
          <w:ilvl w:val="0"/>
          <w:numId w:val="63"/>
        </w:numPr>
        <w:overflowPunct w:val="0"/>
        <w:autoSpaceDE w:val="0"/>
        <w:autoSpaceDN w:val="0"/>
        <w:adjustRightInd w:val="0"/>
        <w:spacing w:after="0" w:line="240" w:lineRule="auto"/>
        <w:jc w:val="both"/>
        <w:rPr>
          <w:highlight w:val="green"/>
        </w:rPr>
      </w:pPr>
      <w:r>
        <w:rPr>
          <w:highlight w:val="green"/>
        </w:rPr>
        <w:t>Krawężników betonowych (oporniki) 20x30 na ławie z betonu C12/15,</w:t>
      </w:r>
    </w:p>
    <w:p w14:paraId="073A086B" w14:textId="77777777" w:rsidR="00826F93" w:rsidRDefault="00826F93" w:rsidP="00826F93">
      <w:pPr>
        <w:numPr>
          <w:ilvl w:val="0"/>
          <w:numId w:val="63"/>
        </w:numPr>
        <w:overflowPunct w:val="0"/>
        <w:autoSpaceDE w:val="0"/>
        <w:autoSpaceDN w:val="0"/>
        <w:adjustRightInd w:val="0"/>
        <w:spacing w:after="0" w:line="240" w:lineRule="auto"/>
        <w:jc w:val="both"/>
        <w:rPr>
          <w:highlight w:val="green"/>
        </w:rPr>
      </w:pPr>
      <w:r>
        <w:rPr>
          <w:highlight w:val="green"/>
        </w:rPr>
        <w:t>Krawężników trapezowych (30x21/15x100) na ławie z betonu C12/15,</w:t>
      </w:r>
    </w:p>
    <w:p w14:paraId="5861A073" w14:textId="77777777" w:rsidR="00826F93" w:rsidRDefault="00826F93" w:rsidP="00826F93">
      <w:pPr>
        <w:numPr>
          <w:ilvl w:val="0"/>
          <w:numId w:val="63"/>
        </w:numPr>
        <w:overflowPunct w:val="0"/>
        <w:autoSpaceDE w:val="0"/>
        <w:autoSpaceDN w:val="0"/>
        <w:adjustRightInd w:val="0"/>
        <w:spacing w:after="0" w:line="240" w:lineRule="auto"/>
        <w:jc w:val="both"/>
        <w:rPr>
          <w:highlight w:val="green"/>
        </w:rPr>
      </w:pPr>
      <w:r>
        <w:rPr>
          <w:highlight w:val="green"/>
        </w:rPr>
        <w:t>Krawężników 15x22/33x100, na ławie z betonu C12/15,</w:t>
      </w:r>
    </w:p>
    <w:p w14:paraId="345542BB" w14:textId="77777777" w:rsidR="00826F93" w:rsidRDefault="00826F93" w:rsidP="00826F93">
      <w:pPr>
        <w:numPr>
          <w:ilvl w:val="0"/>
          <w:numId w:val="63"/>
        </w:numPr>
        <w:overflowPunct w:val="0"/>
        <w:autoSpaceDE w:val="0"/>
        <w:autoSpaceDN w:val="0"/>
        <w:adjustRightInd w:val="0"/>
        <w:spacing w:after="0" w:line="240" w:lineRule="auto"/>
        <w:jc w:val="both"/>
        <w:rPr>
          <w:highlight w:val="green"/>
        </w:rPr>
      </w:pPr>
      <w:r>
        <w:rPr>
          <w:highlight w:val="green"/>
        </w:rPr>
        <w:t>Krawężników najazdowych 15x22x100 na ławie z betonu C12/15,</w:t>
      </w:r>
    </w:p>
    <w:p w14:paraId="45EDC970" w14:textId="77777777" w:rsidR="00826F93" w:rsidRDefault="00826F93" w:rsidP="00826F93">
      <w:pPr>
        <w:numPr>
          <w:ilvl w:val="0"/>
          <w:numId w:val="63"/>
        </w:numPr>
        <w:overflowPunct w:val="0"/>
        <w:autoSpaceDE w:val="0"/>
        <w:autoSpaceDN w:val="0"/>
        <w:adjustRightInd w:val="0"/>
        <w:spacing w:after="0" w:line="240" w:lineRule="auto"/>
        <w:jc w:val="both"/>
        <w:rPr>
          <w:highlight w:val="green"/>
        </w:rPr>
      </w:pPr>
      <w:r>
        <w:rPr>
          <w:highlight w:val="green"/>
        </w:rPr>
        <w:t>Krawężniki na łukach.</w:t>
      </w:r>
    </w:p>
    <w:p w14:paraId="4E55AECB" w14:textId="77777777" w:rsidR="00826F93" w:rsidRDefault="00826F93" w:rsidP="00826F93">
      <w:pPr>
        <w:numPr>
          <w:ilvl w:val="0"/>
          <w:numId w:val="63"/>
        </w:numPr>
        <w:overflowPunct w:val="0"/>
        <w:autoSpaceDE w:val="0"/>
        <w:autoSpaceDN w:val="0"/>
        <w:adjustRightInd w:val="0"/>
        <w:spacing w:after="0" w:line="240" w:lineRule="auto"/>
        <w:jc w:val="both"/>
        <w:rPr>
          <w:highlight w:val="green"/>
        </w:rPr>
      </w:pPr>
      <w:r>
        <w:rPr>
          <w:highlight w:val="green"/>
        </w:rPr>
        <w:t>Krawężniki skośne.</w:t>
      </w:r>
    </w:p>
    <w:p w14:paraId="481F8B2C" w14:textId="77777777" w:rsidR="00826F93" w:rsidRDefault="00826F93" w:rsidP="00826F93">
      <w:pPr>
        <w:pStyle w:val="Nagwek2"/>
      </w:pPr>
      <w:bookmarkStart w:id="896" w:name="_Toc495830529"/>
      <w:r>
        <w:rPr>
          <w:b w:val="0"/>
        </w:rPr>
        <w:t>1.3. Zakres robót objętych SST</w:t>
      </w:r>
      <w:bookmarkEnd w:id="896"/>
    </w:p>
    <w:p w14:paraId="7D2AE043" w14:textId="77777777" w:rsidR="00826F93" w:rsidRDefault="00826F93" w:rsidP="00826F93">
      <w:r>
        <w:t>Ustalenia zawarte w niniejszej specyfikacji dotyczą zasad prowadzenia robót związanych z wykonaniem i odbiorem ustawienia krawężników betonowych na ławach betonowych.</w:t>
      </w:r>
    </w:p>
    <w:p w14:paraId="70EA5CE7" w14:textId="77777777" w:rsidR="00826F93" w:rsidRDefault="00826F93" w:rsidP="00826F93">
      <w:pPr>
        <w:pStyle w:val="Nagwek2"/>
      </w:pPr>
      <w:bookmarkStart w:id="897" w:name="_Toc495830530"/>
      <w:r>
        <w:rPr>
          <w:b w:val="0"/>
        </w:rPr>
        <w:t>1.4. Określenia podstawowe</w:t>
      </w:r>
      <w:bookmarkEnd w:id="897"/>
    </w:p>
    <w:p w14:paraId="69FAFFC7" w14:textId="77777777" w:rsidR="00826F93" w:rsidRDefault="00826F93" w:rsidP="00826F93">
      <w:r>
        <w:rPr>
          <w:b/>
        </w:rPr>
        <w:t>Krawężniki betonowe</w:t>
      </w:r>
      <w:r>
        <w:t xml:space="preserve"> - prefabrykat betonowy, jako oddzielny element lub w połączeniu z innymi elementami, przeznaczony do oddzielenia powierzchni znajdujących się na tym samym poziomie lub na różnych poziomach, stosowany w celu ograniczenia albo wyznaczenia granicy rzeczywistej lub wizualnej oraz jako oddzielenie pomiędzy powierzchniami poddanymi różnym rodzajom ruchu drogowego. </w:t>
      </w:r>
    </w:p>
    <w:p w14:paraId="5D336ADB" w14:textId="77777777" w:rsidR="00826F93" w:rsidRDefault="00826F93" w:rsidP="00826F93">
      <w:r>
        <w:rPr>
          <w:b/>
        </w:rPr>
        <w:t>Wymiar nominalny</w:t>
      </w:r>
      <w:r>
        <w:t xml:space="preserve"> - wymiar krawężnika określony w celu jego wykonania, któremu powinien odpowiadać wymiar rzeczywisty w określonych granicach dopuszczalnych odchyłek. </w:t>
      </w:r>
    </w:p>
    <w:p w14:paraId="18972D2D" w14:textId="77777777" w:rsidR="00826F93" w:rsidRDefault="00826F93" w:rsidP="00826F93">
      <w:r>
        <w:rPr>
          <w:b/>
        </w:rPr>
        <w:t>Ława</w:t>
      </w:r>
      <w:r>
        <w:t xml:space="preserve"> - warstwa nośna z betonu służąca do umocnienia krawężnika oraz przenosząca obciążenie krawężnika na podłoże gruntowe. </w:t>
      </w:r>
      <w:r>
        <w:rPr>
          <w:b/>
        </w:rPr>
        <w:t>Podsypka</w:t>
      </w:r>
      <w:r>
        <w:t xml:space="preserve"> - warstwa wyrównawcza ułożona bezpośrednio na podłożu lub ławie. </w:t>
      </w:r>
    </w:p>
    <w:p w14:paraId="7AACD41C" w14:textId="77777777" w:rsidR="00826F93" w:rsidRDefault="00826F93" w:rsidP="00826F93">
      <w:r>
        <w:t xml:space="preserve">Pozostałe określenia podstawowe są zgodne z obowiązującymi, odpowiednimi polskimi normami aktualnymi na dzień wydania STWiORB oraz z definicjami podanymi D-M-00.00.00 „Wymagania ogólne”. </w:t>
      </w:r>
    </w:p>
    <w:p w14:paraId="53524249" w14:textId="77777777" w:rsidR="00826F93" w:rsidRDefault="00826F93" w:rsidP="00826F93">
      <w:pPr>
        <w:pStyle w:val="Nagwek2"/>
      </w:pPr>
      <w:bookmarkStart w:id="898" w:name="_Toc495830531"/>
      <w:r>
        <w:rPr>
          <w:b w:val="0"/>
        </w:rPr>
        <w:t>1.5. Ogólne wymagania dotyczące robót</w:t>
      </w:r>
      <w:bookmarkEnd w:id="898"/>
    </w:p>
    <w:p w14:paraId="15C5DE23" w14:textId="77777777" w:rsidR="00826F93" w:rsidRDefault="00826F93" w:rsidP="00826F93">
      <w:r>
        <w:t>Ogólne wymagania dotyczące robót podano w SST D-M-00.00.00 „Wymagania ogólne” [1] pkt 1.5.</w:t>
      </w:r>
    </w:p>
    <w:p w14:paraId="62E7A29B" w14:textId="77777777" w:rsidR="00826F93" w:rsidRDefault="00826F93" w:rsidP="00826F93">
      <w:pPr>
        <w:pStyle w:val="Nagwek1"/>
      </w:pPr>
      <w:bookmarkStart w:id="899" w:name="_Toc141072304"/>
      <w:bookmarkStart w:id="900" w:name="_Toc141496948"/>
      <w:bookmarkStart w:id="901" w:name="_Toc495830532"/>
      <w:r>
        <w:rPr>
          <w:b w:val="0"/>
        </w:rPr>
        <w:t>2. MATERIAŁY</w:t>
      </w:r>
      <w:bookmarkEnd w:id="899"/>
      <w:bookmarkEnd w:id="900"/>
      <w:bookmarkEnd w:id="901"/>
    </w:p>
    <w:p w14:paraId="6B55EF7E" w14:textId="77777777" w:rsidR="00826F93" w:rsidRDefault="00826F93" w:rsidP="00826F93">
      <w:pPr>
        <w:pStyle w:val="Nagwek2"/>
        <w:rPr>
          <w:b w:val="0"/>
        </w:rPr>
      </w:pPr>
      <w:bookmarkStart w:id="902" w:name="_Toc495830533"/>
      <w:r>
        <w:rPr>
          <w:b w:val="0"/>
        </w:rPr>
        <w:t xml:space="preserve">2.1 Ogólne wymagania dotyczące materiałów </w:t>
      </w:r>
    </w:p>
    <w:p w14:paraId="5AD1B726" w14:textId="77777777" w:rsidR="00826F93" w:rsidRDefault="00826F93" w:rsidP="00826F93">
      <w:pPr>
        <w:spacing w:after="135"/>
        <w:ind w:left="87" w:right="14"/>
      </w:pPr>
      <w:r>
        <w:t xml:space="preserve">Ogólne wymagania dotyczące materiałów, ich pozyskiwania i składowania podano w D-M-00.00.00 „Wymagania ogólne”. </w:t>
      </w:r>
    </w:p>
    <w:p w14:paraId="3A6C08BE" w14:textId="77777777" w:rsidR="00826F93" w:rsidRDefault="00826F93" w:rsidP="00826F93">
      <w:pPr>
        <w:pStyle w:val="Nagwek2"/>
      </w:pPr>
      <w:r>
        <w:rPr>
          <w:b w:val="0"/>
        </w:rPr>
        <w:t>2.2 Krawężniki betonowe</w:t>
      </w:r>
      <w:r>
        <w:rPr>
          <w:b w:val="0"/>
          <w:lang w:val="pl-PL"/>
        </w:rPr>
        <w:t xml:space="preserve"> i oporniki</w:t>
      </w:r>
      <w:r>
        <w:rPr>
          <w:b w:val="0"/>
        </w:rPr>
        <w:t xml:space="preserve"> </w:t>
      </w:r>
    </w:p>
    <w:p w14:paraId="5D9835FE" w14:textId="77777777" w:rsidR="00826F93" w:rsidRDefault="00826F93" w:rsidP="00826F93">
      <w:r>
        <w:t xml:space="preserve">Do produkcji krawężników betonowych powinny być stosowane tylko takie materiały, których przydatność do stosowania została ustalona pod względem ich właściwości użytkowych. Wymagania dotyczące przydatności stosowanych materiałów producent powinien podawać w dokumentacji kontroli produkcji. </w:t>
      </w:r>
    </w:p>
    <w:p w14:paraId="335C2A5D" w14:textId="77777777" w:rsidR="00826F93" w:rsidRDefault="00826F93" w:rsidP="00826F93">
      <w:r>
        <w:lastRenderedPageBreak/>
        <w:t>Należy stosować obligatoryjnie krawężniki łukowe dla R&lt;10m. Na odcinkach zmiany wysokości należy stosować krawężniki skośne. Nie dopuszcza się cięcia krawężników zastępując je prostymi.</w:t>
      </w:r>
    </w:p>
    <w:p w14:paraId="71D20A7F" w14:textId="77777777" w:rsidR="00826F93" w:rsidRDefault="00826F93" w:rsidP="00826F93">
      <w:pPr>
        <w:pStyle w:val="Nagwek3"/>
      </w:pPr>
      <w:r>
        <w:rPr>
          <w:rFonts w:ascii="Times New Roman" w:hAnsi="Times New Roman"/>
          <w:b w:val="0"/>
        </w:rPr>
        <w:t xml:space="preserve">2.2.1. </w:t>
      </w:r>
      <w:r>
        <w:rPr>
          <w:b w:val="0"/>
        </w:rPr>
        <w:t xml:space="preserve">Wymagania techniczne </w:t>
      </w:r>
    </w:p>
    <w:p w14:paraId="21E9ACBD" w14:textId="77777777" w:rsidR="00826F93" w:rsidRDefault="00826F93" w:rsidP="00826F93">
      <w:r>
        <w:t xml:space="preserve">stawiane krawężnikom betonowym określa PN-EN 1340 w sposób przedstawiony w Tabeli 1. </w:t>
      </w:r>
    </w:p>
    <w:p w14:paraId="1C949937" w14:textId="77777777" w:rsidR="00826F93" w:rsidRDefault="00826F93" w:rsidP="00826F93">
      <w:pPr>
        <w:spacing w:line="256" w:lineRule="auto"/>
        <w:ind w:left="77"/>
      </w:pPr>
      <w:r>
        <w:t xml:space="preserve"> </w:t>
      </w:r>
    </w:p>
    <w:p w14:paraId="0BC6A28F" w14:textId="77777777" w:rsidR="00826F93" w:rsidRDefault="00826F93" w:rsidP="00826F93">
      <w:r>
        <w:t xml:space="preserve">Tabela 1. Wymagania wobec krawężników betonowych do stosowania na zewnętrznych nawierzchniach, mających kontakt z solą odladzającą w warunkach mrozu </w:t>
      </w:r>
    </w:p>
    <w:tbl>
      <w:tblPr>
        <w:tblW w:w="9855" w:type="dxa"/>
        <w:tblInd w:w="110" w:type="dxa"/>
        <w:tblLayout w:type="fixed"/>
        <w:tblCellMar>
          <w:top w:w="8" w:type="dxa"/>
          <w:left w:w="110" w:type="dxa"/>
          <w:right w:w="61" w:type="dxa"/>
        </w:tblCellMar>
        <w:tblLook w:val="04A0" w:firstRow="1" w:lastRow="0" w:firstColumn="1" w:lastColumn="0" w:noHBand="0" w:noVBand="1"/>
      </w:tblPr>
      <w:tblGrid>
        <w:gridCol w:w="499"/>
        <w:gridCol w:w="3607"/>
        <w:gridCol w:w="1105"/>
        <w:gridCol w:w="1602"/>
        <w:gridCol w:w="508"/>
        <w:gridCol w:w="563"/>
        <w:gridCol w:w="664"/>
        <w:gridCol w:w="1307"/>
      </w:tblGrid>
      <w:tr w:rsidR="00826F93" w14:paraId="002D9E2C" w14:textId="77777777" w:rsidTr="00826F93">
        <w:trPr>
          <w:trHeight w:val="372"/>
        </w:trPr>
        <w:tc>
          <w:tcPr>
            <w:tcW w:w="499" w:type="dxa"/>
            <w:tcBorders>
              <w:top w:val="single" w:sz="4" w:space="0" w:color="000000"/>
              <w:left w:val="single" w:sz="4" w:space="0" w:color="000000"/>
              <w:bottom w:val="single" w:sz="4" w:space="0" w:color="000000"/>
              <w:right w:val="single" w:sz="4" w:space="0" w:color="000000"/>
            </w:tcBorders>
            <w:hideMark/>
          </w:tcPr>
          <w:p w14:paraId="5E56F7AD" w14:textId="77777777" w:rsidR="00826F93" w:rsidRDefault="00826F93" w:rsidP="00826F93">
            <w:pPr>
              <w:pStyle w:val="Bezodstpw"/>
            </w:pPr>
            <w:r>
              <w:t xml:space="preserve">Lp. </w:t>
            </w:r>
          </w:p>
        </w:tc>
        <w:tc>
          <w:tcPr>
            <w:tcW w:w="3605" w:type="dxa"/>
            <w:tcBorders>
              <w:top w:val="single" w:sz="4" w:space="0" w:color="000000"/>
              <w:left w:val="single" w:sz="4" w:space="0" w:color="000000"/>
              <w:bottom w:val="single" w:sz="4" w:space="0" w:color="000000"/>
              <w:right w:val="single" w:sz="4" w:space="0" w:color="000000"/>
            </w:tcBorders>
            <w:hideMark/>
          </w:tcPr>
          <w:p w14:paraId="49689CBC" w14:textId="77777777" w:rsidR="00826F93" w:rsidRDefault="00826F93" w:rsidP="00826F93">
            <w:pPr>
              <w:pStyle w:val="Bezodstpw"/>
            </w:pPr>
            <w:r>
              <w:t xml:space="preserve">Cecha </w:t>
            </w:r>
          </w:p>
        </w:tc>
        <w:tc>
          <w:tcPr>
            <w:tcW w:w="1104" w:type="dxa"/>
            <w:tcBorders>
              <w:top w:val="single" w:sz="4" w:space="0" w:color="000000"/>
              <w:left w:val="single" w:sz="4" w:space="0" w:color="000000"/>
              <w:bottom w:val="single" w:sz="4" w:space="0" w:color="000000"/>
              <w:right w:val="single" w:sz="4" w:space="0" w:color="000000"/>
            </w:tcBorders>
            <w:hideMark/>
          </w:tcPr>
          <w:p w14:paraId="4D51BFEC" w14:textId="77777777" w:rsidR="00826F93" w:rsidRDefault="00826F93" w:rsidP="00826F93">
            <w:pPr>
              <w:pStyle w:val="Bezodstpw"/>
            </w:pPr>
            <w:r>
              <w:t xml:space="preserve">Załącznik </w:t>
            </w:r>
          </w:p>
        </w:tc>
        <w:tc>
          <w:tcPr>
            <w:tcW w:w="1601" w:type="dxa"/>
            <w:tcBorders>
              <w:top w:val="single" w:sz="4" w:space="0" w:color="000000"/>
              <w:left w:val="single" w:sz="4" w:space="0" w:color="000000"/>
              <w:bottom w:val="single" w:sz="4" w:space="0" w:color="000000"/>
              <w:right w:val="nil"/>
            </w:tcBorders>
          </w:tcPr>
          <w:p w14:paraId="543CA297" w14:textId="77777777" w:rsidR="00826F93" w:rsidRDefault="00826F93" w:rsidP="00826F93">
            <w:pPr>
              <w:pStyle w:val="Bezodstpw"/>
            </w:pPr>
          </w:p>
        </w:tc>
        <w:tc>
          <w:tcPr>
            <w:tcW w:w="1735" w:type="dxa"/>
            <w:gridSpan w:val="3"/>
            <w:tcBorders>
              <w:top w:val="single" w:sz="4" w:space="0" w:color="000000"/>
              <w:left w:val="nil"/>
              <w:bottom w:val="single" w:sz="4" w:space="0" w:color="000000"/>
              <w:right w:val="nil"/>
            </w:tcBorders>
            <w:hideMark/>
          </w:tcPr>
          <w:p w14:paraId="35365D3D" w14:textId="77777777" w:rsidR="00826F93" w:rsidRDefault="00826F93" w:rsidP="00826F93">
            <w:pPr>
              <w:pStyle w:val="Bezodstpw"/>
            </w:pPr>
            <w:r>
              <w:t xml:space="preserve">Wymaganie </w:t>
            </w:r>
          </w:p>
        </w:tc>
        <w:tc>
          <w:tcPr>
            <w:tcW w:w="1306" w:type="dxa"/>
            <w:tcBorders>
              <w:top w:val="single" w:sz="4" w:space="0" w:color="000000"/>
              <w:left w:val="nil"/>
              <w:bottom w:val="single" w:sz="4" w:space="0" w:color="000000"/>
              <w:right w:val="single" w:sz="4" w:space="0" w:color="000000"/>
            </w:tcBorders>
          </w:tcPr>
          <w:p w14:paraId="01A3B399" w14:textId="77777777" w:rsidR="00826F93" w:rsidRDefault="00826F93" w:rsidP="00826F93">
            <w:pPr>
              <w:pStyle w:val="Bezodstpw"/>
            </w:pPr>
          </w:p>
        </w:tc>
      </w:tr>
      <w:tr w:rsidR="00826F93" w14:paraId="5B8CCE34" w14:textId="77777777" w:rsidTr="00826F93">
        <w:trPr>
          <w:trHeight w:val="216"/>
        </w:trPr>
        <w:tc>
          <w:tcPr>
            <w:tcW w:w="499" w:type="dxa"/>
            <w:tcBorders>
              <w:top w:val="single" w:sz="4" w:space="0" w:color="000000"/>
              <w:left w:val="single" w:sz="4" w:space="0" w:color="000000"/>
              <w:bottom w:val="single" w:sz="4" w:space="0" w:color="000000"/>
              <w:right w:val="single" w:sz="4" w:space="0" w:color="000000"/>
            </w:tcBorders>
            <w:hideMark/>
          </w:tcPr>
          <w:p w14:paraId="7119AA31" w14:textId="77777777" w:rsidR="00826F93" w:rsidRDefault="00826F93" w:rsidP="00826F93">
            <w:pPr>
              <w:pStyle w:val="Bezodstpw"/>
            </w:pPr>
            <w:r>
              <w:t xml:space="preserve">1. </w:t>
            </w:r>
          </w:p>
        </w:tc>
        <w:tc>
          <w:tcPr>
            <w:tcW w:w="3605" w:type="dxa"/>
            <w:tcBorders>
              <w:top w:val="single" w:sz="4" w:space="0" w:color="000000"/>
              <w:left w:val="single" w:sz="4" w:space="0" w:color="000000"/>
              <w:bottom w:val="single" w:sz="4" w:space="0" w:color="000000"/>
              <w:right w:val="nil"/>
            </w:tcBorders>
          </w:tcPr>
          <w:p w14:paraId="00A30596" w14:textId="77777777" w:rsidR="00826F93" w:rsidRDefault="00826F93" w:rsidP="00826F93">
            <w:pPr>
              <w:pStyle w:val="Bezodstpw"/>
            </w:pPr>
          </w:p>
        </w:tc>
        <w:tc>
          <w:tcPr>
            <w:tcW w:w="2705" w:type="dxa"/>
            <w:gridSpan w:val="2"/>
            <w:tcBorders>
              <w:top w:val="single" w:sz="4" w:space="0" w:color="000000"/>
              <w:left w:val="nil"/>
              <w:bottom w:val="single" w:sz="4" w:space="0" w:color="000000"/>
              <w:right w:val="nil"/>
            </w:tcBorders>
            <w:hideMark/>
          </w:tcPr>
          <w:p w14:paraId="091A0929" w14:textId="77777777" w:rsidR="00826F93" w:rsidRDefault="00826F93" w:rsidP="00826F93">
            <w:pPr>
              <w:pStyle w:val="Bezodstpw"/>
            </w:pPr>
            <w:r>
              <w:t xml:space="preserve">Kształt i wymiary </w:t>
            </w:r>
          </w:p>
        </w:tc>
        <w:tc>
          <w:tcPr>
            <w:tcW w:w="1735" w:type="dxa"/>
            <w:gridSpan w:val="3"/>
            <w:tcBorders>
              <w:top w:val="single" w:sz="4" w:space="0" w:color="000000"/>
              <w:left w:val="nil"/>
              <w:bottom w:val="single" w:sz="4" w:space="0" w:color="000000"/>
              <w:right w:val="nil"/>
            </w:tcBorders>
          </w:tcPr>
          <w:p w14:paraId="46DE302E" w14:textId="77777777" w:rsidR="00826F93" w:rsidRDefault="00826F93" w:rsidP="00826F93">
            <w:pPr>
              <w:pStyle w:val="Bezodstpw"/>
            </w:pPr>
          </w:p>
        </w:tc>
        <w:tc>
          <w:tcPr>
            <w:tcW w:w="1306" w:type="dxa"/>
            <w:tcBorders>
              <w:top w:val="single" w:sz="4" w:space="0" w:color="000000"/>
              <w:left w:val="nil"/>
              <w:bottom w:val="single" w:sz="4" w:space="0" w:color="000000"/>
              <w:right w:val="single" w:sz="4" w:space="0" w:color="000000"/>
            </w:tcBorders>
          </w:tcPr>
          <w:p w14:paraId="54EB2239" w14:textId="77777777" w:rsidR="00826F93" w:rsidRDefault="00826F93" w:rsidP="00826F93">
            <w:pPr>
              <w:pStyle w:val="Bezodstpw"/>
            </w:pPr>
          </w:p>
        </w:tc>
      </w:tr>
      <w:tr w:rsidR="00826F93" w14:paraId="3DBA78D7" w14:textId="77777777" w:rsidTr="00826F93">
        <w:trPr>
          <w:trHeight w:val="1171"/>
        </w:trPr>
        <w:tc>
          <w:tcPr>
            <w:tcW w:w="499" w:type="dxa"/>
            <w:vMerge w:val="restart"/>
            <w:tcBorders>
              <w:top w:val="single" w:sz="4" w:space="0" w:color="000000"/>
              <w:left w:val="single" w:sz="4" w:space="0" w:color="000000"/>
              <w:bottom w:val="single" w:sz="4" w:space="0" w:color="000000"/>
              <w:right w:val="single" w:sz="4" w:space="0" w:color="000000"/>
            </w:tcBorders>
            <w:vAlign w:val="center"/>
            <w:hideMark/>
          </w:tcPr>
          <w:p w14:paraId="43CF9781" w14:textId="77777777" w:rsidR="00826F93" w:rsidRDefault="00826F93" w:rsidP="00826F93">
            <w:pPr>
              <w:pStyle w:val="Bezodstpw"/>
            </w:pPr>
            <w:r>
              <w:t xml:space="preserve">1.1 </w:t>
            </w:r>
          </w:p>
        </w:tc>
        <w:tc>
          <w:tcPr>
            <w:tcW w:w="3605" w:type="dxa"/>
            <w:tcBorders>
              <w:top w:val="single" w:sz="4" w:space="0" w:color="000000"/>
              <w:left w:val="single" w:sz="4" w:space="0" w:color="000000"/>
              <w:bottom w:val="single" w:sz="4" w:space="0" w:color="000000"/>
              <w:right w:val="single" w:sz="4" w:space="0" w:color="000000"/>
            </w:tcBorders>
            <w:hideMark/>
          </w:tcPr>
          <w:p w14:paraId="0DF3F7F3" w14:textId="77777777" w:rsidR="00826F93" w:rsidRDefault="00826F93" w:rsidP="00826F93">
            <w:pPr>
              <w:pStyle w:val="Bezodstpw"/>
            </w:pPr>
            <w:r>
              <w:t xml:space="preserve">Dopuszczalne odchyłki w mm od zadeklarowanych wymiarów krawężnika, opornika </w:t>
            </w:r>
          </w:p>
          <w:p w14:paraId="637BCEB6" w14:textId="77777777" w:rsidR="00826F93" w:rsidRDefault="00826F93" w:rsidP="00826F93">
            <w:pPr>
              <w:pStyle w:val="Bezodstpw"/>
            </w:pPr>
            <w:r>
              <w:t xml:space="preserve">(różnica pomiędzy wynikami pomiarów tego samego krawężnika nie powinna przekraczać 5 </w:t>
            </w:r>
          </w:p>
          <w:p w14:paraId="1FB6071E" w14:textId="77777777" w:rsidR="00826F93" w:rsidRDefault="00826F93" w:rsidP="00826F93">
            <w:pPr>
              <w:pStyle w:val="Bezodstpw"/>
            </w:pPr>
            <w:r>
              <w:t xml:space="preserve">mm)* </w:t>
            </w:r>
          </w:p>
        </w:tc>
        <w:tc>
          <w:tcPr>
            <w:tcW w:w="1104" w:type="dxa"/>
            <w:vMerge w:val="restart"/>
            <w:tcBorders>
              <w:top w:val="single" w:sz="4" w:space="0" w:color="000000"/>
              <w:left w:val="single" w:sz="4" w:space="0" w:color="000000"/>
              <w:bottom w:val="single" w:sz="4" w:space="0" w:color="000000"/>
              <w:right w:val="single" w:sz="4" w:space="0" w:color="000000"/>
            </w:tcBorders>
            <w:vAlign w:val="center"/>
            <w:hideMark/>
          </w:tcPr>
          <w:p w14:paraId="253BCC10" w14:textId="77777777" w:rsidR="00826F93" w:rsidRDefault="00826F93" w:rsidP="00826F93">
            <w:pPr>
              <w:pStyle w:val="Bezodstpw"/>
            </w:pPr>
            <w:r>
              <w:t xml:space="preserve">C </w:t>
            </w:r>
          </w:p>
        </w:tc>
        <w:tc>
          <w:tcPr>
            <w:tcW w:w="1601" w:type="dxa"/>
            <w:tcBorders>
              <w:top w:val="single" w:sz="4" w:space="0" w:color="000000"/>
              <w:left w:val="single" w:sz="4" w:space="0" w:color="000000"/>
              <w:bottom w:val="single" w:sz="4" w:space="0" w:color="000000"/>
              <w:right w:val="single" w:sz="4" w:space="0" w:color="000000"/>
            </w:tcBorders>
            <w:vAlign w:val="center"/>
            <w:hideMark/>
          </w:tcPr>
          <w:p w14:paraId="02104434" w14:textId="77777777" w:rsidR="00826F93" w:rsidRDefault="00826F93" w:rsidP="00826F93">
            <w:pPr>
              <w:pStyle w:val="Bezodstpw"/>
            </w:pPr>
            <w:r>
              <w:t xml:space="preserve">Dopuszczalna tolerancja [w %] </w:t>
            </w:r>
          </w:p>
        </w:tc>
        <w:tc>
          <w:tcPr>
            <w:tcW w:w="1735" w:type="dxa"/>
            <w:gridSpan w:val="3"/>
            <w:tcBorders>
              <w:top w:val="single" w:sz="4" w:space="0" w:color="000000"/>
              <w:left w:val="single" w:sz="4" w:space="0" w:color="000000"/>
              <w:bottom w:val="single" w:sz="4" w:space="0" w:color="000000"/>
              <w:right w:val="single" w:sz="4" w:space="0" w:color="000000"/>
            </w:tcBorders>
            <w:vAlign w:val="center"/>
            <w:hideMark/>
          </w:tcPr>
          <w:p w14:paraId="45152FD2" w14:textId="77777777" w:rsidR="00826F93" w:rsidRDefault="00826F93" w:rsidP="00826F93">
            <w:pPr>
              <w:pStyle w:val="Bezodstpw"/>
            </w:pPr>
            <w:r>
              <w:t xml:space="preserve">Maksymalna dodatnia odchyłka </w:t>
            </w:r>
          </w:p>
          <w:p w14:paraId="58D85638" w14:textId="77777777" w:rsidR="00826F93" w:rsidRDefault="00826F93" w:rsidP="00826F93">
            <w:pPr>
              <w:pStyle w:val="Bezodstpw"/>
            </w:pPr>
            <w:r>
              <w:t xml:space="preserve">[w mm] </w:t>
            </w:r>
          </w:p>
        </w:tc>
        <w:tc>
          <w:tcPr>
            <w:tcW w:w="1306" w:type="dxa"/>
            <w:tcBorders>
              <w:top w:val="single" w:sz="4" w:space="0" w:color="000000"/>
              <w:left w:val="single" w:sz="4" w:space="0" w:color="000000"/>
              <w:bottom w:val="single" w:sz="4" w:space="0" w:color="000000"/>
              <w:right w:val="single" w:sz="4" w:space="0" w:color="000000"/>
            </w:tcBorders>
            <w:vAlign w:val="center"/>
            <w:hideMark/>
          </w:tcPr>
          <w:p w14:paraId="7E708565" w14:textId="77777777" w:rsidR="00826F93" w:rsidRDefault="00826F93" w:rsidP="00826F93">
            <w:pPr>
              <w:pStyle w:val="Bezodstpw"/>
            </w:pPr>
            <w:r>
              <w:t xml:space="preserve">Maksymalna ujemna odchyłka [w mm] </w:t>
            </w:r>
          </w:p>
        </w:tc>
      </w:tr>
      <w:tr w:rsidR="00826F93" w14:paraId="689EAF45" w14:textId="77777777" w:rsidTr="00826F93">
        <w:trPr>
          <w:trHeight w:val="233"/>
        </w:trPr>
        <w:tc>
          <w:tcPr>
            <w:tcW w:w="499" w:type="dxa"/>
            <w:vMerge/>
            <w:tcBorders>
              <w:top w:val="single" w:sz="4" w:space="0" w:color="000000"/>
              <w:left w:val="single" w:sz="4" w:space="0" w:color="000000"/>
              <w:bottom w:val="single" w:sz="4" w:space="0" w:color="000000"/>
              <w:right w:val="single" w:sz="4" w:space="0" w:color="000000"/>
            </w:tcBorders>
            <w:vAlign w:val="center"/>
            <w:hideMark/>
          </w:tcPr>
          <w:p w14:paraId="35BAA167" w14:textId="77777777" w:rsidR="00826F93" w:rsidRDefault="00826F93">
            <w:pPr>
              <w:rPr>
                <w:rFonts w:ascii="Arial Narrow" w:hAnsi="Arial Narrow"/>
              </w:rPr>
            </w:pPr>
          </w:p>
        </w:tc>
        <w:tc>
          <w:tcPr>
            <w:tcW w:w="3605" w:type="dxa"/>
            <w:tcBorders>
              <w:top w:val="single" w:sz="4" w:space="0" w:color="000000"/>
              <w:left w:val="single" w:sz="4" w:space="0" w:color="000000"/>
              <w:bottom w:val="single" w:sz="4" w:space="0" w:color="000000"/>
              <w:right w:val="single" w:sz="4" w:space="0" w:color="000000"/>
            </w:tcBorders>
            <w:hideMark/>
          </w:tcPr>
          <w:p w14:paraId="53CEC954" w14:textId="77777777" w:rsidR="00826F93" w:rsidRDefault="00826F93" w:rsidP="00826F93">
            <w:pPr>
              <w:pStyle w:val="Bezodstpw"/>
            </w:pPr>
            <w:r>
              <w:t xml:space="preserve">Długość </w:t>
            </w:r>
          </w:p>
        </w:tc>
        <w:tc>
          <w:tcPr>
            <w:tcW w:w="2705" w:type="dxa"/>
            <w:vMerge/>
            <w:tcBorders>
              <w:top w:val="single" w:sz="4" w:space="0" w:color="000000"/>
              <w:left w:val="single" w:sz="4" w:space="0" w:color="000000"/>
              <w:bottom w:val="single" w:sz="4" w:space="0" w:color="000000"/>
              <w:right w:val="single" w:sz="4" w:space="0" w:color="000000"/>
            </w:tcBorders>
            <w:vAlign w:val="center"/>
            <w:hideMark/>
          </w:tcPr>
          <w:p w14:paraId="3F0E7E59" w14:textId="77777777" w:rsidR="00826F93" w:rsidRDefault="00826F93">
            <w:pPr>
              <w:rPr>
                <w:rFonts w:ascii="Arial Narrow" w:hAnsi="Arial Narrow"/>
              </w:rPr>
            </w:pPr>
          </w:p>
        </w:tc>
        <w:tc>
          <w:tcPr>
            <w:tcW w:w="1601" w:type="dxa"/>
            <w:tcBorders>
              <w:top w:val="single" w:sz="4" w:space="0" w:color="000000"/>
              <w:left w:val="single" w:sz="4" w:space="0" w:color="000000"/>
              <w:bottom w:val="single" w:sz="4" w:space="0" w:color="000000"/>
              <w:right w:val="single" w:sz="4" w:space="0" w:color="000000"/>
            </w:tcBorders>
            <w:hideMark/>
          </w:tcPr>
          <w:p w14:paraId="2A11E637" w14:textId="77777777" w:rsidR="00826F93" w:rsidRDefault="00826F93" w:rsidP="00826F93">
            <w:pPr>
              <w:pStyle w:val="Bezodstpw"/>
            </w:pPr>
            <w:r>
              <w:t xml:space="preserve">+/- 1 </w:t>
            </w:r>
          </w:p>
        </w:tc>
        <w:tc>
          <w:tcPr>
            <w:tcW w:w="1735" w:type="dxa"/>
            <w:gridSpan w:val="3"/>
            <w:tcBorders>
              <w:top w:val="single" w:sz="4" w:space="0" w:color="000000"/>
              <w:left w:val="single" w:sz="4" w:space="0" w:color="000000"/>
              <w:bottom w:val="single" w:sz="4" w:space="0" w:color="000000"/>
              <w:right w:val="single" w:sz="4" w:space="0" w:color="000000"/>
            </w:tcBorders>
            <w:hideMark/>
          </w:tcPr>
          <w:p w14:paraId="0BB98335" w14:textId="77777777" w:rsidR="00826F93" w:rsidRDefault="00826F93" w:rsidP="00826F93">
            <w:pPr>
              <w:pStyle w:val="Bezodstpw"/>
            </w:pPr>
            <w:r>
              <w:t xml:space="preserve">+10 </w:t>
            </w:r>
          </w:p>
        </w:tc>
        <w:tc>
          <w:tcPr>
            <w:tcW w:w="1306" w:type="dxa"/>
            <w:tcBorders>
              <w:top w:val="single" w:sz="4" w:space="0" w:color="000000"/>
              <w:left w:val="single" w:sz="4" w:space="0" w:color="000000"/>
              <w:bottom w:val="single" w:sz="4" w:space="0" w:color="000000"/>
              <w:right w:val="single" w:sz="4" w:space="0" w:color="000000"/>
            </w:tcBorders>
            <w:hideMark/>
          </w:tcPr>
          <w:p w14:paraId="66EB36B5" w14:textId="77777777" w:rsidR="00826F93" w:rsidRDefault="00826F93" w:rsidP="00826F93">
            <w:pPr>
              <w:pStyle w:val="Bezodstpw"/>
            </w:pPr>
            <w:r>
              <w:t xml:space="preserve">-4 </w:t>
            </w:r>
          </w:p>
        </w:tc>
      </w:tr>
      <w:tr w:rsidR="00826F93" w14:paraId="195A6278" w14:textId="77777777" w:rsidTr="00826F93">
        <w:trPr>
          <w:trHeight w:val="230"/>
        </w:trPr>
        <w:tc>
          <w:tcPr>
            <w:tcW w:w="499" w:type="dxa"/>
            <w:vMerge w:val="restart"/>
            <w:tcBorders>
              <w:top w:val="single" w:sz="4" w:space="0" w:color="000000"/>
              <w:left w:val="single" w:sz="4" w:space="0" w:color="000000"/>
              <w:bottom w:val="single" w:sz="4" w:space="0" w:color="000000"/>
              <w:right w:val="single" w:sz="4" w:space="0" w:color="000000"/>
            </w:tcBorders>
          </w:tcPr>
          <w:p w14:paraId="2AB6CB06" w14:textId="77777777" w:rsidR="00826F93" w:rsidRDefault="00826F93" w:rsidP="00826F93">
            <w:pPr>
              <w:pStyle w:val="Bezodstpw"/>
            </w:pPr>
          </w:p>
        </w:tc>
        <w:tc>
          <w:tcPr>
            <w:tcW w:w="3605" w:type="dxa"/>
            <w:tcBorders>
              <w:top w:val="single" w:sz="4" w:space="0" w:color="000000"/>
              <w:left w:val="single" w:sz="4" w:space="0" w:color="000000"/>
              <w:bottom w:val="single" w:sz="4" w:space="0" w:color="000000"/>
              <w:right w:val="single" w:sz="4" w:space="0" w:color="000000"/>
            </w:tcBorders>
            <w:hideMark/>
          </w:tcPr>
          <w:p w14:paraId="419780AB" w14:textId="77777777" w:rsidR="00826F93" w:rsidRDefault="00826F93" w:rsidP="00826F93">
            <w:pPr>
              <w:pStyle w:val="Bezodstpw"/>
            </w:pPr>
            <w:r>
              <w:t xml:space="preserve">Powierzchnia </w:t>
            </w:r>
          </w:p>
        </w:tc>
        <w:tc>
          <w:tcPr>
            <w:tcW w:w="1104" w:type="dxa"/>
            <w:vMerge w:val="restart"/>
            <w:tcBorders>
              <w:top w:val="single" w:sz="4" w:space="0" w:color="000000"/>
              <w:left w:val="single" w:sz="4" w:space="0" w:color="000000"/>
              <w:bottom w:val="single" w:sz="4" w:space="0" w:color="000000"/>
              <w:right w:val="single" w:sz="4" w:space="0" w:color="000000"/>
            </w:tcBorders>
          </w:tcPr>
          <w:p w14:paraId="6C2FF1A4" w14:textId="77777777" w:rsidR="00826F93" w:rsidRDefault="00826F93" w:rsidP="00826F93">
            <w:pPr>
              <w:pStyle w:val="Bezodstpw"/>
            </w:pPr>
          </w:p>
        </w:tc>
        <w:tc>
          <w:tcPr>
            <w:tcW w:w="1601" w:type="dxa"/>
            <w:tcBorders>
              <w:top w:val="single" w:sz="4" w:space="0" w:color="000000"/>
              <w:left w:val="single" w:sz="4" w:space="0" w:color="000000"/>
              <w:bottom w:val="single" w:sz="4" w:space="0" w:color="000000"/>
              <w:right w:val="single" w:sz="4" w:space="0" w:color="000000"/>
            </w:tcBorders>
            <w:hideMark/>
          </w:tcPr>
          <w:p w14:paraId="06561266" w14:textId="77777777" w:rsidR="00826F93" w:rsidRDefault="00826F93" w:rsidP="00826F93">
            <w:pPr>
              <w:pStyle w:val="Bezodstpw"/>
            </w:pPr>
            <w:r>
              <w:t xml:space="preserve">+/- 3 </w:t>
            </w:r>
          </w:p>
        </w:tc>
        <w:tc>
          <w:tcPr>
            <w:tcW w:w="1735" w:type="dxa"/>
            <w:gridSpan w:val="3"/>
            <w:tcBorders>
              <w:top w:val="single" w:sz="4" w:space="0" w:color="000000"/>
              <w:left w:val="single" w:sz="4" w:space="0" w:color="000000"/>
              <w:bottom w:val="single" w:sz="4" w:space="0" w:color="000000"/>
              <w:right w:val="single" w:sz="4" w:space="0" w:color="000000"/>
            </w:tcBorders>
            <w:hideMark/>
          </w:tcPr>
          <w:p w14:paraId="2F0C833C" w14:textId="77777777" w:rsidR="00826F93" w:rsidRDefault="00826F93" w:rsidP="00826F93">
            <w:pPr>
              <w:pStyle w:val="Bezodstpw"/>
            </w:pPr>
            <w:r>
              <w:t xml:space="preserve">+5 </w:t>
            </w:r>
          </w:p>
        </w:tc>
        <w:tc>
          <w:tcPr>
            <w:tcW w:w="1306" w:type="dxa"/>
            <w:tcBorders>
              <w:top w:val="single" w:sz="4" w:space="0" w:color="000000"/>
              <w:left w:val="single" w:sz="4" w:space="0" w:color="000000"/>
              <w:bottom w:val="single" w:sz="4" w:space="0" w:color="000000"/>
              <w:right w:val="single" w:sz="4" w:space="0" w:color="000000"/>
            </w:tcBorders>
            <w:hideMark/>
          </w:tcPr>
          <w:p w14:paraId="0E1366C6" w14:textId="77777777" w:rsidR="00826F93" w:rsidRDefault="00826F93" w:rsidP="00826F93">
            <w:pPr>
              <w:pStyle w:val="Bezodstpw"/>
            </w:pPr>
            <w:r>
              <w:t xml:space="preserve">-3 </w:t>
            </w:r>
          </w:p>
        </w:tc>
      </w:tr>
      <w:tr w:rsidR="00826F93" w14:paraId="632DA02A" w14:textId="77777777" w:rsidTr="00826F93">
        <w:trPr>
          <w:trHeight w:val="230"/>
        </w:trPr>
        <w:tc>
          <w:tcPr>
            <w:tcW w:w="499" w:type="dxa"/>
            <w:vMerge/>
            <w:tcBorders>
              <w:top w:val="single" w:sz="4" w:space="0" w:color="000000"/>
              <w:left w:val="single" w:sz="4" w:space="0" w:color="000000"/>
              <w:bottom w:val="single" w:sz="4" w:space="0" w:color="000000"/>
              <w:right w:val="single" w:sz="4" w:space="0" w:color="000000"/>
            </w:tcBorders>
            <w:vAlign w:val="center"/>
            <w:hideMark/>
          </w:tcPr>
          <w:p w14:paraId="3B805356" w14:textId="77777777" w:rsidR="00826F93" w:rsidRDefault="00826F93">
            <w:pPr>
              <w:rPr>
                <w:rFonts w:ascii="Arial Narrow" w:hAnsi="Arial Narrow"/>
              </w:rPr>
            </w:pPr>
          </w:p>
        </w:tc>
        <w:tc>
          <w:tcPr>
            <w:tcW w:w="3605" w:type="dxa"/>
            <w:tcBorders>
              <w:top w:val="single" w:sz="4" w:space="0" w:color="000000"/>
              <w:left w:val="single" w:sz="4" w:space="0" w:color="000000"/>
              <w:bottom w:val="single" w:sz="4" w:space="0" w:color="000000"/>
              <w:right w:val="single" w:sz="4" w:space="0" w:color="000000"/>
            </w:tcBorders>
            <w:hideMark/>
          </w:tcPr>
          <w:p w14:paraId="4509D77E" w14:textId="77777777" w:rsidR="00826F93" w:rsidRDefault="00826F93" w:rsidP="00826F93">
            <w:pPr>
              <w:pStyle w:val="Bezodstpw"/>
            </w:pPr>
            <w:r>
              <w:t xml:space="preserve">Pozostałe części </w:t>
            </w:r>
          </w:p>
        </w:tc>
        <w:tc>
          <w:tcPr>
            <w:tcW w:w="2705" w:type="dxa"/>
            <w:vMerge/>
            <w:tcBorders>
              <w:top w:val="single" w:sz="4" w:space="0" w:color="000000"/>
              <w:left w:val="single" w:sz="4" w:space="0" w:color="000000"/>
              <w:bottom w:val="single" w:sz="4" w:space="0" w:color="000000"/>
              <w:right w:val="single" w:sz="4" w:space="0" w:color="000000"/>
            </w:tcBorders>
            <w:vAlign w:val="center"/>
            <w:hideMark/>
          </w:tcPr>
          <w:p w14:paraId="259CE108" w14:textId="77777777" w:rsidR="00826F93" w:rsidRDefault="00826F93">
            <w:pPr>
              <w:rPr>
                <w:rFonts w:ascii="Arial Narrow" w:hAnsi="Arial Narrow"/>
              </w:rPr>
            </w:pPr>
          </w:p>
        </w:tc>
        <w:tc>
          <w:tcPr>
            <w:tcW w:w="1601" w:type="dxa"/>
            <w:tcBorders>
              <w:top w:val="single" w:sz="4" w:space="0" w:color="000000"/>
              <w:left w:val="single" w:sz="4" w:space="0" w:color="000000"/>
              <w:bottom w:val="single" w:sz="4" w:space="0" w:color="000000"/>
              <w:right w:val="single" w:sz="4" w:space="0" w:color="000000"/>
            </w:tcBorders>
            <w:hideMark/>
          </w:tcPr>
          <w:p w14:paraId="0E71A4BC" w14:textId="77777777" w:rsidR="00826F93" w:rsidRDefault="00826F93" w:rsidP="00826F93">
            <w:pPr>
              <w:pStyle w:val="Bezodstpw"/>
            </w:pPr>
            <w:r>
              <w:t xml:space="preserve">+/- 5 </w:t>
            </w:r>
          </w:p>
        </w:tc>
        <w:tc>
          <w:tcPr>
            <w:tcW w:w="1735" w:type="dxa"/>
            <w:gridSpan w:val="3"/>
            <w:tcBorders>
              <w:top w:val="single" w:sz="4" w:space="0" w:color="000000"/>
              <w:left w:val="single" w:sz="4" w:space="0" w:color="000000"/>
              <w:bottom w:val="single" w:sz="4" w:space="0" w:color="000000"/>
              <w:right w:val="single" w:sz="4" w:space="0" w:color="000000"/>
            </w:tcBorders>
            <w:hideMark/>
          </w:tcPr>
          <w:p w14:paraId="38C975F2" w14:textId="77777777" w:rsidR="00826F93" w:rsidRDefault="00826F93" w:rsidP="00826F93">
            <w:pPr>
              <w:pStyle w:val="Bezodstpw"/>
            </w:pPr>
            <w:r>
              <w:t xml:space="preserve">+10 </w:t>
            </w:r>
          </w:p>
        </w:tc>
        <w:tc>
          <w:tcPr>
            <w:tcW w:w="1306" w:type="dxa"/>
            <w:tcBorders>
              <w:top w:val="single" w:sz="4" w:space="0" w:color="000000"/>
              <w:left w:val="single" w:sz="4" w:space="0" w:color="000000"/>
              <w:bottom w:val="single" w:sz="4" w:space="0" w:color="000000"/>
              <w:right w:val="single" w:sz="4" w:space="0" w:color="000000"/>
            </w:tcBorders>
            <w:hideMark/>
          </w:tcPr>
          <w:p w14:paraId="23BEA0DA" w14:textId="77777777" w:rsidR="00826F93" w:rsidRDefault="00826F93" w:rsidP="00826F93">
            <w:pPr>
              <w:pStyle w:val="Bezodstpw"/>
            </w:pPr>
            <w:r>
              <w:t xml:space="preserve">-3 </w:t>
            </w:r>
          </w:p>
        </w:tc>
      </w:tr>
      <w:tr w:rsidR="00826F93" w14:paraId="46F75D6B" w14:textId="77777777" w:rsidTr="00826F93">
        <w:trPr>
          <w:trHeight w:val="422"/>
        </w:trPr>
        <w:tc>
          <w:tcPr>
            <w:tcW w:w="499" w:type="dxa"/>
            <w:vMerge w:val="restart"/>
            <w:tcBorders>
              <w:top w:val="single" w:sz="4" w:space="0" w:color="000000"/>
              <w:left w:val="single" w:sz="4" w:space="0" w:color="000000"/>
              <w:bottom w:val="single" w:sz="4" w:space="0" w:color="000000"/>
              <w:right w:val="single" w:sz="4" w:space="0" w:color="000000"/>
            </w:tcBorders>
            <w:vAlign w:val="center"/>
            <w:hideMark/>
          </w:tcPr>
          <w:p w14:paraId="68664458" w14:textId="77777777" w:rsidR="00826F93" w:rsidRDefault="00826F93" w:rsidP="00826F93">
            <w:pPr>
              <w:pStyle w:val="Bezodstpw"/>
            </w:pPr>
            <w:r>
              <w:t xml:space="preserve">1.2 </w:t>
            </w:r>
          </w:p>
        </w:tc>
        <w:tc>
          <w:tcPr>
            <w:tcW w:w="3605" w:type="dxa"/>
            <w:tcBorders>
              <w:top w:val="single" w:sz="4" w:space="0" w:color="000000"/>
              <w:left w:val="single" w:sz="4" w:space="0" w:color="000000"/>
              <w:bottom w:val="single" w:sz="4" w:space="0" w:color="000000"/>
              <w:right w:val="single" w:sz="4" w:space="0" w:color="000000"/>
            </w:tcBorders>
            <w:hideMark/>
          </w:tcPr>
          <w:p w14:paraId="3658E30C" w14:textId="77777777" w:rsidR="00826F93" w:rsidRDefault="00826F93" w:rsidP="00826F93">
            <w:pPr>
              <w:pStyle w:val="Bezodstpw"/>
            </w:pPr>
            <w:r>
              <w:t xml:space="preserve">Odchyłki płaskości i pofalowania przy długości pomiarowej* </w:t>
            </w:r>
          </w:p>
        </w:tc>
        <w:tc>
          <w:tcPr>
            <w:tcW w:w="1104" w:type="dxa"/>
            <w:vMerge w:val="restart"/>
            <w:tcBorders>
              <w:top w:val="single" w:sz="4" w:space="0" w:color="000000"/>
              <w:left w:val="single" w:sz="4" w:space="0" w:color="000000"/>
              <w:bottom w:val="single" w:sz="4" w:space="0" w:color="000000"/>
              <w:right w:val="single" w:sz="4" w:space="0" w:color="000000"/>
            </w:tcBorders>
            <w:vAlign w:val="center"/>
            <w:hideMark/>
          </w:tcPr>
          <w:p w14:paraId="0B0B1F9A" w14:textId="77777777" w:rsidR="00826F93" w:rsidRDefault="00826F93" w:rsidP="00826F93">
            <w:pPr>
              <w:pStyle w:val="Bezodstpw"/>
            </w:pPr>
            <w:r>
              <w:t xml:space="preserve">C </w:t>
            </w:r>
          </w:p>
        </w:tc>
        <w:tc>
          <w:tcPr>
            <w:tcW w:w="4642" w:type="dxa"/>
            <w:gridSpan w:val="5"/>
            <w:tcBorders>
              <w:top w:val="single" w:sz="4" w:space="0" w:color="000000"/>
              <w:left w:val="single" w:sz="4" w:space="0" w:color="000000"/>
              <w:bottom w:val="single" w:sz="4" w:space="0" w:color="000000"/>
              <w:right w:val="single" w:sz="4" w:space="0" w:color="000000"/>
            </w:tcBorders>
            <w:vAlign w:val="center"/>
            <w:hideMark/>
          </w:tcPr>
          <w:p w14:paraId="44C7FB10" w14:textId="77777777" w:rsidR="00826F93" w:rsidRDefault="00826F93" w:rsidP="00826F93">
            <w:pPr>
              <w:pStyle w:val="Bezodstpw"/>
            </w:pPr>
            <w:r>
              <w:t xml:space="preserve">Maksymalna odchyłka [w mm] </w:t>
            </w:r>
          </w:p>
        </w:tc>
      </w:tr>
      <w:tr w:rsidR="00826F93" w14:paraId="5657ACDE" w14:textId="77777777" w:rsidTr="00826F93">
        <w:trPr>
          <w:trHeight w:val="230"/>
        </w:trPr>
        <w:tc>
          <w:tcPr>
            <w:tcW w:w="499" w:type="dxa"/>
            <w:vMerge/>
            <w:tcBorders>
              <w:top w:val="single" w:sz="4" w:space="0" w:color="000000"/>
              <w:left w:val="single" w:sz="4" w:space="0" w:color="000000"/>
              <w:bottom w:val="single" w:sz="4" w:space="0" w:color="000000"/>
              <w:right w:val="single" w:sz="4" w:space="0" w:color="000000"/>
            </w:tcBorders>
            <w:vAlign w:val="center"/>
            <w:hideMark/>
          </w:tcPr>
          <w:p w14:paraId="1AC7AC16" w14:textId="77777777" w:rsidR="00826F93" w:rsidRDefault="00826F93">
            <w:pPr>
              <w:rPr>
                <w:rFonts w:ascii="Arial Narrow" w:hAnsi="Arial Narrow"/>
              </w:rPr>
            </w:pPr>
          </w:p>
        </w:tc>
        <w:tc>
          <w:tcPr>
            <w:tcW w:w="3605" w:type="dxa"/>
            <w:tcBorders>
              <w:top w:val="single" w:sz="4" w:space="0" w:color="000000"/>
              <w:left w:val="single" w:sz="4" w:space="0" w:color="000000"/>
              <w:bottom w:val="single" w:sz="4" w:space="0" w:color="000000"/>
              <w:right w:val="single" w:sz="4" w:space="0" w:color="000000"/>
            </w:tcBorders>
            <w:hideMark/>
          </w:tcPr>
          <w:p w14:paraId="79219624" w14:textId="77777777" w:rsidR="00826F93" w:rsidRDefault="00826F93" w:rsidP="00826F93">
            <w:pPr>
              <w:pStyle w:val="Bezodstpw"/>
            </w:pPr>
            <w:r>
              <w:t xml:space="preserve">300 mm </w:t>
            </w:r>
          </w:p>
        </w:tc>
        <w:tc>
          <w:tcPr>
            <w:tcW w:w="2705" w:type="dxa"/>
            <w:vMerge/>
            <w:tcBorders>
              <w:top w:val="single" w:sz="4" w:space="0" w:color="000000"/>
              <w:left w:val="single" w:sz="4" w:space="0" w:color="000000"/>
              <w:bottom w:val="single" w:sz="4" w:space="0" w:color="000000"/>
              <w:right w:val="single" w:sz="4" w:space="0" w:color="000000"/>
            </w:tcBorders>
            <w:vAlign w:val="center"/>
            <w:hideMark/>
          </w:tcPr>
          <w:p w14:paraId="1889CE3A" w14:textId="77777777" w:rsidR="00826F93" w:rsidRDefault="00826F93">
            <w:pPr>
              <w:rPr>
                <w:rFonts w:ascii="Arial Narrow" w:hAnsi="Arial Narrow"/>
              </w:rPr>
            </w:pPr>
          </w:p>
        </w:tc>
        <w:tc>
          <w:tcPr>
            <w:tcW w:w="4642" w:type="dxa"/>
            <w:gridSpan w:val="5"/>
            <w:tcBorders>
              <w:top w:val="single" w:sz="4" w:space="0" w:color="000000"/>
              <w:left w:val="single" w:sz="4" w:space="0" w:color="000000"/>
              <w:bottom w:val="single" w:sz="4" w:space="0" w:color="000000"/>
              <w:right w:val="single" w:sz="4" w:space="0" w:color="000000"/>
            </w:tcBorders>
            <w:hideMark/>
          </w:tcPr>
          <w:p w14:paraId="79B95751" w14:textId="77777777" w:rsidR="00826F93" w:rsidRDefault="00826F93" w:rsidP="00826F93">
            <w:pPr>
              <w:pStyle w:val="Bezodstpw"/>
            </w:pPr>
            <w:r>
              <w:t xml:space="preserve">+/- 1,5 </w:t>
            </w:r>
          </w:p>
        </w:tc>
      </w:tr>
      <w:tr w:rsidR="00826F93" w14:paraId="12263DC0" w14:textId="77777777" w:rsidTr="00826F93">
        <w:trPr>
          <w:trHeight w:val="233"/>
        </w:trPr>
        <w:tc>
          <w:tcPr>
            <w:tcW w:w="499" w:type="dxa"/>
            <w:vMerge/>
            <w:tcBorders>
              <w:top w:val="single" w:sz="4" w:space="0" w:color="000000"/>
              <w:left w:val="single" w:sz="4" w:space="0" w:color="000000"/>
              <w:bottom w:val="single" w:sz="4" w:space="0" w:color="000000"/>
              <w:right w:val="single" w:sz="4" w:space="0" w:color="000000"/>
            </w:tcBorders>
            <w:vAlign w:val="center"/>
            <w:hideMark/>
          </w:tcPr>
          <w:p w14:paraId="7C8FB6F5" w14:textId="77777777" w:rsidR="00826F93" w:rsidRDefault="00826F93">
            <w:pPr>
              <w:rPr>
                <w:rFonts w:ascii="Arial Narrow" w:hAnsi="Arial Narrow"/>
              </w:rPr>
            </w:pPr>
          </w:p>
        </w:tc>
        <w:tc>
          <w:tcPr>
            <w:tcW w:w="3605" w:type="dxa"/>
            <w:tcBorders>
              <w:top w:val="single" w:sz="4" w:space="0" w:color="000000"/>
              <w:left w:val="single" w:sz="4" w:space="0" w:color="000000"/>
              <w:bottom w:val="single" w:sz="4" w:space="0" w:color="000000"/>
              <w:right w:val="single" w:sz="4" w:space="0" w:color="000000"/>
            </w:tcBorders>
            <w:hideMark/>
          </w:tcPr>
          <w:p w14:paraId="306ACDF1" w14:textId="77777777" w:rsidR="00826F93" w:rsidRDefault="00826F93" w:rsidP="00826F93">
            <w:pPr>
              <w:pStyle w:val="Bezodstpw"/>
            </w:pPr>
            <w:r>
              <w:t xml:space="preserve">400 mm </w:t>
            </w:r>
          </w:p>
        </w:tc>
        <w:tc>
          <w:tcPr>
            <w:tcW w:w="2705" w:type="dxa"/>
            <w:vMerge/>
            <w:tcBorders>
              <w:top w:val="single" w:sz="4" w:space="0" w:color="000000"/>
              <w:left w:val="single" w:sz="4" w:space="0" w:color="000000"/>
              <w:bottom w:val="single" w:sz="4" w:space="0" w:color="000000"/>
              <w:right w:val="single" w:sz="4" w:space="0" w:color="000000"/>
            </w:tcBorders>
            <w:vAlign w:val="center"/>
            <w:hideMark/>
          </w:tcPr>
          <w:p w14:paraId="0C6B50A0" w14:textId="77777777" w:rsidR="00826F93" w:rsidRDefault="00826F93">
            <w:pPr>
              <w:rPr>
                <w:rFonts w:ascii="Arial Narrow" w:hAnsi="Arial Narrow"/>
              </w:rPr>
            </w:pPr>
          </w:p>
        </w:tc>
        <w:tc>
          <w:tcPr>
            <w:tcW w:w="4642" w:type="dxa"/>
            <w:gridSpan w:val="5"/>
            <w:tcBorders>
              <w:top w:val="single" w:sz="4" w:space="0" w:color="000000"/>
              <w:left w:val="single" w:sz="4" w:space="0" w:color="000000"/>
              <w:bottom w:val="single" w:sz="4" w:space="0" w:color="000000"/>
              <w:right w:val="single" w:sz="4" w:space="0" w:color="000000"/>
            </w:tcBorders>
            <w:hideMark/>
          </w:tcPr>
          <w:p w14:paraId="0C00B4D6" w14:textId="77777777" w:rsidR="00826F93" w:rsidRDefault="00826F93" w:rsidP="00826F93">
            <w:pPr>
              <w:pStyle w:val="Bezodstpw"/>
            </w:pPr>
            <w:r>
              <w:t xml:space="preserve">+/-  2,0 </w:t>
            </w:r>
          </w:p>
        </w:tc>
      </w:tr>
      <w:tr w:rsidR="00826F93" w14:paraId="6A78DA36" w14:textId="77777777" w:rsidTr="00826F93">
        <w:trPr>
          <w:trHeight w:val="230"/>
        </w:trPr>
        <w:tc>
          <w:tcPr>
            <w:tcW w:w="499" w:type="dxa"/>
            <w:vMerge/>
            <w:tcBorders>
              <w:top w:val="single" w:sz="4" w:space="0" w:color="000000"/>
              <w:left w:val="single" w:sz="4" w:space="0" w:color="000000"/>
              <w:bottom w:val="single" w:sz="4" w:space="0" w:color="000000"/>
              <w:right w:val="single" w:sz="4" w:space="0" w:color="000000"/>
            </w:tcBorders>
            <w:vAlign w:val="center"/>
            <w:hideMark/>
          </w:tcPr>
          <w:p w14:paraId="601BB794" w14:textId="77777777" w:rsidR="00826F93" w:rsidRDefault="00826F93">
            <w:pPr>
              <w:rPr>
                <w:rFonts w:ascii="Arial Narrow" w:hAnsi="Arial Narrow"/>
              </w:rPr>
            </w:pPr>
          </w:p>
        </w:tc>
        <w:tc>
          <w:tcPr>
            <w:tcW w:w="3605" w:type="dxa"/>
            <w:tcBorders>
              <w:top w:val="single" w:sz="4" w:space="0" w:color="000000"/>
              <w:left w:val="single" w:sz="4" w:space="0" w:color="000000"/>
              <w:bottom w:val="single" w:sz="4" w:space="0" w:color="000000"/>
              <w:right w:val="single" w:sz="4" w:space="0" w:color="000000"/>
            </w:tcBorders>
            <w:hideMark/>
          </w:tcPr>
          <w:p w14:paraId="225E97E3" w14:textId="77777777" w:rsidR="00826F93" w:rsidRDefault="00826F93" w:rsidP="00826F93">
            <w:pPr>
              <w:pStyle w:val="Bezodstpw"/>
            </w:pPr>
            <w:r>
              <w:t xml:space="preserve">500 mm </w:t>
            </w:r>
          </w:p>
        </w:tc>
        <w:tc>
          <w:tcPr>
            <w:tcW w:w="2705" w:type="dxa"/>
            <w:vMerge/>
            <w:tcBorders>
              <w:top w:val="single" w:sz="4" w:space="0" w:color="000000"/>
              <w:left w:val="single" w:sz="4" w:space="0" w:color="000000"/>
              <w:bottom w:val="single" w:sz="4" w:space="0" w:color="000000"/>
              <w:right w:val="single" w:sz="4" w:space="0" w:color="000000"/>
            </w:tcBorders>
            <w:vAlign w:val="center"/>
            <w:hideMark/>
          </w:tcPr>
          <w:p w14:paraId="21F5A141" w14:textId="77777777" w:rsidR="00826F93" w:rsidRDefault="00826F93">
            <w:pPr>
              <w:rPr>
                <w:rFonts w:ascii="Arial Narrow" w:hAnsi="Arial Narrow"/>
              </w:rPr>
            </w:pPr>
          </w:p>
        </w:tc>
        <w:tc>
          <w:tcPr>
            <w:tcW w:w="4642" w:type="dxa"/>
            <w:gridSpan w:val="5"/>
            <w:tcBorders>
              <w:top w:val="single" w:sz="4" w:space="0" w:color="000000"/>
              <w:left w:val="single" w:sz="4" w:space="0" w:color="000000"/>
              <w:bottom w:val="single" w:sz="4" w:space="0" w:color="000000"/>
              <w:right w:val="single" w:sz="4" w:space="0" w:color="000000"/>
            </w:tcBorders>
            <w:hideMark/>
          </w:tcPr>
          <w:p w14:paraId="67380085" w14:textId="77777777" w:rsidR="00826F93" w:rsidRDefault="00826F93" w:rsidP="00826F93">
            <w:pPr>
              <w:pStyle w:val="Bezodstpw"/>
            </w:pPr>
            <w:r>
              <w:t xml:space="preserve">+/-  2,5 </w:t>
            </w:r>
          </w:p>
        </w:tc>
      </w:tr>
      <w:tr w:rsidR="00826F93" w14:paraId="7D9F9E7C" w14:textId="77777777" w:rsidTr="00826F93">
        <w:trPr>
          <w:trHeight w:val="230"/>
        </w:trPr>
        <w:tc>
          <w:tcPr>
            <w:tcW w:w="499" w:type="dxa"/>
            <w:vMerge/>
            <w:tcBorders>
              <w:top w:val="single" w:sz="4" w:space="0" w:color="000000"/>
              <w:left w:val="single" w:sz="4" w:space="0" w:color="000000"/>
              <w:bottom w:val="single" w:sz="4" w:space="0" w:color="000000"/>
              <w:right w:val="single" w:sz="4" w:space="0" w:color="000000"/>
            </w:tcBorders>
            <w:vAlign w:val="center"/>
            <w:hideMark/>
          </w:tcPr>
          <w:p w14:paraId="39583909" w14:textId="77777777" w:rsidR="00826F93" w:rsidRDefault="00826F93">
            <w:pPr>
              <w:rPr>
                <w:rFonts w:ascii="Arial Narrow" w:hAnsi="Arial Narrow"/>
              </w:rPr>
            </w:pPr>
          </w:p>
        </w:tc>
        <w:tc>
          <w:tcPr>
            <w:tcW w:w="3605" w:type="dxa"/>
            <w:tcBorders>
              <w:top w:val="single" w:sz="4" w:space="0" w:color="000000"/>
              <w:left w:val="single" w:sz="4" w:space="0" w:color="000000"/>
              <w:bottom w:val="single" w:sz="4" w:space="0" w:color="000000"/>
              <w:right w:val="single" w:sz="4" w:space="0" w:color="000000"/>
            </w:tcBorders>
            <w:hideMark/>
          </w:tcPr>
          <w:p w14:paraId="0890EBEF" w14:textId="77777777" w:rsidR="00826F93" w:rsidRDefault="00826F93" w:rsidP="00826F93">
            <w:pPr>
              <w:pStyle w:val="Bezodstpw"/>
            </w:pPr>
            <w:r>
              <w:t xml:space="preserve">800 mm </w:t>
            </w:r>
          </w:p>
        </w:tc>
        <w:tc>
          <w:tcPr>
            <w:tcW w:w="2705" w:type="dxa"/>
            <w:vMerge/>
            <w:tcBorders>
              <w:top w:val="single" w:sz="4" w:space="0" w:color="000000"/>
              <w:left w:val="single" w:sz="4" w:space="0" w:color="000000"/>
              <w:bottom w:val="single" w:sz="4" w:space="0" w:color="000000"/>
              <w:right w:val="single" w:sz="4" w:space="0" w:color="000000"/>
            </w:tcBorders>
            <w:vAlign w:val="center"/>
            <w:hideMark/>
          </w:tcPr>
          <w:p w14:paraId="3AB7E540" w14:textId="77777777" w:rsidR="00826F93" w:rsidRDefault="00826F93">
            <w:pPr>
              <w:rPr>
                <w:rFonts w:ascii="Arial Narrow" w:hAnsi="Arial Narrow"/>
              </w:rPr>
            </w:pPr>
          </w:p>
        </w:tc>
        <w:tc>
          <w:tcPr>
            <w:tcW w:w="4642" w:type="dxa"/>
            <w:gridSpan w:val="5"/>
            <w:tcBorders>
              <w:top w:val="single" w:sz="4" w:space="0" w:color="000000"/>
              <w:left w:val="single" w:sz="4" w:space="0" w:color="000000"/>
              <w:bottom w:val="single" w:sz="4" w:space="0" w:color="000000"/>
              <w:right w:val="single" w:sz="4" w:space="0" w:color="000000"/>
            </w:tcBorders>
            <w:hideMark/>
          </w:tcPr>
          <w:p w14:paraId="3BE28F48" w14:textId="77777777" w:rsidR="00826F93" w:rsidRDefault="00826F93" w:rsidP="00826F93">
            <w:pPr>
              <w:pStyle w:val="Bezodstpw"/>
            </w:pPr>
            <w:r>
              <w:t xml:space="preserve">+/-  4,0 </w:t>
            </w:r>
          </w:p>
        </w:tc>
      </w:tr>
      <w:tr w:rsidR="00826F93" w14:paraId="7A213B84" w14:textId="77777777" w:rsidTr="00826F93">
        <w:trPr>
          <w:trHeight w:val="422"/>
        </w:trPr>
        <w:tc>
          <w:tcPr>
            <w:tcW w:w="499" w:type="dxa"/>
            <w:tcBorders>
              <w:top w:val="single" w:sz="4" w:space="0" w:color="000000"/>
              <w:left w:val="single" w:sz="4" w:space="0" w:color="000000"/>
              <w:bottom w:val="single" w:sz="4" w:space="0" w:color="000000"/>
              <w:right w:val="single" w:sz="4" w:space="0" w:color="000000"/>
            </w:tcBorders>
            <w:vAlign w:val="center"/>
            <w:hideMark/>
          </w:tcPr>
          <w:p w14:paraId="6F8FF960" w14:textId="77777777" w:rsidR="00826F93" w:rsidRDefault="00826F93" w:rsidP="00826F93">
            <w:pPr>
              <w:pStyle w:val="Bezodstpw"/>
            </w:pPr>
            <w:r>
              <w:t xml:space="preserve">1.3 </w:t>
            </w:r>
          </w:p>
        </w:tc>
        <w:tc>
          <w:tcPr>
            <w:tcW w:w="3605" w:type="dxa"/>
            <w:tcBorders>
              <w:top w:val="single" w:sz="4" w:space="0" w:color="000000"/>
              <w:left w:val="single" w:sz="4" w:space="0" w:color="000000"/>
              <w:bottom w:val="single" w:sz="4" w:space="0" w:color="000000"/>
              <w:right w:val="single" w:sz="4" w:space="0" w:color="000000"/>
            </w:tcBorders>
            <w:hideMark/>
          </w:tcPr>
          <w:p w14:paraId="015EBB4F" w14:textId="77777777" w:rsidR="00826F93" w:rsidRDefault="00826F93" w:rsidP="00826F93">
            <w:pPr>
              <w:pStyle w:val="Bezodstpw"/>
            </w:pPr>
            <w:r>
              <w:t xml:space="preserve">Grubość warstwy ścieralnej (dotyczy krawężników dwuwarstwowych) </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2A447AAD" w14:textId="77777777" w:rsidR="00826F93" w:rsidRDefault="00826F93" w:rsidP="00826F93">
            <w:pPr>
              <w:pStyle w:val="Bezodstpw"/>
            </w:pPr>
            <w:r>
              <w:t xml:space="preserve">C </w:t>
            </w:r>
          </w:p>
        </w:tc>
        <w:tc>
          <w:tcPr>
            <w:tcW w:w="4642" w:type="dxa"/>
            <w:gridSpan w:val="5"/>
            <w:tcBorders>
              <w:top w:val="single" w:sz="4" w:space="0" w:color="000000"/>
              <w:left w:val="single" w:sz="4" w:space="0" w:color="000000"/>
              <w:bottom w:val="single" w:sz="4" w:space="0" w:color="000000"/>
              <w:right w:val="single" w:sz="4" w:space="0" w:color="000000"/>
            </w:tcBorders>
            <w:vAlign w:val="center"/>
            <w:hideMark/>
          </w:tcPr>
          <w:p w14:paraId="20230270" w14:textId="77777777" w:rsidR="00826F93" w:rsidRDefault="00826F93" w:rsidP="00826F93">
            <w:pPr>
              <w:pStyle w:val="Bezodstpw"/>
            </w:pPr>
            <w:r>
              <w:t xml:space="preserve">Minimum 10 mm, mierzona w górnej części </w:t>
            </w:r>
          </w:p>
        </w:tc>
      </w:tr>
      <w:tr w:rsidR="00826F93" w14:paraId="7393F0DA" w14:textId="77777777" w:rsidTr="00826F93">
        <w:trPr>
          <w:trHeight w:val="218"/>
        </w:trPr>
        <w:tc>
          <w:tcPr>
            <w:tcW w:w="499" w:type="dxa"/>
            <w:tcBorders>
              <w:top w:val="single" w:sz="4" w:space="0" w:color="000000"/>
              <w:left w:val="single" w:sz="4" w:space="0" w:color="000000"/>
              <w:bottom w:val="single" w:sz="4" w:space="0" w:color="000000"/>
              <w:right w:val="single" w:sz="4" w:space="0" w:color="000000"/>
            </w:tcBorders>
            <w:hideMark/>
          </w:tcPr>
          <w:p w14:paraId="67F541AE" w14:textId="77777777" w:rsidR="00826F93" w:rsidRDefault="00826F93" w:rsidP="00826F93">
            <w:pPr>
              <w:pStyle w:val="Bezodstpw"/>
            </w:pPr>
            <w:r>
              <w:t xml:space="preserve">2. </w:t>
            </w:r>
          </w:p>
        </w:tc>
        <w:tc>
          <w:tcPr>
            <w:tcW w:w="9351" w:type="dxa"/>
            <w:gridSpan w:val="7"/>
            <w:tcBorders>
              <w:top w:val="single" w:sz="4" w:space="0" w:color="000000"/>
              <w:left w:val="single" w:sz="4" w:space="0" w:color="000000"/>
              <w:bottom w:val="single" w:sz="4" w:space="0" w:color="000000"/>
              <w:right w:val="single" w:sz="4" w:space="0" w:color="000000"/>
            </w:tcBorders>
            <w:hideMark/>
          </w:tcPr>
          <w:p w14:paraId="46E5A912" w14:textId="77777777" w:rsidR="00826F93" w:rsidRDefault="00826F93" w:rsidP="00826F93">
            <w:pPr>
              <w:pStyle w:val="Bezodstpw"/>
            </w:pPr>
            <w:r>
              <w:t xml:space="preserve">Właściwości fizyczne i mechaniczne </w:t>
            </w:r>
          </w:p>
        </w:tc>
      </w:tr>
      <w:tr w:rsidR="00826F93" w14:paraId="3C0423AA" w14:textId="77777777" w:rsidTr="00826F93">
        <w:trPr>
          <w:trHeight w:val="216"/>
        </w:trPr>
        <w:tc>
          <w:tcPr>
            <w:tcW w:w="499" w:type="dxa"/>
            <w:tcBorders>
              <w:top w:val="single" w:sz="4" w:space="0" w:color="000000"/>
              <w:left w:val="single" w:sz="4" w:space="0" w:color="000000"/>
              <w:bottom w:val="single" w:sz="4" w:space="0" w:color="000000"/>
              <w:right w:val="single" w:sz="4" w:space="0" w:color="000000"/>
            </w:tcBorders>
            <w:hideMark/>
          </w:tcPr>
          <w:p w14:paraId="0D8BC8D2" w14:textId="77777777" w:rsidR="00826F93" w:rsidRDefault="00826F93" w:rsidP="00826F93">
            <w:pPr>
              <w:pStyle w:val="Bezodstpw"/>
            </w:pPr>
            <w:r>
              <w:t xml:space="preserve">2.1 </w:t>
            </w:r>
          </w:p>
        </w:tc>
        <w:tc>
          <w:tcPr>
            <w:tcW w:w="3605" w:type="dxa"/>
            <w:tcBorders>
              <w:top w:val="single" w:sz="4" w:space="0" w:color="000000"/>
              <w:left w:val="single" w:sz="4" w:space="0" w:color="000000"/>
              <w:bottom w:val="single" w:sz="4" w:space="0" w:color="000000"/>
              <w:right w:val="single" w:sz="4" w:space="0" w:color="000000"/>
            </w:tcBorders>
            <w:hideMark/>
          </w:tcPr>
          <w:p w14:paraId="46A3C9E0" w14:textId="77777777" w:rsidR="00826F93" w:rsidRDefault="00826F93" w:rsidP="00826F93">
            <w:pPr>
              <w:pStyle w:val="Bezodstpw"/>
            </w:pPr>
            <w:r>
              <w:t xml:space="preserve">Wytrzymałość na zginanie* </w:t>
            </w:r>
          </w:p>
        </w:tc>
        <w:tc>
          <w:tcPr>
            <w:tcW w:w="1104" w:type="dxa"/>
            <w:tcBorders>
              <w:top w:val="single" w:sz="4" w:space="0" w:color="000000"/>
              <w:left w:val="single" w:sz="4" w:space="0" w:color="000000"/>
              <w:bottom w:val="single" w:sz="4" w:space="0" w:color="000000"/>
              <w:right w:val="single" w:sz="4" w:space="0" w:color="000000"/>
            </w:tcBorders>
            <w:hideMark/>
          </w:tcPr>
          <w:p w14:paraId="148468F3" w14:textId="77777777" w:rsidR="00826F93" w:rsidRDefault="00826F93" w:rsidP="00826F93">
            <w:pPr>
              <w:pStyle w:val="Bezodstpw"/>
            </w:pPr>
            <w:r>
              <w:t xml:space="preserve">F </w:t>
            </w:r>
          </w:p>
        </w:tc>
        <w:tc>
          <w:tcPr>
            <w:tcW w:w="4642" w:type="dxa"/>
            <w:gridSpan w:val="5"/>
            <w:tcBorders>
              <w:top w:val="single" w:sz="4" w:space="0" w:color="000000"/>
              <w:left w:val="single" w:sz="4" w:space="0" w:color="000000"/>
              <w:bottom w:val="single" w:sz="4" w:space="0" w:color="000000"/>
              <w:right w:val="single" w:sz="4" w:space="0" w:color="000000"/>
            </w:tcBorders>
            <w:hideMark/>
          </w:tcPr>
          <w:p w14:paraId="36BAEC33" w14:textId="77777777" w:rsidR="00826F93" w:rsidRDefault="00826F93" w:rsidP="00826F93">
            <w:pPr>
              <w:pStyle w:val="Bezodstpw"/>
            </w:pPr>
            <w:r>
              <w:t xml:space="preserve">Każdy pojedynczy wynik nie mniejszy niż 5,0 MPa </w:t>
            </w:r>
          </w:p>
        </w:tc>
      </w:tr>
      <w:tr w:rsidR="00826F93" w14:paraId="6100B552" w14:textId="77777777" w:rsidTr="00826F93">
        <w:trPr>
          <w:trHeight w:val="216"/>
        </w:trPr>
        <w:tc>
          <w:tcPr>
            <w:tcW w:w="499" w:type="dxa"/>
            <w:vMerge w:val="restart"/>
            <w:tcBorders>
              <w:top w:val="single" w:sz="4" w:space="0" w:color="000000"/>
              <w:left w:val="single" w:sz="4" w:space="0" w:color="000000"/>
              <w:bottom w:val="single" w:sz="4" w:space="0" w:color="000000"/>
              <w:right w:val="single" w:sz="4" w:space="0" w:color="000000"/>
            </w:tcBorders>
            <w:vAlign w:val="center"/>
            <w:hideMark/>
          </w:tcPr>
          <w:p w14:paraId="05D90103" w14:textId="77777777" w:rsidR="00826F93" w:rsidRDefault="00826F93" w:rsidP="00826F93">
            <w:pPr>
              <w:pStyle w:val="Bezodstpw"/>
            </w:pPr>
            <w:r>
              <w:t xml:space="preserve">2.2 </w:t>
            </w:r>
          </w:p>
        </w:tc>
        <w:tc>
          <w:tcPr>
            <w:tcW w:w="3605" w:type="dxa"/>
            <w:vMerge w:val="restart"/>
            <w:tcBorders>
              <w:top w:val="single" w:sz="4" w:space="0" w:color="000000"/>
              <w:left w:val="single" w:sz="4" w:space="0" w:color="000000"/>
              <w:bottom w:val="single" w:sz="4" w:space="0" w:color="000000"/>
              <w:right w:val="single" w:sz="4" w:space="0" w:color="000000"/>
            </w:tcBorders>
            <w:vAlign w:val="center"/>
            <w:hideMark/>
          </w:tcPr>
          <w:p w14:paraId="710871CE" w14:textId="77777777" w:rsidR="00826F93" w:rsidRDefault="00826F93" w:rsidP="00826F93">
            <w:pPr>
              <w:pStyle w:val="Bezodstpw"/>
            </w:pPr>
            <w:r>
              <w:t xml:space="preserve">Odporność na ścieranie (wg klasy 4 I normy) </w:t>
            </w:r>
          </w:p>
        </w:tc>
        <w:tc>
          <w:tcPr>
            <w:tcW w:w="1104" w:type="dxa"/>
            <w:vMerge w:val="restart"/>
            <w:tcBorders>
              <w:top w:val="single" w:sz="4" w:space="0" w:color="000000"/>
              <w:left w:val="single" w:sz="4" w:space="0" w:color="000000"/>
              <w:bottom w:val="single" w:sz="4" w:space="0" w:color="000000"/>
              <w:right w:val="single" w:sz="4" w:space="0" w:color="000000"/>
            </w:tcBorders>
            <w:vAlign w:val="center"/>
            <w:hideMark/>
          </w:tcPr>
          <w:p w14:paraId="6C02E1FF" w14:textId="77777777" w:rsidR="00826F93" w:rsidRDefault="00826F93" w:rsidP="00826F93">
            <w:pPr>
              <w:pStyle w:val="Bezodstpw"/>
            </w:pPr>
            <w:r>
              <w:t xml:space="preserve">G i H </w:t>
            </w:r>
          </w:p>
        </w:tc>
        <w:tc>
          <w:tcPr>
            <w:tcW w:w="4642" w:type="dxa"/>
            <w:gridSpan w:val="5"/>
            <w:tcBorders>
              <w:top w:val="single" w:sz="4" w:space="0" w:color="000000"/>
              <w:left w:val="single" w:sz="4" w:space="0" w:color="000000"/>
              <w:bottom w:val="single" w:sz="4" w:space="0" w:color="000000"/>
              <w:right w:val="single" w:sz="4" w:space="0" w:color="000000"/>
            </w:tcBorders>
            <w:hideMark/>
          </w:tcPr>
          <w:p w14:paraId="45A4DEB6" w14:textId="77777777" w:rsidR="00826F93" w:rsidRDefault="00826F93" w:rsidP="00826F93">
            <w:pPr>
              <w:pStyle w:val="Bezodstpw"/>
            </w:pPr>
            <w:r>
              <w:t xml:space="preserve">Pomiar wykonany na tarczy </w:t>
            </w:r>
          </w:p>
        </w:tc>
      </w:tr>
      <w:tr w:rsidR="00826F93" w14:paraId="0F9A84FB" w14:textId="77777777" w:rsidTr="00826F93">
        <w:trPr>
          <w:trHeight w:val="631"/>
        </w:trPr>
        <w:tc>
          <w:tcPr>
            <w:tcW w:w="499" w:type="dxa"/>
            <w:vMerge/>
            <w:tcBorders>
              <w:top w:val="single" w:sz="4" w:space="0" w:color="000000"/>
              <w:left w:val="single" w:sz="4" w:space="0" w:color="000000"/>
              <w:bottom w:val="single" w:sz="4" w:space="0" w:color="000000"/>
              <w:right w:val="single" w:sz="4" w:space="0" w:color="000000"/>
            </w:tcBorders>
            <w:vAlign w:val="center"/>
            <w:hideMark/>
          </w:tcPr>
          <w:p w14:paraId="7338F662" w14:textId="77777777" w:rsidR="00826F93" w:rsidRDefault="00826F93">
            <w:pPr>
              <w:rPr>
                <w:rFonts w:ascii="Arial Narrow" w:hAnsi="Arial Narrow"/>
              </w:rPr>
            </w:pPr>
          </w:p>
        </w:tc>
        <w:tc>
          <w:tcPr>
            <w:tcW w:w="9351" w:type="dxa"/>
            <w:vMerge/>
            <w:tcBorders>
              <w:top w:val="single" w:sz="4" w:space="0" w:color="000000"/>
              <w:left w:val="single" w:sz="4" w:space="0" w:color="000000"/>
              <w:bottom w:val="single" w:sz="4" w:space="0" w:color="000000"/>
              <w:right w:val="single" w:sz="4" w:space="0" w:color="000000"/>
            </w:tcBorders>
            <w:vAlign w:val="center"/>
            <w:hideMark/>
          </w:tcPr>
          <w:p w14:paraId="6B510782" w14:textId="77777777" w:rsidR="00826F93" w:rsidRDefault="00826F93">
            <w:pPr>
              <w:rPr>
                <w:rFonts w:ascii="Arial Narrow" w:hAnsi="Arial Narrow"/>
              </w:rPr>
            </w:pPr>
          </w:p>
        </w:tc>
        <w:tc>
          <w:tcPr>
            <w:tcW w:w="2705" w:type="dxa"/>
            <w:vMerge/>
            <w:tcBorders>
              <w:top w:val="single" w:sz="4" w:space="0" w:color="000000"/>
              <w:left w:val="single" w:sz="4" w:space="0" w:color="000000"/>
              <w:bottom w:val="single" w:sz="4" w:space="0" w:color="000000"/>
              <w:right w:val="single" w:sz="4" w:space="0" w:color="000000"/>
            </w:tcBorders>
            <w:vAlign w:val="center"/>
            <w:hideMark/>
          </w:tcPr>
          <w:p w14:paraId="1E99F473" w14:textId="77777777" w:rsidR="00826F93" w:rsidRDefault="00826F93">
            <w:pPr>
              <w:rPr>
                <w:rFonts w:ascii="Arial Narrow" w:hAnsi="Arial Narrow"/>
              </w:rPr>
            </w:pPr>
          </w:p>
        </w:tc>
        <w:tc>
          <w:tcPr>
            <w:tcW w:w="2109" w:type="dxa"/>
            <w:gridSpan w:val="2"/>
            <w:tcBorders>
              <w:top w:val="single" w:sz="4" w:space="0" w:color="000000"/>
              <w:left w:val="single" w:sz="4" w:space="0" w:color="000000"/>
              <w:bottom w:val="single" w:sz="4" w:space="0" w:color="000000"/>
              <w:right w:val="single" w:sz="4" w:space="0" w:color="000000"/>
            </w:tcBorders>
            <w:hideMark/>
          </w:tcPr>
          <w:p w14:paraId="13439AC0" w14:textId="77777777" w:rsidR="00826F93" w:rsidRDefault="00826F93" w:rsidP="00826F93">
            <w:pPr>
              <w:pStyle w:val="Bezodstpw"/>
            </w:pPr>
            <w:r>
              <w:t xml:space="preserve">szerokiej ściernej, wg zał. G normy –badanie podstawowe </w:t>
            </w:r>
          </w:p>
        </w:tc>
        <w:tc>
          <w:tcPr>
            <w:tcW w:w="2533" w:type="dxa"/>
            <w:gridSpan w:val="3"/>
            <w:tcBorders>
              <w:top w:val="single" w:sz="4" w:space="0" w:color="000000"/>
              <w:left w:val="single" w:sz="4" w:space="0" w:color="000000"/>
              <w:bottom w:val="single" w:sz="4" w:space="0" w:color="000000"/>
              <w:right w:val="single" w:sz="4" w:space="0" w:color="000000"/>
            </w:tcBorders>
            <w:hideMark/>
          </w:tcPr>
          <w:p w14:paraId="2394695B" w14:textId="77777777" w:rsidR="00826F93" w:rsidRDefault="00826F93" w:rsidP="00826F93">
            <w:pPr>
              <w:pStyle w:val="Bezodstpw"/>
            </w:pPr>
            <w:r>
              <w:t xml:space="preserve">Böhmego, wg zał. H normy – badanie alternatywne </w:t>
            </w:r>
          </w:p>
        </w:tc>
      </w:tr>
      <w:tr w:rsidR="00826F93" w14:paraId="24ABFC17" w14:textId="77777777" w:rsidTr="00826F93">
        <w:trPr>
          <w:trHeight w:val="308"/>
        </w:trPr>
        <w:tc>
          <w:tcPr>
            <w:tcW w:w="499" w:type="dxa"/>
            <w:vMerge/>
            <w:tcBorders>
              <w:top w:val="single" w:sz="4" w:space="0" w:color="000000"/>
              <w:left w:val="single" w:sz="4" w:space="0" w:color="000000"/>
              <w:bottom w:val="single" w:sz="4" w:space="0" w:color="000000"/>
              <w:right w:val="single" w:sz="4" w:space="0" w:color="000000"/>
            </w:tcBorders>
            <w:vAlign w:val="center"/>
            <w:hideMark/>
          </w:tcPr>
          <w:p w14:paraId="35EC3826" w14:textId="77777777" w:rsidR="00826F93" w:rsidRDefault="00826F93">
            <w:pPr>
              <w:rPr>
                <w:rFonts w:ascii="Arial Narrow" w:hAnsi="Arial Narrow"/>
              </w:rPr>
            </w:pPr>
          </w:p>
        </w:tc>
        <w:tc>
          <w:tcPr>
            <w:tcW w:w="9351" w:type="dxa"/>
            <w:vMerge/>
            <w:tcBorders>
              <w:top w:val="single" w:sz="4" w:space="0" w:color="000000"/>
              <w:left w:val="single" w:sz="4" w:space="0" w:color="000000"/>
              <w:bottom w:val="single" w:sz="4" w:space="0" w:color="000000"/>
              <w:right w:val="single" w:sz="4" w:space="0" w:color="000000"/>
            </w:tcBorders>
            <w:vAlign w:val="center"/>
            <w:hideMark/>
          </w:tcPr>
          <w:p w14:paraId="4232CEAA" w14:textId="77777777" w:rsidR="00826F93" w:rsidRDefault="00826F93">
            <w:pPr>
              <w:rPr>
                <w:rFonts w:ascii="Arial Narrow" w:hAnsi="Arial Narrow"/>
              </w:rPr>
            </w:pPr>
          </w:p>
        </w:tc>
        <w:tc>
          <w:tcPr>
            <w:tcW w:w="2705" w:type="dxa"/>
            <w:vMerge/>
            <w:tcBorders>
              <w:top w:val="single" w:sz="4" w:space="0" w:color="000000"/>
              <w:left w:val="single" w:sz="4" w:space="0" w:color="000000"/>
              <w:bottom w:val="single" w:sz="4" w:space="0" w:color="000000"/>
              <w:right w:val="single" w:sz="4" w:space="0" w:color="000000"/>
            </w:tcBorders>
            <w:vAlign w:val="center"/>
            <w:hideMark/>
          </w:tcPr>
          <w:p w14:paraId="322F26D3" w14:textId="77777777" w:rsidR="00826F93" w:rsidRDefault="00826F93">
            <w:pPr>
              <w:rPr>
                <w:rFonts w:ascii="Arial Narrow" w:hAnsi="Arial Narrow"/>
              </w:rPr>
            </w:pPr>
          </w:p>
        </w:tc>
        <w:tc>
          <w:tcPr>
            <w:tcW w:w="2109" w:type="dxa"/>
            <w:gridSpan w:val="2"/>
            <w:tcBorders>
              <w:top w:val="single" w:sz="4" w:space="0" w:color="000000"/>
              <w:left w:val="single" w:sz="4" w:space="0" w:color="000000"/>
              <w:bottom w:val="single" w:sz="4" w:space="0" w:color="000000"/>
              <w:right w:val="single" w:sz="4" w:space="0" w:color="000000"/>
            </w:tcBorders>
            <w:hideMark/>
          </w:tcPr>
          <w:p w14:paraId="55F1490A" w14:textId="77777777" w:rsidR="00826F93" w:rsidRDefault="00826F93" w:rsidP="00826F93">
            <w:pPr>
              <w:pStyle w:val="Bezodstpw"/>
            </w:pPr>
            <w:r>
              <w:t xml:space="preserve">≤ 20 mm </w:t>
            </w:r>
          </w:p>
        </w:tc>
        <w:tc>
          <w:tcPr>
            <w:tcW w:w="2533" w:type="dxa"/>
            <w:gridSpan w:val="3"/>
            <w:tcBorders>
              <w:top w:val="single" w:sz="4" w:space="0" w:color="000000"/>
              <w:left w:val="single" w:sz="4" w:space="0" w:color="000000"/>
              <w:bottom w:val="single" w:sz="4" w:space="0" w:color="000000"/>
              <w:right w:val="single" w:sz="4" w:space="0" w:color="000000"/>
            </w:tcBorders>
            <w:hideMark/>
          </w:tcPr>
          <w:p w14:paraId="248BDD0D" w14:textId="77777777" w:rsidR="00826F93" w:rsidRDefault="00826F93" w:rsidP="00826F93">
            <w:pPr>
              <w:pStyle w:val="Bezodstpw"/>
            </w:pPr>
            <w:r>
              <w:t xml:space="preserve">≤ 18 000 mm3/5 000 mm2 </w:t>
            </w:r>
          </w:p>
        </w:tc>
      </w:tr>
      <w:tr w:rsidR="00826F93" w14:paraId="11B33F13" w14:textId="77777777" w:rsidTr="00826F93">
        <w:trPr>
          <w:trHeight w:val="838"/>
        </w:trPr>
        <w:tc>
          <w:tcPr>
            <w:tcW w:w="499" w:type="dxa"/>
            <w:tcBorders>
              <w:top w:val="single" w:sz="4" w:space="0" w:color="000000"/>
              <w:left w:val="single" w:sz="4" w:space="0" w:color="000000"/>
              <w:bottom w:val="single" w:sz="4" w:space="0" w:color="000000"/>
              <w:right w:val="single" w:sz="4" w:space="0" w:color="000000"/>
            </w:tcBorders>
            <w:vAlign w:val="center"/>
            <w:hideMark/>
          </w:tcPr>
          <w:p w14:paraId="74F2B2F4" w14:textId="77777777" w:rsidR="00826F93" w:rsidRDefault="00826F93" w:rsidP="00826F93">
            <w:pPr>
              <w:pStyle w:val="Bezodstpw"/>
            </w:pPr>
            <w:r>
              <w:t xml:space="preserve">2.3 </w:t>
            </w:r>
          </w:p>
        </w:tc>
        <w:tc>
          <w:tcPr>
            <w:tcW w:w="3605" w:type="dxa"/>
            <w:tcBorders>
              <w:top w:val="single" w:sz="4" w:space="0" w:color="000000"/>
              <w:left w:val="single" w:sz="4" w:space="0" w:color="000000"/>
              <w:bottom w:val="single" w:sz="4" w:space="0" w:color="000000"/>
              <w:right w:val="single" w:sz="4" w:space="0" w:color="000000"/>
            </w:tcBorders>
            <w:vAlign w:val="center"/>
            <w:hideMark/>
          </w:tcPr>
          <w:p w14:paraId="1DC8281D" w14:textId="77777777" w:rsidR="00826F93" w:rsidRDefault="00826F93" w:rsidP="00826F93">
            <w:pPr>
              <w:pStyle w:val="Bezodstpw"/>
            </w:pPr>
            <w:r>
              <w:t xml:space="preserve">Odporność na poślizg/poślizgnięcie – wartość USRV </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22B7A28D" w14:textId="77777777" w:rsidR="00826F93" w:rsidRDefault="00826F93" w:rsidP="00826F93">
            <w:pPr>
              <w:pStyle w:val="Bezodstpw"/>
            </w:pPr>
            <w:r>
              <w:t xml:space="preserve">I </w:t>
            </w:r>
          </w:p>
        </w:tc>
        <w:tc>
          <w:tcPr>
            <w:tcW w:w="4642" w:type="dxa"/>
            <w:gridSpan w:val="5"/>
            <w:tcBorders>
              <w:top w:val="single" w:sz="4" w:space="0" w:color="000000"/>
              <w:left w:val="single" w:sz="4" w:space="0" w:color="000000"/>
              <w:bottom w:val="single" w:sz="4" w:space="0" w:color="000000"/>
              <w:right w:val="single" w:sz="4" w:space="0" w:color="000000"/>
            </w:tcBorders>
            <w:hideMark/>
          </w:tcPr>
          <w:p w14:paraId="79E3AFAB" w14:textId="77777777" w:rsidR="00826F93" w:rsidRDefault="00826F93" w:rsidP="00826F93">
            <w:pPr>
              <w:pStyle w:val="Bezodstpw"/>
            </w:pPr>
            <w:r>
              <w:t xml:space="preserve">Krawężniki betonowe i oporniki wykazują zadowalającą odporność na poślizg/poślizgnięcie pod warunkiem, że cała ich górna </w:t>
            </w:r>
          </w:p>
          <w:p w14:paraId="2ED73905" w14:textId="77777777" w:rsidR="00826F93" w:rsidRDefault="00826F93" w:rsidP="00826F93">
            <w:pPr>
              <w:pStyle w:val="Bezodstpw"/>
            </w:pPr>
            <w:r>
              <w:t xml:space="preserve">powierzchnia nie była szlifowana i/lub polerowana w celu uzyskania bardzo gładkiej powierzchni. </w:t>
            </w:r>
          </w:p>
        </w:tc>
      </w:tr>
      <w:tr w:rsidR="00826F93" w14:paraId="4A97DAB5" w14:textId="77777777" w:rsidTr="00826F93">
        <w:trPr>
          <w:trHeight w:val="216"/>
        </w:trPr>
        <w:tc>
          <w:tcPr>
            <w:tcW w:w="499" w:type="dxa"/>
            <w:tcBorders>
              <w:top w:val="single" w:sz="4" w:space="0" w:color="000000"/>
              <w:left w:val="single" w:sz="4" w:space="0" w:color="000000"/>
              <w:bottom w:val="single" w:sz="4" w:space="0" w:color="000000"/>
              <w:right w:val="single" w:sz="4" w:space="0" w:color="000000"/>
            </w:tcBorders>
            <w:hideMark/>
          </w:tcPr>
          <w:p w14:paraId="24876F9B" w14:textId="77777777" w:rsidR="00826F93" w:rsidRDefault="00826F93" w:rsidP="00826F93">
            <w:pPr>
              <w:pStyle w:val="Bezodstpw"/>
            </w:pPr>
            <w:r>
              <w:t xml:space="preserve">3 </w:t>
            </w:r>
          </w:p>
        </w:tc>
        <w:tc>
          <w:tcPr>
            <w:tcW w:w="9351" w:type="dxa"/>
            <w:gridSpan w:val="7"/>
            <w:tcBorders>
              <w:top w:val="single" w:sz="4" w:space="0" w:color="000000"/>
              <w:left w:val="single" w:sz="4" w:space="0" w:color="000000"/>
              <w:bottom w:val="single" w:sz="4" w:space="0" w:color="000000"/>
              <w:right w:val="single" w:sz="4" w:space="0" w:color="000000"/>
            </w:tcBorders>
            <w:hideMark/>
          </w:tcPr>
          <w:p w14:paraId="7AD14D85" w14:textId="77777777" w:rsidR="00826F93" w:rsidRDefault="00826F93" w:rsidP="00826F93">
            <w:pPr>
              <w:pStyle w:val="Bezodstpw"/>
            </w:pPr>
            <w:r>
              <w:t xml:space="preserve">Odporność na warunki atmosferyczne (kryteria stosowane łącznie) </w:t>
            </w:r>
          </w:p>
        </w:tc>
      </w:tr>
      <w:tr w:rsidR="00826F93" w14:paraId="6E0159D2" w14:textId="77777777" w:rsidTr="00826F93">
        <w:trPr>
          <w:trHeight w:val="218"/>
        </w:trPr>
        <w:tc>
          <w:tcPr>
            <w:tcW w:w="499" w:type="dxa"/>
            <w:vMerge w:val="restart"/>
            <w:tcBorders>
              <w:top w:val="single" w:sz="4" w:space="0" w:color="000000"/>
              <w:left w:val="single" w:sz="4" w:space="0" w:color="000000"/>
              <w:bottom w:val="nil"/>
              <w:right w:val="single" w:sz="4" w:space="0" w:color="000000"/>
            </w:tcBorders>
            <w:vAlign w:val="bottom"/>
            <w:hideMark/>
          </w:tcPr>
          <w:p w14:paraId="3EAE211A" w14:textId="77777777" w:rsidR="00826F93" w:rsidRDefault="00826F93" w:rsidP="00826F93">
            <w:pPr>
              <w:pStyle w:val="Bezodstpw"/>
            </w:pPr>
            <w:r>
              <w:t xml:space="preserve">3.1 </w:t>
            </w:r>
          </w:p>
        </w:tc>
        <w:tc>
          <w:tcPr>
            <w:tcW w:w="3605" w:type="dxa"/>
            <w:vMerge w:val="restart"/>
            <w:tcBorders>
              <w:top w:val="single" w:sz="4" w:space="0" w:color="000000"/>
              <w:left w:val="single" w:sz="4" w:space="0" w:color="000000"/>
              <w:bottom w:val="nil"/>
              <w:right w:val="single" w:sz="4" w:space="0" w:color="000000"/>
            </w:tcBorders>
            <w:hideMark/>
          </w:tcPr>
          <w:p w14:paraId="3938C9FF" w14:textId="77777777" w:rsidR="00826F93" w:rsidRDefault="00826F93" w:rsidP="00826F93">
            <w:pPr>
              <w:pStyle w:val="Bezodstpw"/>
            </w:pPr>
            <w:r>
              <w:t xml:space="preserve">Odporność na zamrażanie/ rozmrażanie z udziałem soli odladzającej </w:t>
            </w:r>
          </w:p>
          <w:p w14:paraId="52AA1686" w14:textId="77777777" w:rsidR="00826F93" w:rsidRDefault="00826F93" w:rsidP="00826F93">
            <w:pPr>
              <w:pStyle w:val="Bezodstpw"/>
            </w:pPr>
            <w:r>
              <w:t xml:space="preserve">- badanie warstwy ścieralnej </w:t>
            </w:r>
          </w:p>
        </w:tc>
        <w:tc>
          <w:tcPr>
            <w:tcW w:w="1104" w:type="dxa"/>
            <w:vMerge w:val="restart"/>
            <w:tcBorders>
              <w:top w:val="single" w:sz="4" w:space="0" w:color="000000"/>
              <w:left w:val="single" w:sz="4" w:space="0" w:color="000000"/>
              <w:bottom w:val="nil"/>
              <w:right w:val="single" w:sz="4" w:space="0" w:color="000000"/>
            </w:tcBorders>
            <w:vAlign w:val="bottom"/>
            <w:hideMark/>
          </w:tcPr>
          <w:p w14:paraId="622EF92E" w14:textId="77777777" w:rsidR="00826F93" w:rsidRDefault="00826F93" w:rsidP="00826F93">
            <w:pPr>
              <w:pStyle w:val="Bezodstpw"/>
            </w:pPr>
            <w:r>
              <w:t xml:space="preserve">D </w:t>
            </w:r>
          </w:p>
        </w:tc>
        <w:tc>
          <w:tcPr>
            <w:tcW w:w="4642" w:type="dxa"/>
            <w:gridSpan w:val="5"/>
            <w:tcBorders>
              <w:top w:val="single" w:sz="4" w:space="0" w:color="000000"/>
              <w:left w:val="single" w:sz="4" w:space="0" w:color="000000"/>
              <w:bottom w:val="single" w:sz="4" w:space="0" w:color="000000"/>
              <w:right w:val="single" w:sz="4" w:space="0" w:color="000000"/>
            </w:tcBorders>
            <w:hideMark/>
          </w:tcPr>
          <w:p w14:paraId="3F1A4622" w14:textId="77777777" w:rsidR="00826F93" w:rsidRDefault="00826F93" w:rsidP="00826F93">
            <w:pPr>
              <w:pStyle w:val="Bezodstpw"/>
            </w:pPr>
            <w:r>
              <w:t xml:space="preserve">Ubytek masy po badaniu [w kg/m2] </w:t>
            </w:r>
          </w:p>
        </w:tc>
      </w:tr>
      <w:tr w:rsidR="00826F93" w14:paraId="364F476C" w14:textId="77777777" w:rsidTr="00826F93">
        <w:trPr>
          <w:trHeight w:val="216"/>
        </w:trPr>
        <w:tc>
          <w:tcPr>
            <w:tcW w:w="499" w:type="dxa"/>
            <w:vMerge/>
            <w:tcBorders>
              <w:top w:val="single" w:sz="4" w:space="0" w:color="000000"/>
              <w:left w:val="single" w:sz="4" w:space="0" w:color="000000"/>
              <w:bottom w:val="nil"/>
              <w:right w:val="single" w:sz="4" w:space="0" w:color="000000"/>
            </w:tcBorders>
            <w:vAlign w:val="center"/>
            <w:hideMark/>
          </w:tcPr>
          <w:p w14:paraId="44DFB477" w14:textId="77777777" w:rsidR="00826F93" w:rsidRDefault="00826F93">
            <w:pPr>
              <w:rPr>
                <w:rFonts w:ascii="Arial Narrow" w:hAnsi="Arial Narrow"/>
              </w:rPr>
            </w:pPr>
          </w:p>
        </w:tc>
        <w:tc>
          <w:tcPr>
            <w:tcW w:w="9351" w:type="dxa"/>
            <w:vMerge/>
            <w:tcBorders>
              <w:top w:val="single" w:sz="4" w:space="0" w:color="000000"/>
              <w:left w:val="single" w:sz="4" w:space="0" w:color="000000"/>
              <w:bottom w:val="nil"/>
              <w:right w:val="single" w:sz="4" w:space="0" w:color="000000"/>
            </w:tcBorders>
            <w:vAlign w:val="center"/>
            <w:hideMark/>
          </w:tcPr>
          <w:p w14:paraId="551B17B7" w14:textId="77777777" w:rsidR="00826F93" w:rsidRDefault="00826F93">
            <w:pPr>
              <w:rPr>
                <w:rFonts w:ascii="Arial Narrow" w:hAnsi="Arial Narrow"/>
              </w:rPr>
            </w:pPr>
          </w:p>
        </w:tc>
        <w:tc>
          <w:tcPr>
            <w:tcW w:w="2705" w:type="dxa"/>
            <w:vMerge/>
            <w:tcBorders>
              <w:top w:val="single" w:sz="4" w:space="0" w:color="000000"/>
              <w:left w:val="single" w:sz="4" w:space="0" w:color="000000"/>
              <w:bottom w:val="nil"/>
              <w:right w:val="single" w:sz="4" w:space="0" w:color="000000"/>
            </w:tcBorders>
            <w:vAlign w:val="center"/>
            <w:hideMark/>
          </w:tcPr>
          <w:p w14:paraId="0B69A332" w14:textId="77777777" w:rsidR="00826F93" w:rsidRDefault="00826F93">
            <w:pPr>
              <w:rPr>
                <w:rFonts w:ascii="Arial Narrow" w:hAnsi="Arial Narrow"/>
              </w:rPr>
            </w:pPr>
          </w:p>
        </w:tc>
        <w:tc>
          <w:tcPr>
            <w:tcW w:w="2109" w:type="dxa"/>
            <w:gridSpan w:val="2"/>
            <w:tcBorders>
              <w:top w:val="single" w:sz="4" w:space="0" w:color="000000"/>
              <w:left w:val="single" w:sz="4" w:space="0" w:color="000000"/>
              <w:bottom w:val="single" w:sz="4" w:space="0" w:color="000000"/>
              <w:right w:val="single" w:sz="4" w:space="0" w:color="000000"/>
            </w:tcBorders>
            <w:hideMark/>
          </w:tcPr>
          <w:p w14:paraId="6EA6753A" w14:textId="77777777" w:rsidR="00826F93" w:rsidRDefault="00826F93" w:rsidP="00826F93">
            <w:pPr>
              <w:pStyle w:val="Bezodstpw"/>
            </w:pPr>
            <w:r>
              <w:t xml:space="preserve">Średni </w:t>
            </w:r>
          </w:p>
        </w:tc>
        <w:tc>
          <w:tcPr>
            <w:tcW w:w="2533" w:type="dxa"/>
            <w:gridSpan w:val="3"/>
            <w:tcBorders>
              <w:top w:val="single" w:sz="4" w:space="0" w:color="000000"/>
              <w:left w:val="single" w:sz="4" w:space="0" w:color="000000"/>
              <w:bottom w:val="single" w:sz="4" w:space="0" w:color="000000"/>
              <w:right w:val="single" w:sz="4" w:space="0" w:color="000000"/>
            </w:tcBorders>
            <w:hideMark/>
          </w:tcPr>
          <w:p w14:paraId="02EC1787" w14:textId="77777777" w:rsidR="00826F93" w:rsidRDefault="00826F93" w:rsidP="00826F93">
            <w:pPr>
              <w:pStyle w:val="Bezodstpw"/>
            </w:pPr>
            <w:r>
              <w:t xml:space="preserve">Maksymalny </w:t>
            </w:r>
          </w:p>
        </w:tc>
      </w:tr>
      <w:tr w:rsidR="00826F93" w14:paraId="10038832" w14:textId="77777777" w:rsidTr="00826F93">
        <w:trPr>
          <w:trHeight w:val="216"/>
        </w:trPr>
        <w:tc>
          <w:tcPr>
            <w:tcW w:w="499" w:type="dxa"/>
            <w:vMerge/>
            <w:tcBorders>
              <w:top w:val="single" w:sz="4" w:space="0" w:color="000000"/>
              <w:left w:val="single" w:sz="4" w:space="0" w:color="000000"/>
              <w:bottom w:val="nil"/>
              <w:right w:val="single" w:sz="4" w:space="0" w:color="000000"/>
            </w:tcBorders>
            <w:vAlign w:val="center"/>
            <w:hideMark/>
          </w:tcPr>
          <w:p w14:paraId="1A73C89D" w14:textId="77777777" w:rsidR="00826F93" w:rsidRDefault="00826F93">
            <w:pPr>
              <w:rPr>
                <w:rFonts w:ascii="Arial Narrow" w:hAnsi="Arial Narrow"/>
              </w:rPr>
            </w:pPr>
          </w:p>
        </w:tc>
        <w:tc>
          <w:tcPr>
            <w:tcW w:w="9351" w:type="dxa"/>
            <w:vMerge/>
            <w:tcBorders>
              <w:top w:val="single" w:sz="4" w:space="0" w:color="000000"/>
              <w:left w:val="single" w:sz="4" w:space="0" w:color="000000"/>
              <w:bottom w:val="nil"/>
              <w:right w:val="single" w:sz="4" w:space="0" w:color="000000"/>
            </w:tcBorders>
            <w:vAlign w:val="center"/>
            <w:hideMark/>
          </w:tcPr>
          <w:p w14:paraId="66E3F95D" w14:textId="77777777" w:rsidR="00826F93" w:rsidRDefault="00826F93">
            <w:pPr>
              <w:rPr>
                <w:rFonts w:ascii="Arial Narrow" w:hAnsi="Arial Narrow"/>
              </w:rPr>
            </w:pPr>
          </w:p>
        </w:tc>
        <w:tc>
          <w:tcPr>
            <w:tcW w:w="2705" w:type="dxa"/>
            <w:vMerge/>
            <w:tcBorders>
              <w:top w:val="single" w:sz="4" w:space="0" w:color="000000"/>
              <w:left w:val="single" w:sz="4" w:space="0" w:color="000000"/>
              <w:bottom w:val="nil"/>
              <w:right w:val="single" w:sz="4" w:space="0" w:color="000000"/>
            </w:tcBorders>
            <w:vAlign w:val="center"/>
            <w:hideMark/>
          </w:tcPr>
          <w:p w14:paraId="52E245D1" w14:textId="77777777" w:rsidR="00826F93" w:rsidRDefault="00826F93">
            <w:pPr>
              <w:rPr>
                <w:rFonts w:ascii="Arial Narrow" w:hAnsi="Arial Narrow"/>
              </w:rPr>
            </w:pPr>
          </w:p>
        </w:tc>
        <w:tc>
          <w:tcPr>
            <w:tcW w:w="2109" w:type="dxa"/>
            <w:gridSpan w:val="2"/>
            <w:tcBorders>
              <w:top w:val="single" w:sz="4" w:space="0" w:color="000000"/>
              <w:left w:val="single" w:sz="4" w:space="0" w:color="000000"/>
              <w:bottom w:val="nil"/>
              <w:right w:val="single" w:sz="4" w:space="0" w:color="000000"/>
            </w:tcBorders>
            <w:hideMark/>
          </w:tcPr>
          <w:p w14:paraId="4D9D4562" w14:textId="77777777" w:rsidR="00826F93" w:rsidRDefault="00826F93" w:rsidP="00826F93">
            <w:pPr>
              <w:pStyle w:val="Bezodstpw"/>
            </w:pPr>
            <w:r>
              <w:t xml:space="preserve">≤ 0,5 kg/m2 </w:t>
            </w:r>
          </w:p>
        </w:tc>
        <w:tc>
          <w:tcPr>
            <w:tcW w:w="2533" w:type="dxa"/>
            <w:gridSpan w:val="3"/>
            <w:tcBorders>
              <w:top w:val="single" w:sz="4" w:space="0" w:color="000000"/>
              <w:left w:val="single" w:sz="4" w:space="0" w:color="000000"/>
              <w:bottom w:val="nil"/>
              <w:right w:val="single" w:sz="4" w:space="0" w:color="000000"/>
            </w:tcBorders>
            <w:hideMark/>
          </w:tcPr>
          <w:p w14:paraId="257B8E01" w14:textId="77777777" w:rsidR="00826F93" w:rsidRDefault="00826F93" w:rsidP="00826F93">
            <w:pPr>
              <w:pStyle w:val="Bezodstpw"/>
            </w:pPr>
            <w:r>
              <w:t xml:space="preserve">≤ 1,0 kg/m2 </w:t>
            </w:r>
          </w:p>
        </w:tc>
      </w:tr>
      <w:tr w:rsidR="00826F93" w14:paraId="3DAB36D9" w14:textId="77777777" w:rsidTr="00826F93">
        <w:trPr>
          <w:trHeight w:val="424"/>
        </w:trPr>
        <w:tc>
          <w:tcPr>
            <w:tcW w:w="499" w:type="dxa"/>
            <w:tcBorders>
              <w:top w:val="nil"/>
              <w:left w:val="single" w:sz="4" w:space="0" w:color="000000"/>
              <w:bottom w:val="single" w:sz="4" w:space="0" w:color="000000"/>
              <w:right w:val="single" w:sz="4" w:space="0" w:color="000000"/>
            </w:tcBorders>
          </w:tcPr>
          <w:p w14:paraId="728C92BE" w14:textId="77777777" w:rsidR="00826F93" w:rsidRDefault="00826F93" w:rsidP="00826F93">
            <w:pPr>
              <w:pStyle w:val="Bezodstpw"/>
            </w:pPr>
          </w:p>
        </w:tc>
        <w:tc>
          <w:tcPr>
            <w:tcW w:w="3605" w:type="dxa"/>
            <w:tcBorders>
              <w:top w:val="nil"/>
              <w:left w:val="single" w:sz="4" w:space="0" w:color="000000"/>
              <w:bottom w:val="single" w:sz="4" w:space="0" w:color="000000"/>
              <w:right w:val="single" w:sz="4" w:space="0" w:color="000000"/>
            </w:tcBorders>
            <w:hideMark/>
          </w:tcPr>
          <w:p w14:paraId="15E68627" w14:textId="77777777" w:rsidR="00826F93" w:rsidRDefault="00826F93" w:rsidP="00826F93">
            <w:pPr>
              <w:pStyle w:val="Bezodstpw"/>
            </w:pPr>
            <w:r>
              <w:t xml:space="preserve">- badanie warstwy konstrukcyjnej (dotyczy krawężników dwuwarstwowych) </w:t>
            </w:r>
          </w:p>
        </w:tc>
        <w:tc>
          <w:tcPr>
            <w:tcW w:w="1104" w:type="dxa"/>
            <w:tcBorders>
              <w:top w:val="nil"/>
              <w:left w:val="single" w:sz="4" w:space="0" w:color="000000"/>
              <w:bottom w:val="single" w:sz="4" w:space="0" w:color="000000"/>
              <w:right w:val="single" w:sz="4" w:space="0" w:color="000000"/>
            </w:tcBorders>
          </w:tcPr>
          <w:p w14:paraId="47B534D9" w14:textId="77777777" w:rsidR="00826F93" w:rsidRDefault="00826F93" w:rsidP="00826F93">
            <w:pPr>
              <w:pStyle w:val="Bezodstpw"/>
            </w:pPr>
          </w:p>
        </w:tc>
        <w:tc>
          <w:tcPr>
            <w:tcW w:w="2109" w:type="dxa"/>
            <w:gridSpan w:val="2"/>
            <w:tcBorders>
              <w:top w:val="nil"/>
              <w:left w:val="single" w:sz="4" w:space="0" w:color="000000"/>
              <w:bottom w:val="single" w:sz="4" w:space="0" w:color="000000"/>
              <w:right w:val="single" w:sz="4" w:space="0" w:color="000000"/>
            </w:tcBorders>
            <w:vAlign w:val="center"/>
            <w:hideMark/>
          </w:tcPr>
          <w:p w14:paraId="0DB948E5" w14:textId="77777777" w:rsidR="00826F93" w:rsidRDefault="00826F93" w:rsidP="00826F93">
            <w:pPr>
              <w:pStyle w:val="Bezodstpw"/>
            </w:pPr>
            <w:r>
              <w:t xml:space="preserve">≤ 1,0 kg/m2 </w:t>
            </w:r>
          </w:p>
        </w:tc>
        <w:tc>
          <w:tcPr>
            <w:tcW w:w="2533" w:type="dxa"/>
            <w:gridSpan w:val="3"/>
            <w:tcBorders>
              <w:top w:val="nil"/>
              <w:left w:val="single" w:sz="4" w:space="0" w:color="000000"/>
              <w:bottom w:val="single" w:sz="4" w:space="0" w:color="000000"/>
              <w:right w:val="single" w:sz="4" w:space="0" w:color="000000"/>
            </w:tcBorders>
            <w:vAlign w:val="center"/>
            <w:hideMark/>
          </w:tcPr>
          <w:p w14:paraId="182E276D" w14:textId="77777777" w:rsidR="00826F93" w:rsidRDefault="00826F93" w:rsidP="00826F93">
            <w:pPr>
              <w:pStyle w:val="Bezodstpw"/>
            </w:pPr>
            <w:r>
              <w:t xml:space="preserve">≤ 1,5 kg/m2 </w:t>
            </w:r>
          </w:p>
        </w:tc>
      </w:tr>
      <w:tr w:rsidR="00826F93" w14:paraId="3A579DEA" w14:textId="77777777" w:rsidTr="00826F93">
        <w:trPr>
          <w:trHeight w:val="425"/>
        </w:trPr>
        <w:tc>
          <w:tcPr>
            <w:tcW w:w="499" w:type="dxa"/>
            <w:tcBorders>
              <w:top w:val="single" w:sz="4" w:space="0" w:color="000000"/>
              <w:left w:val="single" w:sz="4" w:space="0" w:color="000000"/>
              <w:bottom w:val="single" w:sz="4" w:space="0" w:color="000000"/>
              <w:right w:val="single" w:sz="4" w:space="0" w:color="000000"/>
            </w:tcBorders>
            <w:vAlign w:val="center"/>
            <w:hideMark/>
          </w:tcPr>
          <w:p w14:paraId="6C63E9C9" w14:textId="77777777" w:rsidR="00826F93" w:rsidRDefault="00826F93" w:rsidP="00826F93">
            <w:pPr>
              <w:pStyle w:val="Bezodstpw"/>
            </w:pPr>
            <w:r>
              <w:t xml:space="preserve">3.2 </w:t>
            </w:r>
          </w:p>
        </w:tc>
        <w:tc>
          <w:tcPr>
            <w:tcW w:w="3605" w:type="dxa"/>
            <w:tcBorders>
              <w:top w:val="single" w:sz="4" w:space="0" w:color="000000"/>
              <w:left w:val="single" w:sz="4" w:space="0" w:color="000000"/>
              <w:bottom w:val="single" w:sz="4" w:space="0" w:color="000000"/>
              <w:right w:val="single" w:sz="4" w:space="0" w:color="000000"/>
            </w:tcBorders>
            <w:vAlign w:val="center"/>
            <w:hideMark/>
          </w:tcPr>
          <w:p w14:paraId="500CC4BF" w14:textId="77777777" w:rsidR="00826F93" w:rsidRDefault="00826F93" w:rsidP="00826F93">
            <w:pPr>
              <w:pStyle w:val="Bezodstpw"/>
            </w:pPr>
            <w:r>
              <w:t xml:space="preserve">Nasiąkliwość </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14E4AFA0" w14:textId="77777777" w:rsidR="00826F93" w:rsidRDefault="00826F93" w:rsidP="00826F93">
            <w:pPr>
              <w:pStyle w:val="Bezodstpw"/>
            </w:pPr>
            <w:r>
              <w:t xml:space="preserve">E </w:t>
            </w:r>
          </w:p>
        </w:tc>
        <w:tc>
          <w:tcPr>
            <w:tcW w:w="4642" w:type="dxa"/>
            <w:gridSpan w:val="5"/>
            <w:tcBorders>
              <w:top w:val="single" w:sz="4" w:space="0" w:color="000000"/>
              <w:left w:val="single" w:sz="4" w:space="0" w:color="000000"/>
              <w:bottom w:val="single" w:sz="4" w:space="0" w:color="000000"/>
              <w:right w:val="single" w:sz="4" w:space="0" w:color="000000"/>
            </w:tcBorders>
            <w:hideMark/>
          </w:tcPr>
          <w:p w14:paraId="2432579B" w14:textId="77777777" w:rsidR="00826F93" w:rsidRDefault="00826F93">
            <w:pPr>
              <w:pStyle w:val="Bezodstpw"/>
            </w:pPr>
            <w:r>
              <w:t xml:space="preserve">Wartość średnia dla każdego krawężnika nie większa niż 6,0% </w:t>
            </w:r>
          </w:p>
        </w:tc>
      </w:tr>
      <w:tr w:rsidR="00826F93" w14:paraId="287B48B5" w14:textId="77777777" w:rsidTr="00826F93">
        <w:trPr>
          <w:trHeight w:val="216"/>
        </w:trPr>
        <w:tc>
          <w:tcPr>
            <w:tcW w:w="499" w:type="dxa"/>
            <w:tcBorders>
              <w:top w:val="single" w:sz="4" w:space="0" w:color="000000"/>
              <w:left w:val="single" w:sz="4" w:space="0" w:color="000000"/>
              <w:bottom w:val="single" w:sz="4" w:space="0" w:color="000000"/>
              <w:right w:val="single" w:sz="4" w:space="0" w:color="000000"/>
            </w:tcBorders>
            <w:hideMark/>
          </w:tcPr>
          <w:p w14:paraId="4E51F439" w14:textId="77777777" w:rsidR="00826F93" w:rsidRDefault="00826F93" w:rsidP="00826F93">
            <w:pPr>
              <w:pStyle w:val="Bezodstpw"/>
            </w:pPr>
            <w:r>
              <w:t xml:space="preserve">4 </w:t>
            </w:r>
          </w:p>
        </w:tc>
        <w:tc>
          <w:tcPr>
            <w:tcW w:w="9351" w:type="dxa"/>
            <w:gridSpan w:val="7"/>
            <w:tcBorders>
              <w:top w:val="single" w:sz="4" w:space="0" w:color="000000"/>
              <w:left w:val="single" w:sz="4" w:space="0" w:color="000000"/>
              <w:bottom w:val="single" w:sz="4" w:space="0" w:color="000000"/>
              <w:right w:val="single" w:sz="4" w:space="0" w:color="000000"/>
            </w:tcBorders>
            <w:hideMark/>
          </w:tcPr>
          <w:p w14:paraId="3912FCDC" w14:textId="77777777" w:rsidR="00826F93" w:rsidRDefault="00826F93" w:rsidP="00826F93">
            <w:pPr>
              <w:pStyle w:val="Bezodstpw"/>
            </w:pPr>
            <w:r>
              <w:t xml:space="preserve">Aspekty wizualne </w:t>
            </w:r>
          </w:p>
        </w:tc>
      </w:tr>
      <w:tr w:rsidR="00826F93" w14:paraId="35BA65B2" w14:textId="77777777" w:rsidTr="00826F93">
        <w:trPr>
          <w:trHeight w:val="218"/>
        </w:trPr>
        <w:tc>
          <w:tcPr>
            <w:tcW w:w="499" w:type="dxa"/>
            <w:vMerge w:val="restart"/>
            <w:tcBorders>
              <w:top w:val="single" w:sz="4" w:space="0" w:color="000000"/>
              <w:left w:val="single" w:sz="4" w:space="0" w:color="000000"/>
              <w:bottom w:val="single" w:sz="4" w:space="0" w:color="000000"/>
              <w:right w:val="single" w:sz="4" w:space="0" w:color="000000"/>
            </w:tcBorders>
            <w:vAlign w:val="center"/>
            <w:hideMark/>
          </w:tcPr>
          <w:p w14:paraId="1CA117DB" w14:textId="77777777" w:rsidR="00826F93" w:rsidRDefault="00826F93" w:rsidP="00826F93">
            <w:pPr>
              <w:pStyle w:val="Bezodstpw"/>
            </w:pPr>
            <w:r>
              <w:t xml:space="preserve">4.1 </w:t>
            </w:r>
          </w:p>
        </w:tc>
        <w:tc>
          <w:tcPr>
            <w:tcW w:w="3605" w:type="dxa"/>
            <w:vMerge w:val="restart"/>
            <w:tcBorders>
              <w:top w:val="single" w:sz="4" w:space="0" w:color="000000"/>
              <w:left w:val="single" w:sz="4" w:space="0" w:color="000000"/>
              <w:bottom w:val="single" w:sz="4" w:space="0" w:color="000000"/>
              <w:right w:val="single" w:sz="4" w:space="0" w:color="000000"/>
            </w:tcBorders>
            <w:vAlign w:val="center"/>
            <w:hideMark/>
          </w:tcPr>
          <w:p w14:paraId="6B1CE6B3" w14:textId="77777777" w:rsidR="00826F93" w:rsidRDefault="00826F93" w:rsidP="00826F93">
            <w:pPr>
              <w:pStyle w:val="Bezodstpw"/>
            </w:pPr>
            <w:r>
              <w:t xml:space="preserve">Wygląd </w:t>
            </w:r>
          </w:p>
        </w:tc>
        <w:tc>
          <w:tcPr>
            <w:tcW w:w="1104" w:type="dxa"/>
            <w:vMerge w:val="restart"/>
            <w:tcBorders>
              <w:top w:val="single" w:sz="4" w:space="0" w:color="000000"/>
              <w:left w:val="single" w:sz="4" w:space="0" w:color="000000"/>
              <w:bottom w:val="single" w:sz="4" w:space="0" w:color="000000"/>
              <w:right w:val="single" w:sz="4" w:space="0" w:color="000000"/>
            </w:tcBorders>
            <w:vAlign w:val="center"/>
            <w:hideMark/>
          </w:tcPr>
          <w:p w14:paraId="4ECB5F6E" w14:textId="77777777" w:rsidR="00826F93" w:rsidRDefault="00826F93" w:rsidP="00826F93">
            <w:pPr>
              <w:pStyle w:val="Bezodstpw"/>
            </w:pPr>
            <w:r>
              <w:t xml:space="preserve">J </w:t>
            </w:r>
          </w:p>
        </w:tc>
        <w:tc>
          <w:tcPr>
            <w:tcW w:w="4642" w:type="dxa"/>
            <w:gridSpan w:val="5"/>
            <w:tcBorders>
              <w:top w:val="single" w:sz="4" w:space="0" w:color="000000"/>
              <w:left w:val="single" w:sz="4" w:space="0" w:color="000000"/>
              <w:bottom w:val="single" w:sz="4" w:space="0" w:color="000000"/>
              <w:right w:val="single" w:sz="4" w:space="0" w:color="000000"/>
            </w:tcBorders>
            <w:hideMark/>
          </w:tcPr>
          <w:p w14:paraId="6B18E948" w14:textId="77777777" w:rsidR="00826F93" w:rsidRDefault="00826F93" w:rsidP="00826F93">
            <w:pPr>
              <w:pStyle w:val="Bezodstpw"/>
            </w:pPr>
            <w:r>
              <w:t xml:space="preserve">Wymaganie dotyczące warstwy wierzchniej </w:t>
            </w:r>
          </w:p>
        </w:tc>
      </w:tr>
      <w:tr w:rsidR="00826F93" w14:paraId="09ECC403" w14:textId="77777777" w:rsidTr="00826F93">
        <w:trPr>
          <w:trHeight w:val="632"/>
        </w:trPr>
        <w:tc>
          <w:tcPr>
            <w:tcW w:w="499" w:type="dxa"/>
            <w:vMerge/>
            <w:tcBorders>
              <w:top w:val="single" w:sz="4" w:space="0" w:color="000000"/>
              <w:left w:val="single" w:sz="4" w:space="0" w:color="000000"/>
              <w:bottom w:val="single" w:sz="4" w:space="0" w:color="000000"/>
              <w:right w:val="single" w:sz="4" w:space="0" w:color="000000"/>
            </w:tcBorders>
            <w:vAlign w:val="center"/>
            <w:hideMark/>
          </w:tcPr>
          <w:p w14:paraId="4ADC1EED" w14:textId="77777777" w:rsidR="00826F93" w:rsidRDefault="00826F93">
            <w:pPr>
              <w:rPr>
                <w:rFonts w:ascii="Arial Narrow" w:hAnsi="Arial Narrow"/>
              </w:rPr>
            </w:pPr>
          </w:p>
        </w:tc>
        <w:tc>
          <w:tcPr>
            <w:tcW w:w="9351" w:type="dxa"/>
            <w:vMerge/>
            <w:tcBorders>
              <w:top w:val="single" w:sz="4" w:space="0" w:color="000000"/>
              <w:left w:val="single" w:sz="4" w:space="0" w:color="000000"/>
              <w:bottom w:val="single" w:sz="4" w:space="0" w:color="000000"/>
              <w:right w:val="single" w:sz="4" w:space="0" w:color="000000"/>
            </w:tcBorders>
            <w:vAlign w:val="center"/>
            <w:hideMark/>
          </w:tcPr>
          <w:p w14:paraId="799B4BF3" w14:textId="77777777" w:rsidR="00826F93" w:rsidRDefault="00826F93">
            <w:pPr>
              <w:rPr>
                <w:rFonts w:ascii="Arial Narrow" w:hAnsi="Arial Narrow"/>
              </w:rPr>
            </w:pPr>
          </w:p>
        </w:tc>
        <w:tc>
          <w:tcPr>
            <w:tcW w:w="2705" w:type="dxa"/>
            <w:vMerge/>
            <w:tcBorders>
              <w:top w:val="single" w:sz="4" w:space="0" w:color="000000"/>
              <w:left w:val="single" w:sz="4" w:space="0" w:color="000000"/>
              <w:bottom w:val="single" w:sz="4" w:space="0" w:color="000000"/>
              <w:right w:val="single" w:sz="4" w:space="0" w:color="000000"/>
            </w:tcBorders>
            <w:vAlign w:val="center"/>
            <w:hideMark/>
          </w:tcPr>
          <w:p w14:paraId="55BDB205" w14:textId="77777777" w:rsidR="00826F93" w:rsidRDefault="00826F93">
            <w:pPr>
              <w:rPr>
                <w:rFonts w:ascii="Arial Narrow" w:hAnsi="Arial Narrow"/>
              </w:rPr>
            </w:pPr>
          </w:p>
        </w:tc>
        <w:tc>
          <w:tcPr>
            <w:tcW w:w="2672" w:type="dxa"/>
            <w:gridSpan w:val="3"/>
            <w:tcBorders>
              <w:top w:val="single" w:sz="4" w:space="0" w:color="000000"/>
              <w:left w:val="single" w:sz="4" w:space="0" w:color="000000"/>
              <w:bottom w:val="single" w:sz="4" w:space="0" w:color="000000"/>
              <w:right w:val="single" w:sz="4" w:space="0" w:color="000000"/>
            </w:tcBorders>
            <w:hideMark/>
          </w:tcPr>
          <w:p w14:paraId="696356AF" w14:textId="77777777" w:rsidR="00826F93" w:rsidRDefault="00826F93" w:rsidP="00826F93">
            <w:pPr>
              <w:pStyle w:val="Bezodstpw"/>
            </w:pPr>
            <w:r>
              <w:t xml:space="preserve">Rysy (poza drobnymi przytarciami transportowymi) widoczne „gołym okiem” </w:t>
            </w:r>
          </w:p>
        </w:tc>
        <w:tc>
          <w:tcPr>
            <w:tcW w:w="1970" w:type="dxa"/>
            <w:gridSpan w:val="2"/>
            <w:tcBorders>
              <w:top w:val="single" w:sz="4" w:space="0" w:color="000000"/>
              <w:left w:val="single" w:sz="4" w:space="0" w:color="000000"/>
              <w:bottom w:val="single" w:sz="4" w:space="0" w:color="000000"/>
              <w:right w:val="single" w:sz="4" w:space="0" w:color="000000"/>
            </w:tcBorders>
            <w:vAlign w:val="center"/>
            <w:hideMark/>
          </w:tcPr>
          <w:p w14:paraId="230174DB" w14:textId="77777777" w:rsidR="00826F93" w:rsidRDefault="00826F93" w:rsidP="00826F93">
            <w:pPr>
              <w:pStyle w:val="Bezodstpw"/>
            </w:pPr>
            <w:r>
              <w:t xml:space="preserve">Niedopuszczalne </w:t>
            </w:r>
          </w:p>
        </w:tc>
      </w:tr>
      <w:tr w:rsidR="00826F93" w14:paraId="002211BC" w14:textId="77777777" w:rsidTr="00826F93">
        <w:trPr>
          <w:trHeight w:val="422"/>
        </w:trPr>
        <w:tc>
          <w:tcPr>
            <w:tcW w:w="499" w:type="dxa"/>
            <w:vMerge/>
            <w:tcBorders>
              <w:top w:val="single" w:sz="4" w:space="0" w:color="000000"/>
              <w:left w:val="single" w:sz="4" w:space="0" w:color="000000"/>
              <w:bottom w:val="single" w:sz="4" w:space="0" w:color="000000"/>
              <w:right w:val="single" w:sz="4" w:space="0" w:color="000000"/>
            </w:tcBorders>
            <w:vAlign w:val="center"/>
            <w:hideMark/>
          </w:tcPr>
          <w:p w14:paraId="5B286162" w14:textId="77777777" w:rsidR="00826F93" w:rsidRDefault="00826F93">
            <w:pPr>
              <w:rPr>
                <w:rFonts w:ascii="Arial Narrow" w:hAnsi="Arial Narrow"/>
              </w:rPr>
            </w:pPr>
          </w:p>
        </w:tc>
        <w:tc>
          <w:tcPr>
            <w:tcW w:w="9351" w:type="dxa"/>
            <w:vMerge/>
            <w:tcBorders>
              <w:top w:val="single" w:sz="4" w:space="0" w:color="000000"/>
              <w:left w:val="single" w:sz="4" w:space="0" w:color="000000"/>
              <w:bottom w:val="single" w:sz="4" w:space="0" w:color="000000"/>
              <w:right w:val="single" w:sz="4" w:space="0" w:color="000000"/>
            </w:tcBorders>
            <w:vAlign w:val="center"/>
            <w:hideMark/>
          </w:tcPr>
          <w:p w14:paraId="372CD294" w14:textId="77777777" w:rsidR="00826F93" w:rsidRDefault="00826F93">
            <w:pPr>
              <w:rPr>
                <w:rFonts w:ascii="Arial Narrow" w:hAnsi="Arial Narrow"/>
              </w:rPr>
            </w:pPr>
          </w:p>
        </w:tc>
        <w:tc>
          <w:tcPr>
            <w:tcW w:w="2705" w:type="dxa"/>
            <w:vMerge/>
            <w:tcBorders>
              <w:top w:val="single" w:sz="4" w:space="0" w:color="000000"/>
              <w:left w:val="single" w:sz="4" w:space="0" w:color="000000"/>
              <w:bottom w:val="single" w:sz="4" w:space="0" w:color="000000"/>
              <w:right w:val="single" w:sz="4" w:space="0" w:color="000000"/>
            </w:tcBorders>
            <w:vAlign w:val="center"/>
            <w:hideMark/>
          </w:tcPr>
          <w:p w14:paraId="4D9759C5" w14:textId="77777777" w:rsidR="00826F93" w:rsidRDefault="00826F93">
            <w:pPr>
              <w:rPr>
                <w:rFonts w:ascii="Arial Narrow" w:hAnsi="Arial Narrow"/>
              </w:rPr>
            </w:pPr>
          </w:p>
        </w:tc>
        <w:tc>
          <w:tcPr>
            <w:tcW w:w="2672" w:type="dxa"/>
            <w:gridSpan w:val="3"/>
            <w:tcBorders>
              <w:top w:val="single" w:sz="4" w:space="0" w:color="000000"/>
              <w:left w:val="single" w:sz="4" w:space="0" w:color="000000"/>
              <w:bottom w:val="single" w:sz="4" w:space="0" w:color="000000"/>
              <w:right w:val="single" w:sz="4" w:space="0" w:color="000000"/>
            </w:tcBorders>
            <w:hideMark/>
          </w:tcPr>
          <w:p w14:paraId="425BCAE2" w14:textId="77777777" w:rsidR="00826F93" w:rsidRDefault="00826F93" w:rsidP="00826F93">
            <w:pPr>
              <w:pStyle w:val="Bezodstpw"/>
            </w:pPr>
            <w:r>
              <w:t xml:space="preserve">Rozwarstwienia w krawężnikach dwuwarstwowych </w:t>
            </w:r>
          </w:p>
        </w:tc>
        <w:tc>
          <w:tcPr>
            <w:tcW w:w="1970" w:type="dxa"/>
            <w:gridSpan w:val="2"/>
            <w:tcBorders>
              <w:top w:val="single" w:sz="4" w:space="0" w:color="000000"/>
              <w:left w:val="single" w:sz="4" w:space="0" w:color="000000"/>
              <w:bottom w:val="single" w:sz="4" w:space="0" w:color="000000"/>
              <w:right w:val="single" w:sz="4" w:space="0" w:color="000000"/>
            </w:tcBorders>
            <w:vAlign w:val="center"/>
            <w:hideMark/>
          </w:tcPr>
          <w:p w14:paraId="568324A7" w14:textId="77777777" w:rsidR="00826F93" w:rsidRDefault="00826F93" w:rsidP="00826F93">
            <w:pPr>
              <w:pStyle w:val="Bezodstpw"/>
            </w:pPr>
            <w:r>
              <w:t xml:space="preserve">Niedopuszczalne </w:t>
            </w:r>
          </w:p>
        </w:tc>
      </w:tr>
      <w:tr w:rsidR="00826F93" w14:paraId="3CBD56E4" w14:textId="77777777" w:rsidTr="00826F93">
        <w:trPr>
          <w:trHeight w:val="631"/>
        </w:trPr>
        <w:tc>
          <w:tcPr>
            <w:tcW w:w="499" w:type="dxa"/>
            <w:vMerge/>
            <w:tcBorders>
              <w:top w:val="single" w:sz="4" w:space="0" w:color="000000"/>
              <w:left w:val="single" w:sz="4" w:space="0" w:color="000000"/>
              <w:bottom w:val="single" w:sz="4" w:space="0" w:color="000000"/>
              <w:right w:val="single" w:sz="4" w:space="0" w:color="000000"/>
            </w:tcBorders>
            <w:vAlign w:val="center"/>
            <w:hideMark/>
          </w:tcPr>
          <w:p w14:paraId="360EFE76" w14:textId="77777777" w:rsidR="00826F93" w:rsidRDefault="00826F93">
            <w:pPr>
              <w:rPr>
                <w:rFonts w:ascii="Arial Narrow" w:hAnsi="Arial Narrow"/>
              </w:rPr>
            </w:pPr>
          </w:p>
        </w:tc>
        <w:tc>
          <w:tcPr>
            <w:tcW w:w="9351" w:type="dxa"/>
            <w:vMerge/>
            <w:tcBorders>
              <w:top w:val="single" w:sz="4" w:space="0" w:color="000000"/>
              <w:left w:val="single" w:sz="4" w:space="0" w:color="000000"/>
              <w:bottom w:val="single" w:sz="4" w:space="0" w:color="000000"/>
              <w:right w:val="single" w:sz="4" w:space="0" w:color="000000"/>
            </w:tcBorders>
            <w:vAlign w:val="center"/>
            <w:hideMark/>
          </w:tcPr>
          <w:p w14:paraId="7844D24D" w14:textId="77777777" w:rsidR="00826F93" w:rsidRDefault="00826F93">
            <w:pPr>
              <w:rPr>
                <w:rFonts w:ascii="Arial Narrow" w:hAnsi="Arial Narrow"/>
              </w:rPr>
            </w:pPr>
          </w:p>
        </w:tc>
        <w:tc>
          <w:tcPr>
            <w:tcW w:w="2705" w:type="dxa"/>
            <w:vMerge/>
            <w:tcBorders>
              <w:top w:val="single" w:sz="4" w:space="0" w:color="000000"/>
              <w:left w:val="single" w:sz="4" w:space="0" w:color="000000"/>
              <w:bottom w:val="single" w:sz="4" w:space="0" w:color="000000"/>
              <w:right w:val="single" w:sz="4" w:space="0" w:color="000000"/>
            </w:tcBorders>
            <w:vAlign w:val="center"/>
            <w:hideMark/>
          </w:tcPr>
          <w:p w14:paraId="0344CF9C" w14:textId="77777777" w:rsidR="00826F93" w:rsidRDefault="00826F93">
            <w:pPr>
              <w:rPr>
                <w:rFonts w:ascii="Arial Narrow" w:hAnsi="Arial Narrow"/>
              </w:rPr>
            </w:pPr>
          </w:p>
        </w:tc>
        <w:tc>
          <w:tcPr>
            <w:tcW w:w="2672" w:type="dxa"/>
            <w:gridSpan w:val="3"/>
            <w:tcBorders>
              <w:top w:val="single" w:sz="4" w:space="0" w:color="000000"/>
              <w:left w:val="single" w:sz="4" w:space="0" w:color="000000"/>
              <w:bottom w:val="single" w:sz="4" w:space="0" w:color="000000"/>
              <w:right w:val="single" w:sz="4" w:space="0" w:color="000000"/>
            </w:tcBorders>
            <w:hideMark/>
          </w:tcPr>
          <w:p w14:paraId="01DD3C10" w14:textId="77777777" w:rsidR="00826F93" w:rsidRDefault="00826F93" w:rsidP="00826F93">
            <w:pPr>
              <w:pStyle w:val="Bezodstpw"/>
            </w:pPr>
            <w:r>
              <w:t xml:space="preserve">Uszkodzenia marglowe lub podobnie wyglądające pochodzące z zanieczyszczeń </w:t>
            </w:r>
          </w:p>
        </w:tc>
        <w:tc>
          <w:tcPr>
            <w:tcW w:w="1970" w:type="dxa"/>
            <w:gridSpan w:val="2"/>
            <w:tcBorders>
              <w:top w:val="single" w:sz="4" w:space="0" w:color="000000"/>
              <w:left w:val="single" w:sz="4" w:space="0" w:color="000000"/>
              <w:bottom w:val="single" w:sz="4" w:space="0" w:color="000000"/>
              <w:right w:val="single" w:sz="4" w:space="0" w:color="000000"/>
            </w:tcBorders>
            <w:vAlign w:val="center"/>
            <w:hideMark/>
          </w:tcPr>
          <w:p w14:paraId="1F55E19F" w14:textId="77777777" w:rsidR="00826F93" w:rsidRDefault="00826F93" w:rsidP="00826F93">
            <w:pPr>
              <w:pStyle w:val="Bezodstpw"/>
            </w:pPr>
            <w:r>
              <w:t xml:space="preserve">Niedopuszczalne </w:t>
            </w:r>
          </w:p>
        </w:tc>
      </w:tr>
      <w:tr w:rsidR="00826F93" w14:paraId="035BB01D" w14:textId="77777777" w:rsidTr="00826F93">
        <w:trPr>
          <w:trHeight w:val="425"/>
        </w:trPr>
        <w:tc>
          <w:tcPr>
            <w:tcW w:w="499" w:type="dxa"/>
            <w:vMerge/>
            <w:tcBorders>
              <w:top w:val="single" w:sz="4" w:space="0" w:color="000000"/>
              <w:left w:val="single" w:sz="4" w:space="0" w:color="000000"/>
              <w:bottom w:val="single" w:sz="4" w:space="0" w:color="000000"/>
              <w:right w:val="single" w:sz="4" w:space="0" w:color="000000"/>
            </w:tcBorders>
            <w:vAlign w:val="center"/>
            <w:hideMark/>
          </w:tcPr>
          <w:p w14:paraId="46BB3BA0" w14:textId="77777777" w:rsidR="00826F93" w:rsidRDefault="00826F93">
            <w:pPr>
              <w:rPr>
                <w:rFonts w:ascii="Arial Narrow" w:hAnsi="Arial Narrow"/>
              </w:rPr>
            </w:pPr>
          </w:p>
        </w:tc>
        <w:tc>
          <w:tcPr>
            <w:tcW w:w="9351" w:type="dxa"/>
            <w:vMerge/>
            <w:tcBorders>
              <w:top w:val="single" w:sz="4" w:space="0" w:color="000000"/>
              <w:left w:val="single" w:sz="4" w:space="0" w:color="000000"/>
              <w:bottom w:val="single" w:sz="4" w:space="0" w:color="000000"/>
              <w:right w:val="single" w:sz="4" w:space="0" w:color="000000"/>
            </w:tcBorders>
            <w:vAlign w:val="center"/>
            <w:hideMark/>
          </w:tcPr>
          <w:p w14:paraId="17EB37F4" w14:textId="77777777" w:rsidR="00826F93" w:rsidRDefault="00826F93">
            <w:pPr>
              <w:rPr>
                <w:rFonts w:ascii="Arial Narrow" w:hAnsi="Arial Narrow"/>
              </w:rPr>
            </w:pPr>
          </w:p>
        </w:tc>
        <w:tc>
          <w:tcPr>
            <w:tcW w:w="2705" w:type="dxa"/>
            <w:vMerge/>
            <w:tcBorders>
              <w:top w:val="single" w:sz="4" w:space="0" w:color="000000"/>
              <w:left w:val="single" w:sz="4" w:space="0" w:color="000000"/>
              <w:bottom w:val="single" w:sz="4" w:space="0" w:color="000000"/>
              <w:right w:val="single" w:sz="4" w:space="0" w:color="000000"/>
            </w:tcBorders>
            <w:vAlign w:val="center"/>
            <w:hideMark/>
          </w:tcPr>
          <w:p w14:paraId="35CE426A" w14:textId="77777777" w:rsidR="00826F93" w:rsidRDefault="00826F93">
            <w:pPr>
              <w:rPr>
                <w:rFonts w:ascii="Arial Narrow" w:hAnsi="Arial Narrow"/>
              </w:rPr>
            </w:pPr>
          </w:p>
        </w:tc>
        <w:tc>
          <w:tcPr>
            <w:tcW w:w="2672" w:type="dxa"/>
            <w:gridSpan w:val="3"/>
            <w:tcBorders>
              <w:top w:val="single" w:sz="4" w:space="0" w:color="000000"/>
              <w:left w:val="single" w:sz="4" w:space="0" w:color="000000"/>
              <w:bottom w:val="single" w:sz="4" w:space="0" w:color="000000"/>
              <w:right w:val="single" w:sz="4" w:space="0" w:color="000000"/>
            </w:tcBorders>
            <w:hideMark/>
          </w:tcPr>
          <w:p w14:paraId="44D6ADE1" w14:textId="77777777" w:rsidR="00826F93" w:rsidRDefault="00826F93" w:rsidP="00826F93">
            <w:pPr>
              <w:pStyle w:val="Bezodstpw"/>
            </w:pPr>
            <w:r>
              <w:t xml:space="preserve">Naloty wapienne zwane potocznie wykwitami </w:t>
            </w:r>
          </w:p>
        </w:tc>
        <w:tc>
          <w:tcPr>
            <w:tcW w:w="1970" w:type="dxa"/>
            <w:gridSpan w:val="2"/>
            <w:tcBorders>
              <w:top w:val="single" w:sz="4" w:space="0" w:color="000000"/>
              <w:left w:val="single" w:sz="4" w:space="0" w:color="000000"/>
              <w:bottom w:val="single" w:sz="4" w:space="0" w:color="000000"/>
              <w:right w:val="single" w:sz="4" w:space="0" w:color="000000"/>
            </w:tcBorders>
            <w:vAlign w:val="center"/>
            <w:hideMark/>
          </w:tcPr>
          <w:p w14:paraId="7AD9749D" w14:textId="77777777" w:rsidR="00826F93" w:rsidRDefault="00826F93" w:rsidP="00826F93">
            <w:pPr>
              <w:pStyle w:val="Bezodstpw"/>
            </w:pPr>
            <w:r>
              <w:t xml:space="preserve">Dopuszczalne </w:t>
            </w:r>
          </w:p>
        </w:tc>
      </w:tr>
      <w:tr w:rsidR="00826F93" w14:paraId="69F4192D" w14:textId="77777777" w:rsidTr="00826F93">
        <w:trPr>
          <w:trHeight w:val="216"/>
        </w:trPr>
        <w:tc>
          <w:tcPr>
            <w:tcW w:w="499" w:type="dxa"/>
            <w:vMerge w:val="restart"/>
            <w:tcBorders>
              <w:top w:val="single" w:sz="4" w:space="0" w:color="000000"/>
              <w:left w:val="single" w:sz="4" w:space="0" w:color="000000"/>
              <w:bottom w:val="single" w:sz="4" w:space="0" w:color="000000"/>
              <w:right w:val="single" w:sz="4" w:space="0" w:color="000000"/>
            </w:tcBorders>
            <w:vAlign w:val="center"/>
            <w:hideMark/>
          </w:tcPr>
          <w:p w14:paraId="6F7FEC6C" w14:textId="77777777" w:rsidR="00826F93" w:rsidRDefault="00826F93" w:rsidP="00826F93">
            <w:pPr>
              <w:pStyle w:val="Bezodstpw"/>
            </w:pPr>
            <w:r>
              <w:t xml:space="preserve">4.2 </w:t>
            </w:r>
          </w:p>
        </w:tc>
        <w:tc>
          <w:tcPr>
            <w:tcW w:w="3605" w:type="dxa"/>
            <w:vMerge w:val="restart"/>
            <w:tcBorders>
              <w:top w:val="single" w:sz="4" w:space="0" w:color="000000"/>
              <w:left w:val="single" w:sz="4" w:space="0" w:color="000000"/>
              <w:bottom w:val="single" w:sz="4" w:space="0" w:color="000000"/>
              <w:right w:val="single" w:sz="4" w:space="0" w:color="000000"/>
            </w:tcBorders>
            <w:vAlign w:val="center"/>
            <w:hideMark/>
          </w:tcPr>
          <w:p w14:paraId="199DEBAA" w14:textId="77777777" w:rsidR="00826F93" w:rsidRDefault="00826F93" w:rsidP="00826F93">
            <w:pPr>
              <w:pStyle w:val="Bezodstpw"/>
            </w:pPr>
            <w:r>
              <w:t xml:space="preserve">Tekstura i zabarwienie </w:t>
            </w:r>
          </w:p>
        </w:tc>
        <w:tc>
          <w:tcPr>
            <w:tcW w:w="1104" w:type="dxa"/>
            <w:vMerge w:val="restart"/>
            <w:tcBorders>
              <w:top w:val="single" w:sz="4" w:space="0" w:color="000000"/>
              <w:left w:val="single" w:sz="4" w:space="0" w:color="000000"/>
              <w:bottom w:val="single" w:sz="4" w:space="0" w:color="000000"/>
              <w:right w:val="single" w:sz="4" w:space="0" w:color="000000"/>
            </w:tcBorders>
            <w:vAlign w:val="center"/>
            <w:hideMark/>
          </w:tcPr>
          <w:p w14:paraId="5A66991F" w14:textId="77777777" w:rsidR="00826F93" w:rsidRDefault="00826F93" w:rsidP="00826F93">
            <w:pPr>
              <w:pStyle w:val="Bezodstpw"/>
            </w:pPr>
            <w:r>
              <w:t xml:space="preserve">J </w:t>
            </w:r>
          </w:p>
        </w:tc>
        <w:tc>
          <w:tcPr>
            <w:tcW w:w="4642" w:type="dxa"/>
            <w:gridSpan w:val="5"/>
            <w:tcBorders>
              <w:top w:val="single" w:sz="4" w:space="0" w:color="000000"/>
              <w:left w:val="single" w:sz="4" w:space="0" w:color="000000"/>
              <w:bottom w:val="single" w:sz="4" w:space="0" w:color="000000"/>
              <w:right w:val="single" w:sz="4" w:space="0" w:color="000000"/>
            </w:tcBorders>
            <w:hideMark/>
          </w:tcPr>
          <w:p w14:paraId="2D0D153A" w14:textId="77777777" w:rsidR="00826F93" w:rsidRDefault="00826F93" w:rsidP="00826F93">
            <w:pPr>
              <w:pStyle w:val="Bezodstpw"/>
            </w:pPr>
            <w:r>
              <w:t xml:space="preserve">Wymaganie dotyczące warstwy wierzchniej </w:t>
            </w:r>
          </w:p>
        </w:tc>
      </w:tr>
      <w:tr w:rsidR="00826F93" w14:paraId="3221FB63" w14:textId="77777777" w:rsidTr="00826F93">
        <w:trPr>
          <w:trHeight w:val="631"/>
        </w:trPr>
        <w:tc>
          <w:tcPr>
            <w:tcW w:w="499" w:type="dxa"/>
            <w:vMerge/>
            <w:tcBorders>
              <w:top w:val="single" w:sz="4" w:space="0" w:color="000000"/>
              <w:left w:val="single" w:sz="4" w:space="0" w:color="000000"/>
              <w:bottom w:val="single" w:sz="4" w:space="0" w:color="000000"/>
              <w:right w:val="single" w:sz="4" w:space="0" w:color="000000"/>
            </w:tcBorders>
            <w:vAlign w:val="center"/>
            <w:hideMark/>
          </w:tcPr>
          <w:p w14:paraId="5476BBA6" w14:textId="77777777" w:rsidR="00826F93" w:rsidRDefault="00826F93">
            <w:pPr>
              <w:rPr>
                <w:rFonts w:ascii="Arial Narrow" w:hAnsi="Arial Narrow"/>
              </w:rPr>
            </w:pPr>
          </w:p>
        </w:tc>
        <w:tc>
          <w:tcPr>
            <w:tcW w:w="9351" w:type="dxa"/>
            <w:vMerge/>
            <w:tcBorders>
              <w:top w:val="single" w:sz="4" w:space="0" w:color="000000"/>
              <w:left w:val="single" w:sz="4" w:space="0" w:color="000000"/>
              <w:bottom w:val="single" w:sz="4" w:space="0" w:color="000000"/>
              <w:right w:val="single" w:sz="4" w:space="0" w:color="000000"/>
            </w:tcBorders>
            <w:vAlign w:val="center"/>
            <w:hideMark/>
          </w:tcPr>
          <w:p w14:paraId="6A09A326" w14:textId="77777777" w:rsidR="00826F93" w:rsidRDefault="00826F93">
            <w:pPr>
              <w:rPr>
                <w:rFonts w:ascii="Arial Narrow" w:hAnsi="Arial Narrow"/>
              </w:rPr>
            </w:pPr>
          </w:p>
        </w:tc>
        <w:tc>
          <w:tcPr>
            <w:tcW w:w="2705" w:type="dxa"/>
            <w:vMerge/>
            <w:tcBorders>
              <w:top w:val="single" w:sz="4" w:space="0" w:color="000000"/>
              <w:left w:val="single" w:sz="4" w:space="0" w:color="000000"/>
              <w:bottom w:val="single" w:sz="4" w:space="0" w:color="000000"/>
              <w:right w:val="single" w:sz="4" w:space="0" w:color="000000"/>
            </w:tcBorders>
            <w:vAlign w:val="center"/>
            <w:hideMark/>
          </w:tcPr>
          <w:p w14:paraId="0EC4CC76" w14:textId="77777777" w:rsidR="00826F93" w:rsidRDefault="00826F93">
            <w:pPr>
              <w:rPr>
                <w:rFonts w:ascii="Arial Narrow" w:hAnsi="Arial Narrow"/>
              </w:rPr>
            </w:pPr>
          </w:p>
        </w:tc>
        <w:tc>
          <w:tcPr>
            <w:tcW w:w="2672" w:type="dxa"/>
            <w:gridSpan w:val="3"/>
            <w:tcBorders>
              <w:top w:val="single" w:sz="4" w:space="0" w:color="000000"/>
              <w:left w:val="single" w:sz="4" w:space="0" w:color="000000"/>
              <w:bottom w:val="single" w:sz="4" w:space="0" w:color="000000"/>
              <w:right w:val="single" w:sz="4" w:space="0" w:color="000000"/>
            </w:tcBorders>
            <w:vAlign w:val="center"/>
            <w:hideMark/>
          </w:tcPr>
          <w:p w14:paraId="2EE494AC" w14:textId="77777777" w:rsidR="00826F93" w:rsidRDefault="00826F93" w:rsidP="00826F93">
            <w:pPr>
              <w:pStyle w:val="Bezodstpw"/>
            </w:pPr>
            <w:r>
              <w:t xml:space="preserve">Krawężniki o specjalnej teksturze </w:t>
            </w:r>
          </w:p>
        </w:tc>
        <w:tc>
          <w:tcPr>
            <w:tcW w:w="1970" w:type="dxa"/>
            <w:gridSpan w:val="2"/>
            <w:tcBorders>
              <w:top w:val="single" w:sz="4" w:space="0" w:color="000000"/>
              <w:left w:val="single" w:sz="4" w:space="0" w:color="000000"/>
              <w:bottom w:val="single" w:sz="4" w:space="0" w:color="000000"/>
              <w:right w:val="single" w:sz="4" w:space="0" w:color="000000"/>
            </w:tcBorders>
            <w:hideMark/>
          </w:tcPr>
          <w:p w14:paraId="1228611B" w14:textId="77777777" w:rsidR="00826F93" w:rsidRDefault="00826F93" w:rsidP="00826F93">
            <w:pPr>
              <w:pStyle w:val="Bezodstpw"/>
            </w:pPr>
            <w:r>
              <w:t xml:space="preserve">Zgodne z zatwierdzonym wzorem producenta i jednorodne w partii </w:t>
            </w:r>
          </w:p>
        </w:tc>
      </w:tr>
      <w:tr w:rsidR="00826F93" w14:paraId="2713F9AC" w14:textId="77777777" w:rsidTr="00826F93">
        <w:trPr>
          <w:trHeight w:val="631"/>
        </w:trPr>
        <w:tc>
          <w:tcPr>
            <w:tcW w:w="499" w:type="dxa"/>
            <w:vMerge/>
            <w:tcBorders>
              <w:top w:val="single" w:sz="4" w:space="0" w:color="000000"/>
              <w:left w:val="single" w:sz="4" w:space="0" w:color="000000"/>
              <w:bottom w:val="single" w:sz="4" w:space="0" w:color="000000"/>
              <w:right w:val="single" w:sz="4" w:space="0" w:color="000000"/>
            </w:tcBorders>
            <w:vAlign w:val="center"/>
            <w:hideMark/>
          </w:tcPr>
          <w:p w14:paraId="5CB5CFBE" w14:textId="77777777" w:rsidR="00826F93" w:rsidRDefault="00826F93">
            <w:pPr>
              <w:rPr>
                <w:rFonts w:ascii="Arial Narrow" w:hAnsi="Arial Narrow"/>
              </w:rPr>
            </w:pPr>
          </w:p>
        </w:tc>
        <w:tc>
          <w:tcPr>
            <w:tcW w:w="9351" w:type="dxa"/>
            <w:vMerge/>
            <w:tcBorders>
              <w:top w:val="single" w:sz="4" w:space="0" w:color="000000"/>
              <w:left w:val="single" w:sz="4" w:space="0" w:color="000000"/>
              <w:bottom w:val="single" w:sz="4" w:space="0" w:color="000000"/>
              <w:right w:val="single" w:sz="4" w:space="0" w:color="000000"/>
            </w:tcBorders>
            <w:vAlign w:val="center"/>
            <w:hideMark/>
          </w:tcPr>
          <w:p w14:paraId="45EF9081" w14:textId="77777777" w:rsidR="00826F93" w:rsidRDefault="00826F93">
            <w:pPr>
              <w:rPr>
                <w:rFonts w:ascii="Arial Narrow" w:hAnsi="Arial Narrow"/>
              </w:rPr>
            </w:pPr>
          </w:p>
        </w:tc>
        <w:tc>
          <w:tcPr>
            <w:tcW w:w="2705" w:type="dxa"/>
            <w:vMerge/>
            <w:tcBorders>
              <w:top w:val="single" w:sz="4" w:space="0" w:color="000000"/>
              <w:left w:val="single" w:sz="4" w:space="0" w:color="000000"/>
              <w:bottom w:val="single" w:sz="4" w:space="0" w:color="000000"/>
              <w:right w:val="single" w:sz="4" w:space="0" w:color="000000"/>
            </w:tcBorders>
            <w:vAlign w:val="center"/>
            <w:hideMark/>
          </w:tcPr>
          <w:p w14:paraId="12876E99" w14:textId="77777777" w:rsidR="00826F93" w:rsidRDefault="00826F93">
            <w:pPr>
              <w:rPr>
                <w:rFonts w:ascii="Arial Narrow" w:hAnsi="Arial Narrow"/>
              </w:rPr>
            </w:pPr>
          </w:p>
        </w:tc>
        <w:tc>
          <w:tcPr>
            <w:tcW w:w="2672" w:type="dxa"/>
            <w:gridSpan w:val="3"/>
            <w:tcBorders>
              <w:top w:val="single" w:sz="4" w:space="0" w:color="000000"/>
              <w:left w:val="single" w:sz="4" w:space="0" w:color="000000"/>
              <w:bottom w:val="single" w:sz="4" w:space="0" w:color="000000"/>
              <w:right w:val="single" w:sz="4" w:space="0" w:color="000000"/>
            </w:tcBorders>
            <w:vAlign w:val="center"/>
            <w:hideMark/>
          </w:tcPr>
          <w:p w14:paraId="70AA8CDD" w14:textId="77777777" w:rsidR="00826F93" w:rsidRDefault="00826F93" w:rsidP="00826F93">
            <w:pPr>
              <w:pStyle w:val="Bezodstpw"/>
            </w:pPr>
            <w:r>
              <w:t xml:space="preserve">Zabarwienie </w:t>
            </w:r>
          </w:p>
        </w:tc>
        <w:tc>
          <w:tcPr>
            <w:tcW w:w="1970" w:type="dxa"/>
            <w:gridSpan w:val="2"/>
            <w:tcBorders>
              <w:top w:val="single" w:sz="4" w:space="0" w:color="000000"/>
              <w:left w:val="single" w:sz="4" w:space="0" w:color="000000"/>
              <w:bottom w:val="single" w:sz="4" w:space="0" w:color="000000"/>
              <w:right w:val="single" w:sz="4" w:space="0" w:color="000000"/>
            </w:tcBorders>
            <w:hideMark/>
          </w:tcPr>
          <w:p w14:paraId="59EAFDB5" w14:textId="77777777" w:rsidR="00826F93" w:rsidRDefault="00826F93" w:rsidP="00826F93">
            <w:pPr>
              <w:pStyle w:val="Bezodstpw"/>
            </w:pPr>
            <w:r>
              <w:t xml:space="preserve">Zgodne z zatwierdzonym wzorem producenta i jednorodne w partii </w:t>
            </w:r>
          </w:p>
        </w:tc>
      </w:tr>
      <w:tr w:rsidR="00826F93" w14:paraId="12D1B889" w14:textId="77777777" w:rsidTr="00826F93">
        <w:trPr>
          <w:trHeight w:val="631"/>
        </w:trPr>
        <w:tc>
          <w:tcPr>
            <w:tcW w:w="499" w:type="dxa"/>
            <w:vMerge/>
            <w:tcBorders>
              <w:top w:val="single" w:sz="4" w:space="0" w:color="000000"/>
              <w:left w:val="single" w:sz="4" w:space="0" w:color="000000"/>
              <w:bottom w:val="single" w:sz="4" w:space="0" w:color="000000"/>
              <w:right w:val="single" w:sz="4" w:space="0" w:color="000000"/>
            </w:tcBorders>
            <w:vAlign w:val="center"/>
            <w:hideMark/>
          </w:tcPr>
          <w:p w14:paraId="445E0B0F" w14:textId="77777777" w:rsidR="00826F93" w:rsidRDefault="00826F93">
            <w:pPr>
              <w:rPr>
                <w:rFonts w:ascii="Arial Narrow" w:hAnsi="Arial Narrow"/>
              </w:rPr>
            </w:pPr>
          </w:p>
        </w:tc>
        <w:tc>
          <w:tcPr>
            <w:tcW w:w="9351" w:type="dxa"/>
            <w:vMerge/>
            <w:tcBorders>
              <w:top w:val="single" w:sz="4" w:space="0" w:color="000000"/>
              <w:left w:val="single" w:sz="4" w:space="0" w:color="000000"/>
              <w:bottom w:val="single" w:sz="4" w:space="0" w:color="000000"/>
              <w:right w:val="single" w:sz="4" w:space="0" w:color="000000"/>
            </w:tcBorders>
            <w:vAlign w:val="center"/>
            <w:hideMark/>
          </w:tcPr>
          <w:p w14:paraId="66DB148A" w14:textId="77777777" w:rsidR="00826F93" w:rsidRDefault="00826F93">
            <w:pPr>
              <w:rPr>
                <w:rFonts w:ascii="Arial Narrow" w:hAnsi="Arial Narrow"/>
              </w:rPr>
            </w:pPr>
          </w:p>
        </w:tc>
        <w:tc>
          <w:tcPr>
            <w:tcW w:w="2705" w:type="dxa"/>
            <w:vMerge/>
            <w:tcBorders>
              <w:top w:val="single" w:sz="4" w:space="0" w:color="000000"/>
              <w:left w:val="single" w:sz="4" w:space="0" w:color="000000"/>
              <w:bottom w:val="single" w:sz="4" w:space="0" w:color="000000"/>
              <w:right w:val="single" w:sz="4" w:space="0" w:color="000000"/>
            </w:tcBorders>
            <w:vAlign w:val="center"/>
            <w:hideMark/>
          </w:tcPr>
          <w:p w14:paraId="7DAFE704" w14:textId="77777777" w:rsidR="00826F93" w:rsidRDefault="00826F93">
            <w:pPr>
              <w:rPr>
                <w:rFonts w:ascii="Arial Narrow" w:hAnsi="Arial Narrow"/>
              </w:rPr>
            </w:pPr>
          </w:p>
        </w:tc>
        <w:tc>
          <w:tcPr>
            <w:tcW w:w="2672" w:type="dxa"/>
            <w:gridSpan w:val="3"/>
            <w:tcBorders>
              <w:top w:val="single" w:sz="4" w:space="0" w:color="000000"/>
              <w:left w:val="single" w:sz="4" w:space="0" w:color="000000"/>
              <w:bottom w:val="single" w:sz="4" w:space="0" w:color="000000"/>
              <w:right w:val="single" w:sz="4" w:space="0" w:color="000000"/>
            </w:tcBorders>
            <w:vAlign w:val="center"/>
            <w:hideMark/>
          </w:tcPr>
          <w:p w14:paraId="603E9271" w14:textId="77777777" w:rsidR="00826F93" w:rsidRDefault="00826F93" w:rsidP="00826F93">
            <w:pPr>
              <w:pStyle w:val="Bezodstpw"/>
            </w:pPr>
            <w:r>
              <w:t xml:space="preserve">Tekstura </w:t>
            </w:r>
          </w:p>
        </w:tc>
        <w:tc>
          <w:tcPr>
            <w:tcW w:w="1970" w:type="dxa"/>
            <w:gridSpan w:val="2"/>
            <w:tcBorders>
              <w:top w:val="single" w:sz="4" w:space="0" w:color="000000"/>
              <w:left w:val="single" w:sz="4" w:space="0" w:color="000000"/>
              <w:bottom w:val="single" w:sz="4" w:space="0" w:color="000000"/>
              <w:right w:val="single" w:sz="4" w:space="0" w:color="000000"/>
            </w:tcBorders>
            <w:hideMark/>
          </w:tcPr>
          <w:p w14:paraId="5B84DAFB" w14:textId="77777777" w:rsidR="00826F93" w:rsidRDefault="00826F93" w:rsidP="00826F93">
            <w:pPr>
              <w:pStyle w:val="Bezodstpw"/>
            </w:pPr>
            <w:r>
              <w:t xml:space="preserve">Zgodne z zatwierdzonym wzorem producenta i jednorodne w partii </w:t>
            </w:r>
          </w:p>
        </w:tc>
      </w:tr>
      <w:tr w:rsidR="00826F93" w14:paraId="5AB6F16C" w14:textId="77777777" w:rsidTr="00826F93">
        <w:trPr>
          <w:trHeight w:val="1253"/>
        </w:trPr>
        <w:tc>
          <w:tcPr>
            <w:tcW w:w="499" w:type="dxa"/>
            <w:vMerge/>
            <w:tcBorders>
              <w:top w:val="single" w:sz="4" w:space="0" w:color="000000"/>
              <w:left w:val="single" w:sz="4" w:space="0" w:color="000000"/>
              <w:bottom w:val="single" w:sz="4" w:space="0" w:color="000000"/>
              <w:right w:val="single" w:sz="4" w:space="0" w:color="000000"/>
            </w:tcBorders>
            <w:vAlign w:val="center"/>
            <w:hideMark/>
          </w:tcPr>
          <w:p w14:paraId="12A12216" w14:textId="77777777" w:rsidR="00826F93" w:rsidRDefault="00826F93">
            <w:pPr>
              <w:rPr>
                <w:rFonts w:ascii="Arial Narrow" w:hAnsi="Arial Narrow"/>
              </w:rPr>
            </w:pPr>
          </w:p>
        </w:tc>
        <w:tc>
          <w:tcPr>
            <w:tcW w:w="9351" w:type="dxa"/>
            <w:vMerge/>
            <w:tcBorders>
              <w:top w:val="single" w:sz="4" w:space="0" w:color="000000"/>
              <w:left w:val="single" w:sz="4" w:space="0" w:color="000000"/>
              <w:bottom w:val="single" w:sz="4" w:space="0" w:color="000000"/>
              <w:right w:val="single" w:sz="4" w:space="0" w:color="000000"/>
            </w:tcBorders>
            <w:vAlign w:val="center"/>
            <w:hideMark/>
          </w:tcPr>
          <w:p w14:paraId="4AA54FF4" w14:textId="77777777" w:rsidR="00826F93" w:rsidRDefault="00826F93">
            <w:pPr>
              <w:rPr>
                <w:rFonts w:ascii="Arial Narrow" w:hAnsi="Arial Narrow"/>
              </w:rPr>
            </w:pPr>
          </w:p>
        </w:tc>
        <w:tc>
          <w:tcPr>
            <w:tcW w:w="2705" w:type="dxa"/>
            <w:vMerge/>
            <w:tcBorders>
              <w:top w:val="single" w:sz="4" w:space="0" w:color="000000"/>
              <w:left w:val="single" w:sz="4" w:space="0" w:color="000000"/>
              <w:bottom w:val="single" w:sz="4" w:space="0" w:color="000000"/>
              <w:right w:val="single" w:sz="4" w:space="0" w:color="000000"/>
            </w:tcBorders>
            <w:vAlign w:val="center"/>
            <w:hideMark/>
          </w:tcPr>
          <w:p w14:paraId="42F912B1" w14:textId="77777777" w:rsidR="00826F93" w:rsidRDefault="00826F93">
            <w:pPr>
              <w:rPr>
                <w:rFonts w:ascii="Arial Narrow" w:hAnsi="Arial Narrow"/>
              </w:rPr>
            </w:pPr>
          </w:p>
        </w:tc>
        <w:tc>
          <w:tcPr>
            <w:tcW w:w="2672" w:type="dxa"/>
            <w:gridSpan w:val="3"/>
            <w:tcBorders>
              <w:top w:val="single" w:sz="4" w:space="0" w:color="000000"/>
              <w:left w:val="single" w:sz="4" w:space="0" w:color="000000"/>
              <w:bottom w:val="single" w:sz="4" w:space="0" w:color="000000"/>
              <w:right w:val="single" w:sz="4" w:space="0" w:color="000000"/>
            </w:tcBorders>
            <w:hideMark/>
          </w:tcPr>
          <w:p w14:paraId="684EDBFA" w14:textId="77777777" w:rsidR="00826F93" w:rsidRDefault="00826F93" w:rsidP="00826F93">
            <w:pPr>
              <w:pStyle w:val="Bezodstpw"/>
            </w:pPr>
            <w:r>
              <w:t xml:space="preserve">Ewentualne różnice w jednolitości tekstury lub </w:t>
            </w:r>
          </w:p>
          <w:p w14:paraId="3459F132" w14:textId="77777777" w:rsidR="00826F93" w:rsidRDefault="00826F93" w:rsidP="00826F93">
            <w:pPr>
              <w:pStyle w:val="Bezodstpw"/>
            </w:pPr>
            <w:r>
              <w:t xml:space="preserve">zabarwienia, spowodowane </w:t>
            </w:r>
          </w:p>
          <w:p w14:paraId="7986C9CD" w14:textId="77777777" w:rsidR="00826F93" w:rsidRDefault="00826F93" w:rsidP="00826F93">
            <w:pPr>
              <w:pStyle w:val="Bezodstpw"/>
            </w:pPr>
            <w:r>
              <w:t xml:space="preserve">nieuniknionymi zmianami we właściwościach surowców i zmianach warunków twardnienia </w:t>
            </w:r>
          </w:p>
        </w:tc>
        <w:tc>
          <w:tcPr>
            <w:tcW w:w="1970" w:type="dxa"/>
            <w:gridSpan w:val="2"/>
            <w:tcBorders>
              <w:top w:val="single" w:sz="4" w:space="0" w:color="000000"/>
              <w:left w:val="single" w:sz="4" w:space="0" w:color="000000"/>
              <w:bottom w:val="single" w:sz="4" w:space="0" w:color="000000"/>
              <w:right w:val="single" w:sz="4" w:space="0" w:color="000000"/>
            </w:tcBorders>
            <w:vAlign w:val="center"/>
            <w:hideMark/>
          </w:tcPr>
          <w:p w14:paraId="42F8B7FB" w14:textId="77777777" w:rsidR="00826F93" w:rsidRDefault="00826F93" w:rsidP="00826F93">
            <w:pPr>
              <w:pStyle w:val="Bezodstpw"/>
            </w:pPr>
            <w:r>
              <w:t xml:space="preserve">Dopuszczalne </w:t>
            </w:r>
          </w:p>
        </w:tc>
      </w:tr>
    </w:tbl>
    <w:p w14:paraId="3758A2E3" w14:textId="77777777" w:rsidR="00826F93" w:rsidRDefault="00826F93" w:rsidP="00826F93">
      <w:pPr>
        <w:spacing w:after="42"/>
        <w:ind w:left="360" w:right="14" w:hanging="283"/>
        <w:rPr>
          <w:rFonts w:ascii="Arial Narrow" w:hAnsi="Arial Narrow"/>
          <w:sz w:val="20"/>
          <w:szCs w:val="20"/>
        </w:rPr>
      </w:pPr>
      <w:r>
        <w:rPr>
          <w:vertAlign w:val="superscript"/>
        </w:rPr>
        <w:t>*</w:t>
      </w:r>
      <w:r>
        <w:t xml:space="preserve"> W przypadku kontroli zgodności przeprowadzanej przez stronę trzecią (przypadek II zgodnie z pkt 6.7), dopuszczone są wymagania jak dla kontroli produkcji. </w:t>
      </w:r>
    </w:p>
    <w:p w14:paraId="5E6DB275" w14:textId="77777777" w:rsidR="00826F93" w:rsidRDefault="00826F93" w:rsidP="00826F93">
      <w:r>
        <w:t xml:space="preserve">Producent jest zobowiązany do wydania oświadczenia o spełnieniu przez wyrób właściwości wymienionych w Tabeli 1 w oparciu o badania typu oraz wdrożony System Zakładowej Kontroli Produkcji. </w:t>
      </w:r>
    </w:p>
    <w:p w14:paraId="31642419" w14:textId="77777777" w:rsidR="00826F93" w:rsidRDefault="00826F93" w:rsidP="00826F93">
      <w:r>
        <w:t xml:space="preserve">Producent może grupować wyroby w rodziny na potrzeby prowadzonych badań zgodnie z pkt 6.1 normy PN-EN 1340. Każda partia dostarczonych na budowę krawężników powinna być oznaczona zgodnie pkt 7 normy PN-EN 1340. Wyprodukowane krawężniki zaleca się układać na paletach w pozycji wbudowania, z zastosowaniem podkładek drewnianych i taśm bandujących. Krawężniki można składować na otwartej przestrzeni, na wyrównanym i odwodnionym podłożu. </w:t>
      </w:r>
    </w:p>
    <w:p w14:paraId="69C994A4" w14:textId="77777777" w:rsidR="00826F93" w:rsidRDefault="00826F93" w:rsidP="00826F93">
      <w:pPr>
        <w:pStyle w:val="Nagwek2"/>
      </w:pPr>
      <w:r>
        <w:rPr>
          <w:b w:val="0"/>
        </w:rPr>
        <w:t xml:space="preserve">2.3. Beton na ławę fundamentową </w:t>
      </w:r>
    </w:p>
    <w:p w14:paraId="7558554E" w14:textId="77777777" w:rsidR="00826F93" w:rsidRDefault="00826F93" w:rsidP="00826F93">
      <w:r>
        <w:t>Beton na ławę fundamentową pod krawężnik powinien być zgodny z normą PN-EN 206-1+A1, klasy minimum C 12/15. Nie dopuszcza się wykonania na miejscu – beton należy dowieźć z betoniarni.</w:t>
      </w:r>
    </w:p>
    <w:p w14:paraId="58CD8998" w14:textId="77777777" w:rsidR="00826F93" w:rsidRDefault="00826F93" w:rsidP="00826F93">
      <w:pPr>
        <w:pStyle w:val="Nagwek1"/>
      </w:pPr>
      <w:bookmarkStart w:id="903" w:name="_Toc428759423"/>
      <w:bookmarkStart w:id="904" w:name="_Toc141496949"/>
      <w:bookmarkStart w:id="905" w:name="_Toc495830537"/>
      <w:bookmarkEnd w:id="902"/>
      <w:r>
        <w:rPr>
          <w:b w:val="0"/>
        </w:rPr>
        <w:t>3. SPRZĘT</w:t>
      </w:r>
      <w:bookmarkEnd w:id="903"/>
      <w:bookmarkEnd w:id="904"/>
      <w:bookmarkEnd w:id="905"/>
    </w:p>
    <w:p w14:paraId="60247A96" w14:textId="77777777" w:rsidR="00826F93" w:rsidRDefault="00826F93" w:rsidP="00826F93">
      <w:pPr>
        <w:pStyle w:val="Nagwek2"/>
        <w:rPr>
          <w:b w:val="0"/>
        </w:rPr>
      </w:pPr>
      <w:bookmarkStart w:id="906" w:name="_Toc495830538"/>
      <w:r>
        <w:rPr>
          <w:b w:val="0"/>
        </w:rPr>
        <w:t>3.1. Ogólne wymagania dotyczące sprzętu</w:t>
      </w:r>
      <w:bookmarkEnd w:id="906"/>
    </w:p>
    <w:p w14:paraId="727FBBAF" w14:textId="77777777" w:rsidR="00826F93" w:rsidRDefault="00826F93" w:rsidP="00826F93">
      <w:pPr>
        <w:tabs>
          <w:tab w:val="right" w:leader="dot" w:pos="-1985"/>
          <w:tab w:val="left" w:pos="284"/>
        </w:tabs>
      </w:pPr>
      <w:r>
        <w:t>Ogólne wymagania dotyczące sprzętu podano w SST D-M-00.00.00 „Wymagania ogólne” [1] pkt 3.</w:t>
      </w:r>
    </w:p>
    <w:p w14:paraId="295017B2" w14:textId="77777777" w:rsidR="00826F93" w:rsidRDefault="00826F93" w:rsidP="00826F93">
      <w:pPr>
        <w:pStyle w:val="Nagwek2"/>
      </w:pPr>
      <w:bookmarkStart w:id="907" w:name="_Toc495830539"/>
      <w:r>
        <w:rPr>
          <w:b w:val="0"/>
        </w:rPr>
        <w:t>3.2. Sprzęt do wykonania robót</w:t>
      </w:r>
      <w:bookmarkEnd w:id="907"/>
    </w:p>
    <w:p w14:paraId="00A9C988" w14:textId="77777777" w:rsidR="00826F93" w:rsidRDefault="00826F93" w:rsidP="00826F93">
      <w:r>
        <w:t>Roboty wykonuje się ręcznie przy zastosowaniu:</w:t>
      </w:r>
    </w:p>
    <w:p w14:paraId="0CA50CEC" w14:textId="77777777" w:rsidR="00826F93" w:rsidRDefault="00826F93" w:rsidP="00826F93">
      <w:pPr>
        <w:pStyle w:val="Nagwek8"/>
        <w:numPr>
          <w:ilvl w:val="0"/>
          <w:numId w:val="62"/>
        </w:numPr>
      </w:pPr>
      <w:r>
        <w:rPr>
          <w:lang w:val="pl-PL"/>
        </w:rPr>
        <w:t>betonu (dowóz z betoniarni)</w:t>
      </w:r>
      <w:r>
        <w:t>,</w:t>
      </w:r>
    </w:p>
    <w:p w14:paraId="32ED7B26" w14:textId="77777777" w:rsidR="00826F93" w:rsidRDefault="00826F93" w:rsidP="00826F93">
      <w:pPr>
        <w:pStyle w:val="Nagwek8"/>
        <w:numPr>
          <w:ilvl w:val="0"/>
          <w:numId w:val="62"/>
        </w:numPr>
      </w:pPr>
      <w:r>
        <w:t>wibratorów płytowych, ubijaków ręcznych lub mechanicznych</w:t>
      </w:r>
      <w:r>
        <w:rPr>
          <w:lang w:val="pl-PL"/>
        </w:rPr>
        <w:t>, koparko - ładowarki</w:t>
      </w:r>
      <w:r>
        <w:t>.</w:t>
      </w:r>
    </w:p>
    <w:p w14:paraId="5B9A35BC" w14:textId="77777777" w:rsidR="00826F93" w:rsidRDefault="00826F93" w:rsidP="00826F93">
      <w:pPr>
        <w:pStyle w:val="Nagwek1"/>
      </w:pPr>
      <w:bookmarkStart w:id="908" w:name="_Toc428759424"/>
      <w:bookmarkStart w:id="909" w:name="_Toc141496950"/>
      <w:bookmarkStart w:id="910" w:name="_Toc495830540"/>
      <w:r>
        <w:rPr>
          <w:b w:val="0"/>
        </w:rPr>
        <w:lastRenderedPageBreak/>
        <w:t>4. TRANSPORT</w:t>
      </w:r>
      <w:bookmarkEnd w:id="908"/>
      <w:bookmarkEnd w:id="909"/>
      <w:bookmarkEnd w:id="910"/>
    </w:p>
    <w:p w14:paraId="460C5616" w14:textId="77777777" w:rsidR="00826F93" w:rsidRDefault="00826F93" w:rsidP="00826F93">
      <w:pPr>
        <w:pStyle w:val="Nagwek2"/>
        <w:rPr>
          <w:b w:val="0"/>
        </w:rPr>
      </w:pPr>
      <w:bookmarkStart w:id="911" w:name="_Toc495830541"/>
      <w:r>
        <w:rPr>
          <w:b w:val="0"/>
        </w:rPr>
        <w:t>4.1. Ogólne wymagania dotyczące transportu</w:t>
      </w:r>
      <w:bookmarkEnd w:id="911"/>
    </w:p>
    <w:p w14:paraId="624F519F" w14:textId="77777777" w:rsidR="00826F93" w:rsidRDefault="00826F93" w:rsidP="00826F93">
      <w:r>
        <w:t>Ogólne wymagania dotyczące transportu podano w SST D-M-00.00.00 „Wymagania ogólne” [1] pkt 4.</w:t>
      </w:r>
    </w:p>
    <w:p w14:paraId="17FB337B" w14:textId="77777777" w:rsidR="00826F93" w:rsidRDefault="00826F93" w:rsidP="00826F93">
      <w:pPr>
        <w:pStyle w:val="Nagwek2"/>
      </w:pPr>
      <w:bookmarkStart w:id="912" w:name="_Toc495830542"/>
      <w:r>
        <w:rPr>
          <w:b w:val="0"/>
        </w:rPr>
        <w:t>4.2. Transport krawężników</w:t>
      </w:r>
      <w:bookmarkEnd w:id="912"/>
    </w:p>
    <w:p w14:paraId="1AF2ACAF" w14:textId="77777777" w:rsidR="00826F93" w:rsidRDefault="00826F93" w:rsidP="00826F93">
      <w:r>
        <w:t>Krawężniki betonowe mogą być przewożone dowolnymi środkami transportowymi.</w:t>
      </w:r>
    </w:p>
    <w:p w14:paraId="6AD7757C" w14:textId="77777777" w:rsidR="00826F93" w:rsidRDefault="00826F93" w:rsidP="00826F93">
      <w:r>
        <w:t>Krawężniki betonowe układać należy na środkach transportowych w pozycji pionowej z nachyleniem w kierunku jazdy.</w:t>
      </w:r>
    </w:p>
    <w:p w14:paraId="66C313ED" w14:textId="77777777" w:rsidR="00826F93" w:rsidRDefault="00826F93" w:rsidP="00826F93">
      <w:r>
        <w:t>Krawężniki powinny być zabezpieczone przed przemieszczeniem się i uszkodzeniami w czasie transportu, a górna warstwa nie powinna wystawać poza ściany środka transportowego więcej niż 1/3 wysokości tej warstwy.</w:t>
      </w:r>
    </w:p>
    <w:p w14:paraId="64E04AEE" w14:textId="77777777" w:rsidR="00826F93" w:rsidRDefault="00826F93" w:rsidP="00826F93">
      <w:pPr>
        <w:pStyle w:val="Nagwek2"/>
      </w:pPr>
      <w:bookmarkStart w:id="913" w:name="_Toc495830543"/>
      <w:r>
        <w:rPr>
          <w:b w:val="0"/>
        </w:rPr>
        <w:t>4.3. Transport pozostałych materiałów</w:t>
      </w:r>
      <w:bookmarkEnd w:id="913"/>
    </w:p>
    <w:p w14:paraId="0BA77284" w14:textId="77777777" w:rsidR="00826F93" w:rsidRDefault="00826F93" w:rsidP="00826F93">
      <w:r>
        <w:t>Transport cementu powinien się odbywać w warunkach zgodnych z [12].</w:t>
      </w:r>
    </w:p>
    <w:p w14:paraId="31E0F491" w14:textId="77777777" w:rsidR="00826F93" w:rsidRDefault="00826F93" w:rsidP="00826F93">
      <w:r>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1E132483" w14:textId="77777777" w:rsidR="00826F93" w:rsidRDefault="00826F93" w:rsidP="00826F93">
      <w:r>
        <w:t>Masę zalewową należy pakować w bębny blaszane lub beczki. Transport powinien odbywać się w warunkach zabezpieczających przed uszkodzeniem bębnów i beczek.</w:t>
      </w:r>
    </w:p>
    <w:p w14:paraId="5F6C7427" w14:textId="77777777" w:rsidR="00826F93" w:rsidRDefault="00826F93" w:rsidP="00826F93">
      <w:pPr>
        <w:pStyle w:val="Nagwek1"/>
      </w:pPr>
      <w:bookmarkStart w:id="914" w:name="_Toc141496951"/>
      <w:bookmarkStart w:id="915" w:name="_Toc495830544"/>
      <w:r>
        <w:rPr>
          <w:b w:val="0"/>
        </w:rPr>
        <w:t>5. wykonanie robót</w:t>
      </w:r>
      <w:bookmarkEnd w:id="914"/>
      <w:bookmarkEnd w:id="915"/>
    </w:p>
    <w:p w14:paraId="5EB0EFB5" w14:textId="77777777" w:rsidR="00826F93" w:rsidRDefault="00826F93" w:rsidP="00826F93">
      <w:pPr>
        <w:pStyle w:val="Nagwek2"/>
        <w:rPr>
          <w:b w:val="0"/>
        </w:rPr>
      </w:pPr>
      <w:bookmarkStart w:id="916" w:name="_Toc495830545"/>
      <w:r>
        <w:rPr>
          <w:b w:val="0"/>
        </w:rPr>
        <w:t xml:space="preserve">5.1 Ogólne zasady wykonywania robót </w:t>
      </w:r>
    </w:p>
    <w:p w14:paraId="44E8D00A" w14:textId="77777777" w:rsidR="00826F93" w:rsidRDefault="00826F93" w:rsidP="00826F93">
      <w:pPr>
        <w:ind w:left="87" w:right="14"/>
      </w:pPr>
      <w:r>
        <w:t xml:space="preserve">Ogólne zasady wykonania robót podano w D-M-00.00.00 „Wymagania ogólne”. </w:t>
      </w:r>
    </w:p>
    <w:p w14:paraId="3281EEF1" w14:textId="77777777" w:rsidR="00826F93" w:rsidRDefault="00826F93" w:rsidP="00826F93">
      <w:pPr>
        <w:pStyle w:val="Nagwek2"/>
      </w:pPr>
      <w:r>
        <w:rPr>
          <w:b w:val="0"/>
        </w:rPr>
        <w:t xml:space="preserve">5.2 Wykonanie koryta pod ławy </w:t>
      </w:r>
    </w:p>
    <w:p w14:paraId="3DB86F30" w14:textId="77777777" w:rsidR="00826F93" w:rsidRDefault="00826F93" w:rsidP="00826F93">
      <w:r>
        <w:t xml:space="preserve">Wymiary koryta pod ławę powinny być dostosowane do wymiarów fundamentu pod krawężnik oraz do głębokości i usytuowania krawężnika w planie. </w:t>
      </w:r>
    </w:p>
    <w:p w14:paraId="678E63E5" w14:textId="77777777" w:rsidR="00826F93" w:rsidRDefault="00826F93" w:rsidP="00826F93">
      <w:r>
        <w:t xml:space="preserve">Koryto może być wykonane ręcznie lub mechanicznie w sposób nienaruszający struktury naturalnej dna koryta. </w:t>
      </w:r>
    </w:p>
    <w:p w14:paraId="5C9B31C4" w14:textId="77777777" w:rsidR="00826F93" w:rsidRDefault="00826F93" w:rsidP="00826F93">
      <w:pPr>
        <w:ind w:left="87" w:right="14"/>
      </w:pPr>
      <w:r>
        <w:t xml:space="preserve">Dno koryta powinno być równe i w razie potrzeby dogęszczone zagęszczarką stopową. Wskaźnik zagęszczenia dna wykonanego koryta pod ławę powinien wynosić co najmniej 0,97 według normalnej metody Proctora. </w:t>
      </w:r>
    </w:p>
    <w:p w14:paraId="48D1036B" w14:textId="77777777" w:rsidR="00826F93" w:rsidRDefault="00826F93" w:rsidP="00826F93">
      <w:pPr>
        <w:pStyle w:val="Nagwek2"/>
      </w:pPr>
      <w:r>
        <w:rPr>
          <w:b w:val="0"/>
        </w:rPr>
        <w:t xml:space="preserve">5.3 Ława betonowa </w:t>
      </w:r>
    </w:p>
    <w:p w14:paraId="157D0A32" w14:textId="77777777" w:rsidR="00826F93" w:rsidRDefault="00826F93" w:rsidP="00826F93">
      <w:pPr>
        <w:ind w:left="87" w:right="14"/>
      </w:pPr>
      <w:r>
        <w:t xml:space="preserve">Ławy betonowe w gruntach spoistych wykonuje się zwykle bez szalowania z zastosowaniem warstwy odsączającej z piasku grubości 5 cm. Przy gruntach sypkich ławę należy wykonywać w szalowaniu. Ławę betonową z oporem wykonuje się w szalunku. Wykonanie ławy betonowej polega na rozścieleniu dowiezionego betonu na przygotowanym podłożu i konstrukcji szalunku oraz odpowiednim jego zagęszczeniu. </w:t>
      </w:r>
    </w:p>
    <w:p w14:paraId="78FCF056" w14:textId="77777777" w:rsidR="00826F93" w:rsidRDefault="00826F93" w:rsidP="00826F93">
      <w:pPr>
        <w:spacing w:after="122"/>
        <w:ind w:left="87" w:right="14"/>
      </w:pPr>
      <w:r>
        <w:t xml:space="preserve">Wykonana ława po zagęszczeniu betonu powinna odpowiadać wymiarem oraz kształtem zgodnie z Dokumentacją projektową. Dla zabezpieczenia przed wpływami temperatury (skurcze lub rozszerzanie) co 50 m należy w ławie betonowej stosować szczeliny dylatacyjne wypełnione elastyczną masą zalewową spełniającą wymagania PN-EN 14188-1 lub PN-EN 14188-2. </w:t>
      </w:r>
    </w:p>
    <w:p w14:paraId="1A9CFAB9" w14:textId="77777777" w:rsidR="00826F93" w:rsidRDefault="00826F93" w:rsidP="00826F93">
      <w:pPr>
        <w:pStyle w:val="Nagwek2"/>
      </w:pPr>
      <w:r>
        <w:rPr>
          <w:b w:val="0"/>
        </w:rPr>
        <w:t xml:space="preserve">5.4 Ustawienie krawężników betonowych </w:t>
      </w:r>
    </w:p>
    <w:p w14:paraId="134B38D7" w14:textId="77777777" w:rsidR="00826F93" w:rsidRDefault="00826F93" w:rsidP="00826F93">
      <w:pPr>
        <w:pStyle w:val="Nagwek3"/>
        <w:rPr>
          <w:b w:val="0"/>
        </w:rPr>
      </w:pPr>
      <w:r>
        <w:rPr>
          <w:b w:val="0"/>
        </w:rPr>
        <w:t>5.4.1.</w:t>
      </w:r>
      <w:r>
        <w:rPr>
          <w:rFonts w:ascii="Arial" w:eastAsia="Arial" w:hAnsi="Arial" w:cs="Arial"/>
          <w:b w:val="0"/>
        </w:rPr>
        <w:t xml:space="preserve"> </w:t>
      </w:r>
      <w:r>
        <w:rPr>
          <w:b w:val="0"/>
        </w:rPr>
        <w:t xml:space="preserve">Zasady ustawiania krawężników </w:t>
      </w:r>
    </w:p>
    <w:p w14:paraId="47D05B55" w14:textId="77777777" w:rsidR="00826F93" w:rsidRDefault="00826F93" w:rsidP="00826F93">
      <w:r>
        <w:t xml:space="preserve">Zewnętrzna ściana krawężnika ustawionego na: </w:t>
      </w:r>
    </w:p>
    <w:p w14:paraId="1F4CB3CF" w14:textId="77777777" w:rsidR="00826F93" w:rsidRDefault="00826F93" w:rsidP="00826F93">
      <w:pPr>
        <w:pStyle w:val="Nagwek8"/>
        <w:numPr>
          <w:ilvl w:val="0"/>
          <w:numId w:val="62"/>
        </w:numPr>
      </w:pPr>
      <w:r>
        <w:lastRenderedPageBreak/>
        <w:t xml:space="preserve">ławie betonowej zwykłej powinna być po ustawieniu krawężnika obsypana żwirem lub tłuczniem, starannie ubitym, - ławie betonowej z oporem powinna być wykonana zgodnie z pkt 5.4.2. </w:t>
      </w:r>
    </w:p>
    <w:p w14:paraId="5C9ABD33" w14:textId="77777777" w:rsidR="00826F93" w:rsidRDefault="00826F93" w:rsidP="00826F93">
      <w:pPr>
        <w:pStyle w:val="Nagwek3"/>
      </w:pPr>
      <w:r>
        <w:rPr>
          <w:b w:val="0"/>
        </w:rPr>
        <w:t xml:space="preserve">5.4.2. Ustawienie krawężników na ławie betonowej </w:t>
      </w:r>
    </w:p>
    <w:p w14:paraId="375945CA" w14:textId="77777777" w:rsidR="00826F93" w:rsidRDefault="00826F93" w:rsidP="00826F93">
      <w:pPr>
        <w:ind w:left="87" w:right="14"/>
      </w:pPr>
      <w:r>
        <w:t xml:space="preserve">Ustawianie krawężników wykonuje się na ławie betonowej. Przy układaniu krawężników na łukach do R≤12 m należy stosować krawężniki betonowe łukowe. </w:t>
      </w:r>
    </w:p>
    <w:p w14:paraId="76D71E50" w14:textId="77777777" w:rsidR="00826F93" w:rsidRDefault="00826F93" w:rsidP="00826F93">
      <w:pPr>
        <w:pStyle w:val="Nagwek3"/>
      </w:pPr>
      <w:r>
        <w:rPr>
          <w:b w:val="0"/>
        </w:rPr>
        <w:t>5.4.3.</w:t>
      </w:r>
      <w:r>
        <w:rPr>
          <w:rFonts w:ascii="Arial" w:eastAsia="Arial" w:hAnsi="Arial" w:cs="Arial"/>
          <w:b w:val="0"/>
        </w:rPr>
        <w:t xml:space="preserve"> </w:t>
      </w:r>
      <w:r>
        <w:rPr>
          <w:b w:val="0"/>
        </w:rPr>
        <w:t xml:space="preserve">Wypełnianie spoin </w:t>
      </w:r>
    </w:p>
    <w:p w14:paraId="35B2CB4A" w14:textId="77777777" w:rsidR="00826F93" w:rsidRDefault="00826F93" w:rsidP="00826F93">
      <w:r>
        <w:t xml:space="preserve">Szerokość spoin pionowych między elementami powinna wynosić max 4mm. W przypadku konieczności uszczelnienia połączeń miedzy krawężnikami spoina powinna być wypełniona masami elastycznymi. Nie należy wypełniać spoin materiałami sztywnymi. </w:t>
      </w:r>
      <w:bookmarkStart w:id="917" w:name="_Toc495830550"/>
      <w:bookmarkEnd w:id="916"/>
    </w:p>
    <w:p w14:paraId="272DA2D6" w14:textId="77777777" w:rsidR="00826F93" w:rsidRDefault="00826F93" w:rsidP="00826F93">
      <w:pPr>
        <w:pStyle w:val="Nagwek2"/>
      </w:pPr>
      <w:r>
        <w:rPr>
          <w:b w:val="0"/>
        </w:rPr>
        <w:t>5.6. Roboty wykończeniowe</w:t>
      </w:r>
      <w:bookmarkEnd w:id="917"/>
    </w:p>
    <w:p w14:paraId="1CCCB420" w14:textId="77777777" w:rsidR="00826F93" w:rsidRDefault="00826F93" w:rsidP="00826F93">
      <w:r>
        <w:t>Roboty wykończeniowe powinny być zgodne z dokumentacją projektową i SST. Do robót wykończeniowych należą prace związane z dostosowaniem wykonanych robót do istniejących warunków terenowych, takie jak:</w:t>
      </w:r>
    </w:p>
    <w:p w14:paraId="7426F4EE" w14:textId="77777777" w:rsidR="00826F93" w:rsidRDefault="00826F93" w:rsidP="00826F93">
      <w:pPr>
        <w:pStyle w:val="Nagwek8"/>
        <w:numPr>
          <w:ilvl w:val="0"/>
          <w:numId w:val="62"/>
        </w:numPr>
      </w:pPr>
      <w:r>
        <w:t xml:space="preserve">odtworzenie elementów czasowo usuniętych, </w:t>
      </w:r>
    </w:p>
    <w:p w14:paraId="158F4F57" w14:textId="77777777" w:rsidR="00826F93" w:rsidRDefault="00826F93" w:rsidP="00826F93">
      <w:pPr>
        <w:pStyle w:val="Nagwek8"/>
        <w:numPr>
          <w:ilvl w:val="0"/>
          <w:numId w:val="62"/>
        </w:numPr>
      </w:pPr>
      <w:r>
        <w:t>roboty porządkujące otoczenie terenu robót.</w:t>
      </w:r>
    </w:p>
    <w:p w14:paraId="35E38044" w14:textId="77777777" w:rsidR="00826F93" w:rsidRDefault="00826F93" w:rsidP="00826F93">
      <w:pPr>
        <w:pStyle w:val="Nagwek1"/>
      </w:pPr>
      <w:bookmarkStart w:id="918" w:name="_Toc120590626"/>
      <w:bookmarkStart w:id="919" w:name="_Toc141072308"/>
      <w:bookmarkStart w:id="920" w:name="_Toc141496952"/>
      <w:bookmarkStart w:id="921" w:name="_Toc495830551"/>
      <w:r>
        <w:rPr>
          <w:b w:val="0"/>
        </w:rPr>
        <w:t>6. KONTROLA JAKOŚCI ROBÓT</w:t>
      </w:r>
      <w:bookmarkEnd w:id="918"/>
      <w:bookmarkEnd w:id="919"/>
      <w:bookmarkEnd w:id="920"/>
      <w:bookmarkEnd w:id="921"/>
    </w:p>
    <w:p w14:paraId="73BC8B5D" w14:textId="77777777" w:rsidR="00826F93" w:rsidRDefault="00826F93" w:rsidP="00826F93">
      <w:pPr>
        <w:pStyle w:val="Nagwek2"/>
        <w:rPr>
          <w:b w:val="0"/>
        </w:rPr>
      </w:pPr>
      <w:bookmarkStart w:id="922" w:name="_Toc495830552"/>
      <w:r>
        <w:rPr>
          <w:b w:val="0"/>
        </w:rPr>
        <w:t>6.1. Ogólne zasady kontroli jakości robót</w:t>
      </w:r>
      <w:bookmarkEnd w:id="922"/>
    </w:p>
    <w:p w14:paraId="233B66BF" w14:textId="77777777" w:rsidR="00826F93" w:rsidRDefault="00826F93" w:rsidP="00826F93">
      <w:r>
        <w:t xml:space="preserve">Ogólne zasady kontroli jakości robót podano w D-M-00.00.00 „Wymagania ogólne”. Badania i pomiary dzielą się na: </w:t>
      </w:r>
    </w:p>
    <w:p w14:paraId="38E17FE2" w14:textId="77777777" w:rsidR="00826F93" w:rsidRDefault="00826F93" w:rsidP="00826F93">
      <w:pPr>
        <w:pStyle w:val="Nagwek8"/>
        <w:numPr>
          <w:ilvl w:val="0"/>
          <w:numId w:val="62"/>
        </w:numPr>
      </w:pPr>
      <w:r>
        <w:t xml:space="preserve">badania i pomiary Wykonawcy – w ramach własnego nadzoru, </w:t>
      </w:r>
    </w:p>
    <w:p w14:paraId="3DF3DA6B" w14:textId="77777777" w:rsidR="00826F93" w:rsidRDefault="00826F93" w:rsidP="00826F93">
      <w:pPr>
        <w:pStyle w:val="Nagwek8"/>
        <w:numPr>
          <w:ilvl w:val="0"/>
          <w:numId w:val="62"/>
        </w:numPr>
      </w:pPr>
      <w:r>
        <w:t xml:space="preserve">badania i pomiary kontrolne – w ramach nadzoru Zamawiającego. </w:t>
      </w:r>
    </w:p>
    <w:p w14:paraId="4F0F0221" w14:textId="77777777" w:rsidR="00826F93" w:rsidRDefault="00826F93" w:rsidP="00826F93">
      <w:r>
        <w:t xml:space="preserve">W uzasadnionych przypadkach w ramach badań i pomiarów kontrolnych dopuszcza się wykonanie badań i pomiarów kontrolnych dodatkowych i/lub badań i pomiarów arbitrażowych. Badania obejmują: </w:t>
      </w:r>
    </w:p>
    <w:p w14:paraId="0DD17BDD" w14:textId="77777777" w:rsidR="00826F93" w:rsidRDefault="00826F93" w:rsidP="00826F93">
      <w:pPr>
        <w:pStyle w:val="Nagwek8"/>
        <w:numPr>
          <w:ilvl w:val="0"/>
          <w:numId w:val="62"/>
        </w:numPr>
      </w:pPr>
      <w:r>
        <w:t xml:space="preserve">pobranie próbek, </w:t>
      </w:r>
    </w:p>
    <w:p w14:paraId="388998E3" w14:textId="77777777" w:rsidR="00826F93" w:rsidRDefault="00826F93" w:rsidP="00826F93">
      <w:pPr>
        <w:pStyle w:val="Nagwek8"/>
        <w:numPr>
          <w:ilvl w:val="0"/>
          <w:numId w:val="62"/>
        </w:numPr>
      </w:pPr>
      <w:r>
        <w:t xml:space="preserve">zapakowanie próbek do wysyłki, </w:t>
      </w:r>
    </w:p>
    <w:p w14:paraId="11BB20DF" w14:textId="77777777" w:rsidR="00826F93" w:rsidRDefault="00826F93" w:rsidP="00826F93">
      <w:pPr>
        <w:pStyle w:val="Nagwek8"/>
        <w:numPr>
          <w:ilvl w:val="0"/>
          <w:numId w:val="62"/>
        </w:numPr>
      </w:pPr>
      <w:r>
        <w:t xml:space="preserve">transport próbek z miejsca pobrania do placówki wykonującej badania, </w:t>
      </w:r>
    </w:p>
    <w:p w14:paraId="52E8CDC6" w14:textId="77777777" w:rsidR="00826F93" w:rsidRDefault="00826F93" w:rsidP="00826F93">
      <w:pPr>
        <w:pStyle w:val="Nagwek8"/>
        <w:numPr>
          <w:ilvl w:val="0"/>
          <w:numId w:val="62"/>
        </w:numPr>
      </w:pPr>
      <w:r>
        <w:t xml:space="preserve">przeprowadzenie badania, </w:t>
      </w:r>
    </w:p>
    <w:p w14:paraId="482AF8B3" w14:textId="77777777" w:rsidR="00826F93" w:rsidRDefault="00826F93" w:rsidP="00826F93">
      <w:pPr>
        <w:pStyle w:val="Nagwek8"/>
        <w:numPr>
          <w:ilvl w:val="0"/>
          <w:numId w:val="62"/>
        </w:numPr>
      </w:pPr>
      <w:r>
        <w:t xml:space="preserve">sprawozdanie z badań.  </w:t>
      </w:r>
    </w:p>
    <w:p w14:paraId="3393C7B7" w14:textId="77777777" w:rsidR="00826F93" w:rsidRDefault="00826F93" w:rsidP="00826F93">
      <w:pPr>
        <w:pStyle w:val="Nagwek2"/>
      </w:pPr>
      <w:bookmarkStart w:id="923" w:name="_Toc495830553"/>
      <w:r>
        <w:rPr>
          <w:b w:val="0"/>
        </w:rPr>
        <w:t>6.2. Badania przed przystąpieniem do robót</w:t>
      </w:r>
      <w:bookmarkEnd w:id="923"/>
    </w:p>
    <w:p w14:paraId="47618568" w14:textId="77777777" w:rsidR="00826F93" w:rsidRDefault="00826F93" w:rsidP="00826F93">
      <w:r>
        <w:t xml:space="preserve">Wykonawca jest zobowiązany do przeprowadzania na bieżąco badań i pomiarów w celu sprawdzania, czy jakość wykonanych Robót jest zgodna z postawionymi wymaganiami.  </w:t>
      </w:r>
    </w:p>
    <w:p w14:paraId="0347BD07" w14:textId="77777777" w:rsidR="00826F93" w:rsidRDefault="00826F93" w:rsidP="00826F93">
      <w: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STWiORB. Wyniki badań będą dokumentowane i archiwizowane przez Wykonawcę. Wyniki badań Wykonawca jest zobowiązany przekazywać Inżynierowi/Inspektorowi Nadzoru. </w:t>
      </w:r>
    </w:p>
    <w:p w14:paraId="722B6BA3" w14:textId="77777777" w:rsidR="00826F93" w:rsidRDefault="00826F93" w:rsidP="00826F93"/>
    <w:p w14:paraId="06CD51F8" w14:textId="77777777" w:rsidR="00826F93" w:rsidRDefault="00826F93" w:rsidP="00826F93">
      <w:pPr>
        <w:pStyle w:val="Nagwek2"/>
      </w:pPr>
      <w:r>
        <w:rPr>
          <w:b w:val="0"/>
        </w:rPr>
        <w:t>6.3.</w:t>
      </w:r>
      <w:r>
        <w:rPr>
          <w:rFonts w:ascii="Arial" w:eastAsia="Arial" w:hAnsi="Arial" w:cs="Arial"/>
          <w:b w:val="0"/>
        </w:rPr>
        <w:t xml:space="preserve"> </w:t>
      </w:r>
      <w:r>
        <w:rPr>
          <w:b w:val="0"/>
        </w:rPr>
        <w:t xml:space="preserve">Badania i pomiary kontrolne </w:t>
      </w:r>
    </w:p>
    <w:p w14:paraId="0DCE43FB" w14:textId="77777777" w:rsidR="00826F93" w:rsidRDefault="00826F93" w:rsidP="00826F93">
      <w:pPr>
        <w:ind w:left="8" w:right="14"/>
      </w:pPr>
      <w:r>
        <w:t xml:space="preserve">Badania i pomiary kontrolne są zlecane przez Inżyniera/Inspektora Nadzoru, a których celem jest sprawdzenie, czy jakość zastosowanych materiałów oraz gotowej warstwy spełniają wymagania określone w kontrakcie. </w:t>
      </w:r>
    </w:p>
    <w:p w14:paraId="3D12A018" w14:textId="77777777" w:rsidR="00826F93" w:rsidRDefault="00826F93" w:rsidP="00826F93">
      <w:pPr>
        <w:spacing w:after="104" w:line="264" w:lineRule="auto"/>
        <w:ind w:left="8"/>
      </w:pPr>
      <w:r>
        <w:t xml:space="preserve">Pobieraniem próbek, wykonaniem badań i pomiarów na miejscu budowy zajmuje się Laboratorium Zamawiającego/Inżynier/Inspektor Nadzoru przy udziale lub po poinformowaniu przedstawicieli Wykonawcy. Zamawiający decyduje o wyborze Laboratorium Zamawiającego. </w:t>
      </w:r>
    </w:p>
    <w:p w14:paraId="0E947D22" w14:textId="77777777" w:rsidR="00826F93" w:rsidRDefault="00826F93" w:rsidP="00826F93">
      <w:pPr>
        <w:pStyle w:val="Nagwek2"/>
      </w:pPr>
      <w:r>
        <w:rPr>
          <w:b w:val="0"/>
        </w:rPr>
        <w:lastRenderedPageBreak/>
        <w:t>6.4.</w:t>
      </w:r>
      <w:r>
        <w:rPr>
          <w:rFonts w:ascii="Arial" w:eastAsia="Arial" w:hAnsi="Arial" w:cs="Arial"/>
          <w:b w:val="0"/>
        </w:rPr>
        <w:t xml:space="preserve"> </w:t>
      </w:r>
      <w:r>
        <w:rPr>
          <w:b w:val="0"/>
        </w:rPr>
        <w:t xml:space="preserve">Badania i pomiary kontrolne dodatkowe </w:t>
      </w:r>
    </w:p>
    <w:p w14:paraId="71912E9B" w14:textId="77777777" w:rsidR="00826F93" w:rsidRDefault="00826F93" w:rsidP="00826F93">
      <w:pPr>
        <w:ind w:left="8" w:right="14"/>
      </w:pPr>
      <w:r>
        <w:t xml:space="preserve">W wypadku uznania, że jeden z wyników badań lub pomiarów kontrolnych nie jest reprezentatywny dla ocenianego odcinka budowy, strony kontraktu mogą wystąpić o przeprowadzenia badań lub pomiarów kontrolnych dodatkowych. Badania kontrolne dodatkowe są wykonywane przez Laboratorium Zamawiającego. </w:t>
      </w:r>
    </w:p>
    <w:p w14:paraId="69B5E56B" w14:textId="77777777" w:rsidR="00826F93" w:rsidRDefault="00826F93" w:rsidP="00826F93">
      <w:pPr>
        <w:spacing w:after="135"/>
        <w:ind w:left="8" w:right="14"/>
      </w:pPr>
      <w:r>
        <w:t xml:space="preserve">Strony Kontraktu decydują wspólnie o miejscach pobierania próbek i wyznaczeniu odcinków częściowych ocenianego odcinka budowy tzn. dziennej działki roboczej. Jeżeli odcinek częściowy przyporządkowany do badań kontrolnych nie może być jednoznacznie i zgodnie wyznaczony, to odcinek ten nie powinien być mniejszy niż 20% ocenianego odcinka budowy. </w:t>
      </w:r>
    </w:p>
    <w:p w14:paraId="022F367B" w14:textId="77777777" w:rsidR="00826F93" w:rsidRDefault="00826F93" w:rsidP="00826F93">
      <w:pPr>
        <w:pStyle w:val="Nagwek2"/>
      </w:pPr>
      <w:r>
        <w:rPr>
          <w:b w:val="0"/>
        </w:rPr>
        <w:t>6.</w:t>
      </w:r>
      <w:r>
        <w:rPr>
          <w:b w:val="0"/>
          <w:lang w:val="pl-PL"/>
        </w:rPr>
        <w:t>5</w:t>
      </w:r>
      <w:r>
        <w:rPr>
          <w:b w:val="0"/>
        </w:rPr>
        <w:t>.</w:t>
      </w:r>
      <w:r>
        <w:rPr>
          <w:rFonts w:ascii="Arial" w:eastAsia="Arial" w:hAnsi="Arial" w:cs="Arial"/>
          <w:b w:val="0"/>
        </w:rPr>
        <w:t xml:space="preserve"> </w:t>
      </w:r>
      <w:r>
        <w:rPr>
          <w:b w:val="0"/>
        </w:rPr>
        <w:t xml:space="preserve">Badania przed przystąpieniem do robót </w:t>
      </w:r>
    </w:p>
    <w:p w14:paraId="6849C2C8" w14:textId="77777777" w:rsidR="00826F93" w:rsidRDefault="00826F93" w:rsidP="00826F93">
      <w:pPr>
        <w:spacing w:after="120"/>
        <w:ind w:left="8" w:right="14"/>
      </w:pPr>
      <w:r>
        <w:t xml:space="preserve">Przed przystąpieniem do robót Wykonawca powinien uzyskać wymagane dokumenty, dopuszczające wyroby budowlane do obrotu i powszechnego stosowania (certyfikaty zgodności, deklaracje zgodności, ewentualnie badania materiałów wykonane przez dostawców itp.) oraz ewentualnie wykonać własne badania właściwości materiałów przeznaczonych do wykonania robót, określone w pkt 2. Wszystkie dokumenty oraz wyniki badań Wykonawca przedstawi Inżynierowi do akceptacji. </w:t>
      </w:r>
    </w:p>
    <w:p w14:paraId="70C2520A" w14:textId="77777777" w:rsidR="00826F93" w:rsidRDefault="00826F93" w:rsidP="00826F93">
      <w:pPr>
        <w:pStyle w:val="Nagwek2"/>
      </w:pPr>
      <w:r>
        <w:rPr>
          <w:b w:val="0"/>
        </w:rPr>
        <w:t>6.</w:t>
      </w:r>
      <w:r>
        <w:rPr>
          <w:b w:val="0"/>
          <w:lang w:val="pl-PL"/>
        </w:rPr>
        <w:t>6</w:t>
      </w:r>
      <w:r>
        <w:rPr>
          <w:b w:val="0"/>
        </w:rPr>
        <w:t>.</w:t>
      </w:r>
      <w:r>
        <w:rPr>
          <w:rFonts w:ascii="Arial" w:eastAsia="Arial" w:hAnsi="Arial" w:cs="Arial"/>
          <w:b w:val="0"/>
        </w:rPr>
        <w:t xml:space="preserve"> </w:t>
      </w:r>
      <w:r>
        <w:rPr>
          <w:b w:val="0"/>
        </w:rPr>
        <w:t xml:space="preserve">Badania odbiorcze krawężników </w:t>
      </w:r>
    </w:p>
    <w:p w14:paraId="69D2433D" w14:textId="77777777" w:rsidR="00826F93" w:rsidRDefault="00826F93" w:rsidP="00826F93">
      <w:pPr>
        <w:ind w:left="8" w:right="14"/>
      </w:pPr>
      <w:r>
        <w:t xml:space="preserve">Badania odbiorcze krawężników oparto o normę PN-EN 1340 Załącznik B. </w:t>
      </w:r>
    </w:p>
    <w:p w14:paraId="426A73DF" w14:textId="77777777" w:rsidR="00826F93" w:rsidRDefault="00826F93" w:rsidP="00826F93">
      <w:pPr>
        <w:ind w:left="8" w:right="14"/>
      </w:pPr>
      <w:r>
        <w:t xml:space="preserve">Rozróżnia się dwa przypadki: </w:t>
      </w:r>
    </w:p>
    <w:p w14:paraId="08EBFD65" w14:textId="77777777" w:rsidR="00826F93" w:rsidRDefault="00826F93" w:rsidP="00826F93">
      <w:pPr>
        <w:pStyle w:val="Nagwek8"/>
        <w:numPr>
          <w:ilvl w:val="0"/>
          <w:numId w:val="62"/>
        </w:numPr>
      </w:pPr>
      <w:r>
        <w:t xml:space="preserve">wyrób nie został poddany ocenie zgodności przez stronę trzecią (przypadek I), </w:t>
      </w:r>
    </w:p>
    <w:p w14:paraId="6064B4D3" w14:textId="77777777" w:rsidR="00826F93" w:rsidRDefault="00826F93" w:rsidP="00826F93">
      <w:pPr>
        <w:pStyle w:val="Nagwek8"/>
        <w:numPr>
          <w:ilvl w:val="0"/>
          <w:numId w:val="62"/>
        </w:numPr>
      </w:pPr>
      <w:r>
        <w:t xml:space="preserve">wyrób został poddany ocenie zgodności przez stronę trzecią (przypadek II). </w:t>
      </w:r>
    </w:p>
    <w:p w14:paraId="1279F825" w14:textId="77777777" w:rsidR="00826F93" w:rsidRDefault="00826F93" w:rsidP="00826F93">
      <w:pPr>
        <w:ind w:left="8" w:right="14"/>
      </w:pPr>
      <w:r>
        <w:t xml:space="preserve"> Jeśli ma miejsce przypadek II, badanie odbiorcze nie jest konieczne, z wyjątkiem sytuacji spornych. W przypadku wątpliwości należy badać tylko sporne właściwości. </w:t>
      </w:r>
    </w:p>
    <w:p w14:paraId="6C314FB9" w14:textId="77777777" w:rsidR="00826F93" w:rsidRDefault="00826F93" w:rsidP="00826F93">
      <w:pPr>
        <w:pStyle w:val="Nagwek2"/>
      </w:pPr>
      <w:r>
        <w:rPr>
          <w:b w:val="0"/>
        </w:rPr>
        <w:t>6.</w:t>
      </w:r>
      <w:r>
        <w:rPr>
          <w:b w:val="0"/>
          <w:lang w:val="pl-PL"/>
        </w:rPr>
        <w:t>7</w:t>
      </w:r>
      <w:r>
        <w:rPr>
          <w:b w:val="0"/>
        </w:rPr>
        <w:t>.</w:t>
      </w:r>
      <w:r>
        <w:rPr>
          <w:rFonts w:ascii="Arial" w:eastAsia="Arial" w:hAnsi="Arial" w:cs="Arial"/>
          <w:b w:val="0"/>
        </w:rPr>
        <w:t xml:space="preserve"> </w:t>
      </w:r>
      <w:r>
        <w:rPr>
          <w:b w:val="0"/>
        </w:rPr>
        <w:t xml:space="preserve">Badania w trakcie robót </w:t>
      </w:r>
    </w:p>
    <w:p w14:paraId="3ACC5375" w14:textId="77777777" w:rsidR="00826F93" w:rsidRDefault="00826F93" w:rsidP="00826F93">
      <w:pPr>
        <w:pStyle w:val="Nagwek3"/>
        <w:rPr>
          <w:b w:val="0"/>
        </w:rPr>
      </w:pPr>
      <w:r>
        <w:rPr>
          <w:b w:val="0"/>
        </w:rPr>
        <w:t>6.</w:t>
      </w:r>
      <w:r>
        <w:rPr>
          <w:b w:val="0"/>
          <w:lang w:val="pl-PL"/>
        </w:rPr>
        <w:t>7</w:t>
      </w:r>
      <w:r>
        <w:rPr>
          <w:b w:val="0"/>
        </w:rPr>
        <w:t xml:space="preserve">.1 Sprawdzenie koryta pod ławę </w:t>
      </w:r>
    </w:p>
    <w:p w14:paraId="4BAA9508" w14:textId="77777777" w:rsidR="00826F93" w:rsidRDefault="00826F93" w:rsidP="00826F93">
      <w:pPr>
        <w:ind w:left="8" w:right="14"/>
      </w:pPr>
      <w:r>
        <w:t xml:space="preserve">Należy sprawdzać wymiary koryta oraz zagęszczenie podłoża na dnie wykopu. </w:t>
      </w:r>
    </w:p>
    <w:p w14:paraId="6A243277" w14:textId="77777777" w:rsidR="00826F93" w:rsidRDefault="00826F93" w:rsidP="00826F93">
      <w:r>
        <w:t xml:space="preserve">Zagęszczenie podłoża należy badać z częstotliwością minimum 1 raz na 100 metrów bieżących i powinno być zgodne z pkt 5. </w:t>
      </w:r>
    </w:p>
    <w:p w14:paraId="09B0E1EA" w14:textId="77777777" w:rsidR="00826F93" w:rsidRDefault="00826F93" w:rsidP="00826F93">
      <w:pPr>
        <w:pStyle w:val="Nagwek3"/>
      </w:pPr>
      <w:r>
        <w:rPr>
          <w:b w:val="0"/>
        </w:rPr>
        <w:t>6.</w:t>
      </w:r>
      <w:r>
        <w:rPr>
          <w:b w:val="0"/>
          <w:lang w:val="pl-PL"/>
        </w:rPr>
        <w:t>7</w:t>
      </w:r>
      <w:r>
        <w:rPr>
          <w:b w:val="0"/>
        </w:rPr>
        <w:t xml:space="preserve">.2 Sprawdzenie ław </w:t>
      </w:r>
    </w:p>
    <w:p w14:paraId="61D789F3" w14:textId="77777777" w:rsidR="00826F93" w:rsidRDefault="00826F93" w:rsidP="00826F93">
      <w:r>
        <w:t xml:space="preserve">Przy wykonywaniu ław należy sprawdzić: </w:t>
      </w:r>
    </w:p>
    <w:p w14:paraId="24D4151B" w14:textId="77777777" w:rsidR="00826F93" w:rsidRDefault="00826F93" w:rsidP="00826F93">
      <w:pPr>
        <w:pStyle w:val="Nagwek8"/>
        <w:numPr>
          <w:ilvl w:val="0"/>
          <w:numId w:val="62"/>
        </w:numPr>
      </w:pPr>
      <w:r>
        <w:t xml:space="preserve">Zgodność profilu podłużnego górnej powierzchni ław z Dokumentacją projektową: </w:t>
      </w:r>
    </w:p>
    <w:p w14:paraId="773A80E0" w14:textId="77777777" w:rsidR="00826F93" w:rsidRDefault="00826F93" w:rsidP="00826F93">
      <w:pPr>
        <w:pStyle w:val="Nagwek8"/>
        <w:numPr>
          <w:ilvl w:val="1"/>
          <w:numId w:val="62"/>
        </w:numPr>
      </w:pPr>
      <w:r>
        <w:t xml:space="preserve">Profil podłużny górnej powierzchni ławy powinien być zgodny z projektowaną niweletą. Dopuszczalne odchylenia mogą wynosić +/- 1 cm na każde 100 m ławy. </w:t>
      </w:r>
    </w:p>
    <w:p w14:paraId="1A6F09F0" w14:textId="77777777" w:rsidR="00826F93" w:rsidRDefault="00826F93" w:rsidP="00826F93">
      <w:pPr>
        <w:pStyle w:val="Nagwek8"/>
        <w:numPr>
          <w:ilvl w:val="0"/>
          <w:numId w:val="62"/>
        </w:numPr>
      </w:pPr>
      <w:r>
        <w:t xml:space="preserve">Ustawienie szalunku dla wykonania ławy betonowej z oporem: </w:t>
      </w:r>
    </w:p>
    <w:p w14:paraId="30DCF9B4" w14:textId="77777777" w:rsidR="00826F93" w:rsidRDefault="00826F93" w:rsidP="00826F93">
      <w:pPr>
        <w:pStyle w:val="Nagwek8"/>
        <w:numPr>
          <w:ilvl w:val="1"/>
          <w:numId w:val="62"/>
        </w:numPr>
      </w:pPr>
      <w:r>
        <w:t xml:space="preserve">Wymiary szalunku pod ławę betonową z oporem należy sprawdzić minimum w dwóch oddalonych od siebie, wybranych punktach na każde 100 m ławy betonowej z oporem. </w:t>
      </w:r>
    </w:p>
    <w:p w14:paraId="28644D1A" w14:textId="77777777" w:rsidR="00826F93" w:rsidRDefault="00826F93" w:rsidP="00826F93">
      <w:pPr>
        <w:pStyle w:val="Nagwek8"/>
        <w:numPr>
          <w:ilvl w:val="0"/>
          <w:numId w:val="62"/>
        </w:numPr>
      </w:pPr>
      <w:r>
        <w:t xml:space="preserve">Wymiary ław: </w:t>
      </w:r>
    </w:p>
    <w:p w14:paraId="2AEEA8B3" w14:textId="77777777" w:rsidR="00826F93" w:rsidRDefault="00826F93" w:rsidP="00826F93">
      <w:pPr>
        <w:pStyle w:val="Nagwek8"/>
        <w:numPr>
          <w:ilvl w:val="1"/>
          <w:numId w:val="62"/>
        </w:numPr>
      </w:pPr>
      <w:r>
        <w:t xml:space="preserve">Wymiary ław należy sprawdzić minimum w dwóch oddalonych od siebie, wybranych punktach na każde 100 m ławy. </w:t>
      </w:r>
    </w:p>
    <w:p w14:paraId="20CAB518" w14:textId="77777777" w:rsidR="00826F93" w:rsidRDefault="00826F93" w:rsidP="00826F93">
      <w:pPr>
        <w:ind w:left="1080"/>
      </w:pPr>
      <w:r>
        <w:t xml:space="preserve">Tolerancje wymiarów wynoszą: </w:t>
      </w:r>
    </w:p>
    <w:p w14:paraId="1B9219EF" w14:textId="77777777" w:rsidR="00826F93" w:rsidRDefault="00826F93" w:rsidP="00826F93">
      <w:pPr>
        <w:pStyle w:val="Nagwek8"/>
        <w:numPr>
          <w:ilvl w:val="1"/>
          <w:numId w:val="62"/>
        </w:numPr>
      </w:pPr>
      <w:r>
        <w:t xml:space="preserve">dla wysokości </w:t>
      </w:r>
      <w:r>
        <w:rPr>
          <w:lang w:val="pl-PL"/>
        </w:rPr>
        <w:t>+</w:t>
      </w:r>
      <w:r>
        <w:t xml:space="preserve"> 10% wysokości projektowanej, - dla szerokości </w:t>
      </w:r>
      <w:r>
        <w:rPr>
          <w:lang w:val="pl-PL"/>
        </w:rPr>
        <w:t>+</w:t>
      </w:r>
      <w:r>
        <w:t xml:space="preserve"> 10% szerokości projektowanej. </w:t>
      </w:r>
    </w:p>
    <w:p w14:paraId="4EF9B2DA" w14:textId="77777777" w:rsidR="00826F93" w:rsidRDefault="00826F93" w:rsidP="00826F93">
      <w:pPr>
        <w:pStyle w:val="Nagwek3"/>
      </w:pPr>
      <w:r>
        <w:rPr>
          <w:b w:val="0"/>
        </w:rPr>
        <w:t>6.</w:t>
      </w:r>
      <w:r>
        <w:rPr>
          <w:b w:val="0"/>
          <w:lang w:val="pl-PL"/>
        </w:rPr>
        <w:t>7</w:t>
      </w:r>
      <w:r>
        <w:rPr>
          <w:b w:val="0"/>
        </w:rPr>
        <w:t xml:space="preserve">.3. Sprawdzenie ustawienia krawężników </w:t>
      </w:r>
    </w:p>
    <w:p w14:paraId="5C4F248B" w14:textId="77777777" w:rsidR="00826F93" w:rsidRDefault="00826F93" w:rsidP="00826F93">
      <w:r>
        <w:t xml:space="preserve">Przy ustawianiu krawężników należy sprawdzać: </w:t>
      </w:r>
    </w:p>
    <w:p w14:paraId="6339D00C" w14:textId="77777777" w:rsidR="00826F93" w:rsidRDefault="00826F93" w:rsidP="00826F93">
      <w:pPr>
        <w:pStyle w:val="Nagwek8"/>
        <w:numPr>
          <w:ilvl w:val="0"/>
          <w:numId w:val="62"/>
        </w:numPr>
      </w:pPr>
      <w:r>
        <w:t xml:space="preserve">dopuszczalne odchylenia linii krawężników w poziomie od linii projektowanej, które wynosi </w:t>
      </w:r>
      <w:r>
        <w:rPr>
          <w:lang w:val="pl-PL"/>
        </w:rPr>
        <w:t>+/-</w:t>
      </w:r>
      <w:r>
        <w:t xml:space="preserve"> 1 cm na każde 100 m ustawionego krawężnika, </w:t>
      </w:r>
    </w:p>
    <w:p w14:paraId="3BEF373F" w14:textId="77777777" w:rsidR="00826F93" w:rsidRDefault="00826F93" w:rsidP="00826F93">
      <w:pPr>
        <w:pStyle w:val="Nagwek8"/>
        <w:numPr>
          <w:ilvl w:val="0"/>
          <w:numId w:val="62"/>
        </w:numPr>
      </w:pPr>
      <w:r>
        <w:t xml:space="preserve">dopuszczalne odchylenie niwelety górnej płaszczyzny krawężnika od niwelety projektowanej, które wynosi </w:t>
      </w:r>
      <w:r>
        <w:rPr>
          <w:lang w:val="pl-PL"/>
        </w:rPr>
        <w:t>+/-</w:t>
      </w:r>
      <w:r>
        <w:t xml:space="preserve"> 1 cm na każde 100 m ustawionego krawężnika, </w:t>
      </w:r>
    </w:p>
    <w:p w14:paraId="63275263" w14:textId="77777777" w:rsidR="00826F93" w:rsidRDefault="00826F93" w:rsidP="00826F93">
      <w:pPr>
        <w:pStyle w:val="Nagwek8"/>
        <w:numPr>
          <w:ilvl w:val="0"/>
          <w:numId w:val="62"/>
        </w:numPr>
      </w:pPr>
      <w:r>
        <w:rPr>
          <w:lang w:val="pl-PL"/>
        </w:rPr>
        <w:t>Dopuszczalna szczelina pomiędzy stykiem krawężników – mniejsza niż 0.4cm, - dla każdego styku,</w:t>
      </w:r>
    </w:p>
    <w:p w14:paraId="76908C62" w14:textId="77777777" w:rsidR="00826F93" w:rsidRDefault="00826F93" w:rsidP="00826F93">
      <w:pPr>
        <w:pStyle w:val="Nagwek8"/>
        <w:numPr>
          <w:ilvl w:val="0"/>
          <w:numId w:val="62"/>
        </w:numPr>
      </w:pPr>
      <w:r>
        <w:lastRenderedPageBreak/>
        <w:t xml:space="preserve">równość górnej powierzchni krawężników, sprawdzane przez przyłożenie w dwóch punktach na każde 100 m krawężnika, trzymetrowej łaty, przy czym prześwit pomiędzy górną powierzchnią krawężnika i przyłożoną łatą nie może przekraczać 1 cm, </w:t>
      </w:r>
    </w:p>
    <w:p w14:paraId="22668570" w14:textId="77777777" w:rsidR="00826F93" w:rsidRDefault="00826F93" w:rsidP="00826F93">
      <w:r>
        <w:t>Jeżeli wszystkie pomiary i badania dały wynik pozytywny, można uznać, że krawężnik został ustawiony prawidłowo.</w:t>
      </w:r>
      <w:bookmarkStart w:id="924" w:name="_Toc495830554"/>
    </w:p>
    <w:p w14:paraId="5219DAA6" w14:textId="77777777" w:rsidR="00826F93" w:rsidRDefault="00826F93" w:rsidP="00826F93">
      <w:pPr>
        <w:pStyle w:val="Nagwek1"/>
      </w:pPr>
      <w:bookmarkStart w:id="925" w:name="_Toc428323653"/>
      <w:bookmarkStart w:id="926" w:name="_Toc428759427"/>
      <w:bookmarkStart w:id="927" w:name="_Toc141072309"/>
      <w:bookmarkStart w:id="928" w:name="_Toc141496953"/>
      <w:bookmarkStart w:id="929" w:name="_Toc495830555"/>
      <w:bookmarkEnd w:id="924"/>
      <w:r>
        <w:rPr>
          <w:b w:val="0"/>
        </w:rPr>
        <w:t>7. OBMIAR ROBÓT</w:t>
      </w:r>
      <w:bookmarkEnd w:id="925"/>
      <w:bookmarkEnd w:id="926"/>
      <w:bookmarkEnd w:id="927"/>
      <w:bookmarkEnd w:id="928"/>
      <w:bookmarkEnd w:id="929"/>
    </w:p>
    <w:p w14:paraId="44E5FEA7" w14:textId="77777777" w:rsidR="00826F93" w:rsidRDefault="00826F93" w:rsidP="00826F93">
      <w:pPr>
        <w:pStyle w:val="Nagwek2"/>
        <w:rPr>
          <w:b w:val="0"/>
        </w:rPr>
      </w:pPr>
      <w:bookmarkStart w:id="930" w:name="_Toc495830556"/>
      <w:r>
        <w:rPr>
          <w:b w:val="0"/>
        </w:rPr>
        <w:t>7.1. Ogólne zasady obmiaru robót</w:t>
      </w:r>
      <w:bookmarkEnd w:id="930"/>
    </w:p>
    <w:p w14:paraId="4667192B" w14:textId="77777777" w:rsidR="00826F93" w:rsidRDefault="00826F93" w:rsidP="00826F93">
      <w:r>
        <w:t>Ogólne zasady obmiaru robót podano w SST D-M-00.00.00 „Wymagania ogólne” [1] pkt 7.</w:t>
      </w:r>
    </w:p>
    <w:p w14:paraId="7C3D71EA" w14:textId="77777777" w:rsidR="00826F93" w:rsidRDefault="00826F93" w:rsidP="00826F93">
      <w:pPr>
        <w:pStyle w:val="Nagwek2"/>
      </w:pPr>
      <w:bookmarkStart w:id="931" w:name="_Toc495830557"/>
      <w:r>
        <w:rPr>
          <w:b w:val="0"/>
        </w:rPr>
        <w:t>7.2. Jednostka obmiarowa</w:t>
      </w:r>
      <w:bookmarkEnd w:id="931"/>
    </w:p>
    <w:p w14:paraId="5C482268" w14:textId="77777777" w:rsidR="00826F93" w:rsidRDefault="00826F93" w:rsidP="00826F93">
      <w:r>
        <w:t>Jednostką obmiarową jest m (metr) ustawionego krawężnika.</w:t>
      </w:r>
    </w:p>
    <w:p w14:paraId="565CC81F" w14:textId="77777777" w:rsidR="00826F93" w:rsidRDefault="00826F93" w:rsidP="00826F93">
      <w:pPr>
        <w:pStyle w:val="Nagwek1"/>
      </w:pPr>
      <w:bookmarkStart w:id="932" w:name="_Toc428323654"/>
      <w:bookmarkStart w:id="933" w:name="_Toc428759428"/>
      <w:bookmarkStart w:id="934" w:name="_Toc141072310"/>
      <w:bookmarkStart w:id="935" w:name="_Toc141496954"/>
      <w:bookmarkStart w:id="936" w:name="_Toc495830558"/>
      <w:r>
        <w:rPr>
          <w:b w:val="0"/>
        </w:rPr>
        <w:t>8. ODBIÓR ROBÓT</w:t>
      </w:r>
      <w:bookmarkEnd w:id="932"/>
      <w:bookmarkEnd w:id="933"/>
      <w:bookmarkEnd w:id="934"/>
      <w:bookmarkEnd w:id="935"/>
      <w:bookmarkEnd w:id="936"/>
    </w:p>
    <w:p w14:paraId="40762D05" w14:textId="77777777" w:rsidR="00826F93" w:rsidRDefault="00826F93" w:rsidP="00826F93">
      <w:pPr>
        <w:pStyle w:val="Nagwek2"/>
        <w:rPr>
          <w:b w:val="0"/>
        </w:rPr>
      </w:pPr>
      <w:bookmarkStart w:id="937" w:name="_Toc495830559"/>
      <w:r>
        <w:rPr>
          <w:b w:val="0"/>
        </w:rPr>
        <w:t>8.1. Ogólne zasady odbioru robót</w:t>
      </w:r>
      <w:bookmarkEnd w:id="937"/>
    </w:p>
    <w:p w14:paraId="10A9F7E7" w14:textId="77777777" w:rsidR="00826F93" w:rsidRDefault="00826F93" w:rsidP="00826F93">
      <w:r>
        <w:t>Ogólne zasady odbioru robót podano w SST D-M-00.00.00 „Wymagania ogólne” [1] pkt 8.</w:t>
      </w:r>
    </w:p>
    <w:p w14:paraId="63981FA6" w14:textId="77777777" w:rsidR="00826F93" w:rsidRDefault="00826F93" w:rsidP="00826F93">
      <w:r>
        <w:t>Roboty uznaje się za wykonane zgodnie z dokumentacją projektową, SST i wymaganiami Inżyniera, jeżeli wszystkie pomiary i badania z zachowaniem tolerancji wg pkt 6 dały wyniki pozytywne.</w:t>
      </w:r>
    </w:p>
    <w:p w14:paraId="5E030F20" w14:textId="77777777" w:rsidR="00826F93" w:rsidRDefault="00826F93" w:rsidP="00826F93">
      <w:pPr>
        <w:pStyle w:val="Nagwek2"/>
      </w:pPr>
      <w:bookmarkStart w:id="938" w:name="_Toc495830560"/>
      <w:r>
        <w:rPr>
          <w:b w:val="0"/>
        </w:rPr>
        <w:t>8.2. Odbiór robót zanikających i ulegających zakryciu</w:t>
      </w:r>
      <w:bookmarkEnd w:id="938"/>
    </w:p>
    <w:p w14:paraId="36682713" w14:textId="77777777" w:rsidR="00826F93" w:rsidRDefault="00826F93" w:rsidP="00826F93">
      <w:r>
        <w:t>Odbiorowi robót zanikających i ulegających zakryciu podlegają:</w:t>
      </w:r>
    </w:p>
    <w:p w14:paraId="54AFE5AF" w14:textId="77777777" w:rsidR="00826F93" w:rsidRDefault="00826F93" w:rsidP="00826F93">
      <w:pPr>
        <w:pStyle w:val="Nagwek8"/>
        <w:numPr>
          <w:ilvl w:val="0"/>
          <w:numId w:val="62"/>
        </w:numPr>
      </w:pPr>
      <w:r>
        <w:t>wykonanie koryta pod ławę,</w:t>
      </w:r>
    </w:p>
    <w:p w14:paraId="7B0B45FC" w14:textId="77777777" w:rsidR="00826F93" w:rsidRDefault="00826F93" w:rsidP="00826F93">
      <w:pPr>
        <w:pStyle w:val="Nagwek8"/>
        <w:numPr>
          <w:ilvl w:val="0"/>
          <w:numId w:val="62"/>
        </w:numPr>
      </w:pPr>
      <w:r>
        <w:t>wykonanie ławy,</w:t>
      </w:r>
    </w:p>
    <w:p w14:paraId="7A88C576" w14:textId="77777777" w:rsidR="00826F93" w:rsidRDefault="00826F93" w:rsidP="00826F93">
      <w:r>
        <w:t>Odbiór tych robót powinien być zgodny z wymaganiami pktu 8.2 SST D-M-00.00.00 „Wymagania ogólne” [1] oraz niniejszej SST.</w:t>
      </w:r>
    </w:p>
    <w:p w14:paraId="6C0C35E0" w14:textId="77777777" w:rsidR="00826F93" w:rsidRDefault="00826F93" w:rsidP="00826F93">
      <w:pPr>
        <w:pStyle w:val="Nagwek1"/>
      </w:pPr>
      <w:bookmarkStart w:id="939" w:name="_Toc428323655"/>
      <w:bookmarkStart w:id="940" w:name="_Toc428759429"/>
      <w:bookmarkStart w:id="941" w:name="_Toc141072311"/>
      <w:bookmarkStart w:id="942" w:name="_Toc141496955"/>
      <w:bookmarkStart w:id="943" w:name="_Toc495830561"/>
      <w:r>
        <w:rPr>
          <w:b w:val="0"/>
        </w:rPr>
        <w:t>9. PODSTAWA PŁATNOŚCI</w:t>
      </w:r>
      <w:bookmarkEnd w:id="939"/>
      <w:bookmarkEnd w:id="940"/>
      <w:bookmarkEnd w:id="941"/>
      <w:bookmarkEnd w:id="942"/>
      <w:bookmarkEnd w:id="943"/>
    </w:p>
    <w:p w14:paraId="2B7BD5E0" w14:textId="77777777" w:rsidR="00826F93" w:rsidRDefault="00826F93" w:rsidP="00826F93">
      <w:pPr>
        <w:pStyle w:val="Nagwek2"/>
        <w:rPr>
          <w:b w:val="0"/>
        </w:rPr>
      </w:pPr>
      <w:bookmarkStart w:id="944" w:name="_Toc495830562"/>
      <w:r>
        <w:rPr>
          <w:b w:val="0"/>
        </w:rPr>
        <w:t>9.1. Ogólne ustalenia dotyczące podstawy płatności</w:t>
      </w:r>
      <w:bookmarkEnd w:id="944"/>
    </w:p>
    <w:p w14:paraId="48C8C3D2" w14:textId="77777777" w:rsidR="00826F93" w:rsidRDefault="00826F93" w:rsidP="00826F93">
      <w:r>
        <w:t>Ogólne ustalenia dotyczące podstawy płatności podano w SST D-M-00.00.00  „Wymagania ogólne” [1] pkt 9.</w:t>
      </w:r>
    </w:p>
    <w:p w14:paraId="590D3A23" w14:textId="77777777" w:rsidR="00826F93" w:rsidRDefault="00826F93" w:rsidP="00826F93">
      <w:pPr>
        <w:pStyle w:val="Nagwek2"/>
      </w:pPr>
      <w:bookmarkStart w:id="945" w:name="_Toc495830563"/>
      <w:r>
        <w:rPr>
          <w:b w:val="0"/>
        </w:rPr>
        <w:t>9.2. Cena jednostki obmiarowej</w:t>
      </w:r>
      <w:bookmarkEnd w:id="945"/>
    </w:p>
    <w:p w14:paraId="6B7C2B4D" w14:textId="77777777" w:rsidR="00826F93" w:rsidRDefault="00826F93" w:rsidP="00826F93">
      <w:r>
        <w:t xml:space="preserve">Cena ustawienia </w:t>
      </w:r>
      <w:smartTag w:uri="urn:schemas-microsoft-com:office:smarttags" w:element="metricconverter">
        <w:smartTagPr>
          <w:attr w:name="ProductID" w:val="1 m"/>
        </w:smartTagPr>
        <w:r>
          <w:t>1 m</w:t>
        </w:r>
      </w:smartTag>
      <w:r>
        <w:t xml:space="preserve"> krawężnika obejmuje:</w:t>
      </w:r>
    </w:p>
    <w:p w14:paraId="159619F8" w14:textId="77777777" w:rsidR="00826F93" w:rsidRDefault="00826F93" w:rsidP="00826F93">
      <w:pPr>
        <w:pStyle w:val="Nagwek8"/>
        <w:numPr>
          <w:ilvl w:val="0"/>
          <w:numId w:val="62"/>
        </w:numPr>
      </w:pPr>
      <w:r>
        <w:t>prace pomiarowe i roboty przygotowawcze,</w:t>
      </w:r>
    </w:p>
    <w:p w14:paraId="3A6EEF46" w14:textId="77777777" w:rsidR="00826F93" w:rsidRDefault="00826F93" w:rsidP="00826F93">
      <w:pPr>
        <w:pStyle w:val="Nagwek8"/>
        <w:numPr>
          <w:ilvl w:val="0"/>
          <w:numId w:val="62"/>
        </w:numPr>
      </w:pPr>
      <w:r>
        <w:t>oznakowanie robót,</w:t>
      </w:r>
    </w:p>
    <w:p w14:paraId="4CDE2267" w14:textId="77777777" w:rsidR="00826F93" w:rsidRDefault="00826F93" w:rsidP="00826F93">
      <w:pPr>
        <w:pStyle w:val="Nagwek8"/>
        <w:numPr>
          <w:ilvl w:val="0"/>
          <w:numId w:val="62"/>
        </w:numPr>
      </w:pPr>
      <w:r>
        <w:t>przygotowanie podłoża,</w:t>
      </w:r>
    </w:p>
    <w:p w14:paraId="00DA9852" w14:textId="77777777" w:rsidR="00826F93" w:rsidRDefault="00826F93" w:rsidP="00826F93">
      <w:pPr>
        <w:pStyle w:val="Nagwek8"/>
        <w:numPr>
          <w:ilvl w:val="0"/>
          <w:numId w:val="62"/>
        </w:numPr>
      </w:pPr>
      <w:r>
        <w:t>dostarczenie materiałów i sprzętu,</w:t>
      </w:r>
    </w:p>
    <w:p w14:paraId="5D123F87" w14:textId="77777777" w:rsidR="00826F93" w:rsidRDefault="00826F93" w:rsidP="00826F93">
      <w:pPr>
        <w:pStyle w:val="Nagwek8"/>
        <w:numPr>
          <w:ilvl w:val="0"/>
          <w:numId w:val="62"/>
        </w:numPr>
      </w:pPr>
      <w:r>
        <w:t>wykonanie koryta pod ławę,</w:t>
      </w:r>
    </w:p>
    <w:p w14:paraId="201C11A9" w14:textId="77777777" w:rsidR="00826F93" w:rsidRDefault="00826F93" w:rsidP="00826F93">
      <w:pPr>
        <w:pStyle w:val="Nagwek8"/>
        <w:numPr>
          <w:ilvl w:val="0"/>
          <w:numId w:val="62"/>
        </w:numPr>
      </w:pPr>
      <w:r>
        <w:t>profilowanie koryta pod ławę,</w:t>
      </w:r>
    </w:p>
    <w:p w14:paraId="6FDE49BF" w14:textId="77777777" w:rsidR="00826F93" w:rsidRDefault="00826F93" w:rsidP="00826F93">
      <w:pPr>
        <w:pStyle w:val="Nagwek8"/>
        <w:numPr>
          <w:ilvl w:val="0"/>
          <w:numId w:val="62"/>
        </w:numPr>
      </w:pPr>
      <w:r>
        <w:t>wykonanie ławy z ewentualnym wykonaniem szalunku i zalaniem szczelin dylatacyjnych,</w:t>
      </w:r>
    </w:p>
    <w:p w14:paraId="3DC01DEC" w14:textId="77777777" w:rsidR="00826F93" w:rsidRDefault="00826F93" w:rsidP="00826F93">
      <w:pPr>
        <w:pStyle w:val="Nagwek8"/>
        <w:numPr>
          <w:ilvl w:val="0"/>
          <w:numId w:val="62"/>
        </w:numPr>
      </w:pPr>
      <w:r>
        <w:t>ustawienie krawężników z wypełnieniem spoin i zalaniem szczelin według wymagań dokumentacji projektowej, SST i specyfikacji technicznej,</w:t>
      </w:r>
    </w:p>
    <w:p w14:paraId="0E48B231" w14:textId="77777777" w:rsidR="00826F93" w:rsidRDefault="00826F93" w:rsidP="00826F93">
      <w:pPr>
        <w:pStyle w:val="Nagwek8"/>
        <w:numPr>
          <w:ilvl w:val="0"/>
          <w:numId w:val="62"/>
        </w:numPr>
      </w:pPr>
      <w:r>
        <w:t>przeprowadzenie pomiarów i badań wymaganych w specyfikacji technicznej,</w:t>
      </w:r>
    </w:p>
    <w:p w14:paraId="15E8B1E8" w14:textId="77777777" w:rsidR="00826F93" w:rsidRDefault="00826F93" w:rsidP="00826F93">
      <w:pPr>
        <w:pStyle w:val="Nagwek8"/>
        <w:numPr>
          <w:ilvl w:val="0"/>
          <w:numId w:val="62"/>
        </w:numPr>
      </w:pPr>
      <w:r>
        <w:t>odwiezienie sprzętu.</w:t>
      </w:r>
    </w:p>
    <w:p w14:paraId="1AFDDC49" w14:textId="77777777" w:rsidR="00826F93" w:rsidRDefault="00826F93" w:rsidP="00826F93">
      <w:pPr>
        <w:pStyle w:val="Nagwek2"/>
      </w:pPr>
      <w:bookmarkStart w:id="946" w:name="_Toc495830564"/>
      <w:r>
        <w:rPr>
          <w:b w:val="0"/>
        </w:rPr>
        <w:t>9.3. Sposób rozliczenia robót tymczasowych i prac towarzyszących</w:t>
      </w:r>
      <w:bookmarkEnd w:id="946"/>
    </w:p>
    <w:p w14:paraId="17F8AF8B" w14:textId="77777777" w:rsidR="00826F93" w:rsidRDefault="00826F93" w:rsidP="00826F93">
      <w:r>
        <w:t>Cena wykonania robót określonych niniejszą SST obejmuje:</w:t>
      </w:r>
    </w:p>
    <w:p w14:paraId="3A7324DD" w14:textId="77777777" w:rsidR="00826F93" w:rsidRDefault="00826F93" w:rsidP="00826F93">
      <w:pPr>
        <w:pStyle w:val="Nagwek8"/>
        <w:numPr>
          <w:ilvl w:val="0"/>
          <w:numId w:val="62"/>
        </w:numPr>
      </w:pPr>
      <w:r>
        <w:t>roboty tymczasowe, które są potrzebne do wykonania robót podstawowych, ale nie są przekazywane Zamawiającemu i są usuwane po wykonaniu robót podstawowych,</w:t>
      </w:r>
    </w:p>
    <w:p w14:paraId="6E5A030E" w14:textId="77777777" w:rsidR="00826F93" w:rsidRDefault="00826F93" w:rsidP="00826F93">
      <w:pPr>
        <w:pStyle w:val="Nagwek8"/>
        <w:numPr>
          <w:ilvl w:val="0"/>
          <w:numId w:val="62"/>
        </w:numPr>
      </w:pPr>
      <w:r>
        <w:t>prace towarzyszące, które są niezbędne do wykonania robót podstawowych, niezaliczane do robót tymczasowych, jak geodezyjne wytyczenie robót itd.</w:t>
      </w:r>
    </w:p>
    <w:p w14:paraId="0E3428F3" w14:textId="77777777" w:rsidR="00826F93" w:rsidRDefault="00826F93" w:rsidP="00826F93">
      <w:pPr>
        <w:pStyle w:val="Nagwek1"/>
      </w:pPr>
      <w:bookmarkStart w:id="947" w:name="_Toc115670890"/>
      <w:bookmarkStart w:id="948" w:name="_Toc120590630"/>
      <w:bookmarkStart w:id="949" w:name="_Toc141072312"/>
      <w:bookmarkStart w:id="950" w:name="_Toc141496956"/>
      <w:bookmarkStart w:id="951" w:name="_Toc495830565"/>
      <w:r>
        <w:rPr>
          <w:b w:val="0"/>
        </w:rPr>
        <w:t>10. przepisy związane</w:t>
      </w:r>
      <w:bookmarkEnd w:id="947"/>
      <w:bookmarkEnd w:id="948"/>
      <w:bookmarkEnd w:id="949"/>
      <w:bookmarkEnd w:id="950"/>
      <w:bookmarkEnd w:id="951"/>
    </w:p>
    <w:p w14:paraId="0213A54F" w14:textId="77777777" w:rsidR="00826F93" w:rsidRDefault="00826F93" w:rsidP="00826F93">
      <w:pPr>
        <w:pStyle w:val="Tytu"/>
        <w:numPr>
          <w:ilvl w:val="0"/>
          <w:numId w:val="60"/>
        </w:numPr>
        <w:textAlignment w:val="auto"/>
      </w:pPr>
      <w:r>
        <w:t xml:space="preserve">PN-EN 197-1 Cement -- Część 1: Skład, wymagania i kryteria zgodności dotyczące cementów powszechnego użytku. </w:t>
      </w:r>
    </w:p>
    <w:p w14:paraId="46B96F90" w14:textId="77777777" w:rsidR="00826F93" w:rsidRDefault="00826F93" w:rsidP="00826F93">
      <w:pPr>
        <w:pStyle w:val="Tytu"/>
        <w:numPr>
          <w:ilvl w:val="0"/>
          <w:numId w:val="60"/>
        </w:numPr>
        <w:ind w:left="357" w:firstLine="0"/>
        <w:textAlignment w:val="auto"/>
      </w:pPr>
      <w:r>
        <w:t xml:space="preserve">PN-EN 206+A1 Beton -- Wymagania, właściwości, produkcja i zgodność. </w:t>
      </w:r>
    </w:p>
    <w:p w14:paraId="52F9B311" w14:textId="77777777" w:rsidR="00826F93" w:rsidRDefault="00826F93" w:rsidP="00826F93">
      <w:pPr>
        <w:pStyle w:val="Tytu"/>
        <w:numPr>
          <w:ilvl w:val="0"/>
          <w:numId w:val="60"/>
        </w:numPr>
        <w:ind w:left="357" w:firstLine="0"/>
        <w:textAlignment w:val="auto"/>
      </w:pPr>
      <w:r>
        <w:t xml:space="preserve">PN-EN 934-2 Domieszki do betonu, zaprawy i zaczynu -- Część 2: Domieszki do betonu. </w:t>
      </w:r>
    </w:p>
    <w:p w14:paraId="50577628" w14:textId="77777777" w:rsidR="00826F93" w:rsidRDefault="00826F93" w:rsidP="00826F93">
      <w:pPr>
        <w:pStyle w:val="Tytu"/>
        <w:numPr>
          <w:ilvl w:val="0"/>
          <w:numId w:val="60"/>
        </w:numPr>
        <w:ind w:left="357" w:firstLine="0"/>
        <w:textAlignment w:val="auto"/>
      </w:pPr>
      <w:r>
        <w:lastRenderedPageBreak/>
        <w:t xml:space="preserve">PN-EN 1008 Woda zarobowa do betonu -- Specyfikacja pobierania próbek, badanie i ocena przydatności wody zarobowej do betonu, w tym wody odzyskanej z procesów produkcji betonu. </w:t>
      </w:r>
    </w:p>
    <w:p w14:paraId="465CB459" w14:textId="77777777" w:rsidR="00826F93" w:rsidRDefault="00826F93" w:rsidP="00826F93">
      <w:pPr>
        <w:pStyle w:val="Tytu"/>
        <w:numPr>
          <w:ilvl w:val="0"/>
          <w:numId w:val="60"/>
        </w:numPr>
        <w:ind w:left="357" w:firstLine="0"/>
        <w:textAlignment w:val="auto"/>
      </w:pPr>
      <w:r>
        <w:t xml:space="preserve">PN-EN 1340 Krawężniki betonowe -- Wymagania i metody badań. </w:t>
      </w:r>
    </w:p>
    <w:p w14:paraId="6D7F8FAC" w14:textId="77777777" w:rsidR="00826F93" w:rsidRDefault="00826F93" w:rsidP="00826F93">
      <w:pPr>
        <w:pStyle w:val="Tytu"/>
        <w:numPr>
          <w:ilvl w:val="0"/>
          <w:numId w:val="60"/>
        </w:numPr>
        <w:ind w:left="357" w:firstLine="0"/>
        <w:textAlignment w:val="auto"/>
      </w:pPr>
      <w:r>
        <w:t xml:space="preserve">PN-EN 12620 Kruszywa do betonu. </w:t>
      </w:r>
    </w:p>
    <w:p w14:paraId="51B7B56A" w14:textId="77777777" w:rsidR="00826F93" w:rsidRDefault="00826F93" w:rsidP="00826F93">
      <w:pPr>
        <w:pStyle w:val="Tytu"/>
        <w:numPr>
          <w:ilvl w:val="0"/>
          <w:numId w:val="60"/>
        </w:numPr>
        <w:ind w:left="357" w:firstLine="0"/>
        <w:textAlignment w:val="auto"/>
      </w:pPr>
      <w:r>
        <w:t xml:space="preserve">PN-EN 13242 Kruszywa do niezwiązanych i związanych hydraulicznie materiałów stosowanych w obiektach budowlanych i budownictwie drogowym. </w:t>
      </w:r>
    </w:p>
    <w:p w14:paraId="0FB78E22" w14:textId="77777777" w:rsidR="00826F93" w:rsidRDefault="00826F93" w:rsidP="00826F93">
      <w:pPr>
        <w:pStyle w:val="Tytu"/>
        <w:numPr>
          <w:ilvl w:val="0"/>
          <w:numId w:val="60"/>
        </w:numPr>
        <w:ind w:left="357" w:firstLine="0"/>
        <w:textAlignment w:val="auto"/>
      </w:pPr>
      <w:r>
        <w:t xml:space="preserve">PN-EN 14188-1 Wypełniacze złączy i zalewy -- Część 1: Specyfikacja zalew na gorąco. </w:t>
      </w:r>
    </w:p>
    <w:p w14:paraId="0FD4740A" w14:textId="77777777" w:rsidR="00826F93" w:rsidRDefault="00826F93" w:rsidP="00826F93">
      <w:pPr>
        <w:pStyle w:val="Tytu"/>
        <w:numPr>
          <w:ilvl w:val="0"/>
          <w:numId w:val="60"/>
        </w:numPr>
        <w:ind w:left="357" w:firstLine="0"/>
        <w:textAlignment w:val="auto"/>
      </w:pPr>
      <w:r>
        <w:t xml:space="preserve">PN-EN 14188-2 Wypełniacze szczelin i zalewy -- Część 2: Specyfikacja zalew na zimno. </w:t>
      </w:r>
    </w:p>
    <w:p w14:paraId="64745442" w14:textId="77777777" w:rsidR="00826F93" w:rsidRDefault="00826F93" w:rsidP="00826F93">
      <w:pPr>
        <w:pStyle w:val="Tytu"/>
        <w:numPr>
          <w:ilvl w:val="0"/>
          <w:numId w:val="60"/>
        </w:numPr>
        <w:tabs>
          <w:tab w:val="left" w:pos="-1440"/>
          <w:tab w:val="left" w:pos="-720"/>
          <w:tab w:val="left" w:pos="0"/>
        </w:tabs>
        <w:overflowPunct/>
        <w:autoSpaceDE/>
        <w:adjustRightInd/>
        <w:ind w:left="357" w:firstLine="0"/>
        <w:textAlignment w:val="auto"/>
        <w:rPr>
          <w:rFonts w:eastAsia="Calibri" w:cs="Arial"/>
          <w:spacing w:val="-3"/>
          <w:szCs w:val="22"/>
          <w:lang w:eastAsia="en-US"/>
        </w:rPr>
      </w:pPr>
      <w:r>
        <w:t>PN-B-04481 Grunty budowlane -- Badania próbek gruntu.</w:t>
      </w:r>
    </w:p>
    <w:p w14:paraId="73E779C3" w14:textId="2B891D4A" w:rsidR="00755118" w:rsidRDefault="00755118"/>
    <w:p w14:paraId="46356258" w14:textId="090AA83B" w:rsidR="00826F93" w:rsidRDefault="00826F93"/>
    <w:p w14:paraId="78E4A63D" w14:textId="76CA64F3" w:rsidR="00826F93" w:rsidRDefault="00826F93"/>
    <w:p w14:paraId="4D8FA29B" w14:textId="1A5DF68B" w:rsidR="00826F93" w:rsidRDefault="00826F93"/>
    <w:p w14:paraId="21C7EAFF" w14:textId="0D8EEA78" w:rsidR="00826F93" w:rsidRDefault="00826F93"/>
    <w:p w14:paraId="3EC5A90D" w14:textId="3FF33F0D" w:rsidR="00826F93" w:rsidRDefault="00826F93"/>
    <w:p w14:paraId="71C69BB4" w14:textId="6B503B41" w:rsidR="00826F93" w:rsidRDefault="00826F93"/>
    <w:p w14:paraId="7FFE17FB" w14:textId="51EB03A0" w:rsidR="00826F93" w:rsidRDefault="00826F93"/>
    <w:p w14:paraId="3FF6EC50" w14:textId="7ED49512" w:rsidR="00826F93" w:rsidRDefault="00826F93"/>
    <w:p w14:paraId="3C67D5D7" w14:textId="76836E25" w:rsidR="00826F93" w:rsidRDefault="00826F93"/>
    <w:p w14:paraId="2B2587DD" w14:textId="59D9FE07" w:rsidR="00826F93" w:rsidRDefault="00826F93"/>
    <w:p w14:paraId="1AF33D18" w14:textId="007B8070" w:rsidR="00826F93" w:rsidRDefault="00826F93"/>
    <w:p w14:paraId="1CFAFD71" w14:textId="63D986BB" w:rsidR="00826F93" w:rsidRDefault="00826F93"/>
    <w:p w14:paraId="2B129F7F" w14:textId="047D87FC" w:rsidR="00826F93" w:rsidRDefault="00826F93"/>
    <w:p w14:paraId="5ED66E8A" w14:textId="635B9379" w:rsidR="00826F93" w:rsidRDefault="00826F93"/>
    <w:p w14:paraId="4B358603" w14:textId="5F6300FF" w:rsidR="00826F93" w:rsidRDefault="00826F93"/>
    <w:p w14:paraId="742A23A8" w14:textId="0FA6C8E3" w:rsidR="00826F93" w:rsidRDefault="00826F93"/>
    <w:p w14:paraId="0C7572D3" w14:textId="10C2D1A3" w:rsidR="00826F93" w:rsidRDefault="00826F93"/>
    <w:p w14:paraId="1CF10A8C" w14:textId="662E5667" w:rsidR="00826F93" w:rsidRDefault="00826F93"/>
    <w:p w14:paraId="1AB59A71" w14:textId="43F29F8B" w:rsidR="00826F93" w:rsidRDefault="00826F93"/>
    <w:p w14:paraId="4DDF5DB4" w14:textId="0D1AA3CD" w:rsidR="00826F93" w:rsidRDefault="00826F93"/>
    <w:p w14:paraId="520AA80B" w14:textId="7DDD8D27" w:rsidR="00826F93" w:rsidRDefault="00826F93"/>
    <w:p w14:paraId="377D053C" w14:textId="523E9035" w:rsidR="00826F93" w:rsidRDefault="00826F93"/>
    <w:p w14:paraId="452F310C" w14:textId="3E797380" w:rsidR="00826F93" w:rsidRDefault="00826F93"/>
    <w:p w14:paraId="05961CC5" w14:textId="77777777" w:rsidR="007D2EC7" w:rsidRDefault="007D2EC7" w:rsidP="007D2EC7">
      <w:pPr>
        <w:rPr>
          <w:rFonts w:cs="Arial"/>
        </w:rPr>
        <w:sectPr w:rsidR="007D2EC7">
          <w:pgSz w:w="11907" w:h="16840"/>
          <w:pgMar w:top="1134" w:right="992" w:bottom="1134" w:left="1247" w:header="709" w:footer="904" w:gutter="0"/>
          <w:cols w:space="708"/>
        </w:sectPr>
      </w:pPr>
    </w:p>
    <w:p w14:paraId="6ADA6437" w14:textId="77777777" w:rsidR="007D2EC7" w:rsidRDefault="007D2EC7" w:rsidP="007D2EC7">
      <w:pPr>
        <w:pStyle w:val="NAZWASST"/>
      </w:pPr>
      <w:bookmarkStart w:id="952" w:name="_Toc58533580"/>
      <w:r>
        <w:lastRenderedPageBreak/>
        <w:t>D – 08.03.01 OBRZEŻA BETONOWE</w:t>
      </w:r>
      <w:bookmarkEnd w:id="952"/>
    </w:p>
    <w:p w14:paraId="57438A17" w14:textId="77777777" w:rsidR="007D2EC7" w:rsidRDefault="007D2EC7" w:rsidP="007D2EC7">
      <w:r>
        <w:t>Kod CPV: 45233000-9</w:t>
      </w:r>
    </w:p>
    <w:p w14:paraId="332E3A75" w14:textId="5FA25A45" w:rsidR="007D2EC7" w:rsidRPr="007D2EC7" w:rsidRDefault="007D2EC7" w:rsidP="007D2EC7">
      <w:r>
        <w:t>Roboty w zakresie konstruowania, fundamentowania oraz wykonywania nawierzchni autostrad, dróg</w:t>
      </w:r>
    </w:p>
    <w:p w14:paraId="0F856283" w14:textId="77777777" w:rsidR="007D2EC7" w:rsidRDefault="007D2EC7" w:rsidP="007D2EC7">
      <w:pPr>
        <w:pStyle w:val="Nagwek1"/>
      </w:pPr>
      <w:r>
        <w:rPr>
          <w:b w:val="0"/>
          <w:lang w:val="pl-PL"/>
        </w:rPr>
        <w:t xml:space="preserve">1. </w:t>
      </w:r>
      <w:r>
        <w:rPr>
          <w:b w:val="0"/>
        </w:rPr>
        <w:t>wstęp</w:t>
      </w:r>
    </w:p>
    <w:p w14:paraId="0B21046C" w14:textId="77777777" w:rsidR="007D2EC7" w:rsidRDefault="007D2EC7" w:rsidP="007D2EC7">
      <w:pPr>
        <w:pStyle w:val="Nagwek2"/>
        <w:rPr>
          <w:b w:val="0"/>
        </w:rPr>
      </w:pPr>
      <w:r>
        <w:rPr>
          <w:b w:val="0"/>
          <w:lang w:val="pl-PL"/>
        </w:rPr>
        <w:t xml:space="preserve">1.1 </w:t>
      </w:r>
      <w:r>
        <w:rPr>
          <w:b w:val="0"/>
        </w:rPr>
        <w:t>Przedmiot STWiORB</w:t>
      </w:r>
    </w:p>
    <w:p w14:paraId="0CB36BFE" w14:textId="77777777" w:rsidR="007D2EC7" w:rsidRDefault="007D2EC7" w:rsidP="007D2EC7">
      <w:pPr>
        <w:ind w:firstLine="454"/>
        <w:rPr>
          <w:rFonts w:eastAsia="Calibri"/>
        </w:rPr>
      </w:pPr>
      <w:r>
        <w:t>Przedmiotem niniejszej szczegółowej specyfikacji technicznej (SST) są wymagania dotyczące wykonania i odbioru robót związanych wykonywaniem obrzeży betonowych</w:t>
      </w:r>
      <w:r>
        <w:rPr>
          <w:rFonts w:eastAsia="Calibri"/>
        </w:rPr>
        <w:t>.</w:t>
      </w:r>
    </w:p>
    <w:p w14:paraId="5A42B10F" w14:textId="77777777" w:rsidR="007D2EC7" w:rsidRDefault="007D2EC7" w:rsidP="007D2EC7">
      <w:pPr>
        <w:pStyle w:val="Nagwek2"/>
      </w:pPr>
      <w:r>
        <w:rPr>
          <w:b w:val="0"/>
          <w:lang w:val="pl-PL"/>
        </w:rPr>
        <w:t xml:space="preserve">1.2 </w:t>
      </w:r>
      <w:r>
        <w:rPr>
          <w:b w:val="0"/>
        </w:rPr>
        <w:t>Zakres stosowania STWiORB</w:t>
      </w:r>
    </w:p>
    <w:p w14:paraId="5A1716BD" w14:textId="2BEF1EEC" w:rsidR="007D2EC7" w:rsidRDefault="007D2EC7" w:rsidP="00DD698C">
      <w:pPr>
        <w:tabs>
          <w:tab w:val="left" w:pos="-1440"/>
          <w:tab w:val="left" w:pos="-720"/>
          <w:tab w:val="left" w:pos="0"/>
        </w:tabs>
        <w:ind w:firstLine="454"/>
        <w:rPr>
          <w:rFonts w:eastAsia="Calibri" w:cs="Arial"/>
          <w:spacing w:val="-3"/>
        </w:rPr>
      </w:pPr>
      <w:r>
        <w:rPr>
          <w:rFonts w:eastAsia="Calibri" w:cs="Arial"/>
        </w:rPr>
        <w:t xml:space="preserve">Specyfikacje Techniczne Wykonania i Odbioru Robót Budowlanych </w:t>
      </w:r>
      <w:r>
        <w:rPr>
          <w:rFonts w:eastAsia="Calibri" w:cs="Arial"/>
          <w:spacing w:val="-3"/>
        </w:rPr>
        <w:t>stanowią Dokument Przetargowy i Kontraktowy przy zlecaniu i realizacji robót na drogach</w:t>
      </w:r>
    </w:p>
    <w:p w14:paraId="42D04014" w14:textId="77777777" w:rsidR="007D2EC7" w:rsidRDefault="007D2EC7" w:rsidP="007D2EC7">
      <w:pPr>
        <w:pStyle w:val="Nagwek2"/>
      </w:pPr>
      <w:bookmarkStart w:id="953" w:name="_Toc495830685"/>
      <w:r>
        <w:rPr>
          <w:b w:val="0"/>
        </w:rPr>
        <w:t>1.3. Zakres robót objętych SST</w:t>
      </w:r>
      <w:bookmarkEnd w:id="953"/>
    </w:p>
    <w:p w14:paraId="4A371CED" w14:textId="77777777" w:rsidR="007D2EC7" w:rsidRDefault="007D2EC7" w:rsidP="007D2EC7">
      <w:r>
        <w:t>Ustalenia zawarte w niniejszej specyfikacji technicznej dotyczą zasad prowadzenia robót związanych z ustawieniem betonowego obrzeża chodnikowego na obramowaniu chodnika.</w:t>
      </w:r>
    </w:p>
    <w:p w14:paraId="3F5D8BE3" w14:textId="77777777" w:rsidR="007D2EC7" w:rsidRDefault="007D2EC7" w:rsidP="007D2EC7">
      <w:r>
        <w:t>Zakres robót określony w dokumentacji projektowej obejmuje</w:t>
      </w:r>
      <w:r>
        <w:rPr>
          <w:rFonts w:cs="Symbol"/>
        </w:rPr>
        <w:t xml:space="preserve"> </w:t>
      </w:r>
      <w:r>
        <w:t>asortyment wskazany w tabeli niżej.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954" w:author="Marcin Dobek" w:date="2020-12-06T19:59:00Z">
          <w:tblPr>
            <w:tblW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817"/>
        <w:gridCol w:w="1124"/>
        <w:gridCol w:w="1962"/>
        <w:tblGridChange w:id="955">
          <w:tblGrid>
            <w:gridCol w:w="817"/>
            <w:gridCol w:w="1124"/>
            <w:gridCol w:w="1962"/>
          </w:tblGrid>
        </w:tblGridChange>
      </w:tblGrid>
      <w:tr w:rsidR="007D2EC7" w14:paraId="6087724E" w14:textId="77777777" w:rsidTr="007D2EC7">
        <w:tc>
          <w:tcPr>
            <w:tcW w:w="817" w:type="dxa"/>
            <w:tcBorders>
              <w:top w:val="single" w:sz="4" w:space="0" w:color="auto"/>
              <w:left w:val="single" w:sz="4" w:space="0" w:color="auto"/>
              <w:bottom w:val="single" w:sz="4" w:space="0" w:color="auto"/>
              <w:right w:val="single" w:sz="4" w:space="0" w:color="auto"/>
            </w:tcBorders>
            <w:hideMark/>
            <w:tcPrChange w:id="956" w:author="Marcin Dobek" w:date="2020-12-06T19:59:00Z">
              <w:tcPr>
                <w:tcW w:w="817" w:type="dxa"/>
                <w:tcBorders>
                  <w:top w:val="single" w:sz="4" w:space="0" w:color="auto"/>
                  <w:left w:val="single" w:sz="4" w:space="5" w:color="auto"/>
                  <w:bottom w:val="single" w:sz="4" w:space="0" w:color="auto"/>
                  <w:right w:val="single" w:sz="4" w:space="5" w:color="auto"/>
                </w:tcBorders>
                <w:hideMark/>
              </w:tcPr>
            </w:tcPrChange>
          </w:tcPr>
          <w:p w14:paraId="02CC4A80" w14:textId="77777777" w:rsidR="007D2EC7" w:rsidRDefault="007D2EC7">
            <w:r>
              <w:t>Lp</w:t>
            </w:r>
          </w:p>
        </w:tc>
        <w:tc>
          <w:tcPr>
            <w:tcW w:w="1124" w:type="dxa"/>
            <w:tcBorders>
              <w:top w:val="single" w:sz="4" w:space="0" w:color="auto"/>
              <w:left w:val="single" w:sz="4" w:space="0" w:color="auto"/>
              <w:bottom w:val="single" w:sz="4" w:space="0" w:color="auto"/>
              <w:right w:val="single" w:sz="4" w:space="0" w:color="auto"/>
            </w:tcBorders>
            <w:hideMark/>
            <w:tcPrChange w:id="957" w:author="Marcin Dobek" w:date="2020-12-06T19:59:00Z">
              <w:tcPr>
                <w:tcW w:w="1124" w:type="dxa"/>
                <w:tcBorders>
                  <w:top w:val="single" w:sz="4" w:space="0" w:color="auto"/>
                  <w:left w:val="single" w:sz="4" w:space="5" w:color="auto"/>
                  <w:bottom w:val="single" w:sz="4" w:space="0" w:color="auto"/>
                  <w:right w:val="single" w:sz="4" w:space="5" w:color="auto"/>
                </w:tcBorders>
                <w:hideMark/>
              </w:tcPr>
            </w:tcPrChange>
          </w:tcPr>
          <w:p w14:paraId="7252CB77" w14:textId="77777777" w:rsidR="007D2EC7" w:rsidRDefault="007D2EC7">
            <w:r>
              <w:t>Wymiar obrzeża</w:t>
            </w:r>
          </w:p>
        </w:tc>
        <w:tc>
          <w:tcPr>
            <w:tcW w:w="1962" w:type="dxa"/>
            <w:tcBorders>
              <w:top w:val="single" w:sz="4" w:space="0" w:color="auto"/>
              <w:left w:val="single" w:sz="4" w:space="0" w:color="auto"/>
              <w:bottom w:val="single" w:sz="4" w:space="0" w:color="auto"/>
              <w:right w:val="single" w:sz="4" w:space="0" w:color="auto"/>
            </w:tcBorders>
            <w:hideMark/>
            <w:tcPrChange w:id="958" w:author="Marcin Dobek" w:date="2020-12-06T19:59:00Z">
              <w:tcPr>
                <w:tcW w:w="1962" w:type="dxa"/>
                <w:tcBorders>
                  <w:top w:val="single" w:sz="4" w:space="0" w:color="auto"/>
                  <w:left w:val="single" w:sz="4" w:space="5" w:color="auto"/>
                  <w:bottom w:val="single" w:sz="4" w:space="0" w:color="auto"/>
                  <w:right w:val="single" w:sz="4" w:space="5" w:color="auto"/>
                </w:tcBorders>
                <w:hideMark/>
              </w:tcPr>
            </w:tcPrChange>
          </w:tcPr>
          <w:p w14:paraId="6D54928F" w14:textId="77777777" w:rsidR="007D2EC7" w:rsidRDefault="007D2EC7">
            <w:r>
              <w:t>Ława betonowa</w:t>
            </w:r>
          </w:p>
        </w:tc>
      </w:tr>
      <w:tr w:rsidR="007D2EC7" w14:paraId="2EEFC909" w14:textId="77777777" w:rsidTr="007D2EC7">
        <w:tc>
          <w:tcPr>
            <w:tcW w:w="817" w:type="dxa"/>
            <w:tcBorders>
              <w:top w:val="single" w:sz="4" w:space="0" w:color="auto"/>
              <w:left w:val="single" w:sz="4" w:space="0" w:color="auto"/>
              <w:bottom w:val="single" w:sz="4" w:space="0" w:color="auto"/>
              <w:right w:val="single" w:sz="4" w:space="0" w:color="auto"/>
            </w:tcBorders>
            <w:hideMark/>
            <w:tcPrChange w:id="959" w:author="Marcin Dobek" w:date="2020-12-06T19:59:00Z">
              <w:tcPr>
                <w:tcW w:w="817" w:type="dxa"/>
                <w:tcBorders>
                  <w:top w:val="single" w:sz="4" w:space="0" w:color="auto"/>
                  <w:left w:val="single" w:sz="4" w:space="5" w:color="auto"/>
                  <w:bottom w:val="single" w:sz="4" w:space="0" w:color="auto"/>
                  <w:right w:val="single" w:sz="4" w:space="5" w:color="auto"/>
                </w:tcBorders>
                <w:hideMark/>
              </w:tcPr>
            </w:tcPrChange>
          </w:tcPr>
          <w:p w14:paraId="47390C01" w14:textId="77777777" w:rsidR="007D2EC7" w:rsidRDefault="007D2EC7">
            <w:r>
              <w:t>1</w:t>
            </w:r>
          </w:p>
        </w:tc>
        <w:tc>
          <w:tcPr>
            <w:tcW w:w="1124" w:type="dxa"/>
            <w:tcBorders>
              <w:top w:val="single" w:sz="4" w:space="0" w:color="auto"/>
              <w:left w:val="single" w:sz="4" w:space="0" w:color="auto"/>
              <w:bottom w:val="single" w:sz="4" w:space="0" w:color="auto"/>
              <w:right w:val="single" w:sz="4" w:space="0" w:color="auto"/>
            </w:tcBorders>
            <w:hideMark/>
            <w:tcPrChange w:id="960" w:author="Marcin Dobek" w:date="2020-12-06T19:59:00Z">
              <w:tcPr>
                <w:tcW w:w="1124" w:type="dxa"/>
                <w:tcBorders>
                  <w:top w:val="single" w:sz="4" w:space="0" w:color="auto"/>
                  <w:left w:val="single" w:sz="4" w:space="5" w:color="auto"/>
                  <w:bottom w:val="single" w:sz="4" w:space="0" w:color="auto"/>
                  <w:right w:val="single" w:sz="4" w:space="5" w:color="auto"/>
                </w:tcBorders>
                <w:hideMark/>
              </w:tcPr>
            </w:tcPrChange>
          </w:tcPr>
          <w:p w14:paraId="728E4AE4" w14:textId="77777777" w:rsidR="007D2EC7" w:rsidRDefault="007D2EC7">
            <w:r>
              <w:t>30x8</w:t>
            </w:r>
          </w:p>
        </w:tc>
        <w:tc>
          <w:tcPr>
            <w:tcW w:w="1962" w:type="dxa"/>
            <w:tcBorders>
              <w:top w:val="single" w:sz="4" w:space="0" w:color="auto"/>
              <w:left w:val="single" w:sz="4" w:space="0" w:color="auto"/>
              <w:bottom w:val="single" w:sz="4" w:space="0" w:color="auto"/>
              <w:right w:val="single" w:sz="4" w:space="0" w:color="auto"/>
            </w:tcBorders>
            <w:hideMark/>
            <w:tcPrChange w:id="961" w:author="Marcin Dobek" w:date="2020-12-06T19:59:00Z">
              <w:tcPr>
                <w:tcW w:w="1962" w:type="dxa"/>
                <w:tcBorders>
                  <w:top w:val="single" w:sz="4" w:space="0" w:color="auto"/>
                  <w:left w:val="single" w:sz="4" w:space="5" w:color="auto"/>
                  <w:bottom w:val="single" w:sz="4" w:space="0" w:color="auto"/>
                  <w:right w:val="single" w:sz="4" w:space="5" w:color="auto"/>
                </w:tcBorders>
                <w:hideMark/>
              </w:tcPr>
            </w:tcPrChange>
          </w:tcPr>
          <w:p w14:paraId="57DC0670" w14:textId="77777777" w:rsidR="007D2EC7" w:rsidRDefault="007D2EC7">
            <w:r>
              <w:t>C12/15</w:t>
            </w:r>
          </w:p>
        </w:tc>
      </w:tr>
      <w:tr w:rsidR="007D2EC7" w14:paraId="548FBD03" w14:textId="77777777" w:rsidTr="007D2EC7">
        <w:tc>
          <w:tcPr>
            <w:tcW w:w="817" w:type="dxa"/>
            <w:tcBorders>
              <w:top w:val="single" w:sz="4" w:space="0" w:color="auto"/>
              <w:left w:val="single" w:sz="4" w:space="0" w:color="auto"/>
              <w:bottom w:val="single" w:sz="4" w:space="0" w:color="auto"/>
              <w:right w:val="single" w:sz="4" w:space="0" w:color="auto"/>
            </w:tcBorders>
            <w:hideMark/>
            <w:tcPrChange w:id="962" w:author="Marcin Dobek" w:date="2020-12-06T19:59:00Z">
              <w:tcPr>
                <w:tcW w:w="817" w:type="dxa"/>
                <w:tcBorders>
                  <w:top w:val="single" w:sz="4" w:space="0" w:color="auto"/>
                  <w:left w:val="single" w:sz="4" w:space="5" w:color="auto"/>
                  <w:bottom w:val="single" w:sz="4" w:space="0" w:color="auto"/>
                  <w:right w:val="single" w:sz="4" w:space="5" w:color="auto"/>
                </w:tcBorders>
                <w:hideMark/>
              </w:tcPr>
            </w:tcPrChange>
          </w:tcPr>
          <w:p w14:paraId="400029A6" w14:textId="77777777" w:rsidR="007D2EC7" w:rsidRDefault="007D2EC7">
            <w:r>
              <w:t>2</w:t>
            </w:r>
          </w:p>
        </w:tc>
        <w:tc>
          <w:tcPr>
            <w:tcW w:w="1124" w:type="dxa"/>
            <w:tcBorders>
              <w:top w:val="single" w:sz="4" w:space="0" w:color="auto"/>
              <w:left w:val="single" w:sz="4" w:space="0" w:color="auto"/>
              <w:bottom w:val="single" w:sz="4" w:space="0" w:color="auto"/>
              <w:right w:val="single" w:sz="4" w:space="0" w:color="auto"/>
            </w:tcBorders>
            <w:hideMark/>
            <w:tcPrChange w:id="963" w:author="Marcin Dobek" w:date="2020-12-06T19:59:00Z">
              <w:tcPr>
                <w:tcW w:w="1124" w:type="dxa"/>
                <w:tcBorders>
                  <w:top w:val="single" w:sz="4" w:space="0" w:color="auto"/>
                  <w:left w:val="single" w:sz="4" w:space="5" w:color="auto"/>
                  <w:bottom w:val="single" w:sz="4" w:space="0" w:color="auto"/>
                  <w:right w:val="single" w:sz="4" w:space="5" w:color="auto"/>
                </w:tcBorders>
                <w:hideMark/>
              </w:tcPr>
            </w:tcPrChange>
          </w:tcPr>
          <w:p w14:paraId="614A94CD" w14:textId="77777777" w:rsidR="007D2EC7" w:rsidRDefault="007D2EC7">
            <w:r>
              <w:t>20x6</w:t>
            </w:r>
          </w:p>
        </w:tc>
        <w:tc>
          <w:tcPr>
            <w:tcW w:w="1962" w:type="dxa"/>
            <w:tcBorders>
              <w:top w:val="single" w:sz="4" w:space="0" w:color="auto"/>
              <w:left w:val="single" w:sz="4" w:space="0" w:color="auto"/>
              <w:bottom w:val="single" w:sz="4" w:space="0" w:color="auto"/>
              <w:right w:val="single" w:sz="4" w:space="0" w:color="auto"/>
            </w:tcBorders>
            <w:hideMark/>
            <w:tcPrChange w:id="964" w:author="Marcin Dobek" w:date="2020-12-06T19:59:00Z">
              <w:tcPr>
                <w:tcW w:w="1962" w:type="dxa"/>
                <w:tcBorders>
                  <w:top w:val="single" w:sz="4" w:space="0" w:color="auto"/>
                  <w:left w:val="single" w:sz="4" w:space="5" w:color="auto"/>
                  <w:bottom w:val="single" w:sz="4" w:space="0" w:color="auto"/>
                  <w:right w:val="single" w:sz="4" w:space="5" w:color="auto"/>
                </w:tcBorders>
                <w:hideMark/>
              </w:tcPr>
            </w:tcPrChange>
          </w:tcPr>
          <w:p w14:paraId="053B71F7" w14:textId="77777777" w:rsidR="007D2EC7" w:rsidRDefault="007D2EC7">
            <w:r>
              <w:t>C12/15</w:t>
            </w:r>
          </w:p>
        </w:tc>
      </w:tr>
    </w:tbl>
    <w:p w14:paraId="29530358" w14:textId="77777777" w:rsidR="007D2EC7" w:rsidRDefault="007D2EC7" w:rsidP="007D2EC7">
      <w:pPr>
        <w:rPr>
          <w:rFonts w:ascii="Arial Narrow" w:hAnsi="Arial Narrow"/>
          <w:sz w:val="20"/>
          <w:szCs w:val="20"/>
        </w:rPr>
      </w:pPr>
    </w:p>
    <w:p w14:paraId="70B405FB" w14:textId="77777777" w:rsidR="007D2EC7" w:rsidRDefault="007D2EC7" w:rsidP="007D2EC7">
      <w:pPr>
        <w:pStyle w:val="Nagwek2"/>
      </w:pPr>
      <w:bookmarkStart w:id="965" w:name="_Toc495830686"/>
      <w:r>
        <w:rPr>
          <w:b w:val="0"/>
        </w:rPr>
        <w:t>1.4. Określenia podstawowe</w:t>
      </w:r>
      <w:bookmarkEnd w:id="965"/>
    </w:p>
    <w:p w14:paraId="4556652B" w14:textId="77777777" w:rsidR="007D2EC7" w:rsidRDefault="007D2EC7" w:rsidP="007D2EC7">
      <w:r>
        <w:rPr>
          <w:b/>
        </w:rPr>
        <w:t xml:space="preserve">1.4.1. </w:t>
      </w:r>
      <w:r>
        <w:t>Betonowe obrzeża chodnikowe - prefabrykowane belki betonowe rozgraniczające jednostronnie lub dwustronnie ciągi komunikacyjne od terenów nie przeznaczonych do komunikacji.</w:t>
      </w:r>
    </w:p>
    <w:p w14:paraId="1E740D8C" w14:textId="77777777" w:rsidR="007D2EC7" w:rsidRDefault="007D2EC7" w:rsidP="007D2EC7">
      <w:r>
        <w:rPr>
          <w:b/>
        </w:rPr>
        <w:t xml:space="preserve">1.4.2. </w:t>
      </w:r>
      <w:r>
        <w:t>Pozostałe określenia podstawowe są zgodne z obowiązującymi, odpowiednimi polskimi</w:t>
      </w:r>
    </w:p>
    <w:p w14:paraId="65386F0D" w14:textId="77777777" w:rsidR="007D2EC7" w:rsidRDefault="007D2EC7" w:rsidP="007D2EC7">
      <w:r>
        <w:t>normami i z definicjami podanymi w SST .00. „Wymagania ogólne” punkt 1.4.</w:t>
      </w:r>
    </w:p>
    <w:p w14:paraId="41093298" w14:textId="77777777" w:rsidR="007D2EC7" w:rsidRDefault="007D2EC7" w:rsidP="007D2EC7">
      <w:pPr>
        <w:pStyle w:val="Nagwek2"/>
      </w:pPr>
      <w:bookmarkStart w:id="966" w:name="_Toc495830687"/>
      <w:r>
        <w:rPr>
          <w:b w:val="0"/>
        </w:rPr>
        <w:t>1.5. Ogólne wymagania dotyczące robót</w:t>
      </w:r>
      <w:bookmarkEnd w:id="966"/>
    </w:p>
    <w:p w14:paraId="18E6C823" w14:textId="77777777" w:rsidR="007D2EC7" w:rsidRDefault="007D2EC7" w:rsidP="007D2EC7">
      <w:r>
        <w:t>Ogólne wymagania dotyczące robót podano w SST .00. „Wymagania ogólne” punkt 1.5.</w:t>
      </w:r>
    </w:p>
    <w:p w14:paraId="6898B52A" w14:textId="77777777" w:rsidR="007D2EC7" w:rsidRDefault="007D2EC7" w:rsidP="007D2EC7">
      <w:pPr>
        <w:pStyle w:val="Nagwek1"/>
      </w:pPr>
      <w:bookmarkStart w:id="967" w:name="_Toc495830688"/>
      <w:r>
        <w:rPr>
          <w:b w:val="0"/>
        </w:rPr>
        <w:t>2. MATERIAŁY</w:t>
      </w:r>
      <w:bookmarkEnd w:id="967"/>
    </w:p>
    <w:p w14:paraId="456AECEA" w14:textId="77777777" w:rsidR="007D2EC7" w:rsidRDefault="007D2EC7" w:rsidP="007D2EC7">
      <w:pPr>
        <w:pStyle w:val="Nagwek2"/>
        <w:rPr>
          <w:b w:val="0"/>
        </w:rPr>
      </w:pPr>
      <w:r>
        <w:rPr>
          <w:b w:val="0"/>
        </w:rPr>
        <w:t>2.1. Obrzeża betonowe</w:t>
      </w:r>
    </w:p>
    <w:p w14:paraId="320FB2FD" w14:textId="77777777" w:rsidR="007D2EC7" w:rsidRDefault="007D2EC7" w:rsidP="007D2EC7">
      <w:r>
        <w:t xml:space="preserve"> - powinny odpowiadać wymaganiom PN-EN 1340 „Krawężnik betonowy. Wymagania i metody badań dla klas oznaczonych D, T i I. Należy zastosować obrzeże 8x30x100 cm. </w:t>
      </w:r>
    </w:p>
    <w:p w14:paraId="1F524F8E" w14:textId="77777777" w:rsidR="007D2EC7" w:rsidRDefault="007D2EC7" w:rsidP="007D2EC7">
      <w:pPr>
        <w:rPr>
          <w:rFonts w:cs="Arial"/>
        </w:rPr>
      </w:pPr>
      <w:r>
        <w:rPr>
          <w:rFonts w:cs="Arial"/>
        </w:rPr>
        <w:t>Dopuszczalne odchyłki:</w:t>
      </w:r>
    </w:p>
    <w:p w14:paraId="33C2C48B" w14:textId="77777777" w:rsidR="007D2EC7" w:rsidRDefault="007D2EC7" w:rsidP="007D2EC7">
      <w:pPr>
        <w:pStyle w:val="Nagwek8"/>
        <w:numPr>
          <w:ilvl w:val="0"/>
          <w:numId w:val="64"/>
        </w:numPr>
      </w:pPr>
      <w:r>
        <w:t>długości ±1% z dokładnością do mm i nie więcej niż 10mm,</w:t>
      </w:r>
    </w:p>
    <w:p w14:paraId="51FAC6B0" w14:textId="77777777" w:rsidR="007D2EC7" w:rsidRDefault="007D2EC7" w:rsidP="007D2EC7">
      <w:pPr>
        <w:pStyle w:val="Nagwek8"/>
        <w:numPr>
          <w:ilvl w:val="0"/>
          <w:numId w:val="64"/>
        </w:numPr>
      </w:pPr>
      <w:r>
        <w:t>grubość i wysokość ±3% z dokładnością do mm i nie więcej niż 5mm,</w:t>
      </w:r>
    </w:p>
    <w:p w14:paraId="1CA51EA3" w14:textId="77777777" w:rsidR="007D2EC7" w:rsidRDefault="007D2EC7" w:rsidP="007D2EC7">
      <w:pPr>
        <w:pStyle w:val="Nagwek8"/>
        <w:numPr>
          <w:ilvl w:val="0"/>
          <w:numId w:val="64"/>
        </w:numPr>
      </w:pPr>
      <w:r>
        <w:t>inne wymiary ±5% z dokładnością do mm i nie więcej niż 10mm</w:t>
      </w:r>
    </w:p>
    <w:p w14:paraId="05951EBF" w14:textId="77777777" w:rsidR="007D2EC7" w:rsidRDefault="007D2EC7" w:rsidP="007D2EC7">
      <w:pPr>
        <w:rPr>
          <w:rFonts w:cs="Arial"/>
        </w:rPr>
      </w:pPr>
      <w:r>
        <w:rPr>
          <w:rFonts w:cs="Arial"/>
        </w:rPr>
        <w:t>Różnica pomiędzy wynikami pomiarów tego samego wymiaru nie powinna przekraczać 5mm. Dla powierzchni określanych jako płaskie i dla krawędzi określanych jako proste dopuszczalne odchyłki płaskości i prostoliniowości dla długości pomiarowej 800mm wynoszą ±4mm.</w:t>
      </w:r>
    </w:p>
    <w:p w14:paraId="44C93C76" w14:textId="77777777" w:rsidR="007D2EC7" w:rsidRDefault="007D2EC7" w:rsidP="007D2EC7">
      <w:pPr>
        <w:rPr>
          <w:rFonts w:cs="Arial"/>
        </w:rPr>
      </w:pPr>
      <w:r>
        <w:rPr>
          <w:rFonts w:cs="Arial"/>
        </w:rPr>
        <w:t>Właściwości fizyczne i mechaniczne:</w:t>
      </w:r>
    </w:p>
    <w:p w14:paraId="772141BF" w14:textId="77777777" w:rsidR="007D2EC7" w:rsidRDefault="007D2EC7" w:rsidP="007D2EC7">
      <w:pPr>
        <w:pStyle w:val="Nagwek8"/>
        <w:numPr>
          <w:ilvl w:val="0"/>
          <w:numId w:val="64"/>
        </w:numPr>
      </w:pPr>
      <w:r>
        <w:t>ubytek masy po badaniu zamrażania/odmrażania z udziałem soli odladzających, średnio ≤1,0 kg/m</w:t>
      </w:r>
      <w:r>
        <w:rPr>
          <w:vertAlign w:val="superscript"/>
        </w:rPr>
        <w:t>2</w:t>
      </w:r>
      <w:r>
        <w:t xml:space="preserve"> i pojedynczy wynik, 1,5 kg/m</w:t>
      </w:r>
      <w:r>
        <w:rPr>
          <w:vertAlign w:val="superscript"/>
        </w:rPr>
        <w:t>2</w:t>
      </w:r>
      <w:r>
        <w:t>,</w:t>
      </w:r>
    </w:p>
    <w:p w14:paraId="51E43625" w14:textId="77777777" w:rsidR="007D2EC7" w:rsidRDefault="007D2EC7" w:rsidP="007D2EC7">
      <w:pPr>
        <w:pStyle w:val="Nagwek8"/>
        <w:numPr>
          <w:ilvl w:val="0"/>
          <w:numId w:val="64"/>
        </w:numPr>
      </w:pPr>
      <w:r>
        <w:lastRenderedPageBreak/>
        <w:t>charakterystyczna wytrzymałość na zginanie ≥5MPa i minimalny wynik ≥4MPa,</w:t>
      </w:r>
    </w:p>
    <w:p w14:paraId="3AFE09BA" w14:textId="77777777" w:rsidR="007D2EC7" w:rsidRDefault="007D2EC7" w:rsidP="007D2EC7">
      <w:pPr>
        <w:pStyle w:val="Nagwek8"/>
        <w:numPr>
          <w:ilvl w:val="0"/>
          <w:numId w:val="64"/>
        </w:numPr>
      </w:pPr>
      <w:r>
        <w:t>odporność na ścieranie wg zał. G ≤20mm lub wg metody alternatywnej z zał. H ≤18000 mm</w:t>
      </w:r>
      <w:r>
        <w:rPr>
          <w:vertAlign w:val="superscript"/>
        </w:rPr>
        <w:t>3</w:t>
      </w:r>
      <w:r>
        <w:t>/5000 mm</w:t>
      </w:r>
      <w:r>
        <w:rPr>
          <w:vertAlign w:val="superscript"/>
        </w:rPr>
        <w:t>2</w:t>
      </w:r>
      <w:r>
        <w:t xml:space="preserve"> (klasa 4 oznaczenie I)</w:t>
      </w:r>
    </w:p>
    <w:p w14:paraId="3EC7E7B5" w14:textId="77777777" w:rsidR="007D2EC7" w:rsidRDefault="007D2EC7" w:rsidP="007D2EC7">
      <w:pPr>
        <w:pStyle w:val="Nagwek8"/>
        <w:numPr>
          <w:ilvl w:val="0"/>
          <w:numId w:val="64"/>
        </w:numPr>
      </w:pPr>
      <w:r>
        <w:t xml:space="preserve">nasiąkliwość nie większa niż </w:t>
      </w:r>
      <w:r>
        <w:rPr>
          <w:lang w:val="pl-PL"/>
        </w:rPr>
        <w:t xml:space="preserve">6 </w:t>
      </w:r>
      <w:r>
        <w:t>%</w:t>
      </w:r>
    </w:p>
    <w:p w14:paraId="1610DB01" w14:textId="77777777" w:rsidR="007D2EC7" w:rsidRDefault="007D2EC7" w:rsidP="007D2EC7">
      <w:pPr>
        <w:rPr>
          <w:rFonts w:cs="Arial"/>
        </w:rPr>
      </w:pPr>
      <w:r>
        <w:rPr>
          <w:rFonts w:cs="Arial"/>
        </w:rPr>
        <w:t xml:space="preserve">Powierzchnia obrzeży powinna być bez rys i odprysków. </w:t>
      </w:r>
    </w:p>
    <w:p w14:paraId="1FAE7D72" w14:textId="77777777" w:rsidR="007D2EC7" w:rsidRDefault="007D2EC7" w:rsidP="007D2EC7">
      <w:pPr>
        <w:pStyle w:val="Nagwek2"/>
        <w:rPr>
          <w:rFonts w:cs="Arial"/>
        </w:rPr>
      </w:pPr>
      <w:r>
        <w:rPr>
          <w:b w:val="0"/>
        </w:rPr>
        <w:t>2.2 Piasek</w:t>
      </w:r>
      <w:r>
        <w:rPr>
          <w:rFonts w:cs="Arial"/>
          <w:b w:val="0"/>
        </w:rPr>
        <w:t xml:space="preserve"> </w:t>
      </w:r>
    </w:p>
    <w:p w14:paraId="040F4E37" w14:textId="77777777" w:rsidR="007D2EC7" w:rsidRDefault="007D2EC7" w:rsidP="007D2EC7">
      <w:pPr>
        <w:rPr>
          <w:rFonts w:cs="Times New Roman"/>
        </w:rPr>
      </w:pPr>
      <w:r>
        <w:noBreakHyphen/>
        <w:t xml:space="preserve"> powinien odpowiadać wymaganiom PN</w:t>
      </w:r>
      <w:r>
        <w:noBreakHyphen/>
        <w:t>EN 13242</w:t>
      </w:r>
    </w:p>
    <w:p w14:paraId="5A38589D" w14:textId="77777777" w:rsidR="007D2EC7" w:rsidRDefault="007D2EC7" w:rsidP="007D2EC7">
      <w:pPr>
        <w:pStyle w:val="Nagwek2"/>
        <w:rPr>
          <w:rFonts w:cs="Arial"/>
        </w:rPr>
      </w:pPr>
      <w:r>
        <w:rPr>
          <w:b w:val="0"/>
        </w:rPr>
        <w:t>2.3. Składniki betonu ławy</w:t>
      </w:r>
      <w:r>
        <w:rPr>
          <w:rFonts w:cs="Arial"/>
          <w:b w:val="0"/>
        </w:rPr>
        <w:t xml:space="preserve"> </w:t>
      </w:r>
    </w:p>
    <w:p w14:paraId="3EAC678F" w14:textId="77777777" w:rsidR="007D2EC7" w:rsidRDefault="007D2EC7" w:rsidP="007D2EC7">
      <w:pPr>
        <w:pStyle w:val="Nagwek8"/>
        <w:numPr>
          <w:ilvl w:val="0"/>
          <w:numId w:val="64"/>
        </w:numPr>
      </w:pPr>
      <w:r>
        <w:t>cement portlandzki</w:t>
      </w:r>
      <w:r>
        <w:noBreakHyphen/>
        <w:t xml:space="preserve"> odpowiadający wymaganiom PN-EN 197-1:2002 Cement. Skład, wymagania i kryteria zgodności dotyczące cementów powszechnego użytku,</w:t>
      </w:r>
    </w:p>
    <w:p w14:paraId="770DC1B2" w14:textId="77777777" w:rsidR="007D2EC7" w:rsidRDefault="007D2EC7" w:rsidP="007D2EC7">
      <w:pPr>
        <w:pStyle w:val="Nagwek8"/>
        <w:numPr>
          <w:ilvl w:val="0"/>
          <w:numId w:val="64"/>
        </w:numPr>
      </w:pPr>
      <w:r>
        <w:t>piasek</w:t>
      </w:r>
      <w:r>
        <w:noBreakHyphen/>
        <w:t xml:space="preserve"> należy stosować drobny, ostry piasek odpowiadający wymaganiom PN</w:t>
      </w:r>
      <w:r>
        <w:noBreakHyphen/>
        <w:t>EN 13139,</w:t>
      </w:r>
    </w:p>
    <w:p w14:paraId="65CCC751" w14:textId="77777777" w:rsidR="007D2EC7" w:rsidRDefault="007D2EC7" w:rsidP="007D2EC7">
      <w:pPr>
        <w:pStyle w:val="Nagwek8"/>
        <w:numPr>
          <w:ilvl w:val="0"/>
          <w:numId w:val="64"/>
        </w:numPr>
      </w:pPr>
      <w:r>
        <w:t>woda</w:t>
      </w:r>
      <w:r>
        <w:noBreakHyphen/>
        <w:t xml:space="preserve"> należy stosować wodę odpowiadającą wymaganiom PN-EN 1008 „Woda zarobowa do betonu”.</w:t>
      </w:r>
    </w:p>
    <w:p w14:paraId="7C075FCA" w14:textId="77777777" w:rsidR="007D2EC7" w:rsidRDefault="007D2EC7" w:rsidP="007D2EC7">
      <w:pPr>
        <w:rPr>
          <w:lang w:val="x-none" w:eastAsia="x-none"/>
        </w:rPr>
      </w:pPr>
    </w:p>
    <w:p w14:paraId="41F2C1C4" w14:textId="77777777" w:rsidR="007D2EC7" w:rsidRDefault="007D2EC7" w:rsidP="007D2EC7">
      <w:pPr>
        <w:pStyle w:val="Nagwek2"/>
      </w:pPr>
      <w:r>
        <w:rPr>
          <w:b w:val="0"/>
        </w:rPr>
        <w:t>2.</w:t>
      </w:r>
      <w:r>
        <w:rPr>
          <w:b w:val="0"/>
          <w:lang w:val="pl-PL"/>
        </w:rPr>
        <w:t>5</w:t>
      </w:r>
      <w:r>
        <w:rPr>
          <w:b w:val="0"/>
        </w:rPr>
        <w:t>. Beton na ławę</w:t>
      </w:r>
    </w:p>
    <w:p w14:paraId="19005FEF" w14:textId="77777777" w:rsidR="007D2EC7" w:rsidRDefault="007D2EC7" w:rsidP="007D2EC7">
      <w:pPr>
        <w:rPr>
          <w:rFonts w:cs="Arial"/>
        </w:rPr>
      </w:pPr>
      <w:r>
        <w:rPr>
          <w:rFonts w:cs="Arial"/>
        </w:rPr>
        <w:t>Do wykonania ław pod obrzeża należy stosować beton klasy C12/15 wg PN-EN 206-1 z wytwórni. Nie dopuszcza się wykonania betonu na miejscu.</w:t>
      </w:r>
    </w:p>
    <w:p w14:paraId="3E6D2499" w14:textId="77777777" w:rsidR="007D2EC7" w:rsidRDefault="007D2EC7" w:rsidP="007D2EC7">
      <w:pPr>
        <w:pStyle w:val="Nagwek3"/>
      </w:pPr>
      <w:r>
        <w:rPr>
          <w:b w:val="0"/>
        </w:rPr>
        <w:t>2.</w:t>
      </w:r>
      <w:r>
        <w:rPr>
          <w:b w:val="0"/>
          <w:lang w:val="pl-PL"/>
        </w:rPr>
        <w:t>5</w:t>
      </w:r>
      <w:r>
        <w:rPr>
          <w:b w:val="0"/>
        </w:rPr>
        <w:t>.1.  Cement</w:t>
      </w:r>
    </w:p>
    <w:p w14:paraId="7C21D413" w14:textId="77777777" w:rsidR="007D2EC7" w:rsidRDefault="007D2EC7" w:rsidP="007D2EC7">
      <w:pPr>
        <w:rPr>
          <w:rFonts w:cs="Arial"/>
        </w:rPr>
      </w:pPr>
      <w:r>
        <w:rPr>
          <w:rFonts w:cs="Arial"/>
        </w:rPr>
        <w:t>Cement stosowany do betonu powinien być cementem portlandzkim klasy nie niższej niż „32,5” wg PN-EN 197-1. Przechowywanie cementu powinno być zgodne z BN-88/6731-08.</w:t>
      </w:r>
    </w:p>
    <w:p w14:paraId="38D1DC95" w14:textId="77777777" w:rsidR="007D2EC7" w:rsidRDefault="007D2EC7" w:rsidP="007D2EC7">
      <w:pPr>
        <w:pStyle w:val="Nagwek3"/>
      </w:pPr>
      <w:r>
        <w:rPr>
          <w:b w:val="0"/>
        </w:rPr>
        <w:t>2.</w:t>
      </w:r>
      <w:r>
        <w:rPr>
          <w:b w:val="0"/>
          <w:lang w:val="pl-PL"/>
        </w:rPr>
        <w:t>5</w:t>
      </w:r>
      <w:r>
        <w:rPr>
          <w:b w:val="0"/>
        </w:rPr>
        <w:t>.2. Kruszywo</w:t>
      </w:r>
    </w:p>
    <w:p w14:paraId="66080762" w14:textId="77777777" w:rsidR="007D2EC7" w:rsidRDefault="007D2EC7" w:rsidP="007D2EC7">
      <w:pPr>
        <w:rPr>
          <w:rFonts w:cs="Arial"/>
        </w:rPr>
      </w:pPr>
      <w:r>
        <w:rPr>
          <w:rFonts w:cs="Arial"/>
        </w:rPr>
        <w:t>Kruszywo powinno odpowiadać wymaganiom PN-EN 12620. Kruszywo należy przechowywać w warunkach zabezpieczających je przed zanieczyszczeniem, zmieszaniem z kruszywami innych asortymentów, gatunków i marek.</w:t>
      </w:r>
    </w:p>
    <w:p w14:paraId="5D1030D6" w14:textId="77777777" w:rsidR="007D2EC7" w:rsidRDefault="007D2EC7" w:rsidP="007D2EC7">
      <w:pPr>
        <w:pStyle w:val="Nagwek3"/>
      </w:pPr>
      <w:r>
        <w:rPr>
          <w:b w:val="0"/>
        </w:rPr>
        <w:t>2.</w:t>
      </w:r>
      <w:r>
        <w:rPr>
          <w:b w:val="0"/>
          <w:lang w:val="pl-PL"/>
        </w:rPr>
        <w:t>5</w:t>
      </w:r>
      <w:r>
        <w:rPr>
          <w:b w:val="0"/>
        </w:rPr>
        <w:t>.3. Woda</w:t>
      </w:r>
    </w:p>
    <w:p w14:paraId="512E73B5" w14:textId="77777777" w:rsidR="007D2EC7" w:rsidRDefault="007D2EC7" w:rsidP="007D2EC7">
      <w:pPr>
        <w:rPr>
          <w:rFonts w:cs="Arial"/>
        </w:rPr>
      </w:pPr>
      <w:r>
        <w:rPr>
          <w:rFonts w:cs="Arial"/>
        </w:rPr>
        <w:t>Należy stosować wodę odpowiadającą wymaganiom PN-EN 1008 „Woda zarobowa do betonu”.</w:t>
      </w:r>
    </w:p>
    <w:p w14:paraId="7E19CB28" w14:textId="77777777" w:rsidR="007D2EC7" w:rsidRDefault="007D2EC7" w:rsidP="007D2EC7">
      <w:pPr>
        <w:pStyle w:val="Nagwek1"/>
      </w:pPr>
      <w:bookmarkStart w:id="968" w:name="_Toc495830689"/>
      <w:r>
        <w:rPr>
          <w:b w:val="0"/>
        </w:rPr>
        <w:t>3. SPRZĘT</w:t>
      </w:r>
      <w:bookmarkEnd w:id="968"/>
    </w:p>
    <w:p w14:paraId="3E93A6A8" w14:textId="77777777" w:rsidR="007D2EC7" w:rsidRDefault="007D2EC7" w:rsidP="007D2EC7">
      <w:pPr>
        <w:pStyle w:val="Nagwek2"/>
        <w:rPr>
          <w:b w:val="0"/>
        </w:rPr>
      </w:pPr>
      <w:bookmarkStart w:id="969" w:name="_Toc495830690"/>
      <w:r>
        <w:rPr>
          <w:b w:val="0"/>
        </w:rPr>
        <w:t>3.1. Ogólne wymagania dotyczące sprzętu</w:t>
      </w:r>
      <w:bookmarkEnd w:id="969"/>
    </w:p>
    <w:p w14:paraId="416D4EE0" w14:textId="77777777" w:rsidR="007D2EC7" w:rsidRDefault="007D2EC7" w:rsidP="007D2EC7">
      <w:r>
        <w:t>Ogólne wymagania dotyczące sprzętu podano w SST .00. „Wymagania ogólne” punkt 3.</w:t>
      </w:r>
    </w:p>
    <w:p w14:paraId="1977CB08" w14:textId="77777777" w:rsidR="007D2EC7" w:rsidRDefault="007D2EC7" w:rsidP="007D2EC7">
      <w:pPr>
        <w:pStyle w:val="Nagwek2"/>
      </w:pPr>
      <w:bookmarkStart w:id="970" w:name="_Toc495830691"/>
      <w:r>
        <w:rPr>
          <w:b w:val="0"/>
        </w:rPr>
        <w:t>3.2. Sprzęt</w:t>
      </w:r>
      <w:bookmarkEnd w:id="970"/>
    </w:p>
    <w:p w14:paraId="23B4BBB6" w14:textId="77777777" w:rsidR="007D2EC7" w:rsidRDefault="007D2EC7" w:rsidP="007D2EC7">
      <w:r>
        <w:t>Roboty wykonuje się ręcznie przy zastosowaniu drobnego sprzętu pomocniczego.</w:t>
      </w:r>
    </w:p>
    <w:p w14:paraId="67920BBB" w14:textId="77777777" w:rsidR="007D2EC7" w:rsidRDefault="007D2EC7" w:rsidP="007D2EC7">
      <w:pPr>
        <w:pStyle w:val="Nagwek1"/>
      </w:pPr>
      <w:bookmarkStart w:id="971" w:name="_Toc495830692"/>
      <w:r>
        <w:rPr>
          <w:b w:val="0"/>
        </w:rPr>
        <w:t>4. TRANSPORT</w:t>
      </w:r>
      <w:bookmarkEnd w:id="971"/>
    </w:p>
    <w:p w14:paraId="68D9043C" w14:textId="77777777" w:rsidR="007D2EC7" w:rsidRDefault="007D2EC7" w:rsidP="007D2EC7">
      <w:pPr>
        <w:pStyle w:val="Nagwek2"/>
        <w:rPr>
          <w:b w:val="0"/>
        </w:rPr>
      </w:pPr>
      <w:bookmarkStart w:id="972" w:name="_Toc495830693"/>
      <w:r>
        <w:rPr>
          <w:b w:val="0"/>
        </w:rPr>
        <w:t>4.1. Ogólne wymagania dotyczące transportu</w:t>
      </w:r>
      <w:bookmarkEnd w:id="972"/>
    </w:p>
    <w:p w14:paraId="688462F0" w14:textId="77777777" w:rsidR="007D2EC7" w:rsidRDefault="007D2EC7" w:rsidP="007D2EC7">
      <w:r>
        <w:t>Ogólne wymagania dotyczące transportu podano w SST .00. „Wymagania ogólne” punkt 4.</w:t>
      </w:r>
    </w:p>
    <w:p w14:paraId="39D475AB" w14:textId="77777777" w:rsidR="007D2EC7" w:rsidRDefault="007D2EC7" w:rsidP="007D2EC7">
      <w:pPr>
        <w:pStyle w:val="Nagwek2"/>
      </w:pPr>
      <w:bookmarkStart w:id="973" w:name="_Toc495830694"/>
      <w:r>
        <w:rPr>
          <w:b w:val="0"/>
        </w:rPr>
        <w:t>4.2. Transport obrzeży betonowych</w:t>
      </w:r>
      <w:bookmarkEnd w:id="973"/>
    </w:p>
    <w:p w14:paraId="26B2EADA" w14:textId="77777777" w:rsidR="007D2EC7" w:rsidRDefault="007D2EC7" w:rsidP="007D2EC7">
      <w:r>
        <w:t>Betonowe obrzeża chodnikowe mogą być przewożone dowolnymi środkami transportowymi po osiągnięciu przez beton wytrzymałości minimum 0,7 wytrzymałości projektowanej. Betonowe obrzeża chodnikowe powinny być zabezpieczone przed przemieszczaniem się i uszkodzeniami w czasie transportu.</w:t>
      </w:r>
    </w:p>
    <w:p w14:paraId="38E87CD8" w14:textId="77777777" w:rsidR="007D2EC7" w:rsidRDefault="007D2EC7" w:rsidP="007D2EC7">
      <w:pPr>
        <w:pStyle w:val="Nagwek2"/>
      </w:pPr>
      <w:bookmarkStart w:id="974" w:name="_Toc495830695"/>
      <w:r>
        <w:rPr>
          <w:b w:val="0"/>
        </w:rPr>
        <w:t>4.3. Transport pozostałych materiałów</w:t>
      </w:r>
      <w:bookmarkEnd w:id="974"/>
    </w:p>
    <w:p w14:paraId="4A0A4788" w14:textId="77777777" w:rsidR="007D2EC7" w:rsidRDefault="007D2EC7" w:rsidP="007D2EC7">
      <w:r>
        <w:t>Cement luzem należy przewozić cementowozami, natomiast cement workowany można przewozić dowolnymi środkami transportu, w sposób zabezpieczający przed zawilgoceniem. Kruszywa można przewozić dowolnymi środkami transportu, w warunkach zabezpieczających je przed zanieczyszczeniem i zmieszaniem z innymi materiałami. Podczas transportu kruszywa powinny być zabezpieczone przed wysypaniem, a kruszywo drobne - przed rozpyleniem.</w:t>
      </w:r>
    </w:p>
    <w:p w14:paraId="0766F6D0" w14:textId="77777777" w:rsidR="007D2EC7" w:rsidRDefault="007D2EC7" w:rsidP="007D2EC7">
      <w:pPr>
        <w:pStyle w:val="Nagwek1"/>
      </w:pPr>
      <w:bookmarkStart w:id="975" w:name="_Toc495830696"/>
      <w:r>
        <w:rPr>
          <w:b w:val="0"/>
        </w:rPr>
        <w:lastRenderedPageBreak/>
        <w:t>5. WYKONANIE ROBÓT</w:t>
      </w:r>
      <w:bookmarkEnd w:id="975"/>
    </w:p>
    <w:p w14:paraId="14174B34" w14:textId="77777777" w:rsidR="007D2EC7" w:rsidRDefault="007D2EC7" w:rsidP="007D2EC7">
      <w:pPr>
        <w:pStyle w:val="Nagwek2"/>
        <w:rPr>
          <w:b w:val="0"/>
        </w:rPr>
      </w:pPr>
      <w:bookmarkStart w:id="976" w:name="_Toc495830697"/>
      <w:r>
        <w:rPr>
          <w:b w:val="0"/>
        </w:rPr>
        <w:t>5.1. Ogólne zasady wykonania robót</w:t>
      </w:r>
      <w:bookmarkEnd w:id="976"/>
    </w:p>
    <w:p w14:paraId="5CACC1DC" w14:textId="77777777" w:rsidR="007D2EC7" w:rsidRDefault="007D2EC7" w:rsidP="007D2EC7">
      <w:r>
        <w:t>Ogólne zasady wykonania robót podano w SST .00. „Wymagania ogólne” punkt 5.</w:t>
      </w:r>
    </w:p>
    <w:p w14:paraId="6A96090F" w14:textId="77777777" w:rsidR="007D2EC7" w:rsidRDefault="007D2EC7" w:rsidP="007D2EC7">
      <w:pPr>
        <w:pStyle w:val="Nagwek2"/>
      </w:pPr>
      <w:bookmarkStart w:id="977" w:name="_Toc495830698"/>
      <w:r>
        <w:rPr>
          <w:b w:val="0"/>
        </w:rPr>
        <w:t>5.2. Wykonanie koryta pod ławy</w:t>
      </w:r>
      <w:bookmarkEnd w:id="977"/>
    </w:p>
    <w:p w14:paraId="18E6731F" w14:textId="77777777" w:rsidR="007D2EC7" w:rsidRDefault="007D2EC7" w:rsidP="007D2EC7">
      <w:r>
        <w:t>Koryto pod podsypkę (ławę) należy wykonywać zgodnie z [8]. Wymiary wykopu powinny odpowiadać wymiarom ławy w planie z uwzględnieniem w szerokości dna wykopu ewentualnej konstrukcji szalunku.</w:t>
      </w:r>
    </w:p>
    <w:p w14:paraId="5BDB2A9A" w14:textId="77777777" w:rsidR="007D2EC7" w:rsidRDefault="007D2EC7" w:rsidP="007D2EC7">
      <w:pPr>
        <w:pStyle w:val="Nagwek2"/>
      </w:pPr>
      <w:bookmarkStart w:id="978" w:name="_Toc495830700"/>
      <w:r>
        <w:rPr>
          <w:b w:val="0"/>
        </w:rPr>
        <w:t>5.</w:t>
      </w:r>
      <w:r>
        <w:rPr>
          <w:b w:val="0"/>
          <w:lang w:val="pl-PL"/>
        </w:rPr>
        <w:t>3</w:t>
      </w:r>
      <w:r>
        <w:rPr>
          <w:b w:val="0"/>
        </w:rPr>
        <w:t>. Ustawianie betonowych obrzeży chodnikowych</w:t>
      </w:r>
      <w:bookmarkEnd w:id="978"/>
    </w:p>
    <w:p w14:paraId="01FE3495" w14:textId="77777777" w:rsidR="007D2EC7" w:rsidRDefault="007D2EC7" w:rsidP="007D2EC7">
      <w:r>
        <w:t>Betonowe obrzeża chodnikowe należy ustawiać na wykonanym podłożu w miejscu i ze światłem (odległością górnej powierzchni obrzeża od ciągu komunikacyjnego) zgodnym z ustaleniami dokumentacji projektowej. Zewnętrzna ściana obrzeża powinna być obsypana piaskiem starannie ubitym. Spoiny nie powinny przekraczać szerokości 0.5 cm. Należy wypełnić je zaprawą cementowo-piaskową, przygotowaną w stosunku 1:2. Spoiny przed zalaniem należy oczyścić i zmyć wodą. Spoiny muszą być wypełnione całkowicie na pełną głębokość.</w:t>
      </w:r>
    </w:p>
    <w:p w14:paraId="1033FB6B" w14:textId="77777777" w:rsidR="007D2EC7" w:rsidRDefault="007D2EC7" w:rsidP="007D2EC7">
      <w:pPr>
        <w:pStyle w:val="Nagwek1"/>
      </w:pPr>
      <w:bookmarkStart w:id="979" w:name="_Toc495830701"/>
      <w:r>
        <w:rPr>
          <w:b w:val="0"/>
        </w:rPr>
        <w:t>6. KONTROLA JAKOŚCI ROBÓT</w:t>
      </w:r>
      <w:bookmarkEnd w:id="979"/>
    </w:p>
    <w:p w14:paraId="3540EFB2" w14:textId="77777777" w:rsidR="007D2EC7" w:rsidRDefault="007D2EC7" w:rsidP="007D2EC7">
      <w:pPr>
        <w:pStyle w:val="Nagwek2"/>
        <w:rPr>
          <w:b w:val="0"/>
        </w:rPr>
      </w:pPr>
      <w:bookmarkStart w:id="980" w:name="_Toc495830702"/>
      <w:r>
        <w:rPr>
          <w:b w:val="0"/>
        </w:rPr>
        <w:t>6.1. Ogólne zasady kontroli jakości robót</w:t>
      </w:r>
      <w:bookmarkEnd w:id="980"/>
    </w:p>
    <w:p w14:paraId="17385682" w14:textId="77777777" w:rsidR="007D2EC7" w:rsidRDefault="007D2EC7" w:rsidP="007D2EC7">
      <w:r>
        <w:t>Ogólne zasady kontroli jakości robót podano w SST .00. „Wymagania ogólne” punkt 6.</w:t>
      </w:r>
    </w:p>
    <w:p w14:paraId="675B80B5" w14:textId="77777777" w:rsidR="007D2EC7" w:rsidRDefault="007D2EC7" w:rsidP="007D2EC7">
      <w:pPr>
        <w:pStyle w:val="Nagwek2"/>
      </w:pPr>
      <w:bookmarkStart w:id="981" w:name="_Toc495830703"/>
      <w:r>
        <w:rPr>
          <w:b w:val="0"/>
        </w:rPr>
        <w:t>6.2. Badania przed przystąpieniem do robót</w:t>
      </w:r>
      <w:bookmarkEnd w:id="981"/>
    </w:p>
    <w:p w14:paraId="3C658488" w14:textId="77777777" w:rsidR="007D2EC7" w:rsidRDefault="007D2EC7" w:rsidP="007D2EC7">
      <w:r>
        <w:t xml:space="preserve">Przed przystąpieniem do robót Wykonawca powinien wykonać badania materiałów przeznaczonych do ustawienia betonowych obrzeży chodnikowych i przedstawić wyniki tych badań Inżynierowi do akceptacji. Sprawdzenie wyglądu zewnętrznego należy przeprowadzić na podstawie oględzin elementu przez pomiar i policzenie uszkodzeń występujących na powierzchniach i krawędziach elementu zgodnie z wymaganiami tablicy 1. Pomiary długości i głębokości uszkodzeń należy wykonać za pomocą przymiaru stalowego lub suwmiarki z dokładnością do </w:t>
      </w:r>
      <w:smartTag w:uri="urn:schemas-microsoft-com:office:smarttags" w:element="metricconverter">
        <w:smartTagPr>
          <w:attr w:name="ProductID" w:val="1 mm"/>
        </w:smartTagPr>
        <w:r>
          <w:t>1 mm</w:t>
        </w:r>
      </w:smartTag>
      <w:r>
        <w:t xml:space="preserve">. Sprawdzenie kształtu i wymiarów elementów należy przeprowadzić z dokładnością do </w:t>
      </w:r>
      <w:smartTag w:uri="urn:schemas-microsoft-com:office:smarttags" w:element="metricconverter">
        <w:smartTagPr>
          <w:attr w:name="ProductID" w:val="1 mm"/>
        </w:smartTagPr>
        <w:r>
          <w:t>1 mm</w:t>
        </w:r>
      </w:smartTag>
      <w:r>
        <w:t xml:space="preserve"> przy użyciu suwmiarki oraz przymiaru stalowego lub taśmy zgodnie z wymaganiami tablicy 1 i 2. Sprawdzenie kątów prostych w narożach elementów wykonuje się przez przyłożenie kątownika do badanego naroża i zmierzenia odchyłek z dokładnością do </w:t>
      </w:r>
      <w:smartTag w:uri="urn:schemas-microsoft-com:office:smarttags" w:element="metricconverter">
        <w:smartTagPr>
          <w:attr w:name="ProductID" w:val="1 mm"/>
        </w:smartTagPr>
        <w:r>
          <w:t>1 mm</w:t>
        </w:r>
      </w:smartTag>
      <w:r>
        <w:t>. Badania pozostałych materiałów stosowanych przy ustawianiu betonowych obrzeży chodnikowych powinny obejmować wszystkie właściwości, określone w normach podanych dla odpowiednich materiałów w punkcie 2.</w:t>
      </w:r>
    </w:p>
    <w:p w14:paraId="1D9A3B03" w14:textId="77777777" w:rsidR="007D2EC7" w:rsidRDefault="007D2EC7" w:rsidP="007D2EC7">
      <w:pPr>
        <w:pStyle w:val="Nagwek2"/>
      </w:pPr>
      <w:bookmarkStart w:id="982" w:name="_Toc495830704"/>
      <w:r>
        <w:rPr>
          <w:b w:val="0"/>
        </w:rPr>
        <w:t>6.3. Badania w czasie robót</w:t>
      </w:r>
      <w:bookmarkEnd w:id="982"/>
    </w:p>
    <w:p w14:paraId="40D6A141" w14:textId="77777777" w:rsidR="007D2EC7" w:rsidRDefault="007D2EC7" w:rsidP="007D2EC7">
      <w:r>
        <w:t>W czasie robót należy wykonać badania opisane wg D. 08.01.01 pkt. 6.3.</w:t>
      </w:r>
    </w:p>
    <w:p w14:paraId="04F5192D" w14:textId="77777777" w:rsidR="007D2EC7" w:rsidRDefault="007D2EC7" w:rsidP="007D2EC7">
      <w:pPr>
        <w:pStyle w:val="Nagwek1"/>
      </w:pPr>
      <w:bookmarkStart w:id="983" w:name="_Toc495830705"/>
      <w:r>
        <w:rPr>
          <w:b w:val="0"/>
        </w:rPr>
        <w:t>7. OBMIAR ROBÓT</w:t>
      </w:r>
      <w:bookmarkEnd w:id="983"/>
    </w:p>
    <w:p w14:paraId="49D38FAA" w14:textId="77777777" w:rsidR="007D2EC7" w:rsidRDefault="007D2EC7" w:rsidP="007D2EC7">
      <w:pPr>
        <w:pStyle w:val="Nagwek2"/>
        <w:rPr>
          <w:b w:val="0"/>
        </w:rPr>
      </w:pPr>
      <w:bookmarkStart w:id="984" w:name="_Toc495830706"/>
      <w:r>
        <w:rPr>
          <w:b w:val="0"/>
        </w:rPr>
        <w:t>7.1. Ogólne zasady obmiaru robót</w:t>
      </w:r>
      <w:bookmarkEnd w:id="984"/>
    </w:p>
    <w:p w14:paraId="543B4F10" w14:textId="77777777" w:rsidR="007D2EC7" w:rsidRDefault="007D2EC7" w:rsidP="007D2EC7">
      <w:r>
        <w:t>Ogólne zasady obmiaru robót podano w SST DM.00.00.00. „Wymagania ogólne” punkt 7.</w:t>
      </w:r>
    </w:p>
    <w:p w14:paraId="0254FEA5" w14:textId="77777777" w:rsidR="007D2EC7" w:rsidRDefault="007D2EC7" w:rsidP="007D2EC7">
      <w:pPr>
        <w:pStyle w:val="Nagwek2"/>
      </w:pPr>
      <w:bookmarkStart w:id="985" w:name="_Toc495830707"/>
      <w:r>
        <w:rPr>
          <w:b w:val="0"/>
        </w:rPr>
        <w:t>7.2. Jednostka obmiarowa</w:t>
      </w:r>
      <w:bookmarkEnd w:id="985"/>
    </w:p>
    <w:p w14:paraId="11B9ADA7" w14:textId="77777777" w:rsidR="007D2EC7" w:rsidRDefault="007D2EC7" w:rsidP="007D2EC7">
      <w:r>
        <w:t>Jednostką obmiarową jest m (metr) ustawionego betonowego obrzeża chodnikowego.</w:t>
      </w:r>
    </w:p>
    <w:p w14:paraId="1B478B82" w14:textId="77777777" w:rsidR="007D2EC7" w:rsidRDefault="007D2EC7" w:rsidP="007D2EC7">
      <w:pPr>
        <w:pStyle w:val="Nagwek1"/>
      </w:pPr>
      <w:bookmarkStart w:id="986" w:name="_Toc495830708"/>
      <w:r>
        <w:rPr>
          <w:b w:val="0"/>
        </w:rPr>
        <w:t>8. ODBIÓR ROBÓT</w:t>
      </w:r>
      <w:bookmarkEnd w:id="986"/>
    </w:p>
    <w:p w14:paraId="22BFA84F" w14:textId="77777777" w:rsidR="007D2EC7" w:rsidRDefault="007D2EC7" w:rsidP="007D2EC7">
      <w:pPr>
        <w:pStyle w:val="Nagwek2"/>
        <w:rPr>
          <w:b w:val="0"/>
        </w:rPr>
      </w:pPr>
      <w:bookmarkStart w:id="987" w:name="_Toc495830709"/>
      <w:r>
        <w:rPr>
          <w:b w:val="0"/>
        </w:rPr>
        <w:t>8.1. Ogólne zasady odbioru robót</w:t>
      </w:r>
      <w:bookmarkEnd w:id="987"/>
    </w:p>
    <w:p w14:paraId="2DA8AD60" w14:textId="77777777" w:rsidR="007D2EC7" w:rsidRDefault="007D2EC7" w:rsidP="007D2EC7">
      <w:r>
        <w:t>Ogólne zasady odbioru robót podano w SST .00. „Wymagania ogólne” punkt 8. Roboty uznaje się za wykonane zgodnie z dokumentacją projektową, SST i wymaganiami Inżyniera, jeżeli wszystkie pomiary i badania z zachowaniem tolerancji według punktu 6 dały wyniki pozytywne.</w:t>
      </w:r>
    </w:p>
    <w:p w14:paraId="3B100B13" w14:textId="77777777" w:rsidR="007D2EC7" w:rsidRDefault="007D2EC7" w:rsidP="007D2EC7">
      <w:pPr>
        <w:pStyle w:val="Nagwek2"/>
      </w:pPr>
      <w:bookmarkStart w:id="988" w:name="_Toc495830710"/>
      <w:r>
        <w:rPr>
          <w:b w:val="0"/>
        </w:rPr>
        <w:t>8.2. Odbiór robót zanikających i ulegających zakryciu</w:t>
      </w:r>
      <w:bookmarkEnd w:id="988"/>
    </w:p>
    <w:p w14:paraId="7185B184" w14:textId="77777777" w:rsidR="007D2EC7" w:rsidRDefault="007D2EC7" w:rsidP="007D2EC7">
      <w:r>
        <w:t>Odbiorowi robót zanikających i ulegających zakryciu podlegają;</w:t>
      </w:r>
    </w:p>
    <w:p w14:paraId="30F7F816" w14:textId="77777777" w:rsidR="007D2EC7" w:rsidRDefault="007D2EC7" w:rsidP="007D2EC7">
      <w:pPr>
        <w:pStyle w:val="Nagwek8"/>
        <w:numPr>
          <w:ilvl w:val="0"/>
          <w:numId w:val="64"/>
        </w:numPr>
      </w:pPr>
      <w:r>
        <w:t>wykonane koryto,</w:t>
      </w:r>
    </w:p>
    <w:p w14:paraId="33F52375" w14:textId="77777777" w:rsidR="007D2EC7" w:rsidRDefault="007D2EC7" w:rsidP="007D2EC7">
      <w:pPr>
        <w:pStyle w:val="Nagwek8"/>
        <w:numPr>
          <w:ilvl w:val="0"/>
          <w:numId w:val="64"/>
        </w:numPr>
      </w:pPr>
      <w:r>
        <w:lastRenderedPageBreak/>
        <w:sym w:font="Arial Narrow" w:char="F020"/>
      </w:r>
      <w:r>
        <w:t>wykonana podsypka.</w:t>
      </w:r>
    </w:p>
    <w:p w14:paraId="5E5E1392" w14:textId="77777777" w:rsidR="007D2EC7" w:rsidRDefault="007D2EC7" w:rsidP="007D2EC7">
      <w:pPr>
        <w:pStyle w:val="Nagwek1"/>
      </w:pPr>
      <w:bookmarkStart w:id="989" w:name="_Toc495830711"/>
      <w:r>
        <w:rPr>
          <w:b w:val="0"/>
        </w:rPr>
        <w:t>9. PODSTAWA PŁATNOŚCI</w:t>
      </w:r>
      <w:bookmarkEnd w:id="989"/>
    </w:p>
    <w:p w14:paraId="5A21C099" w14:textId="77777777" w:rsidR="007D2EC7" w:rsidRDefault="007D2EC7" w:rsidP="007D2EC7">
      <w:pPr>
        <w:pStyle w:val="Nagwek2"/>
        <w:rPr>
          <w:b w:val="0"/>
        </w:rPr>
      </w:pPr>
      <w:bookmarkStart w:id="990" w:name="_Toc495830712"/>
      <w:r>
        <w:rPr>
          <w:b w:val="0"/>
        </w:rPr>
        <w:t>9.1. Ogólne dotyczące podstawy płatności</w:t>
      </w:r>
      <w:bookmarkEnd w:id="990"/>
    </w:p>
    <w:p w14:paraId="5BE69163" w14:textId="77777777" w:rsidR="007D2EC7" w:rsidRDefault="007D2EC7" w:rsidP="007D2EC7">
      <w:r>
        <w:t>Ogólne ustalenia dotyczące podstawy płatności podano w SST 00. „Wymagania ogólne” punkt 9.</w:t>
      </w:r>
    </w:p>
    <w:p w14:paraId="37645AB5" w14:textId="77777777" w:rsidR="007D2EC7" w:rsidRDefault="007D2EC7" w:rsidP="007D2EC7">
      <w:pPr>
        <w:pStyle w:val="Nagwek2"/>
      </w:pPr>
      <w:bookmarkStart w:id="991" w:name="_Toc495830713"/>
      <w:r>
        <w:rPr>
          <w:b w:val="0"/>
        </w:rPr>
        <w:t>9.2. Cena jednostki obmiarowej</w:t>
      </w:r>
      <w:bookmarkEnd w:id="991"/>
    </w:p>
    <w:p w14:paraId="1FF8A022" w14:textId="77777777" w:rsidR="007D2EC7" w:rsidRDefault="007D2EC7" w:rsidP="007D2EC7">
      <w:r>
        <w:t>Cena 1m ustawienia obrzeża betonowego obejmuje:</w:t>
      </w:r>
    </w:p>
    <w:p w14:paraId="2023EBAE" w14:textId="77777777" w:rsidR="007D2EC7" w:rsidRDefault="007D2EC7" w:rsidP="007D2EC7">
      <w:pPr>
        <w:pStyle w:val="Nagwek8"/>
        <w:numPr>
          <w:ilvl w:val="0"/>
          <w:numId w:val="64"/>
        </w:numPr>
      </w:pPr>
      <w:r>
        <w:t>wytyczenie,</w:t>
      </w:r>
    </w:p>
    <w:p w14:paraId="1D1535F3" w14:textId="77777777" w:rsidR="007D2EC7" w:rsidRDefault="007D2EC7" w:rsidP="007D2EC7">
      <w:pPr>
        <w:pStyle w:val="Nagwek8"/>
        <w:numPr>
          <w:ilvl w:val="0"/>
          <w:numId w:val="64"/>
        </w:numPr>
      </w:pPr>
      <w:r>
        <w:t>prace pomiarowe i roboty przygotowawcze,</w:t>
      </w:r>
    </w:p>
    <w:p w14:paraId="51C3668B" w14:textId="77777777" w:rsidR="007D2EC7" w:rsidRDefault="007D2EC7" w:rsidP="007D2EC7">
      <w:pPr>
        <w:pStyle w:val="Nagwek8"/>
        <w:numPr>
          <w:ilvl w:val="0"/>
          <w:numId w:val="64"/>
        </w:numPr>
      </w:pPr>
      <w:r>
        <w:t>dostarczenie materiałów,</w:t>
      </w:r>
    </w:p>
    <w:p w14:paraId="5041D656" w14:textId="77777777" w:rsidR="007D2EC7" w:rsidRDefault="007D2EC7" w:rsidP="007D2EC7">
      <w:pPr>
        <w:pStyle w:val="Nagwek8"/>
        <w:numPr>
          <w:ilvl w:val="0"/>
          <w:numId w:val="64"/>
        </w:numPr>
      </w:pPr>
      <w:r>
        <w:t>wykonanie koryta,</w:t>
      </w:r>
    </w:p>
    <w:p w14:paraId="08C8740B" w14:textId="77777777" w:rsidR="007D2EC7" w:rsidRDefault="007D2EC7" w:rsidP="007D2EC7">
      <w:pPr>
        <w:pStyle w:val="Nagwek8"/>
        <w:numPr>
          <w:ilvl w:val="0"/>
          <w:numId w:val="64"/>
        </w:numPr>
      </w:pPr>
      <w:r>
        <w:t>wykonanie ławy betonowej,</w:t>
      </w:r>
    </w:p>
    <w:p w14:paraId="0D187276" w14:textId="77777777" w:rsidR="007D2EC7" w:rsidRDefault="007D2EC7" w:rsidP="007D2EC7">
      <w:pPr>
        <w:pStyle w:val="Nagwek8"/>
        <w:numPr>
          <w:ilvl w:val="0"/>
          <w:numId w:val="64"/>
        </w:numPr>
      </w:pPr>
      <w:r>
        <w:t>ustawienie obrzeża betonowego,</w:t>
      </w:r>
    </w:p>
    <w:p w14:paraId="7DEBCFA3" w14:textId="77777777" w:rsidR="007D2EC7" w:rsidRDefault="007D2EC7" w:rsidP="007D2EC7">
      <w:pPr>
        <w:pStyle w:val="Nagwek8"/>
        <w:numPr>
          <w:ilvl w:val="0"/>
          <w:numId w:val="64"/>
        </w:numPr>
      </w:pPr>
      <w:r>
        <w:t>wypełnienie spoin,</w:t>
      </w:r>
    </w:p>
    <w:p w14:paraId="5A8997F3" w14:textId="77777777" w:rsidR="007D2EC7" w:rsidRDefault="007D2EC7" w:rsidP="007D2EC7">
      <w:pPr>
        <w:pStyle w:val="Nagwek8"/>
        <w:numPr>
          <w:ilvl w:val="0"/>
          <w:numId w:val="64"/>
        </w:numPr>
      </w:pPr>
      <w:r>
        <w:t>obsypanie zewnętrznej ściany obrzeża,</w:t>
      </w:r>
    </w:p>
    <w:p w14:paraId="6B97294E" w14:textId="77777777" w:rsidR="007D2EC7" w:rsidRDefault="007D2EC7" w:rsidP="007D2EC7">
      <w:pPr>
        <w:pStyle w:val="Nagwek8"/>
        <w:numPr>
          <w:ilvl w:val="0"/>
          <w:numId w:val="64"/>
        </w:numPr>
      </w:pPr>
      <w:r>
        <w:t>wykonanie badań i pomiarów wymaganych w specyfikacji technicznej.</w:t>
      </w:r>
    </w:p>
    <w:p w14:paraId="211881FC" w14:textId="77777777" w:rsidR="007D2EC7" w:rsidRDefault="007D2EC7" w:rsidP="007D2EC7">
      <w:pPr>
        <w:pStyle w:val="Nagwek1"/>
      </w:pPr>
      <w:bookmarkStart w:id="992" w:name="_Toc495830714"/>
      <w:r>
        <w:rPr>
          <w:b w:val="0"/>
        </w:rPr>
        <w:t>10. PRZEPISY ZWIĄZANE</w:t>
      </w:r>
      <w:bookmarkEnd w:id="992"/>
    </w:p>
    <w:p w14:paraId="443F62B5" w14:textId="77777777" w:rsidR="007D2EC7" w:rsidRDefault="007D2EC7" w:rsidP="007D2EC7">
      <w:pPr>
        <w:pStyle w:val="Nagwek2"/>
        <w:rPr>
          <w:b w:val="0"/>
        </w:rPr>
      </w:pPr>
      <w:bookmarkStart w:id="993" w:name="_Toc495830715"/>
      <w:r>
        <w:rPr>
          <w:b w:val="0"/>
        </w:rPr>
        <w:t>10.1. Normy</w:t>
      </w:r>
      <w:bookmarkEnd w:id="993"/>
    </w:p>
    <w:p w14:paraId="4EBAA281" w14:textId="77777777" w:rsidR="007D2EC7" w:rsidRDefault="007D2EC7" w:rsidP="007D2EC7">
      <w:pPr>
        <w:pStyle w:val="Tytu"/>
        <w:numPr>
          <w:ilvl w:val="0"/>
          <w:numId w:val="60"/>
        </w:numPr>
        <w:textAlignment w:val="auto"/>
      </w:pPr>
      <w:r>
        <w:t>PN-EN-197-1;2002 Cement. Część 1: Skład, wymagania i kryteria zgodności dotyczące cementu powszechnego Użytku</w:t>
      </w:r>
    </w:p>
    <w:p w14:paraId="68F90627" w14:textId="77777777" w:rsidR="007D2EC7" w:rsidRDefault="007D2EC7" w:rsidP="007D2EC7">
      <w:pPr>
        <w:pStyle w:val="Tytu"/>
        <w:numPr>
          <w:ilvl w:val="0"/>
          <w:numId w:val="60"/>
        </w:numPr>
        <w:ind w:left="357" w:firstLine="0"/>
        <w:textAlignment w:val="auto"/>
      </w:pPr>
      <w:r>
        <w:t>PN-EN 206-1:2003 Beton. Część 1: Wymagania, właściwości, produkcja i zgodność.</w:t>
      </w:r>
    </w:p>
    <w:p w14:paraId="346DF776" w14:textId="77777777" w:rsidR="007D2EC7" w:rsidRDefault="007D2EC7" w:rsidP="007D2EC7">
      <w:pPr>
        <w:pStyle w:val="Tytu"/>
        <w:numPr>
          <w:ilvl w:val="0"/>
          <w:numId w:val="60"/>
        </w:numPr>
        <w:ind w:left="357" w:firstLine="0"/>
        <w:textAlignment w:val="auto"/>
      </w:pPr>
      <w:r>
        <w:t>PN-EN 1340:2004 Krawężniki betonowe. Wymagania i metody badań</w:t>
      </w:r>
    </w:p>
    <w:p w14:paraId="79BB35EB" w14:textId="77777777" w:rsidR="007D2EC7" w:rsidRDefault="007D2EC7" w:rsidP="007D2EC7">
      <w:pPr>
        <w:pStyle w:val="Tytu"/>
        <w:numPr>
          <w:ilvl w:val="0"/>
          <w:numId w:val="60"/>
        </w:numPr>
        <w:ind w:left="357" w:firstLine="0"/>
        <w:textAlignment w:val="auto"/>
      </w:pPr>
      <w:r>
        <w:t>PN-EN 12620:2004 Kruszywa do betonu.</w:t>
      </w:r>
    </w:p>
    <w:p w14:paraId="1E106039" w14:textId="77777777" w:rsidR="007D2EC7" w:rsidRDefault="007D2EC7" w:rsidP="007D2EC7">
      <w:pPr>
        <w:pStyle w:val="Tytu"/>
        <w:numPr>
          <w:ilvl w:val="0"/>
          <w:numId w:val="60"/>
        </w:numPr>
        <w:ind w:left="357" w:firstLine="0"/>
        <w:textAlignment w:val="auto"/>
      </w:pPr>
      <w:r>
        <w:t>PN-EN-1008:2004 Woda zarobowa do betonu. Specyfikacja pobierania próbek, badania i ocena przydatności wody zarobowej do betonu, w tym wody odzyskanej z procesów produkcji betonu.</w:t>
      </w:r>
    </w:p>
    <w:p w14:paraId="75483B41" w14:textId="77777777" w:rsidR="007D2EC7" w:rsidRDefault="007D2EC7" w:rsidP="007D2EC7">
      <w:pPr>
        <w:pStyle w:val="Tytu"/>
        <w:numPr>
          <w:ilvl w:val="0"/>
          <w:numId w:val="60"/>
        </w:numPr>
        <w:ind w:left="357" w:firstLine="0"/>
        <w:textAlignment w:val="auto"/>
      </w:pPr>
      <w:r>
        <w:t>PN-EN 13139:2003 Kruszywo do zaprawy</w:t>
      </w:r>
    </w:p>
    <w:p w14:paraId="6F161091" w14:textId="77777777" w:rsidR="007D2EC7" w:rsidRDefault="007D2EC7" w:rsidP="007D2EC7">
      <w:pPr>
        <w:pStyle w:val="Tytu"/>
        <w:numPr>
          <w:ilvl w:val="0"/>
          <w:numId w:val="60"/>
        </w:numPr>
        <w:ind w:left="357" w:firstLine="0"/>
        <w:textAlignment w:val="auto"/>
      </w:pPr>
      <w:r>
        <w:t>PN-EN 13369:2005 Wspólne wymagania dla prefabrykatów</w:t>
      </w:r>
    </w:p>
    <w:p w14:paraId="3C867081" w14:textId="77777777" w:rsidR="007D2EC7" w:rsidRDefault="007D2EC7" w:rsidP="007D2EC7">
      <w:pPr>
        <w:pStyle w:val="Tytu"/>
        <w:numPr>
          <w:ilvl w:val="0"/>
          <w:numId w:val="60"/>
        </w:numPr>
        <w:ind w:left="357" w:firstLine="0"/>
        <w:textAlignment w:val="auto"/>
      </w:pPr>
      <w:r>
        <w:t>PN-B-06050 Roboty ziemne budowlane</w:t>
      </w:r>
    </w:p>
    <w:p w14:paraId="0C96D903" w14:textId="77777777" w:rsidR="007D2EC7" w:rsidRDefault="007D2EC7" w:rsidP="007D2EC7">
      <w:pPr>
        <w:pStyle w:val="Tytu"/>
        <w:numPr>
          <w:ilvl w:val="0"/>
          <w:numId w:val="60"/>
        </w:numPr>
        <w:ind w:left="357" w:firstLine="0"/>
        <w:textAlignment w:val="auto"/>
      </w:pPr>
      <w:r>
        <w:t>PN-EN 13242  Kruszywa do niezwiązanych i związanych hydraulicznie materiałów stosowanych w obiektach budowlanych i budownictwie drogowym</w:t>
      </w:r>
    </w:p>
    <w:p w14:paraId="54C69468" w14:textId="726E0093" w:rsidR="00826F93" w:rsidRDefault="00826F93"/>
    <w:p w14:paraId="0118FCBF" w14:textId="36A4C9E2" w:rsidR="007D2EC7" w:rsidRDefault="007D2EC7"/>
    <w:p w14:paraId="6AE1BA2B" w14:textId="70AFEB78" w:rsidR="007D2EC7" w:rsidRDefault="007D2EC7"/>
    <w:p w14:paraId="27E95182" w14:textId="3CE8A5E5" w:rsidR="007D2EC7" w:rsidRDefault="007D2EC7"/>
    <w:p w14:paraId="44310879" w14:textId="281EF255" w:rsidR="007D2EC7" w:rsidRDefault="007D2EC7"/>
    <w:p w14:paraId="464381B1" w14:textId="26D342D6" w:rsidR="007D2EC7" w:rsidRDefault="007D2EC7"/>
    <w:p w14:paraId="11B7D5ED" w14:textId="549691D4" w:rsidR="007D2EC7" w:rsidRDefault="007D2EC7"/>
    <w:p w14:paraId="2F655CB7" w14:textId="5EA2A521" w:rsidR="007D2EC7" w:rsidRDefault="007D2EC7"/>
    <w:p w14:paraId="20A5DC39" w14:textId="15FE4C81" w:rsidR="007D2EC7" w:rsidRDefault="007D2EC7"/>
    <w:p w14:paraId="57C9A384" w14:textId="6D92D0B3" w:rsidR="007D2EC7" w:rsidRDefault="007D2EC7"/>
    <w:p w14:paraId="345D4363" w14:textId="78EEF737" w:rsidR="007D2EC7" w:rsidRDefault="007D2EC7"/>
    <w:p w14:paraId="028EF969" w14:textId="4202F182" w:rsidR="007D2EC7" w:rsidRDefault="007D2EC7"/>
    <w:p w14:paraId="05F7E332" w14:textId="11D3ACEA" w:rsidR="007D2EC7" w:rsidRDefault="007D2EC7"/>
    <w:p w14:paraId="0DC3C16E" w14:textId="77777777" w:rsidR="00DD698C" w:rsidRDefault="00DD698C" w:rsidP="00E11C96">
      <w:pPr>
        <w:pStyle w:val="NAZWASST"/>
      </w:pPr>
      <w:bookmarkStart w:id="994" w:name="_Toc58533578"/>
    </w:p>
    <w:p w14:paraId="1F79387D" w14:textId="77777777" w:rsidR="00DD698C" w:rsidRDefault="00DD698C" w:rsidP="00E11C96">
      <w:pPr>
        <w:pStyle w:val="NAZWASST"/>
      </w:pPr>
    </w:p>
    <w:p w14:paraId="1D7298A1" w14:textId="77777777" w:rsidR="00DD698C" w:rsidRDefault="00DD698C" w:rsidP="00E11C96">
      <w:pPr>
        <w:pStyle w:val="NAZWASST"/>
      </w:pPr>
    </w:p>
    <w:p w14:paraId="731C09DA" w14:textId="0878CD8F" w:rsidR="00E11C96" w:rsidRDefault="00E11C96" w:rsidP="00E11C96">
      <w:pPr>
        <w:pStyle w:val="NAZWASST"/>
      </w:pPr>
      <w:r>
        <w:lastRenderedPageBreak/>
        <w:t>D – 08.02.02 CHODNIK Z KOSTKI BRUKOWEJ BETONOWEJ</w:t>
      </w:r>
      <w:bookmarkEnd w:id="994"/>
    </w:p>
    <w:p w14:paraId="15B2EBFB" w14:textId="77777777" w:rsidR="00E11C96" w:rsidRDefault="00E11C96" w:rsidP="00E11C96">
      <w:r>
        <w:t>Kod CPV: 45233000-9</w:t>
      </w:r>
    </w:p>
    <w:p w14:paraId="6AAE3369" w14:textId="44064531" w:rsidR="00E11C96" w:rsidRPr="005C362B" w:rsidRDefault="00E11C96" w:rsidP="005C362B">
      <w:r>
        <w:t>Roboty w zakresie konstruowania, fundamentowania oraz wykonywania nawierzchni autostrad, dróg</w:t>
      </w:r>
    </w:p>
    <w:p w14:paraId="37F721A1" w14:textId="77777777" w:rsidR="00E11C96" w:rsidRDefault="00E11C96" w:rsidP="00E11C96">
      <w:pPr>
        <w:pStyle w:val="Nagwek1"/>
      </w:pPr>
      <w:r>
        <w:rPr>
          <w:b w:val="0"/>
          <w:lang w:val="pl-PL"/>
        </w:rPr>
        <w:t xml:space="preserve">1. </w:t>
      </w:r>
      <w:r>
        <w:rPr>
          <w:b w:val="0"/>
        </w:rPr>
        <w:t>wstęp</w:t>
      </w:r>
    </w:p>
    <w:p w14:paraId="1ED1F934" w14:textId="77777777" w:rsidR="00E11C96" w:rsidRDefault="00E11C96" w:rsidP="00E11C96">
      <w:pPr>
        <w:pStyle w:val="Nagwek2"/>
        <w:rPr>
          <w:b w:val="0"/>
        </w:rPr>
      </w:pPr>
      <w:r>
        <w:rPr>
          <w:b w:val="0"/>
          <w:lang w:val="pl-PL"/>
        </w:rPr>
        <w:t xml:space="preserve">1.1 </w:t>
      </w:r>
      <w:r>
        <w:rPr>
          <w:b w:val="0"/>
        </w:rPr>
        <w:t>Przedmiot STWiORB</w:t>
      </w:r>
    </w:p>
    <w:p w14:paraId="7851FFF4" w14:textId="77777777" w:rsidR="00E11C96" w:rsidRDefault="00E11C96" w:rsidP="00E11C96">
      <w:pPr>
        <w:ind w:firstLine="454"/>
        <w:rPr>
          <w:rFonts w:eastAsia="Calibri"/>
        </w:rPr>
      </w:pPr>
      <w:r>
        <w:t>Przedmiotem niniejszej szczegółowej specyfikacji technicznej (SST) są wymagania dotyczące wykonania i odbioru robót związanych wykonywaniem chodników z kostki betonowej brukowej</w:t>
      </w:r>
      <w:r>
        <w:rPr>
          <w:rFonts w:eastAsia="Calibri"/>
        </w:rPr>
        <w:t>.</w:t>
      </w:r>
    </w:p>
    <w:p w14:paraId="7CD51917" w14:textId="77777777" w:rsidR="00E11C96" w:rsidRDefault="00E11C96" w:rsidP="00E11C96">
      <w:pPr>
        <w:pStyle w:val="Nagwek2"/>
      </w:pPr>
      <w:r>
        <w:rPr>
          <w:b w:val="0"/>
          <w:lang w:val="pl-PL"/>
        </w:rPr>
        <w:t xml:space="preserve">1.2 </w:t>
      </w:r>
      <w:r>
        <w:rPr>
          <w:b w:val="0"/>
        </w:rPr>
        <w:t>Zakres stosowania STWiORB</w:t>
      </w:r>
    </w:p>
    <w:p w14:paraId="5E7CCE51" w14:textId="7798487C" w:rsidR="00E11C96" w:rsidRDefault="00E11C96" w:rsidP="005C362B">
      <w:pPr>
        <w:tabs>
          <w:tab w:val="left" w:pos="-1440"/>
          <w:tab w:val="left" w:pos="-720"/>
          <w:tab w:val="left" w:pos="0"/>
        </w:tabs>
        <w:ind w:firstLine="454"/>
        <w:rPr>
          <w:rFonts w:eastAsia="Calibri" w:cs="Arial"/>
          <w:spacing w:val="-3"/>
        </w:rPr>
      </w:pPr>
      <w:r>
        <w:rPr>
          <w:rFonts w:eastAsia="Calibri" w:cs="Arial"/>
        </w:rPr>
        <w:t xml:space="preserve">Specyfikacje Techniczne Wykonania i Odbioru Robót Budowlanych </w:t>
      </w:r>
      <w:r>
        <w:rPr>
          <w:rFonts w:eastAsia="Calibri" w:cs="Arial"/>
          <w:spacing w:val="-3"/>
        </w:rPr>
        <w:t xml:space="preserve">stanowią Dokument Przetargowy i Kontraktowy przy zlecaniu i realizacji robót na drogach </w:t>
      </w:r>
    </w:p>
    <w:p w14:paraId="7503DA15" w14:textId="77777777" w:rsidR="00E11C96" w:rsidRDefault="00E11C96" w:rsidP="00E11C96">
      <w:pPr>
        <w:pStyle w:val="Nagwek2"/>
      </w:pPr>
      <w:r>
        <w:rPr>
          <w:b w:val="0"/>
        </w:rPr>
        <w:t>1.3. Zakres robót objętych SST</w:t>
      </w:r>
    </w:p>
    <w:p w14:paraId="2FD23D9C" w14:textId="77777777" w:rsidR="00E11C96" w:rsidRDefault="00E11C96" w:rsidP="00E11C96">
      <w:pPr>
        <w:tabs>
          <w:tab w:val="left" w:pos="0"/>
          <w:tab w:val="right" w:pos="540"/>
        </w:tabs>
      </w:pPr>
      <w:r>
        <w:t>SST obejmuje wszystkie roboty związane z wykonaniem, kontrolą i odbiorem konstrukcji:</w:t>
      </w:r>
    </w:p>
    <w:p w14:paraId="2F924564" w14:textId="77777777" w:rsidR="00E11C96" w:rsidRDefault="00E11C96" w:rsidP="00E11C96">
      <w:pPr>
        <w:numPr>
          <w:ilvl w:val="0"/>
          <w:numId w:val="66"/>
        </w:numPr>
        <w:tabs>
          <w:tab w:val="left" w:pos="0"/>
          <w:tab w:val="right" w:pos="540"/>
        </w:tabs>
        <w:overflowPunct w:val="0"/>
        <w:autoSpaceDE w:val="0"/>
        <w:autoSpaceDN w:val="0"/>
        <w:adjustRightInd w:val="0"/>
        <w:spacing w:after="0" w:line="240" w:lineRule="auto"/>
        <w:jc w:val="both"/>
      </w:pPr>
      <w:r>
        <w:t xml:space="preserve">wykonanych z kostki brukowej betonowej grubości 8 cm koloru szarego, bezfazowa ułożonych na podsypce cementowo - piaskowej 1:4 grubości </w:t>
      </w:r>
      <w:smartTag w:uri="urn:schemas-microsoft-com:office:smarttags" w:element="metricconverter">
        <w:smartTagPr>
          <w:attr w:name="ProductID" w:val="3 cm"/>
        </w:smartTagPr>
        <w:r>
          <w:t>3 cm</w:t>
        </w:r>
      </w:smartTag>
      <w:r>
        <w:t xml:space="preserve"> po zagęszczeniu.</w:t>
      </w:r>
    </w:p>
    <w:p w14:paraId="197CDE41" w14:textId="77777777" w:rsidR="00E11C96" w:rsidRDefault="00E11C96" w:rsidP="00E11C96">
      <w:pPr>
        <w:pStyle w:val="Nagwek2"/>
      </w:pPr>
      <w:r>
        <w:rPr>
          <w:b w:val="0"/>
        </w:rPr>
        <w:t>1.4. Określenia podstawowe</w:t>
      </w:r>
    </w:p>
    <w:p w14:paraId="66671DAE" w14:textId="77777777" w:rsidR="00E11C96" w:rsidRDefault="00E11C96" w:rsidP="00E11C96">
      <w:r>
        <w:rPr>
          <w:b/>
        </w:rPr>
        <w:t xml:space="preserve">1.4.1. </w:t>
      </w:r>
      <w:r>
        <w:t>Betonowa kostka brukowa - kształtka wytwarzana z betonu metodą wibroprasowania. Produkowana jest jako kształtka jednowarstwowa lub w dwóch warstwach połączonych ze sobą trwale w fazie produkcji.</w:t>
      </w:r>
    </w:p>
    <w:p w14:paraId="1CEA93A6" w14:textId="77777777" w:rsidR="00E11C96" w:rsidRDefault="00E11C96" w:rsidP="00E11C96">
      <w:r>
        <w:rPr>
          <w:b/>
        </w:rPr>
        <w:t xml:space="preserve">1.4.2. </w:t>
      </w:r>
      <w:r>
        <w:t>Pozostałe określenia podstawowe są zgodne z obowiązującymi, odpowiednimi polskimi normami i z definicjami i z definicjami podanymi w SST D-M-00.00.00 „Wymagania ogólne” pkt 1.4.</w:t>
      </w:r>
    </w:p>
    <w:p w14:paraId="6E2F0F4F" w14:textId="77777777" w:rsidR="00E11C96" w:rsidRDefault="00E11C96" w:rsidP="00E11C96">
      <w:pPr>
        <w:pStyle w:val="Nagwek2"/>
      </w:pPr>
      <w:r>
        <w:rPr>
          <w:b w:val="0"/>
        </w:rPr>
        <w:t>1.5. Ogólne wymagania dotyczące robót</w:t>
      </w:r>
    </w:p>
    <w:p w14:paraId="1E6B38E5" w14:textId="77777777" w:rsidR="00E11C96" w:rsidRDefault="00E11C96" w:rsidP="00E11C96">
      <w:r>
        <w:t>Ogólne wymagania dotyczące robót podano w SST D-M-00.00.00 „Wymagania ogólne” pkt 1.5.</w:t>
      </w:r>
    </w:p>
    <w:p w14:paraId="127271F3" w14:textId="77777777" w:rsidR="00E11C96" w:rsidRDefault="00E11C96" w:rsidP="00E11C96">
      <w:pPr>
        <w:pStyle w:val="Nagwek1"/>
      </w:pPr>
      <w:r>
        <w:rPr>
          <w:b w:val="0"/>
        </w:rPr>
        <w:t>2. MATERIAŁY</w:t>
      </w:r>
    </w:p>
    <w:p w14:paraId="4B8A3910" w14:textId="77777777" w:rsidR="00E11C96" w:rsidRDefault="00E11C96" w:rsidP="00E11C96">
      <w:pPr>
        <w:rPr>
          <w:rFonts w:cs="Arial"/>
        </w:rPr>
      </w:pPr>
      <w:r>
        <w:rPr>
          <w:rFonts w:cs="Arial"/>
        </w:rPr>
        <w:t>Ogólne wymagania dotyczące wyrobów, ich pozyskiwania i składowania, podano w ST D.00.00.00 „Wymagania ogólne”</w:t>
      </w:r>
    </w:p>
    <w:p w14:paraId="10BC0716" w14:textId="77777777" w:rsidR="00E11C96" w:rsidRDefault="00E11C96" w:rsidP="00E11C96">
      <w:pPr>
        <w:pStyle w:val="Nagwek2"/>
      </w:pPr>
      <w:r>
        <w:rPr>
          <w:b w:val="0"/>
        </w:rPr>
        <w:t xml:space="preserve">2.1. </w:t>
      </w:r>
      <w:r>
        <w:rPr>
          <w:b w:val="0"/>
          <w:lang w:val="pl-PL"/>
        </w:rPr>
        <w:t>O</w:t>
      </w:r>
      <w:r>
        <w:rPr>
          <w:b w:val="0"/>
        </w:rPr>
        <w:t>zn</w:t>
      </w:r>
      <w:r>
        <w:rPr>
          <w:b w:val="0"/>
          <w:lang w:val="pl-PL"/>
        </w:rPr>
        <w:t>a</w:t>
      </w:r>
      <w:r>
        <w:rPr>
          <w:b w:val="0"/>
        </w:rPr>
        <w:t>kowanie kostki</w:t>
      </w:r>
    </w:p>
    <w:p w14:paraId="18689C87" w14:textId="77777777" w:rsidR="00E11C96" w:rsidRDefault="00E11C96" w:rsidP="00E11C96">
      <w:r>
        <w:t>Betonowa kostka brukowa - musi posiadać oznakowanie CE lub znak budowlany. Wykonawca winien przedstawić własne badania laboratoryjne określające cechy kostki.</w:t>
      </w:r>
    </w:p>
    <w:p w14:paraId="0049B01A" w14:textId="77777777" w:rsidR="00E11C96" w:rsidRDefault="00E11C96" w:rsidP="00E11C96">
      <w:pPr>
        <w:pStyle w:val="Nagwek3"/>
      </w:pPr>
      <w:r>
        <w:rPr>
          <w:b w:val="0"/>
        </w:rPr>
        <w:t>2.1.1. Klasy kostki</w:t>
      </w:r>
    </w:p>
    <w:p w14:paraId="25F58CBF" w14:textId="77777777" w:rsidR="00E11C96" w:rsidRDefault="00E11C96" w:rsidP="00E11C96">
      <w:pPr>
        <w:outlineLvl w:val="0"/>
        <w:rPr>
          <w:rFonts w:cs="Arial"/>
        </w:rPr>
      </w:pPr>
      <w:r>
        <w:rPr>
          <w:rFonts w:cs="Arial"/>
        </w:rPr>
        <w:t xml:space="preserve">Należy stosować kostkę klasy D, T i I wg wymagań zapisanych w PN-EN 1338 „Betonowe kostki brukowe. Wymagania i metody badań”. </w:t>
      </w:r>
    </w:p>
    <w:p w14:paraId="582530D0" w14:textId="77777777" w:rsidR="00E11C96" w:rsidRDefault="00E11C96" w:rsidP="00E11C96">
      <w:pPr>
        <w:pStyle w:val="Nagwek3"/>
      </w:pPr>
      <w:r>
        <w:rPr>
          <w:b w:val="0"/>
        </w:rPr>
        <w:t>2.1.2. Cechy fizykomechaniczne betonowych kostek brukowych</w:t>
      </w:r>
    </w:p>
    <w:p w14:paraId="25CE70FC" w14:textId="77777777" w:rsidR="00E11C96" w:rsidRDefault="00E11C96" w:rsidP="00E11C96">
      <w:pPr>
        <w:outlineLvl w:val="0"/>
        <w:rPr>
          <w:rFonts w:cs="Arial"/>
        </w:rPr>
      </w:pPr>
      <w:r>
        <w:rPr>
          <w:rFonts w:cs="Arial"/>
        </w:rPr>
        <w:t>Betonowe kostki brukowe powinny posiadać cechy fizykomechaniczne określone w tablicy:</w:t>
      </w:r>
    </w:p>
    <w:p w14:paraId="7BD129B7" w14:textId="77777777" w:rsidR="00E11C96" w:rsidRDefault="00E11C96" w:rsidP="00E11C96">
      <w:pPr>
        <w:rPr>
          <w:rFonts w:cs="Arial"/>
        </w:rPr>
      </w:pPr>
    </w:p>
    <w:tbl>
      <w:tblPr>
        <w:tblW w:w="92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32"/>
        <w:gridCol w:w="7179"/>
        <w:gridCol w:w="1744"/>
      </w:tblGrid>
      <w:tr w:rsidR="00E11C96" w14:paraId="1BB3B1AA" w14:textId="77777777" w:rsidTr="00E11C96">
        <w:trPr>
          <w:trHeight w:val="268"/>
          <w:jc w:val="center"/>
        </w:trPr>
        <w:tc>
          <w:tcPr>
            <w:tcW w:w="332" w:type="dxa"/>
            <w:tcBorders>
              <w:top w:val="single" w:sz="4" w:space="0" w:color="auto"/>
              <w:left w:val="single" w:sz="4" w:space="0" w:color="auto"/>
              <w:bottom w:val="single" w:sz="4" w:space="0" w:color="auto"/>
              <w:right w:val="single" w:sz="4" w:space="0" w:color="auto"/>
            </w:tcBorders>
            <w:vAlign w:val="center"/>
            <w:hideMark/>
          </w:tcPr>
          <w:p w14:paraId="223A5E33" w14:textId="77777777" w:rsidR="00E11C96" w:rsidRDefault="00E11C96">
            <w:pPr>
              <w:pStyle w:val="Bezodstpw"/>
              <w:rPr>
                <w:rFonts w:cs="Times New Roman"/>
              </w:rPr>
            </w:pPr>
            <w:r>
              <w:t>Lp</w:t>
            </w:r>
          </w:p>
        </w:tc>
        <w:tc>
          <w:tcPr>
            <w:tcW w:w="7185" w:type="dxa"/>
            <w:tcBorders>
              <w:top w:val="single" w:sz="4" w:space="0" w:color="auto"/>
              <w:left w:val="single" w:sz="4" w:space="0" w:color="auto"/>
              <w:bottom w:val="single" w:sz="4" w:space="0" w:color="auto"/>
              <w:right w:val="single" w:sz="4" w:space="0" w:color="auto"/>
            </w:tcBorders>
            <w:vAlign w:val="center"/>
            <w:hideMark/>
          </w:tcPr>
          <w:p w14:paraId="343C82CD" w14:textId="77777777" w:rsidR="00E11C96" w:rsidRDefault="00E11C96">
            <w:pPr>
              <w:pStyle w:val="Bezodstpw"/>
            </w:pPr>
            <w:r>
              <w:t>Cechy</w:t>
            </w:r>
          </w:p>
        </w:tc>
        <w:tc>
          <w:tcPr>
            <w:tcW w:w="1745" w:type="dxa"/>
            <w:tcBorders>
              <w:top w:val="single" w:sz="4" w:space="0" w:color="auto"/>
              <w:left w:val="single" w:sz="4" w:space="0" w:color="auto"/>
              <w:bottom w:val="single" w:sz="4" w:space="0" w:color="auto"/>
              <w:right w:val="single" w:sz="4" w:space="0" w:color="auto"/>
            </w:tcBorders>
            <w:vAlign w:val="center"/>
            <w:hideMark/>
          </w:tcPr>
          <w:p w14:paraId="1072B5C3" w14:textId="77777777" w:rsidR="00E11C96" w:rsidRDefault="00E11C96">
            <w:pPr>
              <w:pStyle w:val="Bezodstpw"/>
            </w:pPr>
            <w:r>
              <w:t>Wartość</w:t>
            </w:r>
          </w:p>
        </w:tc>
      </w:tr>
      <w:tr w:rsidR="00E11C96" w14:paraId="56F94E1D" w14:textId="77777777" w:rsidTr="00E11C96">
        <w:trPr>
          <w:jc w:val="center"/>
        </w:trPr>
        <w:tc>
          <w:tcPr>
            <w:tcW w:w="332" w:type="dxa"/>
            <w:tcBorders>
              <w:top w:val="single" w:sz="4" w:space="0" w:color="auto"/>
              <w:left w:val="single" w:sz="4" w:space="0" w:color="auto"/>
              <w:bottom w:val="single" w:sz="4" w:space="0" w:color="auto"/>
              <w:right w:val="single" w:sz="4" w:space="0" w:color="auto"/>
            </w:tcBorders>
            <w:hideMark/>
          </w:tcPr>
          <w:p w14:paraId="57B38698" w14:textId="77777777" w:rsidR="00E11C96" w:rsidRDefault="00E11C96">
            <w:pPr>
              <w:pStyle w:val="Bezodstpw"/>
            </w:pPr>
            <w:r>
              <w:t>1</w:t>
            </w:r>
          </w:p>
        </w:tc>
        <w:tc>
          <w:tcPr>
            <w:tcW w:w="7185" w:type="dxa"/>
            <w:tcBorders>
              <w:top w:val="single" w:sz="4" w:space="0" w:color="auto"/>
              <w:left w:val="single" w:sz="4" w:space="0" w:color="auto"/>
              <w:bottom w:val="single" w:sz="4" w:space="0" w:color="auto"/>
              <w:right w:val="single" w:sz="4" w:space="0" w:color="auto"/>
            </w:tcBorders>
            <w:hideMark/>
          </w:tcPr>
          <w:p w14:paraId="1D3F6C22" w14:textId="77777777" w:rsidR="00E11C96" w:rsidRDefault="00E11C96">
            <w:pPr>
              <w:pStyle w:val="Bezodstpw"/>
            </w:pPr>
            <w:r>
              <w:t xml:space="preserve">Wytrzymałości charakterystyczna na rozciąganie przy rozłupywaniu co najmniej; MPa,  </w:t>
            </w:r>
          </w:p>
          <w:p w14:paraId="252411F2" w14:textId="77777777" w:rsidR="00E11C96" w:rsidRDefault="00E11C96">
            <w:pPr>
              <w:pStyle w:val="Bezodstpw"/>
            </w:pPr>
            <w:r>
              <w:t>- pojedynczy wynik co najmniej MPa,</w:t>
            </w:r>
          </w:p>
        </w:tc>
        <w:tc>
          <w:tcPr>
            <w:tcW w:w="1745" w:type="dxa"/>
            <w:tcBorders>
              <w:top w:val="single" w:sz="4" w:space="0" w:color="auto"/>
              <w:left w:val="single" w:sz="4" w:space="0" w:color="auto"/>
              <w:bottom w:val="single" w:sz="4" w:space="0" w:color="auto"/>
              <w:right w:val="single" w:sz="4" w:space="0" w:color="auto"/>
            </w:tcBorders>
            <w:hideMark/>
          </w:tcPr>
          <w:p w14:paraId="73D1303A" w14:textId="77777777" w:rsidR="00E11C96" w:rsidRDefault="00E11C96">
            <w:pPr>
              <w:pStyle w:val="Bezodstpw"/>
            </w:pPr>
            <w:r>
              <w:t>3,6</w:t>
            </w:r>
          </w:p>
          <w:p w14:paraId="3B340D91" w14:textId="77777777" w:rsidR="00E11C96" w:rsidRDefault="00E11C96">
            <w:pPr>
              <w:pStyle w:val="Bezodstpw"/>
            </w:pPr>
            <w:r>
              <w:t>2,9</w:t>
            </w:r>
          </w:p>
        </w:tc>
      </w:tr>
      <w:tr w:rsidR="00E11C96" w14:paraId="1815F675" w14:textId="77777777" w:rsidTr="00E11C96">
        <w:trPr>
          <w:jc w:val="center"/>
        </w:trPr>
        <w:tc>
          <w:tcPr>
            <w:tcW w:w="332" w:type="dxa"/>
            <w:tcBorders>
              <w:top w:val="single" w:sz="4" w:space="0" w:color="auto"/>
              <w:left w:val="single" w:sz="4" w:space="0" w:color="auto"/>
              <w:bottom w:val="single" w:sz="4" w:space="0" w:color="auto"/>
              <w:right w:val="single" w:sz="4" w:space="0" w:color="auto"/>
            </w:tcBorders>
            <w:hideMark/>
          </w:tcPr>
          <w:p w14:paraId="35369197" w14:textId="77777777" w:rsidR="00E11C96" w:rsidRDefault="00E11C96">
            <w:pPr>
              <w:pStyle w:val="Bezodstpw"/>
            </w:pPr>
            <w:r>
              <w:t>2</w:t>
            </w:r>
          </w:p>
        </w:tc>
        <w:tc>
          <w:tcPr>
            <w:tcW w:w="7185" w:type="dxa"/>
            <w:tcBorders>
              <w:top w:val="single" w:sz="4" w:space="0" w:color="auto"/>
              <w:left w:val="single" w:sz="4" w:space="0" w:color="auto"/>
              <w:bottom w:val="single" w:sz="4" w:space="0" w:color="auto"/>
              <w:right w:val="single" w:sz="4" w:space="0" w:color="auto"/>
            </w:tcBorders>
            <w:hideMark/>
          </w:tcPr>
          <w:p w14:paraId="097C2CA5" w14:textId="77777777" w:rsidR="00E11C96" w:rsidRDefault="00E11C96">
            <w:pPr>
              <w:pStyle w:val="Bezodstpw"/>
            </w:pPr>
            <w:r>
              <w:t>Odporność na zamrażanie, rozmrażanie z udziałem soli odladzających - ubytek masy po badaniu średnio kg/m</w:t>
            </w:r>
            <w:r>
              <w:rPr>
                <w:vertAlign w:val="superscript"/>
              </w:rPr>
              <w:t>2</w:t>
            </w:r>
            <w:r>
              <w:t>,</w:t>
            </w:r>
          </w:p>
          <w:p w14:paraId="7BC960CC" w14:textId="77777777" w:rsidR="00E11C96" w:rsidRDefault="00E11C96">
            <w:pPr>
              <w:pStyle w:val="Bezodstpw"/>
            </w:pPr>
            <w:r>
              <w:t>- pojedynczy wynik kg/m</w:t>
            </w:r>
            <w:r>
              <w:rPr>
                <w:vertAlign w:val="superscript"/>
              </w:rPr>
              <w:t>2</w:t>
            </w:r>
            <w:r>
              <w:t>,</w:t>
            </w:r>
          </w:p>
        </w:tc>
        <w:tc>
          <w:tcPr>
            <w:tcW w:w="1745" w:type="dxa"/>
            <w:tcBorders>
              <w:top w:val="single" w:sz="4" w:space="0" w:color="auto"/>
              <w:left w:val="single" w:sz="4" w:space="0" w:color="auto"/>
              <w:bottom w:val="single" w:sz="4" w:space="0" w:color="auto"/>
              <w:right w:val="single" w:sz="4" w:space="0" w:color="auto"/>
            </w:tcBorders>
          </w:tcPr>
          <w:p w14:paraId="77936E6A" w14:textId="77777777" w:rsidR="00E11C96" w:rsidRDefault="00E11C96">
            <w:pPr>
              <w:pStyle w:val="Bezodstpw"/>
            </w:pPr>
          </w:p>
          <w:p w14:paraId="6DFFBF88" w14:textId="77777777" w:rsidR="00E11C96" w:rsidRDefault="00E11C96">
            <w:pPr>
              <w:pStyle w:val="Bezodstpw"/>
            </w:pPr>
            <w:r>
              <w:t>≤1,0</w:t>
            </w:r>
          </w:p>
          <w:p w14:paraId="0763BB52" w14:textId="77777777" w:rsidR="00E11C96" w:rsidRDefault="00E11C96">
            <w:pPr>
              <w:pStyle w:val="Bezodstpw"/>
            </w:pPr>
            <w:r>
              <w:t>≤1,5</w:t>
            </w:r>
          </w:p>
        </w:tc>
      </w:tr>
      <w:tr w:rsidR="00E11C96" w14:paraId="28486FE5" w14:textId="77777777" w:rsidTr="00E11C96">
        <w:trPr>
          <w:jc w:val="center"/>
        </w:trPr>
        <w:tc>
          <w:tcPr>
            <w:tcW w:w="332" w:type="dxa"/>
            <w:tcBorders>
              <w:top w:val="single" w:sz="4" w:space="0" w:color="auto"/>
              <w:left w:val="single" w:sz="4" w:space="0" w:color="auto"/>
              <w:bottom w:val="single" w:sz="4" w:space="0" w:color="auto"/>
              <w:right w:val="single" w:sz="4" w:space="0" w:color="auto"/>
            </w:tcBorders>
            <w:hideMark/>
          </w:tcPr>
          <w:p w14:paraId="1D9CACCA" w14:textId="77777777" w:rsidR="00E11C96" w:rsidRDefault="00E11C96">
            <w:pPr>
              <w:pStyle w:val="Bezodstpw"/>
            </w:pPr>
            <w:r>
              <w:t>3</w:t>
            </w:r>
          </w:p>
        </w:tc>
        <w:tc>
          <w:tcPr>
            <w:tcW w:w="7185" w:type="dxa"/>
            <w:tcBorders>
              <w:top w:val="single" w:sz="4" w:space="0" w:color="auto"/>
              <w:left w:val="single" w:sz="4" w:space="0" w:color="auto"/>
              <w:bottom w:val="single" w:sz="4" w:space="0" w:color="auto"/>
              <w:right w:val="single" w:sz="4" w:space="0" w:color="auto"/>
            </w:tcBorders>
            <w:hideMark/>
          </w:tcPr>
          <w:p w14:paraId="1E9D8366" w14:textId="77777777" w:rsidR="00E11C96" w:rsidRDefault="00E11C96">
            <w:pPr>
              <w:pStyle w:val="Bezodstpw"/>
            </w:pPr>
            <w:r>
              <w:t>Odporność na ścieranie metodą z zał. G mm</w:t>
            </w:r>
          </w:p>
          <w:p w14:paraId="1BC69482" w14:textId="77777777" w:rsidR="00E11C96" w:rsidRDefault="00E11C96">
            <w:pPr>
              <w:pStyle w:val="Bezodstpw"/>
            </w:pPr>
            <w:r>
              <w:t>lub metodą alternatywną z zał. H mm</w:t>
            </w:r>
            <w:r>
              <w:rPr>
                <w:vertAlign w:val="superscript"/>
              </w:rPr>
              <w:t>3</w:t>
            </w:r>
            <w:r>
              <w:t>/mm</w:t>
            </w:r>
            <w:r>
              <w:rPr>
                <w:vertAlign w:val="superscript"/>
              </w:rPr>
              <w:t>2</w:t>
            </w:r>
          </w:p>
        </w:tc>
        <w:tc>
          <w:tcPr>
            <w:tcW w:w="1745" w:type="dxa"/>
            <w:tcBorders>
              <w:top w:val="single" w:sz="4" w:space="0" w:color="auto"/>
              <w:left w:val="single" w:sz="4" w:space="0" w:color="auto"/>
              <w:bottom w:val="single" w:sz="4" w:space="0" w:color="auto"/>
              <w:right w:val="single" w:sz="4" w:space="0" w:color="auto"/>
            </w:tcBorders>
            <w:hideMark/>
          </w:tcPr>
          <w:p w14:paraId="2C3BF866" w14:textId="77777777" w:rsidR="00E11C96" w:rsidRDefault="00E11C96">
            <w:pPr>
              <w:pStyle w:val="Bezodstpw"/>
            </w:pPr>
            <w:r>
              <w:t>≤20</w:t>
            </w:r>
          </w:p>
          <w:p w14:paraId="13B52B3D" w14:textId="77777777" w:rsidR="00E11C96" w:rsidRDefault="00E11C96">
            <w:pPr>
              <w:pStyle w:val="Bezodstpw"/>
            </w:pPr>
            <w:r>
              <w:lastRenderedPageBreak/>
              <w:t>≤18000/5000 (klasa 4 oznaczenie I)</w:t>
            </w:r>
          </w:p>
        </w:tc>
      </w:tr>
      <w:tr w:rsidR="00E11C96" w14:paraId="448FE76F" w14:textId="77777777" w:rsidTr="00E11C96">
        <w:trPr>
          <w:jc w:val="center"/>
        </w:trPr>
        <w:tc>
          <w:tcPr>
            <w:tcW w:w="332" w:type="dxa"/>
            <w:tcBorders>
              <w:top w:val="single" w:sz="4" w:space="0" w:color="auto"/>
              <w:left w:val="single" w:sz="4" w:space="0" w:color="auto"/>
              <w:bottom w:val="single" w:sz="4" w:space="0" w:color="auto"/>
              <w:right w:val="single" w:sz="4" w:space="0" w:color="auto"/>
            </w:tcBorders>
            <w:hideMark/>
          </w:tcPr>
          <w:p w14:paraId="7DF96886" w14:textId="77777777" w:rsidR="00E11C96" w:rsidRDefault="00E11C96">
            <w:pPr>
              <w:pStyle w:val="Bezodstpw"/>
            </w:pPr>
            <w:r>
              <w:lastRenderedPageBreak/>
              <w:t>4.</w:t>
            </w:r>
          </w:p>
        </w:tc>
        <w:tc>
          <w:tcPr>
            <w:tcW w:w="7185" w:type="dxa"/>
            <w:tcBorders>
              <w:top w:val="single" w:sz="4" w:space="0" w:color="auto"/>
              <w:left w:val="single" w:sz="4" w:space="0" w:color="auto"/>
              <w:bottom w:val="single" w:sz="4" w:space="0" w:color="auto"/>
              <w:right w:val="single" w:sz="4" w:space="0" w:color="auto"/>
            </w:tcBorders>
            <w:hideMark/>
          </w:tcPr>
          <w:p w14:paraId="642BCFB1" w14:textId="77777777" w:rsidR="00E11C96" w:rsidRDefault="00E11C96">
            <w:pPr>
              <w:pStyle w:val="Bezodstpw"/>
            </w:pPr>
            <w:r>
              <w:t>Nasiąkliwość; %</w:t>
            </w:r>
          </w:p>
        </w:tc>
        <w:tc>
          <w:tcPr>
            <w:tcW w:w="1745" w:type="dxa"/>
            <w:tcBorders>
              <w:top w:val="single" w:sz="4" w:space="0" w:color="auto"/>
              <w:left w:val="single" w:sz="4" w:space="0" w:color="auto"/>
              <w:bottom w:val="single" w:sz="4" w:space="0" w:color="auto"/>
              <w:right w:val="single" w:sz="4" w:space="0" w:color="auto"/>
            </w:tcBorders>
            <w:hideMark/>
          </w:tcPr>
          <w:p w14:paraId="7FCBB29B" w14:textId="77777777" w:rsidR="00E11C96" w:rsidRDefault="00E11C96">
            <w:pPr>
              <w:pStyle w:val="Bezodstpw"/>
            </w:pPr>
            <w:r>
              <w:t>≤6,0</w:t>
            </w:r>
          </w:p>
        </w:tc>
      </w:tr>
    </w:tbl>
    <w:p w14:paraId="5FAE625E" w14:textId="77777777" w:rsidR="00E11C96" w:rsidRDefault="00E11C96" w:rsidP="00E11C96">
      <w:pPr>
        <w:pStyle w:val="Nagwek3"/>
      </w:pPr>
      <w:r>
        <w:rPr>
          <w:b w:val="0"/>
        </w:rPr>
        <w:t>2.1.3. Wygląd zewnętrzny</w:t>
      </w:r>
    </w:p>
    <w:p w14:paraId="40009035" w14:textId="77777777" w:rsidR="00E11C96" w:rsidRDefault="00E11C96" w:rsidP="00E11C96">
      <w:pPr>
        <w:rPr>
          <w:rFonts w:cs="Arial"/>
        </w:rPr>
      </w:pPr>
      <w:r>
        <w:rPr>
          <w:rFonts w:cs="Arial"/>
        </w:rPr>
        <w:t>Górna powierzchnia wyrobu powinna być bez rys, odprysków i rozwarstwienia między warstwami. Jeżeli maksymalne wymiary kostki są większe od 300mm to odchyłki dla górnej płaskiej powierzchni wynoszą:</w:t>
      </w:r>
    </w:p>
    <w:p w14:paraId="70A915D8" w14:textId="77777777" w:rsidR="00E11C96" w:rsidRDefault="00E11C96" w:rsidP="00E11C96">
      <w:pPr>
        <w:ind w:firstLine="992"/>
        <w:rPr>
          <w:rFonts w:cs="Arial"/>
        </w:rPr>
      </w:pPr>
      <w:r>
        <w:rPr>
          <w:rFonts w:cs="Arial"/>
        </w:rPr>
        <w:t>- dla długości pomiarowej 300mm max wypukłość 1,5mm i max wklęsłość 1,0mm</w:t>
      </w:r>
    </w:p>
    <w:p w14:paraId="21B80272" w14:textId="77777777" w:rsidR="00E11C96" w:rsidRDefault="00E11C96" w:rsidP="00E11C96">
      <w:pPr>
        <w:ind w:firstLine="992"/>
        <w:rPr>
          <w:rFonts w:cs="Arial"/>
        </w:rPr>
      </w:pPr>
      <w:r>
        <w:rPr>
          <w:rFonts w:cs="Arial"/>
        </w:rPr>
        <w:t>- dla długości pomiarowej 400mm max wypukłość 2,0mm i max wklęsłość 1,5mm</w:t>
      </w:r>
    </w:p>
    <w:p w14:paraId="2B42965F" w14:textId="77777777" w:rsidR="00E11C96" w:rsidRDefault="00E11C96" w:rsidP="00E11C96">
      <w:pPr>
        <w:pStyle w:val="Nagwek3"/>
      </w:pPr>
      <w:r>
        <w:rPr>
          <w:b w:val="0"/>
        </w:rPr>
        <w:t>2.1.4. Kształt i wymiary</w:t>
      </w:r>
    </w:p>
    <w:p w14:paraId="348F94E0" w14:textId="77777777" w:rsidR="00E11C96" w:rsidRDefault="00E11C96" w:rsidP="00E11C96">
      <w:pPr>
        <w:rPr>
          <w:rFonts w:cs="Arial"/>
        </w:rPr>
      </w:pPr>
      <w:r>
        <w:rPr>
          <w:rFonts w:cs="Arial"/>
        </w:rPr>
        <w:t>Tolerancje wymiarowe wynoszą:</w:t>
      </w:r>
    </w:p>
    <w:p w14:paraId="034F3177" w14:textId="77777777" w:rsidR="00E11C96" w:rsidRDefault="00E11C96" w:rsidP="00E11C96">
      <w:pPr>
        <w:pStyle w:val="Nagwek8"/>
        <w:numPr>
          <w:ilvl w:val="0"/>
          <w:numId w:val="65"/>
        </w:numPr>
      </w:pPr>
      <w:r>
        <w:t>na długości</w:t>
      </w:r>
      <w:r>
        <w:sym w:font="Symbol" w:char="F0B1"/>
      </w:r>
      <w:r>
        <w:t xml:space="preserve"> 2 mm,</w:t>
      </w:r>
    </w:p>
    <w:p w14:paraId="10295EC7" w14:textId="77777777" w:rsidR="00E11C96" w:rsidRDefault="00E11C96" w:rsidP="00E11C96">
      <w:pPr>
        <w:pStyle w:val="Nagwek8"/>
        <w:numPr>
          <w:ilvl w:val="0"/>
          <w:numId w:val="65"/>
        </w:numPr>
      </w:pPr>
      <w:r>
        <w:t>na szerokości</w:t>
      </w:r>
      <w:r>
        <w:sym w:font="Symbol" w:char="F0B1"/>
      </w:r>
      <w:r>
        <w:t xml:space="preserve"> 2 mm,</w:t>
      </w:r>
    </w:p>
    <w:p w14:paraId="1E25A2C8" w14:textId="77777777" w:rsidR="00E11C96" w:rsidRDefault="00E11C96" w:rsidP="00E11C96">
      <w:pPr>
        <w:pStyle w:val="Nagwek8"/>
        <w:numPr>
          <w:ilvl w:val="0"/>
          <w:numId w:val="65"/>
        </w:numPr>
      </w:pPr>
      <w:r>
        <w:t>na grubości</w:t>
      </w:r>
      <w:r>
        <w:sym w:font="Symbol" w:char="F0B1"/>
      </w:r>
      <w:r>
        <w:t xml:space="preserve"> 3 mm.</w:t>
      </w:r>
    </w:p>
    <w:p w14:paraId="24E29CC3" w14:textId="77777777" w:rsidR="00E11C96" w:rsidRDefault="00E11C96" w:rsidP="00E11C96">
      <w:pPr>
        <w:rPr>
          <w:rFonts w:cs="Arial"/>
        </w:rPr>
      </w:pPr>
      <w:r>
        <w:rPr>
          <w:rFonts w:cs="Arial"/>
        </w:rPr>
        <w:t>Różnica pomiędzy dwoma pomiarami grubości tej samej kostki powinna być ≤3mm. Maksymalne dopuszczalne różnice pomiędzy pomiarami dwóch przekątnych prostokątnej kostki, której długość przekątnej przekracza 300mm wynoszą dla klasy J  5mm i klasy K  3mm.</w:t>
      </w:r>
    </w:p>
    <w:p w14:paraId="24A4B0F8" w14:textId="77777777" w:rsidR="00E11C96" w:rsidRDefault="00E11C96" w:rsidP="00E11C96">
      <w:pPr>
        <w:rPr>
          <w:rFonts w:cs="Arial"/>
        </w:rPr>
      </w:pPr>
    </w:p>
    <w:p w14:paraId="5D25E28C" w14:textId="77777777" w:rsidR="00E11C96" w:rsidRDefault="00E11C96" w:rsidP="00E11C96">
      <w:pPr>
        <w:pStyle w:val="Nagwek2"/>
      </w:pPr>
      <w:r>
        <w:rPr>
          <w:b w:val="0"/>
        </w:rPr>
        <w:t xml:space="preserve">2.2.  Piasek na podsypkę </w:t>
      </w:r>
    </w:p>
    <w:p w14:paraId="11710781" w14:textId="77777777" w:rsidR="00E11C96" w:rsidRDefault="00E11C96" w:rsidP="00E11C96">
      <w:pPr>
        <w:widowControl w:val="0"/>
        <w:tabs>
          <w:tab w:val="left" w:pos="0"/>
          <w:tab w:val="left" w:pos="900"/>
          <w:tab w:val="left" w:pos="1800"/>
          <w:tab w:val="left" w:pos="2700"/>
          <w:tab w:val="left" w:pos="3600"/>
          <w:tab w:val="left" w:pos="4500"/>
          <w:tab w:val="left" w:pos="5400"/>
          <w:tab w:val="left" w:pos="6300"/>
          <w:tab w:val="left" w:pos="7200"/>
          <w:tab w:val="left" w:pos="8100"/>
          <w:tab w:val="left" w:pos="9000"/>
          <w:tab w:val="left" w:pos="9900"/>
        </w:tabs>
        <w:rPr>
          <w:rFonts w:cs="Arial"/>
        </w:rPr>
      </w:pPr>
      <w:r>
        <w:rPr>
          <w:rFonts w:cs="Arial"/>
        </w:rPr>
        <w:t>Należy stosować piasek odpowiadający wymaganiom PN</w:t>
      </w:r>
      <w:r>
        <w:rPr>
          <w:rFonts w:cs="Arial"/>
        </w:rPr>
        <w:noBreakHyphen/>
        <w:t xml:space="preserve">EN 13242. Piasek użyty na podsypkę nie może zawierać domieszek gliny w ilościach przekraczających 5 %. Piasek do pielęgnacji wykonanego chodnika – należy użyć piasku opisanego wyżej. </w:t>
      </w:r>
    </w:p>
    <w:p w14:paraId="38398FE5" w14:textId="77777777" w:rsidR="00E11C96" w:rsidRDefault="00E11C96" w:rsidP="00E11C96">
      <w:pPr>
        <w:pStyle w:val="Nagwek2"/>
      </w:pPr>
      <w:r>
        <w:rPr>
          <w:b w:val="0"/>
        </w:rPr>
        <w:t>2.3. Cement</w:t>
      </w:r>
    </w:p>
    <w:p w14:paraId="1352083B" w14:textId="77777777" w:rsidR="00E11C96" w:rsidRDefault="00E11C96" w:rsidP="00E11C96">
      <w:pPr>
        <w:rPr>
          <w:rFonts w:cs="Arial"/>
          <w:b/>
        </w:rPr>
      </w:pPr>
      <w:r>
        <w:rPr>
          <w:rFonts w:cs="Arial"/>
        </w:rPr>
        <w:t>Na podsypkę cementowo – piaskową należy stosować cement portlandzki klasy 32,5 wg PN-EN 197-1:2002.</w:t>
      </w:r>
      <w:r>
        <w:rPr>
          <w:rFonts w:cs="Arial"/>
          <w:b/>
        </w:rPr>
        <w:t xml:space="preserve"> </w:t>
      </w:r>
      <w:r>
        <w:rPr>
          <w:rFonts w:cs="Arial"/>
        </w:rPr>
        <w:t>Badanie cementu należy wykonać zgodnie z PN-EN 196.</w:t>
      </w:r>
    </w:p>
    <w:p w14:paraId="4D127036" w14:textId="77777777" w:rsidR="00E11C96" w:rsidRDefault="00E11C96" w:rsidP="00E11C96">
      <w:pPr>
        <w:rPr>
          <w:rFonts w:cs="Arial"/>
        </w:rPr>
      </w:pPr>
      <w:r>
        <w:rPr>
          <w:rFonts w:cs="Arial"/>
        </w:rPr>
        <w:t>Przechowywanie cementu powinno odbywać się zgodnie z BN-88/6731-08.</w:t>
      </w:r>
    </w:p>
    <w:p w14:paraId="5767AAF9" w14:textId="77777777" w:rsidR="00E11C96" w:rsidRDefault="00E11C96" w:rsidP="00E11C96">
      <w:pPr>
        <w:rPr>
          <w:rFonts w:cs="Arial"/>
        </w:rPr>
      </w:pPr>
      <w:r>
        <w:rPr>
          <w:rFonts w:cs="Arial"/>
        </w:rPr>
        <w:t>W przypadku, gdy czas przechowywania cementu będzie dłuższy od trzech miesięcy, można go stosować za zgodą Inspektora Nadzoru Inwestorskiego tylko wtedy, gdy badania laboratoryjne wykażą jego przydatność do robót.</w:t>
      </w:r>
    </w:p>
    <w:p w14:paraId="3F16E6C0" w14:textId="77777777" w:rsidR="00E11C96" w:rsidRDefault="00E11C96" w:rsidP="00E11C96">
      <w:pPr>
        <w:pStyle w:val="Nagwek2"/>
      </w:pPr>
      <w:r>
        <w:rPr>
          <w:b w:val="0"/>
          <w:lang w:val="pl-PL"/>
        </w:rPr>
        <w:t xml:space="preserve">2.4 </w:t>
      </w:r>
      <w:r>
        <w:rPr>
          <w:b w:val="0"/>
        </w:rPr>
        <w:t>Podsypka cementowo – piaskowa</w:t>
      </w:r>
    </w:p>
    <w:p w14:paraId="6C9F3AD9" w14:textId="77777777" w:rsidR="00E11C96" w:rsidRDefault="00E11C96" w:rsidP="00E11C96">
      <w:pPr>
        <w:rPr>
          <w:rFonts w:cs="Arial"/>
        </w:rPr>
      </w:pPr>
      <w:r>
        <w:rPr>
          <w:rFonts w:cs="Arial"/>
        </w:rPr>
        <w:t>Nie dopuszcza się wykonywania podsypki cementowo – piaskowej na miejscu – należy przywieźć gotowy materiał z betoniarni</w:t>
      </w:r>
    </w:p>
    <w:p w14:paraId="33A194A3" w14:textId="77777777" w:rsidR="00E11C96" w:rsidRDefault="00E11C96" w:rsidP="00E11C96">
      <w:pPr>
        <w:pStyle w:val="Nagwek2"/>
      </w:pPr>
      <w:r>
        <w:rPr>
          <w:b w:val="0"/>
        </w:rPr>
        <w:t>2.</w:t>
      </w:r>
      <w:r>
        <w:rPr>
          <w:b w:val="0"/>
          <w:lang w:val="pl-PL"/>
        </w:rPr>
        <w:t>5</w:t>
      </w:r>
      <w:r>
        <w:rPr>
          <w:b w:val="0"/>
        </w:rPr>
        <w:t xml:space="preserve">. Woda </w:t>
      </w:r>
    </w:p>
    <w:p w14:paraId="58D00A27" w14:textId="77777777" w:rsidR="00E11C96" w:rsidRDefault="00E11C96" w:rsidP="00E11C96">
      <w:pPr>
        <w:rPr>
          <w:bCs/>
          <w:u w:val="single"/>
        </w:rPr>
      </w:pPr>
      <w:r>
        <w:rPr>
          <w:rFonts w:cs="Arial"/>
        </w:rPr>
        <w:t>Należy stosować wodę odpowiadającą wymaganiom PN-EN 1008.</w:t>
      </w:r>
    </w:p>
    <w:p w14:paraId="40226B4F" w14:textId="77777777" w:rsidR="00E11C96" w:rsidRDefault="00E11C96" w:rsidP="00E11C96">
      <w:pPr>
        <w:pStyle w:val="Nagwek1"/>
      </w:pPr>
      <w:r>
        <w:rPr>
          <w:b w:val="0"/>
        </w:rPr>
        <w:t>3. sprzęt</w:t>
      </w:r>
    </w:p>
    <w:p w14:paraId="037B9A2F" w14:textId="77777777" w:rsidR="00E11C96" w:rsidRDefault="00E11C96" w:rsidP="00E11C96">
      <w:pPr>
        <w:pStyle w:val="Nagwek2"/>
        <w:rPr>
          <w:b w:val="0"/>
        </w:rPr>
      </w:pPr>
      <w:r>
        <w:rPr>
          <w:b w:val="0"/>
        </w:rPr>
        <w:t>3.1. Ogólne wymagania dotyczące sprzętu</w:t>
      </w:r>
    </w:p>
    <w:p w14:paraId="37D6A071" w14:textId="77777777" w:rsidR="00E11C96" w:rsidRDefault="00E11C96" w:rsidP="00E11C96">
      <w:r>
        <w:t>Ogólne wymagania dotyczące sprzętu podano w SST D-M-00.00.00 „Wymagania ogólne” pkt 3.</w:t>
      </w:r>
    </w:p>
    <w:p w14:paraId="3FD5DEB3" w14:textId="77777777" w:rsidR="00E11C96" w:rsidRDefault="00E11C96" w:rsidP="00E11C96">
      <w:pPr>
        <w:pStyle w:val="Nagwek2"/>
      </w:pPr>
      <w:r>
        <w:rPr>
          <w:b w:val="0"/>
        </w:rPr>
        <w:t>3.2. Sprzęt do wykonania chodnika z kostki brukowej</w:t>
      </w:r>
    </w:p>
    <w:p w14:paraId="0ACD5618" w14:textId="77777777" w:rsidR="00E11C96" w:rsidRDefault="00E11C96" w:rsidP="00E11C96">
      <w:r>
        <w:t>Małe powierzchnie chodnika z kostki brukowej wykonuje się ręcznie.</w:t>
      </w:r>
    </w:p>
    <w:p w14:paraId="026C7AC3" w14:textId="77777777" w:rsidR="00E11C96" w:rsidRDefault="00E11C96" w:rsidP="00E11C96">
      <w:r>
        <w:t xml:space="preserve">Jeśli powierzchnie są duże, a kostki brukowe mają jednolity kształt i kolor, można stosować mechaniczne urządzenia układające. Urządzenie składa się z wózka i chwytaka sterowanego hydraulicznie, służącego do przenoszenia z palety warstwy kostek na miejsce ich ułożenia. </w:t>
      </w:r>
    </w:p>
    <w:p w14:paraId="16AE4C7B" w14:textId="77777777" w:rsidR="00E11C96" w:rsidRDefault="00E11C96" w:rsidP="00E11C96">
      <w:r>
        <w:lastRenderedPageBreak/>
        <w:t>Do zagęszczenia nawierzchni stosuje się wibratory płytowe z osłoną z tworzywa sztucznego.</w:t>
      </w:r>
    </w:p>
    <w:p w14:paraId="37B8C2A9" w14:textId="77777777" w:rsidR="00E11C96" w:rsidRDefault="00E11C96" w:rsidP="00E11C96">
      <w:pPr>
        <w:pStyle w:val="Nagwek1"/>
      </w:pPr>
      <w:r>
        <w:rPr>
          <w:b w:val="0"/>
        </w:rPr>
        <w:t>4. transport</w:t>
      </w:r>
    </w:p>
    <w:p w14:paraId="46108BCF" w14:textId="77777777" w:rsidR="00E11C96" w:rsidRDefault="00E11C96" w:rsidP="00E11C96">
      <w:pPr>
        <w:pStyle w:val="Nagwek2"/>
        <w:rPr>
          <w:b w:val="0"/>
        </w:rPr>
      </w:pPr>
      <w:r>
        <w:rPr>
          <w:b w:val="0"/>
        </w:rPr>
        <w:t>4.1. Ogólne wymagania dotyczące transportu</w:t>
      </w:r>
    </w:p>
    <w:p w14:paraId="03D069CE" w14:textId="77777777" w:rsidR="00E11C96" w:rsidRDefault="00E11C96" w:rsidP="00E11C96">
      <w:r>
        <w:t>Ogólne wymagania dotyczące transportu podano w SST D-M-00.00.00 „Wymagania ogólne” pkt 4.</w:t>
      </w:r>
    </w:p>
    <w:p w14:paraId="6D77C2FF" w14:textId="77777777" w:rsidR="00E11C96" w:rsidRDefault="00E11C96" w:rsidP="00E11C96">
      <w:pPr>
        <w:pStyle w:val="Nagwek2"/>
      </w:pPr>
      <w:r>
        <w:rPr>
          <w:b w:val="0"/>
        </w:rPr>
        <w:t>4.2. Transport betonowych kostek brukowych</w:t>
      </w:r>
    </w:p>
    <w:p w14:paraId="2680B590" w14:textId="77777777" w:rsidR="00E11C96" w:rsidRDefault="00E11C96" w:rsidP="00E11C96">
      <w:r>
        <w:t>Uformowane w czasie produkcji kostki betonowe układane są warstwowo na palecie. Po uzyskaniu wytrzymałości betonu min. 0,7 wytrzymałości projektowanej, kostki przewożone są na stanowisko, gdzie specjalne urządzenie pakuje je w folię i spina taśmą stalową, co gwarantuje transport samochodami w nienaruszonym stanie.</w:t>
      </w:r>
    </w:p>
    <w:p w14:paraId="32C211C8" w14:textId="77777777" w:rsidR="00E11C96" w:rsidRDefault="00E11C96" w:rsidP="00E11C96">
      <w:r>
        <w:t>Kostki betonowe można również przewozić samochodami na paletach transportowych producenta.</w:t>
      </w:r>
    </w:p>
    <w:p w14:paraId="5A30EF89" w14:textId="77777777" w:rsidR="00E11C96" w:rsidRDefault="00E11C96" w:rsidP="00E11C96">
      <w:pPr>
        <w:pStyle w:val="Nagwek1"/>
      </w:pPr>
      <w:r>
        <w:rPr>
          <w:b w:val="0"/>
        </w:rPr>
        <w:t>5. WYKONANIE ROBÓT</w:t>
      </w:r>
    </w:p>
    <w:p w14:paraId="2262385B" w14:textId="77777777" w:rsidR="00E11C96" w:rsidRDefault="00E11C96" w:rsidP="00E11C96">
      <w:pPr>
        <w:pStyle w:val="Nagwek2"/>
        <w:rPr>
          <w:b w:val="0"/>
        </w:rPr>
      </w:pPr>
      <w:r>
        <w:rPr>
          <w:b w:val="0"/>
        </w:rPr>
        <w:t>5.1. Ogólne zasady wykonania robót</w:t>
      </w:r>
    </w:p>
    <w:p w14:paraId="2D18CFE1" w14:textId="77777777" w:rsidR="00E11C96" w:rsidRDefault="00E11C96" w:rsidP="00E11C96">
      <w:r>
        <w:t>Ogólne zasady wykonania robót podano w SST D-M-00.00.00 „Wymagania ogólne” pkt 5.</w:t>
      </w:r>
    </w:p>
    <w:p w14:paraId="2BEBB5E5" w14:textId="77777777" w:rsidR="00E11C96" w:rsidRDefault="00E11C96" w:rsidP="00E11C96">
      <w:pPr>
        <w:pStyle w:val="Nagwek2"/>
      </w:pPr>
      <w:r>
        <w:rPr>
          <w:b w:val="0"/>
        </w:rPr>
        <w:t>5.2. Koryto pod chodnik</w:t>
      </w:r>
    </w:p>
    <w:p w14:paraId="0CADCCCA" w14:textId="77777777" w:rsidR="00E11C96" w:rsidRDefault="00E11C96" w:rsidP="00E11C96">
      <w:r>
        <w:t>Koryto wykonane w podłożu powinno być wyprofilowane zgodnie z projektowanymi spadkami podłużnymi i poprzecznymi oraz zgodnie z wymaganiami podanymi w SST D-04.01.01 „Koryto wraz z profilowaniem i zagęszczeniem podłoża”. Wskaźnik zagęszczenia koryta nie powinien być mniejszy niż 0,97 według normalnej metody Proctora. Dopuszcza się jako alternatywę, po wykonaniu kalibracji, badania płytą dynamiczną i określenie Evd.</w:t>
      </w:r>
    </w:p>
    <w:p w14:paraId="02961683" w14:textId="77777777" w:rsidR="00E11C96" w:rsidRDefault="00E11C96" w:rsidP="00E11C96">
      <w:r>
        <w:t xml:space="preserve">Jeżeli dokumentacja projektowa nie określa inaczej, to nawierzchnię chodnika z kostki brukowej można wykonywać bezpośrednio na podłożu z gruntu piaszczystego o WP </w:t>
      </w:r>
      <w:r>
        <w:sym w:font="Symbol" w:char="F0B3"/>
      </w:r>
      <w:r>
        <w:t xml:space="preserve"> 35 [6] w uprzednio wykonanym korycie.</w:t>
      </w:r>
    </w:p>
    <w:p w14:paraId="52EA4ABF" w14:textId="77777777" w:rsidR="00E11C96" w:rsidRDefault="00E11C96" w:rsidP="00E11C96">
      <w:pPr>
        <w:pStyle w:val="Nagwek2"/>
      </w:pPr>
      <w:r>
        <w:rPr>
          <w:b w:val="0"/>
        </w:rPr>
        <w:t>5.3. Podsypka</w:t>
      </w:r>
    </w:p>
    <w:p w14:paraId="01427336" w14:textId="77777777" w:rsidR="00E11C96" w:rsidRDefault="00E11C96" w:rsidP="00E11C96">
      <w:pPr>
        <w:pStyle w:val="tekstost"/>
      </w:pPr>
      <w:r>
        <w:t xml:space="preserve">Grubość podsypki powinna wynosić po zagęszczeniu 4cm, a wymagania dla materiałów na podsypkę powinny być zgodne z pktem 2.3. Dopuszczalne odchyłki od zaprojektowanej grubości podsypki nie powinny przekraczać </w:t>
      </w:r>
      <w:r>
        <w:sym w:font="Symbol" w:char="F0B1"/>
      </w:r>
      <w:r>
        <w:t xml:space="preserve"> </w:t>
      </w:r>
      <w:smartTag w:uri="urn:schemas-microsoft-com:office:smarttags" w:element="metricconverter">
        <w:smartTagPr>
          <w:attr w:name="ProductID" w:val="1 cm"/>
        </w:smartTagPr>
        <w:r>
          <w:t>1 cm</w:t>
        </w:r>
      </w:smartTag>
      <w:r>
        <w:t>.</w:t>
      </w:r>
    </w:p>
    <w:p w14:paraId="6D4A7F5C" w14:textId="77777777" w:rsidR="00E11C96" w:rsidRDefault="00E11C96" w:rsidP="00E11C96">
      <w:pPr>
        <w:pStyle w:val="tekstost"/>
      </w:pPr>
      <w:r>
        <w:t xml:space="preserve"> Podsypkę cementowo-piaskową przygotowuje się w betoniarni (nie dopuszcza się mieszania na miejscu), a następnie rozściela się na uprzednio zwilżonej podbudowie, przy zachowaniu:</w:t>
      </w:r>
    </w:p>
    <w:p w14:paraId="5E04D4B9" w14:textId="77777777" w:rsidR="00E11C96" w:rsidRDefault="00E11C96" w:rsidP="00E11C96">
      <w:pPr>
        <w:pStyle w:val="Nagwek8"/>
        <w:numPr>
          <w:ilvl w:val="0"/>
          <w:numId w:val="65"/>
        </w:numPr>
      </w:pPr>
      <w:r>
        <w:t>współczynnika wodno-cementowego od 0,25 do 0,35,</w:t>
      </w:r>
    </w:p>
    <w:p w14:paraId="7A619C96" w14:textId="77777777" w:rsidR="00E11C96" w:rsidRDefault="00E11C96" w:rsidP="00E11C96">
      <w:pPr>
        <w:pStyle w:val="Nagwek8"/>
        <w:numPr>
          <w:ilvl w:val="0"/>
          <w:numId w:val="65"/>
        </w:numPr>
      </w:pPr>
      <w:r>
        <w:t>wytrzymałości na ściskanie nie mniejszej niż R</w:t>
      </w:r>
      <w:r>
        <w:rPr>
          <w:vertAlign w:val="subscript"/>
        </w:rPr>
        <w:t>7</w:t>
      </w:r>
      <w:r>
        <w:t xml:space="preserve"> = 10 MPa, R</w:t>
      </w:r>
      <w:r>
        <w:rPr>
          <w:vertAlign w:val="subscript"/>
        </w:rPr>
        <w:t>28</w:t>
      </w:r>
      <w:r>
        <w:t xml:space="preserve"> = 14 MPa.</w:t>
      </w:r>
    </w:p>
    <w:p w14:paraId="0DC12F77" w14:textId="77777777" w:rsidR="00E11C96" w:rsidRDefault="00E11C96" w:rsidP="00E11C96">
      <w:r>
        <w:t xml:space="preserve">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w:t>
      </w:r>
      <w:smartTag w:uri="urn:schemas-microsoft-com:office:smarttags" w:element="metricconverter">
        <w:smartTagPr>
          <w:attr w:name="ProductID" w:val="4 m"/>
        </w:smartTagPr>
        <w:r>
          <w:t>4 m</w:t>
        </w:r>
      </w:smartTag>
      <w:r>
        <w:t>. Rozścielona podsypka powinna być wyprofilowana i zagęszczona w stanie wilgotnym, lekkimi walcami (np. ręcznymi) lub zagęszczarkami wibracyjnymi.</w:t>
      </w:r>
    </w:p>
    <w:p w14:paraId="47469D34" w14:textId="77777777" w:rsidR="00E11C96" w:rsidRDefault="00E11C96" w:rsidP="00E11C96">
      <w:r>
        <w:t xml:space="preserve">Jeśli podsypka jest wykonana z suchej zaprawy cementowo-piaskowej to po zawałowaniu nawierzchni należy ją polać wodą w takiej ilości, aby woda zwilżyła całą grubość podsypki. Rozścielenie podsypki z suchej zaprawy może wyprzedzać układanie nawierzchni z kostek o około </w:t>
      </w:r>
      <w:smartTag w:uri="urn:schemas-microsoft-com:office:smarttags" w:element="metricconverter">
        <w:smartTagPr>
          <w:attr w:name="ProductID" w:val="20 m"/>
        </w:smartTagPr>
        <w:r>
          <w:t>20 m</w:t>
        </w:r>
      </w:smartTag>
      <w:r>
        <w:t>.</w:t>
      </w:r>
    </w:p>
    <w:p w14:paraId="7B09BDD6" w14:textId="77777777" w:rsidR="00E11C96" w:rsidRDefault="00E11C96" w:rsidP="00E11C96">
      <w:r>
        <w:t>Całkowite ubicie nawierzchni i wypełnienie spoin zaprawą musi być zakończone przed rozpoczęciem wiązania cementu w podsypce</w:t>
      </w:r>
    </w:p>
    <w:p w14:paraId="3FC4B4CD" w14:textId="77777777" w:rsidR="00E11C96" w:rsidRDefault="00E11C96" w:rsidP="00E11C96">
      <w:pPr>
        <w:pStyle w:val="Nagwek2"/>
      </w:pPr>
      <w:r>
        <w:rPr>
          <w:b w:val="0"/>
        </w:rPr>
        <w:t>5.4. Układanie chodnika z betonowych kostek brukowych</w:t>
      </w:r>
    </w:p>
    <w:p w14:paraId="7858F243" w14:textId="77777777" w:rsidR="00E11C96" w:rsidRDefault="00E11C96" w:rsidP="00E11C96">
      <w:r>
        <w:t>Z uwagi na różnorodność kształtów i kolorów produkowanych kostek, możliwe jest ułożenie dowolnego wzoru - wcześniej ustalonego w dokumentacji projektowej lub zaakceptowanego przez Inżyniera.</w:t>
      </w:r>
    </w:p>
    <w:p w14:paraId="0752F3B9" w14:textId="77777777" w:rsidR="00E11C96" w:rsidRDefault="00E11C96" w:rsidP="00E11C96">
      <w:r>
        <w:lastRenderedPageBreak/>
        <w:t xml:space="preserve">Kostkę układa się na podsypce lub podłożu piaszczystym w taki sposób, aby szczeliny między kostkami wynosiły od 2 do </w:t>
      </w:r>
      <w:smartTag w:uri="urn:schemas-microsoft-com:office:smarttags" w:element="metricconverter">
        <w:smartTagPr>
          <w:attr w:name="ProductID" w:val="3 mm"/>
        </w:smartTagPr>
        <w:r>
          <w:t>3 mm</w:t>
        </w:r>
      </w:smartTag>
      <w:r>
        <w:t xml:space="preserve">. Kostkę należy układać ok. </w:t>
      </w:r>
      <w:smartTag w:uri="urn:schemas-microsoft-com:office:smarttags" w:element="metricconverter">
        <w:smartTagPr>
          <w:attr w:name="ProductID" w:val="1,5 cm"/>
        </w:smartTagPr>
        <w:r>
          <w:t>1,5 cm</w:t>
        </w:r>
      </w:smartTag>
      <w:r>
        <w:t xml:space="preserve"> wyżej od projektowanej niwelety chodnika, gdyż w czasie wibrowania (ubijania) podsypka ulega zagęszczeniu.</w:t>
      </w:r>
    </w:p>
    <w:p w14:paraId="145CAB98" w14:textId="77777777" w:rsidR="00E11C96" w:rsidRDefault="00E11C96" w:rsidP="00E11C96">
      <w:r>
        <w:t>Po ułożeniu kostki, szczeliny należy wypełnić piaskiem, a następnie zamieść powierzchnię ułożonych kostek przy użyciu szczotek ręcznych lub mechanicznych i przystąpić do ubijania nawierzchni chodnika.</w:t>
      </w:r>
    </w:p>
    <w:p w14:paraId="422FA037" w14:textId="77777777" w:rsidR="00E11C96" w:rsidRDefault="00E11C96" w:rsidP="00E11C96">
      <w:r>
        <w:t>Do ubijania ułożonego chodnika z kostek brukowych, stosuje się wibratory płytowe z osłoną z tworzywa sztucznego dla ochrony kostek przed uszkodzeniem i zabrudzeniem. Wibrowanie należy prowadzić od krawędzi powierzchni ubijanej w kierunku środka i jednocześnie w kierunku poprzecznym kształtek.</w:t>
      </w:r>
    </w:p>
    <w:p w14:paraId="38222816" w14:textId="77777777" w:rsidR="00E11C96" w:rsidRDefault="00E11C96" w:rsidP="00E11C96">
      <w:r>
        <w:t>Do zagęszczania nawierzchni z betonowych kostek brukowych nie wolno używać walca.</w:t>
      </w:r>
    </w:p>
    <w:p w14:paraId="1168A01F" w14:textId="77777777" w:rsidR="00E11C96" w:rsidRDefault="00E11C96" w:rsidP="00E11C96">
      <w:r>
        <w:t>Po ubiciu nawierzchni należy uzupełnić szczeliny materiałem do wypełnienia i zamieść nawierzchnię. Chodnik z wypełnieniem spoin piaskiem nie wymaga pielęgnacji - może być zaraz oddany do użytkowania.</w:t>
      </w:r>
    </w:p>
    <w:p w14:paraId="75D38DB7" w14:textId="77777777" w:rsidR="00E11C96" w:rsidRDefault="00E11C96" w:rsidP="00E11C96">
      <w:pPr>
        <w:pStyle w:val="Nagwek1"/>
      </w:pPr>
      <w:r>
        <w:rPr>
          <w:b w:val="0"/>
        </w:rPr>
        <w:t>6. kontrola jakości robót</w:t>
      </w:r>
    </w:p>
    <w:p w14:paraId="4FF0981F" w14:textId="77777777" w:rsidR="00E11C96" w:rsidRDefault="00E11C96" w:rsidP="00E11C96">
      <w:pPr>
        <w:pStyle w:val="Nagwek2"/>
        <w:rPr>
          <w:b w:val="0"/>
        </w:rPr>
      </w:pPr>
      <w:r>
        <w:rPr>
          <w:b w:val="0"/>
        </w:rPr>
        <w:t>6.1. Ogólne zasady kontroli jakości robót</w:t>
      </w:r>
    </w:p>
    <w:p w14:paraId="5C08B3CD" w14:textId="77777777" w:rsidR="00E11C96" w:rsidRDefault="00E11C96" w:rsidP="00E11C96">
      <w:r>
        <w:t>Ogólne zasady kontroli jakości robót podano w SST D-M-00.00.00 „Wymagania ogólne” pkt 6.</w:t>
      </w:r>
    </w:p>
    <w:p w14:paraId="54E6B7CE" w14:textId="77777777" w:rsidR="00E11C96" w:rsidRDefault="00E11C96" w:rsidP="00E11C96">
      <w:pPr>
        <w:pStyle w:val="Nagwek2"/>
      </w:pPr>
      <w:r>
        <w:rPr>
          <w:b w:val="0"/>
        </w:rPr>
        <w:t>6.2. Badania przed przystąpieniem do robót</w:t>
      </w:r>
    </w:p>
    <w:p w14:paraId="32264F1A" w14:textId="77777777" w:rsidR="00E11C96" w:rsidRDefault="00E11C96" w:rsidP="00E11C96">
      <w:r>
        <w:t>Przed przystąpieniem do robót Wykonawca powinien sprawdzić, czy producent kostek brukowych posiada aprobatę techniczną.</w:t>
      </w:r>
    </w:p>
    <w:p w14:paraId="02B55631" w14:textId="77777777" w:rsidR="00E11C96" w:rsidRDefault="00E11C96" w:rsidP="00E11C96">
      <w:r>
        <w:t>Pozostałe wymagania określono w SST D-05.02.23 „Nawierzchnia z kostki brukowej betonowej”.</w:t>
      </w:r>
    </w:p>
    <w:p w14:paraId="01B83CB1" w14:textId="77777777" w:rsidR="00E11C96" w:rsidRDefault="00E11C96" w:rsidP="00E11C96">
      <w:pPr>
        <w:pStyle w:val="Nagwek2"/>
      </w:pPr>
      <w:r>
        <w:rPr>
          <w:b w:val="0"/>
        </w:rPr>
        <w:t>6.3. Badania w czasie robót</w:t>
      </w:r>
    </w:p>
    <w:p w14:paraId="13FD1032" w14:textId="77777777" w:rsidR="00E11C96" w:rsidRDefault="00E11C96" w:rsidP="00E11C96">
      <w:pPr>
        <w:pStyle w:val="Nagwek3"/>
        <w:rPr>
          <w:b w:val="0"/>
        </w:rPr>
      </w:pPr>
      <w:r>
        <w:rPr>
          <w:b w:val="0"/>
        </w:rPr>
        <w:t>6.3.1. Sprawdzenie podłoża</w:t>
      </w:r>
    </w:p>
    <w:p w14:paraId="6E6319FC" w14:textId="77777777" w:rsidR="00E11C96" w:rsidRDefault="00E11C96" w:rsidP="00E11C96">
      <w:r>
        <w:t>Sprawdzenie podłoża polega na stwierdzeniu zgodności z dokumentacją projektową i odpowiednimi SST.</w:t>
      </w:r>
    </w:p>
    <w:p w14:paraId="6AE8CA3B" w14:textId="77777777" w:rsidR="00E11C96" w:rsidRDefault="00E11C96" w:rsidP="00E11C96">
      <w:r>
        <w:t>Dopuszczalne tolerancje wynoszą dla:</w:t>
      </w:r>
    </w:p>
    <w:p w14:paraId="7FA3209B" w14:textId="77777777" w:rsidR="00E11C96" w:rsidRDefault="00E11C96" w:rsidP="00E11C96">
      <w:pPr>
        <w:pStyle w:val="Nagwek8"/>
        <w:numPr>
          <w:ilvl w:val="0"/>
          <w:numId w:val="65"/>
        </w:numPr>
      </w:pPr>
      <w:r>
        <w:t xml:space="preserve">głębokości koryta: </w:t>
      </w:r>
    </w:p>
    <w:p w14:paraId="3026DF28" w14:textId="77777777" w:rsidR="00E11C96" w:rsidRDefault="00E11C96" w:rsidP="00E11C96">
      <w:pPr>
        <w:pStyle w:val="Nagwek8"/>
        <w:numPr>
          <w:ilvl w:val="1"/>
          <w:numId w:val="65"/>
        </w:numPr>
      </w:pPr>
      <w:r>
        <w:t xml:space="preserve">o szerokości do 3 m:         </w:t>
      </w:r>
      <w:r>
        <w:tab/>
      </w:r>
      <w:r>
        <w:sym w:font="Symbol" w:char="F0B1"/>
      </w:r>
      <w:r>
        <w:t xml:space="preserve"> </w:t>
      </w:r>
      <w:smartTag w:uri="urn:schemas-microsoft-com:office:smarttags" w:element="metricconverter">
        <w:smartTagPr>
          <w:attr w:name="ProductID" w:val="1 cm"/>
        </w:smartTagPr>
        <w:r>
          <w:t>1 cm</w:t>
        </w:r>
      </w:smartTag>
      <w:r>
        <w:t xml:space="preserve">, </w:t>
      </w:r>
    </w:p>
    <w:p w14:paraId="5E4BDD51" w14:textId="77777777" w:rsidR="00E11C96" w:rsidRDefault="00E11C96" w:rsidP="00E11C96">
      <w:pPr>
        <w:pStyle w:val="Nagwek8"/>
        <w:numPr>
          <w:ilvl w:val="1"/>
          <w:numId w:val="65"/>
        </w:numPr>
      </w:pPr>
      <w:r>
        <w:t xml:space="preserve">o szerokości powyżej 3 m: </w:t>
      </w:r>
      <w:r>
        <w:tab/>
      </w:r>
      <w:r>
        <w:sym w:font="Symbol" w:char="F0B1"/>
      </w:r>
      <w:r>
        <w:t xml:space="preserve"> </w:t>
      </w:r>
      <w:smartTag w:uri="urn:schemas-microsoft-com:office:smarttags" w:element="metricconverter">
        <w:smartTagPr>
          <w:attr w:name="ProductID" w:val="2 cm"/>
        </w:smartTagPr>
        <w:r>
          <w:t>2 cm</w:t>
        </w:r>
      </w:smartTag>
      <w:r>
        <w:t>,</w:t>
      </w:r>
    </w:p>
    <w:p w14:paraId="1F7659D3" w14:textId="77777777" w:rsidR="00E11C96" w:rsidRDefault="00E11C96" w:rsidP="00E11C96">
      <w:pPr>
        <w:pStyle w:val="Nagwek8"/>
        <w:numPr>
          <w:ilvl w:val="1"/>
          <w:numId w:val="65"/>
        </w:numPr>
      </w:pPr>
      <w:r>
        <w:t xml:space="preserve">szerokości koryta: </w:t>
      </w:r>
      <w:r>
        <w:tab/>
      </w:r>
      <w:r>
        <w:tab/>
      </w:r>
      <w:r>
        <w:sym w:font="Symbol" w:char="F0B1"/>
      </w:r>
      <w:r>
        <w:t xml:space="preserve"> </w:t>
      </w:r>
      <w:smartTag w:uri="urn:schemas-microsoft-com:office:smarttags" w:element="metricconverter">
        <w:smartTagPr>
          <w:attr w:name="ProductID" w:val="5 cm"/>
        </w:smartTagPr>
        <w:r>
          <w:t>5 cm</w:t>
        </w:r>
      </w:smartTag>
      <w:r>
        <w:t>.</w:t>
      </w:r>
    </w:p>
    <w:p w14:paraId="1A60AEA0" w14:textId="77777777" w:rsidR="00E11C96" w:rsidRDefault="00E11C96" w:rsidP="00E11C96">
      <w:pPr>
        <w:pStyle w:val="Nagwek3"/>
      </w:pPr>
      <w:r>
        <w:rPr>
          <w:b w:val="0"/>
        </w:rPr>
        <w:t>6.3.2. Sprawdzenie podsypki</w:t>
      </w:r>
    </w:p>
    <w:p w14:paraId="0A17E1BB" w14:textId="77777777" w:rsidR="00E11C96" w:rsidRDefault="00E11C96" w:rsidP="00E11C96">
      <w:r>
        <w:t xml:space="preserve">Sprawdzenie podsypki w zakresie grubości i wymaganych spadków poprzecznych i podłużnych polega na stwierdzeniu zgodności z dokumentacją projektową oraz pkt 5.3 niniejszej SST. </w:t>
      </w:r>
    </w:p>
    <w:p w14:paraId="513B7FD9" w14:textId="77777777" w:rsidR="00E11C96" w:rsidRDefault="00E11C96" w:rsidP="00E11C96">
      <w:pPr>
        <w:pStyle w:val="Nagwek3"/>
      </w:pPr>
      <w:r>
        <w:rPr>
          <w:b w:val="0"/>
        </w:rPr>
        <w:t>6.3.3. Sprawdzenie wykonania chodnika</w:t>
      </w:r>
    </w:p>
    <w:p w14:paraId="72A49B85" w14:textId="77777777" w:rsidR="00E11C96" w:rsidRDefault="00E11C96" w:rsidP="00E11C96">
      <w:r>
        <w:t>Sprawdzenie prawidłowości wykonania chodnika z betonowych kostek brukowych  polega na stwierdzeniu zgodności wykonania z dokumentacją projektową oraz wymaganiami pkt 5.5 niniejszej SST:</w:t>
      </w:r>
    </w:p>
    <w:p w14:paraId="2FEF288A" w14:textId="77777777" w:rsidR="00E11C96" w:rsidRDefault="00E11C96" w:rsidP="00E11C96">
      <w:pPr>
        <w:pStyle w:val="Nagwek8"/>
        <w:numPr>
          <w:ilvl w:val="0"/>
          <w:numId w:val="65"/>
        </w:numPr>
      </w:pPr>
      <w:r>
        <w:t>pomierzenie szerokości spoin,</w:t>
      </w:r>
    </w:p>
    <w:p w14:paraId="04F30D47" w14:textId="77777777" w:rsidR="00E11C96" w:rsidRDefault="00E11C96" w:rsidP="00E11C96">
      <w:pPr>
        <w:pStyle w:val="Nagwek8"/>
        <w:numPr>
          <w:ilvl w:val="0"/>
          <w:numId w:val="65"/>
        </w:numPr>
      </w:pPr>
      <w:r>
        <w:t>sprawdzenie prawidłowości ubijania (wibrowania),</w:t>
      </w:r>
    </w:p>
    <w:p w14:paraId="7B5119C8" w14:textId="77777777" w:rsidR="00E11C96" w:rsidRDefault="00E11C96" w:rsidP="00E11C96">
      <w:pPr>
        <w:pStyle w:val="Nagwek8"/>
        <w:numPr>
          <w:ilvl w:val="0"/>
          <w:numId w:val="65"/>
        </w:numPr>
      </w:pPr>
      <w:r>
        <w:t>sprawdzenie prawidłowości wypełnienia spoin,</w:t>
      </w:r>
    </w:p>
    <w:p w14:paraId="71570850" w14:textId="77777777" w:rsidR="00E11C96" w:rsidRDefault="00E11C96" w:rsidP="00E11C96">
      <w:pPr>
        <w:pStyle w:val="Nagwek8"/>
        <w:numPr>
          <w:ilvl w:val="0"/>
          <w:numId w:val="65"/>
        </w:numPr>
      </w:pPr>
      <w:r>
        <w:t>sprawdzenie, czy przyjęty deseń (wzór) i kolor nawierzchni jest zachowany.</w:t>
      </w:r>
    </w:p>
    <w:p w14:paraId="32E6CC3D" w14:textId="77777777" w:rsidR="00E11C96" w:rsidRDefault="00E11C96" w:rsidP="00E11C96"/>
    <w:p w14:paraId="5B361EA5" w14:textId="77777777" w:rsidR="00E11C96" w:rsidRDefault="00E11C96" w:rsidP="00E11C96">
      <w:pPr>
        <w:pStyle w:val="Nagwek2"/>
      </w:pPr>
      <w:r>
        <w:rPr>
          <w:b w:val="0"/>
        </w:rPr>
        <w:t>6.4. Sprawdzenie cech geometrycznych chodnika</w:t>
      </w:r>
    </w:p>
    <w:p w14:paraId="46427BA7" w14:textId="77777777" w:rsidR="00E11C96" w:rsidRDefault="00E11C96" w:rsidP="00E11C96">
      <w:pPr>
        <w:pStyle w:val="Nagwek3"/>
        <w:rPr>
          <w:b w:val="0"/>
        </w:rPr>
      </w:pPr>
      <w:r>
        <w:rPr>
          <w:b w:val="0"/>
        </w:rPr>
        <w:t>6.4.1.  Sprawdzenie równości chodnika</w:t>
      </w:r>
    </w:p>
    <w:p w14:paraId="7F8E9C17" w14:textId="77777777" w:rsidR="00E11C96" w:rsidRDefault="00E11C96" w:rsidP="00E11C96">
      <w:r>
        <w:t xml:space="preserve">Sprawdzenie równości nawierzchni przeprowadzać należy łatą co najmniej raz na każde 150 do </w:t>
      </w:r>
      <w:smartTag w:uri="urn:schemas-microsoft-com:office:smarttags" w:element="metricconverter">
        <w:smartTagPr>
          <w:attr w:name="ProductID" w:val="300 m2"/>
        </w:smartTagPr>
        <w:r>
          <w:t>300 m</w:t>
        </w:r>
        <w:r>
          <w:rPr>
            <w:vertAlign w:val="superscript"/>
          </w:rPr>
          <w:t>2</w:t>
        </w:r>
      </w:smartTag>
      <w:r>
        <w:t xml:space="preserve"> ułożonego chodnika i w miejscach wątpliwych, jednak nie rzadziej niż raz na </w:t>
      </w:r>
      <w:smartTag w:uri="urn:schemas-microsoft-com:office:smarttags" w:element="metricconverter">
        <w:smartTagPr>
          <w:attr w:name="ProductID" w:val="50 m"/>
        </w:smartTagPr>
        <w:r>
          <w:t>50 m</w:t>
        </w:r>
      </w:smartTag>
      <w:r>
        <w:t xml:space="preserve"> chodnika. Dopuszczalny prześwit pod łatą </w:t>
      </w:r>
      <w:smartTag w:uri="urn:schemas-microsoft-com:office:smarttags" w:element="metricconverter">
        <w:smartTagPr>
          <w:attr w:name="ProductID" w:val="4 m"/>
        </w:smartTagPr>
        <w:r>
          <w:t>4 m</w:t>
        </w:r>
      </w:smartTag>
      <w:r>
        <w:t xml:space="preserve"> nie powinien przekraczać </w:t>
      </w:r>
      <w:smartTag w:uri="urn:schemas-microsoft-com:office:smarttags" w:element="metricconverter">
        <w:smartTagPr>
          <w:attr w:name="ProductID" w:val="1,0 cm"/>
        </w:smartTagPr>
        <w:r>
          <w:t>1,0 cm</w:t>
        </w:r>
      </w:smartTag>
      <w:r>
        <w:t>.</w:t>
      </w:r>
    </w:p>
    <w:p w14:paraId="1D072A2D" w14:textId="77777777" w:rsidR="00E11C96" w:rsidRDefault="00E11C96" w:rsidP="00E11C96">
      <w:pPr>
        <w:pStyle w:val="Nagwek3"/>
      </w:pPr>
      <w:r>
        <w:rPr>
          <w:b w:val="0"/>
        </w:rPr>
        <w:lastRenderedPageBreak/>
        <w:t>6.4.2. Sprawdzenie profilu podłużnego</w:t>
      </w:r>
    </w:p>
    <w:p w14:paraId="36E9B1BA" w14:textId="77777777" w:rsidR="00E11C96" w:rsidRDefault="00E11C96" w:rsidP="00E11C96">
      <w:r>
        <w:t xml:space="preserve">Sprawdzenie profilu podłużnego przeprowadzać należy za pomocą niwelacji, biorąc pod uwagę punkty charakterystyczne, jednak nie rzadziej niż co </w:t>
      </w:r>
      <w:smartTag w:uri="urn:schemas-microsoft-com:office:smarttags" w:element="metricconverter">
        <w:smartTagPr>
          <w:attr w:name="ProductID" w:val="100 m"/>
        </w:smartTagPr>
        <w:r>
          <w:t>100 m</w:t>
        </w:r>
      </w:smartTag>
      <w:r>
        <w:t>.</w:t>
      </w:r>
    </w:p>
    <w:p w14:paraId="3E53FAF2" w14:textId="77777777" w:rsidR="00E11C96" w:rsidRDefault="00E11C96" w:rsidP="00E11C96">
      <w:r>
        <w:t xml:space="preserve">Odchylenia od projektowanej niwelety chodnika w punktach załamania niwelety nie mogą przekraczać </w:t>
      </w:r>
      <w:r>
        <w:sym w:font="Symbol" w:char="F0B1"/>
      </w:r>
      <w:r>
        <w:t xml:space="preserve"> </w:t>
      </w:r>
      <w:smartTag w:uri="urn:schemas-microsoft-com:office:smarttags" w:element="metricconverter">
        <w:smartTagPr>
          <w:attr w:name="ProductID" w:val="3 cm"/>
        </w:smartTagPr>
        <w:r>
          <w:t>3 cm</w:t>
        </w:r>
      </w:smartTag>
      <w:r>
        <w:t>.</w:t>
      </w:r>
    </w:p>
    <w:p w14:paraId="36CEEF9B" w14:textId="77777777" w:rsidR="00E11C96" w:rsidRDefault="00E11C96" w:rsidP="00E11C96">
      <w:pPr>
        <w:pStyle w:val="Nagwek3"/>
      </w:pPr>
      <w:r>
        <w:rPr>
          <w:b w:val="0"/>
        </w:rPr>
        <w:t>6.4.3. Sprawdzenie przekroju poprzecznego</w:t>
      </w:r>
    </w:p>
    <w:p w14:paraId="3BCAD10B" w14:textId="77777777" w:rsidR="00E11C96" w:rsidRDefault="00E11C96" w:rsidP="00E11C96">
      <w:r>
        <w:t xml:space="preserve">Sprawdzenie przekroju poprzecznego dokonywać należy szablonem z poziomicą, co najmniej raz na każde 150 do </w:t>
      </w:r>
      <w:smartTag w:uri="urn:schemas-microsoft-com:office:smarttags" w:element="metricconverter">
        <w:smartTagPr>
          <w:attr w:name="ProductID" w:val="300 m2"/>
        </w:smartTagPr>
        <w:r>
          <w:t>300 m</w:t>
        </w:r>
        <w:r>
          <w:rPr>
            <w:vertAlign w:val="superscript"/>
          </w:rPr>
          <w:t>2</w:t>
        </w:r>
      </w:smartTag>
      <w:r>
        <w:t xml:space="preserve"> chodnika i w miejscach wątpliwych, jednak nie rzadziej niż co </w:t>
      </w:r>
      <w:smartTag w:uri="urn:schemas-microsoft-com:office:smarttags" w:element="metricconverter">
        <w:smartTagPr>
          <w:attr w:name="ProductID" w:val="50 m"/>
        </w:smartTagPr>
        <w:r>
          <w:t>50 m</w:t>
        </w:r>
      </w:smartTag>
      <w:r>
        <w:t xml:space="preserve">. Dopuszczalne odchylenia od projektowanego profilu wynoszą </w:t>
      </w:r>
      <w:r>
        <w:sym w:font="Symbol" w:char="F0B1"/>
      </w:r>
      <w:r>
        <w:t xml:space="preserve"> 0,5%.</w:t>
      </w:r>
    </w:p>
    <w:p w14:paraId="6EC274A0" w14:textId="77777777" w:rsidR="00E11C96" w:rsidRDefault="00E11C96" w:rsidP="00E11C96">
      <w:pPr>
        <w:pStyle w:val="Nagwek1"/>
      </w:pPr>
      <w:r>
        <w:rPr>
          <w:b w:val="0"/>
        </w:rPr>
        <w:t>7. OBMIAR ROBÓT</w:t>
      </w:r>
    </w:p>
    <w:p w14:paraId="350111F7" w14:textId="77777777" w:rsidR="00E11C96" w:rsidRDefault="00E11C96" w:rsidP="00E11C96">
      <w:pPr>
        <w:pStyle w:val="Nagwek2"/>
        <w:rPr>
          <w:b w:val="0"/>
        </w:rPr>
      </w:pPr>
      <w:r>
        <w:rPr>
          <w:b w:val="0"/>
        </w:rPr>
        <w:t>7.1. Ogólne zasady obmiaru robót</w:t>
      </w:r>
    </w:p>
    <w:p w14:paraId="051B03AE" w14:textId="77777777" w:rsidR="00E11C96" w:rsidRDefault="00E11C96" w:rsidP="00E11C96">
      <w:r>
        <w:t>Ogólne zasady obmiaru robót podano w SST D-M-00.00.00 „Wymagania ogólne” pkt 7.</w:t>
      </w:r>
    </w:p>
    <w:p w14:paraId="7868E09B" w14:textId="77777777" w:rsidR="00E11C96" w:rsidRDefault="00E11C96" w:rsidP="00E11C96">
      <w:pPr>
        <w:pStyle w:val="Nagwek2"/>
      </w:pPr>
      <w:r>
        <w:rPr>
          <w:b w:val="0"/>
        </w:rPr>
        <w:t>7.2. Jednostka obmiarowa</w:t>
      </w:r>
    </w:p>
    <w:p w14:paraId="6A7D9590" w14:textId="77777777" w:rsidR="00E11C96" w:rsidRDefault="00E11C96" w:rsidP="00E11C96">
      <w:r>
        <w:t>Jednostką obmiarową jest m</w:t>
      </w:r>
      <w:r>
        <w:rPr>
          <w:vertAlign w:val="superscript"/>
        </w:rPr>
        <w:t>2</w:t>
      </w:r>
      <w:r>
        <w:t xml:space="preserve"> (metr kwadratowy) wykonanego chodnika z brukowej kostki betonowej.</w:t>
      </w:r>
    </w:p>
    <w:p w14:paraId="6EDFADDF" w14:textId="77777777" w:rsidR="00E11C96" w:rsidRDefault="00E11C96" w:rsidP="00E11C96">
      <w:pPr>
        <w:pStyle w:val="Nagwek1"/>
      </w:pPr>
      <w:r>
        <w:rPr>
          <w:b w:val="0"/>
        </w:rPr>
        <w:t>8. ODBIÓR ROBÓT</w:t>
      </w:r>
    </w:p>
    <w:p w14:paraId="161E27D2" w14:textId="77777777" w:rsidR="00E11C96" w:rsidRDefault="00E11C96" w:rsidP="00E11C96">
      <w:r>
        <w:t>Ogólne zasady odbioru robót podano w SST D-M-00.00.00 „Wymagania ogólne” pkt 8.</w:t>
      </w:r>
    </w:p>
    <w:p w14:paraId="1DEA54AB" w14:textId="77777777" w:rsidR="00E11C96" w:rsidRDefault="00E11C96" w:rsidP="00E11C96">
      <w:r>
        <w:t>Roboty uznaje się za wykonane zgodnie z dokumentacją projektową, SST i wymaganiami Inżyniera, jeżeli wszystkie pomiary i badania z zachowaniem tolerancji wg pkt 6 dały wyniki pozytywne.</w:t>
      </w:r>
    </w:p>
    <w:p w14:paraId="41BEF27F" w14:textId="77777777" w:rsidR="00E11C96" w:rsidRDefault="00E11C96" w:rsidP="00E11C96">
      <w:pPr>
        <w:pStyle w:val="Nagwek1"/>
      </w:pPr>
      <w:r>
        <w:rPr>
          <w:b w:val="0"/>
        </w:rPr>
        <w:t>9. PODSTAWA PŁATNOŚCI</w:t>
      </w:r>
    </w:p>
    <w:p w14:paraId="5569CBD3" w14:textId="77777777" w:rsidR="00E11C96" w:rsidRDefault="00E11C96" w:rsidP="00E11C96">
      <w:pPr>
        <w:pStyle w:val="Nagwek2"/>
        <w:rPr>
          <w:b w:val="0"/>
        </w:rPr>
      </w:pPr>
      <w:r>
        <w:rPr>
          <w:b w:val="0"/>
        </w:rPr>
        <w:t>9.1. Ogólne ustalenia dotyczące podstawy płatności</w:t>
      </w:r>
    </w:p>
    <w:p w14:paraId="56BD47C0" w14:textId="77777777" w:rsidR="00E11C96" w:rsidRDefault="00E11C96" w:rsidP="00E11C96">
      <w:r>
        <w:t>Ogólne ustalenia dotyczące podstawy płatności podano w SST D-M-00.00.00 „Wymagania ogólne” pkt 9.</w:t>
      </w:r>
    </w:p>
    <w:p w14:paraId="36767262" w14:textId="77777777" w:rsidR="00E11C96" w:rsidRDefault="00E11C96" w:rsidP="00E11C96">
      <w:pPr>
        <w:pStyle w:val="Nagwek2"/>
      </w:pPr>
      <w:r>
        <w:rPr>
          <w:b w:val="0"/>
        </w:rPr>
        <w:t>9.2. Cena jednostki obmiarowej</w:t>
      </w:r>
    </w:p>
    <w:p w14:paraId="790EE713" w14:textId="77777777" w:rsidR="00E11C96" w:rsidRDefault="00E11C96" w:rsidP="00E11C96">
      <w:r>
        <w:t xml:space="preserve">Cena wykonania </w:t>
      </w:r>
      <w:smartTag w:uri="urn:schemas-microsoft-com:office:smarttags" w:element="metricconverter">
        <w:smartTagPr>
          <w:attr w:name="ProductID" w:val="1 m2"/>
        </w:smartTagPr>
        <w:r>
          <w:t>1 m</w:t>
        </w:r>
        <w:r>
          <w:rPr>
            <w:vertAlign w:val="superscript"/>
          </w:rPr>
          <w:t>2</w:t>
        </w:r>
      </w:smartTag>
      <w:r>
        <w:t xml:space="preserve"> chodnika z brukowej kostki betonowej obejmuje:</w:t>
      </w:r>
    </w:p>
    <w:p w14:paraId="4BC3BD10" w14:textId="77777777" w:rsidR="00E11C96" w:rsidRDefault="00E11C96" w:rsidP="00E11C96">
      <w:pPr>
        <w:pStyle w:val="Nagwek8"/>
        <w:numPr>
          <w:ilvl w:val="0"/>
          <w:numId w:val="65"/>
        </w:numPr>
      </w:pPr>
      <w:r>
        <w:t>prace pomiarowe i roboty przygotowawcze,</w:t>
      </w:r>
    </w:p>
    <w:p w14:paraId="2F38DDB7" w14:textId="77777777" w:rsidR="00E11C96" w:rsidRDefault="00E11C96" w:rsidP="00E11C96">
      <w:pPr>
        <w:pStyle w:val="Nagwek8"/>
        <w:numPr>
          <w:ilvl w:val="0"/>
          <w:numId w:val="65"/>
        </w:numPr>
      </w:pPr>
      <w:r>
        <w:t>dostarczenie materiałów na miejsce wbudowania,</w:t>
      </w:r>
    </w:p>
    <w:p w14:paraId="339E7339" w14:textId="77777777" w:rsidR="00E11C96" w:rsidRDefault="00E11C96" w:rsidP="00E11C96">
      <w:pPr>
        <w:pStyle w:val="Nagwek8"/>
        <w:numPr>
          <w:ilvl w:val="0"/>
          <w:numId w:val="65"/>
        </w:numPr>
      </w:pPr>
      <w:r>
        <w:t>wykonanie koryta,</w:t>
      </w:r>
    </w:p>
    <w:p w14:paraId="60B71EF5" w14:textId="77777777" w:rsidR="00E11C96" w:rsidRDefault="00E11C96" w:rsidP="00E11C96">
      <w:pPr>
        <w:pStyle w:val="Nagwek8"/>
        <w:numPr>
          <w:ilvl w:val="0"/>
          <w:numId w:val="65"/>
        </w:numPr>
      </w:pPr>
      <w:r>
        <w:t>wykonanie podsypki,</w:t>
      </w:r>
    </w:p>
    <w:p w14:paraId="6C2B8141" w14:textId="77777777" w:rsidR="00E11C96" w:rsidRDefault="00E11C96" w:rsidP="00E11C96">
      <w:pPr>
        <w:pStyle w:val="Nagwek8"/>
        <w:numPr>
          <w:ilvl w:val="0"/>
          <w:numId w:val="65"/>
        </w:numPr>
      </w:pPr>
      <w:r>
        <w:t>ułożenie kostki brukowej wraz z zagęszczeniem i wypełnieniem szczelin,</w:t>
      </w:r>
    </w:p>
    <w:p w14:paraId="5C0A9C2A" w14:textId="77777777" w:rsidR="00E11C96" w:rsidRDefault="00E11C96" w:rsidP="00E11C96">
      <w:pPr>
        <w:pStyle w:val="Nagwek8"/>
        <w:numPr>
          <w:ilvl w:val="0"/>
          <w:numId w:val="65"/>
        </w:numPr>
      </w:pPr>
      <w:r>
        <w:t>przeprowadzenie badań i pomiarów wymaganych w specyfikacji technicznej.</w:t>
      </w:r>
    </w:p>
    <w:p w14:paraId="1E15D359" w14:textId="77777777" w:rsidR="00E11C96" w:rsidRDefault="00E11C96" w:rsidP="00E11C96">
      <w:pPr>
        <w:pStyle w:val="Nagwek1"/>
      </w:pPr>
      <w:r>
        <w:rPr>
          <w:b w:val="0"/>
        </w:rPr>
        <w:t>10. przepisy związane</w:t>
      </w:r>
    </w:p>
    <w:p w14:paraId="4659B9E0" w14:textId="77777777" w:rsidR="00E11C96" w:rsidRDefault="00E11C96" w:rsidP="00E11C96">
      <w:pPr>
        <w:pStyle w:val="Nagwek2"/>
        <w:rPr>
          <w:b w:val="0"/>
        </w:rPr>
      </w:pPr>
      <w:r>
        <w:rPr>
          <w:b w:val="0"/>
        </w:rPr>
        <w:t>10.1. Normy</w:t>
      </w:r>
    </w:p>
    <w:tbl>
      <w:tblPr>
        <w:tblW w:w="0" w:type="auto"/>
        <w:tblLayout w:type="fixed"/>
        <w:tblCellMar>
          <w:left w:w="70" w:type="dxa"/>
          <w:right w:w="70" w:type="dxa"/>
        </w:tblCellMar>
        <w:tblLook w:val="04A0" w:firstRow="1" w:lastRow="0" w:firstColumn="1" w:lastColumn="0" w:noHBand="0" w:noVBand="1"/>
      </w:tblPr>
      <w:tblGrid>
        <w:gridCol w:w="496"/>
        <w:gridCol w:w="1559"/>
        <w:gridCol w:w="5455"/>
      </w:tblGrid>
      <w:tr w:rsidR="00E11C96" w14:paraId="311C7C16" w14:textId="77777777" w:rsidTr="00E11C96">
        <w:tc>
          <w:tcPr>
            <w:tcW w:w="496" w:type="dxa"/>
            <w:hideMark/>
          </w:tcPr>
          <w:p w14:paraId="7B3C9738" w14:textId="77777777" w:rsidR="00E11C96" w:rsidRDefault="00E11C96">
            <w:pPr>
              <w:pStyle w:val="Bezodstpw"/>
            </w:pPr>
            <w:r>
              <w:t>1.</w:t>
            </w:r>
          </w:p>
        </w:tc>
        <w:tc>
          <w:tcPr>
            <w:tcW w:w="1559" w:type="dxa"/>
            <w:hideMark/>
          </w:tcPr>
          <w:p w14:paraId="5E823F2B" w14:textId="77777777" w:rsidR="00E11C96" w:rsidRDefault="00E11C96">
            <w:pPr>
              <w:pStyle w:val="Bezodstpw"/>
            </w:pPr>
            <w:r>
              <w:t>PN-B-04111</w:t>
            </w:r>
          </w:p>
        </w:tc>
        <w:tc>
          <w:tcPr>
            <w:tcW w:w="5455" w:type="dxa"/>
            <w:hideMark/>
          </w:tcPr>
          <w:p w14:paraId="45BE5054" w14:textId="77777777" w:rsidR="00E11C96" w:rsidRDefault="00E11C96">
            <w:pPr>
              <w:pStyle w:val="Bezodstpw"/>
            </w:pPr>
            <w:r>
              <w:t>Materiały kamienne. Oznaczanie ścieralności na tarczy Boehmego</w:t>
            </w:r>
          </w:p>
        </w:tc>
      </w:tr>
      <w:tr w:rsidR="00E11C96" w14:paraId="774DC208" w14:textId="77777777" w:rsidTr="00E11C96">
        <w:tc>
          <w:tcPr>
            <w:tcW w:w="496" w:type="dxa"/>
            <w:hideMark/>
          </w:tcPr>
          <w:p w14:paraId="2CD11C1A" w14:textId="77777777" w:rsidR="00E11C96" w:rsidRDefault="00E11C96">
            <w:pPr>
              <w:pStyle w:val="Bezodstpw"/>
            </w:pPr>
            <w:r>
              <w:t>2.</w:t>
            </w:r>
          </w:p>
        </w:tc>
        <w:tc>
          <w:tcPr>
            <w:tcW w:w="1559" w:type="dxa"/>
            <w:hideMark/>
          </w:tcPr>
          <w:p w14:paraId="6D2FEF8E" w14:textId="77777777" w:rsidR="00E11C96" w:rsidRDefault="00E11C96">
            <w:pPr>
              <w:pStyle w:val="Bezodstpw"/>
            </w:pPr>
            <w:r>
              <w:t>PN-EN 206-1</w:t>
            </w:r>
          </w:p>
        </w:tc>
        <w:tc>
          <w:tcPr>
            <w:tcW w:w="5455" w:type="dxa"/>
            <w:hideMark/>
          </w:tcPr>
          <w:p w14:paraId="6305F9D1" w14:textId="77777777" w:rsidR="00E11C96" w:rsidRDefault="00E11C96">
            <w:pPr>
              <w:pStyle w:val="Bezodstpw"/>
            </w:pPr>
            <w:r>
              <w:t>Beton Część 1: Wymagania, właściwości, produkcja i zgodność.</w:t>
            </w:r>
          </w:p>
        </w:tc>
      </w:tr>
      <w:tr w:rsidR="00E11C96" w14:paraId="248B0065" w14:textId="77777777" w:rsidTr="00E11C96">
        <w:tc>
          <w:tcPr>
            <w:tcW w:w="496" w:type="dxa"/>
            <w:hideMark/>
          </w:tcPr>
          <w:p w14:paraId="7D199773" w14:textId="77777777" w:rsidR="00E11C96" w:rsidRDefault="00E11C96">
            <w:pPr>
              <w:pStyle w:val="Bezodstpw"/>
            </w:pPr>
            <w:r>
              <w:t>3.</w:t>
            </w:r>
          </w:p>
        </w:tc>
        <w:tc>
          <w:tcPr>
            <w:tcW w:w="1559" w:type="dxa"/>
            <w:hideMark/>
          </w:tcPr>
          <w:p w14:paraId="59D4225E" w14:textId="77777777" w:rsidR="00E11C96" w:rsidRDefault="00E11C96">
            <w:pPr>
              <w:pStyle w:val="Bezodstpw"/>
            </w:pPr>
            <w:r>
              <w:t>PN-EN 12620</w:t>
            </w:r>
          </w:p>
        </w:tc>
        <w:tc>
          <w:tcPr>
            <w:tcW w:w="5455" w:type="dxa"/>
            <w:hideMark/>
          </w:tcPr>
          <w:tbl>
            <w:tblPr>
              <w:tblW w:w="5000" w:type="pct"/>
              <w:tblCellSpacing w:w="45" w:type="dxa"/>
              <w:tblLayout w:type="fixed"/>
              <w:tblCellMar>
                <w:left w:w="0" w:type="dxa"/>
                <w:right w:w="0" w:type="dxa"/>
              </w:tblCellMar>
              <w:tblLook w:val="04A0" w:firstRow="1" w:lastRow="0" w:firstColumn="1" w:lastColumn="0" w:noHBand="0" w:noVBand="1"/>
            </w:tblPr>
            <w:tblGrid>
              <w:gridCol w:w="155"/>
              <w:gridCol w:w="5160"/>
            </w:tblGrid>
            <w:tr w:rsidR="00E11C96" w14:paraId="61BCCF36" w14:textId="77777777">
              <w:trPr>
                <w:tblCellSpacing w:w="45" w:type="dxa"/>
              </w:trPr>
              <w:tc>
                <w:tcPr>
                  <w:tcW w:w="6" w:type="dxa"/>
                  <w:noWrap/>
                  <w:tcMar>
                    <w:top w:w="14" w:type="dxa"/>
                    <w:left w:w="0" w:type="dxa"/>
                    <w:bottom w:w="0" w:type="dxa"/>
                    <w:right w:w="0" w:type="dxa"/>
                  </w:tcMar>
                </w:tcPr>
                <w:p w14:paraId="3A375946" w14:textId="77777777" w:rsidR="00E11C96" w:rsidRDefault="00E11C96">
                  <w:pPr>
                    <w:pStyle w:val="Bezodstpw"/>
                    <w:rPr>
                      <w:rFonts w:cs="Arial"/>
                      <w:sz w:val="16"/>
                      <w:szCs w:val="16"/>
                    </w:rPr>
                  </w:pPr>
                </w:p>
              </w:tc>
              <w:tc>
                <w:tcPr>
                  <w:tcW w:w="5000" w:type="pct"/>
                  <w:hideMark/>
                </w:tcPr>
                <w:p w14:paraId="7868A632" w14:textId="77777777" w:rsidR="00E11C96" w:rsidRDefault="00E11C96">
                  <w:pPr>
                    <w:pStyle w:val="Bezodstpw"/>
                    <w:rPr>
                      <w:rFonts w:cs="Times New Roman"/>
                      <w:sz w:val="20"/>
                    </w:rPr>
                  </w:pPr>
                  <w:r>
                    <w:t>Kruszywa do betonu</w:t>
                  </w:r>
                </w:p>
              </w:tc>
            </w:tr>
          </w:tbl>
          <w:p w14:paraId="23663EFC" w14:textId="77777777" w:rsidR="00E11C96" w:rsidRDefault="00E11C96">
            <w:pPr>
              <w:pStyle w:val="Bezodstpw"/>
            </w:pPr>
          </w:p>
        </w:tc>
      </w:tr>
      <w:tr w:rsidR="00E11C96" w14:paraId="3FA02647" w14:textId="77777777" w:rsidTr="00E11C96">
        <w:tc>
          <w:tcPr>
            <w:tcW w:w="496" w:type="dxa"/>
            <w:hideMark/>
          </w:tcPr>
          <w:p w14:paraId="039AFB09" w14:textId="77777777" w:rsidR="00E11C96" w:rsidRDefault="00E11C96">
            <w:pPr>
              <w:pStyle w:val="Bezodstpw"/>
              <w:rPr>
                <w:lang w:val="en-US"/>
              </w:rPr>
            </w:pPr>
            <w:r>
              <w:rPr>
                <w:lang w:val="en-US"/>
              </w:rPr>
              <w:t>4.</w:t>
            </w:r>
          </w:p>
        </w:tc>
        <w:tc>
          <w:tcPr>
            <w:tcW w:w="1559" w:type="dxa"/>
            <w:hideMark/>
          </w:tcPr>
          <w:p w14:paraId="6B9D41AA" w14:textId="77777777" w:rsidR="00E11C96" w:rsidRDefault="00E11C96">
            <w:pPr>
              <w:pStyle w:val="Bezodstpw"/>
              <w:rPr>
                <w:lang w:val="en-US"/>
              </w:rPr>
            </w:pPr>
            <w:r>
              <w:rPr>
                <w:lang w:val="en-US"/>
              </w:rPr>
              <w:t>PN-EN197-1</w:t>
            </w:r>
          </w:p>
        </w:tc>
        <w:tc>
          <w:tcPr>
            <w:tcW w:w="5455" w:type="dxa"/>
            <w:hideMark/>
          </w:tcPr>
          <w:p w14:paraId="0AECF5D8" w14:textId="77777777" w:rsidR="00E11C96" w:rsidRDefault="00E11C96">
            <w:pPr>
              <w:pStyle w:val="Bezodstpw"/>
            </w:pPr>
            <w:r>
              <w:t>cement – część 1: skład, wymagania i kryteria zgodności dotyczące cementów powszechnego użytku</w:t>
            </w:r>
          </w:p>
        </w:tc>
      </w:tr>
      <w:tr w:rsidR="00E11C96" w14:paraId="2EFF116A" w14:textId="77777777" w:rsidTr="00E11C96">
        <w:tc>
          <w:tcPr>
            <w:tcW w:w="496" w:type="dxa"/>
            <w:hideMark/>
          </w:tcPr>
          <w:p w14:paraId="7DE93E37" w14:textId="77777777" w:rsidR="00E11C96" w:rsidRDefault="00E11C96">
            <w:pPr>
              <w:pStyle w:val="Bezodstpw"/>
            </w:pPr>
            <w:r>
              <w:t>5.</w:t>
            </w:r>
          </w:p>
        </w:tc>
        <w:tc>
          <w:tcPr>
            <w:tcW w:w="1559" w:type="dxa"/>
            <w:hideMark/>
          </w:tcPr>
          <w:p w14:paraId="7804CEAB" w14:textId="77777777" w:rsidR="00E11C96" w:rsidRDefault="00E11C96">
            <w:pPr>
              <w:pStyle w:val="Bezodstpw"/>
            </w:pPr>
            <w:r>
              <w:t>PN-EN 1008</w:t>
            </w:r>
          </w:p>
        </w:tc>
        <w:tc>
          <w:tcPr>
            <w:tcW w:w="5455" w:type="dxa"/>
            <w:hideMark/>
          </w:tcPr>
          <w:p w14:paraId="6B797EB7" w14:textId="77777777" w:rsidR="00E11C96" w:rsidRDefault="00E11C96">
            <w:pPr>
              <w:pStyle w:val="Bezodstpw"/>
            </w:pPr>
            <w:r>
              <w:t>Materiały budowlane. Woda do betonów i zapraw</w:t>
            </w:r>
          </w:p>
        </w:tc>
      </w:tr>
      <w:tr w:rsidR="00E11C96" w14:paraId="1FE82D0F" w14:textId="77777777" w:rsidTr="00E11C96">
        <w:tc>
          <w:tcPr>
            <w:tcW w:w="496" w:type="dxa"/>
            <w:hideMark/>
          </w:tcPr>
          <w:p w14:paraId="0A4BEEBF" w14:textId="77777777" w:rsidR="00E11C96" w:rsidRDefault="00E11C96">
            <w:pPr>
              <w:pStyle w:val="Bezodstpw"/>
            </w:pPr>
            <w:r>
              <w:t>6.</w:t>
            </w:r>
          </w:p>
          <w:p w14:paraId="1E12C3B2" w14:textId="77777777" w:rsidR="00E11C96" w:rsidRDefault="00E11C96">
            <w:pPr>
              <w:pStyle w:val="Bezodstpw"/>
            </w:pPr>
            <w:r>
              <w:t>7.</w:t>
            </w:r>
          </w:p>
        </w:tc>
        <w:tc>
          <w:tcPr>
            <w:tcW w:w="1559" w:type="dxa"/>
            <w:hideMark/>
          </w:tcPr>
          <w:p w14:paraId="50EA40E1" w14:textId="77777777" w:rsidR="00E11C96" w:rsidRDefault="00E11C96">
            <w:pPr>
              <w:pStyle w:val="Bezodstpw"/>
            </w:pPr>
            <w:r>
              <w:t>BN-68/8931-01</w:t>
            </w:r>
          </w:p>
          <w:p w14:paraId="45C7E0F0" w14:textId="77777777" w:rsidR="00E11C96" w:rsidRDefault="00E11C96">
            <w:pPr>
              <w:pStyle w:val="Bezodstpw"/>
            </w:pPr>
            <w:r>
              <w:t>PN-EN 13242</w:t>
            </w:r>
          </w:p>
        </w:tc>
        <w:tc>
          <w:tcPr>
            <w:tcW w:w="5455" w:type="dxa"/>
            <w:hideMark/>
          </w:tcPr>
          <w:p w14:paraId="200D31EE" w14:textId="77777777" w:rsidR="00E11C96" w:rsidRDefault="00E11C96">
            <w:pPr>
              <w:pStyle w:val="Bezodstpw"/>
            </w:pPr>
            <w:r>
              <w:t>Drogi samochodowe. Oznaczenie wskaźnika piaskowego.</w:t>
            </w:r>
          </w:p>
          <w:p w14:paraId="354129AA" w14:textId="77777777" w:rsidR="00E11C96" w:rsidRDefault="00E11C96">
            <w:pPr>
              <w:pStyle w:val="Bezodstpw"/>
            </w:pPr>
            <w:r>
              <w:t>Kruszywa do niezwiązanych i związanych hydraulicznie materiałów stosowanych w obiektach budowlanych i budownictwie drogowym</w:t>
            </w:r>
          </w:p>
        </w:tc>
      </w:tr>
    </w:tbl>
    <w:p w14:paraId="29156B2C" w14:textId="77777777" w:rsidR="00E11C96" w:rsidRDefault="00E11C96" w:rsidP="00E11C96">
      <w:pPr>
        <w:pStyle w:val="Nagwek2"/>
      </w:pPr>
      <w:r>
        <w:rPr>
          <w:b w:val="0"/>
        </w:rPr>
        <w:t>10.2. Inne dokumenty</w:t>
      </w:r>
    </w:p>
    <w:p w14:paraId="35BD3ED7" w14:textId="77777777" w:rsidR="00E11C96" w:rsidRDefault="00E11C96" w:rsidP="00E11C96">
      <w:pPr>
        <w:rPr>
          <w:rFonts w:eastAsia="Calibri" w:cs="Arial"/>
          <w:spacing w:val="-3"/>
        </w:rPr>
      </w:pPr>
      <w:r>
        <w:t>Nie występują.</w:t>
      </w:r>
    </w:p>
    <w:p w14:paraId="009D45E2" w14:textId="544E0E78" w:rsidR="007D2EC7" w:rsidRDefault="007D2EC7"/>
    <w:p w14:paraId="052E47B0" w14:textId="77777777" w:rsidR="00C54311" w:rsidRPr="00C54311" w:rsidRDefault="00C54311" w:rsidP="00C54311">
      <w:pPr>
        <w:jc w:val="center"/>
        <w:rPr>
          <w:rFonts w:ascii="Arial Narrow" w:hAnsi="Arial Narrow"/>
          <w:b/>
          <w:bCs/>
          <w:sz w:val="32"/>
          <w:szCs w:val="32"/>
        </w:rPr>
      </w:pPr>
      <w:r w:rsidRPr="00C54311">
        <w:rPr>
          <w:rFonts w:ascii="Arial Narrow" w:hAnsi="Arial Narrow"/>
          <w:b/>
          <w:bCs/>
          <w:sz w:val="32"/>
          <w:szCs w:val="32"/>
        </w:rPr>
        <w:lastRenderedPageBreak/>
        <w:t>Szczegółowa Specyfikacja Techniczna D-09.01.01.</w:t>
      </w:r>
    </w:p>
    <w:p w14:paraId="5B80DA71" w14:textId="77777777" w:rsidR="00C54311" w:rsidRPr="00C54311" w:rsidRDefault="00C54311" w:rsidP="00C54311">
      <w:pPr>
        <w:jc w:val="center"/>
        <w:rPr>
          <w:rFonts w:ascii="Arial Narrow" w:hAnsi="Arial Narrow"/>
          <w:b/>
          <w:bCs/>
          <w:sz w:val="32"/>
          <w:szCs w:val="32"/>
        </w:rPr>
      </w:pPr>
      <w:r w:rsidRPr="00C54311">
        <w:rPr>
          <w:rFonts w:ascii="Arial Narrow" w:hAnsi="Arial Narrow"/>
          <w:b/>
          <w:bCs/>
          <w:sz w:val="32"/>
          <w:szCs w:val="32"/>
        </w:rPr>
        <w:t>Zieleń drogowa</w:t>
      </w:r>
    </w:p>
    <w:p w14:paraId="79490108" w14:textId="77777777" w:rsidR="00C54311" w:rsidRPr="00AB03F9" w:rsidRDefault="00C54311" w:rsidP="00C54311">
      <w:pPr>
        <w:rPr>
          <w:rFonts w:ascii="Arial Narrow" w:hAnsi="Arial Narrow"/>
          <w:b/>
          <w:bCs/>
        </w:rPr>
      </w:pPr>
      <w:r w:rsidRPr="00C54311">
        <w:rPr>
          <w:rFonts w:ascii="Arial Narrow" w:hAnsi="Arial Narrow"/>
        </w:rPr>
        <w:t xml:space="preserve"> </w:t>
      </w:r>
      <w:r w:rsidRPr="00AB03F9">
        <w:rPr>
          <w:rFonts w:ascii="Arial Narrow" w:hAnsi="Arial Narrow"/>
          <w:b/>
          <w:bCs/>
          <w:highlight w:val="lightGray"/>
        </w:rPr>
        <w:t>l. WSTĘP</w:t>
      </w:r>
      <w:r w:rsidRPr="00AB03F9">
        <w:rPr>
          <w:rFonts w:ascii="Arial Narrow" w:hAnsi="Arial Narrow"/>
          <w:b/>
          <w:bCs/>
        </w:rPr>
        <w:t xml:space="preserve"> </w:t>
      </w:r>
    </w:p>
    <w:p w14:paraId="00B983E6" w14:textId="77777777" w:rsidR="00C54311" w:rsidRPr="00C54311" w:rsidRDefault="00C54311" w:rsidP="00C54311">
      <w:pPr>
        <w:rPr>
          <w:rFonts w:ascii="Arial Narrow" w:hAnsi="Arial Narrow"/>
        </w:rPr>
      </w:pPr>
      <w:r w:rsidRPr="00C54311">
        <w:rPr>
          <w:rFonts w:ascii="Arial Narrow" w:hAnsi="Arial Narrow"/>
        </w:rPr>
        <w:t>1.l. Przedmiot specyfikacji technicznej (SST) Przedmiotem niniejszej ogólnej specyfikacji technicznej (SST) są wymagania dotyczące wykonania i odbioru robót związanych z założeniem i pielęgnacją zieleni drogowej.</w:t>
      </w:r>
    </w:p>
    <w:p w14:paraId="6805C8EC" w14:textId="77777777" w:rsidR="00C54311" w:rsidRPr="00C54311" w:rsidRDefault="00C54311" w:rsidP="00C54311">
      <w:pPr>
        <w:rPr>
          <w:rFonts w:ascii="Arial Narrow" w:hAnsi="Arial Narrow"/>
        </w:rPr>
      </w:pPr>
      <w:r w:rsidRPr="00C54311">
        <w:rPr>
          <w:rFonts w:ascii="Arial Narrow" w:hAnsi="Arial Narrow"/>
        </w:rPr>
        <w:t xml:space="preserve"> 1.2. Zakres stosowania SST SST jest stosowana jako dokument przetargowy i kontraktowy przy zlecaniu i realizacji robót wymienionych w p. 1.1</w:t>
      </w:r>
    </w:p>
    <w:p w14:paraId="40F9F2AE" w14:textId="77777777" w:rsidR="00C54311" w:rsidRPr="00C54311" w:rsidRDefault="00C54311" w:rsidP="00C54311">
      <w:pPr>
        <w:rPr>
          <w:rFonts w:ascii="Arial Narrow" w:hAnsi="Arial Narrow"/>
        </w:rPr>
      </w:pPr>
      <w:r w:rsidRPr="00C54311">
        <w:rPr>
          <w:rFonts w:ascii="Arial Narrow" w:hAnsi="Arial Narrow"/>
        </w:rPr>
        <w:t xml:space="preserve"> 1.3. Zakres robót objętych SST Ustalenia zawarte w niniejszej specyfikacji dotyczą zasad prowadzenia robót związanych z sadzeniem drzew na terenie płaskim i na skarpach. </w:t>
      </w:r>
    </w:p>
    <w:p w14:paraId="4FDFE68F" w14:textId="2D6660B7" w:rsidR="00C54311" w:rsidRPr="00C54311" w:rsidRDefault="00C54311" w:rsidP="00C54311">
      <w:pPr>
        <w:rPr>
          <w:rFonts w:ascii="Arial Narrow" w:hAnsi="Arial Narrow"/>
        </w:rPr>
      </w:pPr>
      <w:r w:rsidRPr="00C54311">
        <w:rPr>
          <w:rFonts w:ascii="Arial Narrow" w:hAnsi="Arial Narrow"/>
        </w:rPr>
        <w:t xml:space="preserve">1.4. Określenia podstawowe                                                                                                                                                 1.4.1. Ziemia urodzajna - ziemia posiadająca właściwości zapewniające roślinom prawidłowy rozwój. </w:t>
      </w:r>
      <w:r>
        <w:rPr>
          <w:rFonts w:ascii="Arial Narrow" w:hAnsi="Arial Narrow"/>
        </w:rPr>
        <w:t xml:space="preserve">                                        </w:t>
      </w:r>
      <w:r w:rsidRPr="00C54311">
        <w:rPr>
          <w:rFonts w:ascii="Arial Narrow" w:hAnsi="Arial Narrow"/>
        </w:rPr>
        <w:t xml:space="preserve">1.4.2. Materiał roślinny - sadzonki drzew, krzewów, kwiatów jednorocznych i wieloletnich.                       </w:t>
      </w:r>
      <w:r>
        <w:rPr>
          <w:rFonts w:ascii="Arial Narrow" w:hAnsi="Arial Narrow"/>
        </w:rPr>
        <w:t xml:space="preserve">                                     </w:t>
      </w:r>
      <w:r w:rsidRPr="00C54311">
        <w:rPr>
          <w:rFonts w:ascii="Arial Narrow" w:hAnsi="Arial Narrow"/>
        </w:rPr>
        <w:t xml:space="preserve"> 1.4.3. Bryła korzeniowa - uformowana przez szkółkowanie bryła ziemi z przerastającymi ją korzeniami rośliny.                                                                                                                                                                              1.4.4. Forma naturalna - forma drzew do zadrzewień zgodna z naturalnymi cechami wzrostu.                </w:t>
      </w:r>
      <w:r>
        <w:rPr>
          <w:rFonts w:ascii="Arial Narrow" w:hAnsi="Arial Narrow"/>
        </w:rPr>
        <w:t xml:space="preserve">                                            </w:t>
      </w:r>
      <w:r w:rsidRPr="00C54311">
        <w:rPr>
          <w:rFonts w:ascii="Arial Narrow" w:hAnsi="Arial Narrow"/>
        </w:rPr>
        <w:t xml:space="preserve"> 1.4.5. Forma pienna - forma drzew i niektórych krzewów sztucznie wytworzona w szkółce z pniami o wysokości od 1,80 do 2,20 m, z wyraźnym nie przyciętym przewodnikiem i uformowaną koroną. </w:t>
      </w:r>
      <w:r>
        <w:rPr>
          <w:rFonts w:ascii="Arial Narrow" w:hAnsi="Arial Narrow"/>
        </w:rPr>
        <w:t xml:space="preserve">                                                               </w:t>
      </w:r>
      <w:r w:rsidRPr="00C54311">
        <w:rPr>
          <w:rFonts w:ascii="Arial Narrow" w:hAnsi="Arial Narrow"/>
        </w:rPr>
        <w:t xml:space="preserve">1.4.6. Forma krzewiasta - forma właściwa dla krzewów lub forma drzewa utworzona w szkółce przez niskie przycięcie przewodnika celem uzyskania wielopędowości.                                                                                             </w:t>
      </w:r>
      <w:r>
        <w:rPr>
          <w:rFonts w:ascii="Arial Narrow" w:hAnsi="Arial Narrow"/>
        </w:rPr>
        <w:t xml:space="preserve">                                                 </w:t>
      </w:r>
      <w:r w:rsidRPr="00C54311">
        <w:rPr>
          <w:rFonts w:ascii="Arial Narrow" w:hAnsi="Arial Narrow"/>
        </w:rPr>
        <w:t xml:space="preserve"> 1.4.7. Pozostałe określenia podstawowe są zgodne z obowiązującymi, odpowiednimi polskimi normami i z definicjami podanymi w SST D-M-00.00.00 „Wymagania ogólne” pkt 1.4.                                     </w:t>
      </w:r>
      <w:r>
        <w:rPr>
          <w:rFonts w:ascii="Arial Narrow" w:hAnsi="Arial Narrow"/>
        </w:rPr>
        <w:t xml:space="preserve">                                                                   </w:t>
      </w:r>
      <w:r w:rsidRPr="00C54311">
        <w:rPr>
          <w:rFonts w:ascii="Arial Narrow" w:hAnsi="Arial Narrow"/>
        </w:rPr>
        <w:t xml:space="preserve"> 1.5. Ogólne wymagania dotyczące robót Ogólne wymagania dotyczące robót podano w SST D-M-00.00.00 „Wymagania ogólne” pkt 1.5.                                                                                                                  </w:t>
      </w:r>
      <w:r>
        <w:rPr>
          <w:rFonts w:ascii="Arial Narrow" w:hAnsi="Arial Narrow"/>
        </w:rPr>
        <w:t xml:space="preserve">                                                                         </w:t>
      </w:r>
      <w:r w:rsidRPr="00C54311">
        <w:rPr>
          <w:rFonts w:ascii="Arial Narrow" w:hAnsi="Arial Narrow"/>
        </w:rPr>
        <w:t xml:space="preserve"> </w:t>
      </w:r>
      <w:r w:rsidRPr="00C54311">
        <w:rPr>
          <w:rFonts w:ascii="Arial Narrow" w:hAnsi="Arial Narrow"/>
          <w:b/>
          <w:bCs/>
          <w:highlight w:val="lightGray"/>
        </w:rPr>
        <w:t>2. MATERIAŁY</w:t>
      </w:r>
      <w:r w:rsidRPr="00C54311">
        <w:rPr>
          <w:rFonts w:ascii="Arial Narrow" w:hAnsi="Arial Narrow"/>
          <w:b/>
          <w:bCs/>
        </w:rPr>
        <w:t xml:space="preserve">                                                                                                                                                                              </w:t>
      </w:r>
      <w:r>
        <w:rPr>
          <w:rFonts w:ascii="Arial Narrow" w:hAnsi="Arial Narrow"/>
        </w:rPr>
        <w:t xml:space="preserve">2 </w:t>
      </w:r>
      <w:r w:rsidRPr="00C54311">
        <w:rPr>
          <w:rFonts w:ascii="Arial Narrow" w:hAnsi="Arial Narrow"/>
        </w:rPr>
        <w:t xml:space="preserve">2.1. Ogólne wymagania dotyczące materiałów Ogólne wymagania dotyczące materiałów, ich pozyskiwania i składowania, podano w SST D-M-00.00.00 „Wymagania ogólne” pkt                                  </w:t>
      </w:r>
      <w:r>
        <w:rPr>
          <w:rFonts w:ascii="Arial Narrow" w:hAnsi="Arial Narrow"/>
        </w:rPr>
        <w:t xml:space="preserve">                                                            </w:t>
      </w:r>
      <w:r w:rsidRPr="00C54311">
        <w:rPr>
          <w:rFonts w:ascii="Arial Narrow" w:hAnsi="Arial Narrow"/>
        </w:rPr>
        <w:t xml:space="preserve">  2. 2.2. Ziemia urodzajna Ziemia urodzajna, w zależności od miejsca pozyskania, powinna posiadać następujące charakterystyki: − ziemia rodzima - powinna być zdjęta przed rozpoczęciem robót budowlanych i zmagazynowana w pryzmach nie przekraczających 2 m wysokości, − ziemia pozyskana w innym miejscu i dostarczona na plac budowy - nie może być zagruzowana, przerośnięta korzeniami, zasolona lub zanieczyszczona chemicznie.                                                                                                                  </w:t>
      </w:r>
      <w:r>
        <w:rPr>
          <w:rFonts w:ascii="Arial Narrow" w:hAnsi="Arial Narrow"/>
        </w:rPr>
        <w:t xml:space="preserve">2 </w:t>
      </w:r>
      <w:r w:rsidRPr="00C54311">
        <w:rPr>
          <w:rFonts w:ascii="Arial Narrow" w:hAnsi="Arial Narrow"/>
        </w:rPr>
        <w:t xml:space="preserve">2.3. Ziemia kompostowa Do nawożenia gleby mogą być stosowane komposty, powstające w wyniku rozkładu różnych odpadków roślinnych i zwierzęcych (np. torfu, fekaliów, kory drzewnej, chwastów, plewów), przy kompostowaniu ich na otwartym powietrzu w pryzmach, w sposób i w warunkach zapewniających utrzymanie wymaganych cech i wskaźników jakości kompostu. Kompost fekaliowo-torfowy - wyrób uzyskuje się przez kompostowanie torfu z fekaliami i ściekami bytowymi z osadników, z osiedli mieszkaniowych. Kompost fekalowo-torfowy powinien odpowiadać wymaganiom BN-73/0522-01 [5], a torf użyty jako komponent do wyrobu kompostu - PN-G-98011 [1]. Kompost z kory drzewnej - wyrób uzyskuje się przez kompostowanie kory zmieszanej z mocznikiem i osadami z oczyszczalni ścieków pocelulozowych, przez okres około 3-ch miesięcy. Kompost z kory sosnowej może być stosowany jako nawóz organiczny przy przygotowaniu gleby pod zieleń w okresie jesieni, przez zmieszanie kompostu z glebą.                                                                                      </w:t>
      </w:r>
    </w:p>
    <w:p w14:paraId="5B9CE49F" w14:textId="77777777" w:rsidR="00C54311" w:rsidRPr="00C54311" w:rsidRDefault="00C54311" w:rsidP="00C54311">
      <w:pPr>
        <w:rPr>
          <w:rFonts w:ascii="Arial Narrow" w:hAnsi="Arial Narrow"/>
        </w:rPr>
      </w:pPr>
      <w:r w:rsidRPr="00C54311">
        <w:rPr>
          <w:rFonts w:ascii="Arial Narrow" w:hAnsi="Arial Narrow"/>
        </w:rPr>
        <w:t xml:space="preserve">2.4. Materiał roślinny sadzeniowy </w:t>
      </w:r>
    </w:p>
    <w:p w14:paraId="2CFB9E73" w14:textId="77777777" w:rsidR="00C54311" w:rsidRPr="00C54311" w:rsidRDefault="00C54311" w:rsidP="00C54311">
      <w:pPr>
        <w:rPr>
          <w:rFonts w:ascii="Arial Narrow" w:hAnsi="Arial Narrow"/>
        </w:rPr>
      </w:pPr>
      <w:r w:rsidRPr="00C54311">
        <w:rPr>
          <w:rFonts w:ascii="Arial Narrow" w:hAnsi="Arial Narrow"/>
        </w:rPr>
        <w:t xml:space="preserve">Dostarczone sadzonki powinny być zgodne z normą PN-R-67023 [3] i PN-R-67022 [2], właściwie oznaczone, tzn. muszą mieć etykiety, na których podana jest nazwa łacińska, forma, wybór, wysokość pnia, numer normy. Sadzonki drzew i krzewów powinny być prawidłowo uformowane z zachowaniem pokroju charakterystycznego dla gatunku i odmiany oraz posiadać następujące cechy: − pąk szczytowy przewodnika powinien być wyraźnie uformowany, − przyrost ostatniego roku powinien wyraźnie i prosto przedłużać przewodnik, − system korzeniowy powinien być skupiony i prawidłowo rozwinięty, na korzeniach szkieletowych powinny występować liczne korzenie drobne, − u roślin sadzonych z bryłą korzeniową, np. drzew i krzewów iglastych, bryła korzeniowa powinna być prawidłowo uformowana i nie uszkodzona, − pędy korony u drzew nie powinny być przycięte, chyba że jest to cięcie formujące, np. u form kulistych, − pędy boczne </w:t>
      </w:r>
      <w:r w:rsidRPr="00C54311">
        <w:rPr>
          <w:rFonts w:ascii="Arial Narrow" w:hAnsi="Arial Narrow"/>
        </w:rPr>
        <w:lastRenderedPageBreak/>
        <w:t xml:space="preserve">korony drzewa powinny być równomiernie rozmieszczone, − przewodnik powinien być praktycznie prosty, − blizny na przewodniku powinny być dobrze zarośnięte, dopuszcza się 4 niecałkowicie zarośnięte blizny na przewodniku w II wyborze, u form naturalnych drzew. Wady niedopuszczalne: − silne uszkodzenia mechaniczne roślin, − odrosty podkładki poniżej miejsca szczepienia, 1 Szczegółowa specyfikacja techniczna − ślady żerowania szkodników, − oznaki chorobowe, − zwiędnięcie i pomarszczenie kory na korzeniach i częściach naziemnych, − martwice i pęknięcia kory, − uszkodzenie pąka szczytowego przewodnika, − dwupędowe korony drzew formy piennej, − uszkodzenie lub przesuszenie bryły korzeniowej, − złe zrośnięcie odmiany szczepionej z podkładką. </w:t>
      </w:r>
    </w:p>
    <w:p w14:paraId="4BFA70D4" w14:textId="23D6F020" w:rsidR="00C54311" w:rsidRPr="00C54311" w:rsidRDefault="00C54311" w:rsidP="00C54311">
      <w:pPr>
        <w:rPr>
          <w:rFonts w:ascii="Arial Narrow" w:hAnsi="Arial Narrow"/>
        </w:rPr>
      </w:pPr>
      <w:r w:rsidRPr="00C54311">
        <w:rPr>
          <w:rFonts w:ascii="Arial Narrow" w:hAnsi="Arial Narrow"/>
          <w:b/>
          <w:bCs/>
          <w:highlight w:val="lightGray"/>
        </w:rPr>
        <w:t>3. SPRZĘT</w:t>
      </w:r>
      <w:r w:rsidRPr="00C54311">
        <w:rPr>
          <w:rFonts w:ascii="Arial Narrow" w:hAnsi="Arial Narrow"/>
          <w:b/>
          <w:bCs/>
        </w:rPr>
        <w:t xml:space="preserve">                                                                                                                                                                         </w:t>
      </w:r>
      <w:r w:rsidRPr="00C54311">
        <w:rPr>
          <w:rFonts w:ascii="Arial Narrow" w:hAnsi="Arial Narrow"/>
        </w:rPr>
        <w:t xml:space="preserve">3.1. Ogólne wymagania dotyczące sprzętu Ogólne wymagania dotyczące sprzętu podano w SST D-M-00.00.00 „Wymagania ogólne” pkt 3.                                                                                                                                    </w:t>
      </w:r>
      <w:r>
        <w:rPr>
          <w:rFonts w:ascii="Arial Narrow" w:hAnsi="Arial Narrow"/>
        </w:rPr>
        <w:t xml:space="preserve">                          </w:t>
      </w:r>
      <w:r w:rsidRPr="00C54311">
        <w:rPr>
          <w:rFonts w:ascii="Arial Narrow" w:hAnsi="Arial Narrow"/>
        </w:rPr>
        <w:t xml:space="preserve">3.2. Sprzęt stosowany do wykonania zieleni drogowej Wykonawca przystępujący do wykonania zieleni drogowej powinien wykazać się możliwością korzystania z następującego sprzętu: − glebogryzarek, pługów, kultywatorów, bron do uprawy gleby, − sprzętu do pozyskiwania ziemi urodzajnej (np. spycharki gąsiennicowej, koparki), − beczkowozu do transportu wody                                           </w:t>
      </w:r>
      <w:r>
        <w:rPr>
          <w:rFonts w:ascii="Arial Narrow" w:hAnsi="Arial Narrow"/>
        </w:rPr>
        <w:t xml:space="preserve">                                                                                                                                         </w:t>
      </w:r>
      <w:r w:rsidRPr="00C54311">
        <w:rPr>
          <w:rFonts w:ascii="Arial Narrow" w:hAnsi="Arial Narrow"/>
        </w:rPr>
        <w:t xml:space="preserve"> </w:t>
      </w:r>
      <w:r w:rsidRPr="00C54311">
        <w:rPr>
          <w:rFonts w:ascii="Arial Narrow" w:hAnsi="Arial Narrow"/>
          <w:b/>
          <w:bCs/>
          <w:highlight w:val="lightGray"/>
        </w:rPr>
        <w:t>4. TRANSPORT</w:t>
      </w:r>
      <w:r w:rsidRPr="00C54311">
        <w:rPr>
          <w:rFonts w:ascii="Arial Narrow" w:hAnsi="Arial Narrow"/>
          <w:b/>
          <w:bCs/>
        </w:rPr>
        <w:t xml:space="preserve">                                                                                                                                                                       </w:t>
      </w:r>
      <w:r w:rsidRPr="00C54311">
        <w:rPr>
          <w:rFonts w:ascii="Arial Narrow" w:hAnsi="Arial Narrow"/>
        </w:rPr>
        <w:t xml:space="preserve">4.1. Ogólne wymagania dotyczące transportu Ogólne wymagania dotyczące transportu podano w SST D-M-00.00.00 „Wymagania ogólne” pkt 4.                                                                                                                    </w:t>
      </w:r>
      <w:r>
        <w:rPr>
          <w:rFonts w:ascii="Arial Narrow" w:hAnsi="Arial Narrow"/>
        </w:rPr>
        <w:t xml:space="preserve">                                     </w:t>
      </w:r>
      <w:r w:rsidRPr="00C54311">
        <w:rPr>
          <w:rFonts w:ascii="Arial Narrow" w:hAnsi="Arial Narrow"/>
        </w:rPr>
        <w:t xml:space="preserve">4.2. Transport materiałów do wykonania nasadzeń Transport materiałów do zieleni drogowej może być dowolny pod warunkiem, że nie uszkodzi, ani też nie pogorszy jakości transportowanych materiałów.                                                                                                                                                                           </w:t>
      </w:r>
      <w:r w:rsidRPr="00C54311">
        <w:rPr>
          <w:rFonts w:ascii="Arial Narrow" w:hAnsi="Arial Narrow"/>
          <w:b/>
          <w:bCs/>
          <w:highlight w:val="lightGray"/>
        </w:rPr>
        <w:t>5. WYKONANIE ROBÓT</w:t>
      </w:r>
      <w:r w:rsidRPr="00C54311">
        <w:rPr>
          <w:rFonts w:ascii="Arial Narrow" w:hAnsi="Arial Narrow"/>
          <w:b/>
          <w:bCs/>
        </w:rPr>
        <w:t xml:space="preserve">                                                                                                                                                            </w:t>
      </w:r>
      <w:r w:rsidRPr="00C54311">
        <w:rPr>
          <w:rFonts w:ascii="Arial Narrow" w:hAnsi="Arial Narrow"/>
        </w:rPr>
        <w:t xml:space="preserve">5.1. Ogólne zasady wykonania robót Ogólne zasady wykonania robót podano w SST D-M-00.00.00 „Wymagania ogólne” pkt                                                                                                                                                    </w:t>
      </w:r>
      <w:r>
        <w:rPr>
          <w:rFonts w:ascii="Arial Narrow" w:hAnsi="Arial Narrow"/>
        </w:rPr>
        <w:t xml:space="preserve">                                                     </w:t>
      </w:r>
      <w:r w:rsidRPr="00C54311">
        <w:rPr>
          <w:rFonts w:ascii="Arial Narrow" w:hAnsi="Arial Narrow"/>
        </w:rPr>
        <w:t xml:space="preserve">  5. 5.1. Drzewa                                                                                                                                                                    5.1.1. Wymagania dotyczące sadzenia drzew Wymagania dotyczące sadzenia drzew i krzewów są następujące: − pora sadzenia - jesień lub wiosna, − miejsce sadzenia - powinno być wyznaczone w terenie, zgodnie z dokumentacją projektową, − dołki pod drzewa i krzewy powinny mieć wielkość wskazaną w dokumentacji projektowej i zaprawione ziemią urodzajną, − roślina w miejscu sadzenia powinna znaleźć się do 5 cm głębiej jak rosła w szkółce. Zbyt głębokie lub płytkie sadzenie utrudnia prawidłowy rozwój rośliny, − korzenie złamane i uszkodzone należy przed sadzeniem przyciąć, − przy sadzeniu drzew formy piennej należy przed sadzeniem wbić w dno dołu drewniany palik, − korzenie roślin zasypywać sypką ziemią, a następnie prawidłowo ubić, uformować miskę i podlać, − drzewa formy piennej należy przywiązać do palika tuż pod koroną, − wysokość palika wbitego w grunt powinna być równa wysokości pnia posadzonego drzewa, − palik powinien być umieszczony od strony najczęściej wiejących wiatrów.                                                                                                                       5.1.2. Pielęgnacja po posadzeniu Pielęgnacja w okresie gwarancyjnym (w ciągu roku po posadzeniu) polega na: − podlewaniu, − odchwaszczaniu, − nawożeniu, − usuwaniu odrostów korzeniowych, − poprawianiu misek, − okopczykowaniu drzew i krzewów jesienią, − rozgarnięciu kopczyków wiosną i uformowaniu misek, − wymianie uschniętych i uszkodzonych drzew i krzewów, − wymianie zniszczonych palików i wiązadeł, − przycięciu złamanych, chorych lub krzyżujących się gałęzi (cięcia pielęgnacyjne i formujące).                                                                                                                                       5.1.3. Zabezpieczenie drzew podczas budowy W czasie trwania budowy lub przebudowy dróg, ulic, placów, parkingów itp. w sąsiedztwie istniejących drzew, następuje pogorszenie warunków glebowych, co niekorzystnie wpływa na wzrost i rozwój tych drzew. Jeżeli istniejące drzewa nie będą wycinane lub przesadzane, to w SST powinny być określone warunki zabezpieczenia drzew na czas trwania budowy oraz po wykonaniu tych robót.                                                                                                                  </w:t>
      </w:r>
      <w:r w:rsidRPr="00C54311">
        <w:rPr>
          <w:rFonts w:ascii="Arial Narrow" w:hAnsi="Arial Narrow"/>
          <w:b/>
          <w:bCs/>
          <w:highlight w:val="lightGray"/>
        </w:rPr>
        <w:t>6. KONTROLA JAKOŚCI ROBÓT</w:t>
      </w:r>
      <w:r w:rsidRPr="00C54311">
        <w:rPr>
          <w:rFonts w:ascii="Arial Narrow" w:hAnsi="Arial Narrow"/>
          <w:b/>
          <w:bCs/>
        </w:rPr>
        <w:t xml:space="preserve">                                                                                                                                     </w:t>
      </w:r>
      <w:r w:rsidRPr="00C54311">
        <w:rPr>
          <w:rFonts w:ascii="Arial Narrow" w:hAnsi="Arial Narrow"/>
        </w:rPr>
        <w:t xml:space="preserve">6.1. Ogólne zasady kontroli jakości robót Ogólne zasady kontroli jakości robót podano w SST D-M-00.00.00 „Wymagania ogólne” pkt                                                                                                                                          </w:t>
      </w:r>
      <w:r>
        <w:rPr>
          <w:rFonts w:ascii="Arial Narrow" w:hAnsi="Arial Narrow"/>
        </w:rPr>
        <w:t xml:space="preserve">                                          </w:t>
      </w:r>
      <w:r w:rsidRPr="00C54311">
        <w:rPr>
          <w:rFonts w:ascii="Arial Narrow" w:hAnsi="Arial Narrow"/>
        </w:rPr>
        <w:t xml:space="preserve"> 6. 6.1. Drzewa Kontrola robót w zakresie sadzenia i pielęgnacji drzew polega na sprawdzeniu: − wielkości dołków pod drzewka i krzewy, 2 Szczegółowa specyfikacja techniczna − zaprawienia dołków ziemią urodzajną, − materiału roślinnego w zakresie wymagań jakościowych systemu korzeniowego, pokroju, wieku, zgodności z normami: PN-R-67022 [2] i PN-R-67023 [3], − opakowania, przechowywania i transportu materiału roślinnego, − prawidłowości osadzenia pali drewnianych przy drzewach formy piennej i przymocowania do nich drzew, − odpowiednich terminów sadzenia, − wykonania prawidłowych misek przy drzewach po posadzeniu i podlaniu, − wymiany chorych, uszkodzonych, suchych i zdeformowanych drzew i krzewów, − zasilania nawozami mineralnymi. Kontrola robót przy odbiorze posadzonych drzew dotyczy: − zgodności realizacji obsadzenia z dokumentacją projektową, − zgodności </w:t>
      </w:r>
      <w:r w:rsidRPr="00C54311">
        <w:rPr>
          <w:rFonts w:ascii="Arial Narrow" w:hAnsi="Arial Narrow"/>
        </w:rPr>
        <w:lastRenderedPageBreak/>
        <w:t xml:space="preserve">posadzonych gatunków i odmian oraz ilości drzew i krzewów z dokumentacją projektową, − wykonania misek przy drzewach i krzewach, jeśli odbiór jest na wiosnę lub wykonaniu kopczyków, jeżeli odbiór jest na jesieni, − prawidłowości osadzenia palików do drzew i przywiązania do nich pni drzew (paliki prosto i mocno osadzone, mocowanie nie naruszone), − jakości posadzonego materiału.                                                                                                                                                          </w:t>
      </w:r>
      <w:r w:rsidRPr="00C54311">
        <w:rPr>
          <w:rFonts w:ascii="Arial Narrow" w:hAnsi="Arial Narrow"/>
          <w:b/>
          <w:bCs/>
          <w:highlight w:val="lightGray"/>
        </w:rPr>
        <w:t>7. OBMIAR ROBÓT</w:t>
      </w:r>
      <w:r w:rsidRPr="00C54311">
        <w:rPr>
          <w:rFonts w:ascii="Arial Narrow" w:hAnsi="Arial Narrow"/>
          <w:b/>
          <w:bCs/>
        </w:rPr>
        <w:t xml:space="preserve">                                                                                                                                                            </w:t>
      </w:r>
      <w:r w:rsidRPr="00C54311">
        <w:rPr>
          <w:rFonts w:ascii="Arial Narrow" w:hAnsi="Arial Narrow"/>
        </w:rPr>
        <w:t xml:space="preserve">7.1. Ogólne zasady obmiaru robót Ogólne zasady obmiaru robót podano w SST D-M-00.00.00 „Wymagania ogólne” pkt 7.                                                                                                                                                   </w:t>
      </w:r>
      <w:r>
        <w:rPr>
          <w:rFonts w:ascii="Arial Narrow" w:hAnsi="Arial Narrow"/>
        </w:rPr>
        <w:t xml:space="preserve">                                                     </w:t>
      </w:r>
      <w:r w:rsidRPr="00C54311">
        <w:rPr>
          <w:rFonts w:ascii="Arial Narrow" w:hAnsi="Arial Narrow"/>
        </w:rPr>
        <w:t xml:space="preserve"> 7.2. Jednostka obmiarowa Jednostką obmiarową jest szt. (sztuka) wykonania sadzenia drzewa.                          </w:t>
      </w:r>
      <w:r>
        <w:rPr>
          <w:rFonts w:ascii="Arial Narrow" w:hAnsi="Arial Narrow"/>
        </w:rPr>
        <w:t xml:space="preserve">                       </w:t>
      </w:r>
      <w:r w:rsidRPr="00C54311">
        <w:rPr>
          <w:rFonts w:ascii="Arial Narrow" w:hAnsi="Arial Narrow"/>
          <w:b/>
          <w:bCs/>
          <w:highlight w:val="lightGray"/>
        </w:rPr>
        <w:t>8. ODBIÓR ROBÓT</w:t>
      </w:r>
      <w:r w:rsidRPr="00C54311">
        <w:rPr>
          <w:rFonts w:ascii="Arial Narrow" w:hAnsi="Arial Narrow"/>
          <w:b/>
          <w:bCs/>
        </w:rPr>
        <w:t xml:space="preserve">                                                                                                                                                           </w:t>
      </w:r>
      <w:r w:rsidRPr="00C54311">
        <w:rPr>
          <w:rFonts w:ascii="Arial Narrow" w:hAnsi="Arial Narrow"/>
        </w:rPr>
        <w:t xml:space="preserve">8.1. Ogólne zasady odbioru robót Ogólne zasady odbioru robót podano w SST D-M-00.00.00 „Wymagania ogólne” pkt 8.                                                                                                                                            </w:t>
      </w:r>
      <w:r w:rsidRPr="00C54311">
        <w:rPr>
          <w:rFonts w:ascii="Arial Narrow" w:hAnsi="Arial Narrow"/>
          <w:b/>
          <w:bCs/>
          <w:highlight w:val="lightGray"/>
        </w:rPr>
        <w:t>9. PODSTAWA PŁATNOŚCI</w:t>
      </w:r>
      <w:r w:rsidRPr="00C54311">
        <w:rPr>
          <w:rFonts w:ascii="Arial Narrow" w:hAnsi="Arial Narrow"/>
          <w:b/>
          <w:bCs/>
        </w:rPr>
        <w:t xml:space="preserve">                                                                                                                                                   </w:t>
      </w:r>
      <w:r w:rsidRPr="00C54311">
        <w:rPr>
          <w:rFonts w:ascii="Arial Narrow" w:hAnsi="Arial Narrow"/>
        </w:rPr>
        <w:t xml:space="preserve">9.1. Ogólne ustalenia dotyczące podstawy płatności Ogólne ustalenia dotyczące podstawy płatności podano w SST D-M-00.00.00 „Wymagania ogólne” pkt 9.                                                                                                </w:t>
      </w:r>
      <w:r>
        <w:rPr>
          <w:rFonts w:ascii="Arial Narrow" w:hAnsi="Arial Narrow"/>
        </w:rPr>
        <w:t xml:space="preserve">                                        </w:t>
      </w:r>
      <w:r w:rsidRPr="00C54311">
        <w:rPr>
          <w:rFonts w:ascii="Arial Narrow" w:hAnsi="Arial Narrow"/>
        </w:rPr>
        <w:t xml:space="preserve"> 9.2. Cena jednostki obmiarowej Cena przesadzenia 1 sztuki drzewa lub krzewu obejmuje: − roboty przygotowawcze, − wyznaczenie miejsc sadzenia, wykopanie i zaprawienie dołków, − zasadzenie drzewa, pielęgnacja w czasie trwania gwarancji, − pielęgnację posadzonych drzew: podlewanie, odchwaszczanie, nawożenie.                                                                                                                                               </w:t>
      </w:r>
      <w:r w:rsidRPr="00C54311">
        <w:rPr>
          <w:rFonts w:ascii="Arial Narrow" w:hAnsi="Arial Narrow"/>
          <w:b/>
          <w:bCs/>
          <w:highlight w:val="lightGray"/>
        </w:rPr>
        <w:t>10. PRZEPISY ZWIĄZANE</w:t>
      </w:r>
      <w:r w:rsidRPr="00C54311">
        <w:rPr>
          <w:rFonts w:ascii="Arial Narrow" w:hAnsi="Arial Narrow"/>
          <w:b/>
          <w:bCs/>
        </w:rPr>
        <w:t xml:space="preserve">                                                                                                                                                          </w:t>
      </w:r>
      <w:r w:rsidRPr="00C54311">
        <w:rPr>
          <w:rFonts w:ascii="Arial Narrow" w:hAnsi="Arial Narrow"/>
        </w:rPr>
        <w:t xml:space="preserve">1. PN-G-98011 Torf rolniczy                                                                                                                                                     2. PN-R-67022 Materiał szkółkarski. Ozdobne drzewa i krzewy iglaste                                                                                 3. PN-R-67023 Materiał szkółkarski. Ozdobne drzewa i krzewy liściaste                                                                                    4. BN-73/0522-01 Kompost fekaliowo-torfowy                                                                                                                            </w:t>
      </w:r>
    </w:p>
    <w:p w14:paraId="518DF77F" w14:textId="4E5C9E2D" w:rsidR="00E11C96" w:rsidRDefault="00E11C96"/>
    <w:p w14:paraId="522CF26C" w14:textId="215CFD6A" w:rsidR="00E11C96" w:rsidRDefault="00E11C96"/>
    <w:p w14:paraId="07729FBB" w14:textId="536682B4" w:rsidR="00E11C96" w:rsidRDefault="00E11C96"/>
    <w:p w14:paraId="1EB10EF5" w14:textId="09977F22" w:rsidR="00E11C96" w:rsidRDefault="00E11C96"/>
    <w:p w14:paraId="13F502B0" w14:textId="3974CA6B" w:rsidR="00E11C96" w:rsidRDefault="00E11C96"/>
    <w:p w14:paraId="5086325A" w14:textId="47468B79" w:rsidR="00E11C96" w:rsidRDefault="00E11C96"/>
    <w:p w14:paraId="7861868F" w14:textId="5074017A" w:rsidR="00E11C96" w:rsidRDefault="00E11C96"/>
    <w:p w14:paraId="0D6983F5" w14:textId="23F8114B" w:rsidR="00E11C96" w:rsidRDefault="00E11C96"/>
    <w:p w14:paraId="7EBC2210" w14:textId="1273CC62" w:rsidR="00E11C96" w:rsidRDefault="00E11C96"/>
    <w:p w14:paraId="7F7475C8" w14:textId="31D783FA" w:rsidR="00E11C96" w:rsidRDefault="00E11C96"/>
    <w:p w14:paraId="33EECD49" w14:textId="6B463D96" w:rsidR="00E11C96" w:rsidRDefault="00E11C96"/>
    <w:p w14:paraId="00B59C0E" w14:textId="5230829A" w:rsidR="00E11C96" w:rsidRDefault="00E11C96"/>
    <w:p w14:paraId="2A0F2CA8" w14:textId="2330FEC0" w:rsidR="00E11C96" w:rsidRDefault="00E11C96"/>
    <w:p w14:paraId="29A9DDCC" w14:textId="74AEB0F9" w:rsidR="00E11C96" w:rsidRDefault="00E11C96"/>
    <w:p w14:paraId="6CC846CD" w14:textId="5A511A89" w:rsidR="00E11C96" w:rsidRDefault="00E11C96"/>
    <w:p w14:paraId="7473E18B" w14:textId="1CA0814B" w:rsidR="00E11C96" w:rsidRDefault="00E11C96"/>
    <w:p w14:paraId="548CCE05" w14:textId="38C8835D" w:rsidR="00E11C96" w:rsidRDefault="00E11C96"/>
    <w:p w14:paraId="7F644FB0" w14:textId="46520906" w:rsidR="00E11C96" w:rsidRDefault="00E11C96"/>
    <w:p w14:paraId="54310F35" w14:textId="792150E6" w:rsidR="00E11C96" w:rsidRDefault="00E11C96"/>
    <w:p w14:paraId="0E296FEF" w14:textId="66B7D859" w:rsidR="00E11C96" w:rsidRDefault="00E11C96"/>
    <w:p w14:paraId="35F3B4D6" w14:textId="616D3BCC" w:rsidR="00E11C96" w:rsidRDefault="00E11C96"/>
    <w:p w14:paraId="369BFAF2" w14:textId="18F6D6BB" w:rsidR="00E11C96" w:rsidRDefault="00E11C96"/>
    <w:p w14:paraId="50987BFB" w14:textId="04D920EE" w:rsidR="00E11C96" w:rsidRDefault="00E11C96"/>
    <w:p w14:paraId="18D10EA6" w14:textId="272BB506" w:rsidR="00E11C96" w:rsidRDefault="00E11C96"/>
    <w:p w14:paraId="52CC5BEE" w14:textId="04EF8E82" w:rsidR="00E11C96" w:rsidRDefault="00E11C96"/>
    <w:p w14:paraId="753ACAEB" w14:textId="6B879453" w:rsidR="00E11C96" w:rsidRDefault="00E11C96"/>
    <w:p w14:paraId="4B523734" w14:textId="2C1C93E4" w:rsidR="00E11C96" w:rsidRDefault="00E11C96"/>
    <w:p w14:paraId="5F626F0A" w14:textId="5E4AAAF9" w:rsidR="00E11C96" w:rsidRDefault="00E11C96"/>
    <w:p w14:paraId="38B08CA8" w14:textId="77777777" w:rsidR="00E11C96" w:rsidRDefault="00E11C96"/>
    <w:sectPr w:rsidR="00E11C96" w:rsidSect="00C764D6">
      <w:pgSz w:w="11907" w:h="16840" w:code="9"/>
      <w:pgMar w:top="1134" w:right="992" w:bottom="1134" w:left="1247" w:header="709" w:footer="904"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BA10A6E" w14:textId="77777777" w:rsidR="00CA36F0" w:rsidRDefault="00CA36F0" w:rsidP="003220D1">
      <w:pPr>
        <w:spacing w:after="0" w:line="240" w:lineRule="auto"/>
      </w:pPr>
      <w:r>
        <w:separator/>
      </w:r>
    </w:p>
  </w:endnote>
  <w:endnote w:type="continuationSeparator" w:id="0">
    <w:p w14:paraId="465EFD88" w14:textId="77777777" w:rsidR="00CA36F0" w:rsidRDefault="00CA36F0" w:rsidP="003220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Bookman Old Style">
    <w:panose1 w:val="02050604050505020204"/>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Trebuchet MS">
    <w:panose1 w:val="020B0603020202020204"/>
    <w:charset w:val="EE"/>
    <w:family w:val="swiss"/>
    <w:pitch w:val="variable"/>
    <w:sig w:usb0="00000687" w:usb1="00000000" w:usb2="00000000" w:usb3="00000000" w:csb0="0000009F" w:csb1="00000000"/>
  </w:font>
  <w:font w:name="Segoe UI">
    <w:panose1 w:val="020B0502040204020203"/>
    <w:charset w:val="00"/>
    <w:family w:val="swiss"/>
    <w:notTrueType/>
    <w:pitch w:val="variable"/>
    <w:sig w:usb0="00000003" w:usb1="00000000" w:usb2="00000000" w:usb3="00000000" w:csb0="00000001" w:csb1="00000000"/>
  </w:font>
  <w:font w:name="Optima">
    <w:altName w:val="Times New Roman"/>
    <w:panose1 w:val="00000000000000000000"/>
    <w:charset w:val="00"/>
    <w:family w:val="auto"/>
    <w:notTrueType/>
    <w:pitch w:val="variable"/>
    <w:sig w:usb0="00000003" w:usb1="00000000" w:usb2="00000000" w:usb3="00000000" w:csb0="00000001" w:csb1="00000000"/>
  </w:font>
  <w:font w:name="MS Reference Sans Serif">
    <w:panose1 w:val="020B0604030504040204"/>
    <w:charset w:val="EE"/>
    <w:family w:val="swiss"/>
    <w:pitch w:val="variable"/>
    <w:sig w:usb0="20000287" w:usb1="00000000" w:usb2="00000000" w:usb3="00000000" w:csb0="0000019F" w:csb1="00000000"/>
  </w:font>
  <w:font w:name="Cambria Math">
    <w:panose1 w:val="02040503050406030204"/>
    <w:charset w:val="EE"/>
    <w:family w:val="roman"/>
    <w:pitch w:val="variable"/>
    <w:sig w:usb0="E00006FF" w:usb1="420024FF" w:usb2="02000000" w:usb3="00000000" w:csb0="0000019F" w:csb1="00000000"/>
  </w:font>
  <w:font w:name="TimesNewRomanPSMT">
    <w:charset w:val="EE"/>
    <w:family w:val="roman"/>
    <w:pitch w:val="default"/>
  </w:font>
  <w:font w:name="Century Gothic">
    <w:panose1 w:val="020B0502020202020204"/>
    <w:charset w:val="EE"/>
    <w:family w:val="swiss"/>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8FE59E" w14:textId="77777777" w:rsidR="00524F4E" w:rsidRDefault="004C23B9">
    <w:pPr>
      <w:pStyle w:val="Stopk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2E2E5B" w14:textId="77777777" w:rsidR="00524F4E" w:rsidRDefault="00571127" w:rsidP="00CC1832">
    <w:pPr>
      <w:pStyle w:val="Stopka"/>
      <w:pBdr>
        <w:top w:val="single" w:sz="4" w:space="1" w:color="auto"/>
      </w:pBdr>
      <w:ind w:firstLine="0"/>
    </w:pPr>
    <w:r w:rsidRPr="00CC1832">
      <w:rPr>
        <w:sz w:val="12"/>
        <w:szCs w:val="12"/>
      </w:rPr>
      <w:t>(</w:t>
    </w:r>
    <w:r>
      <w:rPr>
        <w:sz w:val="12"/>
        <w:szCs w:val="12"/>
      </w:rPr>
      <w:t>v3e</w:t>
    </w:r>
    <w:r w:rsidRPr="00CC1832">
      <w:rPr>
        <w:sz w:val="12"/>
        <w:szCs w:val="12"/>
      </w:rPr>
      <w:t>)</w:t>
    </w:r>
    <w:r>
      <w:tab/>
    </w:r>
    <w:r>
      <w:tab/>
    </w:r>
    <w:r>
      <w:fldChar w:fldCharType="begin"/>
    </w:r>
    <w:r>
      <w:instrText>PAGE   \* MERGEFORMAT</w:instrText>
    </w:r>
    <w:r>
      <w:fldChar w:fldCharType="separate"/>
    </w:r>
    <w:r w:rsidR="004C23B9">
      <w:rPr>
        <w:noProof/>
      </w:rPr>
      <w:t>12</w:t>
    </w:r>
    <w:r>
      <w:fldChar w:fldCharType="end"/>
    </w:r>
  </w:p>
  <w:p w14:paraId="4AB50AF6" w14:textId="77777777" w:rsidR="00524F4E" w:rsidRDefault="004C23B9">
    <w:pPr>
      <w:pStyle w:val="Stopka"/>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1DCC9C" w14:textId="77777777" w:rsidR="003220D1" w:rsidRDefault="003220D1">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D2922B" w14:textId="77777777" w:rsidR="003220D1" w:rsidRDefault="003220D1" w:rsidP="001E638A">
    <w:pPr>
      <w:pStyle w:val="Stopka"/>
      <w:pBdr>
        <w:top w:val="single" w:sz="4" w:space="1" w:color="auto"/>
      </w:pBdr>
      <w:ind w:firstLine="0"/>
    </w:pPr>
    <w:r w:rsidRPr="00CC1832">
      <w:rPr>
        <w:sz w:val="12"/>
        <w:szCs w:val="12"/>
      </w:rPr>
      <w:t>(v</w:t>
    </w:r>
    <w:r>
      <w:rPr>
        <w:sz w:val="12"/>
        <w:szCs w:val="12"/>
      </w:rPr>
      <w:t>2</w:t>
    </w:r>
    <w:r w:rsidRPr="00CC1832">
      <w:rPr>
        <w:sz w:val="12"/>
        <w:szCs w:val="12"/>
      </w:rPr>
      <w:t>a)</w:t>
    </w:r>
    <w:r>
      <w:tab/>
    </w:r>
    <w:r>
      <w:tab/>
    </w:r>
    <w:r>
      <w:fldChar w:fldCharType="begin"/>
    </w:r>
    <w:r>
      <w:instrText>PAGE   \* MERGEFORMAT</w:instrText>
    </w:r>
    <w:r>
      <w:fldChar w:fldCharType="separate"/>
    </w:r>
    <w:r w:rsidR="004C23B9">
      <w:rPr>
        <w:noProof/>
      </w:rPr>
      <w:t>20</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D47F97D" w14:textId="77777777" w:rsidR="00CA36F0" w:rsidRDefault="00CA36F0" w:rsidP="003220D1">
      <w:pPr>
        <w:spacing w:after="0" w:line="240" w:lineRule="auto"/>
      </w:pPr>
      <w:r>
        <w:separator/>
      </w:r>
    </w:p>
  </w:footnote>
  <w:footnote w:type="continuationSeparator" w:id="0">
    <w:p w14:paraId="4E8BF955" w14:textId="77777777" w:rsidR="00CA36F0" w:rsidRDefault="00CA36F0" w:rsidP="003220D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D19516" w14:textId="77777777" w:rsidR="00524F4E" w:rsidRDefault="004C23B9" w:rsidP="00271B54">
    <w:pPr>
      <w:pStyle w:val="Nagwek"/>
      <w:pBdr>
        <w:bottom w:val="single" w:sz="4" w:space="1"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DC4747" w14:textId="3B915381" w:rsidR="003220D1" w:rsidRPr="00DA6FE8" w:rsidRDefault="003220D1" w:rsidP="001E638A">
    <w:pPr>
      <w:pStyle w:val="NAZWASST"/>
      <w:pBdr>
        <w:bottom w:val="single" w:sz="4" w:space="1"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F"/>
    <w:multiLevelType w:val="singleLevel"/>
    <w:tmpl w:val="5346180E"/>
    <w:lvl w:ilvl="0">
      <w:start w:val="1"/>
      <w:numFmt w:val="decimal"/>
      <w:pStyle w:val="Listanumerowana2"/>
      <w:lvlText w:val="[%1]"/>
      <w:lvlJc w:val="left"/>
      <w:pPr>
        <w:tabs>
          <w:tab w:val="num" w:pos="360"/>
        </w:tabs>
        <w:ind w:left="360" w:hanging="360"/>
      </w:pPr>
      <w:rPr>
        <w:rFonts w:hint="default"/>
      </w:rPr>
    </w:lvl>
  </w:abstractNum>
  <w:abstractNum w:abstractNumId="1" w15:restartNumberingAfterBreak="0">
    <w:nsid w:val="FFFFFF80"/>
    <w:multiLevelType w:val="singleLevel"/>
    <w:tmpl w:val="3014CBB8"/>
    <w:lvl w:ilvl="0">
      <w:start w:val="1"/>
      <w:numFmt w:val="bullet"/>
      <w:pStyle w:val="Listapunktowana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5E693B6"/>
    <w:lvl w:ilvl="0">
      <w:start w:val="1"/>
      <w:numFmt w:val="bullet"/>
      <w:pStyle w:val="Listapunktowana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AB7E81EE"/>
    <w:lvl w:ilvl="0">
      <w:start w:val="1"/>
      <w:numFmt w:val="bullet"/>
      <w:pStyle w:val="Listapunktowana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F5986E7C"/>
    <w:lvl w:ilvl="0">
      <w:start w:val="1"/>
      <w:numFmt w:val="bullet"/>
      <w:pStyle w:val="Listapunktowana2"/>
      <w:lvlText w:val=""/>
      <w:lvlJc w:val="left"/>
      <w:pPr>
        <w:tabs>
          <w:tab w:val="num" w:pos="643"/>
        </w:tabs>
        <w:ind w:left="643" w:hanging="360"/>
      </w:pPr>
      <w:rPr>
        <w:rFonts w:ascii="Symbol" w:hAnsi="Symbol" w:hint="default"/>
      </w:rPr>
    </w:lvl>
  </w:abstractNum>
  <w:abstractNum w:abstractNumId="5" w15:restartNumberingAfterBreak="0">
    <w:nsid w:val="FFFFFFFE"/>
    <w:multiLevelType w:val="singleLevel"/>
    <w:tmpl w:val="48BEEFFC"/>
    <w:lvl w:ilvl="0">
      <w:numFmt w:val="decimal"/>
      <w:lvlText w:val="*"/>
      <w:lvlJc w:val="left"/>
    </w:lvl>
  </w:abstractNum>
  <w:abstractNum w:abstractNumId="6" w15:restartNumberingAfterBreak="0">
    <w:nsid w:val="051A6A33"/>
    <w:multiLevelType w:val="singleLevel"/>
    <w:tmpl w:val="47CE34E4"/>
    <w:lvl w:ilvl="0">
      <w:start w:val="1"/>
      <w:numFmt w:val="bullet"/>
      <w:lvlText w:val=""/>
      <w:lvlJc w:val="left"/>
      <w:pPr>
        <w:tabs>
          <w:tab w:val="num" w:pos="360"/>
        </w:tabs>
        <w:ind w:left="360" w:hanging="360"/>
      </w:pPr>
      <w:rPr>
        <w:rFonts w:ascii="Symbol" w:hAnsi="Symbol" w:cs="Symbol" w:hint="default"/>
      </w:rPr>
    </w:lvl>
  </w:abstractNum>
  <w:abstractNum w:abstractNumId="7" w15:restartNumberingAfterBreak="0">
    <w:nsid w:val="05CF0F54"/>
    <w:multiLevelType w:val="hybridMultilevel"/>
    <w:tmpl w:val="9B406746"/>
    <w:lvl w:ilvl="0" w:tplc="442CAFCE">
      <w:start w:val="1"/>
      <w:numFmt w:val="upperRoman"/>
      <w:lvlText w:val="%1."/>
      <w:lvlJc w:val="left"/>
      <w:pPr>
        <w:ind w:left="105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F3CC6F9E">
      <w:start w:val="1"/>
      <w:numFmt w:val="lowerLetter"/>
      <w:lvlText w:val="%2"/>
      <w:lvlJc w:val="left"/>
      <w:pPr>
        <w:ind w:left="124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857C5044">
      <w:start w:val="1"/>
      <w:numFmt w:val="lowerRoman"/>
      <w:lvlText w:val="%3"/>
      <w:lvlJc w:val="left"/>
      <w:pPr>
        <w:ind w:left="196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CD502CD0">
      <w:start w:val="1"/>
      <w:numFmt w:val="decimal"/>
      <w:lvlText w:val="%4"/>
      <w:lvlJc w:val="left"/>
      <w:pPr>
        <w:ind w:left="268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AC1E6B28">
      <w:start w:val="1"/>
      <w:numFmt w:val="lowerLetter"/>
      <w:lvlText w:val="%5"/>
      <w:lvlJc w:val="left"/>
      <w:pPr>
        <w:ind w:left="340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55946706">
      <w:start w:val="1"/>
      <w:numFmt w:val="lowerRoman"/>
      <w:lvlText w:val="%6"/>
      <w:lvlJc w:val="left"/>
      <w:pPr>
        <w:ind w:left="412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AB2E9066">
      <w:start w:val="1"/>
      <w:numFmt w:val="decimal"/>
      <w:lvlText w:val="%7"/>
      <w:lvlJc w:val="left"/>
      <w:pPr>
        <w:ind w:left="484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2C7CE84E">
      <w:start w:val="1"/>
      <w:numFmt w:val="lowerLetter"/>
      <w:lvlText w:val="%8"/>
      <w:lvlJc w:val="left"/>
      <w:pPr>
        <w:ind w:left="556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98101FAE">
      <w:start w:val="1"/>
      <w:numFmt w:val="lowerRoman"/>
      <w:lvlText w:val="%9"/>
      <w:lvlJc w:val="left"/>
      <w:pPr>
        <w:ind w:left="628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08AA1BB3"/>
    <w:multiLevelType w:val="hybridMultilevel"/>
    <w:tmpl w:val="D3AAA7AA"/>
    <w:lvl w:ilvl="0" w:tplc="9984C1C0">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20E91BE">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F22EE6C">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43A8606">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6D6AE92">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B8A9E6A">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EE4693E">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AB03982">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AB8A66E">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0BC47EA1"/>
    <w:multiLevelType w:val="hybridMultilevel"/>
    <w:tmpl w:val="8B8868E0"/>
    <w:lvl w:ilvl="0" w:tplc="C1708112">
      <w:start w:val="1"/>
      <w:numFmt w:val="decimal"/>
      <w:lvlText w:val="%1."/>
      <w:lvlJc w:val="left"/>
      <w:pPr>
        <w:ind w:left="427"/>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23304174">
      <w:start w:val="1"/>
      <w:numFmt w:val="lowerLetter"/>
      <w:lvlText w:val="%2"/>
      <w:lvlJc w:val="left"/>
      <w:pPr>
        <w:ind w:left="10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8C46C3D8">
      <w:start w:val="1"/>
      <w:numFmt w:val="lowerRoman"/>
      <w:lvlText w:val="%3"/>
      <w:lvlJc w:val="left"/>
      <w:pPr>
        <w:ind w:left="18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B63A4BA6">
      <w:start w:val="1"/>
      <w:numFmt w:val="decimal"/>
      <w:lvlText w:val="%4"/>
      <w:lvlJc w:val="left"/>
      <w:pPr>
        <w:ind w:left="25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B874CAD6">
      <w:start w:val="1"/>
      <w:numFmt w:val="lowerLetter"/>
      <w:lvlText w:val="%5"/>
      <w:lvlJc w:val="left"/>
      <w:pPr>
        <w:ind w:left="324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F8F226F8">
      <w:start w:val="1"/>
      <w:numFmt w:val="lowerRoman"/>
      <w:lvlText w:val="%6"/>
      <w:lvlJc w:val="left"/>
      <w:pPr>
        <w:ind w:left="396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75E2C8E2">
      <w:start w:val="1"/>
      <w:numFmt w:val="decimal"/>
      <w:lvlText w:val="%7"/>
      <w:lvlJc w:val="left"/>
      <w:pPr>
        <w:ind w:left="46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3FF04ED6">
      <w:start w:val="1"/>
      <w:numFmt w:val="lowerLetter"/>
      <w:lvlText w:val="%8"/>
      <w:lvlJc w:val="left"/>
      <w:pPr>
        <w:ind w:left="54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FBA4704C">
      <w:start w:val="1"/>
      <w:numFmt w:val="lowerRoman"/>
      <w:lvlText w:val="%9"/>
      <w:lvlJc w:val="left"/>
      <w:pPr>
        <w:ind w:left="61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0DF47453"/>
    <w:multiLevelType w:val="hybridMultilevel"/>
    <w:tmpl w:val="8BF6C710"/>
    <w:lvl w:ilvl="0" w:tplc="04150001">
      <w:start w:val="1"/>
      <w:numFmt w:val="bullet"/>
      <w:lvlText w:val=""/>
      <w:lvlJc w:val="left"/>
      <w:pPr>
        <w:ind w:left="1004" w:hanging="360"/>
      </w:pPr>
      <w:rPr>
        <w:rFonts w:ascii="Symbol" w:hAnsi="Symbol" w:hint="default"/>
      </w:rPr>
    </w:lvl>
    <w:lvl w:ilvl="1" w:tplc="04150003">
      <w:start w:val="1"/>
      <w:numFmt w:val="bullet"/>
      <w:lvlText w:val="o"/>
      <w:lvlJc w:val="left"/>
      <w:pPr>
        <w:ind w:left="1724" w:hanging="360"/>
      </w:pPr>
      <w:rPr>
        <w:rFonts w:ascii="Courier New" w:hAnsi="Courier New" w:cs="Courier New" w:hint="default"/>
      </w:rPr>
    </w:lvl>
    <w:lvl w:ilvl="2" w:tplc="04150005">
      <w:start w:val="1"/>
      <w:numFmt w:val="bullet"/>
      <w:lvlText w:val=""/>
      <w:lvlJc w:val="left"/>
      <w:pPr>
        <w:ind w:left="2444" w:hanging="360"/>
      </w:pPr>
      <w:rPr>
        <w:rFonts w:ascii="Wingdings" w:hAnsi="Wingdings" w:hint="default"/>
      </w:rPr>
    </w:lvl>
    <w:lvl w:ilvl="3" w:tplc="04150001">
      <w:start w:val="1"/>
      <w:numFmt w:val="bullet"/>
      <w:lvlText w:val=""/>
      <w:lvlJc w:val="left"/>
      <w:pPr>
        <w:ind w:left="3164" w:hanging="360"/>
      </w:pPr>
      <w:rPr>
        <w:rFonts w:ascii="Symbol" w:hAnsi="Symbol" w:hint="default"/>
      </w:rPr>
    </w:lvl>
    <w:lvl w:ilvl="4" w:tplc="04150003">
      <w:start w:val="1"/>
      <w:numFmt w:val="bullet"/>
      <w:lvlText w:val="o"/>
      <w:lvlJc w:val="left"/>
      <w:pPr>
        <w:ind w:left="3884" w:hanging="360"/>
      </w:pPr>
      <w:rPr>
        <w:rFonts w:ascii="Courier New" w:hAnsi="Courier New" w:cs="Courier New" w:hint="default"/>
      </w:rPr>
    </w:lvl>
    <w:lvl w:ilvl="5" w:tplc="04150005">
      <w:start w:val="1"/>
      <w:numFmt w:val="bullet"/>
      <w:lvlText w:val=""/>
      <w:lvlJc w:val="left"/>
      <w:pPr>
        <w:ind w:left="4604" w:hanging="360"/>
      </w:pPr>
      <w:rPr>
        <w:rFonts w:ascii="Wingdings" w:hAnsi="Wingdings" w:hint="default"/>
      </w:rPr>
    </w:lvl>
    <w:lvl w:ilvl="6" w:tplc="04150001">
      <w:start w:val="1"/>
      <w:numFmt w:val="bullet"/>
      <w:lvlText w:val=""/>
      <w:lvlJc w:val="left"/>
      <w:pPr>
        <w:ind w:left="5324" w:hanging="360"/>
      </w:pPr>
      <w:rPr>
        <w:rFonts w:ascii="Symbol" w:hAnsi="Symbol" w:hint="default"/>
      </w:rPr>
    </w:lvl>
    <w:lvl w:ilvl="7" w:tplc="04150003">
      <w:start w:val="1"/>
      <w:numFmt w:val="bullet"/>
      <w:lvlText w:val="o"/>
      <w:lvlJc w:val="left"/>
      <w:pPr>
        <w:ind w:left="6044" w:hanging="360"/>
      </w:pPr>
      <w:rPr>
        <w:rFonts w:ascii="Courier New" w:hAnsi="Courier New" w:cs="Courier New" w:hint="default"/>
      </w:rPr>
    </w:lvl>
    <w:lvl w:ilvl="8" w:tplc="04150005">
      <w:start w:val="1"/>
      <w:numFmt w:val="bullet"/>
      <w:lvlText w:val=""/>
      <w:lvlJc w:val="left"/>
      <w:pPr>
        <w:ind w:left="6764" w:hanging="360"/>
      </w:pPr>
      <w:rPr>
        <w:rFonts w:ascii="Wingdings" w:hAnsi="Wingdings" w:hint="default"/>
      </w:rPr>
    </w:lvl>
  </w:abstractNum>
  <w:abstractNum w:abstractNumId="11" w15:restartNumberingAfterBreak="0">
    <w:nsid w:val="131E169E"/>
    <w:multiLevelType w:val="singleLevel"/>
    <w:tmpl w:val="D6841144"/>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2" w15:restartNumberingAfterBreak="0">
    <w:nsid w:val="15CE3160"/>
    <w:multiLevelType w:val="singleLevel"/>
    <w:tmpl w:val="F1B8E51A"/>
    <w:lvl w:ilvl="0">
      <w:start w:val="13"/>
      <w:numFmt w:val="decimal"/>
      <w:lvlText w:val="%1."/>
      <w:legacy w:legacy="1" w:legacySpace="0" w:legacyIndent="397"/>
      <w:lvlJc w:val="left"/>
      <w:pPr>
        <w:ind w:left="397" w:hanging="397"/>
      </w:pPr>
    </w:lvl>
  </w:abstractNum>
  <w:abstractNum w:abstractNumId="13" w15:restartNumberingAfterBreak="0">
    <w:nsid w:val="182A44BF"/>
    <w:multiLevelType w:val="hybridMultilevel"/>
    <w:tmpl w:val="0786F15A"/>
    <w:lvl w:ilvl="0" w:tplc="D2408CC8">
      <w:start w:val="1"/>
      <w:numFmt w:val="decimal"/>
      <w:lvlText w:val="%1."/>
      <w:lvlJc w:val="left"/>
      <w:pPr>
        <w:ind w:left="427"/>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7166CEC2">
      <w:start w:val="1"/>
      <w:numFmt w:val="lowerLetter"/>
      <w:lvlText w:val="%2"/>
      <w:lvlJc w:val="left"/>
      <w:pPr>
        <w:ind w:left="109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9A52E296">
      <w:start w:val="1"/>
      <w:numFmt w:val="lowerRoman"/>
      <w:lvlText w:val="%3"/>
      <w:lvlJc w:val="left"/>
      <w:pPr>
        <w:ind w:left="181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36FAA662">
      <w:start w:val="1"/>
      <w:numFmt w:val="decimal"/>
      <w:lvlText w:val="%4"/>
      <w:lvlJc w:val="left"/>
      <w:pPr>
        <w:ind w:left="253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7C6CAADA">
      <w:start w:val="1"/>
      <w:numFmt w:val="lowerLetter"/>
      <w:lvlText w:val="%5"/>
      <w:lvlJc w:val="left"/>
      <w:pPr>
        <w:ind w:left="325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0D221724">
      <w:start w:val="1"/>
      <w:numFmt w:val="lowerRoman"/>
      <w:lvlText w:val="%6"/>
      <w:lvlJc w:val="left"/>
      <w:pPr>
        <w:ind w:left="397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2266F1AA">
      <w:start w:val="1"/>
      <w:numFmt w:val="decimal"/>
      <w:lvlText w:val="%7"/>
      <w:lvlJc w:val="left"/>
      <w:pPr>
        <w:ind w:left="469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8DA43094">
      <w:start w:val="1"/>
      <w:numFmt w:val="lowerLetter"/>
      <w:lvlText w:val="%8"/>
      <w:lvlJc w:val="left"/>
      <w:pPr>
        <w:ind w:left="541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06CABC44">
      <w:start w:val="1"/>
      <w:numFmt w:val="lowerRoman"/>
      <w:lvlText w:val="%9"/>
      <w:lvlJc w:val="left"/>
      <w:pPr>
        <w:ind w:left="613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1F1D63FC"/>
    <w:multiLevelType w:val="singleLevel"/>
    <w:tmpl w:val="30C688E8"/>
    <w:lvl w:ilvl="0">
      <w:start w:val="1"/>
      <w:numFmt w:val="lowerLetter"/>
      <w:lvlText w:val="%1)"/>
      <w:lvlJc w:val="left"/>
      <w:pPr>
        <w:tabs>
          <w:tab w:val="num" w:pos="1065"/>
        </w:tabs>
        <w:ind w:left="1065" w:hanging="360"/>
      </w:pPr>
      <w:rPr>
        <w:rFonts w:hint="default"/>
      </w:rPr>
    </w:lvl>
  </w:abstractNum>
  <w:abstractNum w:abstractNumId="15" w15:restartNumberingAfterBreak="0">
    <w:nsid w:val="1F93097B"/>
    <w:multiLevelType w:val="singleLevel"/>
    <w:tmpl w:val="CD26CF04"/>
    <w:lvl w:ilvl="0">
      <w:start w:val="1"/>
      <w:numFmt w:val="decimal"/>
      <w:lvlText w:val="1.4.%1. "/>
      <w:legacy w:legacy="1" w:legacySpace="0" w:legacyIndent="283"/>
      <w:lvlJc w:val="left"/>
      <w:pPr>
        <w:ind w:left="283" w:hanging="283"/>
      </w:pPr>
      <w:rPr>
        <w:b/>
        <w:i w:val="0"/>
        <w:sz w:val="20"/>
      </w:rPr>
    </w:lvl>
  </w:abstractNum>
  <w:abstractNum w:abstractNumId="16" w15:restartNumberingAfterBreak="0">
    <w:nsid w:val="219F1AE8"/>
    <w:multiLevelType w:val="multilevel"/>
    <w:tmpl w:val="0415001D"/>
    <w:styleLink w:val="mj6"/>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21C24CB7"/>
    <w:multiLevelType w:val="singleLevel"/>
    <w:tmpl w:val="47CE34E4"/>
    <w:lvl w:ilvl="0">
      <w:start w:val="1"/>
      <w:numFmt w:val="bullet"/>
      <w:lvlText w:val=""/>
      <w:lvlJc w:val="left"/>
      <w:pPr>
        <w:tabs>
          <w:tab w:val="num" w:pos="360"/>
        </w:tabs>
        <w:ind w:left="360" w:hanging="360"/>
      </w:pPr>
      <w:rPr>
        <w:rFonts w:ascii="Symbol" w:hAnsi="Symbol" w:cs="Symbol" w:hint="default"/>
      </w:rPr>
    </w:lvl>
  </w:abstractNum>
  <w:abstractNum w:abstractNumId="18" w15:restartNumberingAfterBreak="0">
    <w:nsid w:val="247A25AA"/>
    <w:multiLevelType w:val="hybridMultilevel"/>
    <w:tmpl w:val="B2E211B4"/>
    <w:lvl w:ilvl="0" w:tplc="E8DCE8F8">
      <w:start w:val="25"/>
      <w:numFmt w:val="decimal"/>
      <w:lvlText w:val="%1."/>
      <w:lvlJc w:val="left"/>
      <w:pPr>
        <w:tabs>
          <w:tab w:val="num" w:pos="720"/>
        </w:tabs>
        <w:ind w:left="720" w:hanging="72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 w15:restartNumberingAfterBreak="0">
    <w:nsid w:val="2586313D"/>
    <w:multiLevelType w:val="hybridMultilevel"/>
    <w:tmpl w:val="7506E974"/>
    <w:lvl w:ilvl="0" w:tplc="FA3EE178">
      <w:start w:val="1"/>
      <w:numFmt w:val="bullet"/>
      <w:suff w:val="space"/>
      <w:lvlText w:val="–"/>
      <w:lvlJc w:val="left"/>
      <w:pPr>
        <w:ind w:left="709" w:firstLine="0"/>
      </w:pPr>
      <w:rPr>
        <w:rFonts w:ascii="Times New Roman" w:eastAsia="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5C861B32">
      <w:start w:val="1"/>
      <w:numFmt w:val="bullet"/>
      <w:lvlText w:val="o"/>
      <w:lvlJc w:val="left"/>
      <w:pPr>
        <w:ind w:left="14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00605E8">
      <w:start w:val="1"/>
      <w:numFmt w:val="bullet"/>
      <w:lvlText w:val="▪"/>
      <w:lvlJc w:val="left"/>
      <w:pPr>
        <w:ind w:left="21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A1C4A36">
      <w:start w:val="1"/>
      <w:numFmt w:val="bullet"/>
      <w:lvlText w:val="•"/>
      <w:lvlJc w:val="left"/>
      <w:pPr>
        <w:ind w:left="28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EF88F9E">
      <w:start w:val="1"/>
      <w:numFmt w:val="bullet"/>
      <w:lvlText w:val="o"/>
      <w:lvlJc w:val="left"/>
      <w:pPr>
        <w:ind w:left="359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74091BC">
      <w:start w:val="1"/>
      <w:numFmt w:val="bullet"/>
      <w:lvlText w:val="▪"/>
      <w:lvlJc w:val="left"/>
      <w:pPr>
        <w:ind w:left="43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7E0C4DA">
      <w:start w:val="1"/>
      <w:numFmt w:val="bullet"/>
      <w:lvlText w:val="•"/>
      <w:lvlJc w:val="left"/>
      <w:pPr>
        <w:ind w:left="50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2AEA5BC">
      <w:start w:val="1"/>
      <w:numFmt w:val="bullet"/>
      <w:lvlText w:val="o"/>
      <w:lvlJc w:val="left"/>
      <w:pPr>
        <w:ind w:left="57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DA283BA">
      <w:start w:val="1"/>
      <w:numFmt w:val="bullet"/>
      <w:lvlText w:val="▪"/>
      <w:lvlJc w:val="left"/>
      <w:pPr>
        <w:ind w:left="64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0" w15:restartNumberingAfterBreak="0">
    <w:nsid w:val="2DD45F35"/>
    <w:multiLevelType w:val="hybridMultilevel"/>
    <w:tmpl w:val="93F0D5E4"/>
    <w:lvl w:ilvl="0" w:tplc="22EE60C6">
      <w:start w:val="1"/>
      <w:numFmt w:val="bullet"/>
      <w:lvlText w:val="*"/>
      <w:lvlJc w:val="left"/>
      <w:pPr>
        <w:ind w:left="12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1" w:tplc="F57414FA">
      <w:start w:val="1"/>
      <w:numFmt w:val="bullet"/>
      <w:lvlText w:val="o"/>
      <w:lvlJc w:val="left"/>
      <w:pPr>
        <w:ind w:left="108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2" w:tplc="3A0C337A">
      <w:start w:val="1"/>
      <w:numFmt w:val="bullet"/>
      <w:lvlText w:val="▪"/>
      <w:lvlJc w:val="left"/>
      <w:pPr>
        <w:ind w:left="180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3" w:tplc="468CDDF8">
      <w:start w:val="1"/>
      <w:numFmt w:val="bullet"/>
      <w:lvlText w:val="•"/>
      <w:lvlJc w:val="left"/>
      <w:pPr>
        <w:ind w:left="252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4" w:tplc="0CCEB1BE">
      <w:start w:val="1"/>
      <w:numFmt w:val="bullet"/>
      <w:lvlText w:val="o"/>
      <w:lvlJc w:val="left"/>
      <w:pPr>
        <w:ind w:left="324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5" w:tplc="6C8249A8">
      <w:start w:val="1"/>
      <w:numFmt w:val="bullet"/>
      <w:lvlText w:val="▪"/>
      <w:lvlJc w:val="left"/>
      <w:pPr>
        <w:ind w:left="396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6" w:tplc="32684C84">
      <w:start w:val="1"/>
      <w:numFmt w:val="bullet"/>
      <w:lvlText w:val="•"/>
      <w:lvlJc w:val="left"/>
      <w:pPr>
        <w:ind w:left="468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7" w:tplc="FA0E9F16">
      <w:start w:val="1"/>
      <w:numFmt w:val="bullet"/>
      <w:lvlText w:val="o"/>
      <w:lvlJc w:val="left"/>
      <w:pPr>
        <w:ind w:left="540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8" w:tplc="9B6AA1AA">
      <w:start w:val="1"/>
      <w:numFmt w:val="bullet"/>
      <w:lvlText w:val="▪"/>
      <w:lvlJc w:val="left"/>
      <w:pPr>
        <w:ind w:left="612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abstractNum>
  <w:abstractNum w:abstractNumId="21" w15:restartNumberingAfterBreak="0">
    <w:nsid w:val="2E925B68"/>
    <w:multiLevelType w:val="hybridMultilevel"/>
    <w:tmpl w:val="F26806C2"/>
    <w:lvl w:ilvl="0" w:tplc="7E46A4A0">
      <w:start w:val="1"/>
      <w:numFmt w:val="bullet"/>
      <w:lvlText w:val="–"/>
      <w:lvlJc w:val="left"/>
      <w:pPr>
        <w:ind w:left="72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3DC305A">
      <w:start w:val="1"/>
      <w:numFmt w:val="bullet"/>
      <w:lvlText w:val="o"/>
      <w:lvlJc w:val="left"/>
      <w:pPr>
        <w:ind w:left="14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D2697C4">
      <w:start w:val="1"/>
      <w:numFmt w:val="bullet"/>
      <w:lvlText w:val="▪"/>
      <w:lvlJc w:val="left"/>
      <w:pPr>
        <w:ind w:left="21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40A6194">
      <w:start w:val="1"/>
      <w:numFmt w:val="bullet"/>
      <w:lvlText w:val="•"/>
      <w:lvlJc w:val="left"/>
      <w:pPr>
        <w:ind w:left="28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9C2AA5E">
      <w:start w:val="1"/>
      <w:numFmt w:val="bullet"/>
      <w:lvlText w:val="o"/>
      <w:lvlJc w:val="left"/>
      <w:pPr>
        <w:ind w:left="359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E4CF23E">
      <w:start w:val="1"/>
      <w:numFmt w:val="bullet"/>
      <w:lvlText w:val="▪"/>
      <w:lvlJc w:val="left"/>
      <w:pPr>
        <w:ind w:left="43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B46C3E6">
      <w:start w:val="1"/>
      <w:numFmt w:val="bullet"/>
      <w:lvlText w:val="•"/>
      <w:lvlJc w:val="left"/>
      <w:pPr>
        <w:ind w:left="50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750514E">
      <w:start w:val="1"/>
      <w:numFmt w:val="bullet"/>
      <w:lvlText w:val="o"/>
      <w:lvlJc w:val="left"/>
      <w:pPr>
        <w:ind w:left="57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90D6C5F8">
      <w:start w:val="1"/>
      <w:numFmt w:val="bullet"/>
      <w:lvlText w:val="▪"/>
      <w:lvlJc w:val="left"/>
      <w:pPr>
        <w:ind w:left="64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2EDF69E4"/>
    <w:multiLevelType w:val="hybridMultilevel"/>
    <w:tmpl w:val="5094BF3C"/>
    <w:lvl w:ilvl="0" w:tplc="BED81656">
      <w:start w:val="1"/>
      <w:numFmt w:val="decimal"/>
      <w:pStyle w:val="Tytu"/>
      <w:lvlText w:val="%1."/>
      <w:lvlJc w:val="left"/>
      <w:pPr>
        <w:ind w:left="1004" w:hanging="360"/>
      </w:pPr>
      <w:rPr>
        <w:rFonts w:ascii="Arial Narrow" w:hAnsi="Arial Narrow" w:cs="Verdana" w:hint="default"/>
        <w:b w:val="0"/>
        <w:i w:val="0"/>
        <w:caps w:val="0"/>
        <w:strike w:val="0"/>
        <w:dstrike w:val="0"/>
        <w:outline w:val="0"/>
        <w:shadow w:val="0"/>
        <w:emboss w:val="0"/>
        <w:imprint w:val="0"/>
        <w:vanish w:val="0"/>
        <w:color w:val="000000"/>
        <w:sz w:val="20"/>
        <w:szCs w:val="20"/>
        <w:u w:val="none" w:color="000000"/>
        <w:vertAlign w:val="baseline"/>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 w15:restartNumberingAfterBreak="0">
    <w:nsid w:val="3035293F"/>
    <w:multiLevelType w:val="singleLevel"/>
    <w:tmpl w:val="256CF1FE"/>
    <w:lvl w:ilvl="0">
      <w:start w:val="1"/>
      <w:numFmt w:val="lowerLetter"/>
      <w:lvlText w:val="%1)"/>
      <w:legacy w:legacy="1" w:legacySpace="0" w:legacyIndent="283"/>
      <w:lvlJc w:val="left"/>
      <w:pPr>
        <w:ind w:left="283" w:hanging="283"/>
      </w:pPr>
    </w:lvl>
  </w:abstractNum>
  <w:abstractNum w:abstractNumId="24" w15:restartNumberingAfterBreak="0">
    <w:nsid w:val="38C941AD"/>
    <w:multiLevelType w:val="hybridMultilevel"/>
    <w:tmpl w:val="75A49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 w15:restartNumberingAfterBreak="0">
    <w:nsid w:val="39693FB7"/>
    <w:multiLevelType w:val="hybridMultilevel"/>
    <w:tmpl w:val="40E4C06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A407C10"/>
    <w:multiLevelType w:val="singleLevel"/>
    <w:tmpl w:val="AFBAE488"/>
    <w:lvl w:ilvl="0">
      <w:start w:val="1"/>
      <w:numFmt w:val="lowerLetter"/>
      <w:lvlText w:val="%1)"/>
      <w:lvlJc w:val="left"/>
      <w:pPr>
        <w:tabs>
          <w:tab w:val="num" w:pos="1065"/>
        </w:tabs>
        <w:ind w:left="1065" w:hanging="360"/>
      </w:pPr>
      <w:rPr>
        <w:rFonts w:hint="default"/>
      </w:rPr>
    </w:lvl>
  </w:abstractNum>
  <w:abstractNum w:abstractNumId="27" w15:restartNumberingAfterBreak="0">
    <w:nsid w:val="3AE100C5"/>
    <w:multiLevelType w:val="hybridMultilevel"/>
    <w:tmpl w:val="4DECE4E4"/>
    <w:lvl w:ilvl="0" w:tplc="C40A6606">
      <w:start w:val="1"/>
      <w:numFmt w:val="bullet"/>
      <w:lvlText w:val="–"/>
      <w:lvlJc w:val="left"/>
      <w:pPr>
        <w:ind w:left="72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1A87DAA">
      <w:start w:val="1"/>
      <w:numFmt w:val="bullet"/>
      <w:lvlText w:val="o"/>
      <w:lvlJc w:val="left"/>
      <w:pPr>
        <w:ind w:left="14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48C96F4">
      <w:start w:val="1"/>
      <w:numFmt w:val="bullet"/>
      <w:lvlText w:val="▪"/>
      <w:lvlJc w:val="left"/>
      <w:pPr>
        <w:ind w:left="21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8C87918">
      <w:start w:val="1"/>
      <w:numFmt w:val="bullet"/>
      <w:lvlText w:val="•"/>
      <w:lvlJc w:val="left"/>
      <w:pPr>
        <w:ind w:left="28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6FC6EAA">
      <w:start w:val="1"/>
      <w:numFmt w:val="bullet"/>
      <w:lvlText w:val="o"/>
      <w:lvlJc w:val="left"/>
      <w:pPr>
        <w:ind w:left="36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CDE050E">
      <w:start w:val="1"/>
      <w:numFmt w:val="bullet"/>
      <w:lvlText w:val="▪"/>
      <w:lvlJc w:val="left"/>
      <w:pPr>
        <w:ind w:left="43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24EAA72">
      <w:start w:val="1"/>
      <w:numFmt w:val="bullet"/>
      <w:lvlText w:val="•"/>
      <w:lvlJc w:val="left"/>
      <w:pPr>
        <w:ind w:left="50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5F885EE">
      <w:start w:val="1"/>
      <w:numFmt w:val="bullet"/>
      <w:lvlText w:val="o"/>
      <w:lvlJc w:val="left"/>
      <w:pPr>
        <w:ind w:left="57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95E9302">
      <w:start w:val="1"/>
      <w:numFmt w:val="bullet"/>
      <w:lvlText w:val="▪"/>
      <w:lvlJc w:val="left"/>
      <w:pPr>
        <w:ind w:left="64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8" w15:restartNumberingAfterBreak="0">
    <w:nsid w:val="3AE365C2"/>
    <w:multiLevelType w:val="hybridMultilevel"/>
    <w:tmpl w:val="3C26DD84"/>
    <w:lvl w:ilvl="0" w:tplc="721C14A0">
      <w:start w:val="9"/>
      <w:numFmt w:val="decimal"/>
      <w:lvlText w:val="%1."/>
      <w:lvlJc w:val="left"/>
      <w:pPr>
        <w:tabs>
          <w:tab w:val="num" w:pos="862"/>
        </w:tabs>
        <w:ind w:left="862"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9" w15:restartNumberingAfterBreak="0">
    <w:nsid w:val="3B530E21"/>
    <w:multiLevelType w:val="hybridMultilevel"/>
    <w:tmpl w:val="8550EEA8"/>
    <w:lvl w:ilvl="0" w:tplc="304AFEF4">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6D4D554">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96ECD58">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41C9C4C">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DB0DACA">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D86F4C8">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8C019C8">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DCCF674">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3AC7708">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0" w15:restartNumberingAfterBreak="0">
    <w:nsid w:val="3FC81D7D"/>
    <w:multiLevelType w:val="singleLevel"/>
    <w:tmpl w:val="EFDA3724"/>
    <w:styleLink w:val="mj8"/>
    <w:lvl w:ilvl="0">
      <w:start w:val="1"/>
      <w:numFmt w:val="lowerLetter"/>
      <w:lvlText w:val="%1)"/>
      <w:legacy w:legacy="1" w:legacySpace="0" w:legacyIndent="283"/>
      <w:lvlJc w:val="left"/>
      <w:pPr>
        <w:ind w:left="283" w:hanging="283"/>
      </w:pPr>
    </w:lvl>
  </w:abstractNum>
  <w:abstractNum w:abstractNumId="31" w15:restartNumberingAfterBreak="0">
    <w:nsid w:val="405E0CE3"/>
    <w:multiLevelType w:val="hybridMultilevel"/>
    <w:tmpl w:val="008C5BE2"/>
    <w:lvl w:ilvl="0" w:tplc="9F3E8182">
      <w:start w:val="1"/>
      <w:numFmt w:val="bullet"/>
      <w:pStyle w:val="Nagwek8"/>
      <w:suff w:val="space"/>
      <w:lvlText w:val=""/>
      <w:lvlJc w:val="left"/>
      <w:pPr>
        <w:ind w:left="1069" w:hanging="360"/>
      </w:pPr>
      <w:rPr>
        <w:rFonts w:ascii="Symbol" w:hAnsi="Symbol" w:hint="default"/>
      </w:rPr>
    </w:lvl>
    <w:lvl w:ilvl="1" w:tplc="04150003">
      <w:start w:val="1"/>
      <w:numFmt w:val="bullet"/>
      <w:lvlText w:val="o"/>
      <w:lvlJc w:val="left"/>
      <w:pPr>
        <w:ind w:left="1789" w:hanging="360"/>
      </w:pPr>
      <w:rPr>
        <w:rFonts w:ascii="Courier New" w:hAnsi="Courier New" w:cs="Courier New" w:hint="default"/>
      </w:rPr>
    </w:lvl>
    <w:lvl w:ilvl="2" w:tplc="04150005">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32" w15:restartNumberingAfterBreak="0">
    <w:nsid w:val="42893850"/>
    <w:multiLevelType w:val="hybridMultilevel"/>
    <w:tmpl w:val="055ABB3A"/>
    <w:lvl w:ilvl="0" w:tplc="4DEE3814">
      <w:start w:val="28"/>
      <w:numFmt w:val="decimal"/>
      <w:lvlText w:val="%1."/>
      <w:lvlJc w:val="left"/>
      <w:pPr>
        <w:ind w:left="70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C0B68846">
      <w:start w:val="1"/>
      <w:numFmt w:val="lowerLetter"/>
      <w:lvlText w:val="%2"/>
      <w:lvlJc w:val="left"/>
      <w:pPr>
        <w:ind w:left="144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87C052B8">
      <w:start w:val="1"/>
      <w:numFmt w:val="lowerRoman"/>
      <w:lvlText w:val="%3"/>
      <w:lvlJc w:val="left"/>
      <w:pPr>
        <w:ind w:left="216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D9726E1A">
      <w:start w:val="1"/>
      <w:numFmt w:val="decimal"/>
      <w:lvlText w:val="%4"/>
      <w:lvlJc w:val="left"/>
      <w:pPr>
        <w:ind w:left="28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49FEE6E0">
      <w:start w:val="1"/>
      <w:numFmt w:val="lowerLetter"/>
      <w:lvlText w:val="%5"/>
      <w:lvlJc w:val="left"/>
      <w:pPr>
        <w:ind w:left="36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D634FF50">
      <w:start w:val="1"/>
      <w:numFmt w:val="lowerRoman"/>
      <w:lvlText w:val="%6"/>
      <w:lvlJc w:val="left"/>
      <w:pPr>
        <w:ind w:left="43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57EA2164">
      <w:start w:val="1"/>
      <w:numFmt w:val="decimal"/>
      <w:lvlText w:val="%7"/>
      <w:lvlJc w:val="left"/>
      <w:pPr>
        <w:ind w:left="504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5E2C53EC">
      <w:start w:val="1"/>
      <w:numFmt w:val="lowerLetter"/>
      <w:lvlText w:val="%8"/>
      <w:lvlJc w:val="left"/>
      <w:pPr>
        <w:ind w:left="576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F0AEF55A">
      <w:start w:val="1"/>
      <w:numFmt w:val="lowerRoman"/>
      <w:lvlText w:val="%9"/>
      <w:lvlJc w:val="left"/>
      <w:pPr>
        <w:ind w:left="64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33" w15:restartNumberingAfterBreak="0">
    <w:nsid w:val="43805720"/>
    <w:multiLevelType w:val="singleLevel"/>
    <w:tmpl w:val="47CE34E4"/>
    <w:lvl w:ilvl="0">
      <w:start w:val="1"/>
      <w:numFmt w:val="bullet"/>
      <w:lvlText w:val=""/>
      <w:lvlJc w:val="left"/>
      <w:pPr>
        <w:tabs>
          <w:tab w:val="num" w:pos="360"/>
        </w:tabs>
        <w:ind w:left="360" w:hanging="360"/>
      </w:pPr>
      <w:rPr>
        <w:rFonts w:ascii="Symbol" w:hAnsi="Symbol" w:cs="Symbol" w:hint="default"/>
      </w:rPr>
    </w:lvl>
  </w:abstractNum>
  <w:abstractNum w:abstractNumId="34" w15:restartNumberingAfterBreak="0">
    <w:nsid w:val="44D7297E"/>
    <w:multiLevelType w:val="singleLevel"/>
    <w:tmpl w:val="E0A4ACFE"/>
    <w:lvl w:ilvl="0">
      <w:start w:val="2"/>
      <w:numFmt w:val="decimal"/>
      <w:lvlText w:val="1.4.%1. "/>
      <w:legacy w:legacy="1" w:legacySpace="0" w:legacyIndent="283"/>
      <w:lvlJc w:val="left"/>
      <w:pPr>
        <w:ind w:left="283" w:hanging="283"/>
      </w:pPr>
      <w:rPr>
        <w:b/>
        <w:i w:val="0"/>
        <w:sz w:val="20"/>
      </w:rPr>
    </w:lvl>
  </w:abstractNum>
  <w:abstractNum w:abstractNumId="35" w15:restartNumberingAfterBreak="0">
    <w:nsid w:val="44E372C3"/>
    <w:multiLevelType w:val="singleLevel"/>
    <w:tmpl w:val="5BBEDCA2"/>
    <w:lvl w:ilvl="0">
      <w:start w:val="1"/>
      <w:numFmt w:val="bullet"/>
      <w:pStyle w:val="Lista"/>
      <w:lvlText w:val=""/>
      <w:lvlJc w:val="left"/>
      <w:pPr>
        <w:tabs>
          <w:tab w:val="num" w:pos="737"/>
        </w:tabs>
        <w:ind w:left="737" w:hanging="397"/>
      </w:pPr>
      <w:rPr>
        <w:rFonts w:ascii="Symbol" w:hAnsi="Symbol" w:hint="default"/>
      </w:rPr>
    </w:lvl>
  </w:abstractNum>
  <w:abstractNum w:abstractNumId="36" w15:restartNumberingAfterBreak="0">
    <w:nsid w:val="498D6C3F"/>
    <w:multiLevelType w:val="hybridMultilevel"/>
    <w:tmpl w:val="0074C0F6"/>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4A171983"/>
    <w:multiLevelType w:val="hybridMultilevel"/>
    <w:tmpl w:val="BF6C2668"/>
    <w:lvl w:ilvl="0" w:tplc="DA0ECACC">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0F2DD6A">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1A0A586">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9EC41C0">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6AE8BE0">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1A48BF6">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22A5370">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9E6E4EC">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F1A8142">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8" w15:restartNumberingAfterBreak="0">
    <w:nsid w:val="4FE66F52"/>
    <w:multiLevelType w:val="hybridMultilevel"/>
    <w:tmpl w:val="BBE618E0"/>
    <w:lvl w:ilvl="0" w:tplc="B9A8F65E">
      <w:start w:val="1"/>
      <w:numFmt w:val="decimal"/>
      <w:lvlText w:val="%1."/>
      <w:lvlJc w:val="left"/>
      <w:pPr>
        <w:ind w:left="73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3A8A15CE">
      <w:start w:val="1"/>
      <w:numFmt w:val="lowerLetter"/>
      <w:lvlText w:val="%2"/>
      <w:lvlJc w:val="left"/>
      <w:pPr>
        <w:ind w:left="144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BF32700E">
      <w:start w:val="1"/>
      <w:numFmt w:val="lowerRoman"/>
      <w:lvlText w:val="%3"/>
      <w:lvlJc w:val="left"/>
      <w:pPr>
        <w:ind w:left="216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6D5A6E28">
      <w:start w:val="1"/>
      <w:numFmt w:val="decimal"/>
      <w:lvlText w:val="%4"/>
      <w:lvlJc w:val="left"/>
      <w:pPr>
        <w:ind w:left="28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4D88D592">
      <w:start w:val="1"/>
      <w:numFmt w:val="lowerLetter"/>
      <w:lvlText w:val="%5"/>
      <w:lvlJc w:val="left"/>
      <w:pPr>
        <w:ind w:left="36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F7B805EC">
      <w:start w:val="1"/>
      <w:numFmt w:val="lowerRoman"/>
      <w:lvlText w:val="%6"/>
      <w:lvlJc w:val="left"/>
      <w:pPr>
        <w:ind w:left="43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8FD42890">
      <w:start w:val="1"/>
      <w:numFmt w:val="decimal"/>
      <w:lvlText w:val="%7"/>
      <w:lvlJc w:val="left"/>
      <w:pPr>
        <w:ind w:left="504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AA504FA4">
      <w:start w:val="1"/>
      <w:numFmt w:val="lowerLetter"/>
      <w:lvlText w:val="%8"/>
      <w:lvlJc w:val="left"/>
      <w:pPr>
        <w:ind w:left="576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B874BE36">
      <w:start w:val="1"/>
      <w:numFmt w:val="lowerRoman"/>
      <w:lvlText w:val="%9"/>
      <w:lvlJc w:val="left"/>
      <w:pPr>
        <w:ind w:left="64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39" w15:restartNumberingAfterBreak="0">
    <w:nsid w:val="50B33478"/>
    <w:multiLevelType w:val="singleLevel"/>
    <w:tmpl w:val="47CE34E4"/>
    <w:lvl w:ilvl="0">
      <w:start w:val="1"/>
      <w:numFmt w:val="bullet"/>
      <w:lvlText w:val=""/>
      <w:lvlJc w:val="left"/>
      <w:pPr>
        <w:tabs>
          <w:tab w:val="num" w:pos="360"/>
        </w:tabs>
        <w:ind w:left="360" w:hanging="360"/>
      </w:pPr>
      <w:rPr>
        <w:rFonts w:ascii="Symbol" w:hAnsi="Symbol" w:cs="Symbol" w:hint="default"/>
      </w:rPr>
    </w:lvl>
  </w:abstractNum>
  <w:abstractNum w:abstractNumId="40" w15:restartNumberingAfterBreak="0">
    <w:nsid w:val="56AF3152"/>
    <w:multiLevelType w:val="singleLevel"/>
    <w:tmpl w:val="47CE34E4"/>
    <w:lvl w:ilvl="0">
      <w:start w:val="1"/>
      <w:numFmt w:val="bullet"/>
      <w:lvlText w:val=""/>
      <w:lvlJc w:val="left"/>
      <w:pPr>
        <w:tabs>
          <w:tab w:val="num" w:pos="360"/>
        </w:tabs>
        <w:ind w:left="360" w:hanging="360"/>
      </w:pPr>
      <w:rPr>
        <w:rFonts w:ascii="Symbol" w:hAnsi="Symbol" w:cs="Symbol" w:hint="default"/>
      </w:rPr>
    </w:lvl>
  </w:abstractNum>
  <w:abstractNum w:abstractNumId="41" w15:restartNumberingAfterBreak="0">
    <w:nsid w:val="577E565B"/>
    <w:multiLevelType w:val="hybridMultilevel"/>
    <w:tmpl w:val="41A824CA"/>
    <w:lvl w:ilvl="0" w:tplc="A70E30DA">
      <w:start w:val="1"/>
      <w:numFmt w:val="bullet"/>
      <w:lvlText w:val="•"/>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57A3ACE">
      <w:start w:val="1"/>
      <w:numFmt w:val="bullet"/>
      <w:lvlText w:val="•"/>
      <w:lvlJc w:val="left"/>
      <w:pPr>
        <w:ind w:left="152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58C29B98">
      <w:start w:val="1"/>
      <w:numFmt w:val="bullet"/>
      <w:lvlText w:val="▪"/>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9A6E04BE">
      <w:start w:val="1"/>
      <w:numFmt w:val="bullet"/>
      <w:lvlText w:val="•"/>
      <w:lvlJc w:val="left"/>
      <w:pPr>
        <w:ind w:left="25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1660A66">
      <w:start w:val="1"/>
      <w:numFmt w:val="bullet"/>
      <w:lvlText w:val="o"/>
      <w:lvlJc w:val="left"/>
      <w:pPr>
        <w:ind w:left="32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CD02DCE">
      <w:start w:val="1"/>
      <w:numFmt w:val="bullet"/>
      <w:lvlText w:val="▪"/>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A12E0B08">
      <w:start w:val="1"/>
      <w:numFmt w:val="bullet"/>
      <w:lvlText w:val="•"/>
      <w:lvlJc w:val="left"/>
      <w:pPr>
        <w:ind w:left="46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23C44A0">
      <w:start w:val="1"/>
      <w:numFmt w:val="bullet"/>
      <w:lvlText w:val="o"/>
      <w:lvlJc w:val="left"/>
      <w:pPr>
        <w:ind w:left="53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3A2E61E2">
      <w:start w:val="1"/>
      <w:numFmt w:val="bullet"/>
      <w:lvlText w:val="▪"/>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2" w15:restartNumberingAfterBreak="0">
    <w:nsid w:val="5A077821"/>
    <w:multiLevelType w:val="singleLevel"/>
    <w:tmpl w:val="99BAE2F6"/>
    <w:lvl w:ilvl="0">
      <w:start w:val="1"/>
      <w:numFmt w:val="bullet"/>
      <w:pStyle w:val="NAGWEKSPECYFIKACJI0"/>
      <w:lvlText w:val=""/>
      <w:lvlJc w:val="left"/>
      <w:pPr>
        <w:tabs>
          <w:tab w:val="num" w:pos="1211"/>
        </w:tabs>
        <w:ind w:left="1191" w:hanging="340"/>
      </w:pPr>
      <w:rPr>
        <w:rFonts w:ascii="Symbol" w:hAnsi="Symbol" w:hint="default"/>
      </w:rPr>
    </w:lvl>
  </w:abstractNum>
  <w:abstractNum w:abstractNumId="43" w15:restartNumberingAfterBreak="0">
    <w:nsid w:val="5C270B22"/>
    <w:multiLevelType w:val="hybridMultilevel"/>
    <w:tmpl w:val="AD0E6940"/>
    <w:lvl w:ilvl="0" w:tplc="53BE02DA">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C7C8C6A">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6E86186">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1AC919C">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044E358">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ADC6394">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398CA80">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8B26164">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3D8474C">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4" w15:restartNumberingAfterBreak="0">
    <w:nsid w:val="5C851C53"/>
    <w:multiLevelType w:val="hybridMultilevel"/>
    <w:tmpl w:val="B908F1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26042AD"/>
    <w:multiLevelType w:val="hybridMultilevel"/>
    <w:tmpl w:val="4926A734"/>
    <w:lvl w:ilvl="0" w:tplc="0D1C5EBA">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5CA52E2">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3BE8ED6">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98825A2">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D6607AE">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CCE82C2">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540D040">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FCCC3BE">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C5C37DA">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6" w15:restartNumberingAfterBreak="0">
    <w:nsid w:val="63A168FB"/>
    <w:multiLevelType w:val="singleLevel"/>
    <w:tmpl w:val="685C23E4"/>
    <w:lvl w:ilvl="0">
      <w:start w:val="1"/>
      <w:numFmt w:val="lowerLetter"/>
      <w:lvlText w:val="%1)"/>
      <w:lvlJc w:val="left"/>
      <w:pPr>
        <w:tabs>
          <w:tab w:val="num" w:pos="1065"/>
        </w:tabs>
        <w:ind w:left="1065" w:hanging="360"/>
      </w:pPr>
      <w:rPr>
        <w:rFonts w:hint="default"/>
      </w:rPr>
    </w:lvl>
  </w:abstractNum>
  <w:abstractNum w:abstractNumId="47" w15:restartNumberingAfterBreak="0">
    <w:nsid w:val="6BB3013B"/>
    <w:multiLevelType w:val="singleLevel"/>
    <w:tmpl w:val="D088863A"/>
    <w:lvl w:ilvl="0">
      <w:start w:val="1"/>
      <w:numFmt w:val="lowerLetter"/>
      <w:lvlText w:val="%1)"/>
      <w:lvlJc w:val="left"/>
      <w:pPr>
        <w:tabs>
          <w:tab w:val="num" w:pos="1065"/>
        </w:tabs>
        <w:ind w:left="1065" w:hanging="360"/>
      </w:pPr>
      <w:rPr>
        <w:rFonts w:hint="default"/>
      </w:rPr>
    </w:lvl>
  </w:abstractNum>
  <w:abstractNum w:abstractNumId="48" w15:restartNumberingAfterBreak="0">
    <w:nsid w:val="6C0257BE"/>
    <w:multiLevelType w:val="hybridMultilevel"/>
    <w:tmpl w:val="970880CE"/>
    <w:lvl w:ilvl="0" w:tplc="D040E060">
      <w:start w:val="1"/>
      <w:numFmt w:val="decimal"/>
      <w:lvlText w:val="%1."/>
      <w:lvlJc w:val="left"/>
      <w:pPr>
        <w:ind w:left="427"/>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51E2C022">
      <w:start w:val="1"/>
      <w:numFmt w:val="lowerLetter"/>
      <w:lvlText w:val="%2"/>
      <w:lvlJc w:val="left"/>
      <w:pPr>
        <w:ind w:left="109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779C135E">
      <w:start w:val="1"/>
      <w:numFmt w:val="lowerRoman"/>
      <w:lvlText w:val="%3"/>
      <w:lvlJc w:val="left"/>
      <w:pPr>
        <w:ind w:left="181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4F46A20A">
      <w:start w:val="1"/>
      <w:numFmt w:val="decimal"/>
      <w:lvlText w:val="%4"/>
      <w:lvlJc w:val="left"/>
      <w:pPr>
        <w:ind w:left="253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DCC03292">
      <w:start w:val="1"/>
      <w:numFmt w:val="lowerLetter"/>
      <w:lvlText w:val="%5"/>
      <w:lvlJc w:val="left"/>
      <w:pPr>
        <w:ind w:left="325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767848CA">
      <w:start w:val="1"/>
      <w:numFmt w:val="lowerRoman"/>
      <w:lvlText w:val="%6"/>
      <w:lvlJc w:val="left"/>
      <w:pPr>
        <w:ind w:left="397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EB2A4436">
      <w:start w:val="1"/>
      <w:numFmt w:val="decimal"/>
      <w:lvlText w:val="%7"/>
      <w:lvlJc w:val="left"/>
      <w:pPr>
        <w:ind w:left="469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1D4EA2F6">
      <w:start w:val="1"/>
      <w:numFmt w:val="lowerLetter"/>
      <w:lvlText w:val="%8"/>
      <w:lvlJc w:val="left"/>
      <w:pPr>
        <w:ind w:left="541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5DCCF2C6">
      <w:start w:val="1"/>
      <w:numFmt w:val="lowerRoman"/>
      <w:lvlText w:val="%9"/>
      <w:lvlJc w:val="left"/>
      <w:pPr>
        <w:ind w:left="6132"/>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49" w15:restartNumberingAfterBreak="0">
    <w:nsid w:val="6F880812"/>
    <w:multiLevelType w:val="singleLevel"/>
    <w:tmpl w:val="47CE34E4"/>
    <w:lvl w:ilvl="0">
      <w:start w:val="1"/>
      <w:numFmt w:val="bullet"/>
      <w:lvlText w:val=""/>
      <w:lvlJc w:val="left"/>
      <w:pPr>
        <w:tabs>
          <w:tab w:val="num" w:pos="360"/>
        </w:tabs>
        <w:ind w:left="360" w:hanging="360"/>
      </w:pPr>
      <w:rPr>
        <w:rFonts w:ascii="Symbol" w:hAnsi="Symbol" w:cs="Symbol" w:hint="default"/>
      </w:rPr>
    </w:lvl>
  </w:abstractNum>
  <w:abstractNum w:abstractNumId="50" w15:restartNumberingAfterBreak="0">
    <w:nsid w:val="7A851BCC"/>
    <w:multiLevelType w:val="singleLevel"/>
    <w:tmpl w:val="47CE34E4"/>
    <w:lvl w:ilvl="0">
      <w:start w:val="1"/>
      <w:numFmt w:val="bullet"/>
      <w:lvlText w:val=""/>
      <w:lvlJc w:val="left"/>
      <w:pPr>
        <w:tabs>
          <w:tab w:val="num" w:pos="360"/>
        </w:tabs>
        <w:ind w:left="360" w:hanging="360"/>
      </w:pPr>
      <w:rPr>
        <w:rFonts w:ascii="Symbol" w:hAnsi="Symbol" w:cs="Symbol" w:hint="default"/>
      </w:rPr>
    </w:lvl>
  </w:abstractNum>
  <w:abstractNum w:abstractNumId="51" w15:restartNumberingAfterBreak="0">
    <w:nsid w:val="7C3F480F"/>
    <w:multiLevelType w:val="singleLevel"/>
    <w:tmpl w:val="04150001"/>
    <w:lvl w:ilvl="0">
      <w:start w:val="1"/>
      <w:numFmt w:val="bullet"/>
      <w:lvlText w:val=""/>
      <w:lvlJc w:val="left"/>
      <w:pPr>
        <w:ind w:left="360" w:hanging="360"/>
      </w:pPr>
      <w:rPr>
        <w:rFonts w:ascii="Symbol" w:hAnsi="Symbol" w:hint="default"/>
      </w:rPr>
    </w:lvl>
  </w:abstractNum>
  <w:num w:numId="1">
    <w:abstractNumId w:val="23"/>
  </w:num>
  <w:num w:numId="2">
    <w:abstractNumId w:val="51"/>
  </w:num>
  <w:num w:numId="3">
    <w:abstractNumId w:val="31"/>
  </w:num>
  <w:num w:numId="4">
    <w:abstractNumId w:val="22"/>
  </w:num>
  <w:num w:numId="5">
    <w:abstractNumId w:val="22"/>
    <w:lvlOverride w:ilvl="0">
      <w:startOverride w:val="1"/>
    </w:lvlOverride>
  </w:num>
  <w:num w:numId="6">
    <w:abstractNumId w:val="22"/>
    <w:lvlOverride w:ilvl="0">
      <w:startOverride w:val="1"/>
    </w:lvlOverride>
  </w:num>
  <w:num w:numId="7">
    <w:abstractNumId w:val="22"/>
    <w:lvlOverride w:ilvl="0">
      <w:startOverride w:val="1"/>
    </w:lvlOverride>
  </w:num>
  <w:num w:numId="8">
    <w:abstractNumId w:val="5"/>
    <w:lvlOverride w:ilvl="0">
      <w:lvl w:ilvl="0">
        <w:start w:val="1"/>
        <w:numFmt w:val="bullet"/>
        <w:lvlText w:val=""/>
        <w:legacy w:legacy="1" w:legacySpace="0" w:legacyIndent="283"/>
        <w:lvlJc w:val="left"/>
        <w:pPr>
          <w:ind w:left="283" w:hanging="283"/>
        </w:pPr>
        <w:rPr>
          <w:rFonts w:ascii="Symbol" w:hAnsi="Symbol" w:hint="default"/>
        </w:rPr>
      </w:lvl>
    </w:lvlOverride>
  </w:num>
  <w:num w:numId="9">
    <w:abstractNumId w:val="28"/>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2"/>
  </w:num>
  <w:num w:numId="11">
    <w:abstractNumId w:val="32"/>
  </w:num>
  <w:num w:numId="12">
    <w:abstractNumId w:val="48"/>
  </w:num>
  <w:num w:numId="13">
    <w:abstractNumId w:val="13"/>
  </w:num>
  <w:num w:numId="14">
    <w:abstractNumId w:val="7"/>
  </w:num>
  <w:num w:numId="15">
    <w:abstractNumId w:val="41"/>
  </w:num>
  <w:num w:numId="16">
    <w:abstractNumId w:val="4"/>
  </w:num>
  <w:num w:numId="17">
    <w:abstractNumId w:val="3"/>
  </w:num>
  <w:num w:numId="18">
    <w:abstractNumId w:val="2"/>
  </w:num>
  <w:num w:numId="19">
    <w:abstractNumId w:val="1"/>
  </w:num>
  <w:num w:numId="20">
    <w:abstractNumId w:val="16"/>
  </w:num>
  <w:num w:numId="21">
    <w:abstractNumId w:val="0"/>
  </w:num>
  <w:num w:numId="22">
    <w:abstractNumId w:val="35"/>
  </w:num>
  <w:num w:numId="23">
    <w:abstractNumId w:val="19"/>
  </w:num>
  <w:num w:numId="24">
    <w:abstractNumId w:val="5"/>
    <w:lvlOverride w:ilvl="0">
      <w:lvl w:ilvl="0">
        <w:start w:val="1"/>
        <w:numFmt w:val="bullet"/>
        <w:lvlText w:val="-"/>
        <w:legacy w:legacy="1" w:legacySpace="0" w:legacyIndent="283"/>
        <w:lvlJc w:val="left"/>
        <w:pPr>
          <w:ind w:left="283" w:hanging="283"/>
        </w:pPr>
        <w:rPr>
          <w:rFonts w:ascii="Bookman Old Style" w:hAnsi="Bookman Old Style" w:hint="default"/>
          <w:sz w:val="24"/>
        </w:rPr>
      </w:lvl>
    </w:lvlOverride>
  </w:num>
  <w:num w:numId="25">
    <w:abstractNumId w:val="15"/>
  </w:num>
  <w:num w:numId="26">
    <w:abstractNumId w:val="34"/>
  </w:num>
  <w:num w:numId="27">
    <w:abstractNumId w:val="34"/>
    <w:lvlOverride w:ilvl="0">
      <w:lvl w:ilvl="0">
        <w:start w:val="7"/>
        <w:numFmt w:val="decimal"/>
        <w:lvlText w:val="1.4.%1. "/>
        <w:legacy w:legacy="1" w:legacySpace="0" w:legacyIndent="283"/>
        <w:lvlJc w:val="left"/>
        <w:pPr>
          <w:ind w:left="283" w:hanging="283"/>
        </w:pPr>
        <w:rPr>
          <w:b/>
          <w:i w:val="0"/>
          <w:sz w:val="20"/>
        </w:rPr>
      </w:lvl>
    </w:lvlOverride>
  </w:num>
  <w:num w:numId="28">
    <w:abstractNumId w:val="36"/>
  </w:num>
  <w:num w:numId="29">
    <w:abstractNumId w:val="11"/>
  </w:num>
  <w:num w:numId="30">
    <w:abstractNumId w:val="25"/>
  </w:num>
  <w:num w:numId="31">
    <w:abstractNumId w:val="20"/>
  </w:num>
  <w:num w:numId="32">
    <w:abstractNumId w:val="30"/>
  </w:num>
  <w:num w:numId="33">
    <w:abstractNumId w:val="18"/>
  </w:num>
  <w:num w:numId="34">
    <w:abstractNumId w:val="40"/>
  </w:num>
  <w:num w:numId="35">
    <w:abstractNumId w:val="50"/>
  </w:num>
  <w:num w:numId="36">
    <w:abstractNumId w:val="6"/>
  </w:num>
  <w:num w:numId="37">
    <w:abstractNumId w:val="49"/>
  </w:num>
  <w:num w:numId="38">
    <w:abstractNumId w:val="39"/>
  </w:num>
  <w:num w:numId="39">
    <w:abstractNumId w:val="33"/>
  </w:num>
  <w:num w:numId="40">
    <w:abstractNumId w:val="17"/>
  </w:num>
  <w:num w:numId="41">
    <w:abstractNumId w:val="46"/>
  </w:num>
  <w:num w:numId="42">
    <w:abstractNumId w:val="14"/>
  </w:num>
  <w:num w:numId="43">
    <w:abstractNumId w:val="26"/>
  </w:num>
  <w:num w:numId="44">
    <w:abstractNumId w:val="47"/>
  </w:num>
  <w:num w:numId="45">
    <w:abstractNumId w:val="42"/>
  </w:num>
  <w:num w:numId="46">
    <w:abstractNumId w:val="22"/>
    <w:lvlOverride w:ilvl="0">
      <w:startOverride w:val="11"/>
    </w:lvlOverride>
  </w:num>
  <w:num w:numId="47">
    <w:abstractNumId w:val="22"/>
    <w:lvlOverride w:ilvl="0">
      <w:startOverride w:val="1"/>
    </w:lvlOverride>
  </w:num>
  <w:num w:numId="48">
    <w:abstractNumId w:val="22"/>
    <w:lvlOverride w:ilvl="0">
      <w:startOverride w:val="1"/>
    </w:lvlOverride>
  </w:num>
  <w:num w:numId="49">
    <w:abstractNumId w:val="9"/>
  </w:num>
  <w:num w:numId="50">
    <w:abstractNumId w:val="38"/>
  </w:num>
  <w:num w:numId="51">
    <w:abstractNumId w:val="44"/>
  </w:num>
  <w:num w:numId="52">
    <w:abstractNumId w:val="37"/>
  </w:num>
  <w:num w:numId="53">
    <w:abstractNumId w:val="29"/>
  </w:num>
  <w:num w:numId="54">
    <w:abstractNumId w:val="43"/>
  </w:num>
  <w:num w:numId="55">
    <w:abstractNumId w:val="45"/>
  </w:num>
  <w:num w:numId="56">
    <w:abstractNumId w:val="8"/>
  </w:num>
  <w:num w:numId="57">
    <w:abstractNumId w:val="21"/>
  </w:num>
  <w:num w:numId="58">
    <w:abstractNumId w:val="27"/>
  </w:num>
  <w:num w:numId="59">
    <w:abstractNumId w:val="31"/>
  </w:num>
  <w:num w:numId="6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1"/>
  </w:num>
  <w:num w:numId="63">
    <w:abstractNumId w:val="24"/>
  </w:num>
  <w:num w:numId="64">
    <w:abstractNumId w:val="31"/>
  </w:num>
  <w:num w:numId="65">
    <w:abstractNumId w:val="31"/>
  </w:num>
  <w:num w:numId="66">
    <w:abstractNumId w:val="10"/>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20D1"/>
    <w:rsid w:val="0002537F"/>
    <w:rsid w:val="000525E6"/>
    <w:rsid w:val="00145CE4"/>
    <w:rsid w:val="001514EB"/>
    <w:rsid w:val="001565C9"/>
    <w:rsid w:val="00176CD4"/>
    <w:rsid w:val="00191E0E"/>
    <w:rsid w:val="001A76FC"/>
    <w:rsid w:val="001E5497"/>
    <w:rsid w:val="001F4097"/>
    <w:rsid w:val="002271D7"/>
    <w:rsid w:val="002326E7"/>
    <w:rsid w:val="0024768B"/>
    <w:rsid w:val="003220D1"/>
    <w:rsid w:val="003C4044"/>
    <w:rsid w:val="003F26F7"/>
    <w:rsid w:val="00423217"/>
    <w:rsid w:val="00497CA1"/>
    <w:rsid w:val="004C23B9"/>
    <w:rsid w:val="004E613D"/>
    <w:rsid w:val="004F1134"/>
    <w:rsid w:val="00500A9C"/>
    <w:rsid w:val="00571127"/>
    <w:rsid w:val="005C362B"/>
    <w:rsid w:val="00631E26"/>
    <w:rsid w:val="006952C9"/>
    <w:rsid w:val="00755118"/>
    <w:rsid w:val="00791779"/>
    <w:rsid w:val="007D2EC7"/>
    <w:rsid w:val="00813B74"/>
    <w:rsid w:val="00826F93"/>
    <w:rsid w:val="00856F3B"/>
    <w:rsid w:val="00892093"/>
    <w:rsid w:val="00905F39"/>
    <w:rsid w:val="009E0B6B"/>
    <w:rsid w:val="00A01C08"/>
    <w:rsid w:val="00A95A86"/>
    <w:rsid w:val="00AB03F9"/>
    <w:rsid w:val="00AD1E0F"/>
    <w:rsid w:val="00AD6DA2"/>
    <w:rsid w:val="00B067F8"/>
    <w:rsid w:val="00B3147A"/>
    <w:rsid w:val="00B43C53"/>
    <w:rsid w:val="00B7753A"/>
    <w:rsid w:val="00C54311"/>
    <w:rsid w:val="00C721E3"/>
    <w:rsid w:val="00C764D6"/>
    <w:rsid w:val="00C87697"/>
    <w:rsid w:val="00C93767"/>
    <w:rsid w:val="00CA36F0"/>
    <w:rsid w:val="00CD0FB1"/>
    <w:rsid w:val="00CE63DA"/>
    <w:rsid w:val="00DB0468"/>
    <w:rsid w:val="00DD698C"/>
    <w:rsid w:val="00E11C96"/>
    <w:rsid w:val="00E46BAA"/>
    <w:rsid w:val="00F316EC"/>
    <w:rsid w:val="00F623B9"/>
    <w:rsid w:val="00F6514F"/>
    <w:rsid w:val="00F732D0"/>
    <w:rsid w:val="00FC1CB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034FD00E"/>
  <w15:chartTrackingRefBased/>
  <w15:docId w15:val="{70CD2950-CE29-4385-9419-1ACEE44F3E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nhideWhenUsed="1"/>
    <w:lsdException w:name="Subtitle" w:uiPriority="0"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iPriority="0" w:unhideWhenUsed="1"/>
    <w:lsdException w:name="HTML Top of Form" w:semiHidden="1" w:uiPriority="0" w:unhideWhenUsed="1"/>
    <w:lsdException w:name="HTML Bottom of Form" w:semiHidden="1" w:uiPriority="0"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paragraph" w:styleId="Nagwek1">
    <w:name w:val="heading 1"/>
    <w:aliases w:val="Title 1"/>
    <w:basedOn w:val="Normalny"/>
    <w:next w:val="Normalny"/>
    <w:link w:val="Nagwek1Znak"/>
    <w:qFormat/>
    <w:rsid w:val="003220D1"/>
    <w:pPr>
      <w:keepNext/>
      <w:keepLines/>
      <w:suppressAutoHyphens/>
      <w:overflowPunct w:val="0"/>
      <w:autoSpaceDE w:val="0"/>
      <w:autoSpaceDN w:val="0"/>
      <w:adjustRightInd w:val="0"/>
      <w:spacing w:after="0" w:line="240" w:lineRule="auto"/>
      <w:jc w:val="both"/>
      <w:textAlignment w:val="baseline"/>
      <w:outlineLvl w:val="0"/>
    </w:pPr>
    <w:rPr>
      <w:rFonts w:ascii="Arial Narrow" w:eastAsia="Times New Roman" w:hAnsi="Arial Narrow" w:cs="Times New Roman"/>
      <w:b/>
      <w:caps/>
      <w:kern w:val="28"/>
      <w:sz w:val="28"/>
      <w:szCs w:val="20"/>
      <w:lang w:val="x-none" w:eastAsia="x-none"/>
    </w:rPr>
  </w:style>
  <w:style w:type="paragraph" w:styleId="Nagwek2">
    <w:name w:val="heading 2"/>
    <w:aliases w:val="Title 2"/>
    <w:basedOn w:val="Normalny"/>
    <w:next w:val="Normalny"/>
    <w:link w:val="Nagwek2Znak"/>
    <w:uiPriority w:val="9"/>
    <w:qFormat/>
    <w:rsid w:val="003220D1"/>
    <w:pPr>
      <w:keepNext/>
      <w:shd w:val="clear" w:color="auto" w:fill="BFBFBF"/>
      <w:overflowPunct w:val="0"/>
      <w:autoSpaceDE w:val="0"/>
      <w:autoSpaceDN w:val="0"/>
      <w:adjustRightInd w:val="0"/>
      <w:spacing w:after="0" w:line="240" w:lineRule="auto"/>
      <w:jc w:val="both"/>
      <w:textAlignment w:val="baseline"/>
      <w:outlineLvl w:val="1"/>
    </w:pPr>
    <w:rPr>
      <w:rFonts w:ascii="Arial Narrow" w:eastAsia="Times New Roman" w:hAnsi="Arial Narrow" w:cs="Times New Roman"/>
      <w:b/>
      <w:sz w:val="28"/>
      <w:szCs w:val="20"/>
      <w:lang w:val="x-none" w:eastAsia="x-none"/>
    </w:rPr>
  </w:style>
  <w:style w:type="paragraph" w:styleId="Nagwek3">
    <w:name w:val="heading 3"/>
    <w:aliases w:val="Title 3"/>
    <w:basedOn w:val="Normalny"/>
    <w:next w:val="Normalny"/>
    <w:link w:val="Nagwek3Znak"/>
    <w:qFormat/>
    <w:rsid w:val="003220D1"/>
    <w:pPr>
      <w:keepNext/>
      <w:shd w:val="clear" w:color="auto" w:fill="D9D9D9"/>
      <w:overflowPunct w:val="0"/>
      <w:autoSpaceDE w:val="0"/>
      <w:autoSpaceDN w:val="0"/>
      <w:adjustRightInd w:val="0"/>
      <w:spacing w:after="0" w:line="240" w:lineRule="auto"/>
      <w:textAlignment w:val="baseline"/>
      <w:outlineLvl w:val="2"/>
    </w:pPr>
    <w:rPr>
      <w:rFonts w:ascii="Arial Narrow" w:eastAsia="Times New Roman" w:hAnsi="Arial Narrow" w:cs="Times New Roman"/>
      <w:b/>
      <w:sz w:val="24"/>
      <w:szCs w:val="20"/>
      <w:lang w:val="x-none" w:eastAsia="x-none"/>
    </w:rPr>
  </w:style>
  <w:style w:type="paragraph" w:styleId="Nagwek4">
    <w:name w:val="heading 4"/>
    <w:basedOn w:val="Normalny"/>
    <w:next w:val="Normalny"/>
    <w:link w:val="Nagwek4Znak"/>
    <w:qFormat/>
    <w:rsid w:val="003220D1"/>
    <w:pPr>
      <w:keepNext/>
      <w:numPr>
        <w:ilvl w:val="12"/>
      </w:numPr>
      <w:overflowPunct w:val="0"/>
      <w:autoSpaceDE w:val="0"/>
      <w:autoSpaceDN w:val="0"/>
      <w:adjustRightInd w:val="0"/>
      <w:spacing w:after="80" w:line="240" w:lineRule="auto"/>
      <w:jc w:val="center"/>
      <w:textAlignment w:val="baseline"/>
      <w:outlineLvl w:val="3"/>
    </w:pPr>
    <w:rPr>
      <w:rFonts w:ascii="Times New Roman" w:eastAsia="Times New Roman" w:hAnsi="Times New Roman" w:cs="Times New Roman"/>
      <w:b/>
      <w:bCs/>
      <w:sz w:val="20"/>
      <w:szCs w:val="20"/>
      <w:lang w:val="x-none" w:eastAsia="x-none"/>
    </w:rPr>
  </w:style>
  <w:style w:type="paragraph" w:styleId="Nagwek5">
    <w:name w:val="heading 5"/>
    <w:basedOn w:val="Spistreci4"/>
    <w:next w:val="Tekstpodstawowy"/>
    <w:link w:val="Nagwek5Znak"/>
    <w:qFormat/>
    <w:rsid w:val="003220D1"/>
    <w:pPr>
      <w:keepNext/>
      <w:keepLines/>
      <w:tabs>
        <w:tab w:val="clear" w:pos="7371"/>
      </w:tabs>
      <w:overflowPunct/>
      <w:autoSpaceDE/>
      <w:autoSpaceDN/>
      <w:adjustRightInd/>
      <w:spacing w:before="120" w:after="120" w:line="360" w:lineRule="auto"/>
      <w:ind w:left="0"/>
      <w:jc w:val="both"/>
      <w:textAlignment w:val="auto"/>
      <w:outlineLvl w:val="4"/>
    </w:pPr>
    <w:rPr>
      <w:rFonts w:ascii="Arial" w:hAnsi="Arial"/>
      <w:bCs/>
      <w:sz w:val="24"/>
      <w:lang w:val="x-none" w:eastAsia="x-none"/>
    </w:rPr>
  </w:style>
  <w:style w:type="paragraph" w:styleId="Nagwek6">
    <w:name w:val="heading 6"/>
    <w:basedOn w:val="Normalny"/>
    <w:next w:val="Normalny"/>
    <w:link w:val="Nagwek6Znak"/>
    <w:qFormat/>
    <w:rsid w:val="003220D1"/>
    <w:pPr>
      <w:keepNext/>
      <w:overflowPunct w:val="0"/>
      <w:autoSpaceDE w:val="0"/>
      <w:autoSpaceDN w:val="0"/>
      <w:adjustRightInd w:val="0"/>
      <w:spacing w:after="0" w:line="240" w:lineRule="auto"/>
      <w:ind w:firstLine="709"/>
      <w:jc w:val="center"/>
      <w:textAlignment w:val="baseline"/>
      <w:outlineLvl w:val="5"/>
    </w:pPr>
    <w:rPr>
      <w:rFonts w:ascii="Times New Roman" w:eastAsia="Times New Roman" w:hAnsi="Times New Roman" w:cs="Times New Roman"/>
      <w:b/>
      <w:sz w:val="18"/>
      <w:szCs w:val="20"/>
      <w:lang w:val="x-none" w:eastAsia="x-none"/>
    </w:rPr>
  </w:style>
  <w:style w:type="paragraph" w:styleId="Nagwek7">
    <w:name w:val="heading 7"/>
    <w:basedOn w:val="Normalny"/>
    <w:next w:val="Normalny"/>
    <w:link w:val="Nagwek7Znak"/>
    <w:qFormat/>
    <w:rsid w:val="003220D1"/>
    <w:pPr>
      <w:keepNext/>
      <w:overflowPunct w:val="0"/>
      <w:autoSpaceDE w:val="0"/>
      <w:autoSpaceDN w:val="0"/>
      <w:adjustRightInd w:val="0"/>
      <w:spacing w:after="0" w:line="240" w:lineRule="auto"/>
      <w:ind w:firstLine="709"/>
      <w:jc w:val="center"/>
      <w:textAlignment w:val="baseline"/>
      <w:outlineLvl w:val="6"/>
    </w:pPr>
    <w:rPr>
      <w:rFonts w:ascii="Times New Roman" w:eastAsia="Times New Roman" w:hAnsi="Times New Roman" w:cs="Times New Roman"/>
      <w:b/>
      <w:bCs/>
      <w:sz w:val="20"/>
      <w:szCs w:val="20"/>
      <w:lang w:val="x-none" w:eastAsia="x-none"/>
    </w:rPr>
  </w:style>
  <w:style w:type="paragraph" w:styleId="Nagwek8">
    <w:name w:val="heading 8"/>
    <w:aliases w:val="Punktor"/>
    <w:basedOn w:val="Normalny"/>
    <w:next w:val="Normalny"/>
    <w:link w:val="Nagwek8Znak"/>
    <w:uiPriority w:val="9"/>
    <w:qFormat/>
    <w:rsid w:val="003220D1"/>
    <w:pPr>
      <w:numPr>
        <w:numId w:val="3"/>
      </w:numPr>
      <w:spacing w:after="0" w:line="240" w:lineRule="auto"/>
      <w:outlineLvl w:val="7"/>
    </w:pPr>
    <w:rPr>
      <w:rFonts w:ascii="Arial Narrow" w:eastAsia="Times New Roman" w:hAnsi="Arial Narrow" w:cs="Times New Roman"/>
      <w:sz w:val="20"/>
      <w:szCs w:val="20"/>
      <w:lang w:val="x-none" w:eastAsia="x-none"/>
    </w:rPr>
  </w:style>
  <w:style w:type="paragraph" w:styleId="Nagwek9">
    <w:name w:val="heading 9"/>
    <w:basedOn w:val="Normalny"/>
    <w:next w:val="Normalny"/>
    <w:link w:val="Nagwek9Znak"/>
    <w:uiPriority w:val="9"/>
    <w:qFormat/>
    <w:rsid w:val="003220D1"/>
    <w:pPr>
      <w:keepNext/>
      <w:tabs>
        <w:tab w:val="left" w:pos="1008"/>
        <w:tab w:val="left" w:pos="7459"/>
      </w:tabs>
      <w:spacing w:after="0" w:line="240" w:lineRule="auto"/>
      <w:ind w:firstLine="709"/>
      <w:jc w:val="both"/>
      <w:outlineLvl w:val="8"/>
    </w:pPr>
    <w:rPr>
      <w:rFonts w:ascii="Times New Roman" w:eastAsia="Times New Roman" w:hAnsi="Times New Roman" w:cs="Times New Roman"/>
      <w:b/>
      <w:snapToGrid w:val="0"/>
      <w:color w:val="000000"/>
      <w:szCs w:val="24"/>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itle 1 Znak"/>
    <w:basedOn w:val="Domylnaczcionkaakapitu"/>
    <w:link w:val="Nagwek1"/>
    <w:rsid w:val="003220D1"/>
    <w:rPr>
      <w:rFonts w:ascii="Arial Narrow" w:eastAsia="Times New Roman" w:hAnsi="Arial Narrow" w:cs="Times New Roman"/>
      <w:b/>
      <w:caps/>
      <w:kern w:val="28"/>
      <w:sz w:val="28"/>
      <w:szCs w:val="20"/>
      <w:lang w:val="x-none" w:eastAsia="x-none"/>
    </w:rPr>
  </w:style>
  <w:style w:type="character" w:customStyle="1" w:styleId="Nagwek2Znak">
    <w:name w:val="Nagłówek 2 Znak"/>
    <w:aliases w:val="Title 2 Znak"/>
    <w:basedOn w:val="Domylnaczcionkaakapitu"/>
    <w:link w:val="Nagwek2"/>
    <w:uiPriority w:val="9"/>
    <w:rsid w:val="003220D1"/>
    <w:rPr>
      <w:rFonts w:ascii="Arial Narrow" w:eastAsia="Times New Roman" w:hAnsi="Arial Narrow" w:cs="Times New Roman"/>
      <w:b/>
      <w:sz w:val="28"/>
      <w:szCs w:val="20"/>
      <w:shd w:val="clear" w:color="auto" w:fill="BFBFBF"/>
      <w:lang w:val="x-none" w:eastAsia="x-none"/>
    </w:rPr>
  </w:style>
  <w:style w:type="character" w:customStyle="1" w:styleId="Nagwek3Znak">
    <w:name w:val="Nagłówek 3 Znak"/>
    <w:aliases w:val="Title 3 Znak"/>
    <w:basedOn w:val="Domylnaczcionkaakapitu"/>
    <w:link w:val="Nagwek3"/>
    <w:rsid w:val="003220D1"/>
    <w:rPr>
      <w:rFonts w:ascii="Arial Narrow" w:eastAsia="Times New Roman" w:hAnsi="Arial Narrow" w:cs="Times New Roman"/>
      <w:b/>
      <w:sz w:val="24"/>
      <w:szCs w:val="20"/>
      <w:shd w:val="clear" w:color="auto" w:fill="D9D9D9"/>
      <w:lang w:val="x-none" w:eastAsia="x-none"/>
    </w:rPr>
  </w:style>
  <w:style w:type="character" w:customStyle="1" w:styleId="Nagwek8Znak">
    <w:name w:val="Nagłówek 8 Znak"/>
    <w:aliases w:val="Punktor Znak"/>
    <w:basedOn w:val="Domylnaczcionkaakapitu"/>
    <w:link w:val="Nagwek8"/>
    <w:uiPriority w:val="9"/>
    <w:rsid w:val="003220D1"/>
    <w:rPr>
      <w:rFonts w:ascii="Arial Narrow" w:eastAsia="Times New Roman" w:hAnsi="Arial Narrow" w:cs="Times New Roman"/>
      <w:sz w:val="20"/>
      <w:szCs w:val="20"/>
      <w:lang w:val="x-none" w:eastAsia="x-none"/>
    </w:rPr>
  </w:style>
  <w:style w:type="numbering" w:customStyle="1" w:styleId="Bezlisty1">
    <w:name w:val="Bez listy1"/>
    <w:next w:val="Bezlisty"/>
    <w:uiPriority w:val="99"/>
    <w:semiHidden/>
    <w:unhideWhenUsed/>
    <w:rsid w:val="003220D1"/>
  </w:style>
  <w:style w:type="paragraph" w:styleId="Stopka">
    <w:name w:val="footer"/>
    <w:basedOn w:val="Normalny"/>
    <w:link w:val="StopkaZnak"/>
    <w:rsid w:val="003220D1"/>
    <w:pPr>
      <w:tabs>
        <w:tab w:val="center" w:pos="4536"/>
        <w:tab w:val="right" w:pos="9072"/>
      </w:tabs>
      <w:overflowPunct w:val="0"/>
      <w:autoSpaceDE w:val="0"/>
      <w:autoSpaceDN w:val="0"/>
      <w:adjustRightInd w:val="0"/>
      <w:spacing w:after="0" w:line="240" w:lineRule="auto"/>
      <w:ind w:firstLine="709"/>
      <w:jc w:val="both"/>
      <w:textAlignment w:val="baseline"/>
    </w:pPr>
    <w:rPr>
      <w:rFonts w:ascii="Arial Narrow" w:eastAsia="Times New Roman" w:hAnsi="Arial Narrow" w:cs="Times New Roman"/>
      <w:sz w:val="20"/>
      <w:szCs w:val="20"/>
      <w:lang w:eastAsia="pl-PL"/>
    </w:rPr>
  </w:style>
  <w:style w:type="character" w:customStyle="1" w:styleId="StopkaZnak">
    <w:name w:val="Stopka Znak"/>
    <w:basedOn w:val="Domylnaczcionkaakapitu"/>
    <w:link w:val="Stopka"/>
    <w:rsid w:val="003220D1"/>
    <w:rPr>
      <w:rFonts w:ascii="Arial Narrow" w:eastAsia="Times New Roman" w:hAnsi="Arial Narrow" w:cs="Times New Roman"/>
      <w:sz w:val="20"/>
      <w:szCs w:val="20"/>
      <w:lang w:eastAsia="pl-PL"/>
    </w:rPr>
  </w:style>
  <w:style w:type="paragraph" w:styleId="Tytu">
    <w:name w:val="Title"/>
    <w:aliases w:val="Numerator"/>
    <w:basedOn w:val="Normalny"/>
    <w:link w:val="TytuZnak"/>
    <w:uiPriority w:val="10"/>
    <w:qFormat/>
    <w:rsid w:val="003220D1"/>
    <w:pPr>
      <w:numPr>
        <w:numId w:val="4"/>
      </w:numPr>
      <w:overflowPunct w:val="0"/>
      <w:autoSpaceDE w:val="0"/>
      <w:autoSpaceDN w:val="0"/>
      <w:adjustRightInd w:val="0"/>
      <w:spacing w:after="0" w:line="240" w:lineRule="auto"/>
      <w:textAlignment w:val="baseline"/>
    </w:pPr>
    <w:rPr>
      <w:rFonts w:ascii="Arial Narrow" w:eastAsia="Times New Roman" w:hAnsi="Arial Narrow" w:cs="Times New Roman"/>
      <w:sz w:val="20"/>
      <w:szCs w:val="20"/>
      <w:lang w:val="x-none" w:eastAsia="x-none"/>
    </w:rPr>
  </w:style>
  <w:style w:type="character" w:customStyle="1" w:styleId="TytuZnak">
    <w:name w:val="Tytuł Znak"/>
    <w:aliases w:val="Numerator Znak"/>
    <w:basedOn w:val="Domylnaczcionkaakapitu"/>
    <w:link w:val="Tytu"/>
    <w:uiPriority w:val="10"/>
    <w:rsid w:val="003220D1"/>
    <w:rPr>
      <w:rFonts w:ascii="Arial Narrow" w:eastAsia="Times New Roman" w:hAnsi="Arial Narrow" w:cs="Times New Roman"/>
      <w:sz w:val="20"/>
      <w:szCs w:val="20"/>
      <w:lang w:val="x-none" w:eastAsia="x-none"/>
    </w:rPr>
  </w:style>
  <w:style w:type="paragraph" w:customStyle="1" w:styleId="tekstost">
    <w:name w:val="tekst ost"/>
    <w:basedOn w:val="Normalny"/>
    <w:link w:val="tekstostZnak"/>
    <w:rsid w:val="003220D1"/>
    <w:pPr>
      <w:overflowPunct w:val="0"/>
      <w:autoSpaceDE w:val="0"/>
      <w:autoSpaceDN w:val="0"/>
      <w:adjustRightInd w:val="0"/>
      <w:spacing w:after="0" w:line="240" w:lineRule="auto"/>
      <w:ind w:firstLine="709"/>
      <w:jc w:val="both"/>
      <w:textAlignment w:val="baseline"/>
    </w:pPr>
    <w:rPr>
      <w:rFonts w:ascii="Arial Narrow" w:eastAsia="Times New Roman" w:hAnsi="Arial Narrow" w:cs="Times New Roman"/>
      <w:sz w:val="20"/>
      <w:szCs w:val="20"/>
      <w:lang w:eastAsia="pl-PL"/>
    </w:rPr>
  </w:style>
  <w:style w:type="paragraph" w:customStyle="1" w:styleId="Standardowy1">
    <w:name w:val="Standardowy1"/>
    <w:rsid w:val="003220D1"/>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pl-PL"/>
    </w:rPr>
  </w:style>
  <w:style w:type="paragraph" w:styleId="Nagwek">
    <w:name w:val="header"/>
    <w:aliases w:val="Nagłówek strony,encabezado,Encabezado 2,Nagłówek strony nieparzystej,Nagłówek strony nieparzystej1,Nagłówek strony nieparzystej2,Nagłówek strony nieparzystej3,Nagłówek strony nieparzystej4,Nagłówek strony nieparzystej5"/>
    <w:basedOn w:val="Normalny"/>
    <w:link w:val="NagwekZnak"/>
    <w:uiPriority w:val="99"/>
    <w:rsid w:val="003220D1"/>
    <w:pPr>
      <w:tabs>
        <w:tab w:val="center" w:pos="4536"/>
        <w:tab w:val="right" w:pos="9072"/>
      </w:tabs>
      <w:overflowPunct w:val="0"/>
      <w:autoSpaceDE w:val="0"/>
      <w:autoSpaceDN w:val="0"/>
      <w:adjustRightInd w:val="0"/>
      <w:spacing w:after="0" w:line="240" w:lineRule="auto"/>
      <w:ind w:firstLine="709"/>
      <w:jc w:val="both"/>
      <w:textAlignment w:val="baseline"/>
    </w:pPr>
    <w:rPr>
      <w:rFonts w:ascii="Arial Narrow" w:eastAsia="Times New Roman" w:hAnsi="Arial Narrow" w:cs="Times New Roman"/>
      <w:sz w:val="20"/>
      <w:szCs w:val="20"/>
      <w:lang w:eastAsia="pl-PL"/>
    </w:rPr>
  </w:style>
  <w:style w:type="character" w:customStyle="1" w:styleId="NagwekZnak">
    <w:name w:val="Nagłówek Znak"/>
    <w:aliases w:val="Nagłówek strony Znak,encabezado Znak,Encabezado 2 Znak,Nagłówek strony nieparzystej Znak,Nagłówek strony nieparzystej1 Znak,Nagłówek strony nieparzystej2 Znak,Nagłówek strony nieparzystej3 Znak,Nagłówek strony nieparzystej4 Znak"/>
    <w:basedOn w:val="Domylnaczcionkaakapitu"/>
    <w:link w:val="Nagwek"/>
    <w:uiPriority w:val="99"/>
    <w:rsid w:val="003220D1"/>
    <w:rPr>
      <w:rFonts w:ascii="Arial Narrow" w:eastAsia="Times New Roman" w:hAnsi="Arial Narrow" w:cs="Times New Roman"/>
      <w:sz w:val="20"/>
      <w:szCs w:val="20"/>
      <w:lang w:eastAsia="pl-PL"/>
    </w:rPr>
  </w:style>
  <w:style w:type="paragraph" w:customStyle="1" w:styleId="NAZWASST">
    <w:name w:val="NAZWA SST"/>
    <w:uiPriority w:val="1"/>
    <w:qFormat/>
    <w:rsid w:val="003220D1"/>
    <w:pPr>
      <w:overflowPunct w:val="0"/>
      <w:autoSpaceDE w:val="0"/>
      <w:autoSpaceDN w:val="0"/>
      <w:adjustRightInd w:val="0"/>
      <w:spacing w:after="0" w:line="240" w:lineRule="auto"/>
      <w:textAlignment w:val="baseline"/>
    </w:pPr>
    <w:rPr>
      <w:rFonts w:ascii="Arial Narrow" w:eastAsia="Times New Roman" w:hAnsi="Arial Narrow" w:cs="Times New Roman"/>
      <w:b/>
      <w:sz w:val="28"/>
      <w:szCs w:val="20"/>
      <w:lang w:eastAsia="pl-PL"/>
    </w:rPr>
  </w:style>
  <w:style w:type="paragraph" w:styleId="Podtytu">
    <w:name w:val="Subtitle"/>
    <w:aliases w:val="Nazwa CPV"/>
    <w:basedOn w:val="Normalny"/>
    <w:next w:val="Normalny"/>
    <w:link w:val="PodtytuZnak"/>
    <w:qFormat/>
    <w:rsid w:val="003220D1"/>
    <w:pPr>
      <w:overflowPunct w:val="0"/>
      <w:autoSpaceDE w:val="0"/>
      <w:autoSpaceDN w:val="0"/>
      <w:adjustRightInd w:val="0"/>
      <w:spacing w:after="60" w:line="240" w:lineRule="auto"/>
      <w:ind w:firstLine="709"/>
      <w:textAlignment w:val="baseline"/>
    </w:pPr>
    <w:rPr>
      <w:rFonts w:ascii="Arial Narrow" w:eastAsia="Times New Roman" w:hAnsi="Arial Narrow" w:cs="Times New Roman"/>
      <w:sz w:val="20"/>
      <w:szCs w:val="24"/>
      <w:lang w:val="x-none" w:eastAsia="x-none"/>
    </w:rPr>
  </w:style>
  <w:style w:type="character" w:customStyle="1" w:styleId="PodtytuZnak">
    <w:name w:val="Podtytuł Znak"/>
    <w:aliases w:val="Nazwa CPV Znak"/>
    <w:basedOn w:val="Domylnaczcionkaakapitu"/>
    <w:link w:val="Podtytu"/>
    <w:rsid w:val="003220D1"/>
    <w:rPr>
      <w:rFonts w:ascii="Arial Narrow" w:eastAsia="Times New Roman" w:hAnsi="Arial Narrow" w:cs="Times New Roman"/>
      <w:sz w:val="20"/>
      <w:szCs w:val="24"/>
      <w:lang w:val="x-none" w:eastAsia="x-none"/>
    </w:rPr>
  </w:style>
  <w:style w:type="character" w:customStyle="1" w:styleId="tekstostZnak">
    <w:name w:val="tekst ost Znak"/>
    <w:link w:val="tekstost"/>
    <w:rsid w:val="003220D1"/>
    <w:rPr>
      <w:rFonts w:ascii="Arial Narrow" w:eastAsia="Times New Roman" w:hAnsi="Arial Narrow" w:cs="Times New Roman"/>
      <w:sz w:val="20"/>
      <w:szCs w:val="20"/>
      <w:lang w:eastAsia="pl-PL"/>
    </w:rPr>
  </w:style>
  <w:style w:type="character" w:customStyle="1" w:styleId="Nagwek4Znak">
    <w:name w:val="Nagłówek 4 Znak"/>
    <w:basedOn w:val="Domylnaczcionkaakapitu"/>
    <w:link w:val="Nagwek4"/>
    <w:rsid w:val="003220D1"/>
    <w:rPr>
      <w:rFonts w:ascii="Times New Roman" w:eastAsia="Times New Roman" w:hAnsi="Times New Roman" w:cs="Times New Roman"/>
      <w:b/>
      <w:bCs/>
      <w:sz w:val="20"/>
      <w:szCs w:val="20"/>
      <w:lang w:val="x-none" w:eastAsia="x-none"/>
    </w:rPr>
  </w:style>
  <w:style w:type="character" w:customStyle="1" w:styleId="Nagwek5Znak">
    <w:name w:val="Nagłówek 5 Znak"/>
    <w:basedOn w:val="Domylnaczcionkaakapitu"/>
    <w:link w:val="Nagwek5"/>
    <w:rsid w:val="003220D1"/>
    <w:rPr>
      <w:rFonts w:ascii="Arial" w:eastAsia="Times New Roman" w:hAnsi="Arial" w:cs="Times New Roman"/>
      <w:bCs/>
      <w:sz w:val="24"/>
      <w:szCs w:val="20"/>
      <w:lang w:val="x-none" w:eastAsia="x-none"/>
    </w:rPr>
  </w:style>
  <w:style w:type="character" w:customStyle="1" w:styleId="Nagwek6Znak">
    <w:name w:val="Nagłówek 6 Znak"/>
    <w:basedOn w:val="Domylnaczcionkaakapitu"/>
    <w:link w:val="Nagwek6"/>
    <w:rsid w:val="003220D1"/>
    <w:rPr>
      <w:rFonts w:ascii="Times New Roman" w:eastAsia="Times New Roman" w:hAnsi="Times New Roman" w:cs="Times New Roman"/>
      <w:b/>
      <w:sz w:val="18"/>
      <w:szCs w:val="20"/>
      <w:lang w:val="x-none" w:eastAsia="x-none"/>
    </w:rPr>
  </w:style>
  <w:style w:type="character" w:customStyle="1" w:styleId="Nagwek7Znak">
    <w:name w:val="Nagłówek 7 Znak"/>
    <w:basedOn w:val="Domylnaczcionkaakapitu"/>
    <w:link w:val="Nagwek7"/>
    <w:rsid w:val="003220D1"/>
    <w:rPr>
      <w:rFonts w:ascii="Times New Roman" w:eastAsia="Times New Roman" w:hAnsi="Times New Roman" w:cs="Times New Roman"/>
      <w:b/>
      <w:bCs/>
      <w:sz w:val="20"/>
      <w:szCs w:val="20"/>
      <w:lang w:val="x-none" w:eastAsia="x-none"/>
    </w:rPr>
  </w:style>
  <w:style w:type="character" w:customStyle="1" w:styleId="Nagwek9Znak">
    <w:name w:val="Nagłówek 9 Znak"/>
    <w:basedOn w:val="Domylnaczcionkaakapitu"/>
    <w:link w:val="Nagwek9"/>
    <w:uiPriority w:val="9"/>
    <w:rsid w:val="003220D1"/>
    <w:rPr>
      <w:rFonts w:ascii="Times New Roman" w:eastAsia="Times New Roman" w:hAnsi="Times New Roman" w:cs="Times New Roman"/>
      <w:b/>
      <w:snapToGrid w:val="0"/>
      <w:color w:val="000000"/>
      <w:szCs w:val="24"/>
      <w:lang w:val="x-none" w:eastAsia="x-none"/>
    </w:rPr>
  </w:style>
  <w:style w:type="numbering" w:customStyle="1" w:styleId="Bezlisty2">
    <w:name w:val="Bez listy2"/>
    <w:next w:val="Bezlisty"/>
    <w:uiPriority w:val="99"/>
    <w:semiHidden/>
    <w:rsid w:val="003220D1"/>
  </w:style>
  <w:style w:type="character" w:styleId="Numerstrony">
    <w:name w:val="page number"/>
    <w:basedOn w:val="Domylnaczcionkaakapitu"/>
    <w:rsid w:val="003220D1"/>
  </w:style>
  <w:style w:type="paragraph" w:styleId="Tekstdymka">
    <w:name w:val="Balloon Text"/>
    <w:basedOn w:val="Normalny"/>
    <w:link w:val="TekstdymkaZnak"/>
    <w:rsid w:val="003220D1"/>
    <w:pPr>
      <w:overflowPunct w:val="0"/>
      <w:autoSpaceDE w:val="0"/>
      <w:autoSpaceDN w:val="0"/>
      <w:adjustRightInd w:val="0"/>
      <w:spacing w:after="0" w:line="240" w:lineRule="auto"/>
      <w:ind w:firstLine="709"/>
      <w:jc w:val="both"/>
      <w:textAlignment w:val="baseline"/>
    </w:pPr>
    <w:rPr>
      <w:rFonts w:ascii="Tahoma" w:eastAsia="Times New Roman" w:hAnsi="Tahoma" w:cs="Times New Roman"/>
      <w:sz w:val="16"/>
      <w:szCs w:val="16"/>
      <w:lang w:val="x-none" w:eastAsia="x-none"/>
    </w:rPr>
  </w:style>
  <w:style w:type="character" w:customStyle="1" w:styleId="TekstdymkaZnak">
    <w:name w:val="Tekst dymka Znak"/>
    <w:basedOn w:val="Domylnaczcionkaakapitu"/>
    <w:link w:val="Tekstdymka"/>
    <w:rsid w:val="003220D1"/>
    <w:rPr>
      <w:rFonts w:ascii="Tahoma" w:eastAsia="Times New Roman" w:hAnsi="Tahoma" w:cs="Times New Roman"/>
      <w:sz w:val="16"/>
      <w:szCs w:val="16"/>
      <w:lang w:val="x-none" w:eastAsia="x-none"/>
    </w:rPr>
  </w:style>
  <w:style w:type="paragraph" w:styleId="Listanumerowana">
    <w:name w:val="List Number"/>
    <w:basedOn w:val="Normalny"/>
    <w:rsid w:val="003220D1"/>
    <w:pPr>
      <w:overflowPunct w:val="0"/>
      <w:autoSpaceDE w:val="0"/>
      <w:autoSpaceDN w:val="0"/>
      <w:adjustRightInd w:val="0"/>
      <w:spacing w:after="0" w:line="240" w:lineRule="auto"/>
      <w:ind w:left="283" w:hanging="283"/>
      <w:jc w:val="both"/>
      <w:textAlignment w:val="baseline"/>
    </w:pPr>
    <w:rPr>
      <w:rFonts w:ascii="Arial" w:eastAsia="Times New Roman" w:hAnsi="Arial" w:cs="Times New Roman"/>
      <w:sz w:val="20"/>
      <w:szCs w:val="20"/>
      <w:lang w:eastAsia="pl-PL"/>
    </w:rPr>
  </w:style>
  <w:style w:type="character" w:styleId="Odwoaniedokomentarza">
    <w:name w:val="annotation reference"/>
    <w:uiPriority w:val="99"/>
    <w:rsid w:val="003220D1"/>
    <w:rPr>
      <w:sz w:val="16"/>
      <w:szCs w:val="16"/>
    </w:rPr>
  </w:style>
  <w:style w:type="paragraph" w:styleId="Tekstkomentarza">
    <w:name w:val="annotation text"/>
    <w:basedOn w:val="Normalny"/>
    <w:link w:val="TekstkomentarzaZnak"/>
    <w:rsid w:val="003220D1"/>
    <w:pPr>
      <w:overflowPunct w:val="0"/>
      <w:autoSpaceDE w:val="0"/>
      <w:autoSpaceDN w:val="0"/>
      <w:adjustRightInd w:val="0"/>
      <w:spacing w:after="0" w:line="240" w:lineRule="auto"/>
      <w:ind w:firstLine="709"/>
      <w:jc w:val="both"/>
      <w:textAlignment w:val="baseline"/>
    </w:pPr>
    <w:rPr>
      <w:rFonts w:ascii="Arial Narrow" w:eastAsia="Times New Roman" w:hAnsi="Arial Narrow" w:cs="Times New Roman"/>
      <w:sz w:val="20"/>
      <w:szCs w:val="20"/>
      <w:lang w:eastAsia="pl-PL"/>
    </w:rPr>
  </w:style>
  <w:style w:type="character" w:customStyle="1" w:styleId="TekstkomentarzaZnak">
    <w:name w:val="Tekst komentarza Znak"/>
    <w:basedOn w:val="Domylnaczcionkaakapitu"/>
    <w:link w:val="Tekstkomentarza"/>
    <w:rsid w:val="003220D1"/>
    <w:rPr>
      <w:rFonts w:ascii="Arial Narrow" w:eastAsia="Times New Roman" w:hAnsi="Arial Narrow" w:cs="Times New Roman"/>
      <w:sz w:val="20"/>
      <w:szCs w:val="20"/>
      <w:lang w:eastAsia="pl-PL"/>
    </w:rPr>
  </w:style>
  <w:style w:type="paragraph" w:styleId="Tematkomentarza">
    <w:name w:val="annotation subject"/>
    <w:basedOn w:val="Tekstkomentarza"/>
    <w:next w:val="Tekstkomentarza"/>
    <w:link w:val="TematkomentarzaZnak"/>
    <w:rsid w:val="003220D1"/>
    <w:rPr>
      <w:b/>
      <w:bCs/>
    </w:rPr>
  </w:style>
  <w:style w:type="character" w:customStyle="1" w:styleId="TematkomentarzaZnak">
    <w:name w:val="Temat komentarza Znak"/>
    <w:basedOn w:val="TekstkomentarzaZnak"/>
    <w:link w:val="Tematkomentarza"/>
    <w:rsid w:val="003220D1"/>
    <w:rPr>
      <w:rFonts w:ascii="Arial Narrow" w:eastAsia="Times New Roman" w:hAnsi="Arial Narrow" w:cs="Times New Roman"/>
      <w:b/>
      <w:bCs/>
      <w:sz w:val="20"/>
      <w:szCs w:val="20"/>
      <w:lang w:eastAsia="pl-PL"/>
    </w:rPr>
  </w:style>
  <w:style w:type="character" w:styleId="Hipercze">
    <w:name w:val="Hyperlink"/>
    <w:uiPriority w:val="99"/>
    <w:unhideWhenUsed/>
    <w:rsid w:val="003220D1"/>
    <w:rPr>
      <w:color w:val="0563C1"/>
      <w:u w:val="single"/>
    </w:rPr>
  </w:style>
  <w:style w:type="paragraph" w:styleId="Spistreci1">
    <w:name w:val="toc 1"/>
    <w:aliases w:val="GenéricoA3_TDC 1"/>
    <w:basedOn w:val="Normalny"/>
    <w:next w:val="Normalny"/>
    <w:autoRedefine/>
    <w:uiPriority w:val="39"/>
    <w:qFormat/>
    <w:rsid w:val="003220D1"/>
    <w:pPr>
      <w:overflowPunct w:val="0"/>
      <w:autoSpaceDE w:val="0"/>
      <w:autoSpaceDN w:val="0"/>
      <w:adjustRightInd w:val="0"/>
      <w:spacing w:after="0" w:line="240" w:lineRule="auto"/>
      <w:ind w:firstLine="709"/>
      <w:jc w:val="both"/>
      <w:textAlignment w:val="baseline"/>
    </w:pPr>
    <w:rPr>
      <w:rFonts w:ascii="Arial Narrow" w:eastAsia="Times New Roman" w:hAnsi="Arial Narrow" w:cs="Times New Roman"/>
      <w:sz w:val="20"/>
      <w:szCs w:val="20"/>
      <w:lang w:eastAsia="pl-PL"/>
    </w:rPr>
  </w:style>
  <w:style w:type="character" w:customStyle="1" w:styleId="BezodstpwZnak">
    <w:name w:val="Bez odstępów Znak"/>
    <w:aliases w:val="TABELKA Znak"/>
    <w:link w:val="Bezodstpw"/>
    <w:uiPriority w:val="1"/>
    <w:rsid w:val="003220D1"/>
    <w:rPr>
      <w:rFonts w:ascii="Arial Narrow" w:hAnsi="Arial Narrow"/>
    </w:rPr>
  </w:style>
  <w:style w:type="paragraph" w:styleId="Bezodstpw">
    <w:name w:val="No Spacing"/>
    <w:aliases w:val="TABELKA"/>
    <w:link w:val="BezodstpwZnak"/>
    <w:uiPriority w:val="1"/>
    <w:qFormat/>
    <w:rsid w:val="003220D1"/>
    <w:pPr>
      <w:overflowPunct w:val="0"/>
      <w:autoSpaceDE w:val="0"/>
      <w:autoSpaceDN w:val="0"/>
      <w:adjustRightInd w:val="0"/>
      <w:spacing w:after="0" w:line="240" w:lineRule="auto"/>
      <w:textAlignment w:val="baseline"/>
    </w:pPr>
    <w:rPr>
      <w:rFonts w:ascii="Arial Narrow" w:hAnsi="Arial Narrow"/>
    </w:rPr>
  </w:style>
  <w:style w:type="character" w:customStyle="1" w:styleId="TeksttreciPogrubienie">
    <w:name w:val="Tekst treści + Pogrubienie"/>
    <w:rsid w:val="003220D1"/>
    <w:rPr>
      <w:rFonts w:ascii="Arial" w:eastAsia="Arial" w:hAnsi="Arial" w:cs="Arial"/>
      <w:b/>
      <w:bCs/>
      <w:i w:val="0"/>
      <w:iCs w:val="0"/>
      <w:caps w:val="0"/>
      <w:smallCaps w:val="0"/>
      <w:strike w:val="0"/>
      <w:dstrike w:val="0"/>
      <w:color w:val="000000"/>
      <w:spacing w:val="0"/>
      <w:w w:val="100"/>
      <w:position w:val="0"/>
      <w:sz w:val="18"/>
      <w:szCs w:val="18"/>
      <w:u w:val="none"/>
      <w:vertAlign w:val="baseline"/>
      <w:lang w:val="pl-PL" w:bidi="pl-PL"/>
    </w:rPr>
  </w:style>
  <w:style w:type="character" w:customStyle="1" w:styleId="Teksttreci6pt">
    <w:name w:val="Tekst treści + 6 pt"/>
    <w:rsid w:val="003220D1"/>
    <w:rPr>
      <w:rFonts w:ascii="Arial" w:eastAsia="Arial" w:hAnsi="Arial" w:cs="Arial"/>
      <w:b w:val="0"/>
      <w:bCs w:val="0"/>
      <w:i w:val="0"/>
      <w:iCs w:val="0"/>
      <w:caps w:val="0"/>
      <w:smallCaps w:val="0"/>
      <w:strike w:val="0"/>
      <w:dstrike w:val="0"/>
      <w:color w:val="000000"/>
      <w:spacing w:val="0"/>
      <w:w w:val="100"/>
      <w:position w:val="0"/>
      <w:sz w:val="12"/>
      <w:szCs w:val="12"/>
      <w:u w:val="none"/>
      <w:vertAlign w:val="baseline"/>
      <w:lang w:val="pl-PL" w:bidi="pl-PL"/>
    </w:rPr>
  </w:style>
  <w:style w:type="paragraph" w:customStyle="1" w:styleId="StylIwony">
    <w:name w:val="Styl Iwony"/>
    <w:basedOn w:val="Normalny"/>
    <w:rsid w:val="003220D1"/>
    <w:pPr>
      <w:overflowPunct w:val="0"/>
      <w:autoSpaceDE w:val="0"/>
      <w:autoSpaceDN w:val="0"/>
      <w:adjustRightInd w:val="0"/>
      <w:spacing w:before="120" w:after="120" w:line="240" w:lineRule="auto"/>
      <w:ind w:firstLine="709"/>
      <w:jc w:val="both"/>
      <w:textAlignment w:val="baseline"/>
    </w:pPr>
    <w:rPr>
      <w:rFonts w:ascii="Bookman Old Style" w:eastAsia="Times New Roman" w:hAnsi="Bookman Old Style" w:cs="Times New Roman"/>
      <w:sz w:val="24"/>
      <w:szCs w:val="20"/>
      <w:lang w:eastAsia="pl-PL"/>
    </w:rPr>
  </w:style>
  <w:style w:type="paragraph" w:styleId="Spistreci2">
    <w:name w:val="toc 2"/>
    <w:basedOn w:val="Normalny"/>
    <w:next w:val="Normalny"/>
    <w:uiPriority w:val="39"/>
    <w:qFormat/>
    <w:rsid w:val="003220D1"/>
    <w:pPr>
      <w:tabs>
        <w:tab w:val="right" w:leader="dot" w:pos="7371"/>
      </w:tabs>
      <w:overflowPunct w:val="0"/>
      <w:autoSpaceDE w:val="0"/>
      <w:autoSpaceDN w:val="0"/>
      <w:adjustRightInd w:val="0"/>
      <w:spacing w:after="0" w:line="240" w:lineRule="auto"/>
      <w:ind w:left="200" w:firstLine="709"/>
      <w:textAlignment w:val="baseline"/>
    </w:pPr>
    <w:rPr>
      <w:rFonts w:ascii="Arial Narrow" w:eastAsia="Times New Roman" w:hAnsi="Arial Narrow" w:cs="Times New Roman"/>
      <w:sz w:val="20"/>
      <w:szCs w:val="20"/>
      <w:lang w:eastAsia="pl-PL"/>
    </w:rPr>
  </w:style>
  <w:style w:type="paragraph" w:styleId="Spistreci3">
    <w:name w:val="toc 3"/>
    <w:basedOn w:val="Normalny"/>
    <w:next w:val="Normalny"/>
    <w:uiPriority w:val="39"/>
    <w:qFormat/>
    <w:rsid w:val="003220D1"/>
    <w:pPr>
      <w:tabs>
        <w:tab w:val="right" w:leader="dot" w:pos="7371"/>
      </w:tabs>
      <w:overflowPunct w:val="0"/>
      <w:autoSpaceDE w:val="0"/>
      <w:autoSpaceDN w:val="0"/>
      <w:adjustRightInd w:val="0"/>
      <w:spacing w:after="0" w:line="240" w:lineRule="auto"/>
      <w:ind w:left="400" w:firstLine="709"/>
      <w:textAlignment w:val="baseline"/>
    </w:pPr>
    <w:rPr>
      <w:rFonts w:ascii="Arial Narrow" w:eastAsia="Times New Roman" w:hAnsi="Arial Narrow" w:cs="Times New Roman"/>
      <w:sz w:val="20"/>
      <w:szCs w:val="20"/>
      <w:lang w:eastAsia="pl-PL"/>
    </w:rPr>
  </w:style>
  <w:style w:type="paragraph" w:styleId="Spistreci4">
    <w:name w:val="toc 4"/>
    <w:basedOn w:val="Normalny"/>
    <w:next w:val="Normalny"/>
    <w:uiPriority w:val="39"/>
    <w:rsid w:val="003220D1"/>
    <w:pPr>
      <w:tabs>
        <w:tab w:val="right" w:leader="dot" w:pos="7371"/>
      </w:tabs>
      <w:overflowPunct w:val="0"/>
      <w:autoSpaceDE w:val="0"/>
      <w:autoSpaceDN w:val="0"/>
      <w:adjustRightInd w:val="0"/>
      <w:spacing w:after="0" w:line="240" w:lineRule="auto"/>
      <w:ind w:left="600" w:firstLine="709"/>
      <w:textAlignment w:val="baseline"/>
    </w:pPr>
    <w:rPr>
      <w:rFonts w:ascii="Arial Narrow" w:eastAsia="Times New Roman" w:hAnsi="Arial Narrow" w:cs="Times New Roman"/>
      <w:sz w:val="18"/>
      <w:szCs w:val="20"/>
      <w:lang w:eastAsia="pl-PL"/>
    </w:rPr>
  </w:style>
  <w:style w:type="paragraph" w:styleId="Spistreci5">
    <w:name w:val="toc 5"/>
    <w:basedOn w:val="Normalny"/>
    <w:next w:val="Normalny"/>
    <w:uiPriority w:val="39"/>
    <w:rsid w:val="003220D1"/>
    <w:pPr>
      <w:tabs>
        <w:tab w:val="right" w:leader="dot" w:pos="7371"/>
      </w:tabs>
      <w:overflowPunct w:val="0"/>
      <w:autoSpaceDE w:val="0"/>
      <w:autoSpaceDN w:val="0"/>
      <w:adjustRightInd w:val="0"/>
      <w:spacing w:after="0" w:line="240" w:lineRule="auto"/>
      <w:ind w:left="800" w:firstLine="709"/>
      <w:textAlignment w:val="baseline"/>
    </w:pPr>
    <w:rPr>
      <w:rFonts w:ascii="Arial Narrow" w:eastAsia="Times New Roman" w:hAnsi="Arial Narrow" w:cs="Times New Roman"/>
      <w:sz w:val="18"/>
      <w:szCs w:val="20"/>
      <w:lang w:eastAsia="pl-PL"/>
    </w:rPr>
  </w:style>
  <w:style w:type="paragraph" w:styleId="Spistreci6">
    <w:name w:val="toc 6"/>
    <w:basedOn w:val="Normalny"/>
    <w:next w:val="Normalny"/>
    <w:uiPriority w:val="39"/>
    <w:rsid w:val="003220D1"/>
    <w:pPr>
      <w:tabs>
        <w:tab w:val="right" w:leader="dot" w:pos="7371"/>
      </w:tabs>
      <w:overflowPunct w:val="0"/>
      <w:autoSpaceDE w:val="0"/>
      <w:autoSpaceDN w:val="0"/>
      <w:adjustRightInd w:val="0"/>
      <w:spacing w:after="0" w:line="240" w:lineRule="auto"/>
      <w:ind w:left="1000" w:firstLine="709"/>
      <w:textAlignment w:val="baseline"/>
    </w:pPr>
    <w:rPr>
      <w:rFonts w:ascii="Arial Narrow" w:eastAsia="Times New Roman" w:hAnsi="Arial Narrow" w:cs="Times New Roman"/>
      <w:sz w:val="18"/>
      <w:szCs w:val="20"/>
      <w:lang w:eastAsia="pl-PL"/>
    </w:rPr>
  </w:style>
  <w:style w:type="paragraph" w:styleId="Spistreci7">
    <w:name w:val="toc 7"/>
    <w:basedOn w:val="Normalny"/>
    <w:next w:val="Normalny"/>
    <w:uiPriority w:val="39"/>
    <w:rsid w:val="003220D1"/>
    <w:pPr>
      <w:tabs>
        <w:tab w:val="right" w:leader="dot" w:pos="7371"/>
      </w:tabs>
      <w:overflowPunct w:val="0"/>
      <w:autoSpaceDE w:val="0"/>
      <w:autoSpaceDN w:val="0"/>
      <w:adjustRightInd w:val="0"/>
      <w:spacing w:after="0" w:line="240" w:lineRule="auto"/>
      <w:ind w:left="1200" w:firstLine="709"/>
      <w:textAlignment w:val="baseline"/>
    </w:pPr>
    <w:rPr>
      <w:rFonts w:ascii="Arial Narrow" w:eastAsia="Times New Roman" w:hAnsi="Arial Narrow" w:cs="Times New Roman"/>
      <w:sz w:val="18"/>
      <w:szCs w:val="20"/>
      <w:lang w:eastAsia="pl-PL"/>
    </w:rPr>
  </w:style>
  <w:style w:type="paragraph" w:styleId="Spistreci8">
    <w:name w:val="toc 8"/>
    <w:basedOn w:val="Normalny"/>
    <w:next w:val="Normalny"/>
    <w:uiPriority w:val="39"/>
    <w:rsid w:val="003220D1"/>
    <w:pPr>
      <w:tabs>
        <w:tab w:val="right" w:leader="dot" w:pos="7371"/>
      </w:tabs>
      <w:overflowPunct w:val="0"/>
      <w:autoSpaceDE w:val="0"/>
      <w:autoSpaceDN w:val="0"/>
      <w:adjustRightInd w:val="0"/>
      <w:spacing w:after="0" w:line="240" w:lineRule="auto"/>
      <w:ind w:left="1400" w:firstLine="709"/>
      <w:textAlignment w:val="baseline"/>
    </w:pPr>
    <w:rPr>
      <w:rFonts w:ascii="Arial Narrow" w:eastAsia="Times New Roman" w:hAnsi="Arial Narrow" w:cs="Times New Roman"/>
      <w:sz w:val="18"/>
      <w:szCs w:val="20"/>
      <w:lang w:eastAsia="pl-PL"/>
    </w:rPr>
  </w:style>
  <w:style w:type="paragraph" w:styleId="Spistreci9">
    <w:name w:val="toc 9"/>
    <w:basedOn w:val="Normalny"/>
    <w:next w:val="Normalny"/>
    <w:uiPriority w:val="39"/>
    <w:rsid w:val="003220D1"/>
    <w:pPr>
      <w:tabs>
        <w:tab w:val="right" w:leader="dot" w:pos="7371"/>
      </w:tabs>
      <w:overflowPunct w:val="0"/>
      <w:autoSpaceDE w:val="0"/>
      <w:autoSpaceDN w:val="0"/>
      <w:adjustRightInd w:val="0"/>
      <w:spacing w:after="0" w:line="240" w:lineRule="auto"/>
      <w:ind w:left="1600" w:firstLine="709"/>
      <w:textAlignment w:val="baseline"/>
    </w:pPr>
    <w:rPr>
      <w:rFonts w:ascii="Arial Narrow" w:eastAsia="Times New Roman" w:hAnsi="Arial Narrow" w:cs="Times New Roman"/>
      <w:sz w:val="18"/>
      <w:szCs w:val="20"/>
      <w:lang w:eastAsia="pl-PL"/>
    </w:rPr>
  </w:style>
  <w:style w:type="paragraph" w:styleId="Tekstprzypisudolnego">
    <w:name w:val="footnote text"/>
    <w:aliases w:val="Tekst przypisu"/>
    <w:basedOn w:val="Normalny"/>
    <w:link w:val="TekstprzypisudolnegoZnak"/>
    <w:rsid w:val="003220D1"/>
    <w:pPr>
      <w:overflowPunct w:val="0"/>
      <w:autoSpaceDE w:val="0"/>
      <w:autoSpaceDN w:val="0"/>
      <w:adjustRightInd w:val="0"/>
      <w:spacing w:after="0" w:line="240" w:lineRule="auto"/>
      <w:ind w:firstLine="709"/>
      <w:jc w:val="both"/>
      <w:textAlignment w:val="baseline"/>
    </w:pPr>
    <w:rPr>
      <w:rFonts w:ascii="Arial Narrow" w:eastAsia="Times New Roman" w:hAnsi="Arial Narrow" w:cs="Times New Roman"/>
      <w:sz w:val="20"/>
      <w:szCs w:val="20"/>
      <w:lang w:val="x-none" w:eastAsia="x-none"/>
    </w:rPr>
  </w:style>
  <w:style w:type="character" w:customStyle="1" w:styleId="TekstprzypisudolnegoZnak">
    <w:name w:val="Tekst przypisu dolnego Znak"/>
    <w:aliases w:val="Tekst przypisu Znak"/>
    <w:basedOn w:val="Domylnaczcionkaakapitu"/>
    <w:link w:val="Tekstprzypisudolnego"/>
    <w:rsid w:val="003220D1"/>
    <w:rPr>
      <w:rFonts w:ascii="Arial Narrow" w:eastAsia="Times New Roman" w:hAnsi="Arial Narrow" w:cs="Times New Roman"/>
      <w:sz w:val="20"/>
      <w:szCs w:val="20"/>
      <w:lang w:val="x-none" w:eastAsia="x-none"/>
    </w:rPr>
  </w:style>
  <w:style w:type="character" w:styleId="Odwoanieprzypisudolnego">
    <w:name w:val="footnote reference"/>
    <w:aliases w:val="Odwołanie przypisu"/>
    <w:rsid w:val="003220D1"/>
    <w:rPr>
      <w:vertAlign w:val="superscript"/>
    </w:rPr>
  </w:style>
  <w:style w:type="paragraph" w:customStyle="1" w:styleId="Standardowytekst">
    <w:name w:val="Standardowy.tekst"/>
    <w:link w:val="StandardowytekstZnak"/>
    <w:rsid w:val="003220D1"/>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customStyle="1" w:styleId="Tekstpodstawowy21">
    <w:name w:val="Tekst podstawowy 21"/>
    <w:basedOn w:val="Normalny"/>
    <w:rsid w:val="003220D1"/>
    <w:pPr>
      <w:overflowPunct w:val="0"/>
      <w:autoSpaceDE w:val="0"/>
      <w:autoSpaceDN w:val="0"/>
      <w:adjustRightInd w:val="0"/>
      <w:spacing w:after="0" w:line="240" w:lineRule="auto"/>
      <w:ind w:left="360" w:firstLine="709"/>
      <w:jc w:val="both"/>
      <w:textAlignment w:val="baseline"/>
    </w:pPr>
    <w:rPr>
      <w:rFonts w:ascii="Times New Roman" w:eastAsia="Times New Roman" w:hAnsi="Times New Roman" w:cs="Times New Roman"/>
      <w:sz w:val="20"/>
      <w:szCs w:val="20"/>
      <w:lang w:eastAsia="pl-PL"/>
    </w:rPr>
  </w:style>
  <w:style w:type="paragraph" w:styleId="Tekstpodstawowy">
    <w:name w:val="Body Text"/>
    <w:aliases w:val="a2, Znak Znak, Znak"/>
    <w:basedOn w:val="Normalny"/>
    <w:link w:val="TekstpodstawowyZnak"/>
    <w:rsid w:val="003220D1"/>
    <w:pPr>
      <w:overflowPunct w:val="0"/>
      <w:autoSpaceDE w:val="0"/>
      <w:autoSpaceDN w:val="0"/>
      <w:adjustRightInd w:val="0"/>
      <w:spacing w:after="0" w:line="180" w:lineRule="exact"/>
      <w:ind w:firstLine="709"/>
      <w:textAlignment w:val="baseline"/>
    </w:pPr>
    <w:rPr>
      <w:rFonts w:ascii="Times New Roman" w:eastAsia="Times New Roman" w:hAnsi="Times New Roman" w:cs="Times New Roman"/>
      <w:sz w:val="16"/>
      <w:szCs w:val="20"/>
      <w:lang w:val="x-none" w:eastAsia="x-none"/>
    </w:rPr>
  </w:style>
  <w:style w:type="character" w:customStyle="1" w:styleId="TekstpodstawowyZnak">
    <w:name w:val="Tekst podstawowy Znak"/>
    <w:aliases w:val="a2 Znak1, Znak Znak Znak1, Znak Znak1"/>
    <w:basedOn w:val="Domylnaczcionkaakapitu"/>
    <w:link w:val="Tekstpodstawowy"/>
    <w:rsid w:val="003220D1"/>
    <w:rPr>
      <w:rFonts w:ascii="Times New Roman" w:eastAsia="Times New Roman" w:hAnsi="Times New Roman" w:cs="Times New Roman"/>
      <w:sz w:val="16"/>
      <w:szCs w:val="20"/>
      <w:lang w:val="x-none" w:eastAsia="x-none"/>
    </w:rPr>
  </w:style>
  <w:style w:type="paragraph" w:customStyle="1" w:styleId="Standardowytekst1">
    <w:name w:val="Standardowy.tekst1"/>
    <w:rsid w:val="003220D1"/>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customStyle="1" w:styleId="Tekstpodstawowywcity31">
    <w:name w:val="Tekst podstawowy wcięty 31"/>
    <w:basedOn w:val="Normalny"/>
    <w:rsid w:val="003220D1"/>
    <w:pPr>
      <w:tabs>
        <w:tab w:val="left" w:pos="964"/>
      </w:tabs>
      <w:overflowPunct w:val="0"/>
      <w:autoSpaceDE w:val="0"/>
      <w:autoSpaceDN w:val="0"/>
      <w:adjustRightInd w:val="0"/>
      <w:spacing w:after="120" w:line="240" w:lineRule="auto"/>
      <w:ind w:left="964" w:hanging="964"/>
      <w:jc w:val="both"/>
      <w:textAlignment w:val="baseline"/>
    </w:pPr>
    <w:rPr>
      <w:rFonts w:ascii="Times New Roman" w:eastAsia="Times New Roman" w:hAnsi="Times New Roman" w:cs="Times New Roman"/>
      <w:sz w:val="20"/>
      <w:szCs w:val="20"/>
      <w:lang w:eastAsia="pl-PL"/>
    </w:rPr>
  </w:style>
  <w:style w:type="paragraph" w:styleId="Tekstpodstawowywcity3">
    <w:name w:val="Body Text Indent 3"/>
    <w:basedOn w:val="Normalny"/>
    <w:link w:val="Tekstpodstawowywcity3Znak"/>
    <w:rsid w:val="003220D1"/>
    <w:pPr>
      <w:tabs>
        <w:tab w:val="left" w:pos="964"/>
      </w:tabs>
      <w:spacing w:after="120" w:line="240" w:lineRule="auto"/>
      <w:ind w:left="964" w:hanging="964"/>
      <w:jc w:val="both"/>
    </w:pPr>
    <w:rPr>
      <w:rFonts w:ascii="Times New Roman" w:eastAsia="Times New Roman" w:hAnsi="Times New Roman" w:cs="Times New Roman"/>
      <w:sz w:val="20"/>
      <w:szCs w:val="24"/>
      <w:lang w:val="x-none" w:eastAsia="x-none"/>
    </w:rPr>
  </w:style>
  <w:style w:type="character" w:customStyle="1" w:styleId="Tekstpodstawowywcity3Znak">
    <w:name w:val="Tekst podstawowy wcięty 3 Znak"/>
    <w:basedOn w:val="Domylnaczcionkaakapitu"/>
    <w:link w:val="Tekstpodstawowywcity3"/>
    <w:rsid w:val="003220D1"/>
    <w:rPr>
      <w:rFonts w:ascii="Times New Roman" w:eastAsia="Times New Roman" w:hAnsi="Times New Roman" w:cs="Times New Roman"/>
      <w:sz w:val="20"/>
      <w:szCs w:val="24"/>
      <w:lang w:val="x-none" w:eastAsia="x-none"/>
    </w:rPr>
  </w:style>
  <w:style w:type="paragraph" w:customStyle="1" w:styleId="Rysunek">
    <w:name w:val="Rysunek"/>
    <w:basedOn w:val="Normalny"/>
    <w:next w:val="Tekstpodstawowy"/>
    <w:rsid w:val="003220D1"/>
    <w:pPr>
      <w:keepLines/>
      <w:tabs>
        <w:tab w:val="left" w:pos="-720"/>
      </w:tabs>
      <w:suppressAutoHyphens/>
      <w:overflowPunct w:val="0"/>
      <w:autoSpaceDE w:val="0"/>
      <w:autoSpaceDN w:val="0"/>
      <w:adjustRightInd w:val="0"/>
      <w:spacing w:before="260" w:after="0" w:line="240" w:lineRule="auto"/>
      <w:ind w:firstLine="709"/>
      <w:jc w:val="center"/>
      <w:textAlignment w:val="baseline"/>
    </w:pPr>
    <w:rPr>
      <w:rFonts w:ascii="Times New Roman" w:eastAsia="Times New Roman" w:hAnsi="Times New Roman" w:cs="Times New Roman"/>
      <w:b/>
      <w:noProof/>
      <w:sz w:val="24"/>
      <w:szCs w:val="20"/>
      <w:lang w:eastAsia="pl-PL"/>
    </w:rPr>
  </w:style>
  <w:style w:type="paragraph" w:styleId="Tekstpodstawowywcity">
    <w:name w:val="Body Text Indent"/>
    <w:basedOn w:val="Normalny"/>
    <w:link w:val="TekstpodstawowywcityZnak"/>
    <w:rsid w:val="003220D1"/>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0"/>
      <w:lang w:val="x-none" w:eastAsia="x-none"/>
    </w:rPr>
  </w:style>
  <w:style w:type="character" w:customStyle="1" w:styleId="TekstpodstawowywcityZnak">
    <w:name w:val="Tekst podstawowy wcięty Znak"/>
    <w:basedOn w:val="Domylnaczcionkaakapitu"/>
    <w:link w:val="Tekstpodstawowywcity"/>
    <w:rsid w:val="003220D1"/>
    <w:rPr>
      <w:rFonts w:ascii="Times New Roman" w:eastAsia="Times New Roman" w:hAnsi="Times New Roman" w:cs="Times New Roman"/>
      <w:sz w:val="20"/>
      <w:lang w:val="x-none" w:eastAsia="x-none"/>
    </w:rPr>
  </w:style>
  <w:style w:type="paragraph" w:styleId="Tekstpodstawowywcity2">
    <w:name w:val="Body Text Indent 2"/>
    <w:basedOn w:val="Normalny"/>
    <w:link w:val="Tekstpodstawowywcity2Znak"/>
    <w:uiPriority w:val="99"/>
    <w:rsid w:val="003220D1"/>
    <w:pPr>
      <w:numPr>
        <w:ilvl w:val="12"/>
      </w:numPr>
      <w:overflowPunct w:val="0"/>
      <w:autoSpaceDE w:val="0"/>
      <w:autoSpaceDN w:val="0"/>
      <w:adjustRightInd w:val="0"/>
      <w:spacing w:after="0" w:line="240" w:lineRule="auto"/>
      <w:ind w:left="851" w:hanging="851"/>
      <w:jc w:val="center"/>
      <w:textAlignment w:val="baseline"/>
    </w:pPr>
    <w:rPr>
      <w:rFonts w:ascii="Times New Roman" w:eastAsia="Times New Roman" w:hAnsi="Times New Roman" w:cs="Times New Roman"/>
      <w:b/>
      <w:bCs/>
      <w:sz w:val="20"/>
      <w:szCs w:val="20"/>
      <w:lang w:val="x-none" w:eastAsia="x-none"/>
    </w:rPr>
  </w:style>
  <w:style w:type="character" w:customStyle="1" w:styleId="Tekstpodstawowywcity2Znak">
    <w:name w:val="Tekst podstawowy wcięty 2 Znak"/>
    <w:basedOn w:val="Domylnaczcionkaakapitu"/>
    <w:link w:val="Tekstpodstawowywcity2"/>
    <w:uiPriority w:val="99"/>
    <w:rsid w:val="003220D1"/>
    <w:rPr>
      <w:rFonts w:ascii="Times New Roman" w:eastAsia="Times New Roman" w:hAnsi="Times New Roman" w:cs="Times New Roman"/>
      <w:b/>
      <w:bCs/>
      <w:sz w:val="20"/>
      <w:szCs w:val="20"/>
      <w:lang w:val="x-none" w:eastAsia="x-none"/>
    </w:rPr>
  </w:style>
  <w:style w:type="paragraph" w:styleId="Tekstpodstawowy2">
    <w:name w:val="Body Text 2"/>
    <w:basedOn w:val="Normalny"/>
    <w:link w:val="Tekstpodstawowy2Znak"/>
    <w:rsid w:val="003220D1"/>
    <w:pPr>
      <w:spacing w:after="0" w:line="240" w:lineRule="auto"/>
      <w:ind w:firstLine="709"/>
    </w:pPr>
    <w:rPr>
      <w:rFonts w:ascii="Times New Roman" w:eastAsia="Times New Roman" w:hAnsi="Times New Roman" w:cs="Times New Roman"/>
      <w:sz w:val="20"/>
      <w:szCs w:val="20"/>
      <w:lang w:eastAsia="pl-PL"/>
    </w:rPr>
  </w:style>
  <w:style w:type="character" w:customStyle="1" w:styleId="Tekstpodstawowy2Znak">
    <w:name w:val="Tekst podstawowy 2 Znak"/>
    <w:basedOn w:val="Domylnaczcionkaakapitu"/>
    <w:link w:val="Tekstpodstawowy2"/>
    <w:rsid w:val="003220D1"/>
    <w:rPr>
      <w:rFonts w:ascii="Times New Roman" w:eastAsia="Times New Roman" w:hAnsi="Times New Roman" w:cs="Times New Roman"/>
      <w:sz w:val="20"/>
      <w:szCs w:val="20"/>
      <w:lang w:eastAsia="pl-PL"/>
    </w:rPr>
  </w:style>
  <w:style w:type="paragraph" w:customStyle="1" w:styleId="Tekstpodstawowy31">
    <w:name w:val="Tekst podstawowy 31"/>
    <w:basedOn w:val="Normalny"/>
    <w:rsid w:val="003220D1"/>
    <w:pPr>
      <w:widowControl w:val="0"/>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4"/>
      <w:szCs w:val="20"/>
      <w:lang w:eastAsia="pl-PL"/>
    </w:rPr>
  </w:style>
  <w:style w:type="paragraph" w:customStyle="1" w:styleId="Wypunktowanie">
    <w:name w:val="Wypunktowanie"/>
    <w:basedOn w:val="Normalny"/>
    <w:rsid w:val="003220D1"/>
    <w:pPr>
      <w:widowControl w:val="0"/>
      <w:tabs>
        <w:tab w:val="left" w:pos="708"/>
      </w:tabs>
      <w:overflowPunct w:val="0"/>
      <w:autoSpaceDE w:val="0"/>
      <w:autoSpaceDN w:val="0"/>
      <w:adjustRightInd w:val="0"/>
      <w:spacing w:after="0" w:line="240" w:lineRule="auto"/>
      <w:ind w:left="708" w:hanging="708"/>
      <w:textAlignment w:val="baseline"/>
    </w:pPr>
    <w:rPr>
      <w:rFonts w:ascii="Times New Roman" w:eastAsia="Times New Roman" w:hAnsi="Times New Roman" w:cs="Times New Roman"/>
      <w:sz w:val="24"/>
      <w:szCs w:val="20"/>
      <w:lang w:eastAsia="pl-PL"/>
    </w:rPr>
  </w:style>
  <w:style w:type="paragraph" w:customStyle="1" w:styleId="Numerowanie">
    <w:name w:val="Numerowanie"/>
    <w:basedOn w:val="Tekstpodstawowy"/>
    <w:rsid w:val="003220D1"/>
    <w:pPr>
      <w:widowControl w:val="0"/>
      <w:spacing w:line="240" w:lineRule="auto"/>
      <w:jc w:val="center"/>
    </w:pPr>
    <w:rPr>
      <w:sz w:val="24"/>
      <w:lang w:val="fr-FR"/>
    </w:rPr>
  </w:style>
  <w:style w:type="paragraph" w:customStyle="1" w:styleId="Tablica">
    <w:name w:val="Tablica"/>
    <w:basedOn w:val="Normalny"/>
    <w:next w:val="Normalny"/>
    <w:rsid w:val="003220D1"/>
    <w:pPr>
      <w:keepNext/>
      <w:keepLines/>
      <w:tabs>
        <w:tab w:val="left" w:pos="-720"/>
      </w:tabs>
      <w:suppressAutoHyphens/>
      <w:overflowPunct w:val="0"/>
      <w:autoSpaceDE w:val="0"/>
      <w:autoSpaceDN w:val="0"/>
      <w:adjustRightInd w:val="0"/>
      <w:spacing w:before="120" w:after="0" w:line="360" w:lineRule="auto"/>
      <w:ind w:firstLine="709"/>
      <w:jc w:val="center"/>
      <w:textAlignment w:val="baseline"/>
    </w:pPr>
    <w:rPr>
      <w:rFonts w:ascii="Times New Roman" w:eastAsia="Times New Roman" w:hAnsi="Times New Roman" w:cs="Times New Roman"/>
      <w:b/>
      <w:sz w:val="24"/>
      <w:szCs w:val="20"/>
      <w:lang w:eastAsia="pl-PL"/>
    </w:rPr>
  </w:style>
  <w:style w:type="paragraph" w:styleId="Tekstpodstawowy3">
    <w:name w:val="Body Text 3"/>
    <w:basedOn w:val="Normalny"/>
    <w:link w:val="Tekstpodstawowy3Znak"/>
    <w:rsid w:val="003220D1"/>
    <w:pPr>
      <w:widowControl w:val="0"/>
      <w:spacing w:after="0" w:line="240" w:lineRule="auto"/>
      <w:ind w:firstLine="709"/>
      <w:jc w:val="both"/>
    </w:pPr>
    <w:rPr>
      <w:rFonts w:ascii="Times New Roman" w:eastAsia="Times New Roman" w:hAnsi="Times New Roman" w:cs="Times New Roman"/>
      <w:sz w:val="24"/>
      <w:szCs w:val="20"/>
      <w:lang w:val="x-none" w:eastAsia="x-none"/>
    </w:rPr>
  </w:style>
  <w:style w:type="character" w:customStyle="1" w:styleId="Tekstpodstawowy3Znak">
    <w:name w:val="Tekst podstawowy 3 Znak"/>
    <w:basedOn w:val="Domylnaczcionkaakapitu"/>
    <w:link w:val="Tekstpodstawowy3"/>
    <w:rsid w:val="003220D1"/>
    <w:rPr>
      <w:rFonts w:ascii="Times New Roman" w:eastAsia="Times New Roman" w:hAnsi="Times New Roman" w:cs="Times New Roman"/>
      <w:sz w:val="24"/>
      <w:szCs w:val="20"/>
      <w:lang w:val="x-none" w:eastAsia="x-none"/>
    </w:rPr>
  </w:style>
  <w:style w:type="paragraph" w:customStyle="1" w:styleId="Teksttablicy">
    <w:name w:val="Tekst tablicy"/>
    <w:basedOn w:val="Tekstpodstawowy"/>
    <w:next w:val="Tekstpodstawowy"/>
    <w:rsid w:val="003220D1"/>
    <w:pPr>
      <w:keepLines/>
      <w:overflowPunct/>
      <w:autoSpaceDE/>
      <w:autoSpaceDN/>
      <w:adjustRightInd/>
      <w:spacing w:line="240" w:lineRule="auto"/>
      <w:jc w:val="center"/>
      <w:textAlignment w:val="auto"/>
    </w:pPr>
    <w:rPr>
      <w:rFonts w:ascii="Arial" w:hAnsi="Arial" w:cs="Arial"/>
      <w:bCs/>
      <w:sz w:val="24"/>
      <w:lang w:val="fr-FR"/>
    </w:rPr>
  </w:style>
  <w:style w:type="paragraph" w:styleId="Listapunktowana">
    <w:name w:val="List Bullet"/>
    <w:basedOn w:val="Normalny"/>
    <w:link w:val="ListapunktowanaZnak"/>
    <w:autoRedefine/>
    <w:rsid w:val="003220D1"/>
    <w:pPr>
      <w:overflowPunct w:val="0"/>
      <w:autoSpaceDE w:val="0"/>
      <w:autoSpaceDN w:val="0"/>
      <w:adjustRightInd w:val="0"/>
      <w:spacing w:after="0" w:line="240" w:lineRule="auto"/>
      <w:ind w:right="-250" w:firstLine="709"/>
      <w:jc w:val="both"/>
      <w:textAlignment w:val="baseline"/>
    </w:pPr>
    <w:rPr>
      <w:rFonts w:ascii="Times New Roman" w:eastAsia="Times New Roman" w:hAnsi="Times New Roman" w:cs="Times New Roman"/>
      <w:sz w:val="20"/>
      <w:szCs w:val="20"/>
      <w:lang w:eastAsia="pl-PL"/>
    </w:rPr>
  </w:style>
  <w:style w:type="character" w:customStyle="1" w:styleId="StandardowytekstZnak">
    <w:name w:val="Standardowy.tekst Znak"/>
    <w:link w:val="Standardowytekst"/>
    <w:rsid w:val="003220D1"/>
    <w:rPr>
      <w:rFonts w:ascii="Times New Roman" w:eastAsia="Times New Roman" w:hAnsi="Times New Roman" w:cs="Times New Roman"/>
      <w:sz w:val="20"/>
      <w:szCs w:val="20"/>
      <w:lang w:eastAsia="pl-PL"/>
    </w:rPr>
  </w:style>
  <w:style w:type="paragraph" w:customStyle="1" w:styleId="StandardowytekstZnakZnakZnakZnak">
    <w:name w:val="Standardowy.tekst Znak Znak Znak Znak"/>
    <w:link w:val="StandardowytekstZnakZnakZnakZnakZnak"/>
    <w:rsid w:val="003220D1"/>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character" w:customStyle="1" w:styleId="StandardowytekstZnakZnakZnakZnakZnak">
    <w:name w:val="Standardowy.tekst Znak Znak Znak Znak Znak"/>
    <w:link w:val="StandardowytekstZnakZnakZnakZnak"/>
    <w:rsid w:val="003220D1"/>
    <w:rPr>
      <w:rFonts w:ascii="Times New Roman" w:eastAsia="Times New Roman" w:hAnsi="Times New Roman" w:cs="Times New Roman"/>
      <w:sz w:val="20"/>
      <w:szCs w:val="20"/>
      <w:lang w:eastAsia="pl-PL"/>
    </w:rPr>
  </w:style>
  <w:style w:type="paragraph" w:styleId="Zwykytekst">
    <w:name w:val="Plain Text"/>
    <w:basedOn w:val="Normalny"/>
    <w:link w:val="ZwykytekstZnak"/>
    <w:rsid w:val="003220D1"/>
    <w:pPr>
      <w:spacing w:after="0" w:line="240" w:lineRule="auto"/>
      <w:ind w:firstLine="709"/>
    </w:pPr>
    <w:rPr>
      <w:rFonts w:ascii="Courier New" w:eastAsia="Times New Roman" w:hAnsi="Courier New" w:cs="Times New Roman"/>
      <w:sz w:val="20"/>
      <w:szCs w:val="20"/>
      <w:lang w:val="x-none" w:eastAsia="x-none"/>
    </w:rPr>
  </w:style>
  <w:style w:type="character" w:customStyle="1" w:styleId="ZwykytekstZnak">
    <w:name w:val="Zwykły tekst Znak"/>
    <w:basedOn w:val="Domylnaczcionkaakapitu"/>
    <w:link w:val="Zwykytekst"/>
    <w:rsid w:val="003220D1"/>
    <w:rPr>
      <w:rFonts w:ascii="Courier New" w:eastAsia="Times New Roman" w:hAnsi="Courier New" w:cs="Times New Roman"/>
      <w:sz w:val="20"/>
      <w:szCs w:val="20"/>
      <w:lang w:val="x-none" w:eastAsia="x-none"/>
    </w:rPr>
  </w:style>
  <w:style w:type="paragraph" w:customStyle="1" w:styleId="StandardowytekstZnakZnakZnak">
    <w:name w:val="Standardowy.tekst Znak Znak Znak"/>
    <w:rsid w:val="003220D1"/>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styleId="Listapunktowana2">
    <w:name w:val="List Bullet 2"/>
    <w:aliases w:val="Lista wypunktowana 2"/>
    <w:basedOn w:val="Normalny"/>
    <w:autoRedefine/>
    <w:rsid w:val="003220D1"/>
    <w:pPr>
      <w:numPr>
        <w:numId w:val="16"/>
      </w:numPr>
      <w:spacing w:after="0" w:line="240" w:lineRule="auto"/>
    </w:pPr>
    <w:rPr>
      <w:rFonts w:ascii="Times New Roman" w:eastAsia="Times New Roman" w:hAnsi="Times New Roman" w:cs="Times New Roman"/>
      <w:sz w:val="20"/>
      <w:szCs w:val="20"/>
      <w:lang w:eastAsia="pl-PL"/>
    </w:rPr>
  </w:style>
  <w:style w:type="paragraph" w:styleId="Listapunktowana3">
    <w:name w:val="List Bullet 3"/>
    <w:aliases w:val="Lista wypunktowana 3"/>
    <w:basedOn w:val="Normalny"/>
    <w:autoRedefine/>
    <w:rsid w:val="003220D1"/>
    <w:pPr>
      <w:numPr>
        <w:numId w:val="17"/>
      </w:numPr>
      <w:spacing w:after="0" w:line="240" w:lineRule="auto"/>
    </w:pPr>
    <w:rPr>
      <w:rFonts w:ascii="Times New Roman" w:eastAsia="Times New Roman" w:hAnsi="Times New Roman" w:cs="Times New Roman"/>
      <w:sz w:val="20"/>
      <w:szCs w:val="20"/>
      <w:lang w:eastAsia="pl-PL"/>
    </w:rPr>
  </w:style>
  <w:style w:type="paragraph" w:styleId="Listapunktowana4">
    <w:name w:val="List Bullet 4"/>
    <w:aliases w:val="Lista wypunktowana 4"/>
    <w:basedOn w:val="Normalny"/>
    <w:autoRedefine/>
    <w:rsid w:val="003220D1"/>
    <w:pPr>
      <w:numPr>
        <w:numId w:val="18"/>
      </w:numPr>
      <w:spacing w:after="0" w:line="240" w:lineRule="auto"/>
    </w:pPr>
    <w:rPr>
      <w:rFonts w:ascii="Times New Roman" w:eastAsia="Times New Roman" w:hAnsi="Times New Roman" w:cs="Times New Roman"/>
      <w:sz w:val="20"/>
      <w:szCs w:val="20"/>
      <w:lang w:eastAsia="pl-PL"/>
    </w:rPr>
  </w:style>
  <w:style w:type="paragraph" w:styleId="Listapunktowana5">
    <w:name w:val="List Bullet 5"/>
    <w:aliases w:val="Lista wypunktowana 5"/>
    <w:basedOn w:val="Normalny"/>
    <w:autoRedefine/>
    <w:rsid w:val="003220D1"/>
    <w:pPr>
      <w:numPr>
        <w:numId w:val="19"/>
      </w:numPr>
      <w:spacing w:after="0" w:line="240" w:lineRule="auto"/>
    </w:pPr>
    <w:rPr>
      <w:rFonts w:ascii="Times New Roman" w:eastAsia="Times New Roman" w:hAnsi="Times New Roman" w:cs="Times New Roman"/>
      <w:sz w:val="20"/>
      <w:szCs w:val="20"/>
      <w:lang w:eastAsia="pl-PL"/>
    </w:rPr>
  </w:style>
  <w:style w:type="paragraph" w:customStyle="1" w:styleId="Tekstpodstawowywcity21">
    <w:name w:val="Tekst podstawowy wcięty 21"/>
    <w:basedOn w:val="Normalny"/>
    <w:rsid w:val="003220D1"/>
    <w:pPr>
      <w:tabs>
        <w:tab w:val="left" w:pos="0"/>
        <w:tab w:val="right" w:pos="8953"/>
      </w:tabs>
      <w:spacing w:after="0" w:line="240" w:lineRule="auto"/>
      <w:ind w:left="1985" w:hanging="1191"/>
      <w:jc w:val="both"/>
    </w:pPr>
    <w:rPr>
      <w:rFonts w:ascii="Times New Roman" w:eastAsia="Times New Roman" w:hAnsi="Times New Roman" w:cs="Times New Roman"/>
      <w:i/>
      <w:szCs w:val="20"/>
      <w:lang w:eastAsia="pl-PL"/>
    </w:rPr>
  </w:style>
  <w:style w:type="paragraph" w:customStyle="1" w:styleId="Punktowanie">
    <w:name w:val="Punktowanie"/>
    <w:basedOn w:val="Normalny"/>
    <w:rsid w:val="003220D1"/>
    <w:pPr>
      <w:tabs>
        <w:tab w:val="num" w:pos="397"/>
      </w:tabs>
      <w:spacing w:after="0" w:line="240" w:lineRule="auto"/>
      <w:ind w:left="397" w:hanging="397"/>
    </w:pPr>
    <w:rPr>
      <w:rFonts w:ascii="Arial" w:eastAsia="Times New Roman" w:hAnsi="Arial" w:cs="Times New Roman"/>
      <w:sz w:val="24"/>
      <w:szCs w:val="20"/>
      <w:lang w:eastAsia="pl-PL"/>
    </w:rPr>
  </w:style>
  <w:style w:type="character" w:styleId="UyteHipercze">
    <w:name w:val="FollowedHyperlink"/>
    <w:aliases w:val="OdwiedzoneHiperłącze"/>
    <w:rsid w:val="003220D1"/>
    <w:rPr>
      <w:color w:val="800080"/>
      <w:u w:val="single"/>
    </w:rPr>
  </w:style>
  <w:style w:type="numbering" w:customStyle="1" w:styleId="mj">
    <w:name w:val="mój"/>
    <w:rsid w:val="003220D1"/>
  </w:style>
  <w:style w:type="paragraph" w:customStyle="1" w:styleId="StandardowytekstZnakZnak">
    <w:name w:val="Standardowy.tekst Znak Znak"/>
    <w:rsid w:val="003220D1"/>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table" w:styleId="Tabela-Siatka">
    <w:name w:val="Table Grid"/>
    <w:basedOn w:val="Standardowy"/>
    <w:uiPriority w:val="59"/>
    <w:rsid w:val="003220D1"/>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
    <w:name w:val="List"/>
    <w:basedOn w:val="Normalny"/>
    <w:rsid w:val="003220D1"/>
    <w:pPr>
      <w:numPr>
        <w:numId w:val="22"/>
      </w:numPr>
      <w:spacing w:after="0" w:line="240" w:lineRule="auto"/>
    </w:pPr>
    <w:rPr>
      <w:rFonts w:ascii="Times New Roman" w:eastAsia="Times New Roman" w:hAnsi="Times New Roman" w:cs="Times New Roman"/>
      <w:sz w:val="20"/>
      <w:szCs w:val="20"/>
      <w:lang w:eastAsia="pl-PL"/>
    </w:rPr>
  </w:style>
  <w:style w:type="paragraph" w:customStyle="1" w:styleId="Tytuspecyfikacji">
    <w:name w:val="Tytuł specyfikacji"/>
    <w:basedOn w:val="Tytu"/>
    <w:rsid w:val="003220D1"/>
    <w:pPr>
      <w:tabs>
        <w:tab w:val="left" w:pos="1985"/>
      </w:tabs>
      <w:overflowPunct/>
      <w:autoSpaceDE/>
      <w:autoSpaceDN/>
      <w:adjustRightInd/>
      <w:spacing w:after="120"/>
      <w:ind w:left="1985" w:hanging="1985"/>
      <w:jc w:val="both"/>
      <w:textAlignment w:val="auto"/>
      <w:outlineLvl w:val="0"/>
    </w:pPr>
    <w:rPr>
      <w:b/>
      <w:caps/>
      <w:noProof/>
      <w:kern w:val="28"/>
    </w:rPr>
  </w:style>
  <w:style w:type="paragraph" w:styleId="Listanumerowana2">
    <w:name w:val="List Number 2"/>
    <w:basedOn w:val="Normalny"/>
    <w:rsid w:val="003220D1"/>
    <w:pPr>
      <w:numPr>
        <w:numId w:val="21"/>
      </w:numPr>
      <w:spacing w:before="60" w:after="0" w:line="240" w:lineRule="auto"/>
    </w:pPr>
    <w:rPr>
      <w:rFonts w:ascii="Times New Roman" w:eastAsia="Times New Roman" w:hAnsi="Times New Roman" w:cs="Times New Roman"/>
      <w:sz w:val="20"/>
      <w:szCs w:val="20"/>
      <w:lang w:eastAsia="pl-PL"/>
    </w:rPr>
  </w:style>
  <w:style w:type="paragraph" w:customStyle="1" w:styleId="Zwykytekst1">
    <w:name w:val="Zwykły tekst1"/>
    <w:basedOn w:val="Normalny"/>
    <w:rsid w:val="003220D1"/>
    <w:pPr>
      <w:suppressAutoHyphens/>
      <w:spacing w:after="0" w:line="240" w:lineRule="auto"/>
      <w:ind w:firstLine="709"/>
    </w:pPr>
    <w:rPr>
      <w:rFonts w:ascii="Courier New" w:eastAsia="Times New Roman" w:hAnsi="Courier New" w:cs="Times New Roman"/>
      <w:sz w:val="20"/>
      <w:szCs w:val="20"/>
      <w:lang w:eastAsia="ar-SA"/>
    </w:rPr>
  </w:style>
  <w:style w:type="paragraph" w:customStyle="1" w:styleId="StylNagwek2ArialNarrow12pt">
    <w:name w:val="Styl Nagłówek 2 + Arial Narrow 12 pt"/>
    <w:basedOn w:val="Nagwek2"/>
    <w:autoRedefine/>
    <w:rsid w:val="003220D1"/>
    <w:pPr>
      <w:keepNext w:val="0"/>
      <w:overflowPunct/>
      <w:autoSpaceDE/>
      <w:autoSpaceDN/>
      <w:adjustRightInd/>
      <w:textAlignment w:val="auto"/>
    </w:pPr>
    <w:rPr>
      <w:bCs/>
    </w:rPr>
  </w:style>
  <w:style w:type="character" w:customStyle="1" w:styleId="StandardowytekstZnakZnakZnakZnakZnakZnak">
    <w:name w:val="Standardowy.tekst Znak Znak Znak Znak Znak Znak"/>
    <w:rsid w:val="003220D1"/>
    <w:rPr>
      <w:lang w:val="pl-PL" w:eastAsia="pl-PL" w:bidi="ar-SA"/>
    </w:rPr>
  </w:style>
  <w:style w:type="paragraph" w:styleId="Legenda">
    <w:name w:val="caption"/>
    <w:basedOn w:val="Normalny"/>
    <w:next w:val="Normalny"/>
    <w:link w:val="LegendaZnak"/>
    <w:qFormat/>
    <w:rsid w:val="003220D1"/>
    <w:pPr>
      <w:spacing w:after="0" w:line="240" w:lineRule="auto"/>
      <w:ind w:firstLine="709"/>
    </w:pPr>
    <w:rPr>
      <w:rFonts w:ascii="Times New Roman" w:eastAsia="Times New Roman" w:hAnsi="Times New Roman" w:cs="Times New Roman"/>
      <w:b/>
      <w:bCs/>
      <w:sz w:val="20"/>
      <w:szCs w:val="20"/>
      <w:lang w:eastAsia="pl-PL"/>
    </w:rPr>
  </w:style>
  <w:style w:type="paragraph" w:customStyle="1" w:styleId="10">
    <w:name w:val="_10"/>
    <w:basedOn w:val="Normalny"/>
    <w:rsid w:val="003220D1"/>
    <w:pPr>
      <w:spacing w:after="0" w:line="240" w:lineRule="auto"/>
      <w:ind w:firstLine="709"/>
      <w:jc w:val="both"/>
    </w:pPr>
    <w:rPr>
      <w:rFonts w:ascii="Times New Roman" w:eastAsia="Times New Roman" w:hAnsi="Times New Roman" w:cs="Times New Roman"/>
      <w:sz w:val="20"/>
      <w:szCs w:val="20"/>
      <w:lang w:eastAsia="pl-PL"/>
    </w:rPr>
  </w:style>
  <w:style w:type="paragraph" w:customStyle="1" w:styleId="Styl12ptWyjustowany">
    <w:name w:val="Styl 12 pt Wyjustowany"/>
    <w:basedOn w:val="Normalny"/>
    <w:rsid w:val="003220D1"/>
    <w:pPr>
      <w:spacing w:after="0" w:line="240" w:lineRule="auto"/>
      <w:ind w:firstLine="709"/>
      <w:jc w:val="both"/>
    </w:pPr>
    <w:rPr>
      <w:rFonts w:ascii="Times New Roman" w:eastAsia="Times New Roman" w:hAnsi="Times New Roman" w:cs="Times New Roman"/>
      <w:sz w:val="20"/>
      <w:szCs w:val="20"/>
      <w:lang w:eastAsia="pl-PL"/>
    </w:rPr>
  </w:style>
  <w:style w:type="paragraph" w:styleId="Tekstprzypisukocowego">
    <w:name w:val="endnote text"/>
    <w:basedOn w:val="Normalny"/>
    <w:link w:val="TekstprzypisukocowegoZnak"/>
    <w:rsid w:val="003220D1"/>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0"/>
      <w:szCs w:val="20"/>
      <w:lang w:eastAsia="pl-PL"/>
    </w:rPr>
  </w:style>
  <w:style w:type="character" w:customStyle="1" w:styleId="TekstprzypisukocowegoZnak">
    <w:name w:val="Tekst przypisu końcowego Znak"/>
    <w:basedOn w:val="Domylnaczcionkaakapitu"/>
    <w:link w:val="Tekstprzypisukocowego"/>
    <w:rsid w:val="003220D1"/>
    <w:rPr>
      <w:rFonts w:ascii="Times New Roman" w:eastAsia="Times New Roman" w:hAnsi="Times New Roman" w:cs="Times New Roman"/>
      <w:sz w:val="20"/>
      <w:szCs w:val="20"/>
      <w:lang w:eastAsia="pl-PL"/>
    </w:rPr>
  </w:style>
  <w:style w:type="character" w:styleId="Odwoanieprzypisukocowego">
    <w:name w:val="endnote reference"/>
    <w:rsid w:val="003220D1"/>
    <w:rPr>
      <w:vertAlign w:val="superscript"/>
    </w:rPr>
  </w:style>
  <w:style w:type="paragraph" w:styleId="Tekstblokowy">
    <w:name w:val="Block Text"/>
    <w:basedOn w:val="Normalny"/>
    <w:rsid w:val="003220D1"/>
    <w:pPr>
      <w:autoSpaceDE w:val="0"/>
      <w:autoSpaceDN w:val="0"/>
      <w:adjustRightInd w:val="0"/>
      <w:spacing w:after="120" w:line="240" w:lineRule="auto"/>
      <w:ind w:left="1418" w:right="136" w:hanging="1418"/>
      <w:jc w:val="both"/>
    </w:pPr>
    <w:rPr>
      <w:rFonts w:ascii="Times New Roman" w:eastAsia="Times New Roman" w:hAnsi="Times New Roman" w:cs="Times New Roman"/>
      <w:sz w:val="24"/>
      <w:szCs w:val="24"/>
      <w:lang w:eastAsia="pl-PL"/>
    </w:rPr>
  </w:style>
  <w:style w:type="paragraph" w:styleId="Poprawka">
    <w:name w:val="Revision"/>
    <w:hidden/>
    <w:uiPriority w:val="99"/>
    <w:semiHidden/>
    <w:rsid w:val="003220D1"/>
    <w:pPr>
      <w:spacing w:after="0" w:line="240" w:lineRule="auto"/>
    </w:pPr>
    <w:rPr>
      <w:rFonts w:ascii="Arial Narrow" w:eastAsia="Times New Roman" w:hAnsi="Arial Narrow" w:cs="Times New Roman"/>
      <w:sz w:val="20"/>
      <w:szCs w:val="20"/>
      <w:lang w:eastAsia="pl-PL"/>
    </w:rPr>
  </w:style>
  <w:style w:type="paragraph" w:styleId="Akapitzlist">
    <w:name w:val="List Paragraph"/>
    <w:basedOn w:val="Normalny"/>
    <w:link w:val="AkapitzlistZnak"/>
    <w:uiPriority w:val="34"/>
    <w:qFormat/>
    <w:rsid w:val="003220D1"/>
    <w:pPr>
      <w:spacing w:after="0" w:line="240" w:lineRule="auto"/>
      <w:ind w:left="720" w:firstLine="709"/>
      <w:contextualSpacing/>
    </w:pPr>
    <w:rPr>
      <w:rFonts w:ascii="Arial Narrow" w:eastAsia="Calibri" w:hAnsi="Arial Narrow" w:cs="Times New Roman"/>
      <w:sz w:val="20"/>
    </w:rPr>
  </w:style>
  <w:style w:type="character" w:styleId="Pogrubienie">
    <w:name w:val="Strong"/>
    <w:uiPriority w:val="22"/>
    <w:qFormat/>
    <w:rsid w:val="003220D1"/>
    <w:rPr>
      <w:b/>
      <w:bCs/>
    </w:rPr>
  </w:style>
  <w:style w:type="character" w:customStyle="1" w:styleId="apple-converted-space">
    <w:name w:val="apple-converted-space"/>
    <w:rsid w:val="003220D1"/>
  </w:style>
  <w:style w:type="paragraph" w:styleId="Wcicienormalne">
    <w:name w:val="Normal Indent"/>
    <w:basedOn w:val="Normalny"/>
    <w:unhideWhenUsed/>
    <w:rsid w:val="003220D1"/>
    <w:pPr>
      <w:spacing w:before="120" w:after="120" w:line="240" w:lineRule="auto"/>
      <w:ind w:left="720" w:firstLine="709"/>
      <w:jc w:val="both"/>
    </w:pPr>
    <w:rPr>
      <w:rFonts w:ascii="Times New Roman" w:eastAsia="Times New Roman" w:hAnsi="Times New Roman" w:cs="Times New Roman"/>
      <w:sz w:val="24"/>
      <w:szCs w:val="20"/>
      <w:lang w:eastAsia="pl-PL"/>
    </w:rPr>
  </w:style>
  <w:style w:type="paragraph" w:customStyle="1" w:styleId="p1">
    <w:name w:val="p1"/>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character" w:customStyle="1" w:styleId="ft2">
    <w:name w:val="ft2"/>
    <w:rsid w:val="003220D1"/>
    <w:rPr>
      <w:rFonts w:cs="Times New Roman"/>
    </w:rPr>
  </w:style>
  <w:style w:type="paragraph" w:customStyle="1" w:styleId="p2">
    <w:name w:val="p2"/>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character" w:customStyle="1" w:styleId="ft3">
    <w:name w:val="ft3"/>
    <w:rsid w:val="003220D1"/>
    <w:rPr>
      <w:rFonts w:cs="Times New Roman"/>
    </w:rPr>
  </w:style>
  <w:style w:type="character" w:customStyle="1" w:styleId="ft4">
    <w:name w:val="ft4"/>
    <w:rsid w:val="003220D1"/>
    <w:rPr>
      <w:rFonts w:cs="Times New Roman"/>
    </w:rPr>
  </w:style>
  <w:style w:type="paragraph" w:customStyle="1" w:styleId="p3">
    <w:name w:val="p3"/>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character" w:customStyle="1" w:styleId="ft5">
    <w:name w:val="ft5"/>
    <w:rsid w:val="003220D1"/>
    <w:rPr>
      <w:rFonts w:cs="Times New Roman"/>
    </w:rPr>
  </w:style>
  <w:style w:type="paragraph" w:customStyle="1" w:styleId="p5">
    <w:name w:val="p5"/>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paragraph" w:customStyle="1" w:styleId="p6">
    <w:name w:val="p6"/>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character" w:customStyle="1" w:styleId="ft7">
    <w:name w:val="ft7"/>
    <w:rsid w:val="003220D1"/>
    <w:rPr>
      <w:rFonts w:cs="Times New Roman"/>
    </w:rPr>
  </w:style>
  <w:style w:type="paragraph" w:customStyle="1" w:styleId="p7">
    <w:name w:val="p7"/>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character" w:customStyle="1" w:styleId="ft8">
    <w:name w:val="ft8"/>
    <w:rsid w:val="003220D1"/>
    <w:rPr>
      <w:rFonts w:cs="Times New Roman"/>
    </w:rPr>
  </w:style>
  <w:style w:type="paragraph" w:customStyle="1" w:styleId="p8">
    <w:name w:val="p8"/>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character" w:customStyle="1" w:styleId="ft6">
    <w:name w:val="ft6"/>
    <w:rsid w:val="003220D1"/>
    <w:rPr>
      <w:rFonts w:cs="Times New Roman"/>
    </w:rPr>
  </w:style>
  <w:style w:type="character" w:customStyle="1" w:styleId="ft9">
    <w:name w:val="ft9"/>
    <w:rsid w:val="003220D1"/>
    <w:rPr>
      <w:rFonts w:cs="Times New Roman"/>
    </w:rPr>
  </w:style>
  <w:style w:type="character" w:customStyle="1" w:styleId="ft10">
    <w:name w:val="ft10"/>
    <w:rsid w:val="003220D1"/>
    <w:rPr>
      <w:rFonts w:cs="Times New Roman"/>
    </w:rPr>
  </w:style>
  <w:style w:type="character" w:customStyle="1" w:styleId="ft11">
    <w:name w:val="ft11"/>
    <w:rsid w:val="003220D1"/>
    <w:rPr>
      <w:rFonts w:cs="Times New Roman"/>
    </w:rPr>
  </w:style>
  <w:style w:type="paragraph" w:customStyle="1" w:styleId="p9">
    <w:name w:val="p9"/>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paragraph" w:customStyle="1" w:styleId="p10">
    <w:name w:val="p10"/>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paragraph" w:customStyle="1" w:styleId="p11">
    <w:name w:val="p11"/>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paragraph" w:customStyle="1" w:styleId="p12">
    <w:name w:val="p12"/>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paragraph" w:customStyle="1" w:styleId="p13">
    <w:name w:val="p13"/>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paragraph" w:customStyle="1" w:styleId="p14">
    <w:name w:val="p14"/>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character" w:customStyle="1" w:styleId="ft12">
    <w:name w:val="ft12"/>
    <w:rsid w:val="003220D1"/>
    <w:rPr>
      <w:rFonts w:cs="Times New Roman"/>
    </w:rPr>
  </w:style>
  <w:style w:type="paragraph" w:customStyle="1" w:styleId="p15">
    <w:name w:val="p15"/>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character" w:customStyle="1" w:styleId="ft13">
    <w:name w:val="ft13"/>
    <w:rsid w:val="003220D1"/>
    <w:rPr>
      <w:rFonts w:cs="Times New Roman"/>
    </w:rPr>
  </w:style>
  <w:style w:type="paragraph" w:customStyle="1" w:styleId="p16">
    <w:name w:val="p16"/>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paragraph" w:customStyle="1" w:styleId="p17">
    <w:name w:val="p17"/>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paragraph" w:customStyle="1" w:styleId="p18">
    <w:name w:val="p18"/>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paragraph" w:customStyle="1" w:styleId="p19">
    <w:name w:val="p19"/>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paragraph" w:customStyle="1" w:styleId="p20">
    <w:name w:val="p20"/>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character" w:customStyle="1" w:styleId="ft14">
    <w:name w:val="ft14"/>
    <w:rsid w:val="003220D1"/>
    <w:rPr>
      <w:rFonts w:cs="Times New Roman"/>
    </w:rPr>
  </w:style>
  <w:style w:type="paragraph" w:customStyle="1" w:styleId="p21">
    <w:name w:val="p21"/>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paragraph" w:customStyle="1" w:styleId="p22">
    <w:name w:val="p22"/>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paragraph" w:customStyle="1" w:styleId="p23">
    <w:name w:val="p23"/>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paragraph" w:customStyle="1" w:styleId="p24">
    <w:name w:val="p24"/>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paragraph" w:customStyle="1" w:styleId="p25">
    <w:name w:val="p25"/>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paragraph" w:customStyle="1" w:styleId="p26">
    <w:name w:val="p26"/>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character" w:customStyle="1" w:styleId="ft15">
    <w:name w:val="ft15"/>
    <w:rsid w:val="003220D1"/>
    <w:rPr>
      <w:rFonts w:cs="Times New Roman"/>
    </w:rPr>
  </w:style>
  <w:style w:type="character" w:customStyle="1" w:styleId="ft16">
    <w:name w:val="ft16"/>
    <w:rsid w:val="003220D1"/>
    <w:rPr>
      <w:rFonts w:cs="Times New Roman"/>
    </w:rPr>
  </w:style>
  <w:style w:type="paragraph" w:customStyle="1" w:styleId="p27">
    <w:name w:val="p27"/>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paragraph" w:customStyle="1" w:styleId="p28">
    <w:name w:val="p28"/>
    <w:basedOn w:val="Normalny"/>
    <w:rsid w:val="003220D1"/>
    <w:pPr>
      <w:spacing w:before="100" w:beforeAutospacing="1" w:after="100" w:afterAutospacing="1" w:line="240" w:lineRule="auto"/>
      <w:ind w:firstLine="709"/>
    </w:pPr>
    <w:rPr>
      <w:rFonts w:ascii="Times New Roman" w:eastAsia="Calibri" w:hAnsi="Times New Roman" w:cs="Times New Roman"/>
      <w:sz w:val="24"/>
      <w:szCs w:val="24"/>
      <w:lang w:eastAsia="pl-PL"/>
    </w:rPr>
  </w:style>
  <w:style w:type="character" w:customStyle="1" w:styleId="ft17">
    <w:name w:val="ft17"/>
    <w:rsid w:val="003220D1"/>
    <w:rPr>
      <w:rFonts w:cs="Times New Roman"/>
    </w:rPr>
  </w:style>
  <w:style w:type="character" w:styleId="Uwydatnienie">
    <w:name w:val="Emphasis"/>
    <w:uiPriority w:val="20"/>
    <w:qFormat/>
    <w:rsid w:val="003220D1"/>
    <w:rPr>
      <w:i/>
      <w:iCs/>
    </w:rPr>
  </w:style>
  <w:style w:type="character" w:customStyle="1" w:styleId="highlighted-search-term">
    <w:name w:val="highlighted-search-term"/>
    <w:rsid w:val="003220D1"/>
  </w:style>
  <w:style w:type="paragraph" w:customStyle="1" w:styleId="p4s-search-results-label-wrapper">
    <w:name w:val="p4s-search-results-label-wrapper"/>
    <w:basedOn w:val="Normalny"/>
    <w:rsid w:val="003220D1"/>
    <w:pPr>
      <w:spacing w:before="100" w:beforeAutospacing="1" w:after="100" w:afterAutospacing="1" w:line="240" w:lineRule="auto"/>
      <w:ind w:firstLine="709"/>
    </w:pPr>
    <w:rPr>
      <w:rFonts w:ascii="Times New Roman" w:eastAsia="Times New Roman" w:hAnsi="Times New Roman" w:cs="Times New Roman"/>
      <w:sz w:val="24"/>
      <w:szCs w:val="24"/>
      <w:lang w:eastAsia="pl-PL"/>
    </w:rPr>
  </w:style>
  <w:style w:type="table" w:customStyle="1" w:styleId="TableGrid">
    <w:name w:val="TableGrid"/>
    <w:rsid w:val="003220D1"/>
    <w:pPr>
      <w:spacing w:after="0" w:line="240" w:lineRule="auto"/>
    </w:pPr>
    <w:rPr>
      <w:rFonts w:ascii="Calibri" w:eastAsia="Times New Roman" w:hAnsi="Calibri" w:cs="Times New Roman"/>
      <w:lang w:eastAsia="pl-PL"/>
    </w:rPr>
    <w:tblPr>
      <w:tblCellMar>
        <w:top w:w="0" w:type="dxa"/>
        <w:left w:w="0" w:type="dxa"/>
        <w:bottom w:w="0" w:type="dxa"/>
        <w:right w:w="0" w:type="dxa"/>
      </w:tblCellMar>
    </w:tblPr>
  </w:style>
  <w:style w:type="paragraph" w:styleId="Spisilustracji">
    <w:name w:val="table of figures"/>
    <w:basedOn w:val="Normalny"/>
    <w:next w:val="Normalny"/>
    <w:uiPriority w:val="99"/>
    <w:unhideWhenUsed/>
    <w:rsid w:val="003220D1"/>
    <w:pPr>
      <w:spacing w:after="0" w:line="240" w:lineRule="auto"/>
      <w:ind w:firstLine="454"/>
      <w:jc w:val="both"/>
    </w:pPr>
    <w:rPr>
      <w:rFonts w:ascii="Arial" w:eastAsia="Calibri" w:hAnsi="Arial" w:cs="Times New Roman"/>
      <w:sz w:val="20"/>
    </w:rPr>
  </w:style>
  <w:style w:type="paragraph" w:styleId="Nagwekspisutreci">
    <w:name w:val="TOC Heading"/>
    <w:basedOn w:val="Nagwek1"/>
    <w:next w:val="Normalny"/>
    <w:uiPriority w:val="39"/>
    <w:unhideWhenUsed/>
    <w:qFormat/>
    <w:rsid w:val="003220D1"/>
    <w:pPr>
      <w:suppressAutoHyphens w:val="0"/>
      <w:overflowPunct/>
      <w:autoSpaceDE/>
      <w:autoSpaceDN/>
      <w:adjustRightInd/>
      <w:spacing w:before="480"/>
      <w:textAlignment w:val="auto"/>
      <w:outlineLvl w:val="9"/>
    </w:pPr>
    <w:rPr>
      <w:rFonts w:ascii="Arial" w:hAnsi="Arial"/>
      <w:bCs/>
      <w:color w:val="000000"/>
      <w:kern w:val="0"/>
      <w:sz w:val="20"/>
      <w:szCs w:val="28"/>
    </w:rPr>
  </w:style>
  <w:style w:type="paragraph" w:styleId="Bibliografia">
    <w:name w:val="Bibliography"/>
    <w:basedOn w:val="Normalny"/>
    <w:next w:val="Normalny"/>
    <w:uiPriority w:val="37"/>
    <w:unhideWhenUsed/>
    <w:rsid w:val="003220D1"/>
    <w:pPr>
      <w:spacing w:after="0" w:line="240" w:lineRule="auto"/>
      <w:ind w:firstLine="454"/>
      <w:jc w:val="both"/>
    </w:pPr>
    <w:rPr>
      <w:rFonts w:ascii="Arial" w:eastAsia="Calibri" w:hAnsi="Arial" w:cs="Times New Roman"/>
      <w:sz w:val="20"/>
    </w:rPr>
  </w:style>
  <w:style w:type="character" w:customStyle="1" w:styleId="ListapunktowanaZnak">
    <w:name w:val="Lista punktowana Znak"/>
    <w:link w:val="Listapunktowana"/>
    <w:rsid w:val="003220D1"/>
    <w:rPr>
      <w:rFonts w:ascii="Times New Roman" w:eastAsia="Times New Roman" w:hAnsi="Times New Roman" w:cs="Times New Roman"/>
      <w:sz w:val="20"/>
      <w:szCs w:val="20"/>
      <w:lang w:eastAsia="pl-PL"/>
    </w:rPr>
  </w:style>
  <w:style w:type="paragraph" w:customStyle="1" w:styleId="Default">
    <w:name w:val="Default"/>
    <w:rsid w:val="003220D1"/>
    <w:pPr>
      <w:autoSpaceDE w:val="0"/>
      <w:autoSpaceDN w:val="0"/>
      <w:adjustRightInd w:val="0"/>
      <w:spacing w:after="0" w:line="240" w:lineRule="auto"/>
    </w:pPr>
    <w:rPr>
      <w:rFonts w:ascii="Calibri" w:eastAsia="Calibri" w:hAnsi="Calibri" w:cs="Calibri"/>
      <w:color w:val="000000"/>
      <w:sz w:val="24"/>
      <w:szCs w:val="24"/>
    </w:rPr>
  </w:style>
  <w:style w:type="paragraph" w:customStyle="1" w:styleId="Tekstpodstawowywcity210">
    <w:name w:val="Tekst podstawowy wcięty 21"/>
    <w:basedOn w:val="Normalny"/>
    <w:rsid w:val="003220D1"/>
    <w:pPr>
      <w:spacing w:after="0" w:line="360" w:lineRule="auto"/>
      <w:ind w:left="709" w:firstLine="709"/>
      <w:jc w:val="both"/>
    </w:pPr>
    <w:rPr>
      <w:rFonts w:ascii="Arial" w:eastAsia="Times New Roman" w:hAnsi="Arial" w:cs="Times New Roman"/>
      <w:sz w:val="24"/>
      <w:szCs w:val="20"/>
      <w:lang w:eastAsia="pl-PL"/>
    </w:rPr>
  </w:style>
  <w:style w:type="character" w:styleId="Tekstzastpczy">
    <w:name w:val="Placeholder Text"/>
    <w:uiPriority w:val="99"/>
    <w:semiHidden/>
    <w:rsid w:val="003220D1"/>
    <w:rPr>
      <w:color w:val="808080"/>
    </w:rPr>
  </w:style>
  <w:style w:type="character" w:customStyle="1" w:styleId="spelle">
    <w:name w:val="spelle"/>
    <w:rsid w:val="003220D1"/>
  </w:style>
  <w:style w:type="paragraph" w:customStyle="1" w:styleId="Bullet">
    <w:name w:val="Bullet"/>
    <w:rsid w:val="003220D1"/>
    <w:pPr>
      <w:overflowPunct w:val="0"/>
      <w:autoSpaceDE w:val="0"/>
      <w:autoSpaceDN w:val="0"/>
      <w:adjustRightInd w:val="0"/>
      <w:spacing w:after="144" w:line="240" w:lineRule="auto"/>
      <w:ind w:left="794" w:hanging="794"/>
      <w:jc w:val="both"/>
      <w:textAlignment w:val="baseline"/>
    </w:pPr>
    <w:rPr>
      <w:rFonts w:ascii="Times New Roman" w:eastAsia="Times New Roman" w:hAnsi="Times New Roman" w:cs="Times New Roman"/>
      <w:b/>
      <w:color w:val="000000"/>
      <w:sz w:val="24"/>
      <w:szCs w:val="20"/>
      <w:lang w:eastAsia="pl-PL"/>
    </w:rPr>
  </w:style>
  <w:style w:type="paragraph" w:customStyle="1" w:styleId="normalny3">
    <w:name w:val="normalny 3"/>
    <w:basedOn w:val="Normalny"/>
    <w:link w:val="normalny3Znak"/>
    <w:rsid w:val="003220D1"/>
    <w:pPr>
      <w:spacing w:before="60" w:after="0" w:line="240" w:lineRule="auto"/>
      <w:ind w:firstLine="709"/>
      <w:jc w:val="both"/>
    </w:pPr>
    <w:rPr>
      <w:rFonts w:ascii="Arial" w:eastAsia="Times New Roman" w:hAnsi="Arial" w:cs="Times New Roman"/>
      <w:bCs/>
      <w:iCs/>
      <w:sz w:val="18"/>
      <w:szCs w:val="24"/>
      <w:lang w:val="x-none" w:eastAsia="x-none"/>
    </w:rPr>
  </w:style>
  <w:style w:type="paragraph" w:customStyle="1" w:styleId="TytuSST">
    <w:name w:val="Tytuł SST"/>
    <w:basedOn w:val="Normalny"/>
    <w:rsid w:val="003220D1"/>
    <w:pPr>
      <w:tabs>
        <w:tab w:val="left" w:pos="1701"/>
        <w:tab w:val="left" w:pos="2126"/>
      </w:tabs>
      <w:spacing w:before="60" w:after="0" w:line="240" w:lineRule="auto"/>
      <w:ind w:firstLine="709"/>
    </w:pPr>
    <w:rPr>
      <w:rFonts w:ascii="Arial" w:eastAsia="Times New Roman" w:hAnsi="Arial" w:cs="Arial"/>
      <w:b/>
      <w:bCs/>
      <w:iCs/>
      <w:caps/>
      <w:szCs w:val="24"/>
      <w:lang w:eastAsia="pl-PL"/>
    </w:rPr>
  </w:style>
  <w:style w:type="character" w:customStyle="1" w:styleId="normalny3Znak">
    <w:name w:val="normalny 3 Znak"/>
    <w:link w:val="normalny3"/>
    <w:rsid w:val="003220D1"/>
    <w:rPr>
      <w:rFonts w:ascii="Arial" w:eastAsia="Times New Roman" w:hAnsi="Arial" w:cs="Times New Roman"/>
      <w:bCs/>
      <w:iCs/>
      <w:sz w:val="18"/>
      <w:szCs w:val="24"/>
      <w:lang w:val="x-none" w:eastAsia="x-none"/>
    </w:rPr>
  </w:style>
  <w:style w:type="paragraph" w:customStyle="1" w:styleId="tytuSSTmay">
    <w:name w:val="tytuł SST mały"/>
    <w:basedOn w:val="TytuSST"/>
    <w:rsid w:val="003220D1"/>
    <w:pPr>
      <w:tabs>
        <w:tab w:val="clear" w:pos="2126"/>
      </w:tabs>
    </w:pPr>
    <w:rPr>
      <w:b w:val="0"/>
      <w:sz w:val="18"/>
    </w:rPr>
  </w:style>
  <w:style w:type="paragraph" w:customStyle="1" w:styleId="StylNagwek1Przed24pt">
    <w:name w:val="Styl Nagłówek 1 + Przed:  24 pt"/>
    <w:basedOn w:val="Nagwek1"/>
    <w:rsid w:val="003220D1"/>
    <w:pPr>
      <w:jc w:val="left"/>
    </w:pPr>
    <w:rPr>
      <w:bCs/>
    </w:rPr>
  </w:style>
  <w:style w:type="character" w:customStyle="1" w:styleId="h2">
    <w:name w:val="h2"/>
    <w:rsid w:val="003220D1"/>
  </w:style>
  <w:style w:type="paragraph" w:customStyle="1" w:styleId="Tekst">
    <w:name w:val="Tekst"/>
    <w:basedOn w:val="Normalny"/>
    <w:rsid w:val="003220D1"/>
    <w:pPr>
      <w:tabs>
        <w:tab w:val="left" w:pos="851"/>
      </w:tabs>
      <w:suppressAutoHyphens/>
      <w:spacing w:before="60" w:after="60" w:line="240" w:lineRule="auto"/>
      <w:ind w:firstLine="851"/>
      <w:jc w:val="both"/>
    </w:pPr>
    <w:rPr>
      <w:rFonts w:ascii="Arial" w:eastAsia="Times New Roman" w:hAnsi="Arial" w:cs="Arial"/>
      <w:sz w:val="20"/>
      <w:szCs w:val="20"/>
      <w:lang w:eastAsia="zh-CN"/>
    </w:rPr>
  </w:style>
  <w:style w:type="character" w:customStyle="1" w:styleId="Teksttreci">
    <w:name w:val="Tekst treści"/>
    <w:rsid w:val="003220D1"/>
    <w:rPr>
      <w:rFonts w:ascii="Arial" w:eastAsia="Arial" w:hAnsi="Arial" w:cs="Arial"/>
      <w:b w:val="0"/>
      <w:bCs w:val="0"/>
      <w:i w:val="0"/>
      <w:iCs w:val="0"/>
      <w:caps w:val="0"/>
      <w:smallCaps w:val="0"/>
      <w:strike w:val="0"/>
      <w:dstrike w:val="0"/>
      <w:color w:val="000000"/>
      <w:spacing w:val="0"/>
      <w:w w:val="100"/>
      <w:position w:val="0"/>
      <w:sz w:val="18"/>
      <w:szCs w:val="18"/>
      <w:u w:val="single"/>
      <w:vertAlign w:val="baseline"/>
      <w:lang w:val="pl-PL" w:bidi="pl-PL"/>
    </w:rPr>
  </w:style>
  <w:style w:type="paragraph" w:customStyle="1" w:styleId="Nagwek10">
    <w:name w:val="Nagłówek #1"/>
    <w:basedOn w:val="Normalny"/>
    <w:rsid w:val="003220D1"/>
    <w:pPr>
      <w:widowControl w:val="0"/>
      <w:shd w:val="clear" w:color="auto" w:fill="FFFFFF"/>
      <w:suppressAutoHyphens/>
      <w:spacing w:after="180" w:line="0" w:lineRule="atLeast"/>
      <w:jc w:val="both"/>
    </w:pPr>
    <w:rPr>
      <w:rFonts w:ascii="Arial" w:eastAsia="Arial" w:hAnsi="Arial" w:cs="Arial"/>
      <w:b/>
      <w:bCs/>
      <w:kern w:val="2"/>
      <w:sz w:val="18"/>
      <w:szCs w:val="18"/>
      <w:lang w:eastAsia="zh-CN" w:bidi="hi-IN"/>
    </w:rPr>
  </w:style>
  <w:style w:type="paragraph" w:customStyle="1" w:styleId="tekstost0">
    <w:name w:val="tekstost"/>
    <w:basedOn w:val="Normalny"/>
    <w:rsid w:val="003220D1"/>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standardowytekst0">
    <w:name w:val="standardowytekst"/>
    <w:basedOn w:val="Normalny"/>
    <w:rsid w:val="003220D1"/>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NormalnyWeb">
    <w:name w:val="Normal (Web)"/>
    <w:basedOn w:val="Normalny"/>
    <w:rsid w:val="003220D1"/>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Tekstpodstawowy210">
    <w:name w:val="Tekst podstawowy 21"/>
    <w:basedOn w:val="Normalny"/>
    <w:rsid w:val="003220D1"/>
    <w:pPr>
      <w:overflowPunct w:val="0"/>
      <w:autoSpaceDE w:val="0"/>
      <w:autoSpaceDN w:val="0"/>
      <w:adjustRightInd w:val="0"/>
      <w:spacing w:after="0" w:line="240" w:lineRule="atLeast"/>
      <w:ind w:left="142" w:hanging="426"/>
      <w:jc w:val="both"/>
      <w:textAlignment w:val="baseline"/>
    </w:pPr>
    <w:rPr>
      <w:rFonts w:ascii="Times New Roman" w:eastAsia="Times New Roman" w:hAnsi="Times New Roman" w:cs="Times New Roman"/>
      <w:sz w:val="24"/>
      <w:szCs w:val="20"/>
      <w:lang w:eastAsia="pl-PL"/>
    </w:rPr>
  </w:style>
  <w:style w:type="character" w:customStyle="1" w:styleId="tekstdokbold">
    <w:name w:val="tekst dok. bold"/>
    <w:rsid w:val="003220D1"/>
    <w:rPr>
      <w:b/>
    </w:rPr>
  </w:style>
  <w:style w:type="paragraph" w:customStyle="1" w:styleId="zacznik">
    <w:name w:val="załącznik"/>
    <w:basedOn w:val="Tekstpodstawowy"/>
    <w:autoRedefine/>
    <w:rsid w:val="003220D1"/>
    <w:pPr>
      <w:tabs>
        <w:tab w:val="left" w:pos="1701"/>
      </w:tabs>
      <w:overflowPunct/>
      <w:autoSpaceDE/>
      <w:autoSpaceDN/>
      <w:adjustRightInd/>
      <w:spacing w:line="240" w:lineRule="auto"/>
      <w:ind w:left="1701" w:hanging="1701"/>
      <w:jc w:val="both"/>
      <w:textAlignment w:val="auto"/>
    </w:pPr>
    <w:rPr>
      <w:iCs/>
      <w:sz w:val="24"/>
      <w:lang w:val="pl-PL" w:eastAsia="pl-PL"/>
    </w:rPr>
  </w:style>
  <w:style w:type="character" w:customStyle="1" w:styleId="dane1">
    <w:name w:val="dane1"/>
    <w:rsid w:val="003220D1"/>
    <w:rPr>
      <w:color w:val="0000CD"/>
    </w:rPr>
  </w:style>
  <w:style w:type="paragraph" w:customStyle="1" w:styleId="Tekstpodstawowywcity310">
    <w:name w:val="Tekst podstawowy wcięty 31"/>
    <w:basedOn w:val="Normalny"/>
    <w:rsid w:val="003220D1"/>
    <w:pPr>
      <w:overflowPunct w:val="0"/>
      <w:autoSpaceDE w:val="0"/>
      <w:autoSpaceDN w:val="0"/>
      <w:adjustRightInd w:val="0"/>
      <w:spacing w:after="0" w:line="240" w:lineRule="auto"/>
      <w:ind w:firstLine="709"/>
      <w:jc w:val="both"/>
    </w:pPr>
    <w:rPr>
      <w:rFonts w:ascii="Times New Roman" w:eastAsia="Times New Roman" w:hAnsi="Times New Roman" w:cs="Times New Roman"/>
      <w:sz w:val="20"/>
      <w:szCs w:val="20"/>
      <w:lang w:eastAsia="pl-PL"/>
    </w:rPr>
  </w:style>
  <w:style w:type="paragraph" w:customStyle="1" w:styleId="rozdzia">
    <w:name w:val="rozdział"/>
    <w:basedOn w:val="Normalny"/>
    <w:autoRedefine/>
    <w:rsid w:val="003220D1"/>
    <w:pPr>
      <w:spacing w:after="0" w:line="360" w:lineRule="auto"/>
      <w:jc w:val="center"/>
    </w:pPr>
    <w:rPr>
      <w:rFonts w:ascii="Times New Roman" w:eastAsia="Times New Roman" w:hAnsi="Times New Roman" w:cs="Times New Roman"/>
      <w:b/>
      <w:caps/>
      <w:spacing w:val="8"/>
      <w:sz w:val="24"/>
      <w:szCs w:val="20"/>
      <w:lang w:eastAsia="pl-PL"/>
    </w:rPr>
  </w:style>
  <w:style w:type="paragraph" w:styleId="Lista2">
    <w:name w:val="List 2"/>
    <w:basedOn w:val="Normalny"/>
    <w:rsid w:val="003220D1"/>
    <w:pPr>
      <w:spacing w:after="0" w:line="240" w:lineRule="auto"/>
      <w:ind w:left="566" w:hanging="283"/>
    </w:pPr>
    <w:rPr>
      <w:rFonts w:ascii="Times New Roman" w:eastAsia="Times New Roman" w:hAnsi="Times New Roman" w:cs="Times New Roman"/>
      <w:sz w:val="24"/>
      <w:szCs w:val="24"/>
      <w:lang w:eastAsia="pl-PL"/>
    </w:rPr>
  </w:style>
  <w:style w:type="paragraph" w:styleId="Lista-kontynuacja2">
    <w:name w:val="List Continue 2"/>
    <w:basedOn w:val="Normalny"/>
    <w:rsid w:val="003220D1"/>
    <w:pPr>
      <w:spacing w:after="120" w:line="240" w:lineRule="auto"/>
      <w:ind w:left="566"/>
    </w:pPr>
    <w:rPr>
      <w:rFonts w:ascii="Times New Roman" w:eastAsia="Times New Roman" w:hAnsi="Times New Roman" w:cs="Times New Roman"/>
      <w:sz w:val="20"/>
      <w:szCs w:val="20"/>
      <w:lang w:eastAsia="pl-PL"/>
    </w:rPr>
  </w:style>
  <w:style w:type="paragraph" w:styleId="Zagicieodgryformularza">
    <w:name w:val="HTML Top of Form"/>
    <w:basedOn w:val="Normalny"/>
    <w:next w:val="Normalny"/>
    <w:link w:val="ZagicieodgryformularzaZnak"/>
    <w:hidden/>
    <w:rsid w:val="003220D1"/>
    <w:pPr>
      <w:pBdr>
        <w:bottom w:val="single" w:sz="6" w:space="1" w:color="auto"/>
      </w:pBdr>
      <w:spacing w:after="0" w:line="240" w:lineRule="auto"/>
      <w:jc w:val="center"/>
    </w:pPr>
    <w:rPr>
      <w:rFonts w:ascii="Arial" w:eastAsia="Times New Roman" w:hAnsi="Arial" w:cs="Arial"/>
      <w:vanish/>
      <w:sz w:val="16"/>
      <w:szCs w:val="16"/>
      <w:lang w:eastAsia="pl-PL"/>
    </w:rPr>
  </w:style>
  <w:style w:type="character" w:customStyle="1" w:styleId="ZagicieodgryformularzaZnak">
    <w:name w:val="Zagięcie od góry formularza Znak"/>
    <w:basedOn w:val="Domylnaczcionkaakapitu"/>
    <w:link w:val="Zagicieodgryformularza"/>
    <w:rsid w:val="003220D1"/>
    <w:rPr>
      <w:rFonts w:ascii="Arial" w:eastAsia="Times New Roman" w:hAnsi="Arial" w:cs="Arial"/>
      <w:vanish/>
      <w:sz w:val="16"/>
      <w:szCs w:val="16"/>
      <w:lang w:eastAsia="pl-PL"/>
    </w:rPr>
  </w:style>
  <w:style w:type="paragraph" w:styleId="Zagicieoddouformularza">
    <w:name w:val="HTML Bottom of Form"/>
    <w:basedOn w:val="Normalny"/>
    <w:next w:val="Normalny"/>
    <w:link w:val="ZagicieoddouformularzaZnak"/>
    <w:hidden/>
    <w:rsid w:val="003220D1"/>
    <w:pPr>
      <w:pBdr>
        <w:top w:val="single" w:sz="6" w:space="1" w:color="auto"/>
      </w:pBdr>
      <w:spacing w:after="0" w:line="240" w:lineRule="auto"/>
      <w:jc w:val="center"/>
    </w:pPr>
    <w:rPr>
      <w:rFonts w:ascii="Arial" w:eastAsia="Times New Roman" w:hAnsi="Arial" w:cs="Arial"/>
      <w:vanish/>
      <w:sz w:val="16"/>
      <w:szCs w:val="16"/>
      <w:lang w:eastAsia="pl-PL"/>
    </w:rPr>
  </w:style>
  <w:style w:type="character" w:customStyle="1" w:styleId="ZagicieoddouformularzaZnak">
    <w:name w:val="Zagięcie od dołu formularza Znak"/>
    <w:basedOn w:val="Domylnaczcionkaakapitu"/>
    <w:link w:val="Zagicieoddouformularza"/>
    <w:rsid w:val="003220D1"/>
    <w:rPr>
      <w:rFonts w:ascii="Arial" w:eastAsia="Times New Roman" w:hAnsi="Arial" w:cs="Arial"/>
      <w:vanish/>
      <w:sz w:val="16"/>
      <w:szCs w:val="16"/>
      <w:lang w:eastAsia="pl-PL"/>
    </w:rPr>
  </w:style>
  <w:style w:type="character" w:customStyle="1" w:styleId="tahoma11black1">
    <w:name w:val="tahoma11black1"/>
    <w:rsid w:val="003220D1"/>
    <w:rPr>
      <w:rFonts w:ascii="Tahoma" w:hAnsi="Tahoma" w:cs="Tahoma" w:hint="default"/>
      <w:b w:val="0"/>
      <w:bCs w:val="0"/>
      <w:i w:val="0"/>
      <w:iCs w:val="0"/>
      <w:color w:val="000000"/>
      <w:sz w:val="17"/>
      <w:szCs w:val="17"/>
    </w:rPr>
  </w:style>
  <w:style w:type="character" w:customStyle="1" w:styleId="opiszdjecie1">
    <w:name w:val="opiszdjecie1"/>
    <w:rsid w:val="003220D1"/>
    <w:rPr>
      <w:rFonts w:ascii="Tahoma" w:hAnsi="Tahoma" w:cs="Tahoma" w:hint="default"/>
      <w:b w:val="0"/>
      <w:bCs w:val="0"/>
      <w:i w:val="0"/>
      <w:iCs w:val="0"/>
      <w:color w:val="333333"/>
      <w:sz w:val="15"/>
      <w:szCs w:val="15"/>
    </w:rPr>
  </w:style>
  <w:style w:type="character" w:customStyle="1" w:styleId="textfooter1">
    <w:name w:val="textfooter1"/>
    <w:rsid w:val="003220D1"/>
    <w:rPr>
      <w:rFonts w:ascii="Tahoma" w:hAnsi="Tahoma" w:cs="Tahoma" w:hint="default"/>
      <w:i w:val="0"/>
      <w:iCs w:val="0"/>
      <w:color w:val="444444"/>
      <w:sz w:val="17"/>
      <w:szCs w:val="17"/>
    </w:rPr>
  </w:style>
  <w:style w:type="character" w:customStyle="1" w:styleId="textfootermina5">
    <w:name w:val="textfooter mina5"/>
    <w:rsid w:val="003220D1"/>
  </w:style>
  <w:style w:type="paragraph" w:customStyle="1" w:styleId="akapittytul">
    <w:name w:val="akapit_tytul"/>
    <w:basedOn w:val="Normalny"/>
    <w:rsid w:val="003220D1"/>
    <w:pPr>
      <w:spacing w:before="150" w:after="100" w:afterAutospacing="1" w:line="240" w:lineRule="auto"/>
      <w:jc w:val="center"/>
    </w:pPr>
    <w:rPr>
      <w:rFonts w:ascii="Times New Roman" w:eastAsia="Times New Roman" w:hAnsi="Times New Roman" w:cs="Times New Roman"/>
      <w:sz w:val="18"/>
      <w:szCs w:val="18"/>
      <w:lang w:eastAsia="pl-PL"/>
    </w:rPr>
  </w:style>
  <w:style w:type="character" w:customStyle="1" w:styleId="sszaro1">
    <w:name w:val="sszaro1"/>
    <w:rsid w:val="003220D1"/>
    <w:rPr>
      <w:rFonts w:ascii="Trebuchet MS" w:hAnsi="Trebuchet MS" w:hint="default"/>
      <w:color w:val="999999"/>
      <w:sz w:val="18"/>
      <w:szCs w:val="18"/>
    </w:rPr>
  </w:style>
  <w:style w:type="character" w:customStyle="1" w:styleId="sniebiesko1">
    <w:name w:val="sniebiesko1"/>
    <w:rsid w:val="003220D1"/>
    <w:rPr>
      <w:rFonts w:ascii="Trebuchet MS" w:hAnsi="Trebuchet MS" w:hint="default"/>
      <w:color w:val="5382DA"/>
      <w:sz w:val="18"/>
      <w:szCs w:val="18"/>
    </w:rPr>
  </w:style>
  <w:style w:type="character" w:customStyle="1" w:styleId="textprace1">
    <w:name w:val="text_prace1"/>
    <w:rsid w:val="003220D1"/>
    <w:rPr>
      <w:rFonts w:ascii="Verdana" w:hAnsi="Verdana" w:hint="default"/>
      <w:color w:val="000000"/>
      <w:sz w:val="18"/>
      <w:szCs w:val="18"/>
    </w:rPr>
  </w:style>
  <w:style w:type="character" w:customStyle="1" w:styleId="sszaro21">
    <w:name w:val="sszaro21"/>
    <w:rsid w:val="003220D1"/>
    <w:rPr>
      <w:rFonts w:ascii="Trebuchet MS" w:hAnsi="Trebuchet MS" w:hint="default"/>
      <w:color w:val="545454"/>
      <w:sz w:val="18"/>
      <w:szCs w:val="18"/>
    </w:rPr>
  </w:style>
  <w:style w:type="character" w:customStyle="1" w:styleId="mw-headline">
    <w:name w:val="mw-headline"/>
    <w:rsid w:val="003220D1"/>
  </w:style>
  <w:style w:type="character" w:customStyle="1" w:styleId="editsection">
    <w:name w:val="editsection"/>
    <w:rsid w:val="003220D1"/>
  </w:style>
  <w:style w:type="character" w:customStyle="1" w:styleId="text11">
    <w:name w:val="text_11"/>
    <w:rsid w:val="003220D1"/>
  </w:style>
  <w:style w:type="character" w:customStyle="1" w:styleId="contentheading1">
    <w:name w:val="contentheading1"/>
    <w:rsid w:val="003220D1"/>
    <w:rPr>
      <w:rFonts w:ascii="Trebuchet MS" w:hAnsi="Trebuchet MS" w:hint="default"/>
      <w:b/>
      <w:bCs/>
      <w:color w:val="005E31"/>
      <w:sz w:val="15"/>
      <w:szCs w:val="15"/>
      <w:shd w:val="clear" w:color="auto" w:fill="auto"/>
    </w:rPr>
  </w:style>
  <w:style w:type="paragraph" w:styleId="Podpise-mail">
    <w:name w:val="E-mail Signature"/>
    <w:basedOn w:val="Normalny"/>
    <w:link w:val="Podpise-mailZnak"/>
    <w:rsid w:val="003220D1"/>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odpise-mailZnak">
    <w:name w:val="Podpis e-mail Znak"/>
    <w:basedOn w:val="Domylnaczcionkaakapitu"/>
    <w:link w:val="Podpise-mail"/>
    <w:rsid w:val="003220D1"/>
    <w:rPr>
      <w:rFonts w:ascii="Times New Roman" w:eastAsia="Times New Roman" w:hAnsi="Times New Roman" w:cs="Times New Roman"/>
      <w:sz w:val="24"/>
      <w:szCs w:val="24"/>
      <w:lang w:eastAsia="pl-PL"/>
    </w:rPr>
  </w:style>
  <w:style w:type="paragraph" w:customStyle="1" w:styleId="Nagwek21">
    <w:name w:val="Nagłówek 21"/>
    <w:basedOn w:val="Normalny"/>
    <w:rsid w:val="003220D1"/>
    <w:pPr>
      <w:spacing w:before="100" w:beforeAutospacing="1" w:after="100" w:afterAutospacing="1" w:line="240" w:lineRule="auto"/>
      <w:outlineLvl w:val="2"/>
    </w:pPr>
    <w:rPr>
      <w:rFonts w:ascii="Times New Roman" w:eastAsia="Times New Roman" w:hAnsi="Times New Roman" w:cs="Times New Roman"/>
      <w:color w:val="646497"/>
      <w:sz w:val="38"/>
      <w:szCs w:val="38"/>
      <w:lang w:eastAsia="pl-PL"/>
    </w:rPr>
  </w:style>
  <w:style w:type="paragraph" w:customStyle="1" w:styleId="NormalnyWeb1">
    <w:name w:val="Normalny (Web)1"/>
    <w:basedOn w:val="Normalny"/>
    <w:rsid w:val="003220D1"/>
    <w:pPr>
      <w:spacing w:before="100" w:beforeAutospacing="1" w:after="100" w:afterAutospacing="1" w:line="312" w:lineRule="atLeast"/>
      <w:jc w:val="both"/>
    </w:pPr>
    <w:rPr>
      <w:rFonts w:ascii="Times New Roman" w:eastAsia="Times New Roman" w:hAnsi="Times New Roman" w:cs="Times New Roman"/>
      <w:color w:val="6C6C00"/>
      <w:sz w:val="26"/>
      <w:szCs w:val="26"/>
      <w:lang w:eastAsia="pl-PL"/>
    </w:rPr>
  </w:style>
  <w:style w:type="character" w:customStyle="1" w:styleId="HTML-cytat2">
    <w:name w:val="HTML - cytat2"/>
    <w:rsid w:val="003220D1"/>
    <w:rPr>
      <w:i/>
      <w:iCs/>
      <w:color w:val="6C6C00"/>
      <w:sz w:val="26"/>
      <w:szCs w:val="26"/>
    </w:rPr>
  </w:style>
  <w:style w:type="character" w:customStyle="1" w:styleId="HTML-cytat1">
    <w:name w:val="HTML - cytat1"/>
    <w:rsid w:val="003220D1"/>
    <w:rPr>
      <w:i/>
      <w:iCs/>
      <w:color w:val="646497"/>
      <w:spacing w:val="15"/>
      <w:sz w:val="18"/>
      <w:szCs w:val="18"/>
    </w:rPr>
  </w:style>
  <w:style w:type="character" w:customStyle="1" w:styleId="def1">
    <w:name w:val="def1"/>
    <w:rsid w:val="003220D1"/>
    <w:rPr>
      <w:color w:val="646497"/>
    </w:rPr>
  </w:style>
  <w:style w:type="paragraph" w:customStyle="1" w:styleId="khheader">
    <w:name w:val="kh_header"/>
    <w:basedOn w:val="Normalny"/>
    <w:rsid w:val="003220D1"/>
    <w:pPr>
      <w:spacing w:after="0" w:line="420" w:lineRule="atLeast"/>
      <w:jc w:val="center"/>
    </w:pPr>
    <w:rPr>
      <w:rFonts w:ascii="Times New Roman" w:eastAsia="Times New Roman" w:hAnsi="Times New Roman" w:cs="Times New Roman"/>
      <w:sz w:val="28"/>
      <w:szCs w:val="28"/>
      <w:lang w:eastAsia="pl-PL"/>
    </w:rPr>
  </w:style>
  <w:style w:type="paragraph" w:customStyle="1" w:styleId="khtitle">
    <w:name w:val="kh_title"/>
    <w:basedOn w:val="Normalny"/>
    <w:rsid w:val="003220D1"/>
    <w:pPr>
      <w:spacing w:before="375" w:after="225" w:line="240" w:lineRule="auto"/>
    </w:pPr>
    <w:rPr>
      <w:rFonts w:ascii="Times New Roman" w:eastAsia="Times New Roman" w:hAnsi="Times New Roman" w:cs="Times New Roman"/>
      <w:b/>
      <w:bCs/>
      <w:sz w:val="24"/>
      <w:szCs w:val="24"/>
      <w:u w:val="single"/>
      <w:lang w:eastAsia="pl-PL"/>
    </w:rPr>
  </w:style>
  <w:style w:type="paragraph" w:customStyle="1" w:styleId="stopka0">
    <w:name w:val="stopka"/>
    <w:basedOn w:val="Normalny"/>
    <w:rsid w:val="003220D1"/>
    <w:pPr>
      <w:spacing w:after="0" w:line="240" w:lineRule="auto"/>
    </w:pPr>
    <w:rPr>
      <w:rFonts w:ascii="Times New Roman" w:eastAsia="Times New Roman" w:hAnsi="Times New Roman" w:cs="Times New Roman"/>
      <w:sz w:val="24"/>
      <w:szCs w:val="24"/>
      <w:lang w:eastAsia="pl-PL"/>
    </w:rPr>
  </w:style>
  <w:style w:type="paragraph" w:styleId="Mapadokumentu">
    <w:name w:val="Document Map"/>
    <w:basedOn w:val="Normalny"/>
    <w:link w:val="MapadokumentuZnak"/>
    <w:uiPriority w:val="99"/>
    <w:unhideWhenUsed/>
    <w:rsid w:val="003220D1"/>
    <w:pPr>
      <w:spacing w:after="0" w:line="240" w:lineRule="auto"/>
    </w:pPr>
    <w:rPr>
      <w:rFonts w:ascii="Segoe UI" w:eastAsia="Times New Roman" w:hAnsi="Segoe UI" w:cs="Segoe UI"/>
      <w:sz w:val="16"/>
      <w:szCs w:val="16"/>
      <w:lang w:eastAsia="pl-PL"/>
    </w:rPr>
  </w:style>
  <w:style w:type="character" w:customStyle="1" w:styleId="MapadokumentuZnak">
    <w:name w:val="Mapa dokumentu Znak"/>
    <w:basedOn w:val="Domylnaczcionkaakapitu"/>
    <w:link w:val="Mapadokumentu"/>
    <w:uiPriority w:val="99"/>
    <w:rsid w:val="003220D1"/>
    <w:rPr>
      <w:rFonts w:ascii="Segoe UI" w:eastAsia="Times New Roman" w:hAnsi="Segoe UI" w:cs="Segoe UI"/>
      <w:sz w:val="16"/>
      <w:szCs w:val="16"/>
      <w:lang w:eastAsia="pl-PL"/>
    </w:rPr>
  </w:style>
  <w:style w:type="paragraph" w:customStyle="1" w:styleId="tytu0">
    <w:name w:val="tytuł"/>
    <w:basedOn w:val="Normalny"/>
    <w:next w:val="Normalny"/>
    <w:autoRedefine/>
    <w:rsid w:val="003220D1"/>
    <w:pPr>
      <w:spacing w:after="0" w:line="240" w:lineRule="auto"/>
      <w:jc w:val="center"/>
      <w:outlineLvl w:val="0"/>
    </w:pPr>
    <w:rPr>
      <w:rFonts w:ascii="Times New Roman" w:eastAsia="Times New Roman" w:hAnsi="Times New Roman" w:cs="Times New Roman"/>
      <w:b/>
      <w:sz w:val="28"/>
      <w:szCs w:val="28"/>
      <w:lang w:eastAsia="pl-PL"/>
    </w:rPr>
  </w:style>
  <w:style w:type="paragraph" w:customStyle="1" w:styleId="tekstdokumentu">
    <w:name w:val="tekst dokumentu"/>
    <w:basedOn w:val="Normalny"/>
    <w:autoRedefine/>
    <w:rsid w:val="003220D1"/>
    <w:pPr>
      <w:spacing w:before="120" w:after="120" w:line="240" w:lineRule="auto"/>
      <w:ind w:left="1680" w:hanging="1680"/>
      <w:jc w:val="both"/>
    </w:pPr>
    <w:rPr>
      <w:rFonts w:ascii="Times New Roman" w:eastAsia="Times New Roman" w:hAnsi="Times New Roman" w:cs="Times New Roman"/>
      <w:b/>
      <w:bCs/>
      <w:iCs/>
      <w:sz w:val="24"/>
      <w:szCs w:val="20"/>
      <w:lang w:eastAsia="pl-PL"/>
    </w:rPr>
  </w:style>
  <w:style w:type="paragraph" w:customStyle="1" w:styleId="ust">
    <w:name w:val="ust"/>
    <w:rsid w:val="003220D1"/>
    <w:pPr>
      <w:overflowPunct w:val="0"/>
      <w:autoSpaceDE w:val="0"/>
      <w:autoSpaceDN w:val="0"/>
      <w:adjustRightInd w:val="0"/>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pkt">
    <w:name w:val="pkt"/>
    <w:basedOn w:val="Normalny"/>
    <w:rsid w:val="003220D1"/>
    <w:pPr>
      <w:overflowPunct w:val="0"/>
      <w:autoSpaceDE w:val="0"/>
      <w:autoSpaceDN w:val="0"/>
      <w:adjustRightInd w:val="0"/>
      <w:spacing w:before="60" w:after="60" w:line="240" w:lineRule="auto"/>
      <w:ind w:left="851" w:hanging="295"/>
      <w:jc w:val="both"/>
    </w:pPr>
    <w:rPr>
      <w:rFonts w:ascii="Times New Roman" w:eastAsia="Times New Roman" w:hAnsi="Times New Roman" w:cs="Times New Roman"/>
      <w:sz w:val="24"/>
      <w:szCs w:val="20"/>
      <w:lang w:eastAsia="pl-PL"/>
    </w:rPr>
  </w:style>
  <w:style w:type="paragraph" w:customStyle="1" w:styleId="pkt1">
    <w:name w:val="pkt1"/>
    <w:basedOn w:val="pkt"/>
    <w:rsid w:val="003220D1"/>
    <w:pPr>
      <w:ind w:left="850" w:hanging="425"/>
    </w:pPr>
  </w:style>
  <w:style w:type="paragraph" w:customStyle="1" w:styleId="numerowanie0">
    <w:name w:val="numerowanie"/>
    <w:basedOn w:val="Normalny"/>
    <w:autoRedefine/>
    <w:rsid w:val="003220D1"/>
    <w:pPr>
      <w:spacing w:after="0" w:line="240" w:lineRule="auto"/>
      <w:jc w:val="both"/>
    </w:pPr>
    <w:rPr>
      <w:rFonts w:ascii="Times New Roman" w:eastAsia="Times New Roman" w:hAnsi="Times New Roman" w:cs="Times New Roman"/>
      <w:bCs/>
      <w:sz w:val="24"/>
      <w:lang w:eastAsia="pl-PL"/>
    </w:rPr>
  </w:style>
  <w:style w:type="paragraph" w:customStyle="1" w:styleId="Nagwekstrony">
    <w:name w:val="Nag?—wek strony"/>
    <w:basedOn w:val="Normalny"/>
    <w:rsid w:val="003220D1"/>
    <w:pPr>
      <w:tabs>
        <w:tab w:val="center" w:pos="4153"/>
        <w:tab w:val="right" w:pos="8306"/>
      </w:tabs>
      <w:spacing w:after="0" w:line="240" w:lineRule="auto"/>
    </w:pPr>
    <w:rPr>
      <w:rFonts w:ascii="Times New Roman" w:eastAsia="Times New Roman" w:hAnsi="Times New Roman" w:cs="Times New Roman"/>
      <w:sz w:val="20"/>
      <w:szCs w:val="20"/>
      <w:lang w:val="en-GB" w:eastAsia="pl-PL"/>
    </w:rPr>
  </w:style>
  <w:style w:type="paragraph" w:customStyle="1" w:styleId="tabulka">
    <w:name w:val="tabulka"/>
    <w:basedOn w:val="Normalny"/>
    <w:rsid w:val="003220D1"/>
    <w:pPr>
      <w:widowControl w:val="0"/>
      <w:spacing w:before="120" w:after="0" w:line="240" w:lineRule="exact"/>
      <w:jc w:val="center"/>
    </w:pPr>
    <w:rPr>
      <w:rFonts w:ascii="Arial" w:eastAsia="Times New Roman" w:hAnsi="Arial" w:cs="Times New Roman"/>
      <w:sz w:val="20"/>
      <w:szCs w:val="20"/>
      <w:lang w:val="cs-CZ" w:eastAsia="pl-PL"/>
    </w:rPr>
  </w:style>
  <w:style w:type="paragraph" w:customStyle="1" w:styleId="A">
    <w:name w:val="A"/>
    <w:rsid w:val="003220D1"/>
    <w:pPr>
      <w:keepNext/>
      <w:spacing w:before="240" w:after="0" w:line="240" w:lineRule="exact"/>
      <w:ind w:left="720" w:hanging="720"/>
      <w:jc w:val="both"/>
    </w:pPr>
    <w:rPr>
      <w:rFonts w:ascii="Times New Roman" w:eastAsia="Times New Roman" w:hAnsi="Times New Roman" w:cs="Times New Roman"/>
      <w:sz w:val="24"/>
      <w:szCs w:val="20"/>
      <w:lang w:val="en-GB"/>
    </w:rPr>
  </w:style>
  <w:style w:type="paragraph" w:customStyle="1" w:styleId="Tekstprzypisukocowego1">
    <w:name w:val="Tekst przypisu końcowego1"/>
    <w:basedOn w:val="Normalny"/>
    <w:rsid w:val="003220D1"/>
    <w:pPr>
      <w:spacing w:before="120" w:after="0" w:line="240" w:lineRule="auto"/>
    </w:pPr>
    <w:rPr>
      <w:rFonts w:ascii="Times New Roman" w:eastAsia="Times New Roman" w:hAnsi="Times New Roman" w:cs="Times New Roman"/>
      <w:sz w:val="20"/>
      <w:szCs w:val="20"/>
      <w:lang w:eastAsia="pl-PL"/>
    </w:rPr>
  </w:style>
  <w:style w:type="paragraph" w:customStyle="1" w:styleId="Text1">
    <w:name w:val="Text_1"/>
    <w:basedOn w:val="Normalny"/>
    <w:rsid w:val="003220D1"/>
    <w:pPr>
      <w:spacing w:after="120" w:line="240" w:lineRule="auto"/>
      <w:ind w:left="425" w:hanging="425"/>
      <w:jc w:val="both"/>
    </w:pPr>
    <w:rPr>
      <w:rFonts w:ascii="Times New Roman" w:eastAsia="Times New Roman" w:hAnsi="Times New Roman" w:cs="Times New Roman"/>
      <w:szCs w:val="20"/>
      <w:lang w:eastAsia="pl-PL"/>
    </w:rPr>
  </w:style>
  <w:style w:type="paragraph" w:customStyle="1" w:styleId="B">
    <w:name w:val="B"/>
    <w:rsid w:val="003220D1"/>
    <w:pPr>
      <w:spacing w:before="240" w:after="0" w:line="240" w:lineRule="exact"/>
      <w:ind w:left="720"/>
      <w:jc w:val="both"/>
    </w:pPr>
    <w:rPr>
      <w:rFonts w:ascii="Times New Roman" w:eastAsia="Times New Roman" w:hAnsi="Times New Roman" w:cs="Times New Roman"/>
      <w:sz w:val="24"/>
      <w:szCs w:val="20"/>
      <w:lang w:val="en-GB"/>
    </w:rPr>
  </w:style>
  <w:style w:type="character" w:customStyle="1" w:styleId="a2Znak">
    <w:name w:val="a2 Znak"/>
    <w:aliases w:val=" Znak Znak Znak Znak, Znak Znak Znak"/>
    <w:rsid w:val="003220D1"/>
    <w:rPr>
      <w:rFonts w:ascii="Arial" w:hAnsi="Arial"/>
      <w:sz w:val="24"/>
      <w:lang w:val="pl-PL" w:eastAsia="pl-PL" w:bidi="ar-SA"/>
    </w:rPr>
  </w:style>
  <w:style w:type="paragraph" w:customStyle="1" w:styleId="WP1Tekstpodstawowy">
    <w:name w:val="WP1 Tekst podstawowy"/>
    <w:basedOn w:val="Tekstpodstawowy3"/>
    <w:rsid w:val="003220D1"/>
    <w:pPr>
      <w:widowControl/>
      <w:spacing w:before="120"/>
      <w:ind w:firstLine="0"/>
    </w:pPr>
    <w:rPr>
      <w:rFonts w:ascii="Arial" w:hAnsi="Arial"/>
      <w:sz w:val="20"/>
      <w:szCs w:val="16"/>
      <w:lang w:val="pl-PL" w:eastAsia="pl-PL"/>
    </w:rPr>
  </w:style>
  <w:style w:type="paragraph" w:customStyle="1" w:styleId="Trescznumztab">
    <w:name w:val="Tresc z num. z tab."/>
    <w:basedOn w:val="Normalny"/>
    <w:rsid w:val="003220D1"/>
    <w:pPr>
      <w:widowControl w:val="0"/>
      <w:tabs>
        <w:tab w:val="left" w:pos="567"/>
        <w:tab w:val="left" w:pos="5103"/>
        <w:tab w:val="left" w:pos="6804"/>
        <w:tab w:val="right" w:pos="8505"/>
      </w:tabs>
      <w:spacing w:after="120" w:line="300" w:lineRule="auto"/>
    </w:pPr>
    <w:rPr>
      <w:rFonts w:ascii="Times New Roman" w:eastAsia="Times New Roman" w:hAnsi="Times New Roman" w:cs="Times New Roman"/>
      <w:sz w:val="24"/>
      <w:szCs w:val="20"/>
      <w:lang w:eastAsia="pl-PL"/>
    </w:rPr>
  </w:style>
  <w:style w:type="paragraph" w:customStyle="1" w:styleId="Tresc">
    <w:name w:val="Tresc"/>
    <w:basedOn w:val="Normalny"/>
    <w:rsid w:val="003220D1"/>
    <w:pPr>
      <w:spacing w:after="120" w:line="300" w:lineRule="auto"/>
      <w:jc w:val="both"/>
    </w:pPr>
    <w:rPr>
      <w:rFonts w:ascii="Times New Roman" w:eastAsia="Times New Roman" w:hAnsi="Times New Roman" w:cs="Times New Roman"/>
      <w:sz w:val="24"/>
      <w:szCs w:val="20"/>
      <w:lang w:eastAsia="pl-PL"/>
    </w:rPr>
  </w:style>
  <w:style w:type="paragraph" w:customStyle="1" w:styleId="Annexetitle">
    <w:name w:val="Annexe_title"/>
    <w:basedOn w:val="Nagwek1"/>
    <w:next w:val="Normalny"/>
    <w:autoRedefine/>
    <w:rsid w:val="003220D1"/>
    <w:pPr>
      <w:keepNext w:val="0"/>
      <w:keepLines w:val="0"/>
      <w:suppressAutoHyphens w:val="0"/>
      <w:overflowPunct/>
      <w:autoSpaceDE/>
      <w:autoSpaceDN/>
      <w:adjustRightInd/>
      <w:jc w:val="center"/>
      <w:textAlignment w:val="auto"/>
      <w:outlineLvl w:val="9"/>
    </w:pPr>
    <w:rPr>
      <w:rFonts w:ascii="Times New Roman" w:hAnsi="Times New Roman"/>
      <w:bCs/>
      <w:caps w:val="0"/>
      <w:kern w:val="0"/>
      <w:sz w:val="36"/>
      <w:szCs w:val="24"/>
      <w:lang w:val="pl-PL" w:eastAsia="pl-PL"/>
    </w:rPr>
  </w:style>
  <w:style w:type="paragraph" w:customStyle="1" w:styleId="normaltableau">
    <w:name w:val="normal_tableau"/>
    <w:basedOn w:val="Normalny"/>
    <w:rsid w:val="003220D1"/>
    <w:pPr>
      <w:spacing w:before="120" w:after="120" w:line="240" w:lineRule="auto"/>
      <w:jc w:val="both"/>
    </w:pPr>
    <w:rPr>
      <w:rFonts w:ascii="Optima" w:eastAsia="Times New Roman" w:hAnsi="Optima" w:cs="Times New Roman"/>
      <w:szCs w:val="20"/>
      <w:lang w:val="en-GB" w:eastAsia="pl-PL"/>
    </w:rPr>
  </w:style>
  <w:style w:type="paragraph" w:customStyle="1" w:styleId="FR1">
    <w:name w:val="FR1"/>
    <w:rsid w:val="003220D1"/>
    <w:pPr>
      <w:widowControl w:val="0"/>
      <w:autoSpaceDE w:val="0"/>
      <w:autoSpaceDN w:val="0"/>
      <w:adjustRightInd w:val="0"/>
      <w:spacing w:before="120" w:after="0" w:line="240" w:lineRule="auto"/>
    </w:pPr>
    <w:rPr>
      <w:rFonts w:ascii="Arial" w:eastAsia="Times New Roman" w:hAnsi="Arial" w:cs="Arial"/>
      <w:b/>
      <w:bCs/>
      <w:sz w:val="18"/>
      <w:szCs w:val="18"/>
      <w:lang w:eastAsia="pl-PL"/>
    </w:rPr>
  </w:style>
  <w:style w:type="paragraph" w:customStyle="1" w:styleId="H1">
    <w:name w:val="H1"/>
    <w:basedOn w:val="Normalny"/>
    <w:next w:val="Normalny"/>
    <w:rsid w:val="003220D1"/>
    <w:pPr>
      <w:keepNext/>
      <w:spacing w:before="100" w:after="100" w:line="240" w:lineRule="auto"/>
      <w:outlineLvl w:val="1"/>
    </w:pPr>
    <w:rPr>
      <w:rFonts w:ascii="Times New Roman" w:eastAsia="Times New Roman" w:hAnsi="Times New Roman" w:cs="Times New Roman"/>
      <w:b/>
      <w:snapToGrid w:val="0"/>
      <w:kern w:val="36"/>
      <w:sz w:val="48"/>
      <w:szCs w:val="20"/>
      <w:lang w:eastAsia="pl-PL"/>
    </w:rPr>
  </w:style>
  <w:style w:type="paragraph" w:customStyle="1" w:styleId="H20">
    <w:name w:val="H2"/>
    <w:basedOn w:val="Normalny"/>
    <w:next w:val="Normalny"/>
    <w:rsid w:val="003220D1"/>
    <w:pPr>
      <w:keepNext/>
      <w:spacing w:before="100" w:after="100" w:line="240" w:lineRule="auto"/>
      <w:outlineLvl w:val="2"/>
    </w:pPr>
    <w:rPr>
      <w:rFonts w:ascii="Times New Roman" w:eastAsia="Times New Roman" w:hAnsi="Times New Roman" w:cs="Times New Roman"/>
      <w:b/>
      <w:snapToGrid w:val="0"/>
      <w:sz w:val="36"/>
      <w:szCs w:val="20"/>
      <w:lang w:eastAsia="pl-PL"/>
    </w:rPr>
  </w:style>
  <w:style w:type="paragraph" w:customStyle="1" w:styleId="Tekstpodstawowy310">
    <w:name w:val="Tekst podstawowy 31"/>
    <w:basedOn w:val="Normalny"/>
    <w:rsid w:val="003220D1"/>
    <w:pPr>
      <w:suppressAutoHyphens/>
      <w:spacing w:before="120" w:after="0" w:line="240" w:lineRule="auto"/>
      <w:jc w:val="both"/>
    </w:pPr>
    <w:rPr>
      <w:rFonts w:ascii="Times New Roman" w:eastAsia="Times New Roman" w:hAnsi="Times New Roman" w:cs="Times New Roman"/>
      <w:i/>
      <w:iCs/>
      <w:sz w:val="24"/>
      <w:szCs w:val="24"/>
      <w:lang w:eastAsia="ar-SA"/>
    </w:rPr>
  </w:style>
  <w:style w:type="paragraph" w:customStyle="1" w:styleId="Style1">
    <w:name w:val="Style 1"/>
    <w:uiPriority w:val="99"/>
    <w:rsid w:val="003220D1"/>
    <w:pPr>
      <w:widowControl w:val="0"/>
      <w:autoSpaceDE w:val="0"/>
      <w:autoSpaceDN w:val="0"/>
      <w:adjustRightInd w:val="0"/>
      <w:spacing w:after="0" w:line="240" w:lineRule="auto"/>
    </w:pPr>
    <w:rPr>
      <w:rFonts w:ascii="Times New Roman" w:eastAsia="Times New Roman" w:hAnsi="Times New Roman" w:cs="Times New Roman"/>
      <w:sz w:val="20"/>
      <w:szCs w:val="20"/>
      <w:lang w:val="en-US" w:eastAsia="pl-PL"/>
    </w:rPr>
  </w:style>
  <w:style w:type="paragraph" w:customStyle="1" w:styleId="Style8">
    <w:name w:val="Style 8"/>
    <w:uiPriority w:val="99"/>
    <w:rsid w:val="003220D1"/>
    <w:pPr>
      <w:widowControl w:val="0"/>
      <w:autoSpaceDE w:val="0"/>
      <w:autoSpaceDN w:val="0"/>
      <w:spacing w:after="0" w:line="240" w:lineRule="auto"/>
      <w:ind w:left="36"/>
    </w:pPr>
    <w:rPr>
      <w:rFonts w:ascii="Times New Roman" w:eastAsia="Times New Roman" w:hAnsi="Times New Roman" w:cs="Times New Roman"/>
      <w:sz w:val="20"/>
      <w:szCs w:val="20"/>
      <w:lang w:val="en-US" w:eastAsia="pl-PL"/>
    </w:rPr>
  </w:style>
  <w:style w:type="paragraph" w:customStyle="1" w:styleId="Style11">
    <w:name w:val="Style 11"/>
    <w:uiPriority w:val="99"/>
    <w:rsid w:val="003220D1"/>
    <w:pPr>
      <w:widowControl w:val="0"/>
      <w:autoSpaceDE w:val="0"/>
      <w:autoSpaceDN w:val="0"/>
      <w:spacing w:after="0" w:line="240" w:lineRule="auto"/>
      <w:ind w:left="72"/>
    </w:pPr>
    <w:rPr>
      <w:rFonts w:ascii="Times New Roman" w:eastAsia="Times New Roman" w:hAnsi="Times New Roman" w:cs="Times New Roman"/>
      <w:sz w:val="20"/>
      <w:szCs w:val="20"/>
      <w:lang w:val="en-US" w:eastAsia="pl-PL"/>
    </w:rPr>
  </w:style>
  <w:style w:type="character" w:customStyle="1" w:styleId="CharacterStyle4">
    <w:name w:val="Character Style 4"/>
    <w:uiPriority w:val="99"/>
    <w:rsid w:val="003220D1"/>
    <w:rPr>
      <w:sz w:val="20"/>
      <w:szCs w:val="20"/>
    </w:rPr>
  </w:style>
  <w:style w:type="paragraph" w:customStyle="1" w:styleId="Style2">
    <w:name w:val="Style 2"/>
    <w:uiPriority w:val="99"/>
    <w:rsid w:val="003220D1"/>
    <w:pPr>
      <w:widowControl w:val="0"/>
      <w:autoSpaceDE w:val="0"/>
      <w:autoSpaceDN w:val="0"/>
      <w:adjustRightInd w:val="0"/>
      <w:spacing w:after="0" w:line="240" w:lineRule="auto"/>
    </w:pPr>
    <w:rPr>
      <w:rFonts w:ascii="Times New Roman" w:eastAsia="Times New Roman" w:hAnsi="Times New Roman" w:cs="Times New Roman"/>
      <w:sz w:val="20"/>
      <w:szCs w:val="20"/>
      <w:lang w:val="en-US" w:eastAsia="pl-PL"/>
    </w:rPr>
  </w:style>
  <w:style w:type="paragraph" w:customStyle="1" w:styleId="Styl1">
    <w:name w:val="Styl1"/>
    <w:basedOn w:val="Normalny"/>
    <w:link w:val="Styl1Znak"/>
    <w:qFormat/>
    <w:rsid w:val="003220D1"/>
    <w:pPr>
      <w:tabs>
        <w:tab w:val="left" w:pos="1418"/>
        <w:tab w:val="right" w:pos="9639"/>
      </w:tabs>
      <w:spacing w:after="240" w:line="240" w:lineRule="auto"/>
    </w:pPr>
    <w:rPr>
      <w:rFonts w:ascii="Times New Roman" w:eastAsia="Times New Roman" w:hAnsi="Times New Roman" w:cs="Times New Roman"/>
      <w:sz w:val="20"/>
      <w:szCs w:val="20"/>
    </w:rPr>
  </w:style>
  <w:style w:type="paragraph" w:customStyle="1" w:styleId="Styl2">
    <w:name w:val="Styl2"/>
    <w:basedOn w:val="Styl1"/>
    <w:qFormat/>
    <w:rsid w:val="003220D1"/>
    <w:pPr>
      <w:tabs>
        <w:tab w:val="right" w:leader="dot" w:pos="9639"/>
      </w:tabs>
    </w:pPr>
  </w:style>
  <w:style w:type="paragraph" w:customStyle="1" w:styleId="FooterOdd">
    <w:name w:val="Footer Odd"/>
    <w:basedOn w:val="Normalny"/>
    <w:qFormat/>
    <w:rsid w:val="003220D1"/>
    <w:pPr>
      <w:pBdr>
        <w:top w:val="single" w:sz="4" w:space="1" w:color="5B9BD5"/>
      </w:pBdr>
      <w:spacing w:after="180" w:line="264" w:lineRule="auto"/>
      <w:jc w:val="right"/>
    </w:pPr>
    <w:rPr>
      <w:rFonts w:ascii="Calibri" w:eastAsia="Times New Roman" w:hAnsi="Calibri" w:cs="Times New Roman"/>
      <w:color w:val="44546A"/>
      <w:sz w:val="20"/>
      <w:szCs w:val="23"/>
      <w:lang w:eastAsia="ja-JP"/>
    </w:rPr>
  </w:style>
  <w:style w:type="paragraph" w:customStyle="1" w:styleId="HeaderEven">
    <w:name w:val="Header Even"/>
    <w:basedOn w:val="Bezodstpw"/>
    <w:qFormat/>
    <w:rsid w:val="003220D1"/>
    <w:pPr>
      <w:pBdr>
        <w:bottom w:val="single" w:sz="4" w:space="1" w:color="5B9BD5"/>
      </w:pBdr>
      <w:overflowPunct/>
      <w:autoSpaceDE/>
      <w:autoSpaceDN/>
      <w:adjustRightInd/>
      <w:textAlignment w:val="auto"/>
    </w:pPr>
    <w:rPr>
      <w:rFonts w:ascii="Calibri" w:hAnsi="Calibri"/>
      <w:b/>
      <w:bCs/>
      <w:color w:val="44546A"/>
      <w:szCs w:val="23"/>
      <w:lang w:eastAsia="ja-JP"/>
    </w:rPr>
  </w:style>
  <w:style w:type="character" w:customStyle="1" w:styleId="FontStyle81">
    <w:name w:val="Font Style81"/>
    <w:uiPriority w:val="99"/>
    <w:rsid w:val="003220D1"/>
    <w:rPr>
      <w:rFonts w:ascii="MS Reference Sans Serif" w:hAnsi="MS Reference Sans Serif" w:cs="MS Reference Sans Serif"/>
      <w:color w:val="000000"/>
      <w:sz w:val="14"/>
      <w:szCs w:val="14"/>
    </w:rPr>
  </w:style>
  <w:style w:type="character" w:customStyle="1" w:styleId="FontStyle24">
    <w:name w:val="Font Style24"/>
    <w:uiPriority w:val="99"/>
    <w:rsid w:val="003220D1"/>
    <w:rPr>
      <w:rFonts w:ascii="Times New Roman" w:hAnsi="Times New Roman" w:cs="Times New Roman"/>
      <w:color w:val="000000"/>
      <w:sz w:val="22"/>
      <w:szCs w:val="22"/>
    </w:rPr>
  </w:style>
  <w:style w:type="character" w:customStyle="1" w:styleId="FontStyle25">
    <w:name w:val="Font Style25"/>
    <w:uiPriority w:val="99"/>
    <w:rsid w:val="003220D1"/>
    <w:rPr>
      <w:rFonts w:ascii="Times New Roman" w:hAnsi="Times New Roman" w:cs="Times New Roman"/>
      <w:b/>
      <w:bCs/>
      <w:color w:val="000000"/>
      <w:sz w:val="22"/>
      <w:szCs w:val="22"/>
    </w:rPr>
  </w:style>
  <w:style w:type="paragraph" w:customStyle="1" w:styleId="Style110">
    <w:name w:val="Style11"/>
    <w:basedOn w:val="Normalny"/>
    <w:uiPriority w:val="99"/>
    <w:rsid w:val="003220D1"/>
    <w:pPr>
      <w:widowControl w:val="0"/>
      <w:autoSpaceDE w:val="0"/>
      <w:autoSpaceDN w:val="0"/>
      <w:adjustRightInd w:val="0"/>
      <w:spacing w:after="0" w:line="276" w:lineRule="exact"/>
      <w:jc w:val="both"/>
    </w:pPr>
    <w:rPr>
      <w:rFonts w:ascii="Times New Roman" w:eastAsia="Times New Roman" w:hAnsi="Times New Roman" w:cs="Times New Roman"/>
      <w:sz w:val="24"/>
      <w:szCs w:val="24"/>
      <w:lang w:eastAsia="pl-PL"/>
    </w:rPr>
  </w:style>
  <w:style w:type="paragraph" w:customStyle="1" w:styleId="Style13">
    <w:name w:val="Style13"/>
    <w:basedOn w:val="Normalny"/>
    <w:uiPriority w:val="99"/>
    <w:rsid w:val="003220D1"/>
    <w:pPr>
      <w:widowControl w:val="0"/>
      <w:autoSpaceDE w:val="0"/>
      <w:autoSpaceDN w:val="0"/>
      <w:adjustRightInd w:val="0"/>
      <w:spacing w:after="0" w:line="278" w:lineRule="exact"/>
      <w:ind w:hanging="350"/>
    </w:pPr>
    <w:rPr>
      <w:rFonts w:ascii="Times New Roman" w:eastAsia="Times New Roman" w:hAnsi="Times New Roman" w:cs="Times New Roman"/>
      <w:sz w:val="24"/>
      <w:szCs w:val="24"/>
      <w:lang w:eastAsia="pl-PL"/>
    </w:rPr>
  </w:style>
  <w:style w:type="character" w:customStyle="1" w:styleId="FontStyle22">
    <w:name w:val="Font Style22"/>
    <w:uiPriority w:val="99"/>
    <w:rsid w:val="003220D1"/>
    <w:rPr>
      <w:rFonts w:ascii="Times New Roman" w:hAnsi="Times New Roman" w:cs="Times New Roman"/>
      <w:b/>
      <w:bCs/>
      <w:i/>
      <w:iCs/>
      <w:color w:val="000000"/>
      <w:sz w:val="22"/>
      <w:szCs w:val="22"/>
    </w:rPr>
  </w:style>
  <w:style w:type="paragraph" w:customStyle="1" w:styleId="Style3">
    <w:name w:val="Style3"/>
    <w:basedOn w:val="Normalny"/>
    <w:uiPriority w:val="99"/>
    <w:rsid w:val="003220D1"/>
    <w:pPr>
      <w:widowControl w:val="0"/>
      <w:autoSpaceDE w:val="0"/>
      <w:autoSpaceDN w:val="0"/>
      <w:adjustRightInd w:val="0"/>
      <w:spacing w:after="0" w:line="240" w:lineRule="auto"/>
    </w:pPr>
    <w:rPr>
      <w:rFonts w:ascii="Times New Roman" w:eastAsia="Times New Roman" w:hAnsi="Times New Roman" w:cs="Times New Roman"/>
      <w:sz w:val="24"/>
      <w:szCs w:val="24"/>
      <w:lang w:eastAsia="pl-PL"/>
    </w:rPr>
  </w:style>
  <w:style w:type="paragraph" w:customStyle="1" w:styleId="styliwony0">
    <w:name w:val="styliwony"/>
    <w:basedOn w:val="Normalny"/>
    <w:rsid w:val="003220D1"/>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AkapitzlistZnak">
    <w:name w:val="Akapit z listą Znak"/>
    <w:link w:val="Akapitzlist"/>
    <w:uiPriority w:val="34"/>
    <w:rsid w:val="003220D1"/>
    <w:rPr>
      <w:rFonts w:ascii="Arial Narrow" w:eastAsia="Calibri" w:hAnsi="Arial Narrow" w:cs="Times New Roman"/>
      <w:sz w:val="20"/>
    </w:rPr>
  </w:style>
  <w:style w:type="paragraph" w:customStyle="1" w:styleId="Mostoland">
    <w:name w:val="Mostoland"/>
    <w:basedOn w:val="Akapitzlist"/>
    <w:link w:val="MostolandZnak"/>
    <w:qFormat/>
    <w:rsid w:val="003220D1"/>
    <w:pPr>
      <w:spacing w:line="276" w:lineRule="auto"/>
      <w:ind w:left="0" w:firstLine="0"/>
    </w:pPr>
    <w:rPr>
      <w:rFonts w:ascii="Verdana" w:hAnsi="Verdana"/>
      <w:b/>
      <w:color w:val="000000"/>
      <w:sz w:val="24"/>
      <w:szCs w:val="20"/>
      <w:lang w:val="es-ES" w:eastAsia="es-ES_tradnl"/>
    </w:rPr>
  </w:style>
  <w:style w:type="character" w:customStyle="1" w:styleId="MostolandZnak">
    <w:name w:val="Mostoland Znak"/>
    <w:link w:val="Mostoland"/>
    <w:rsid w:val="003220D1"/>
    <w:rPr>
      <w:rFonts w:ascii="Verdana" w:eastAsia="Calibri" w:hAnsi="Verdana" w:cs="Times New Roman"/>
      <w:b/>
      <w:color w:val="000000"/>
      <w:sz w:val="24"/>
      <w:szCs w:val="20"/>
      <w:lang w:val="es-ES" w:eastAsia="es-ES_tradnl"/>
    </w:rPr>
  </w:style>
  <w:style w:type="character" w:customStyle="1" w:styleId="bbtext">
    <w:name w:val="bbtext"/>
    <w:rsid w:val="003220D1"/>
  </w:style>
  <w:style w:type="character" w:customStyle="1" w:styleId="TekstprzypisudolnegoZnak1">
    <w:name w:val="Tekst przypisu dolnego Znak1"/>
    <w:uiPriority w:val="99"/>
    <w:semiHidden/>
    <w:rsid w:val="003220D1"/>
    <w:rPr>
      <w:rFonts w:ascii="Verdana" w:eastAsia="Times New Roman" w:hAnsi="Verdana" w:cs="Times New Roman"/>
      <w:sz w:val="20"/>
      <w:szCs w:val="20"/>
      <w:lang w:val="es-ES" w:eastAsia="es-ES_tradnl"/>
    </w:rPr>
  </w:style>
  <w:style w:type="character" w:customStyle="1" w:styleId="TekstpodstawowywcityZnak1">
    <w:name w:val="Tekst podstawowy wcięty Znak1"/>
    <w:uiPriority w:val="99"/>
    <w:semiHidden/>
    <w:rsid w:val="003220D1"/>
    <w:rPr>
      <w:rFonts w:ascii="Verdana" w:eastAsia="Times New Roman" w:hAnsi="Verdana" w:cs="Times New Roman"/>
      <w:sz w:val="24"/>
      <w:szCs w:val="20"/>
      <w:lang w:val="es-ES" w:eastAsia="es-ES_tradnl"/>
    </w:rPr>
  </w:style>
  <w:style w:type="paragraph" w:customStyle="1" w:styleId="Bullet1points">
    <w:name w:val="Bullet 1 points"/>
    <w:basedOn w:val="Normalny"/>
    <w:rsid w:val="003220D1"/>
    <w:pPr>
      <w:tabs>
        <w:tab w:val="num" w:pos="705"/>
      </w:tabs>
      <w:spacing w:before="60" w:after="60" w:line="240" w:lineRule="auto"/>
      <w:ind w:left="705" w:hanging="705"/>
      <w:jc w:val="both"/>
    </w:pPr>
    <w:rPr>
      <w:rFonts w:ascii="Times New Roman" w:eastAsia="Times New Roman" w:hAnsi="Times New Roman" w:cs="Times New Roman"/>
      <w:sz w:val="20"/>
      <w:szCs w:val="20"/>
      <w:lang w:eastAsia="pl-PL"/>
    </w:rPr>
  </w:style>
  <w:style w:type="paragraph" w:customStyle="1" w:styleId="podpkt11">
    <w:name w:val="pod_pkt1.1"/>
    <w:basedOn w:val="Normalny"/>
    <w:rsid w:val="003220D1"/>
    <w:pPr>
      <w:keepNext/>
      <w:spacing w:after="120" w:line="240" w:lineRule="auto"/>
      <w:ind w:left="425" w:hanging="425"/>
    </w:pPr>
    <w:rPr>
      <w:rFonts w:ascii="Times New Roman" w:eastAsia="Times New Roman" w:hAnsi="Times New Roman" w:cs="Times New Roman"/>
      <w:sz w:val="24"/>
      <w:szCs w:val="20"/>
      <w:lang w:eastAsia="pl-PL"/>
    </w:rPr>
  </w:style>
  <w:style w:type="paragraph" w:customStyle="1" w:styleId="10ZnakZnakZnakZnak">
    <w:name w:val="_10 Znak Znak Znak Znak"/>
    <w:basedOn w:val="Tekstpodstawowy"/>
    <w:link w:val="10ZnakZnakZnakZnakZnak"/>
    <w:autoRedefine/>
    <w:rsid w:val="003220D1"/>
    <w:pPr>
      <w:tabs>
        <w:tab w:val="left" w:pos="0"/>
      </w:tabs>
      <w:overflowPunct/>
      <w:autoSpaceDE/>
      <w:autoSpaceDN/>
      <w:adjustRightInd/>
      <w:spacing w:line="240" w:lineRule="auto"/>
      <w:ind w:firstLine="0"/>
      <w:jc w:val="both"/>
      <w:textAlignment w:val="auto"/>
    </w:pPr>
    <w:rPr>
      <w:sz w:val="20"/>
      <w:lang w:val="pl-PL" w:eastAsia="pl-PL"/>
    </w:rPr>
  </w:style>
  <w:style w:type="character" w:customStyle="1" w:styleId="10ZnakZnakZnakZnakZnak">
    <w:name w:val="_10 Znak Znak Znak Znak Znak"/>
    <w:link w:val="10ZnakZnakZnakZnak"/>
    <w:rsid w:val="003220D1"/>
    <w:rPr>
      <w:rFonts w:ascii="Times New Roman" w:eastAsia="Times New Roman" w:hAnsi="Times New Roman" w:cs="Times New Roman"/>
      <w:sz w:val="20"/>
      <w:szCs w:val="20"/>
      <w:lang w:eastAsia="pl-PL"/>
    </w:rPr>
  </w:style>
  <w:style w:type="character" w:customStyle="1" w:styleId="Styl12pt">
    <w:name w:val="Styl 12 pt"/>
    <w:rsid w:val="003220D1"/>
    <w:rPr>
      <w:rFonts w:ascii="Times New Roman" w:hAnsi="Times New Roman" w:cs="Times New Roman"/>
      <w:sz w:val="20"/>
      <w:szCs w:val="20"/>
    </w:rPr>
  </w:style>
  <w:style w:type="paragraph" w:customStyle="1" w:styleId="100">
    <w:name w:val="10"/>
    <w:basedOn w:val="Tekstpodstawowy"/>
    <w:rsid w:val="003220D1"/>
    <w:pPr>
      <w:overflowPunct/>
      <w:autoSpaceDE/>
      <w:autoSpaceDN/>
      <w:adjustRightInd/>
      <w:spacing w:line="240" w:lineRule="auto"/>
      <w:ind w:firstLine="0"/>
      <w:jc w:val="both"/>
      <w:textAlignment w:val="auto"/>
    </w:pPr>
    <w:rPr>
      <w:sz w:val="20"/>
      <w:lang w:val="pl-PL" w:eastAsia="pl-PL"/>
    </w:rPr>
  </w:style>
  <w:style w:type="paragraph" w:customStyle="1" w:styleId="podpkta">
    <w:name w:val="pod_pkt_a"/>
    <w:basedOn w:val="Normalny"/>
    <w:rsid w:val="003220D1"/>
    <w:pPr>
      <w:keepNext/>
      <w:spacing w:after="0" w:line="240" w:lineRule="auto"/>
      <w:ind w:left="426" w:hanging="425"/>
      <w:jc w:val="both"/>
    </w:pPr>
    <w:rPr>
      <w:rFonts w:ascii="Times New Roman" w:eastAsia="Times New Roman" w:hAnsi="Times New Roman" w:cs="Times New Roman"/>
      <w:szCs w:val="20"/>
      <w:lang w:eastAsia="pl-PL"/>
    </w:rPr>
  </w:style>
  <w:style w:type="paragraph" w:customStyle="1" w:styleId="StylArialZlewej0cmInterliniapojedyncze">
    <w:name w:val="Styl Arial Z lewej:  0 cm Interlinia:  pojedyncze"/>
    <w:basedOn w:val="Normalny"/>
    <w:next w:val="Normalny"/>
    <w:rsid w:val="003220D1"/>
    <w:pPr>
      <w:widowControl w:val="0"/>
      <w:autoSpaceDE w:val="0"/>
      <w:autoSpaceDN w:val="0"/>
      <w:spacing w:after="0" w:line="240" w:lineRule="auto"/>
      <w:jc w:val="both"/>
    </w:pPr>
    <w:rPr>
      <w:rFonts w:ascii="Arial" w:eastAsia="Times New Roman" w:hAnsi="Arial" w:cs="Arial"/>
      <w:sz w:val="20"/>
      <w:szCs w:val="20"/>
      <w:lang w:eastAsia="pl-PL"/>
    </w:rPr>
  </w:style>
  <w:style w:type="paragraph" w:customStyle="1" w:styleId="11">
    <w:name w:val="1.1."/>
    <w:basedOn w:val="Normalny"/>
    <w:next w:val="Normalny"/>
    <w:rsid w:val="003220D1"/>
    <w:pPr>
      <w:keepNext/>
      <w:widowControl w:val="0"/>
      <w:spacing w:before="240" w:after="120" w:line="300" w:lineRule="atLeast"/>
    </w:pPr>
    <w:rPr>
      <w:rFonts w:ascii="Times New Roman" w:eastAsia="Times New Roman" w:hAnsi="Times New Roman" w:cs="Times New Roman"/>
      <w:sz w:val="24"/>
      <w:szCs w:val="24"/>
      <w:lang w:eastAsia="pl-PL"/>
    </w:rPr>
  </w:style>
  <w:style w:type="character" w:customStyle="1" w:styleId="LegendaZnak">
    <w:name w:val="Legenda Znak"/>
    <w:link w:val="Legenda"/>
    <w:rsid w:val="003220D1"/>
    <w:rPr>
      <w:rFonts w:ascii="Times New Roman" w:eastAsia="Times New Roman" w:hAnsi="Times New Roman" w:cs="Times New Roman"/>
      <w:b/>
      <w:bCs/>
      <w:sz w:val="20"/>
      <w:szCs w:val="20"/>
      <w:lang w:eastAsia="pl-PL"/>
    </w:rPr>
  </w:style>
  <w:style w:type="paragraph" w:styleId="Listanumerowana3">
    <w:name w:val="List Number 3"/>
    <w:basedOn w:val="Normalny"/>
    <w:rsid w:val="003220D1"/>
    <w:pPr>
      <w:spacing w:before="60" w:after="60" w:line="312" w:lineRule="auto"/>
      <w:ind w:left="680" w:hanging="340"/>
      <w:jc w:val="both"/>
    </w:pPr>
    <w:rPr>
      <w:rFonts w:ascii="Times New Roman" w:eastAsia="Times New Roman" w:hAnsi="Times New Roman" w:cs="Times New Roman"/>
      <w:sz w:val="20"/>
      <w:szCs w:val="20"/>
      <w:lang w:eastAsia="pl-PL"/>
    </w:rPr>
  </w:style>
  <w:style w:type="paragraph" w:customStyle="1" w:styleId="BodyText21">
    <w:name w:val="Body Text 21"/>
    <w:basedOn w:val="Normalny"/>
    <w:rsid w:val="003220D1"/>
    <w:pPr>
      <w:widowControl w:val="0"/>
      <w:spacing w:after="0" w:line="240" w:lineRule="auto"/>
      <w:jc w:val="both"/>
    </w:pPr>
    <w:rPr>
      <w:rFonts w:ascii="Times New Roman" w:eastAsia="Times New Roman" w:hAnsi="Times New Roman" w:cs="Times New Roman"/>
      <w:sz w:val="20"/>
      <w:szCs w:val="20"/>
      <w:lang w:eastAsia="pl-PL"/>
    </w:rPr>
  </w:style>
  <w:style w:type="paragraph" w:customStyle="1" w:styleId="StylNagwek22">
    <w:name w:val="Styl Nagłówek 22"/>
    <w:aliases w:val="Title 2 + Arial Nie Pogrubienie Wszystkie wersal...2"/>
    <w:basedOn w:val="Nagwek2"/>
    <w:rsid w:val="003220D1"/>
    <w:pPr>
      <w:widowControl w:val="0"/>
      <w:shd w:val="clear" w:color="auto" w:fill="auto"/>
      <w:tabs>
        <w:tab w:val="left" w:pos="851"/>
        <w:tab w:val="num" w:pos="1002"/>
      </w:tabs>
      <w:spacing w:before="160" w:after="60"/>
    </w:pPr>
    <w:rPr>
      <w:rFonts w:ascii="Arial" w:hAnsi="Arial"/>
      <w:caps/>
      <w:sz w:val="20"/>
      <w:lang w:val="pl-PL" w:eastAsia="pl-PL"/>
    </w:rPr>
  </w:style>
  <w:style w:type="paragraph" w:customStyle="1" w:styleId="wyliczenie1">
    <w:name w:val="wyliczenie 1"/>
    <w:basedOn w:val="Listapunktowana"/>
    <w:rsid w:val="003220D1"/>
    <w:pPr>
      <w:tabs>
        <w:tab w:val="num" w:pos="432"/>
      </w:tabs>
      <w:overflowPunct/>
      <w:autoSpaceDE/>
      <w:autoSpaceDN/>
      <w:adjustRightInd/>
      <w:ind w:left="283" w:right="0" w:hanging="283"/>
      <w:textAlignment w:val="auto"/>
    </w:pPr>
  </w:style>
  <w:style w:type="paragraph" w:customStyle="1" w:styleId="Kropka">
    <w:name w:val="Kropka"/>
    <w:basedOn w:val="Normalny"/>
    <w:rsid w:val="003220D1"/>
    <w:pPr>
      <w:spacing w:after="0" w:line="240" w:lineRule="auto"/>
      <w:ind w:left="284" w:hanging="284"/>
    </w:pPr>
    <w:rPr>
      <w:rFonts w:ascii="Times New Roman" w:eastAsia="Times New Roman" w:hAnsi="Times New Roman" w:cs="Times New Roman"/>
      <w:sz w:val="24"/>
      <w:szCs w:val="24"/>
      <w:lang w:eastAsia="pl-PL"/>
    </w:rPr>
  </w:style>
  <w:style w:type="paragraph" w:customStyle="1" w:styleId="Kreska">
    <w:name w:val="Kreska"/>
    <w:basedOn w:val="Normalny"/>
    <w:rsid w:val="003220D1"/>
    <w:pPr>
      <w:spacing w:after="0" w:line="240" w:lineRule="auto"/>
      <w:ind w:left="284" w:hanging="284"/>
    </w:pPr>
    <w:rPr>
      <w:rFonts w:ascii="Times New Roman" w:eastAsia="Times New Roman" w:hAnsi="Times New Roman" w:cs="Times New Roman"/>
      <w:sz w:val="24"/>
      <w:szCs w:val="24"/>
      <w:lang w:eastAsia="pl-PL"/>
    </w:rPr>
  </w:style>
  <w:style w:type="paragraph" w:customStyle="1" w:styleId="Standard">
    <w:name w:val="Standard"/>
    <w:rsid w:val="003220D1"/>
    <w:pPr>
      <w:widowControl w:val="0"/>
      <w:suppressAutoHyphens/>
      <w:autoSpaceDE w:val="0"/>
      <w:spacing w:after="0" w:line="240" w:lineRule="auto"/>
    </w:pPr>
    <w:rPr>
      <w:rFonts w:ascii="Times New Roman" w:eastAsia="Times New Roman" w:hAnsi="Times New Roman" w:cs="Times New Roman"/>
      <w:sz w:val="24"/>
      <w:szCs w:val="24"/>
      <w:lang w:eastAsia="pl-PL" w:bidi="pl-PL"/>
    </w:rPr>
  </w:style>
  <w:style w:type="character" w:styleId="Tytuksiki">
    <w:name w:val="Book Title"/>
    <w:uiPriority w:val="33"/>
    <w:qFormat/>
    <w:rsid w:val="003220D1"/>
    <w:rPr>
      <w:b/>
      <w:bCs/>
      <w:smallCaps/>
      <w:spacing w:val="5"/>
    </w:rPr>
  </w:style>
  <w:style w:type="paragraph" w:customStyle="1" w:styleId="Joanna4Wypunktowanie2">
    <w:name w:val="Joanna 4 Wypunktowanie 2"/>
    <w:basedOn w:val="Normalny"/>
    <w:autoRedefine/>
    <w:rsid w:val="003220D1"/>
    <w:pPr>
      <w:tabs>
        <w:tab w:val="num" w:pos="3254"/>
      </w:tabs>
      <w:suppressAutoHyphens/>
      <w:spacing w:after="120" w:line="240" w:lineRule="auto"/>
      <w:ind w:left="2894"/>
    </w:pPr>
    <w:rPr>
      <w:rFonts w:ascii="Arial" w:eastAsia="Times New Roman" w:hAnsi="Arial" w:cs="Times New Roman"/>
      <w:sz w:val="20"/>
      <w:szCs w:val="24"/>
      <w:lang w:eastAsia="ar-SA"/>
    </w:rPr>
  </w:style>
  <w:style w:type="paragraph" w:customStyle="1" w:styleId="Wyliczenie">
    <w:name w:val="Wyliczenie"/>
    <w:basedOn w:val="Normalny"/>
    <w:rsid w:val="003220D1"/>
    <w:pPr>
      <w:autoSpaceDE w:val="0"/>
      <w:autoSpaceDN w:val="0"/>
      <w:adjustRightInd w:val="0"/>
      <w:spacing w:after="0" w:line="300" w:lineRule="atLeast"/>
      <w:ind w:left="397" w:hanging="397"/>
    </w:pPr>
    <w:rPr>
      <w:rFonts w:ascii="Times New Roman" w:eastAsia="Times New Roman" w:hAnsi="Times New Roman" w:cs="Times New Roman"/>
      <w:sz w:val="24"/>
      <w:szCs w:val="24"/>
      <w:lang w:eastAsia="pl-PL"/>
    </w:rPr>
  </w:style>
  <w:style w:type="paragraph" w:customStyle="1" w:styleId="podpkt1">
    <w:name w:val="pod_pkt1"/>
    <w:basedOn w:val="podpkta"/>
    <w:rsid w:val="003220D1"/>
    <w:pPr>
      <w:autoSpaceDE w:val="0"/>
      <w:autoSpaceDN w:val="0"/>
      <w:adjustRightInd w:val="0"/>
      <w:spacing w:after="120"/>
      <w:ind w:left="851" w:hanging="851"/>
    </w:pPr>
    <w:rPr>
      <w:b/>
      <w:bCs/>
      <w:sz w:val="24"/>
      <w:szCs w:val="24"/>
    </w:rPr>
  </w:style>
  <w:style w:type="paragraph" w:customStyle="1" w:styleId="tekst0">
    <w:name w:val="tekst"/>
    <w:basedOn w:val="Normalny"/>
    <w:rsid w:val="003220D1"/>
    <w:pPr>
      <w:spacing w:after="0" w:line="300" w:lineRule="atLeast"/>
      <w:jc w:val="both"/>
    </w:pPr>
    <w:rPr>
      <w:rFonts w:ascii="Times New Roman" w:eastAsia="Times New Roman" w:hAnsi="Times New Roman" w:cs="Times New Roman"/>
      <w:sz w:val="24"/>
      <w:szCs w:val="20"/>
      <w:lang w:eastAsia="pl-PL"/>
    </w:rPr>
  </w:style>
  <w:style w:type="paragraph" w:styleId="Zwrotgrzecznociowy">
    <w:name w:val="Salutation"/>
    <w:basedOn w:val="Normalny"/>
    <w:link w:val="ZwrotgrzecznociowyZnak"/>
    <w:rsid w:val="003220D1"/>
    <w:pPr>
      <w:tabs>
        <w:tab w:val="left" w:pos="709"/>
      </w:tabs>
      <w:spacing w:after="0" w:line="240" w:lineRule="auto"/>
      <w:jc w:val="both"/>
    </w:pPr>
    <w:rPr>
      <w:rFonts w:ascii="Times New Roman" w:eastAsia="Times New Roman" w:hAnsi="Times New Roman" w:cs="Times New Roman"/>
      <w:sz w:val="24"/>
      <w:szCs w:val="20"/>
      <w:lang w:eastAsia="pl-PL"/>
    </w:rPr>
  </w:style>
  <w:style w:type="character" w:customStyle="1" w:styleId="ZwrotgrzecznociowyZnak">
    <w:name w:val="Zwrot grzecznościowy Znak"/>
    <w:basedOn w:val="Domylnaczcionkaakapitu"/>
    <w:link w:val="Zwrotgrzecznociowy"/>
    <w:rsid w:val="003220D1"/>
    <w:rPr>
      <w:rFonts w:ascii="Times New Roman" w:eastAsia="Times New Roman" w:hAnsi="Times New Roman" w:cs="Times New Roman"/>
      <w:sz w:val="24"/>
      <w:szCs w:val="20"/>
      <w:lang w:eastAsia="pl-PL"/>
    </w:rPr>
  </w:style>
  <w:style w:type="paragraph" w:customStyle="1" w:styleId="NA">
    <w:name w:val="N/A"/>
    <w:basedOn w:val="Normalny"/>
    <w:rsid w:val="003220D1"/>
    <w:pPr>
      <w:tabs>
        <w:tab w:val="left" w:pos="9000"/>
        <w:tab w:val="right" w:pos="9360"/>
      </w:tabs>
      <w:suppressAutoHyphens/>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pl-PL"/>
    </w:rPr>
  </w:style>
  <w:style w:type="paragraph" w:styleId="Indeks1">
    <w:name w:val="index 1"/>
    <w:basedOn w:val="Normalny"/>
    <w:next w:val="Normalny"/>
    <w:autoRedefine/>
    <w:rsid w:val="003220D1"/>
    <w:pPr>
      <w:spacing w:after="0" w:line="240" w:lineRule="auto"/>
      <w:ind w:left="240" w:hanging="240"/>
      <w:jc w:val="both"/>
    </w:pPr>
    <w:rPr>
      <w:rFonts w:ascii="Times New Roman" w:eastAsia="Times New Roman" w:hAnsi="Times New Roman" w:cs="Times New Roman"/>
      <w:sz w:val="24"/>
      <w:szCs w:val="20"/>
      <w:lang w:eastAsia="pl-PL"/>
    </w:rPr>
  </w:style>
  <w:style w:type="paragraph" w:customStyle="1" w:styleId="HNumber">
    <w:name w:val="H Number"/>
    <w:basedOn w:val="Normalny"/>
    <w:rsid w:val="003220D1"/>
    <w:pPr>
      <w:spacing w:before="120" w:after="0" w:line="240" w:lineRule="auto"/>
      <w:ind w:left="851" w:hanging="851"/>
      <w:jc w:val="both"/>
    </w:pPr>
    <w:rPr>
      <w:rFonts w:ascii="Times New Roman" w:eastAsia="Times New Roman" w:hAnsi="Times New Roman" w:cs="Times New Roman"/>
      <w:sz w:val="20"/>
      <w:szCs w:val="20"/>
      <w:lang w:val="en-GB" w:eastAsia="pl-PL"/>
    </w:rPr>
  </w:style>
  <w:style w:type="character" w:customStyle="1" w:styleId="Okrelenie">
    <w:name w:val="Określenie"/>
    <w:rsid w:val="003220D1"/>
    <w:rPr>
      <w:b/>
    </w:rPr>
  </w:style>
  <w:style w:type="paragraph" w:customStyle="1" w:styleId="bullet1text">
    <w:name w:val="bullet 1 text"/>
    <w:basedOn w:val="Normalny"/>
    <w:rsid w:val="003220D1"/>
    <w:pPr>
      <w:spacing w:before="60" w:after="60" w:line="240" w:lineRule="auto"/>
      <w:ind w:left="340"/>
      <w:jc w:val="both"/>
    </w:pPr>
    <w:rPr>
      <w:rFonts w:ascii="Times New Roman" w:eastAsia="Times New Roman" w:hAnsi="Times New Roman" w:cs="Times New Roman"/>
      <w:sz w:val="20"/>
      <w:szCs w:val="20"/>
      <w:lang w:eastAsia="pl-PL"/>
    </w:rPr>
  </w:style>
  <w:style w:type="paragraph" w:customStyle="1" w:styleId="Bullet2points">
    <w:name w:val="Bullet 2 points"/>
    <w:basedOn w:val="Bullet1points"/>
    <w:rsid w:val="003220D1"/>
    <w:pPr>
      <w:tabs>
        <w:tab w:val="clear" w:pos="705"/>
        <w:tab w:val="num" w:pos="360"/>
      </w:tabs>
      <w:ind w:left="1434" w:hanging="357"/>
    </w:pPr>
  </w:style>
  <w:style w:type="paragraph" w:customStyle="1" w:styleId="bullet2text">
    <w:name w:val="bullet 2 text"/>
    <w:basedOn w:val="bullet1text"/>
    <w:rsid w:val="003220D1"/>
    <w:pPr>
      <w:tabs>
        <w:tab w:val="left" w:pos="1418"/>
      </w:tabs>
      <w:ind w:left="1418"/>
    </w:pPr>
  </w:style>
  <w:style w:type="paragraph" w:customStyle="1" w:styleId="Subheadings">
    <w:name w:val="Sub headings"/>
    <w:basedOn w:val="Normalny"/>
    <w:next w:val="Normalny"/>
    <w:rsid w:val="003220D1"/>
    <w:pPr>
      <w:spacing w:before="120" w:after="120" w:line="240" w:lineRule="auto"/>
      <w:jc w:val="both"/>
    </w:pPr>
    <w:rPr>
      <w:rFonts w:ascii="Times New Roman" w:eastAsia="Times New Roman" w:hAnsi="Times New Roman" w:cs="Times New Roman"/>
      <w:b/>
      <w:sz w:val="20"/>
      <w:szCs w:val="20"/>
      <w:lang w:eastAsia="pl-PL"/>
    </w:rPr>
  </w:style>
  <w:style w:type="paragraph" w:customStyle="1" w:styleId="Podpunkty">
    <w:name w:val="Podpunkty"/>
    <w:next w:val="Normalny"/>
    <w:rsid w:val="003220D1"/>
    <w:pPr>
      <w:keepNext/>
      <w:tabs>
        <w:tab w:val="left" w:pos="851"/>
        <w:tab w:val="left" w:pos="2835"/>
      </w:tabs>
      <w:spacing w:before="120" w:after="0" w:line="240" w:lineRule="auto"/>
      <w:ind w:left="709" w:hanging="709"/>
    </w:pPr>
    <w:rPr>
      <w:rFonts w:ascii="Times New Roman" w:eastAsia="Times New Roman" w:hAnsi="Times New Roman" w:cs="Times New Roman"/>
      <w:b/>
      <w:color w:val="000000"/>
      <w:sz w:val="20"/>
      <w:szCs w:val="20"/>
      <w:lang w:eastAsia="pl-PL"/>
    </w:rPr>
  </w:style>
  <w:style w:type="paragraph" w:customStyle="1" w:styleId="lista0">
    <w:name w:val="lista"/>
    <w:rsid w:val="003220D1"/>
    <w:pPr>
      <w:tabs>
        <w:tab w:val="left" w:pos="7088"/>
      </w:tabs>
      <w:spacing w:after="0" w:line="240" w:lineRule="auto"/>
    </w:pPr>
    <w:rPr>
      <w:rFonts w:ascii="Times New Roman" w:eastAsia="Times New Roman" w:hAnsi="Times New Roman" w:cs="Times New Roman"/>
      <w:noProof/>
      <w:sz w:val="20"/>
      <w:szCs w:val="20"/>
      <w:lang w:eastAsia="pl-PL"/>
    </w:rPr>
  </w:style>
  <w:style w:type="paragraph" w:customStyle="1" w:styleId="PN">
    <w:name w:val="PN"/>
    <w:rsid w:val="003220D1"/>
    <w:pPr>
      <w:tabs>
        <w:tab w:val="left" w:pos="2410"/>
      </w:tabs>
      <w:spacing w:before="60" w:after="0" w:line="240" w:lineRule="auto"/>
      <w:ind w:left="1843" w:hanging="1843"/>
    </w:pPr>
    <w:rPr>
      <w:rFonts w:ascii="Times New Roman" w:eastAsia="Times New Roman" w:hAnsi="Times New Roman" w:cs="Times New Roman"/>
      <w:noProof/>
      <w:sz w:val="20"/>
      <w:szCs w:val="20"/>
      <w:lang w:eastAsia="pl-PL"/>
    </w:rPr>
  </w:style>
  <w:style w:type="paragraph" w:customStyle="1" w:styleId="Specyfikacja">
    <w:name w:val="Specyfikacja"/>
    <w:basedOn w:val="Normalny"/>
    <w:rsid w:val="003220D1"/>
    <w:pPr>
      <w:spacing w:before="60" w:after="240" w:line="312" w:lineRule="auto"/>
      <w:ind w:left="1418" w:hanging="1418"/>
      <w:jc w:val="both"/>
    </w:pPr>
    <w:rPr>
      <w:rFonts w:ascii="Times New Roman" w:eastAsia="Times New Roman" w:hAnsi="Times New Roman" w:cs="Times New Roman"/>
      <w:b/>
      <w:caps/>
      <w:sz w:val="28"/>
      <w:szCs w:val="20"/>
      <w:lang w:eastAsia="pl-PL"/>
    </w:rPr>
  </w:style>
  <w:style w:type="paragraph" w:customStyle="1" w:styleId="Drukuj-OdDoTematData">
    <w:name w:val="Drukuj - Od: Do: Temat: Data:"/>
    <w:basedOn w:val="Normalny"/>
    <w:rsid w:val="003220D1"/>
    <w:pPr>
      <w:pBdr>
        <w:left w:val="single" w:sz="18" w:space="1" w:color="auto"/>
      </w:pBdr>
      <w:spacing w:before="60" w:after="0" w:line="240" w:lineRule="auto"/>
      <w:jc w:val="both"/>
    </w:pPr>
    <w:rPr>
      <w:rFonts w:ascii="Times New Roman" w:eastAsia="Times New Roman" w:hAnsi="Times New Roman" w:cs="Times New Roman"/>
      <w:sz w:val="20"/>
      <w:szCs w:val="20"/>
      <w:lang w:eastAsia="pl-PL"/>
    </w:rPr>
  </w:style>
  <w:style w:type="paragraph" w:customStyle="1" w:styleId="Punkty">
    <w:name w:val="Punkty"/>
    <w:rsid w:val="003220D1"/>
    <w:pPr>
      <w:keepNext/>
      <w:spacing w:before="240" w:after="0" w:line="277" w:lineRule="atLeast"/>
      <w:ind w:left="709" w:hanging="709"/>
    </w:pPr>
    <w:rPr>
      <w:rFonts w:ascii="Times New Roman" w:eastAsia="Times New Roman" w:hAnsi="Times New Roman" w:cs="Times New Roman"/>
      <w:b/>
      <w:color w:val="000000"/>
      <w:sz w:val="20"/>
      <w:szCs w:val="20"/>
      <w:lang w:eastAsia="pl-PL"/>
    </w:rPr>
  </w:style>
  <w:style w:type="paragraph" w:customStyle="1" w:styleId="StylArial11ptDolewejPierwszywiersz1cm">
    <w:name w:val="Styl Arial 11 pt Do lewej Pierwszy wiersz:  1 cm"/>
    <w:basedOn w:val="Normalny"/>
    <w:rsid w:val="003220D1"/>
    <w:pPr>
      <w:tabs>
        <w:tab w:val="left" w:pos="709"/>
      </w:tabs>
      <w:spacing w:after="0" w:line="240" w:lineRule="auto"/>
      <w:ind w:firstLine="567"/>
    </w:pPr>
    <w:rPr>
      <w:rFonts w:ascii="Arial" w:eastAsia="Times New Roman" w:hAnsi="Arial" w:cs="Times New Roman"/>
      <w:sz w:val="36"/>
      <w:szCs w:val="36"/>
      <w:lang w:eastAsia="pl-PL"/>
    </w:rPr>
  </w:style>
  <w:style w:type="paragraph" w:styleId="Lista3">
    <w:name w:val="List 3"/>
    <w:basedOn w:val="Normalny"/>
    <w:rsid w:val="003220D1"/>
    <w:pPr>
      <w:tabs>
        <w:tab w:val="left" w:pos="709"/>
      </w:tabs>
      <w:spacing w:after="0" w:line="240" w:lineRule="auto"/>
      <w:ind w:left="849" w:hanging="283"/>
      <w:jc w:val="both"/>
    </w:pPr>
    <w:rPr>
      <w:rFonts w:ascii="Times New Roman" w:eastAsia="Times New Roman" w:hAnsi="Times New Roman" w:cs="Times New Roman"/>
      <w:sz w:val="24"/>
      <w:szCs w:val="20"/>
      <w:lang w:eastAsia="pl-PL"/>
    </w:rPr>
  </w:style>
  <w:style w:type="paragraph" w:styleId="Lista4">
    <w:name w:val="List 4"/>
    <w:basedOn w:val="Normalny"/>
    <w:rsid w:val="003220D1"/>
    <w:pPr>
      <w:tabs>
        <w:tab w:val="left" w:pos="709"/>
      </w:tabs>
      <w:spacing w:after="0" w:line="240" w:lineRule="auto"/>
      <w:ind w:left="1132" w:hanging="283"/>
      <w:jc w:val="both"/>
    </w:pPr>
    <w:rPr>
      <w:rFonts w:ascii="Times New Roman" w:eastAsia="Times New Roman" w:hAnsi="Times New Roman" w:cs="Times New Roman"/>
      <w:sz w:val="24"/>
      <w:szCs w:val="20"/>
      <w:lang w:eastAsia="pl-PL"/>
    </w:rPr>
  </w:style>
  <w:style w:type="paragraph" w:styleId="Lista5">
    <w:name w:val="List 5"/>
    <w:basedOn w:val="Normalny"/>
    <w:rsid w:val="003220D1"/>
    <w:pPr>
      <w:tabs>
        <w:tab w:val="left" w:pos="709"/>
      </w:tabs>
      <w:spacing w:after="0" w:line="240" w:lineRule="auto"/>
      <w:ind w:left="1415" w:hanging="283"/>
      <w:jc w:val="both"/>
    </w:pPr>
    <w:rPr>
      <w:rFonts w:ascii="Times New Roman" w:eastAsia="Times New Roman" w:hAnsi="Times New Roman" w:cs="Times New Roman"/>
      <w:sz w:val="24"/>
      <w:szCs w:val="20"/>
      <w:lang w:eastAsia="pl-PL"/>
    </w:rPr>
  </w:style>
  <w:style w:type="paragraph" w:styleId="Lista-kontynuacja">
    <w:name w:val="List Continue"/>
    <w:basedOn w:val="Normalny"/>
    <w:rsid w:val="003220D1"/>
    <w:pPr>
      <w:tabs>
        <w:tab w:val="left" w:pos="709"/>
      </w:tabs>
      <w:spacing w:after="120" w:line="240" w:lineRule="auto"/>
      <w:ind w:left="283"/>
      <w:jc w:val="both"/>
    </w:pPr>
    <w:rPr>
      <w:rFonts w:ascii="Times New Roman" w:eastAsia="Times New Roman" w:hAnsi="Times New Roman" w:cs="Times New Roman"/>
      <w:sz w:val="24"/>
      <w:szCs w:val="20"/>
      <w:lang w:eastAsia="pl-PL"/>
    </w:rPr>
  </w:style>
  <w:style w:type="paragraph" w:styleId="Lista-kontynuacja3">
    <w:name w:val="List Continue 3"/>
    <w:basedOn w:val="Normalny"/>
    <w:rsid w:val="003220D1"/>
    <w:pPr>
      <w:tabs>
        <w:tab w:val="left" w:pos="709"/>
      </w:tabs>
      <w:spacing w:after="120" w:line="240" w:lineRule="auto"/>
      <w:ind w:left="849"/>
      <w:jc w:val="both"/>
    </w:pPr>
    <w:rPr>
      <w:rFonts w:ascii="Times New Roman" w:eastAsia="Times New Roman" w:hAnsi="Times New Roman" w:cs="Times New Roman"/>
      <w:sz w:val="24"/>
      <w:szCs w:val="20"/>
      <w:lang w:eastAsia="pl-PL"/>
    </w:rPr>
  </w:style>
  <w:style w:type="paragraph" w:styleId="Lista-kontynuacja4">
    <w:name w:val="List Continue 4"/>
    <w:basedOn w:val="Normalny"/>
    <w:rsid w:val="003220D1"/>
    <w:pPr>
      <w:tabs>
        <w:tab w:val="left" w:pos="709"/>
      </w:tabs>
      <w:spacing w:after="120" w:line="240" w:lineRule="auto"/>
      <w:ind w:left="1132"/>
      <w:jc w:val="both"/>
    </w:pPr>
    <w:rPr>
      <w:rFonts w:ascii="Times New Roman" w:eastAsia="Times New Roman" w:hAnsi="Times New Roman" w:cs="Times New Roman"/>
      <w:sz w:val="24"/>
      <w:szCs w:val="20"/>
      <w:lang w:eastAsia="pl-PL"/>
    </w:rPr>
  </w:style>
  <w:style w:type="paragraph" w:styleId="Lista-kontynuacja5">
    <w:name w:val="List Continue 5"/>
    <w:basedOn w:val="Normalny"/>
    <w:rsid w:val="003220D1"/>
    <w:pPr>
      <w:tabs>
        <w:tab w:val="left" w:pos="709"/>
      </w:tabs>
      <w:spacing w:after="120" w:line="240" w:lineRule="auto"/>
      <w:ind w:left="1415"/>
      <w:jc w:val="both"/>
    </w:pPr>
    <w:rPr>
      <w:rFonts w:ascii="Times New Roman" w:eastAsia="Times New Roman" w:hAnsi="Times New Roman" w:cs="Times New Roman"/>
      <w:sz w:val="24"/>
      <w:szCs w:val="20"/>
      <w:lang w:eastAsia="pl-PL"/>
    </w:rPr>
  </w:style>
  <w:style w:type="paragraph" w:customStyle="1" w:styleId="Indeks">
    <w:name w:val="Indeks"/>
    <w:basedOn w:val="Normalny"/>
    <w:rsid w:val="003220D1"/>
    <w:pPr>
      <w:suppressLineNumbers/>
      <w:suppressAutoHyphens/>
      <w:spacing w:after="0" w:line="240" w:lineRule="auto"/>
      <w:contextualSpacing/>
    </w:pPr>
    <w:rPr>
      <w:rFonts w:ascii="Times New Roman" w:eastAsia="Times New Roman" w:hAnsi="Times New Roman" w:cs="Tahoma"/>
      <w:sz w:val="20"/>
      <w:szCs w:val="20"/>
      <w:lang w:eastAsia="ar-SA"/>
    </w:rPr>
  </w:style>
  <w:style w:type="character" w:styleId="Odwoanieintensywne">
    <w:name w:val="Intense Reference"/>
    <w:uiPriority w:val="32"/>
    <w:qFormat/>
    <w:rsid w:val="003220D1"/>
    <w:rPr>
      <w:b/>
      <w:bCs/>
      <w:smallCaps/>
      <w:color w:val="C0504D"/>
      <w:spacing w:val="5"/>
      <w:u w:val="single"/>
    </w:rPr>
  </w:style>
  <w:style w:type="character" w:styleId="Odwoaniedelikatne">
    <w:name w:val="Subtle Reference"/>
    <w:uiPriority w:val="31"/>
    <w:qFormat/>
    <w:rsid w:val="003220D1"/>
    <w:rPr>
      <w:smallCaps/>
      <w:color w:val="C0504D"/>
      <w:u w:val="single"/>
    </w:rPr>
  </w:style>
  <w:style w:type="character" w:styleId="Wyrnieniedelikatne">
    <w:name w:val="Subtle Emphasis"/>
    <w:uiPriority w:val="19"/>
    <w:qFormat/>
    <w:rsid w:val="003220D1"/>
    <w:rPr>
      <w:i/>
      <w:iCs/>
      <w:color w:val="auto"/>
    </w:rPr>
  </w:style>
  <w:style w:type="paragraph" w:customStyle="1" w:styleId="ayesa">
    <w:name w:val="ayesa"/>
    <w:basedOn w:val="Stopka"/>
    <w:link w:val="ayesaZnak"/>
    <w:qFormat/>
    <w:rsid w:val="003220D1"/>
    <w:pPr>
      <w:pBdr>
        <w:top w:val="single" w:sz="4" w:space="0" w:color="000000"/>
      </w:pBdr>
      <w:tabs>
        <w:tab w:val="clear" w:pos="9072"/>
      </w:tabs>
      <w:suppressAutoHyphens/>
      <w:overflowPunct/>
      <w:autoSpaceDE/>
      <w:autoSpaceDN/>
      <w:adjustRightInd/>
      <w:ind w:right="-2" w:firstLine="360"/>
      <w:contextualSpacing/>
      <w:jc w:val="right"/>
      <w:textAlignment w:val="auto"/>
    </w:pPr>
    <w:rPr>
      <w:rFonts w:ascii="Arial" w:hAnsi="Arial"/>
      <w:i/>
      <w:iCs/>
      <w:lang w:val="es-ES" w:eastAsia="ar-SA"/>
    </w:rPr>
  </w:style>
  <w:style w:type="character" w:customStyle="1" w:styleId="ayesaZnak">
    <w:name w:val="ayesa Znak"/>
    <w:link w:val="ayesa"/>
    <w:rsid w:val="003220D1"/>
    <w:rPr>
      <w:rFonts w:ascii="Arial" w:eastAsia="Times New Roman" w:hAnsi="Arial" w:cs="Times New Roman"/>
      <w:i/>
      <w:iCs/>
      <w:sz w:val="20"/>
      <w:szCs w:val="20"/>
      <w:lang w:val="es-ES" w:eastAsia="ar-SA"/>
    </w:rPr>
  </w:style>
  <w:style w:type="paragraph" w:customStyle="1" w:styleId="Tekstwtabeli">
    <w:name w:val="Tekst w tabeli"/>
    <w:basedOn w:val="Normalny"/>
    <w:rsid w:val="003220D1"/>
    <w:pPr>
      <w:keepNext/>
      <w:spacing w:after="0" w:line="240" w:lineRule="auto"/>
    </w:pPr>
    <w:rPr>
      <w:rFonts w:ascii="Times New Roman" w:eastAsia="Times New Roman" w:hAnsi="Times New Roman" w:cs="Times New Roman"/>
      <w:sz w:val="20"/>
      <w:szCs w:val="20"/>
      <w:lang w:eastAsia="pl-PL"/>
    </w:rPr>
  </w:style>
  <w:style w:type="character" w:customStyle="1" w:styleId="MapadokumentuZnak1">
    <w:name w:val="Mapa dokumentu Znak1"/>
    <w:rsid w:val="003220D1"/>
    <w:rPr>
      <w:rFonts w:ascii="Segoe UI" w:hAnsi="Segoe UI" w:cs="Segoe UI"/>
      <w:sz w:val="16"/>
      <w:szCs w:val="16"/>
    </w:rPr>
  </w:style>
  <w:style w:type="character" w:customStyle="1" w:styleId="PlandokumentuZnak1">
    <w:name w:val="Plan dokumentu Znak1"/>
    <w:uiPriority w:val="99"/>
    <w:semiHidden/>
    <w:rsid w:val="003220D1"/>
    <w:rPr>
      <w:rFonts w:ascii="Tahoma" w:eastAsia="Times New Roman" w:hAnsi="Tahoma" w:cs="Tahoma"/>
      <w:sz w:val="16"/>
      <w:szCs w:val="16"/>
      <w:lang w:val="es-ES" w:eastAsia="es-ES_tradnl"/>
    </w:rPr>
  </w:style>
  <w:style w:type="paragraph" w:customStyle="1" w:styleId="TableText">
    <w:name w:val="Table Text"/>
    <w:basedOn w:val="Normalny"/>
    <w:rsid w:val="003220D1"/>
    <w:pPr>
      <w:spacing w:after="0" w:line="240" w:lineRule="auto"/>
      <w:ind w:left="56"/>
    </w:pPr>
    <w:rPr>
      <w:rFonts w:ascii="Times New Roman" w:eastAsia="Times New Roman" w:hAnsi="Times New Roman" w:cs="Times New Roman"/>
      <w:noProof/>
      <w:sz w:val="20"/>
      <w:szCs w:val="20"/>
      <w:lang w:eastAsia="pl-PL"/>
    </w:rPr>
  </w:style>
  <w:style w:type="paragraph" w:customStyle="1" w:styleId="tabelanorm">
    <w:name w:val="tabela_norm"/>
    <w:basedOn w:val="Normalny"/>
    <w:rsid w:val="003220D1"/>
    <w:pPr>
      <w:spacing w:after="0" w:line="240" w:lineRule="auto"/>
    </w:pPr>
    <w:rPr>
      <w:rFonts w:ascii="Times New Roman" w:eastAsia="Times New Roman" w:hAnsi="Times New Roman" w:cs="Times New Roman"/>
      <w:sz w:val="20"/>
      <w:szCs w:val="24"/>
      <w:lang w:eastAsia="pl-PL"/>
    </w:rPr>
  </w:style>
  <w:style w:type="paragraph" w:customStyle="1" w:styleId="tablica0">
    <w:name w:val="tablica"/>
    <w:basedOn w:val="Normalny"/>
    <w:rsid w:val="003220D1"/>
    <w:pPr>
      <w:spacing w:after="0" w:line="240" w:lineRule="auto"/>
      <w:jc w:val="both"/>
    </w:pPr>
    <w:rPr>
      <w:rFonts w:ascii="Times New Roman" w:eastAsia="Times New Roman" w:hAnsi="Times New Roman" w:cs="Times New Roman"/>
      <w:b/>
      <w:sz w:val="20"/>
      <w:szCs w:val="20"/>
      <w:lang w:eastAsia="pl-PL"/>
    </w:rPr>
  </w:style>
  <w:style w:type="paragraph" w:customStyle="1" w:styleId="TeksttabelaJoanna">
    <w:name w:val="Tekst tabela Joanna"/>
    <w:basedOn w:val="Normalny"/>
    <w:rsid w:val="003220D1"/>
    <w:pPr>
      <w:suppressAutoHyphens/>
      <w:overflowPunct w:val="0"/>
      <w:autoSpaceDE w:val="0"/>
      <w:spacing w:after="0" w:line="240" w:lineRule="auto"/>
      <w:textAlignment w:val="baseline"/>
    </w:pPr>
    <w:rPr>
      <w:rFonts w:ascii="Arial" w:eastAsia="Times New Roman" w:hAnsi="Arial" w:cs="Times New Roman"/>
      <w:sz w:val="20"/>
      <w:szCs w:val="20"/>
      <w:lang w:eastAsia="ar-SA"/>
    </w:rPr>
  </w:style>
  <w:style w:type="paragraph" w:customStyle="1" w:styleId="NAGWEKSPECYFIKACJI">
    <w:name w:val="NAGŁÓWEK SPECYFIKACJI"/>
    <w:basedOn w:val="Nagwek1"/>
    <w:autoRedefine/>
    <w:rsid w:val="003220D1"/>
    <w:pPr>
      <w:keepLines w:val="0"/>
      <w:overflowPunct/>
      <w:autoSpaceDE/>
      <w:autoSpaceDN/>
      <w:adjustRightInd/>
      <w:spacing w:line="276" w:lineRule="auto"/>
      <w:contextualSpacing/>
      <w:textAlignment w:val="auto"/>
    </w:pPr>
    <w:rPr>
      <w:rFonts w:ascii="Verdana" w:hAnsi="Verdana" w:cs="Arial"/>
      <w:iCs/>
      <w:kern w:val="0"/>
      <w:sz w:val="24"/>
      <w:szCs w:val="24"/>
      <w:lang w:val="pl-PL" w:eastAsia="ar-SA"/>
    </w:rPr>
  </w:style>
  <w:style w:type="paragraph" w:customStyle="1" w:styleId="NAGWEKSPECYFIKACJI0">
    <w:name w:val="NAGŁÓWEK SPECYFIKACJI 0"/>
    <w:basedOn w:val="NAGWEKSPECYFIKACJI"/>
    <w:autoRedefine/>
    <w:rsid w:val="003220D1"/>
    <w:pPr>
      <w:numPr>
        <w:numId w:val="45"/>
      </w:numPr>
      <w:tabs>
        <w:tab w:val="clear" w:pos="1211"/>
      </w:tabs>
      <w:spacing w:line="480" w:lineRule="auto"/>
      <w:ind w:left="0" w:firstLine="0"/>
    </w:pPr>
    <w:rPr>
      <w:rFonts w:ascii="Arial" w:hAnsi="Arial"/>
    </w:rPr>
  </w:style>
  <w:style w:type="paragraph" w:customStyle="1" w:styleId="WW-Lista-kontynuacja2">
    <w:name w:val="WW-Lista - kontynuacja 2"/>
    <w:basedOn w:val="Normalny"/>
    <w:rsid w:val="003220D1"/>
    <w:pPr>
      <w:suppressAutoHyphens/>
      <w:spacing w:after="120" w:line="240" w:lineRule="auto"/>
      <w:ind w:left="566" w:firstLine="1"/>
    </w:pPr>
    <w:rPr>
      <w:rFonts w:ascii="Times New Roman" w:eastAsia="Times New Roman" w:hAnsi="Times New Roman" w:cs="Times New Roman"/>
      <w:sz w:val="20"/>
      <w:szCs w:val="20"/>
      <w:lang w:eastAsia="pl-PL"/>
    </w:rPr>
  </w:style>
  <w:style w:type="character" w:customStyle="1" w:styleId="Styl1Znak">
    <w:name w:val="Styl1 Znak"/>
    <w:link w:val="Styl1"/>
    <w:rsid w:val="003220D1"/>
    <w:rPr>
      <w:rFonts w:ascii="Times New Roman" w:eastAsia="Times New Roman" w:hAnsi="Times New Roman" w:cs="Times New Roman"/>
      <w:sz w:val="20"/>
      <w:szCs w:val="20"/>
    </w:rPr>
  </w:style>
  <w:style w:type="paragraph" w:customStyle="1" w:styleId="TEKST2Definicje">
    <w:name w:val="TEKST_2 Definicje"/>
    <w:rsid w:val="003220D1"/>
    <w:pPr>
      <w:tabs>
        <w:tab w:val="left" w:pos="851"/>
      </w:tabs>
      <w:spacing w:before="240" w:after="0" w:line="240" w:lineRule="auto"/>
      <w:ind w:left="851" w:hanging="851"/>
    </w:pPr>
    <w:rPr>
      <w:rFonts w:ascii="Arial" w:eastAsia="Times New Roman" w:hAnsi="Arial" w:cs="Times New Roman"/>
      <w:sz w:val="20"/>
      <w:szCs w:val="20"/>
      <w:lang w:eastAsia="pl-PL"/>
    </w:rPr>
  </w:style>
  <w:style w:type="paragraph" w:customStyle="1" w:styleId="Definicje">
    <w:name w:val="Definicje"/>
    <w:basedOn w:val="Normalny"/>
    <w:autoRedefine/>
    <w:rsid w:val="003220D1"/>
    <w:pPr>
      <w:spacing w:after="120" w:line="240" w:lineRule="auto"/>
      <w:ind w:left="851"/>
      <w:jc w:val="both"/>
    </w:pPr>
    <w:rPr>
      <w:rFonts w:ascii="Arial" w:eastAsia="Times New Roman" w:hAnsi="Arial" w:cs="Times New Roman"/>
      <w:noProof/>
      <w:sz w:val="20"/>
      <w:szCs w:val="20"/>
      <w:lang w:eastAsia="pl-PL"/>
    </w:rPr>
  </w:style>
  <w:style w:type="paragraph" w:customStyle="1" w:styleId="TekstZnak">
    <w:name w:val="Tekst Znak"/>
    <w:basedOn w:val="Normalny"/>
    <w:autoRedefine/>
    <w:rsid w:val="003220D1"/>
    <w:pPr>
      <w:tabs>
        <w:tab w:val="left" w:pos="851"/>
      </w:tabs>
      <w:spacing w:after="120" w:line="240" w:lineRule="auto"/>
      <w:ind w:left="900" w:hanging="49"/>
      <w:jc w:val="right"/>
    </w:pPr>
    <w:rPr>
      <w:rFonts w:ascii="Arial" w:eastAsia="Times New Roman" w:hAnsi="Arial" w:cs="Times New Roman"/>
      <w:bCs/>
      <w:noProof/>
      <w:sz w:val="20"/>
      <w:szCs w:val="24"/>
      <w:lang w:eastAsia="pl-PL"/>
    </w:rPr>
  </w:style>
  <w:style w:type="paragraph" w:customStyle="1" w:styleId="Tabela">
    <w:name w:val="Tabela"/>
    <w:basedOn w:val="Normalny"/>
    <w:rsid w:val="003220D1"/>
    <w:pPr>
      <w:spacing w:before="40" w:after="40" w:line="240" w:lineRule="auto"/>
      <w:ind w:left="113"/>
      <w:jc w:val="both"/>
    </w:pPr>
    <w:rPr>
      <w:rFonts w:ascii="Arial" w:eastAsia="Times New Roman" w:hAnsi="Arial" w:cs="Times New Roman"/>
      <w:bCs/>
      <w:noProof/>
      <w:sz w:val="20"/>
      <w:szCs w:val="24"/>
      <w:lang w:eastAsia="pl-PL"/>
    </w:rPr>
  </w:style>
  <w:style w:type="paragraph" w:customStyle="1" w:styleId="10pkt">
    <w:name w:val="10pkt"/>
    <w:basedOn w:val="Tekstpodstawowy"/>
    <w:rsid w:val="003220D1"/>
    <w:pPr>
      <w:overflowPunct/>
      <w:autoSpaceDE/>
      <w:autoSpaceDN/>
      <w:adjustRightInd/>
      <w:spacing w:line="240" w:lineRule="auto"/>
      <w:ind w:firstLine="0"/>
      <w:jc w:val="both"/>
      <w:textAlignment w:val="auto"/>
    </w:pPr>
    <w:rPr>
      <w:sz w:val="20"/>
      <w:lang w:val="pl-PL" w:eastAsia="pl-PL"/>
    </w:rPr>
  </w:style>
  <w:style w:type="character" w:customStyle="1" w:styleId="Tekstpodstawowy1">
    <w:name w:val="Tekst podstawowy1"/>
    <w:rsid w:val="003220D1"/>
    <w:rPr>
      <w:rFonts w:ascii="Arial" w:hAnsi="Arial"/>
      <w:sz w:val="18"/>
      <w:szCs w:val="18"/>
      <w:lang w:bidi="ar-SA"/>
    </w:rPr>
  </w:style>
  <w:style w:type="numbering" w:customStyle="1" w:styleId="Bezlisty3">
    <w:name w:val="Bez listy3"/>
    <w:next w:val="Bezlisty"/>
    <w:uiPriority w:val="99"/>
    <w:semiHidden/>
    <w:rsid w:val="00AD1E0F"/>
  </w:style>
  <w:style w:type="numbering" w:customStyle="1" w:styleId="mj1">
    <w:name w:val="mój1"/>
    <w:rsid w:val="00AD1E0F"/>
  </w:style>
  <w:style w:type="table" w:customStyle="1" w:styleId="Tabela-Siatka1">
    <w:name w:val="Tabela - Siatka1"/>
    <w:basedOn w:val="Standardowy"/>
    <w:next w:val="Tabela-Siatka"/>
    <w:uiPriority w:val="59"/>
    <w:rsid w:val="00AD1E0F"/>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Grid1"/>
    <w:rsid w:val="00AD1E0F"/>
    <w:pPr>
      <w:spacing w:after="0" w:line="240" w:lineRule="auto"/>
    </w:pPr>
    <w:rPr>
      <w:rFonts w:ascii="Calibri" w:eastAsia="Times New Roman" w:hAnsi="Calibri" w:cs="Times New Roman"/>
      <w:lang w:eastAsia="pl-PL"/>
    </w:rPr>
    <w:tblPr>
      <w:tblCellMar>
        <w:top w:w="0" w:type="dxa"/>
        <w:left w:w="0" w:type="dxa"/>
        <w:bottom w:w="0" w:type="dxa"/>
        <w:right w:w="0" w:type="dxa"/>
      </w:tblCellMar>
    </w:tblPr>
  </w:style>
  <w:style w:type="numbering" w:customStyle="1" w:styleId="Bezlisty4">
    <w:name w:val="Bez listy4"/>
    <w:next w:val="Bezlisty"/>
    <w:uiPriority w:val="99"/>
    <w:semiHidden/>
    <w:rsid w:val="00AD1E0F"/>
  </w:style>
  <w:style w:type="numbering" w:customStyle="1" w:styleId="mj2">
    <w:name w:val="mój2"/>
    <w:rsid w:val="00AD1E0F"/>
  </w:style>
  <w:style w:type="table" w:customStyle="1" w:styleId="Tabela-Siatka2">
    <w:name w:val="Tabela - Siatka2"/>
    <w:basedOn w:val="Standardowy"/>
    <w:next w:val="Tabela-Siatka"/>
    <w:uiPriority w:val="59"/>
    <w:rsid w:val="00AD1E0F"/>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Grid2"/>
    <w:rsid w:val="00AD1E0F"/>
    <w:pPr>
      <w:spacing w:after="0" w:line="240" w:lineRule="auto"/>
    </w:pPr>
    <w:rPr>
      <w:rFonts w:ascii="Calibri" w:eastAsia="Times New Roman" w:hAnsi="Calibri" w:cs="Times New Roman"/>
      <w:lang w:eastAsia="pl-PL"/>
    </w:rPr>
    <w:tblPr>
      <w:tblCellMar>
        <w:top w:w="0" w:type="dxa"/>
        <w:left w:w="0" w:type="dxa"/>
        <w:bottom w:w="0" w:type="dxa"/>
        <w:right w:w="0" w:type="dxa"/>
      </w:tblCellMar>
    </w:tblPr>
  </w:style>
  <w:style w:type="numbering" w:customStyle="1" w:styleId="Bezlisty5">
    <w:name w:val="Bez listy5"/>
    <w:next w:val="Bezlisty"/>
    <w:uiPriority w:val="99"/>
    <w:semiHidden/>
    <w:rsid w:val="002326E7"/>
  </w:style>
  <w:style w:type="numbering" w:customStyle="1" w:styleId="mj3">
    <w:name w:val="mój3"/>
    <w:rsid w:val="002326E7"/>
  </w:style>
  <w:style w:type="table" w:customStyle="1" w:styleId="Tabela-Siatka3">
    <w:name w:val="Tabela - Siatka3"/>
    <w:basedOn w:val="Standardowy"/>
    <w:next w:val="Tabela-Siatka"/>
    <w:uiPriority w:val="59"/>
    <w:rsid w:val="002326E7"/>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Grid3"/>
    <w:rsid w:val="002326E7"/>
    <w:pPr>
      <w:spacing w:after="0" w:line="240" w:lineRule="auto"/>
    </w:pPr>
    <w:rPr>
      <w:rFonts w:ascii="Calibri" w:eastAsia="Times New Roman" w:hAnsi="Calibri" w:cs="Times New Roman"/>
      <w:lang w:eastAsia="pl-PL"/>
    </w:rPr>
    <w:tblPr>
      <w:tblCellMar>
        <w:top w:w="0" w:type="dxa"/>
        <w:left w:w="0" w:type="dxa"/>
        <w:bottom w:w="0" w:type="dxa"/>
        <w:right w:w="0" w:type="dxa"/>
      </w:tblCellMar>
    </w:tblPr>
  </w:style>
  <w:style w:type="numbering" w:customStyle="1" w:styleId="Bezlisty6">
    <w:name w:val="Bez listy6"/>
    <w:next w:val="Bezlisty"/>
    <w:uiPriority w:val="99"/>
    <w:semiHidden/>
    <w:rsid w:val="002326E7"/>
  </w:style>
  <w:style w:type="numbering" w:customStyle="1" w:styleId="mj4">
    <w:name w:val="mój4"/>
    <w:rsid w:val="002326E7"/>
  </w:style>
  <w:style w:type="table" w:customStyle="1" w:styleId="Tabela-Siatka4">
    <w:name w:val="Tabela - Siatka4"/>
    <w:basedOn w:val="Standardowy"/>
    <w:next w:val="Tabela-Siatka"/>
    <w:uiPriority w:val="59"/>
    <w:rsid w:val="002326E7"/>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Grid4"/>
    <w:rsid w:val="002326E7"/>
    <w:pPr>
      <w:spacing w:after="0" w:line="240" w:lineRule="auto"/>
    </w:pPr>
    <w:rPr>
      <w:rFonts w:ascii="Calibri" w:eastAsia="Times New Roman" w:hAnsi="Calibri" w:cs="Times New Roman"/>
      <w:lang w:eastAsia="pl-PL"/>
    </w:rPr>
    <w:tblPr>
      <w:tblCellMar>
        <w:top w:w="0" w:type="dxa"/>
        <w:left w:w="0" w:type="dxa"/>
        <w:bottom w:w="0" w:type="dxa"/>
        <w:right w:w="0" w:type="dxa"/>
      </w:tblCellMar>
    </w:tblPr>
  </w:style>
  <w:style w:type="numbering" w:customStyle="1" w:styleId="Bezlisty7">
    <w:name w:val="Bez listy7"/>
    <w:next w:val="Bezlisty"/>
    <w:uiPriority w:val="99"/>
    <w:semiHidden/>
    <w:rsid w:val="00F623B9"/>
  </w:style>
  <w:style w:type="numbering" w:customStyle="1" w:styleId="mj5">
    <w:name w:val="mój5"/>
    <w:rsid w:val="00F623B9"/>
  </w:style>
  <w:style w:type="table" w:customStyle="1" w:styleId="Tabela-Siatka5">
    <w:name w:val="Tabela - Siatka5"/>
    <w:basedOn w:val="Standardowy"/>
    <w:next w:val="Tabela-Siatka"/>
    <w:uiPriority w:val="59"/>
    <w:rsid w:val="00F623B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Grid5"/>
    <w:rsid w:val="00F623B9"/>
    <w:pPr>
      <w:spacing w:after="0" w:line="240" w:lineRule="auto"/>
    </w:pPr>
    <w:rPr>
      <w:rFonts w:ascii="Calibri" w:eastAsia="Times New Roman" w:hAnsi="Calibri" w:cs="Times New Roman"/>
      <w:lang w:eastAsia="pl-PL"/>
    </w:rPr>
    <w:tblPr>
      <w:tblCellMar>
        <w:top w:w="0" w:type="dxa"/>
        <w:left w:w="0" w:type="dxa"/>
        <w:bottom w:w="0" w:type="dxa"/>
        <w:right w:w="0" w:type="dxa"/>
      </w:tblCellMar>
    </w:tblPr>
  </w:style>
  <w:style w:type="numbering" w:customStyle="1" w:styleId="Bezlisty8">
    <w:name w:val="Bez listy8"/>
    <w:next w:val="Bezlisty"/>
    <w:uiPriority w:val="99"/>
    <w:semiHidden/>
    <w:rsid w:val="00176CD4"/>
  </w:style>
  <w:style w:type="numbering" w:customStyle="1" w:styleId="mj6">
    <w:name w:val="mój6"/>
    <w:rsid w:val="00176CD4"/>
    <w:pPr>
      <w:numPr>
        <w:numId w:val="20"/>
      </w:numPr>
    </w:pPr>
  </w:style>
  <w:style w:type="table" w:customStyle="1" w:styleId="Tabela-Siatka6">
    <w:name w:val="Tabela - Siatka6"/>
    <w:basedOn w:val="Standardowy"/>
    <w:next w:val="Tabela-Siatka"/>
    <w:uiPriority w:val="59"/>
    <w:rsid w:val="00176CD4"/>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Grid6"/>
    <w:rsid w:val="00176CD4"/>
    <w:pPr>
      <w:spacing w:after="0" w:line="240" w:lineRule="auto"/>
    </w:pPr>
    <w:rPr>
      <w:rFonts w:ascii="Calibri" w:eastAsia="Times New Roman" w:hAnsi="Calibri" w:cs="Times New Roman"/>
      <w:lang w:eastAsia="pl-PL"/>
    </w:rPr>
    <w:tblPr>
      <w:tblCellMar>
        <w:top w:w="0" w:type="dxa"/>
        <w:left w:w="0" w:type="dxa"/>
        <w:bottom w:w="0" w:type="dxa"/>
        <w:right w:w="0" w:type="dxa"/>
      </w:tblCellMar>
    </w:tblPr>
  </w:style>
  <w:style w:type="numbering" w:customStyle="1" w:styleId="Bezlisty9">
    <w:name w:val="Bez listy9"/>
    <w:next w:val="Bezlisty"/>
    <w:uiPriority w:val="99"/>
    <w:semiHidden/>
    <w:rsid w:val="00813B74"/>
  </w:style>
  <w:style w:type="paragraph" w:customStyle="1" w:styleId="Standardowy2">
    <w:name w:val="Standardowy2"/>
    <w:rsid w:val="00813B74"/>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pl-PL"/>
    </w:rPr>
  </w:style>
  <w:style w:type="paragraph" w:customStyle="1" w:styleId="Tekstpodstawowy22">
    <w:name w:val="Tekst podstawowy 22"/>
    <w:basedOn w:val="Normalny"/>
    <w:rsid w:val="00813B74"/>
    <w:pPr>
      <w:overflowPunct w:val="0"/>
      <w:autoSpaceDE w:val="0"/>
      <w:autoSpaceDN w:val="0"/>
      <w:adjustRightInd w:val="0"/>
      <w:spacing w:after="0" w:line="240" w:lineRule="auto"/>
      <w:ind w:left="360" w:firstLine="709"/>
      <w:jc w:val="both"/>
      <w:textAlignment w:val="baseline"/>
    </w:pPr>
    <w:rPr>
      <w:rFonts w:ascii="Times New Roman" w:eastAsia="Times New Roman" w:hAnsi="Times New Roman" w:cs="Times New Roman"/>
      <w:sz w:val="20"/>
      <w:szCs w:val="20"/>
      <w:lang w:eastAsia="pl-PL"/>
    </w:rPr>
  </w:style>
  <w:style w:type="paragraph" w:customStyle="1" w:styleId="Tekstpodstawowywcity32">
    <w:name w:val="Tekst podstawowy wcięty 32"/>
    <w:basedOn w:val="Normalny"/>
    <w:rsid w:val="00813B74"/>
    <w:pPr>
      <w:tabs>
        <w:tab w:val="left" w:pos="964"/>
      </w:tabs>
      <w:overflowPunct w:val="0"/>
      <w:autoSpaceDE w:val="0"/>
      <w:autoSpaceDN w:val="0"/>
      <w:adjustRightInd w:val="0"/>
      <w:spacing w:after="120" w:line="240" w:lineRule="auto"/>
      <w:ind w:left="964" w:hanging="964"/>
      <w:jc w:val="both"/>
      <w:textAlignment w:val="baseline"/>
    </w:pPr>
    <w:rPr>
      <w:rFonts w:ascii="Times New Roman" w:eastAsia="Times New Roman" w:hAnsi="Times New Roman" w:cs="Times New Roman"/>
      <w:sz w:val="20"/>
      <w:szCs w:val="20"/>
      <w:lang w:eastAsia="pl-PL"/>
    </w:rPr>
  </w:style>
  <w:style w:type="paragraph" w:customStyle="1" w:styleId="Tekstpodstawowy32">
    <w:name w:val="Tekst podstawowy 32"/>
    <w:basedOn w:val="Normalny"/>
    <w:rsid w:val="00813B74"/>
    <w:pPr>
      <w:widowControl w:val="0"/>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4"/>
      <w:szCs w:val="20"/>
      <w:lang w:eastAsia="pl-PL"/>
    </w:rPr>
  </w:style>
  <w:style w:type="paragraph" w:customStyle="1" w:styleId="Tekstpodstawowywcity22">
    <w:name w:val="Tekst podstawowy wcięty 22"/>
    <w:basedOn w:val="Normalny"/>
    <w:rsid w:val="00813B74"/>
    <w:pPr>
      <w:tabs>
        <w:tab w:val="left" w:pos="0"/>
        <w:tab w:val="right" w:pos="8953"/>
      </w:tabs>
      <w:spacing w:after="0" w:line="240" w:lineRule="auto"/>
      <w:ind w:left="1985" w:hanging="1191"/>
      <w:jc w:val="both"/>
    </w:pPr>
    <w:rPr>
      <w:rFonts w:ascii="Times New Roman" w:eastAsia="Times New Roman" w:hAnsi="Times New Roman" w:cs="Times New Roman"/>
      <w:i/>
      <w:szCs w:val="20"/>
      <w:lang w:eastAsia="pl-PL"/>
    </w:rPr>
  </w:style>
  <w:style w:type="numbering" w:customStyle="1" w:styleId="mj7">
    <w:name w:val="mój7"/>
    <w:rsid w:val="00813B74"/>
  </w:style>
  <w:style w:type="table" w:customStyle="1" w:styleId="Tabela-Siatka7">
    <w:name w:val="Tabela - Siatka7"/>
    <w:basedOn w:val="Standardowy"/>
    <w:next w:val="Tabela-Siatka"/>
    <w:uiPriority w:val="59"/>
    <w:rsid w:val="00813B74"/>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Grid7"/>
    <w:rsid w:val="00813B74"/>
    <w:pPr>
      <w:spacing w:after="0" w:line="240" w:lineRule="auto"/>
    </w:pPr>
    <w:rPr>
      <w:rFonts w:ascii="Calibri" w:eastAsia="Times New Roman" w:hAnsi="Calibri" w:cs="Times New Roman"/>
      <w:lang w:eastAsia="pl-PL"/>
    </w:rPr>
    <w:tblPr>
      <w:tblCellMar>
        <w:top w:w="0" w:type="dxa"/>
        <w:left w:w="0" w:type="dxa"/>
        <w:bottom w:w="0" w:type="dxa"/>
        <w:right w:w="0" w:type="dxa"/>
      </w:tblCellMar>
    </w:tblPr>
  </w:style>
  <w:style w:type="numbering" w:customStyle="1" w:styleId="Bezlisty10">
    <w:name w:val="Bez listy10"/>
    <w:next w:val="Bezlisty"/>
    <w:uiPriority w:val="99"/>
    <w:semiHidden/>
    <w:rsid w:val="001565C9"/>
  </w:style>
  <w:style w:type="numbering" w:customStyle="1" w:styleId="mj8">
    <w:name w:val="mój8"/>
    <w:rsid w:val="001565C9"/>
    <w:pPr>
      <w:numPr>
        <w:numId w:val="32"/>
      </w:numPr>
    </w:pPr>
  </w:style>
  <w:style w:type="table" w:customStyle="1" w:styleId="Tabela-Siatka8">
    <w:name w:val="Tabela - Siatka8"/>
    <w:basedOn w:val="Standardowy"/>
    <w:next w:val="Tabela-Siatka"/>
    <w:uiPriority w:val="59"/>
    <w:rsid w:val="001565C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Grid8"/>
    <w:rsid w:val="001565C9"/>
    <w:pPr>
      <w:spacing w:after="0" w:line="240" w:lineRule="auto"/>
    </w:pPr>
    <w:rPr>
      <w:rFonts w:ascii="Calibri" w:eastAsia="Times New Roman" w:hAnsi="Calibri" w:cs="Times New Roman"/>
      <w:lang w:eastAsia="pl-PL"/>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717850">
      <w:bodyDiv w:val="1"/>
      <w:marLeft w:val="0"/>
      <w:marRight w:val="0"/>
      <w:marTop w:val="0"/>
      <w:marBottom w:val="0"/>
      <w:divBdr>
        <w:top w:val="none" w:sz="0" w:space="0" w:color="auto"/>
        <w:left w:val="none" w:sz="0" w:space="0" w:color="auto"/>
        <w:bottom w:val="none" w:sz="0" w:space="0" w:color="auto"/>
        <w:right w:val="none" w:sz="0" w:space="0" w:color="auto"/>
      </w:divBdr>
    </w:div>
    <w:div w:id="485360601">
      <w:bodyDiv w:val="1"/>
      <w:marLeft w:val="0"/>
      <w:marRight w:val="0"/>
      <w:marTop w:val="0"/>
      <w:marBottom w:val="0"/>
      <w:divBdr>
        <w:top w:val="none" w:sz="0" w:space="0" w:color="auto"/>
        <w:left w:val="none" w:sz="0" w:space="0" w:color="auto"/>
        <w:bottom w:val="none" w:sz="0" w:space="0" w:color="auto"/>
        <w:right w:val="none" w:sz="0" w:space="0" w:color="auto"/>
      </w:divBdr>
    </w:div>
    <w:div w:id="809715440">
      <w:bodyDiv w:val="1"/>
      <w:marLeft w:val="0"/>
      <w:marRight w:val="0"/>
      <w:marTop w:val="0"/>
      <w:marBottom w:val="0"/>
      <w:divBdr>
        <w:top w:val="none" w:sz="0" w:space="0" w:color="auto"/>
        <w:left w:val="none" w:sz="0" w:space="0" w:color="auto"/>
        <w:bottom w:val="none" w:sz="0" w:space="0" w:color="auto"/>
        <w:right w:val="none" w:sz="0" w:space="0" w:color="auto"/>
      </w:divBdr>
    </w:div>
    <w:div w:id="1234004861">
      <w:bodyDiv w:val="1"/>
      <w:marLeft w:val="0"/>
      <w:marRight w:val="0"/>
      <w:marTop w:val="0"/>
      <w:marBottom w:val="0"/>
      <w:divBdr>
        <w:top w:val="none" w:sz="0" w:space="0" w:color="auto"/>
        <w:left w:val="none" w:sz="0" w:space="0" w:color="auto"/>
        <w:bottom w:val="none" w:sz="0" w:space="0" w:color="auto"/>
        <w:right w:val="none" w:sz="0" w:space="0" w:color="auto"/>
      </w:divBdr>
    </w:div>
    <w:div w:id="1465351635">
      <w:bodyDiv w:val="1"/>
      <w:marLeft w:val="0"/>
      <w:marRight w:val="0"/>
      <w:marTop w:val="0"/>
      <w:marBottom w:val="0"/>
      <w:divBdr>
        <w:top w:val="none" w:sz="0" w:space="0" w:color="auto"/>
        <w:left w:val="none" w:sz="0" w:space="0" w:color="auto"/>
        <w:bottom w:val="none" w:sz="0" w:space="0" w:color="auto"/>
        <w:right w:val="none" w:sz="0" w:space="0" w:color="auto"/>
      </w:divBdr>
    </w:div>
    <w:div w:id="19562550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hyperlink" Target="https://pl.wikipedia.org/wiki/Podwozie_g%C4%85sienicowe" TargetMode="External"/><Relationship Id="rId26" Type="http://schemas.openxmlformats.org/officeDocument/2006/relationships/image" Target="media/image7.jpeg"/><Relationship Id="rId3" Type="http://schemas.openxmlformats.org/officeDocument/2006/relationships/settings" Target="settings.xml"/><Relationship Id="rId21" Type="http://schemas.openxmlformats.org/officeDocument/2006/relationships/image" Target="media/image2.jpeg"/><Relationship Id="rId7" Type="http://schemas.openxmlformats.org/officeDocument/2006/relationships/header" Target="header1.xml"/><Relationship Id="rId12" Type="http://schemas.openxmlformats.org/officeDocument/2006/relationships/header" Target="header2.xml"/><Relationship Id="rId17" Type="http://schemas.openxmlformats.org/officeDocument/2006/relationships/hyperlink" Target="https://pl.wikipedia.org/w/index.php?title=Podwozie_ko%C5%82owe&amp;action=edit&amp;redlink=1" TargetMode="External"/><Relationship Id="rId25"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hyperlink" Target="https://pl.wikipedia.org/w/index.php?title=Podwozie_ko%C5%82owe&amp;action=edit&amp;redlink=1" TargetMode="External"/><Relationship Id="rId20" Type="http://schemas.openxmlformats.org/officeDocument/2006/relationships/image" Target="media/image1.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iedza.pkn.pl/web/guest/wyszukiwarka-norm?p_auth=l38WDZ8y&amp;p_p_id=searchstandards_WAR_p4scustomerpknzwnelsearchstandardsportlet&amp;p_p_lifecycle=1&amp;p_p_state=normal&amp;p_p_mode=view&amp;p_p_col_id=column-1&amp;p_p_col_count=1&amp;_searchstandards_WAR_p4scustomerpknzwnelsearchstandardsportlet_standardNumber=PN-S-02205%3A1998P&amp;_searchstandards_WAR_p4scustomerpknzwnelsearchstandardsportlet_javax.portlet.action=showStandardDetailsAction" TargetMode="External"/><Relationship Id="rId24"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https://pl.wikipedia.org/wiki/Kruszenie" TargetMode="External"/><Relationship Id="rId23" Type="http://schemas.openxmlformats.org/officeDocument/2006/relationships/image" Target="media/image4.jpeg"/><Relationship Id="rId28" Type="http://schemas.openxmlformats.org/officeDocument/2006/relationships/fontTable" Target="fontTable.xml"/><Relationship Id="rId10" Type="http://schemas.openxmlformats.org/officeDocument/2006/relationships/hyperlink" Target="http://sklep.pkn.pl/pn-en-1097-5-2001p.html" TargetMode="External"/><Relationship Id="rId19" Type="http://schemas.openxmlformats.org/officeDocument/2006/relationships/hyperlink" Target="https://pl.wikipedia.org/wiki/Podwozie_g%C4%85sienicowe" TargetMode="Externa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footer" Target="footer4.xml"/><Relationship Id="rId22" Type="http://schemas.openxmlformats.org/officeDocument/2006/relationships/image" Target="media/image3.jpeg"/><Relationship Id="rId27" Type="http://schemas.openxmlformats.org/officeDocument/2006/relationships/image" Target="media/image8.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122</TotalTime>
  <Pages>198</Pages>
  <Words>99979</Words>
  <Characters>599876</Characters>
  <Application>Microsoft Office Word</Application>
  <DocSecurity>0</DocSecurity>
  <Lines>4998</Lines>
  <Paragraphs>1396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698459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Przemysław Lemik</dc:creator>
  <cp:keywords/>
  <dc:description/>
  <cp:lastModifiedBy>ZDW</cp:lastModifiedBy>
  <cp:revision>25</cp:revision>
  <cp:lastPrinted>2021-07-22T09:22:00Z</cp:lastPrinted>
  <dcterms:created xsi:type="dcterms:W3CDTF">2021-07-22T11:09:00Z</dcterms:created>
  <dcterms:modified xsi:type="dcterms:W3CDTF">2022-02-14T14:03:00Z</dcterms:modified>
</cp:coreProperties>
</file>