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1" w:name="_Toc419273623" w:displacedByCustomXml="next"/>
    <w:sdt>
      <w:sdtPr>
        <w:id w:val="-506436334"/>
        <w:docPartObj>
          <w:docPartGallery w:val="Cover Pages"/>
          <w:docPartUnique/>
        </w:docPartObj>
      </w:sdtPr>
      <w:sdtEndPr>
        <w:rPr>
          <w:rFonts w:ascii="Times New Roman" w:eastAsia="Calibri" w:hAnsi="Times New Roman" w:cs="Times New Roman"/>
          <w:b/>
          <w:bCs/>
          <w:color w:val="385623"/>
          <w:sz w:val="28"/>
          <w:szCs w:val="28"/>
          <w:lang w:eastAsia="en-US"/>
        </w:rPr>
      </w:sdtEndPr>
      <w:sdtContent>
        <w:p w:rsidR="0031028F" w:rsidRPr="00A83241" w:rsidRDefault="00A05E44" w:rsidP="00A83241">
          <w:pPr>
            <w:sectPr w:rsidR="0031028F" w:rsidRPr="00A83241" w:rsidSect="00EE7C08">
              <w:headerReference w:type="default" r:id="rId9"/>
              <w:footerReference w:type="default" r:id="rId10"/>
              <w:pgSz w:w="11906" w:h="16838"/>
              <w:pgMar w:top="238" w:right="244" w:bottom="249" w:left="238" w:header="709" w:footer="709" w:gutter="0"/>
              <w:pgNumType w:start="0"/>
              <w:cols w:space="708"/>
              <w:titlePg/>
              <w:docGrid w:linePitch="360"/>
            </w:sectPr>
          </w:pPr>
          <w:r>
            <w:rPr>
              <w:noProof/>
            </w:rPr>
            <w:pict>
              <v:group id="Grupa 193" o:spid="_x0000_s1026" style="position:absolute;margin-left:0;margin-top:0;width:482.5pt;height:644pt;z-index:-251650560;mso-position-horizontal:center;mso-position-horizontal-relative:page;mso-position-vertical:center;mso-position-vertical-relative:page" coordsize="68644,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">
                <v:rect id="Prostokąt 194" o:spid="_x0000_s1027" style="position:absolute;width:68580;height:137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WN8MA&#10;AADcAAAADwAAAGRycy9kb3ducmV2LnhtbERPTWsCMRC9F/wPYQRvNWuxYlejWEHpsVUp7W3YjJvF&#10;zSRssu7aX98UCt7m8T5nue5tLa7UhMqxgsk4A0FcOF1xqeB03D3OQYSIrLF2TApuFGC9GjwsMdeu&#10;4w+6HmIpUgiHHBWYGH0uZSgMWQxj54kTd3aNxZhgU0rdYJfCbS2fsmwmLVacGgx62hoqLofWKvD7&#10;0/v32bz6bnb7fN73Zfv1U7VKjYb9ZgEiUh/v4n/3m07zX6b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dWN8MAAADcAAAADwAAAAAAAAAAAAAAAACYAgAAZHJzL2Rv&#10;d25yZXYueG1sUEsFBgAAAAAEAAQA9QAAAIgDAAAAAA==&#10;" fillcolor="#a5300f [3204]" stroked="f" strokeweight="2pt"/>
                <v:rect id="Prostokąt 195" o:spid="_x0000_s1028" style="position:absolute;left:64;top:40943;width:68580;height:5029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J8MUA&#10;AADcAAAADwAAAGRycy9kb3ducmV2LnhtbESP0WoCMRBF3wv+QxjBN81aaalboyxCUQpCa/sB42a6&#10;u7qZrEm6pn9vBKFvM9w799xZrKJpRU/ON5YVTCcZCOLS6oYrBd9fb+MXED4ga2wtk4I/8rBaDh4W&#10;mGt74U/q96ESKYR9jgrqELpcSl/WZNBPbEectB/rDIa0ukpqh5cUblr5mGXP0mDDiVBjR+uaytP+&#10;1yTu4d3FYid3x03Rz1w82/PmY6vUaBiLVxCBYvg336+3OtWfP8HtmTSB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4nwxQAAANwAAAAPAAAAAAAAAAAAAAAAAJgCAABkcnMv&#10;ZG93bnJldi54bWxQSwUGAAAAAAQABAD1AAAAigMAAAAA&#10;" fillcolor="#a5300f [3204]" stroked="f" strokeweight="2pt">
                  <v:textbox inset="36pt,57.6pt,36pt,36pt">
                    <w:txbxContent>
                      <w:sdt>
                        <w:sdtPr>
                          <w:rPr>
                            <w:b/>
                            <w:bCs/>
                            <w:color w:val="FFFFFF" w:themeColor="background1"/>
                            <w:sz w:val="40"/>
                            <w:szCs w:val="40"/>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rsidR="00C42D8C" w:rsidRPr="00EE7C08" w:rsidRDefault="00C42D8C">
                            <w:pPr>
                              <w:pStyle w:val="Bezodstpw"/>
                              <w:spacing w:before="120"/>
                              <w:jc w:val="center"/>
                              <w:rPr>
                                <w:b/>
                                <w:bCs/>
                                <w:color w:val="FFFFFF" w:themeColor="background1"/>
                                <w:sz w:val="40"/>
                                <w:szCs w:val="40"/>
                              </w:rPr>
                            </w:pPr>
                            <w:r>
                              <w:rPr>
                                <w:b/>
                                <w:bCs/>
                                <w:color w:val="FFFFFF" w:themeColor="background1"/>
                                <w:sz w:val="40"/>
                                <w:szCs w:val="40"/>
                              </w:rPr>
                              <w:t>Wieliczki  2025</w:t>
                            </w:r>
                          </w:p>
                        </w:sdtContent>
                      </w:sdt>
                      <w:p w:rsidR="00C42D8C" w:rsidRDefault="00A05E44">
                        <w:pPr>
                          <w:pStyle w:val="Bezodstpw"/>
                          <w:spacing w:before="120"/>
                          <w:jc w:val="center"/>
                          <w:rPr>
                            <w:color w:val="FFFFFF" w:themeColor="background1"/>
                          </w:rPr>
                        </w:pPr>
                        <w:sdt>
                          <w:sdtPr>
                            <w:rPr>
                              <w:caps/>
                              <w:color w:val="FFFFFF" w:themeColor="background1"/>
                            </w:rPr>
                            <w:alias w:val="Firma"/>
                            <w:tag w:val=""/>
                            <w:id w:val="1618182777"/>
                            <w:showingPlcHdr/>
                            <w:dataBinding w:prefixMappings="xmlns:ns0='http://schemas.openxmlformats.org/officeDocument/2006/extended-properties' " w:xpath="/ns0:Properties[1]/ns0:Company[1]" w:storeItemID="{6668398D-A668-4E3E-A5EB-62B293D839F1}"/>
                            <w:text/>
                          </w:sdtPr>
                          <w:sdtContent>
                            <w:r w:rsidR="00C42D8C">
                              <w:rPr>
                                <w:caps/>
                                <w:color w:val="FFFFFF" w:themeColor="background1"/>
                              </w:rPr>
                              <w:t xml:space="preserve">     </w:t>
                            </w:r>
                          </w:sdtContent>
                        </w:sdt>
                        <w:r w:rsidR="00C42D8C">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Content>
                            <w:r w:rsidR="00C42D8C">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Pole tekstowe 196" o:spid="_x0000_s1029" type="#_x0000_t202" style="position:absolute;left:64;top:15565;width:68580;height:3567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A5300F" w:themeColor="accent1"/>
                            <w:sz w:val="56"/>
                            <w:szCs w:val="56"/>
                          </w:rPr>
                          <w:alias w:val="Tytuł"/>
                          <w:tag w:val=""/>
                          <w:id w:val="-9991715"/>
                          <w:dataBinding w:prefixMappings="xmlns:ns0='http://purl.org/dc/elements/1.1/' xmlns:ns1='http://schemas.openxmlformats.org/package/2006/metadata/core-properties' " w:xpath="/ns1:coreProperties[1]/ns0:title[1]" w:storeItemID="{6C3C8BC8-F283-45AE-878A-BAB7291924A1}"/>
                          <w:text/>
                        </w:sdtPr>
                        <w:sdtContent>
                          <w:p w:rsidR="00C42D8C" w:rsidRPr="006E6EF8" w:rsidRDefault="00C42D8C">
                            <w:pPr>
                              <w:pStyle w:val="Bezodstpw"/>
                              <w:jc w:val="center"/>
                              <w:rPr>
                                <w:rFonts w:asciiTheme="majorHAnsi" w:eastAsiaTheme="majorEastAsia" w:hAnsiTheme="majorHAnsi" w:cstheme="majorBidi"/>
                                <w:caps/>
                                <w:color w:val="A5300F" w:themeColor="accent1"/>
                                <w:sz w:val="56"/>
                                <w:szCs w:val="56"/>
                              </w:rPr>
                            </w:pPr>
                            <w:r w:rsidRPr="006E6EF8">
                              <w:rPr>
                                <w:rFonts w:asciiTheme="majorHAnsi" w:eastAsiaTheme="majorEastAsia" w:hAnsiTheme="majorHAnsi" w:cstheme="majorBidi"/>
                                <w:caps/>
                                <w:color w:val="A5300F" w:themeColor="accent1"/>
                                <w:sz w:val="56"/>
                                <w:szCs w:val="56"/>
                              </w:rPr>
                              <w:t>Projekt założeń do planu zaopatrzenia w ciepło, energię elektryczną i paliwa gazowe</w:t>
                            </w:r>
                            <w:r>
                              <w:rPr>
                                <w:rFonts w:asciiTheme="majorHAnsi" w:eastAsiaTheme="majorEastAsia" w:hAnsiTheme="majorHAnsi" w:cstheme="majorBidi"/>
                                <w:caps/>
                                <w:color w:val="A5300F" w:themeColor="accent1"/>
                                <w:sz w:val="56"/>
                                <w:szCs w:val="56"/>
                              </w:rPr>
                              <w:t xml:space="preserve"> dla Gminy WIELICZKI na lata 2025-2035</w:t>
                            </w:r>
                          </w:p>
                        </w:sdtContent>
                      </w:sdt>
                    </w:txbxContent>
                  </v:textbox>
                </v:shape>
                <w10:wrap anchorx="page" anchory="page"/>
              </v:group>
            </w:pict>
          </w:r>
        </w:p>
      </w:sdtContent>
    </w:sdt>
    <w:p w:rsidR="0031028F" w:rsidRPr="00194C4A" w:rsidRDefault="0031028F" w:rsidP="009F6BCA">
      <w:pPr>
        <w:spacing w:line="259" w:lineRule="auto"/>
        <w:rPr>
          <w:rFonts w:ascii="Times New Roman" w:eastAsia="Calibri" w:hAnsi="Times New Roman" w:cs="Times New Roman"/>
          <w:sz w:val="28"/>
          <w:szCs w:val="28"/>
          <w:lang w:eastAsia="en-US"/>
        </w:rPr>
      </w:pPr>
    </w:p>
    <w:p w:rsidR="00E34ED5" w:rsidRPr="00F92E31" w:rsidRDefault="00E34ED5" w:rsidP="00E34ED5">
      <w:pPr>
        <w:jc w:val="both"/>
        <w:rPr>
          <w:rFonts w:ascii="Times New Roman" w:hAnsi="Times New Roman" w:cs="Times New Roman"/>
          <w:b/>
          <w:sz w:val="20"/>
          <w:szCs w:val="20"/>
        </w:rPr>
      </w:pPr>
      <w:r w:rsidRPr="00F92E31">
        <w:rPr>
          <w:rFonts w:ascii="Times New Roman" w:hAnsi="Times New Roman" w:cs="Times New Roman"/>
          <w:b/>
          <w:sz w:val="20"/>
          <w:szCs w:val="20"/>
        </w:rPr>
        <w:t>Spis treści</w:t>
      </w:r>
    </w:p>
    <w:p w:rsidR="00E34ED5" w:rsidRPr="00C42D8C" w:rsidRDefault="00E34ED5"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w:t>
      </w:r>
      <w:r w:rsidR="00C42D8C" w:rsidRPr="00C42D8C">
        <w:rPr>
          <w:rFonts w:ascii="Times New Roman" w:hAnsi="Times New Roman" w:cs="Times New Roman"/>
          <w:sz w:val="18"/>
          <w:szCs w:val="16"/>
        </w:rPr>
        <w:t>.</w:t>
      </w:r>
      <w:r w:rsidRPr="00C42D8C">
        <w:rPr>
          <w:rFonts w:ascii="Times New Roman" w:hAnsi="Times New Roman" w:cs="Times New Roman"/>
          <w:sz w:val="18"/>
          <w:szCs w:val="16"/>
        </w:rPr>
        <w:t xml:space="preserve"> Część Og</w:t>
      </w:r>
      <w:r w:rsidR="00C42D8C" w:rsidRPr="00C42D8C">
        <w:rPr>
          <w:rFonts w:ascii="Times New Roman" w:hAnsi="Times New Roman" w:cs="Times New Roman"/>
          <w:sz w:val="18"/>
          <w:szCs w:val="16"/>
        </w:rPr>
        <w:t>ólna………………………………………</w:t>
      </w:r>
      <w:r w:rsidRPr="00C42D8C">
        <w:rPr>
          <w:rFonts w:ascii="Times New Roman" w:hAnsi="Times New Roman" w:cs="Times New Roman"/>
          <w:sz w:val="18"/>
          <w:szCs w:val="16"/>
        </w:rPr>
        <w:t>………………………………………………</w:t>
      </w:r>
      <w:r w:rsidR="00C42D8C">
        <w:rPr>
          <w:rFonts w:ascii="Times New Roman" w:hAnsi="Times New Roman" w:cs="Times New Roman"/>
          <w:sz w:val="18"/>
          <w:szCs w:val="16"/>
        </w:rPr>
        <w:t>……………………</w:t>
      </w:r>
      <w:r w:rsidRPr="00C42D8C">
        <w:rPr>
          <w:rFonts w:ascii="Times New Roman" w:hAnsi="Times New Roman" w:cs="Times New Roman"/>
          <w:sz w:val="18"/>
          <w:szCs w:val="16"/>
        </w:rPr>
        <w:t>……..5</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1.1. Zakres opracowania……………………………………………………………………………</w:t>
      </w:r>
      <w:r>
        <w:rPr>
          <w:rFonts w:ascii="Times New Roman" w:hAnsi="Times New Roman" w:cs="Times New Roman"/>
          <w:sz w:val="18"/>
          <w:szCs w:val="16"/>
        </w:rPr>
        <w:t>…………………….</w:t>
      </w:r>
      <w:r w:rsidRPr="00C42D8C">
        <w:rPr>
          <w:rFonts w:ascii="Times New Roman" w:hAnsi="Times New Roman" w:cs="Times New Roman"/>
          <w:sz w:val="18"/>
          <w:szCs w:val="16"/>
        </w:rPr>
        <w:t>……….5</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1.1.1. Podstawa opracowania………………………………………………………………</w:t>
      </w:r>
      <w:r>
        <w:rPr>
          <w:rFonts w:ascii="Times New Roman" w:hAnsi="Times New Roman" w:cs="Times New Roman"/>
          <w:sz w:val="18"/>
          <w:szCs w:val="16"/>
        </w:rPr>
        <w:t>…………………….</w:t>
      </w:r>
      <w:r w:rsidRPr="00C42D8C">
        <w:rPr>
          <w:rFonts w:ascii="Times New Roman" w:hAnsi="Times New Roman" w:cs="Times New Roman"/>
          <w:sz w:val="18"/>
          <w:szCs w:val="16"/>
        </w:rPr>
        <w:t>………………..5</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1.1.2. Cel i zakres opracowania…………………………………………………………</w:t>
      </w:r>
      <w:r>
        <w:rPr>
          <w:rFonts w:ascii="Times New Roman" w:hAnsi="Times New Roman" w:cs="Times New Roman"/>
          <w:sz w:val="18"/>
          <w:szCs w:val="16"/>
        </w:rPr>
        <w:t>…………………….</w:t>
      </w:r>
      <w:r w:rsidRPr="00C42D8C">
        <w:rPr>
          <w:rFonts w:ascii="Times New Roman" w:hAnsi="Times New Roman" w:cs="Times New Roman"/>
          <w:sz w:val="18"/>
          <w:szCs w:val="16"/>
        </w:rPr>
        <w:t>…………………..5</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1.1.3. Spójność z dokumentami strategicznymi………………………………………</w:t>
      </w:r>
      <w:r>
        <w:rPr>
          <w:rFonts w:ascii="Times New Roman" w:hAnsi="Times New Roman" w:cs="Times New Roman"/>
          <w:sz w:val="18"/>
          <w:szCs w:val="16"/>
        </w:rPr>
        <w:t>……………………..</w:t>
      </w:r>
      <w:r w:rsidRPr="00C42D8C">
        <w:rPr>
          <w:rFonts w:ascii="Times New Roman" w:hAnsi="Times New Roman" w:cs="Times New Roman"/>
          <w:sz w:val="18"/>
          <w:szCs w:val="16"/>
        </w:rPr>
        <w:t>…………………….5</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1.1.4. Wykaz dokumentów bazowych………………………………………………</w:t>
      </w:r>
      <w:r>
        <w:rPr>
          <w:rFonts w:ascii="Times New Roman" w:hAnsi="Times New Roman" w:cs="Times New Roman"/>
          <w:sz w:val="18"/>
          <w:szCs w:val="16"/>
        </w:rPr>
        <w:t>…………………….</w:t>
      </w:r>
      <w:r w:rsidRPr="00C42D8C">
        <w:rPr>
          <w:rFonts w:ascii="Times New Roman" w:hAnsi="Times New Roman" w:cs="Times New Roman"/>
          <w:sz w:val="18"/>
          <w:szCs w:val="16"/>
        </w:rPr>
        <w:t>……………………..10</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 Charakterystyka ogólna gminy Wieliczki mająca wpływ na planowanie energetyczne………</w:t>
      </w:r>
      <w:r>
        <w:rPr>
          <w:rFonts w:ascii="Times New Roman" w:hAnsi="Times New Roman" w:cs="Times New Roman"/>
          <w:sz w:val="18"/>
          <w:szCs w:val="16"/>
        </w:rPr>
        <w:t>…………………….</w:t>
      </w:r>
      <w:r w:rsidRPr="00C42D8C">
        <w:rPr>
          <w:rFonts w:ascii="Times New Roman" w:hAnsi="Times New Roman" w:cs="Times New Roman"/>
          <w:sz w:val="18"/>
          <w:szCs w:val="16"/>
        </w:rPr>
        <w:t>………11</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1.2.1. Lokalizacji gminy…………………………………………………………………………</w:t>
      </w:r>
      <w:r>
        <w:rPr>
          <w:rFonts w:ascii="Times New Roman" w:hAnsi="Times New Roman" w:cs="Times New Roman"/>
          <w:sz w:val="18"/>
          <w:szCs w:val="16"/>
        </w:rPr>
        <w:t>…………………….</w:t>
      </w:r>
      <w:r w:rsidRPr="00C42D8C">
        <w:rPr>
          <w:rFonts w:ascii="Times New Roman" w:hAnsi="Times New Roman" w:cs="Times New Roman"/>
          <w:sz w:val="18"/>
          <w:szCs w:val="16"/>
        </w:rPr>
        <w:t>…………11</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1.2.3. Klimat……………………………………………………………………………………</w:t>
      </w:r>
      <w:r>
        <w:rPr>
          <w:rFonts w:ascii="Times New Roman" w:hAnsi="Times New Roman" w:cs="Times New Roman"/>
          <w:sz w:val="18"/>
          <w:szCs w:val="16"/>
        </w:rPr>
        <w:t>…………………….</w:t>
      </w:r>
      <w:r w:rsidRPr="00C42D8C">
        <w:rPr>
          <w:rFonts w:ascii="Times New Roman" w:hAnsi="Times New Roman" w:cs="Times New Roman"/>
          <w:sz w:val="18"/>
          <w:szCs w:val="16"/>
        </w:rPr>
        <w:t>…………..14</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1.2.4. Obszary chronione………………………………………………………………………</w:t>
      </w:r>
      <w:r>
        <w:rPr>
          <w:rFonts w:ascii="Times New Roman" w:hAnsi="Times New Roman" w:cs="Times New Roman"/>
          <w:sz w:val="18"/>
          <w:szCs w:val="16"/>
        </w:rPr>
        <w:t>…………………….</w:t>
      </w:r>
      <w:r w:rsidRPr="00C42D8C">
        <w:rPr>
          <w:rFonts w:ascii="Times New Roman" w:hAnsi="Times New Roman" w:cs="Times New Roman"/>
          <w:sz w:val="18"/>
          <w:szCs w:val="16"/>
        </w:rPr>
        <w:t>…………..16</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1.2.5. Demografia……………………………………………………………………………</w:t>
      </w:r>
      <w:r>
        <w:rPr>
          <w:rFonts w:ascii="Times New Roman" w:hAnsi="Times New Roman" w:cs="Times New Roman"/>
          <w:sz w:val="18"/>
          <w:szCs w:val="16"/>
        </w:rPr>
        <w:t>…………………….</w:t>
      </w:r>
      <w:r w:rsidRPr="00C42D8C">
        <w:rPr>
          <w:rFonts w:ascii="Times New Roman" w:hAnsi="Times New Roman" w:cs="Times New Roman"/>
          <w:sz w:val="18"/>
          <w:szCs w:val="16"/>
        </w:rPr>
        <w:t>……………..20</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1.2.6. Struktura budowlana…………………………………………………………………</w:t>
      </w:r>
      <w:r>
        <w:rPr>
          <w:rFonts w:ascii="Times New Roman" w:hAnsi="Times New Roman" w:cs="Times New Roman"/>
          <w:sz w:val="18"/>
          <w:szCs w:val="16"/>
        </w:rPr>
        <w:t>……………………</w:t>
      </w:r>
      <w:r w:rsidRPr="00C42D8C">
        <w:rPr>
          <w:rFonts w:ascii="Times New Roman" w:hAnsi="Times New Roman" w:cs="Times New Roman"/>
          <w:sz w:val="18"/>
          <w:szCs w:val="16"/>
        </w:rPr>
        <w:t>……………….23</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1.2.7. Działalność gospodarcza……………………………………………………………</w:t>
      </w:r>
      <w:r>
        <w:rPr>
          <w:rFonts w:ascii="Times New Roman" w:hAnsi="Times New Roman" w:cs="Times New Roman"/>
          <w:sz w:val="18"/>
          <w:szCs w:val="16"/>
        </w:rPr>
        <w:t>…………………….</w:t>
      </w:r>
      <w:r w:rsidRPr="00C42D8C">
        <w:rPr>
          <w:rFonts w:ascii="Times New Roman" w:hAnsi="Times New Roman" w:cs="Times New Roman"/>
          <w:sz w:val="18"/>
          <w:szCs w:val="16"/>
        </w:rPr>
        <w:t>………………..25</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 Analiza i ocena zapotrzebowania gminy Wieliczki w ciepło, energię elektryczną i paliwa gazowe…</w:t>
      </w:r>
      <w:r>
        <w:rPr>
          <w:rFonts w:ascii="Times New Roman" w:hAnsi="Times New Roman" w:cs="Times New Roman"/>
          <w:sz w:val="18"/>
          <w:szCs w:val="16"/>
        </w:rPr>
        <w:t>…………………….</w:t>
      </w:r>
      <w:r w:rsidRPr="00C42D8C">
        <w:rPr>
          <w:rFonts w:ascii="Times New Roman" w:hAnsi="Times New Roman" w:cs="Times New Roman"/>
          <w:sz w:val="18"/>
          <w:szCs w:val="16"/>
        </w:rPr>
        <w:t>…27</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2.1. Infrastruktura energetyczna na terenie gminy …………………………………………………</w:t>
      </w:r>
      <w:r>
        <w:rPr>
          <w:rFonts w:ascii="Times New Roman" w:hAnsi="Times New Roman" w:cs="Times New Roman"/>
          <w:sz w:val="18"/>
          <w:szCs w:val="16"/>
        </w:rPr>
        <w:t>…………………….</w:t>
      </w:r>
      <w:r w:rsidRPr="00C42D8C">
        <w:rPr>
          <w:rFonts w:ascii="Times New Roman" w:hAnsi="Times New Roman" w:cs="Times New Roman"/>
          <w:sz w:val="18"/>
          <w:szCs w:val="16"/>
        </w:rPr>
        <w:t>………27</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2.1.1. Infrastruktura cieplna………………………………………………………………………</w:t>
      </w:r>
      <w:r>
        <w:rPr>
          <w:rFonts w:ascii="Times New Roman" w:hAnsi="Times New Roman" w:cs="Times New Roman"/>
          <w:sz w:val="18"/>
          <w:szCs w:val="16"/>
        </w:rPr>
        <w:t>……………………</w:t>
      </w:r>
      <w:r w:rsidRPr="00C42D8C">
        <w:rPr>
          <w:rFonts w:ascii="Times New Roman" w:hAnsi="Times New Roman" w:cs="Times New Roman"/>
          <w:sz w:val="18"/>
          <w:szCs w:val="16"/>
        </w:rPr>
        <w:t>…………27</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2.1.2. Sieci elektroenergetyczne……………………………………………………………</w:t>
      </w:r>
      <w:r>
        <w:rPr>
          <w:rFonts w:ascii="Times New Roman" w:hAnsi="Times New Roman" w:cs="Times New Roman"/>
          <w:sz w:val="18"/>
          <w:szCs w:val="16"/>
        </w:rPr>
        <w:t>…………………….</w:t>
      </w:r>
      <w:r w:rsidRPr="00C42D8C">
        <w:rPr>
          <w:rFonts w:ascii="Times New Roman" w:hAnsi="Times New Roman" w:cs="Times New Roman"/>
          <w:sz w:val="18"/>
          <w:szCs w:val="16"/>
        </w:rPr>
        <w:t>……………….32</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2.1.3. Sieć gazowa………………………………………………………………………</w:t>
      </w:r>
      <w:r>
        <w:rPr>
          <w:rFonts w:ascii="Times New Roman" w:hAnsi="Times New Roman" w:cs="Times New Roman"/>
          <w:sz w:val="18"/>
          <w:szCs w:val="16"/>
        </w:rPr>
        <w:t>……………………</w:t>
      </w:r>
      <w:r w:rsidRPr="00C42D8C">
        <w:rPr>
          <w:rFonts w:ascii="Times New Roman" w:hAnsi="Times New Roman" w:cs="Times New Roman"/>
          <w:sz w:val="18"/>
          <w:szCs w:val="16"/>
        </w:rPr>
        <w:t>…………………..33</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2.2. Inwentaryzacja potrzeb energetycznych……………………………………………</w:t>
      </w:r>
      <w:r>
        <w:rPr>
          <w:rFonts w:ascii="Times New Roman" w:hAnsi="Times New Roman" w:cs="Times New Roman"/>
          <w:sz w:val="18"/>
          <w:szCs w:val="16"/>
        </w:rPr>
        <w:t>……………………..</w:t>
      </w:r>
      <w:r w:rsidRPr="00C42D8C">
        <w:rPr>
          <w:rFonts w:ascii="Times New Roman" w:hAnsi="Times New Roman" w:cs="Times New Roman"/>
          <w:sz w:val="18"/>
          <w:szCs w:val="16"/>
        </w:rPr>
        <w:t>………………….34</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2.2.1. Zapotrzebowanie na ciepło…………………………………………………………………</w:t>
      </w:r>
      <w:r>
        <w:rPr>
          <w:rFonts w:ascii="Times New Roman" w:hAnsi="Times New Roman" w:cs="Times New Roman"/>
          <w:sz w:val="18"/>
          <w:szCs w:val="16"/>
        </w:rPr>
        <w:t>……………………</w:t>
      </w:r>
      <w:r w:rsidRPr="00C42D8C">
        <w:rPr>
          <w:rFonts w:ascii="Times New Roman" w:hAnsi="Times New Roman" w:cs="Times New Roman"/>
          <w:sz w:val="18"/>
          <w:szCs w:val="16"/>
        </w:rPr>
        <w:t>…………34</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2.2.2. Zużycie energii elektrycznej…………………………………………………………………</w:t>
      </w:r>
      <w:r>
        <w:rPr>
          <w:rFonts w:ascii="Times New Roman" w:hAnsi="Times New Roman" w:cs="Times New Roman"/>
          <w:sz w:val="18"/>
          <w:szCs w:val="16"/>
        </w:rPr>
        <w:t>…………………….</w:t>
      </w:r>
      <w:r w:rsidRPr="00C42D8C">
        <w:rPr>
          <w:rFonts w:ascii="Times New Roman" w:hAnsi="Times New Roman" w:cs="Times New Roman"/>
          <w:sz w:val="18"/>
          <w:szCs w:val="16"/>
        </w:rPr>
        <w:t>………..38</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2.3. Ocena zapotrzebowania w ciepło, energię elektryczną i paliwa gazowe………………………</w:t>
      </w:r>
      <w:r>
        <w:rPr>
          <w:rFonts w:ascii="Times New Roman" w:hAnsi="Times New Roman" w:cs="Times New Roman"/>
          <w:sz w:val="18"/>
          <w:szCs w:val="16"/>
        </w:rPr>
        <w:t>…………………….</w:t>
      </w:r>
      <w:r w:rsidRPr="00C42D8C">
        <w:rPr>
          <w:rFonts w:ascii="Times New Roman" w:hAnsi="Times New Roman" w:cs="Times New Roman"/>
          <w:sz w:val="18"/>
          <w:szCs w:val="16"/>
        </w:rPr>
        <w:t>……….47</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2.3.1. Bezpieczeństwo dostaw energii cieplnej…………………………………………………………</w:t>
      </w:r>
      <w:r>
        <w:rPr>
          <w:rFonts w:ascii="Times New Roman" w:hAnsi="Times New Roman" w:cs="Times New Roman"/>
          <w:sz w:val="18"/>
          <w:szCs w:val="16"/>
        </w:rPr>
        <w:t>……………………..</w:t>
      </w:r>
      <w:r w:rsidRPr="00C42D8C">
        <w:rPr>
          <w:rFonts w:ascii="Times New Roman" w:hAnsi="Times New Roman" w:cs="Times New Roman"/>
          <w:sz w:val="18"/>
          <w:szCs w:val="16"/>
        </w:rPr>
        <w:t>…...47</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2.3.2. Bezpieczeństwo dostaw energii elektrycznej……………………………………………………</w:t>
      </w:r>
      <w:r>
        <w:rPr>
          <w:rFonts w:ascii="Times New Roman" w:hAnsi="Times New Roman" w:cs="Times New Roman"/>
          <w:sz w:val="18"/>
          <w:szCs w:val="16"/>
        </w:rPr>
        <w:t>…………………….</w:t>
      </w:r>
      <w:r w:rsidRPr="00C42D8C">
        <w:rPr>
          <w:rFonts w:ascii="Times New Roman" w:hAnsi="Times New Roman" w:cs="Times New Roman"/>
          <w:sz w:val="18"/>
          <w:szCs w:val="16"/>
        </w:rPr>
        <w:t>…….48</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 Uwarunkowania planowania energetycznego w gminie…………………………………………</w:t>
      </w:r>
      <w:r>
        <w:rPr>
          <w:rFonts w:ascii="Times New Roman" w:hAnsi="Times New Roman" w:cs="Times New Roman"/>
          <w:sz w:val="18"/>
          <w:szCs w:val="16"/>
        </w:rPr>
        <w:t>……………………</w:t>
      </w:r>
      <w:r w:rsidRPr="00C42D8C">
        <w:rPr>
          <w:rFonts w:ascii="Times New Roman" w:hAnsi="Times New Roman" w:cs="Times New Roman"/>
          <w:sz w:val="18"/>
          <w:szCs w:val="16"/>
        </w:rPr>
        <w:t>………..49</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3.1. Przedsięwzięcia racjonalizujące wykorzystanie energii………………………………………</w:t>
      </w:r>
      <w:r>
        <w:rPr>
          <w:rFonts w:ascii="Times New Roman" w:hAnsi="Times New Roman" w:cs="Times New Roman"/>
          <w:sz w:val="18"/>
          <w:szCs w:val="16"/>
        </w:rPr>
        <w:t>……………………</w:t>
      </w:r>
      <w:r w:rsidRPr="00C42D8C">
        <w:rPr>
          <w:rFonts w:ascii="Times New Roman" w:hAnsi="Times New Roman" w:cs="Times New Roman"/>
          <w:sz w:val="18"/>
          <w:szCs w:val="16"/>
        </w:rPr>
        <w:t>…………49</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3.1.1. Sposoby racjonalizacji zużycia energii………………………………………………………</w:t>
      </w:r>
      <w:r>
        <w:rPr>
          <w:rFonts w:ascii="Times New Roman" w:hAnsi="Times New Roman" w:cs="Times New Roman"/>
          <w:sz w:val="18"/>
          <w:szCs w:val="16"/>
        </w:rPr>
        <w:t>…………………….</w:t>
      </w:r>
      <w:r w:rsidRPr="00C42D8C">
        <w:rPr>
          <w:rFonts w:ascii="Times New Roman" w:hAnsi="Times New Roman" w:cs="Times New Roman"/>
          <w:sz w:val="18"/>
          <w:szCs w:val="16"/>
        </w:rPr>
        <w:t>……..…49</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3.2. Możliwości wykorzystania istniejących nadwyżek i lokalnych zasobów paliw i energii…………</w:t>
      </w:r>
      <w:r>
        <w:rPr>
          <w:rFonts w:ascii="Times New Roman" w:hAnsi="Times New Roman" w:cs="Times New Roman"/>
          <w:sz w:val="18"/>
          <w:szCs w:val="16"/>
        </w:rPr>
        <w:t>…………………….</w:t>
      </w:r>
      <w:r w:rsidRPr="00C42D8C">
        <w:rPr>
          <w:rFonts w:ascii="Times New Roman" w:hAnsi="Times New Roman" w:cs="Times New Roman"/>
          <w:sz w:val="18"/>
          <w:szCs w:val="16"/>
        </w:rPr>
        <w:t>…….51</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3.2.1. Energia wiatru……………………………………………………………………………………</w:t>
      </w:r>
      <w:r>
        <w:rPr>
          <w:rFonts w:ascii="Times New Roman" w:hAnsi="Times New Roman" w:cs="Times New Roman"/>
          <w:sz w:val="18"/>
          <w:szCs w:val="16"/>
        </w:rPr>
        <w:t>…………………….</w:t>
      </w:r>
      <w:r w:rsidRPr="00C42D8C">
        <w:rPr>
          <w:rFonts w:ascii="Times New Roman" w:hAnsi="Times New Roman" w:cs="Times New Roman"/>
          <w:sz w:val="18"/>
          <w:szCs w:val="16"/>
        </w:rPr>
        <w:t>…….51</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3.2.2. Energia słoneczna…………………………………………………………………………………</w:t>
      </w:r>
      <w:r>
        <w:rPr>
          <w:rFonts w:ascii="Times New Roman" w:hAnsi="Times New Roman" w:cs="Times New Roman"/>
          <w:sz w:val="18"/>
          <w:szCs w:val="16"/>
        </w:rPr>
        <w:t>…………………….</w:t>
      </w:r>
      <w:r w:rsidRPr="00C42D8C">
        <w:rPr>
          <w:rFonts w:ascii="Times New Roman" w:hAnsi="Times New Roman" w:cs="Times New Roman"/>
          <w:sz w:val="18"/>
          <w:szCs w:val="16"/>
        </w:rPr>
        <w:t>……53</w:t>
      </w:r>
    </w:p>
    <w:p w:rsidR="00C42D8C" w:rsidRP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3.2.3. Energia geotermalna………………………………………………………………………………</w:t>
      </w:r>
      <w:r>
        <w:rPr>
          <w:rFonts w:ascii="Times New Roman" w:hAnsi="Times New Roman" w:cs="Times New Roman"/>
          <w:sz w:val="18"/>
          <w:szCs w:val="16"/>
        </w:rPr>
        <w:t>……………………….</w:t>
      </w:r>
      <w:r w:rsidRPr="00C42D8C">
        <w:rPr>
          <w:rFonts w:ascii="Times New Roman" w:hAnsi="Times New Roman" w:cs="Times New Roman"/>
          <w:sz w:val="18"/>
          <w:szCs w:val="16"/>
        </w:rPr>
        <w:t>….55</w:t>
      </w:r>
    </w:p>
    <w:p w:rsidR="00C42D8C" w:rsidRDefault="00C42D8C" w:rsidP="00E34ED5">
      <w:pPr>
        <w:spacing w:line="240" w:lineRule="auto"/>
        <w:jc w:val="both"/>
        <w:rPr>
          <w:rFonts w:ascii="Times New Roman" w:hAnsi="Times New Roman" w:cs="Times New Roman"/>
          <w:sz w:val="18"/>
          <w:szCs w:val="16"/>
        </w:rPr>
      </w:pPr>
      <w:r w:rsidRPr="00C42D8C">
        <w:rPr>
          <w:rFonts w:ascii="Times New Roman" w:hAnsi="Times New Roman" w:cs="Times New Roman"/>
          <w:sz w:val="18"/>
          <w:szCs w:val="16"/>
        </w:rPr>
        <w:t>3.2.4. Energia wody…………………………………………………………………………………</w:t>
      </w:r>
      <w:r>
        <w:rPr>
          <w:rFonts w:ascii="Times New Roman" w:hAnsi="Times New Roman" w:cs="Times New Roman"/>
          <w:sz w:val="18"/>
          <w:szCs w:val="16"/>
        </w:rPr>
        <w:t>………………………</w:t>
      </w:r>
      <w:r w:rsidRPr="00C42D8C">
        <w:rPr>
          <w:rFonts w:ascii="Times New Roman" w:hAnsi="Times New Roman" w:cs="Times New Roman"/>
          <w:sz w:val="18"/>
          <w:szCs w:val="16"/>
        </w:rPr>
        <w:t>………58</w:t>
      </w:r>
    </w:p>
    <w:p w:rsidR="00C42D8C" w:rsidRDefault="00C42D8C"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3.2.5. Energia biomasy………………………………………………………………………………………………………………60</w:t>
      </w:r>
    </w:p>
    <w:p w:rsidR="00C42D8C"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3.2.6. Kogeneracja……………………………………………………………………………………………………………………62</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3.2.7. Podsumowanie………………………………………………………………………………………………………………..63</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3.3. Ocena kosztów i porównanie sposobów pokrycia zapotrzebowania na energię……………………………………………….64</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lastRenderedPageBreak/>
        <w:t>3.3.1. Taryfa na energię elektryczną……………………………………………………………………………………………….64</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3.3.2. Taryfa dla gazu ziemnego……………………………………………………………………………………………………66</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3.3.3. Analiza konkurencyjności zapotrzebowania w ciepło……………………………………………………………………….67</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 Prognoza zapotrzebowania na energię do roku 2035…………………………………………………………………………….73</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4.1. Zapotrzebowanie na ciepło, energię elektryczną i paliwa gazowe……………………………………………………………..73</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4.1.1. Założenia do analizy………………………………………………………………………………………………………….74</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4.1.2. Wymagania dotyczące oszczędności energii w budynkach………………………………………………………………….74</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4.1.3. Prognoza zapotrzebowania na ciepło…………………………………………………………………………………………76</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4.1.4. Zapotrzebowanie na energię elektryczną………………………………………………………………………………………78</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4.1.5. Zapotrzebowanie na gaz ziemny……………………………………………………………………………………………….81</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4.2. Zapotrzebowanie na energię końcową w nośnikach energii…………………………………………………………………….83</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4.3. Zapotrzebowanie na energię pierwotną………………………………………………………………………………………….84</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5. Współpraca z innymi gminami…………………………………………………………………………………………………….84</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6. Ocena zaopatrzenia gminy Wieliczki w ciepło, energię elektryczną i paliwa gazowe oraz kierunki polityki energetycznej gminy..86</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6.1. Ocena stanu zaopatrzenia…………………………………………………………………………………………………………86</w:t>
      </w:r>
    </w:p>
    <w:p w:rsidR="00F20FF3" w:rsidRDefault="00F20FF3" w:rsidP="00E34ED5">
      <w:pPr>
        <w:spacing w:line="240" w:lineRule="auto"/>
        <w:jc w:val="both"/>
        <w:rPr>
          <w:rFonts w:ascii="Times New Roman" w:hAnsi="Times New Roman" w:cs="Times New Roman"/>
          <w:sz w:val="18"/>
          <w:szCs w:val="16"/>
        </w:rPr>
      </w:pPr>
      <w:r>
        <w:rPr>
          <w:rFonts w:ascii="Times New Roman" w:hAnsi="Times New Roman" w:cs="Times New Roman"/>
          <w:sz w:val="18"/>
          <w:szCs w:val="16"/>
        </w:rPr>
        <w:t>6.2. Kierunki polityki energetycznej gminy Wieliczki………………………………………………………………………………..87</w:t>
      </w:r>
    </w:p>
    <w:p w:rsidR="00F20FF3" w:rsidRPr="00C42D8C" w:rsidRDefault="00F20FF3" w:rsidP="00E34ED5">
      <w:pPr>
        <w:spacing w:line="240" w:lineRule="auto"/>
        <w:jc w:val="both"/>
        <w:rPr>
          <w:rFonts w:ascii="Times New Roman" w:hAnsi="Times New Roman" w:cs="Times New Roman"/>
          <w:sz w:val="18"/>
          <w:szCs w:val="16"/>
        </w:rPr>
      </w:pPr>
    </w:p>
    <w:p w:rsidR="00C42D8C" w:rsidRPr="00C42D8C" w:rsidRDefault="00C42D8C" w:rsidP="00E34ED5">
      <w:pPr>
        <w:spacing w:line="240" w:lineRule="auto"/>
        <w:jc w:val="both"/>
        <w:rPr>
          <w:rFonts w:ascii="Times New Roman" w:hAnsi="Times New Roman" w:cs="Times New Roman"/>
          <w:sz w:val="22"/>
          <w:szCs w:val="16"/>
        </w:rPr>
      </w:pPr>
    </w:p>
    <w:p w:rsidR="0031028F" w:rsidRPr="00194C4A" w:rsidRDefault="0031028F" w:rsidP="0031028F">
      <w:pPr>
        <w:spacing w:line="259" w:lineRule="auto"/>
        <w:rPr>
          <w:rFonts w:ascii="Times New Roman" w:eastAsia="Calibri" w:hAnsi="Times New Roman" w:cs="Times New Roman"/>
          <w:b/>
          <w:bCs/>
          <w:color w:val="385623"/>
          <w:sz w:val="28"/>
          <w:szCs w:val="28"/>
          <w:lang w:eastAsia="en-US"/>
        </w:rPr>
      </w:pPr>
    </w:p>
    <w:p w:rsidR="0031028F" w:rsidRPr="00194C4A" w:rsidRDefault="0031028F" w:rsidP="0031028F">
      <w:pPr>
        <w:spacing w:line="259" w:lineRule="auto"/>
        <w:rPr>
          <w:rFonts w:ascii="Times New Roman" w:eastAsia="Calibri" w:hAnsi="Times New Roman" w:cs="Times New Roman"/>
          <w:b/>
          <w:bCs/>
          <w:color w:val="385623"/>
          <w:sz w:val="28"/>
          <w:szCs w:val="28"/>
          <w:lang w:eastAsia="en-US"/>
        </w:rPr>
      </w:pPr>
    </w:p>
    <w:p w:rsidR="004D565D" w:rsidRPr="00194C4A" w:rsidRDefault="003C6639" w:rsidP="00E34ED5">
      <w:pPr>
        <w:spacing w:after="0" w:line="240" w:lineRule="auto"/>
        <w:jc w:val="both"/>
        <w:rPr>
          <w:rFonts w:ascii="Times New Roman" w:hAnsi="Times New Roman" w:cs="Times New Roman"/>
        </w:rPr>
      </w:pPr>
      <w:r w:rsidRPr="00194C4A">
        <w:rPr>
          <w:rFonts w:ascii="Times New Roman" w:hAnsi="Times New Roman" w:cs="Times New Roman"/>
        </w:rPr>
        <w:br w:type="page"/>
      </w:r>
    </w:p>
    <w:p w:rsidR="00B822AE" w:rsidRPr="00F152D1" w:rsidRDefault="002950AE" w:rsidP="00F152D1">
      <w:pPr>
        <w:rPr>
          <w:rFonts w:ascii="Times New Roman" w:eastAsia="Times New Roman" w:hAnsi="Times New Roman" w:cs="Times New Roman"/>
          <w:b/>
          <w:bCs/>
          <w:color w:val="000000"/>
          <w:sz w:val="40"/>
          <w:szCs w:val="28"/>
        </w:rPr>
      </w:pPr>
      <w:bookmarkStart w:id="2" w:name="_Toc77321917"/>
      <w:r w:rsidRPr="00194C4A">
        <w:rPr>
          <w:rFonts w:ascii="Times New Roman" w:hAnsi="Times New Roman" w:cs="Times New Roman"/>
        </w:rPr>
        <w:lastRenderedPageBreak/>
        <w:t xml:space="preserve">1 </w:t>
      </w:r>
      <w:r w:rsidR="00B822AE" w:rsidRPr="00194C4A">
        <w:rPr>
          <w:rFonts w:ascii="Times New Roman" w:hAnsi="Times New Roman" w:cs="Times New Roman"/>
        </w:rPr>
        <w:t>Część ogólna</w:t>
      </w:r>
      <w:bookmarkEnd w:id="1"/>
      <w:bookmarkEnd w:id="2"/>
    </w:p>
    <w:p w:rsidR="00BF6009" w:rsidRPr="00194C4A" w:rsidRDefault="002F56F3" w:rsidP="00BF6009">
      <w:pPr>
        <w:pStyle w:val="Nagwek2"/>
        <w:rPr>
          <w:rFonts w:ascii="Times New Roman" w:hAnsi="Times New Roman" w:cs="Times New Roman"/>
        </w:rPr>
      </w:pPr>
      <w:bookmarkStart w:id="3" w:name="_Toc317350369"/>
      <w:bookmarkStart w:id="4" w:name="_Toc317460509"/>
      <w:bookmarkStart w:id="5" w:name="_Toc426141742"/>
      <w:bookmarkStart w:id="6" w:name="_Toc429477890"/>
      <w:bookmarkStart w:id="7" w:name="_Toc77321918"/>
      <w:bookmarkStart w:id="8" w:name="_Toc419273624"/>
      <w:r>
        <w:rPr>
          <w:rFonts w:ascii="Times New Roman" w:hAnsi="Times New Roman" w:cs="Times New Roman"/>
        </w:rPr>
        <w:t xml:space="preserve">1.1 </w:t>
      </w:r>
      <w:r w:rsidR="008F1A19" w:rsidRPr="00194C4A">
        <w:rPr>
          <w:rFonts w:ascii="Times New Roman" w:hAnsi="Times New Roman" w:cs="Times New Roman"/>
        </w:rPr>
        <w:t xml:space="preserve">Zakres </w:t>
      </w:r>
      <w:r w:rsidR="00BF6009" w:rsidRPr="00194C4A">
        <w:rPr>
          <w:rFonts w:ascii="Times New Roman" w:hAnsi="Times New Roman" w:cs="Times New Roman"/>
        </w:rPr>
        <w:t>opracowania</w:t>
      </w:r>
      <w:bookmarkEnd w:id="3"/>
      <w:bookmarkEnd w:id="4"/>
      <w:bookmarkEnd w:id="5"/>
      <w:bookmarkEnd w:id="6"/>
      <w:bookmarkEnd w:id="7"/>
    </w:p>
    <w:p w:rsidR="008F1A19" w:rsidRPr="00194C4A" w:rsidRDefault="002950AE" w:rsidP="002950AE">
      <w:pPr>
        <w:pStyle w:val="Nagwek3"/>
        <w:ind w:left="720" w:hanging="720"/>
        <w:rPr>
          <w:rFonts w:ascii="Times New Roman" w:hAnsi="Times New Roman" w:cs="Times New Roman"/>
        </w:rPr>
      </w:pPr>
      <w:bookmarkStart w:id="9" w:name="_Toc77321919"/>
      <w:r w:rsidRPr="00194C4A">
        <w:rPr>
          <w:rFonts w:ascii="Times New Roman" w:hAnsi="Times New Roman" w:cs="Times New Roman"/>
        </w:rPr>
        <w:t xml:space="preserve">1.1.1 </w:t>
      </w:r>
      <w:r w:rsidR="008F1A19" w:rsidRPr="00194C4A">
        <w:rPr>
          <w:rFonts w:ascii="Times New Roman" w:hAnsi="Times New Roman" w:cs="Times New Roman"/>
        </w:rPr>
        <w:t>Podstawa opracowania</w:t>
      </w:r>
      <w:bookmarkEnd w:id="9"/>
    </w:p>
    <w:p w:rsidR="00BF6009" w:rsidRPr="00194C4A" w:rsidRDefault="001B492E" w:rsidP="00BF6009">
      <w:pPr>
        <w:pStyle w:val="tekst"/>
        <w:rPr>
          <w:rFonts w:cs="Times New Roman"/>
        </w:rPr>
      </w:pPr>
      <w:r w:rsidRPr="00194C4A">
        <w:rPr>
          <w:rFonts w:cs="Times New Roman"/>
        </w:rPr>
        <w:t xml:space="preserve">Gmina </w:t>
      </w:r>
      <w:r w:rsidR="008E200C">
        <w:rPr>
          <w:rFonts w:cs="Times New Roman"/>
        </w:rPr>
        <w:t>Wieliczki</w:t>
      </w:r>
      <w:r w:rsidR="00A0433E" w:rsidRPr="00194C4A">
        <w:rPr>
          <w:rFonts w:cs="Times New Roman"/>
        </w:rPr>
        <w:t xml:space="preserve"> nie</w:t>
      </w:r>
      <w:r w:rsidRPr="00194C4A">
        <w:rPr>
          <w:rFonts w:cs="Times New Roman"/>
        </w:rPr>
        <w:t xml:space="preserve"> posiada </w:t>
      </w:r>
      <w:r w:rsidR="006D3BD5" w:rsidRPr="00194C4A">
        <w:rPr>
          <w:rFonts w:cs="Times New Roman"/>
        </w:rPr>
        <w:t>opracowan</w:t>
      </w:r>
      <w:r w:rsidR="00A0433E" w:rsidRPr="00194C4A">
        <w:rPr>
          <w:rFonts w:cs="Times New Roman"/>
        </w:rPr>
        <w:t xml:space="preserve">ego dokumentu dot. zaopatrzenia gminu w energię. </w:t>
      </w:r>
      <w:r w:rsidR="00BF6009" w:rsidRPr="00194C4A">
        <w:rPr>
          <w:rFonts w:cs="Times New Roman"/>
        </w:rPr>
        <w:t>Podstaw</w:t>
      </w:r>
      <w:r w:rsidR="00A0433E" w:rsidRPr="00194C4A">
        <w:rPr>
          <w:rFonts w:cs="Times New Roman"/>
        </w:rPr>
        <w:t>ą</w:t>
      </w:r>
      <w:r w:rsidR="00BF6009" w:rsidRPr="00194C4A">
        <w:rPr>
          <w:rFonts w:cs="Times New Roman"/>
        </w:rPr>
        <w:t xml:space="preserve"> prawną opracowania </w:t>
      </w:r>
      <w:r w:rsidR="00050513">
        <w:rPr>
          <w:rFonts w:cs="Times New Roman"/>
        </w:rPr>
        <w:t>„P</w:t>
      </w:r>
      <w:r w:rsidR="00BF6009" w:rsidRPr="00194C4A">
        <w:rPr>
          <w:rFonts w:cs="Times New Roman"/>
        </w:rPr>
        <w:t>lanu zaopatrzenia w</w:t>
      </w:r>
      <w:r w:rsidR="006D3BD5" w:rsidRPr="00194C4A">
        <w:rPr>
          <w:rFonts w:cs="Times New Roman"/>
        </w:rPr>
        <w:t> </w:t>
      </w:r>
      <w:r w:rsidR="00BF6009" w:rsidRPr="00194C4A">
        <w:rPr>
          <w:rFonts w:cs="Times New Roman"/>
        </w:rPr>
        <w:t>ciepło, energi</w:t>
      </w:r>
      <w:r w:rsidR="00BF6009" w:rsidRPr="00194C4A">
        <w:rPr>
          <w:rFonts w:eastAsia="TimesNewRoman" w:cs="Times New Roman"/>
        </w:rPr>
        <w:t xml:space="preserve">ę </w:t>
      </w:r>
      <w:r w:rsidR="00BF6009" w:rsidRPr="00194C4A">
        <w:rPr>
          <w:rFonts w:cs="Times New Roman"/>
        </w:rPr>
        <w:t>elektryczn</w:t>
      </w:r>
      <w:r w:rsidR="00BF6009" w:rsidRPr="00194C4A">
        <w:rPr>
          <w:rFonts w:eastAsia="TimesNewRoman" w:cs="Times New Roman"/>
        </w:rPr>
        <w:t xml:space="preserve">ą </w:t>
      </w:r>
      <w:r w:rsidR="00BF6009" w:rsidRPr="00194C4A">
        <w:rPr>
          <w:rFonts w:cs="Times New Roman"/>
        </w:rPr>
        <w:t>i paliwa gazowe dla gminy</w:t>
      </w:r>
      <w:r w:rsidR="008E200C">
        <w:rPr>
          <w:rFonts w:cs="Times New Roman"/>
        </w:rPr>
        <w:t xml:space="preserve"> Wieliczki</w:t>
      </w:r>
      <w:r w:rsidR="00BF6009" w:rsidRPr="00194C4A">
        <w:rPr>
          <w:rFonts w:cs="Times New Roman"/>
        </w:rPr>
        <w:t xml:space="preserve"> na lata 20</w:t>
      </w:r>
      <w:r w:rsidR="00A0433E" w:rsidRPr="00194C4A">
        <w:rPr>
          <w:rFonts w:cs="Times New Roman"/>
        </w:rPr>
        <w:t>2</w:t>
      </w:r>
      <w:r w:rsidR="008E200C">
        <w:rPr>
          <w:rFonts w:cs="Times New Roman"/>
        </w:rPr>
        <w:t>5</w:t>
      </w:r>
      <w:r w:rsidR="00BF6009" w:rsidRPr="00194C4A">
        <w:rPr>
          <w:rFonts w:cs="Times New Roman"/>
        </w:rPr>
        <w:t>-20</w:t>
      </w:r>
      <w:r w:rsidR="00BA3FEF" w:rsidRPr="00194C4A">
        <w:rPr>
          <w:rFonts w:cs="Times New Roman"/>
        </w:rPr>
        <w:t>3</w:t>
      </w:r>
      <w:r w:rsidR="008E200C">
        <w:rPr>
          <w:rFonts w:cs="Times New Roman"/>
        </w:rPr>
        <w:t>5</w:t>
      </w:r>
      <w:r w:rsidR="00050513">
        <w:rPr>
          <w:rFonts w:cs="Times New Roman"/>
        </w:rPr>
        <w:t>”</w:t>
      </w:r>
      <w:r w:rsidR="00D4687E" w:rsidRPr="00194C4A">
        <w:rPr>
          <w:rFonts w:cs="Times New Roman"/>
        </w:rPr>
        <w:t xml:space="preserve"> stanowi art. 18 i 19 ustawy z </w:t>
      </w:r>
      <w:r w:rsidR="00C76349" w:rsidRPr="00194C4A">
        <w:rPr>
          <w:rFonts w:cs="Times New Roman"/>
        </w:rPr>
        <w:t>dnia 10 kwietnia 1997 r.</w:t>
      </w:r>
      <w:r w:rsidR="008E200C">
        <w:rPr>
          <w:rFonts w:cs="Times New Roman"/>
        </w:rPr>
        <w:t xml:space="preserve"> </w:t>
      </w:r>
      <w:r w:rsidR="006D3BD5" w:rsidRPr="00194C4A">
        <w:rPr>
          <w:rFonts w:cs="Times New Roman"/>
        </w:rPr>
        <w:t xml:space="preserve">Prawo energetyczne </w:t>
      </w:r>
      <w:r w:rsidR="008E200C">
        <w:rPr>
          <w:rFonts w:cs="Times New Roman"/>
        </w:rPr>
        <w:t>( Dz. U. 2024</w:t>
      </w:r>
      <w:r w:rsidR="005F4F0E" w:rsidRPr="00194C4A">
        <w:rPr>
          <w:rFonts w:cs="Times New Roman"/>
        </w:rPr>
        <w:t xml:space="preserve"> </w:t>
      </w:r>
      <w:r w:rsidR="00C76349" w:rsidRPr="00194C4A">
        <w:rPr>
          <w:rFonts w:cs="Times New Roman"/>
        </w:rPr>
        <w:t xml:space="preserve">poz. </w:t>
      </w:r>
      <w:r w:rsidR="008E200C">
        <w:rPr>
          <w:rFonts w:cs="Times New Roman"/>
        </w:rPr>
        <w:t>266</w:t>
      </w:r>
      <w:r w:rsidR="00C76349" w:rsidRPr="00194C4A">
        <w:rPr>
          <w:rFonts w:cs="Times New Roman"/>
        </w:rPr>
        <w:t xml:space="preserve"> z</w:t>
      </w:r>
      <w:r w:rsidR="006D3BD5" w:rsidRPr="00194C4A">
        <w:rPr>
          <w:rFonts w:cs="Times New Roman"/>
        </w:rPr>
        <w:t> </w:t>
      </w:r>
      <w:r w:rsidR="00BF6009" w:rsidRPr="00194C4A">
        <w:rPr>
          <w:rFonts w:cs="Times New Roman"/>
        </w:rPr>
        <w:t>późn. zm.) oraz art. 7 ustawy z</w:t>
      </w:r>
      <w:r w:rsidR="00B04360" w:rsidRPr="00194C4A">
        <w:rPr>
          <w:rFonts w:cs="Times New Roman"/>
        </w:rPr>
        <w:t> </w:t>
      </w:r>
      <w:r w:rsidR="00BF6009" w:rsidRPr="00194C4A">
        <w:rPr>
          <w:rFonts w:cs="Times New Roman"/>
        </w:rPr>
        <w:t>dnia 8 marca 1990 r. o samo</w:t>
      </w:r>
      <w:r w:rsidR="008E200C">
        <w:rPr>
          <w:rFonts w:cs="Times New Roman"/>
        </w:rPr>
        <w:t>rządzie gminnym ( Dz. U. 2024</w:t>
      </w:r>
      <w:r w:rsidR="00BF6009" w:rsidRPr="00194C4A">
        <w:rPr>
          <w:rFonts w:cs="Times New Roman"/>
        </w:rPr>
        <w:t xml:space="preserve"> poz. </w:t>
      </w:r>
      <w:r w:rsidR="008E200C">
        <w:rPr>
          <w:rFonts w:cs="Times New Roman"/>
        </w:rPr>
        <w:t xml:space="preserve">1465 </w:t>
      </w:r>
      <w:r w:rsidR="00C76349" w:rsidRPr="00194C4A">
        <w:rPr>
          <w:rFonts w:cs="Times New Roman"/>
        </w:rPr>
        <w:t>z późn. zm.</w:t>
      </w:r>
      <w:r w:rsidR="00BF6009" w:rsidRPr="00194C4A">
        <w:rPr>
          <w:rFonts w:cs="Times New Roman"/>
        </w:rPr>
        <w:t>).</w:t>
      </w:r>
    </w:p>
    <w:p w:rsidR="00BF6009" w:rsidRPr="00194C4A" w:rsidRDefault="002950AE" w:rsidP="002950AE">
      <w:pPr>
        <w:pStyle w:val="Nagwek3"/>
        <w:ind w:left="720" w:hanging="720"/>
        <w:rPr>
          <w:rFonts w:ascii="Times New Roman" w:hAnsi="Times New Roman" w:cs="Times New Roman"/>
        </w:rPr>
      </w:pPr>
      <w:bookmarkStart w:id="10" w:name="_Toc77321920"/>
      <w:r w:rsidRPr="00194C4A">
        <w:rPr>
          <w:rFonts w:ascii="Times New Roman" w:hAnsi="Times New Roman" w:cs="Times New Roman"/>
        </w:rPr>
        <w:t xml:space="preserve">1.1.2 </w:t>
      </w:r>
      <w:r w:rsidR="00BF6009" w:rsidRPr="00194C4A">
        <w:rPr>
          <w:rFonts w:ascii="Times New Roman" w:hAnsi="Times New Roman" w:cs="Times New Roman"/>
        </w:rPr>
        <w:t>Cel i zakres opracowania</w:t>
      </w:r>
      <w:bookmarkEnd w:id="10"/>
    </w:p>
    <w:p w:rsidR="00BF6009" w:rsidRPr="00194C4A" w:rsidRDefault="00BF6009" w:rsidP="00BF6009">
      <w:pPr>
        <w:pStyle w:val="tekst"/>
        <w:rPr>
          <w:rFonts w:cs="Times New Roman"/>
        </w:rPr>
      </w:pPr>
      <w:bookmarkStart w:id="11" w:name="_Toc419273625"/>
      <w:bookmarkEnd w:id="8"/>
      <w:r w:rsidRPr="00194C4A">
        <w:rPr>
          <w:rFonts w:cs="Times New Roman"/>
        </w:rPr>
        <w:t>Celem opracowania jest analiza aktualnych potrzeb energetycznych i sposobu ich zaspokajania na terenie gminy, określenie prognozy oraz wskazanie źródeł pokrycia</w:t>
      </w:r>
      <w:r w:rsidR="0067631F" w:rsidRPr="00194C4A">
        <w:rPr>
          <w:rFonts w:cs="Times New Roman"/>
        </w:rPr>
        <w:t xml:space="preserve"> zapotrzebowania energii </w:t>
      </w:r>
      <w:r w:rsidR="008E200C">
        <w:rPr>
          <w:rFonts w:cs="Times New Roman"/>
        </w:rPr>
        <w:t>na kolejne 10</w:t>
      </w:r>
      <w:r w:rsidR="006D3BD5" w:rsidRPr="00194C4A">
        <w:rPr>
          <w:rFonts w:cs="Times New Roman"/>
        </w:rPr>
        <w:t xml:space="preserve"> lat, czyli do</w:t>
      </w:r>
      <w:r w:rsidR="008E200C">
        <w:rPr>
          <w:rFonts w:cs="Times New Roman"/>
        </w:rPr>
        <w:t xml:space="preserve"> </w:t>
      </w:r>
      <w:r w:rsidR="005B61BE" w:rsidRPr="00194C4A">
        <w:rPr>
          <w:rFonts w:cs="Times New Roman"/>
        </w:rPr>
        <w:t>203</w:t>
      </w:r>
      <w:r w:rsidR="008E200C">
        <w:rPr>
          <w:rFonts w:cs="Times New Roman"/>
        </w:rPr>
        <w:t>5</w:t>
      </w:r>
      <w:r w:rsidRPr="00194C4A">
        <w:rPr>
          <w:rFonts w:cs="Times New Roman"/>
        </w:rPr>
        <w:t xml:space="preserve"> roku z uwzględnieniem planowanego rozwoju gminy.</w:t>
      </w:r>
    </w:p>
    <w:p w:rsidR="00BF6009" w:rsidRPr="00194C4A" w:rsidRDefault="00BF6009" w:rsidP="00BF6009">
      <w:pPr>
        <w:pStyle w:val="tekst"/>
        <w:rPr>
          <w:rFonts w:cs="Times New Roman"/>
        </w:rPr>
      </w:pPr>
      <w:r w:rsidRPr="00194C4A">
        <w:rPr>
          <w:rFonts w:cs="Times New Roman"/>
        </w:rPr>
        <w:t>Niniejsze opracowanie zawiera:</w:t>
      </w:r>
    </w:p>
    <w:p w:rsidR="00A9495D" w:rsidRPr="00194C4A" w:rsidRDefault="00A9495D" w:rsidP="008A40A2">
      <w:pPr>
        <w:pStyle w:val="tekst"/>
        <w:numPr>
          <w:ilvl w:val="0"/>
          <w:numId w:val="5"/>
        </w:numPr>
        <w:rPr>
          <w:rFonts w:cs="Times New Roman"/>
        </w:rPr>
      </w:pPr>
      <w:r w:rsidRPr="00194C4A">
        <w:rPr>
          <w:rFonts w:cs="Times New Roman"/>
        </w:rPr>
        <w:t xml:space="preserve">ocenę stanu aktualnego i przewidywanych zmian zapotrzebowania na ciepło, energię elektryczną i paliwa gazowe; </w:t>
      </w:r>
    </w:p>
    <w:p w:rsidR="00A9495D" w:rsidRPr="00194C4A" w:rsidRDefault="00A9495D" w:rsidP="008A40A2">
      <w:pPr>
        <w:pStyle w:val="tekst"/>
        <w:numPr>
          <w:ilvl w:val="0"/>
          <w:numId w:val="5"/>
        </w:numPr>
        <w:rPr>
          <w:rFonts w:cs="Times New Roman"/>
        </w:rPr>
      </w:pPr>
      <w:r w:rsidRPr="00194C4A">
        <w:rPr>
          <w:rFonts w:cs="Times New Roman"/>
        </w:rPr>
        <w:t xml:space="preserve">przedsięwzięcia racjonalizujące użytkowanie ciepła, energii elektrycznej i paliw gazowych; </w:t>
      </w:r>
    </w:p>
    <w:p w:rsidR="00A9495D" w:rsidRPr="00194C4A" w:rsidRDefault="00A9495D" w:rsidP="008A40A2">
      <w:pPr>
        <w:pStyle w:val="tekst"/>
        <w:numPr>
          <w:ilvl w:val="0"/>
          <w:numId w:val="5"/>
        </w:numPr>
        <w:rPr>
          <w:rFonts w:cs="Times New Roman"/>
        </w:rPr>
      </w:pPr>
      <w:r w:rsidRPr="00194C4A">
        <w:rPr>
          <w:rFonts w:cs="Times New Roman"/>
        </w:rPr>
        <w:t>możliwości wykorzystania istniejących nadwyżek i lokalnych zasobów paliw i energii, z</w:t>
      </w:r>
      <w:r w:rsidR="006D3BD5" w:rsidRPr="00194C4A">
        <w:rPr>
          <w:rFonts w:cs="Times New Roman"/>
        </w:rPr>
        <w:t> </w:t>
      </w:r>
      <w:r w:rsidRPr="00194C4A">
        <w:rPr>
          <w:rFonts w:cs="Times New Roman"/>
        </w:rPr>
        <w:t>uwzględnieniem energii elektrycznej i ciepła wytwarzanych w instalacjach odnawialnego źródła energii, energii elektrycznej i ciepła użytkowego wytwarzanych w</w:t>
      </w:r>
      <w:r w:rsidR="00B04360" w:rsidRPr="00194C4A">
        <w:rPr>
          <w:rFonts w:cs="Times New Roman"/>
        </w:rPr>
        <w:t> </w:t>
      </w:r>
      <w:r w:rsidRPr="00194C4A">
        <w:rPr>
          <w:rFonts w:cs="Times New Roman"/>
        </w:rPr>
        <w:t xml:space="preserve">kogeneracji oraz zagospodarowania ciepła odpadowego z instalacji przemysłowych; </w:t>
      </w:r>
    </w:p>
    <w:p w:rsidR="00A9495D" w:rsidRPr="00194C4A" w:rsidRDefault="00A9495D" w:rsidP="008A40A2">
      <w:pPr>
        <w:pStyle w:val="tekst"/>
        <w:numPr>
          <w:ilvl w:val="0"/>
          <w:numId w:val="5"/>
        </w:numPr>
        <w:rPr>
          <w:rFonts w:cs="Times New Roman"/>
        </w:rPr>
      </w:pPr>
      <w:r w:rsidRPr="00194C4A">
        <w:rPr>
          <w:rFonts w:cs="Times New Roman"/>
        </w:rPr>
        <w:t xml:space="preserve">możliwości stosowania środków poprawy efektywności energetycznej w rozumieniu art. 6 ust. 2 ustawy z dnia 20 maja 2016 r. o efektywności energetycznej; </w:t>
      </w:r>
    </w:p>
    <w:p w:rsidR="00A9495D" w:rsidRPr="00194C4A" w:rsidRDefault="00A9495D" w:rsidP="008A40A2">
      <w:pPr>
        <w:pStyle w:val="tekst"/>
        <w:numPr>
          <w:ilvl w:val="0"/>
          <w:numId w:val="5"/>
        </w:numPr>
        <w:rPr>
          <w:rFonts w:cs="Times New Roman"/>
        </w:rPr>
      </w:pPr>
      <w:r w:rsidRPr="00194C4A">
        <w:rPr>
          <w:rFonts w:cs="Times New Roman"/>
        </w:rPr>
        <w:t>zakres współpracy z innymi gminami.</w:t>
      </w:r>
    </w:p>
    <w:p w:rsidR="00BF6009" w:rsidRPr="00194C4A" w:rsidRDefault="00BF6009" w:rsidP="00BF6009">
      <w:pPr>
        <w:pStyle w:val="tekst"/>
        <w:rPr>
          <w:rFonts w:cs="Times New Roman"/>
        </w:rPr>
      </w:pPr>
      <w:r w:rsidRPr="00194C4A">
        <w:rPr>
          <w:rFonts w:cs="Times New Roman"/>
        </w:rPr>
        <w:t xml:space="preserve">Niniejsza dokumentacja została wykonana zgodnie z umową, obowiązującymi przepisami oraz zasadami wiedzy technicznej. </w:t>
      </w:r>
    </w:p>
    <w:p w:rsidR="00BF6009" w:rsidRPr="00194C4A" w:rsidRDefault="00BF6009" w:rsidP="00BF6009">
      <w:pPr>
        <w:pStyle w:val="tekst"/>
        <w:rPr>
          <w:rFonts w:cs="Times New Roman"/>
        </w:rPr>
      </w:pPr>
      <w:r w:rsidRPr="00194C4A">
        <w:rPr>
          <w:rFonts w:cs="Times New Roman"/>
        </w:rPr>
        <w:t>Dokumentacja wydana jest w stanie zupełnym ze względu na cel oznaczony w umowie.</w:t>
      </w:r>
    </w:p>
    <w:p w:rsidR="00B822AE" w:rsidRPr="00194C4A" w:rsidRDefault="002950AE" w:rsidP="002950AE">
      <w:pPr>
        <w:pStyle w:val="Nagwek3"/>
        <w:ind w:left="720" w:hanging="720"/>
        <w:rPr>
          <w:rFonts w:ascii="Times New Roman" w:hAnsi="Times New Roman" w:cs="Times New Roman"/>
        </w:rPr>
      </w:pPr>
      <w:bookmarkStart w:id="12" w:name="_Toc77321921"/>
      <w:bookmarkEnd w:id="11"/>
      <w:r w:rsidRPr="00194C4A">
        <w:rPr>
          <w:rFonts w:ascii="Times New Roman" w:hAnsi="Times New Roman" w:cs="Times New Roman"/>
        </w:rPr>
        <w:t xml:space="preserve">1.1.3 </w:t>
      </w:r>
      <w:r w:rsidR="00BF6009" w:rsidRPr="00194C4A">
        <w:rPr>
          <w:rFonts w:ascii="Times New Roman" w:hAnsi="Times New Roman" w:cs="Times New Roman"/>
        </w:rPr>
        <w:t>Spójność z dokumentami strategicznymi</w:t>
      </w:r>
      <w:bookmarkEnd w:id="12"/>
    </w:p>
    <w:p w:rsidR="00BF6009" w:rsidRDefault="008E200C" w:rsidP="00EE2CFC">
      <w:pPr>
        <w:pStyle w:val="Nagwek4"/>
        <w:rPr>
          <w:rFonts w:ascii="Times New Roman" w:hAnsi="Times New Roman" w:cs="Times New Roman"/>
        </w:rPr>
      </w:pPr>
      <w:r>
        <w:rPr>
          <w:rFonts w:ascii="Times New Roman" w:hAnsi="Times New Roman" w:cs="Times New Roman"/>
        </w:rPr>
        <w:t>Dyrektywa 2018/2001/UE</w:t>
      </w:r>
    </w:p>
    <w:p w:rsidR="008E200C" w:rsidRDefault="008E200C" w:rsidP="008E200C">
      <w:pPr>
        <w:spacing w:line="360" w:lineRule="auto"/>
        <w:jc w:val="both"/>
        <w:rPr>
          <w:rFonts w:ascii="Times New Roman" w:hAnsi="Times New Roman" w:cs="Times New Roman"/>
          <w:sz w:val="24"/>
          <w:szCs w:val="24"/>
        </w:rPr>
      </w:pPr>
      <w:r>
        <w:tab/>
      </w:r>
      <w:r w:rsidRPr="008E200C">
        <w:rPr>
          <w:rFonts w:ascii="Times New Roman" w:hAnsi="Times New Roman" w:cs="Times New Roman"/>
          <w:sz w:val="24"/>
          <w:szCs w:val="24"/>
        </w:rPr>
        <w:t xml:space="preserve">Dyrektywa 2018/2001/UE Parlamentu Europejskiego i Rady z dnia 11 grudnia 2018r. </w:t>
      </w:r>
      <w:r>
        <w:rPr>
          <w:rFonts w:ascii="Times New Roman" w:hAnsi="Times New Roman" w:cs="Times New Roman"/>
          <w:sz w:val="24"/>
          <w:szCs w:val="24"/>
        </w:rPr>
        <w:t xml:space="preserve">                 </w:t>
      </w:r>
      <w:r w:rsidRPr="008E200C">
        <w:rPr>
          <w:rFonts w:ascii="Times New Roman" w:hAnsi="Times New Roman" w:cs="Times New Roman"/>
          <w:sz w:val="24"/>
          <w:szCs w:val="24"/>
        </w:rPr>
        <w:t xml:space="preserve">w sprawie promowania stosowania energii ze źródeł odnawialnych, zwana inaczej </w:t>
      </w:r>
      <w:r>
        <w:rPr>
          <w:rFonts w:ascii="Times New Roman" w:hAnsi="Times New Roman" w:cs="Times New Roman"/>
          <w:sz w:val="24"/>
          <w:szCs w:val="24"/>
        </w:rPr>
        <w:t xml:space="preserve">                         </w:t>
      </w:r>
      <w:r w:rsidRPr="008E200C">
        <w:rPr>
          <w:rFonts w:ascii="Times New Roman" w:hAnsi="Times New Roman" w:cs="Times New Roman"/>
          <w:sz w:val="24"/>
          <w:szCs w:val="24"/>
        </w:rPr>
        <w:t>RED II ( Renewable Energy Directive II)</w:t>
      </w:r>
      <w:r>
        <w:rPr>
          <w:rFonts w:ascii="Times New Roman" w:hAnsi="Times New Roman" w:cs="Times New Roman"/>
          <w:sz w:val="24"/>
          <w:szCs w:val="24"/>
        </w:rPr>
        <w:t xml:space="preserve"> ma za zadanie zwiększenie udziału energii odnawialnej w miksie energetycznym Unii Europejskiej do co najmniej 32% w całkowitym zużyciu energii do 2030r. Dyrektywa ta, obejmuje wszystkie sektory jak energię elektryczną, ciepło i chłód oraz transport. RED II ułatwia integrację OZE na rynku energii i promuje nowe technologie, np. biopaliwa drugiej generacji, wodór odnawialny. </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Do głównych postanowień dyrektywy można zaliczyć:</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 państwa członkowskie muszą opracować plany na rzecz energii odnawialnej ( tzw. NECP- National Energy and Climate Plans);</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 minimalny udział odnawialnych źródeł w paliwach transportowych wynosi 14% do 2030r.,                    z naciskiem na zaawansowane biopaliwa i elektryfikację;</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 promuje rynkowe mechanizmy wsparcia, ale dopuszcza także wsparcie finansowe, np. taryfy gwarantowane, aukcje.</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 wprowadza ułatwienia administracyjne i przyspieszone procedury dla projektów OZE;</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 biopaliwa musze spełniać kryteria zrównoważonego rozwoju i redukcji emisji CO2 (min. 65% redukcji w porównaniu z paliwami kopalnymi).</w:t>
      </w:r>
    </w:p>
    <w:p w:rsidR="003A278F"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Przykładem wdrożenia dyrektywy RED II może być Spółdzielnia Energetyczna                             w Krakowie. Krakowska Elektrownia Społeczna to przykład społeczności energetycznej, która produkuje energię z paneli fotowoltaicznych. Członkowie inwestują w instalacje poprzez wykupienie udziałów, a zyski są dzielone proporcjonalnie. Pomimo ograniczeń ustawowych, KES funkcjonuje jako spółdzielnia inwestycyjna, co stanowi przykład implementacji RED II w Polsce. </w:t>
      </w:r>
    </w:p>
    <w:p w:rsidR="003A278F" w:rsidRPr="008E200C" w:rsidRDefault="003A278F" w:rsidP="008E200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W 2023 roku wprowadzono nowelizację ustawy o odnawialnych źródłach energii, która implementuje przepisy RED II. Nowe regulacje obejmują m.in. wsparcie dla instalacji hybrydowych OZE, rozwój klastrów energii oraz zwiększenie przyłączeniowego potencjału dla nowych źródeł OZE. Dodatkowo, umożliwiono tzw. Cable pooling, czyli przyłączanie wielu instalacji OZE w jednym, punkcie przyłączenia. </w:t>
      </w:r>
    </w:p>
    <w:p w:rsidR="00BF6009" w:rsidRPr="00194C4A" w:rsidRDefault="00BF6009" w:rsidP="00EE2CFC">
      <w:pPr>
        <w:pStyle w:val="Nagwek4"/>
        <w:rPr>
          <w:rFonts w:ascii="Times New Roman" w:hAnsi="Times New Roman" w:cs="Times New Roman"/>
        </w:rPr>
      </w:pPr>
      <w:bookmarkStart w:id="13" w:name="_Toc426141748"/>
      <w:bookmarkStart w:id="14" w:name="_Toc429477896"/>
      <w:r w:rsidRPr="00194C4A">
        <w:rPr>
          <w:rFonts w:ascii="Times New Roman" w:hAnsi="Times New Roman" w:cs="Times New Roman"/>
        </w:rPr>
        <w:t>Dyrektywa 2012/27/UE</w:t>
      </w:r>
      <w:bookmarkEnd w:id="13"/>
      <w:bookmarkEnd w:id="14"/>
    </w:p>
    <w:p w:rsidR="00BF6009" w:rsidRPr="00194C4A" w:rsidRDefault="00BF6009" w:rsidP="00947BF2">
      <w:pPr>
        <w:pStyle w:val="tekst"/>
        <w:spacing w:line="360" w:lineRule="auto"/>
        <w:rPr>
          <w:rFonts w:cs="Times New Roman"/>
        </w:rPr>
      </w:pPr>
      <w:r w:rsidRPr="00194C4A">
        <w:rPr>
          <w:rFonts w:cs="Times New Roman"/>
        </w:rPr>
        <w:t>Dyrektywa 2012/27/UE Parlamentu Europejskiego i Rady z dnia 25 października 2012 r. w</w:t>
      </w:r>
      <w:r w:rsidR="00B04360" w:rsidRPr="00194C4A">
        <w:rPr>
          <w:rFonts w:cs="Times New Roman"/>
        </w:rPr>
        <w:t> </w:t>
      </w:r>
      <w:r w:rsidRPr="00194C4A">
        <w:rPr>
          <w:rFonts w:cs="Times New Roman"/>
        </w:rPr>
        <w:t>sprawie efektywności energetycznej, zmiany dyrektyw 2009/125/WE i 2010/30/UE oraz uchylenia dyrektyw 2004/8/WE i 2006/32/WE, ustanawia wspólne ramy działań na rzecz promowania efektywności energetycznej w UE dla osiągnięcia jej celu – wzros</w:t>
      </w:r>
      <w:r w:rsidR="00D4687E" w:rsidRPr="00194C4A">
        <w:rPr>
          <w:rFonts w:cs="Times New Roman"/>
        </w:rPr>
        <w:t>tu efektywności energetycznej o </w:t>
      </w:r>
      <w:r w:rsidRPr="00194C4A">
        <w:rPr>
          <w:rFonts w:cs="Times New Roman"/>
        </w:rPr>
        <w:t>20% (zmniejszenie zużycia energii pierwotnej o 20%) do 2020 r. oraz utorowania drogi dla dalszej poprawy efektywności energetycznej po tym terminie. Ponadto, określa zasady opracowane w celu usunięcia barier na rynku energii oraz przezwyciężenia nieprawid</w:t>
      </w:r>
      <w:r w:rsidR="00586B4B" w:rsidRPr="00194C4A">
        <w:rPr>
          <w:rFonts w:cs="Times New Roman"/>
        </w:rPr>
        <w:t>łowości w </w:t>
      </w:r>
      <w:r w:rsidRPr="00194C4A">
        <w:rPr>
          <w:rFonts w:cs="Times New Roman"/>
        </w:rPr>
        <w:t>funkcjonowaniu rynku. Przewiduje również ustanowienie krajowych celów w zakresie efektywności energetycznej na rok 2020.</w:t>
      </w:r>
    </w:p>
    <w:p w:rsidR="00BF6009" w:rsidRPr="00194C4A" w:rsidRDefault="00BF6009" w:rsidP="00947BF2">
      <w:pPr>
        <w:pStyle w:val="tekst"/>
        <w:spacing w:line="360" w:lineRule="auto"/>
        <w:rPr>
          <w:rFonts w:cs="Times New Roman"/>
        </w:rPr>
      </w:pPr>
      <w:r w:rsidRPr="00194C4A">
        <w:rPr>
          <w:rFonts w:cs="Times New Roman"/>
        </w:rPr>
        <w:lastRenderedPageBreak/>
        <w:t>Instytucje publiczne będą stanowić wzorzec poprzez zapewnienie przez państwa członkowskie, że od 1 stycznia 2014 r. 3% całkowitej powierzchni ogrzewanych i/lub chłodzonych budynków należących do instytucji rządowych lub przez nie zajmowanych będzie co roku podlegać renowacji do stanu odpowiadającego minimalnym standardom dla nowych budynków.</w:t>
      </w:r>
    </w:p>
    <w:p w:rsidR="00BF6009" w:rsidRPr="00194C4A" w:rsidRDefault="00BF6009" w:rsidP="00BF6009">
      <w:pPr>
        <w:pStyle w:val="tekst"/>
        <w:rPr>
          <w:rFonts w:cs="Times New Roman"/>
        </w:rPr>
      </w:pPr>
      <w:r w:rsidRPr="00194C4A">
        <w:rPr>
          <w:rFonts w:cs="Times New Roman"/>
        </w:rPr>
        <w:t>Państwa członkowskie mają ustanowić długoterminowe st</w:t>
      </w:r>
      <w:r w:rsidR="00586B4B" w:rsidRPr="00194C4A">
        <w:rPr>
          <w:rFonts w:cs="Times New Roman"/>
        </w:rPr>
        <w:t>rategie wspierania inwestycji w </w:t>
      </w:r>
      <w:r w:rsidRPr="00194C4A">
        <w:rPr>
          <w:rFonts w:cs="Times New Roman"/>
        </w:rPr>
        <w:t>renowację krajowych zasobów budynków mieszkaniowych i użytkowych zarówno publicznych, jak i prywatnych.</w:t>
      </w:r>
    </w:p>
    <w:p w:rsidR="00BF6009" w:rsidRPr="00194C4A" w:rsidRDefault="00BF6009" w:rsidP="00BF6009">
      <w:pPr>
        <w:pStyle w:val="tekst"/>
        <w:rPr>
          <w:rFonts w:cs="Times New Roman"/>
        </w:rPr>
      </w:pPr>
      <w:r w:rsidRPr="00194C4A">
        <w:rPr>
          <w:rFonts w:cs="Times New Roman"/>
        </w:rPr>
        <w:t>Każde państwo członkowskie powinno ustanowić krajowe systemy zobowiązujące do efektywności energetycznej, nakład</w:t>
      </w:r>
      <w:r w:rsidR="00353CF3" w:rsidRPr="00194C4A">
        <w:rPr>
          <w:rFonts w:cs="Times New Roman"/>
        </w:rPr>
        <w:t xml:space="preserve">ające na </w:t>
      </w:r>
      <w:r w:rsidRPr="00194C4A">
        <w:rPr>
          <w:rFonts w:cs="Times New Roman"/>
        </w:rPr>
        <w:t>przedsiębiorstwa prowadzące detaliczną sprzedaż energii obowiązek osiągnięcia łącznego celu w zakresie oszczędności energii końcowej równego 1,5</w:t>
      </w:r>
      <w:r w:rsidR="003822DA" w:rsidRPr="00194C4A">
        <w:rPr>
          <w:rFonts w:cs="Times New Roman"/>
        </w:rPr>
        <w:t> </w:t>
      </w:r>
      <w:r w:rsidRPr="00194C4A">
        <w:rPr>
          <w:rFonts w:cs="Times New Roman"/>
        </w:rPr>
        <w:t>% wielkości rocznej sprzedaży energii do odbiorców końcowych.</w:t>
      </w:r>
    </w:p>
    <w:p w:rsidR="00BF6009" w:rsidRDefault="00BF6009" w:rsidP="00BF6009">
      <w:pPr>
        <w:pStyle w:val="tekst"/>
        <w:rPr>
          <w:rFonts w:cs="Times New Roman"/>
        </w:rPr>
      </w:pPr>
      <w:r w:rsidRPr="00194C4A">
        <w:rPr>
          <w:rFonts w:cs="Times New Roman"/>
        </w:rPr>
        <w:t>Państwa członkowskie są zobowiązane do umożliwienia końcowym odbiorcom energii dostępu do audytów energetycznych, nabycia po konkurencyjnych cenach indywidualnych liczników informujących o rzeczywistym zużyciu i czasie korzystania z energii (liczniki inteligentne).</w:t>
      </w:r>
    </w:p>
    <w:p w:rsidR="003A278F" w:rsidRDefault="003A278F" w:rsidP="00BF6009">
      <w:pPr>
        <w:pStyle w:val="tekst"/>
        <w:rPr>
          <w:rFonts w:cs="Times New Roman"/>
        </w:rPr>
      </w:pPr>
      <w:r>
        <w:rPr>
          <w:rFonts w:cs="Times New Roman"/>
        </w:rPr>
        <w:t>Zgodnie z now</w:t>
      </w:r>
      <w:r w:rsidR="00947BF2">
        <w:rPr>
          <w:rFonts w:cs="Times New Roman"/>
        </w:rPr>
        <w:t>elizacją dyrektywy EED, w Polsce</w:t>
      </w:r>
      <w:r>
        <w:rPr>
          <w:rFonts w:cs="Times New Roman"/>
        </w:rPr>
        <w:t xml:space="preserve"> rozszerzono obowiązek przeprowadzania audytów energetycznych. Teraz obejmują one wszystkie przedsiębiorstwa zużywające więcej niż 10TJ energii rocznie, niezależnie od ich wielkości. Dla firm zużywających powyżej 85 TJ rocznie wprowadzono obowiązek posiadania certyfikowanego Systemu Zarządzania Energią zgodnego z normą ISO 50001.</w:t>
      </w:r>
    </w:p>
    <w:p w:rsidR="003A278F" w:rsidRDefault="003A278F" w:rsidP="00BF6009">
      <w:pPr>
        <w:pStyle w:val="tekst"/>
        <w:rPr>
          <w:rFonts w:cs="Times New Roman"/>
        </w:rPr>
      </w:pPr>
      <w:r>
        <w:rPr>
          <w:rFonts w:cs="Times New Roman"/>
        </w:rPr>
        <w:t xml:space="preserve">W ramach dyrektywy EED promowane są inwestycje w efektywność energetyczną budynków. Przykładem jest projekt „Ciepłownia Przyszłości”, który zakłada niemal całkowitą dekarbonizację systemu ciepłowniczego poprzez wykorzystanie odnawialnych źródeł energii i nowoczesnych technologii. </w:t>
      </w:r>
    </w:p>
    <w:p w:rsidR="00B30136" w:rsidRDefault="00B30136" w:rsidP="00B30136">
      <w:pPr>
        <w:pStyle w:val="Nagwek4"/>
        <w:rPr>
          <w:rFonts w:ascii="Times New Roman" w:hAnsi="Times New Roman" w:cs="Times New Roman"/>
        </w:rPr>
      </w:pPr>
      <w:r>
        <w:rPr>
          <w:rFonts w:ascii="Times New Roman" w:hAnsi="Times New Roman" w:cs="Times New Roman"/>
        </w:rPr>
        <w:t>Pakiet REPowerEU (2022)</w:t>
      </w:r>
    </w:p>
    <w:p w:rsidR="00B30136" w:rsidRDefault="00B30136" w:rsidP="00B30136">
      <w:pPr>
        <w:spacing w:line="360" w:lineRule="auto"/>
        <w:jc w:val="both"/>
        <w:rPr>
          <w:rFonts w:ascii="Times New Roman" w:hAnsi="Times New Roman" w:cs="Times New Roman"/>
          <w:sz w:val="24"/>
          <w:szCs w:val="24"/>
        </w:rPr>
      </w:pPr>
      <w:r>
        <w:tab/>
      </w:r>
      <w:r w:rsidRPr="00B30136">
        <w:rPr>
          <w:rFonts w:ascii="Times New Roman" w:hAnsi="Times New Roman" w:cs="Times New Roman"/>
          <w:sz w:val="24"/>
          <w:szCs w:val="24"/>
        </w:rPr>
        <w:t xml:space="preserve">Plan reakcji UE na kryzys energetyczny  wywołany wojną na Ukrainie. </w:t>
      </w:r>
      <w:r>
        <w:rPr>
          <w:rFonts w:ascii="Times New Roman" w:hAnsi="Times New Roman" w:cs="Times New Roman"/>
          <w:sz w:val="24"/>
          <w:szCs w:val="24"/>
        </w:rPr>
        <w:t xml:space="preserve">Ma na celu szybkie zmniejszenie zależności od paliw kopalnych z Rosji, poprzez zwiększenie produkcji i konsumpcji OZE, efektywności energetycznej oraz rozbudowę infrastruktury. Zakłada przyspieszenie wdrażania prawa dotyczącego OZE i efektywności. Wspiera jednocześnie inwestycje w magazynowanie energii, rozbudowę sieci i rozwój technologii niskoemisyjnej. </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tab/>
        <w:t>Główne elementy pakietu to:</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t>- przyspieszenie wdrażania OZE: proponuje zwiększenie celu OZE do 45% do 2030r.;</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t>- szybsza efektywność energetyczna: zaostrza cele efektywności, m.in. poprzez szybszą termomodernizację budynków i wdrażanie inteligentnych systemów zarządzania energią;</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dywersyfikacja źródeł energii- inwestycje w LNG, wodór odnawialny, rozbudowę sieci przesyłowych i magazynów energii;</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t>- fundusze i wsparcie: REPowerEU przewiduje mechanizmy finansowe (np. fundusz odbudowy, środki z Funduszu Modernizacyjnego), aby wspierać państwa i przedsiębiorstwa w realizacji celów;</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regulacje: propozycje zmian legislacyjnych upraszczających i przyspieszających procedury inwestycyjne, ułatwiające szybkie wdrażanie zielonych projektów. </w:t>
      </w:r>
    </w:p>
    <w:p w:rsidR="00B30136" w:rsidRDefault="00B30136" w:rsidP="00B3013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Przykładem wdrożenia tego pakietu jest np. Kazimierz Biskupi gmina z 100% energią z OZE. Gmina ta mieszcząca się w Wielkopolsce stała się pierwszą w Polsce gminą, która korzysta wyłącznie z energii elektrycznej pochodzącej z odnawialnych źródeł. Celem jest osiągnięcie neutralności klimatycznej do 2040r. Projekt ten jest częścią szerszej transformacji energetycznej regionu. </w:t>
      </w:r>
    </w:p>
    <w:p w:rsidR="00391510" w:rsidRDefault="00391510" w:rsidP="0039151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Kolejnym przykładem jest Spółdzielnia Energetyczna w Ziemi Kłodzkiej. Spółdzielnia ta, to inicjatywa lokalna, która promuje samodzielność energetyczną poprzez inwestycje w odnawialne źródła energii. Projekt ten jest zgodny z celami REPowerUE, wpierającymi rozwój lokalnych źródeł energii i efektywności energetycznej.</w:t>
      </w:r>
    </w:p>
    <w:p w:rsidR="00B30136" w:rsidRPr="009C38EB" w:rsidRDefault="00391510" w:rsidP="00CA7D3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Park Zielonej Energii to kolejny przykład wdrożenia tego pakietu. Jest to projekt który wykorzystuje odpady komunalne do produkcji energii elektrycznej i ciepła. Inwestycja ta przyczynia się do zmniejszenia zużycia paliw kopalnych, ograniczenia emisji gazów cieplarnianych oraz zwiększenia efektywności miejskiego systemu ciepłowniczego. </w:t>
      </w:r>
    </w:p>
    <w:p w:rsidR="00BF6009" w:rsidRPr="00194C4A" w:rsidRDefault="00BF6009" w:rsidP="00CA7D30">
      <w:pPr>
        <w:pStyle w:val="Nagwek4"/>
        <w:spacing w:line="360" w:lineRule="auto"/>
        <w:rPr>
          <w:rFonts w:ascii="Times New Roman" w:hAnsi="Times New Roman" w:cs="Times New Roman"/>
        </w:rPr>
      </w:pPr>
      <w:bookmarkStart w:id="15" w:name="_Toc317350375"/>
      <w:bookmarkStart w:id="16" w:name="_Toc317460516"/>
      <w:bookmarkStart w:id="17" w:name="_Toc426141749"/>
      <w:bookmarkStart w:id="18" w:name="_Toc429477897"/>
      <w:r w:rsidRPr="00194C4A">
        <w:rPr>
          <w:rFonts w:ascii="Times New Roman" w:hAnsi="Times New Roman" w:cs="Times New Roman"/>
        </w:rPr>
        <w:t xml:space="preserve">Dyrektywa </w:t>
      </w:r>
      <w:bookmarkEnd w:id="15"/>
      <w:bookmarkEnd w:id="16"/>
      <w:bookmarkEnd w:id="17"/>
      <w:bookmarkEnd w:id="18"/>
      <w:r w:rsidR="009E45F5">
        <w:rPr>
          <w:rFonts w:ascii="Times New Roman" w:hAnsi="Times New Roman" w:cs="Times New Roman"/>
        </w:rPr>
        <w:t>RED III</w:t>
      </w:r>
    </w:p>
    <w:p w:rsidR="00CA7D30" w:rsidRDefault="00BF6009" w:rsidP="00CA7D30">
      <w:pPr>
        <w:pStyle w:val="tekst"/>
        <w:spacing w:line="360" w:lineRule="auto"/>
        <w:rPr>
          <w:rFonts w:cs="Times New Roman"/>
        </w:rPr>
      </w:pPr>
      <w:r w:rsidRPr="00194C4A">
        <w:rPr>
          <w:rFonts w:cs="Times New Roman"/>
        </w:rPr>
        <w:t xml:space="preserve">Dyrektywa </w:t>
      </w:r>
      <w:r w:rsidR="00CA7D30">
        <w:rPr>
          <w:rFonts w:cs="Times New Roman"/>
        </w:rPr>
        <w:t>Parlamentu Europejskiego i Rady z dnia 27 grudnia 2023</w:t>
      </w:r>
      <w:r w:rsidR="00586B4B" w:rsidRPr="00194C4A">
        <w:rPr>
          <w:rFonts w:cs="Times New Roman"/>
        </w:rPr>
        <w:t xml:space="preserve"> r. w </w:t>
      </w:r>
      <w:r w:rsidRPr="00194C4A">
        <w:rPr>
          <w:rFonts w:cs="Times New Roman"/>
        </w:rPr>
        <w:t xml:space="preserve">sprawie </w:t>
      </w:r>
      <w:r w:rsidR="00CA7D30">
        <w:rPr>
          <w:rFonts w:cs="Times New Roman"/>
        </w:rPr>
        <w:t xml:space="preserve">promowania stosowania energii ze źródeł odnawialnych . </w:t>
      </w:r>
      <w:r w:rsidRPr="00194C4A">
        <w:rPr>
          <w:rFonts w:cs="Times New Roman"/>
        </w:rPr>
        <w:t xml:space="preserve"> </w:t>
      </w:r>
    </w:p>
    <w:p w:rsidR="00CA7D30" w:rsidRDefault="00CA7D30" w:rsidP="00CA7D30">
      <w:pPr>
        <w:pStyle w:val="tekst"/>
        <w:spacing w:line="360" w:lineRule="auto"/>
        <w:rPr>
          <w:rFonts w:cs="Times New Roman"/>
        </w:rPr>
      </w:pPr>
      <w:r>
        <w:rPr>
          <w:rFonts w:cs="Times New Roman"/>
        </w:rPr>
        <w:t xml:space="preserve">Głównym celem tej dyrektywy jest podniesienie udziału OZE w finalnym zużyciu energii do co najmniej 42,5% do 2030r. oraz dalsza transformacja energetyczna UE w kierunku neutralności klimatycznej do 2050r. </w:t>
      </w:r>
    </w:p>
    <w:p w:rsidR="00CA7D30" w:rsidRDefault="00CA7D30" w:rsidP="00CA7D30">
      <w:pPr>
        <w:pStyle w:val="tekst"/>
        <w:spacing w:line="360" w:lineRule="auto"/>
        <w:rPr>
          <w:rFonts w:cs="Times New Roman"/>
        </w:rPr>
      </w:pPr>
      <w:r>
        <w:rPr>
          <w:rFonts w:cs="Times New Roman"/>
        </w:rPr>
        <w:t xml:space="preserve">Dyrektywa RED III stosuje ułatwienia w przyłączeniu do sieci i wyłączeniu wodoru do miksu energetycznego. Ponadto przyspiesza i uproszcza procedury administracyjne pozwalające na rozwój projektów OZE ( np. instalacji fotowoltaicznych, wiatrowych). Państwa członkowskie muszą stosować maksymalnie uproszczone procesy zatwierdzania inwestycji OZE. Dyrektywa wprowadza przepisy gwarantujące dostęp do rynku energii dla małych producentów OZE oraz zaostrza kryteria równoważności i śladu węglowego dla biopaliw i biogazów, by unikać </w:t>
      </w:r>
      <w:r>
        <w:rPr>
          <w:rFonts w:cs="Times New Roman"/>
        </w:rPr>
        <w:lastRenderedPageBreak/>
        <w:t xml:space="preserve">negatywnego wpływu na środowisko i konkurencję z produkcją żywności. Dyrektywa ta, promuje hybrydowe systemy energetyczne ( np. połączenie OZE z magazynami energii, pompami ciepła). Dyrektywa stawia mocny nacisk na rozwój OZE w ciepłownictwie i chłodnictwie, które często były słabiej wspierane. </w:t>
      </w:r>
    </w:p>
    <w:p w:rsidR="00CA7D30" w:rsidRDefault="00CA7D30" w:rsidP="00CA7D30">
      <w:pPr>
        <w:pStyle w:val="tekst"/>
        <w:spacing w:line="360" w:lineRule="auto"/>
        <w:rPr>
          <w:rFonts w:cs="Times New Roman"/>
        </w:rPr>
      </w:pPr>
      <w:r>
        <w:rPr>
          <w:rFonts w:cs="Times New Roman"/>
        </w:rPr>
        <w:t xml:space="preserve">Polska będzie musiała podnieść udział OZE w miksie energetycznym zgodnie z wyższym celem 42,5-45% do 2030r. Konieczne będą duże inwestycje w fotowoltaikę, farmy wiatrowe ( w tym morskie), biomasy, a także rozwój infrastruktury dla wodoru. Potrzebne będą ponadto zmiany w prawie krajowym, które uproszczą proces inwestycyjny i zwiększą wsparcie dla prosumentów oraz społeczności energetycznej. </w:t>
      </w:r>
      <w:r w:rsidR="006720CF">
        <w:rPr>
          <w:rFonts w:cs="Times New Roman"/>
        </w:rPr>
        <w:t xml:space="preserve">Wdrożenie zaostrzeń dotyczących biopaliw będzie wymagać modyfikacji regulacji krajowych. </w:t>
      </w:r>
    </w:p>
    <w:p w:rsidR="006720CF" w:rsidRDefault="006720CF" w:rsidP="00CA7D30">
      <w:pPr>
        <w:pStyle w:val="tekst"/>
        <w:spacing w:line="360" w:lineRule="auto"/>
        <w:rPr>
          <w:rFonts w:cs="Times New Roman"/>
        </w:rPr>
      </w:pPr>
      <w:r>
        <w:rPr>
          <w:rFonts w:cs="Times New Roman"/>
        </w:rPr>
        <w:t>Przykładami działań w tej dyrektywie można zaliczyć:</w:t>
      </w:r>
    </w:p>
    <w:p w:rsidR="006720CF" w:rsidRDefault="006720CF" w:rsidP="00CA7D30">
      <w:pPr>
        <w:pStyle w:val="tekst"/>
        <w:spacing w:line="360" w:lineRule="auto"/>
        <w:rPr>
          <w:rFonts w:cs="Times New Roman"/>
        </w:rPr>
      </w:pPr>
      <w:r>
        <w:rPr>
          <w:rFonts w:cs="Times New Roman"/>
        </w:rPr>
        <w:t>- rozwój farm wiatrowych na Bałtyku ( np. projekt Baltica 2 i 3);</w:t>
      </w:r>
    </w:p>
    <w:p w:rsidR="006720CF" w:rsidRDefault="006720CF" w:rsidP="00CA7D30">
      <w:pPr>
        <w:pStyle w:val="tekst"/>
        <w:spacing w:line="360" w:lineRule="auto"/>
        <w:rPr>
          <w:rFonts w:cs="Times New Roman"/>
        </w:rPr>
      </w:pPr>
      <w:r>
        <w:rPr>
          <w:rFonts w:cs="Times New Roman"/>
        </w:rPr>
        <w:t>- programy wsparcia dla fotowoltaiki dla gospodarstw domowych i przedsiębiorstw ( np. „Mój  Prąd”);</w:t>
      </w:r>
    </w:p>
    <w:p w:rsidR="006720CF" w:rsidRDefault="006720CF" w:rsidP="00CA7D30">
      <w:pPr>
        <w:pStyle w:val="tekst"/>
        <w:spacing w:line="360" w:lineRule="auto"/>
        <w:rPr>
          <w:rFonts w:cs="Times New Roman"/>
        </w:rPr>
      </w:pPr>
      <w:r>
        <w:rPr>
          <w:rFonts w:cs="Times New Roman"/>
        </w:rPr>
        <w:t>- inicjatywy tworzenia lokalnych wspólnot energetycznych i spółdzielni OZE;</w:t>
      </w:r>
    </w:p>
    <w:p w:rsidR="006720CF" w:rsidRDefault="006720CF" w:rsidP="00CA7D30">
      <w:pPr>
        <w:pStyle w:val="tekst"/>
        <w:spacing w:line="360" w:lineRule="auto"/>
        <w:rPr>
          <w:rFonts w:cs="Times New Roman"/>
        </w:rPr>
      </w:pPr>
      <w:r>
        <w:rPr>
          <w:rFonts w:cs="Times New Roman"/>
        </w:rPr>
        <w:t xml:space="preserve">- przygotowanie do produkcji i dystrybucji zielonego wodoru w ramach strategii wodorowej Polski. </w:t>
      </w:r>
    </w:p>
    <w:p w:rsidR="00CA7D30" w:rsidRDefault="00CA7D30" w:rsidP="00CA7D30">
      <w:pPr>
        <w:pStyle w:val="tekst"/>
        <w:rPr>
          <w:rFonts w:cs="Times New Roman"/>
        </w:rPr>
      </w:pPr>
    </w:p>
    <w:p w:rsidR="008261C5" w:rsidRPr="00194C4A" w:rsidRDefault="008F1A19" w:rsidP="002F56F3">
      <w:pPr>
        <w:pStyle w:val="Nagwek4"/>
      </w:pPr>
      <w:r w:rsidRPr="00194C4A">
        <w:t>Polityka E</w:t>
      </w:r>
      <w:r w:rsidR="00B822AE" w:rsidRPr="00194C4A">
        <w:t>nergetyczna Polski</w:t>
      </w:r>
      <w:r w:rsidRPr="00194C4A">
        <w:t xml:space="preserve"> do 20</w:t>
      </w:r>
      <w:r w:rsidR="00201D3E" w:rsidRPr="00194C4A">
        <w:t>4</w:t>
      </w:r>
      <w:r w:rsidRPr="00194C4A">
        <w:t>0 roku</w:t>
      </w:r>
      <w:bookmarkStart w:id="19" w:name="_Toc419273629"/>
    </w:p>
    <w:p w:rsidR="008261C5" w:rsidRPr="00194C4A" w:rsidRDefault="008261C5" w:rsidP="00E71367">
      <w:pPr>
        <w:pStyle w:val="tekst"/>
        <w:spacing w:line="360" w:lineRule="auto"/>
        <w:rPr>
          <w:rFonts w:cs="Times New Roman"/>
          <w:b/>
          <w:bCs/>
        </w:rPr>
      </w:pPr>
      <w:r w:rsidRPr="00194C4A">
        <w:rPr>
          <w:rFonts w:cs="Times New Roman"/>
          <w:bCs/>
        </w:rPr>
        <w:t>P</w:t>
      </w:r>
      <w:r w:rsidRPr="00194C4A">
        <w:rPr>
          <w:rFonts w:cs="Times New Roman"/>
        </w:rPr>
        <w:t>olityka energetyczna Polski jest dokumentem przedstawiającym długoterminową strategię rządu w sektorze paliwowo-energetycznym.</w:t>
      </w:r>
      <w:r w:rsidR="006720CF">
        <w:rPr>
          <w:rFonts w:cs="Times New Roman"/>
        </w:rPr>
        <w:t xml:space="preserve"> </w:t>
      </w:r>
      <w:r w:rsidRPr="00194C4A">
        <w:rPr>
          <w:rFonts w:cs="Times New Roman"/>
        </w:rPr>
        <w:t>Zakres oraz obowiązek opracowania dokumentu Polityka energetyczna Polski są nałożone na ministra właściwego do spraw energii przepisami ustawy – Praw</w:t>
      </w:r>
      <w:r w:rsidR="006720CF">
        <w:rPr>
          <w:rFonts w:cs="Times New Roman"/>
        </w:rPr>
        <w:t>o energetyczne (tj. Dz.U. z 2024 r. poz. 266</w:t>
      </w:r>
      <w:r w:rsidRPr="00194C4A">
        <w:rPr>
          <w:rFonts w:cs="Times New Roman"/>
        </w:rPr>
        <w:t>).Zawartość dokumentu, jego cele i kształt, są regulowane przepisami ustawy Prawo energetyczne (art. 13-15a).Celem polityki energetycznej Polski jest zapewnienie bezpieczeństwa energetycznego kraju wzrostu konkurencyjności gospodarki i jej efektywności energetycznej, a także ochrony środowiska.</w:t>
      </w:r>
      <w:r w:rsidR="006720CF">
        <w:rPr>
          <w:rFonts w:cs="Times New Roman"/>
        </w:rPr>
        <w:t xml:space="preserve"> </w:t>
      </w:r>
      <w:r w:rsidRPr="00194C4A">
        <w:rPr>
          <w:rFonts w:cs="Times New Roman"/>
        </w:rPr>
        <w:t>Dokument ten jest przyjmowany przez Radę Ministrów w formie uchwały.</w:t>
      </w:r>
      <w:r w:rsidR="006720CF">
        <w:rPr>
          <w:rFonts w:cs="Times New Roman"/>
        </w:rPr>
        <w:t xml:space="preserve"> </w:t>
      </w:r>
      <w:r w:rsidRPr="00194C4A">
        <w:rPr>
          <w:rFonts w:cs="Times New Roman"/>
        </w:rPr>
        <w:t>Ostatni przyjęty dokument przez Radę Ministrów w 2009 roku to Polityka energetyczna Polski do 2030 roku.</w:t>
      </w:r>
      <w:r w:rsidR="006720CF">
        <w:rPr>
          <w:rFonts w:cs="Times New Roman"/>
        </w:rPr>
        <w:t xml:space="preserve"> </w:t>
      </w:r>
      <w:r w:rsidRPr="00194C4A">
        <w:rPr>
          <w:rFonts w:cs="Times New Roman"/>
        </w:rPr>
        <w:t>Obecnie Ministerstwo Klimatu i Środowiska pracuje nad projektem „Polityki energetycznej Polski" (PEP), która określać będzie długoterminową wizję rządu dla sektora energii.</w:t>
      </w:r>
      <w:r w:rsidR="006720CF">
        <w:rPr>
          <w:rFonts w:cs="Times New Roman"/>
        </w:rPr>
        <w:t xml:space="preserve"> </w:t>
      </w:r>
      <w:r w:rsidRPr="00194C4A">
        <w:rPr>
          <w:rFonts w:cs="Times New Roman"/>
        </w:rPr>
        <w:t xml:space="preserve">Istotne znaczenie dla prac nad PEP ma polityka Unii Europejskiej w zakresie energii i klimatu, m.in. poprzez regulacje wchodzące w skład pakietu dokumentów „Czysta energia dla wszystkich Europejczyków”. Warto zauważyć, że w ramach obowiązku nałożonego na państwa członkowskie UE opracowano Krajowy plan na rzecz energii i klimatu na lata 2021-2030, który został przedłożony Komisji Europejskiej w </w:t>
      </w:r>
      <w:r w:rsidRPr="00194C4A">
        <w:rPr>
          <w:rFonts w:cs="Times New Roman"/>
        </w:rPr>
        <w:lastRenderedPageBreak/>
        <w:t xml:space="preserve">dniu 30 grudnia 2019 r. Dokument przedstawia cele, polityki i działania Polski podejmowane na rzecz realizacji 5 wymiarów unii energetycznej tj. (1) bezpieczeństwa energetycznego, (2) ograniczenia emisji, (3) efektywności energetycznej, (4) jednolitego rynku energii oraz (5) badań, innowacji i konkurencyjności. Dokument ze względu na zakres i zawartość, w znacznym stopniu pokrywa się z zakresem polityki energetycznej. Opracowanie Planu wynika z rozporządzenia Parlamentu Europejskiego i Rady  2018/1999 z dnia 11 grudnia 2018 r. w sprawie zarządzania unią energetyczną. </w:t>
      </w:r>
    </w:p>
    <w:p w:rsidR="00B822AE" w:rsidRPr="00194C4A" w:rsidRDefault="00B941F4" w:rsidP="00E71367">
      <w:pPr>
        <w:pStyle w:val="Nagwek3"/>
        <w:spacing w:line="360" w:lineRule="auto"/>
        <w:ind w:left="720" w:hanging="720"/>
        <w:rPr>
          <w:rFonts w:ascii="Times New Roman" w:hAnsi="Times New Roman" w:cs="Times New Roman"/>
        </w:rPr>
      </w:pPr>
      <w:bookmarkStart w:id="20" w:name="_Toc77321922"/>
      <w:r>
        <w:rPr>
          <w:rFonts w:ascii="Times New Roman" w:hAnsi="Times New Roman" w:cs="Times New Roman"/>
        </w:rPr>
        <w:t xml:space="preserve">1.1.4 </w:t>
      </w:r>
      <w:r w:rsidR="00D307C8" w:rsidRPr="00194C4A">
        <w:rPr>
          <w:rFonts w:ascii="Times New Roman" w:hAnsi="Times New Roman" w:cs="Times New Roman"/>
        </w:rPr>
        <w:t>W</w:t>
      </w:r>
      <w:r w:rsidR="00B822AE" w:rsidRPr="00194C4A">
        <w:rPr>
          <w:rFonts w:ascii="Times New Roman" w:hAnsi="Times New Roman" w:cs="Times New Roman"/>
        </w:rPr>
        <w:t>ykaz dokumentów bazowych</w:t>
      </w:r>
      <w:bookmarkEnd w:id="19"/>
      <w:bookmarkEnd w:id="20"/>
    </w:p>
    <w:p w:rsidR="00D307C8" w:rsidRPr="00194C4A" w:rsidRDefault="00B2071C" w:rsidP="008A40A2">
      <w:pPr>
        <w:pStyle w:val="tekst"/>
        <w:numPr>
          <w:ilvl w:val="0"/>
          <w:numId w:val="8"/>
        </w:numPr>
        <w:spacing w:line="360" w:lineRule="auto"/>
        <w:rPr>
          <w:rFonts w:cs="Times New Roman"/>
        </w:rPr>
      </w:pPr>
      <w:r>
        <w:rPr>
          <w:rFonts w:cs="Times New Roman"/>
        </w:rPr>
        <w:t xml:space="preserve">Projekt </w:t>
      </w:r>
      <w:r w:rsidR="00A9495D" w:rsidRPr="00194C4A">
        <w:rPr>
          <w:rFonts w:cs="Times New Roman"/>
        </w:rPr>
        <w:t>Studium uwarunkowań i kierunków zagospodarowania przestrzennego gminy</w:t>
      </w:r>
      <w:r w:rsidR="006720CF">
        <w:rPr>
          <w:rFonts w:cs="Times New Roman"/>
        </w:rPr>
        <w:t xml:space="preserve"> </w:t>
      </w:r>
      <w:r w:rsidR="000A79D4">
        <w:rPr>
          <w:rFonts w:cs="Times New Roman"/>
        </w:rPr>
        <w:t>Wieliczki</w:t>
      </w:r>
      <w:r w:rsidR="00A9495D" w:rsidRPr="00194C4A">
        <w:rPr>
          <w:rFonts w:cs="Times New Roman"/>
        </w:rPr>
        <w:t>,</w:t>
      </w:r>
      <w:r w:rsidR="006720CF">
        <w:rPr>
          <w:rFonts w:cs="Times New Roman"/>
        </w:rPr>
        <w:t xml:space="preserve"> </w:t>
      </w:r>
      <w:r w:rsidR="000A79D4">
        <w:rPr>
          <w:rFonts w:cs="Times New Roman"/>
        </w:rPr>
        <w:t>luty</w:t>
      </w:r>
      <w:r w:rsidR="00A74EC8" w:rsidRPr="00194C4A">
        <w:rPr>
          <w:rFonts w:cs="Times New Roman"/>
        </w:rPr>
        <w:t xml:space="preserve"> 20</w:t>
      </w:r>
      <w:r w:rsidR="000A79D4">
        <w:rPr>
          <w:rFonts w:cs="Times New Roman"/>
        </w:rPr>
        <w:t>20</w:t>
      </w:r>
    </w:p>
    <w:p w:rsidR="00A9495D" w:rsidRPr="00194C4A" w:rsidRDefault="00D307C8" w:rsidP="008A40A2">
      <w:pPr>
        <w:pStyle w:val="tekst"/>
        <w:numPr>
          <w:ilvl w:val="0"/>
          <w:numId w:val="8"/>
        </w:numPr>
        <w:spacing w:line="360" w:lineRule="auto"/>
        <w:rPr>
          <w:rFonts w:cs="Times New Roman"/>
        </w:rPr>
      </w:pPr>
      <w:r w:rsidRPr="00194C4A">
        <w:rPr>
          <w:rFonts w:cs="Times New Roman"/>
        </w:rPr>
        <w:t xml:space="preserve">Strategia Rozwoju Gminy </w:t>
      </w:r>
      <w:r w:rsidR="000A79D4">
        <w:rPr>
          <w:rFonts w:cs="Times New Roman"/>
        </w:rPr>
        <w:t>Wieliczki</w:t>
      </w:r>
      <w:r w:rsidRPr="00194C4A">
        <w:rPr>
          <w:rFonts w:cs="Times New Roman"/>
        </w:rPr>
        <w:t xml:space="preserve"> na lata 20</w:t>
      </w:r>
      <w:r w:rsidR="000A79D4">
        <w:rPr>
          <w:rFonts w:cs="Times New Roman"/>
        </w:rPr>
        <w:t>25- 203</w:t>
      </w:r>
      <w:r w:rsidR="00F56881">
        <w:rPr>
          <w:rFonts w:cs="Times New Roman"/>
        </w:rPr>
        <w:t>5</w:t>
      </w:r>
      <w:r w:rsidR="00346B88" w:rsidRPr="00194C4A">
        <w:rPr>
          <w:rFonts w:cs="Times New Roman"/>
        </w:rPr>
        <w:t xml:space="preserve">, </w:t>
      </w:r>
    </w:p>
    <w:p w:rsidR="00A74EC8" w:rsidRPr="00194C4A" w:rsidRDefault="000A79D4" w:rsidP="008A40A2">
      <w:pPr>
        <w:pStyle w:val="tekst"/>
        <w:numPr>
          <w:ilvl w:val="0"/>
          <w:numId w:val="8"/>
        </w:numPr>
        <w:spacing w:line="360" w:lineRule="auto"/>
        <w:rPr>
          <w:rFonts w:cs="Times New Roman"/>
        </w:rPr>
      </w:pPr>
      <w:r>
        <w:rPr>
          <w:rFonts w:cs="Times New Roman"/>
        </w:rPr>
        <w:t>Strategia rozwoju powiatu Oleckiego ona lata 2016-2025</w:t>
      </w:r>
      <w:r w:rsidR="00A74EC8" w:rsidRPr="00194C4A">
        <w:rPr>
          <w:rFonts w:cs="Times New Roman"/>
        </w:rPr>
        <w:t xml:space="preserve">, </w:t>
      </w:r>
    </w:p>
    <w:p w:rsidR="00052942" w:rsidRPr="00194C4A" w:rsidRDefault="00052942" w:rsidP="008A40A2">
      <w:pPr>
        <w:pStyle w:val="tekst"/>
        <w:numPr>
          <w:ilvl w:val="0"/>
          <w:numId w:val="8"/>
        </w:numPr>
        <w:spacing w:line="360" w:lineRule="auto"/>
        <w:rPr>
          <w:rFonts w:cs="Times New Roman"/>
        </w:rPr>
      </w:pPr>
      <w:r w:rsidRPr="00194C4A">
        <w:rPr>
          <w:rFonts w:cs="Times New Roman"/>
        </w:rPr>
        <w:t>Program usuwania wyrobów zawierających azbest</w:t>
      </w:r>
      <w:r w:rsidR="000A79D4">
        <w:rPr>
          <w:rFonts w:cs="Times New Roman"/>
        </w:rPr>
        <w:t xml:space="preserve"> </w:t>
      </w:r>
      <w:r w:rsidRPr="00194C4A">
        <w:rPr>
          <w:rFonts w:cs="Times New Roman"/>
        </w:rPr>
        <w:t xml:space="preserve">dla Gminy </w:t>
      </w:r>
      <w:r w:rsidR="000A79D4">
        <w:rPr>
          <w:rFonts w:cs="Times New Roman"/>
        </w:rPr>
        <w:t>Wieliczki</w:t>
      </w:r>
      <w:r w:rsidR="008439B8" w:rsidRPr="00194C4A">
        <w:rPr>
          <w:rFonts w:cs="Times New Roman"/>
        </w:rPr>
        <w:t>,</w:t>
      </w:r>
    </w:p>
    <w:p w:rsidR="00052942" w:rsidRPr="00194C4A" w:rsidRDefault="00F56881" w:rsidP="008A40A2">
      <w:pPr>
        <w:pStyle w:val="tekst"/>
        <w:numPr>
          <w:ilvl w:val="0"/>
          <w:numId w:val="8"/>
        </w:numPr>
        <w:spacing w:line="360" w:lineRule="auto"/>
        <w:rPr>
          <w:rFonts w:cs="Times New Roman"/>
        </w:rPr>
      </w:pPr>
      <w:r w:rsidRPr="00F56881">
        <w:rPr>
          <w:rFonts w:cs="Times New Roman"/>
        </w:rPr>
        <w:t>Program Ochro</w:t>
      </w:r>
      <w:r w:rsidR="000A79D4">
        <w:rPr>
          <w:rFonts w:cs="Times New Roman"/>
        </w:rPr>
        <w:t>ny Środowiska dla Gminy Wieliczki na lata 2025-2028 z perspektywą do roku 2032</w:t>
      </w:r>
      <w:r w:rsidR="00FD2E11" w:rsidRPr="00194C4A">
        <w:rPr>
          <w:rFonts w:cs="Times New Roman"/>
        </w:rPr>
        <w:t>,</w:t>
      </w:r>
    </w:p>
    <w:p w:rsidR="004460CA" w:rsidRPr="00194C4A" w:rsidRDefault="004460CA" w:rsidP="008A40A2">
      <w:pPr>
        <w:pStyle w:val="tekst"/>
        <w:numPr>
          <w:ilvl w:val="0"/>
          <w:numId w:val="4"/>
        </w:numPr>
        <w:spacing w:line="360" w:lineRule="auto"/>
        <w:rPr>
          <w:rFonts w:cs="Times New Roman"/>
        </w:rPr>
      </w:pPr>
      <w:r w:rsidRPr="00194C4A">
        <w:rPr>
          <w:rFonts w:cs="Times New Roman"/>
          <w:color w:val="000000"/>
          <w:szCs w:val="24"/>
          <w:shd w:val="clear" w:color="auto" w:fill="FFFFFF"/>
        </w:rPr>
        <w:t xml:space="preserve">Roczna ocena jakości powietrza w województwie </w:t>
      </w:r>
      <w:r w:rsidR="000A79D4">
        <w:rPr>
          <w:rFonts w:cs="Times New Roman"/>
          <w:color w:val="000000"/>
          <w:szCs w:val="24"/>
          <w:shd w:val="clear" w:color="auto" w:fill="FFFFFF"/>
        </w:rPr>
        <w:t>Warmińsko-mazurskim</w:t>
      </w:r>
      <w:r w:rsidRPr="00194C4A">
        <w:rPr>
          <w:rFonts w:cs="Times New Roman"/>
          <w:color w:val="000000"/>
          <w:szCs w:val="24"/>
          <w:shd w:val="clear" w:color="auto" w:fill="FFFFFF"/>
        </w:rPr>
        <w:t>. Raport wojewódzki za rok 20</w:t>
      </w:r>
      <w:r w:rsidR="000A79D4">
        <w:rPr>
          <w:rFonts w:cs="Times New Roman"/>
          <w:color w:val="000000"/>
          <w:szCs w:val="24"/>
          <w:shd w:val="clear" w:color="auto" w:fill="FFFFFF"/>
        </w:rPr>
        <w:t>23</w:t>
      </w:r>
      <w:r w:rsidR="001F266D">
        <w:rPr>
          <w:rFonts w:cs="Times New Roman"/>
          <w:color w:val="000000"/>
          <w:szCs w:val="24"/>
          <w:shd w:val="clear" w:color="auto" w:fill="FFFFFF"/>
        </w:rPr>
        <w:t>,</w:t>
      </w:r>
    </w:p>
    <w:p w:rsidR="00163041" w:rsidRPr="00194C4A" w:rsidRDefault="008F1A19" w:rsidP="008A40A2">
      <w:pPr>
        <w:pStyle w:val="tekst"/>
        <w:numPr>
          <w:ilvl w:val="0"/>
          <w:numId w:val="4"/>
        </w:numPr>
        <w:spacing w:line="360" w:lineRule="auto"/>
        <w:rPr>
          <w:rFonts w:cs="Times New Roman"/>
        </w:rPr>
      </w:pPr>
      <w:r w:rsidRPr="00194C4A">
        <w:rPr>
          <w:rFonts w:cs="Times New Roman"/>
        </w:rPr>
        <w:t xml:space="preserve">Miejscowe </w:t>
      </w:r>
      <w:r w:rsidR="001F266D">
        <w:rPr>
          <w:rFonts w:cs="Times New Roman"/>
        </w:rPr>
        <w:t>p</w:t>
      </w:r>
      <w:r w:rsidRPr="00194C4A">
        <w:rPr>
          <w:rFonts w:cs="Times New Roman"/>
        </w:rPr>
        <w:t>lany zagospodarowania przestrzennego</w:t>
      </w:r>
      <w:r w:rsidR="004E6180" w:rsidRPr="00194C4A">
        <w:rPr>
          <w:rFonts w:cs="Times New Roman"/>
        </w:rPr>
        <w:t>,</w:t>
      </w:r>
    </w:p>
    <w:p w:rsidR="0087101A" w:rsidRPr="00194C4A" w:rsidRDefault="00D307C8" w:rsidP="008A40A2">
      <w:pPr>
        <w:pStyle w:val="tekst"/>
        <w:numPr>
          <w:ilvl w:val="0"/>
          <w:numId w:val="4"/>
        </w:numPr>
        <w:spacing w:line="360" w:lineRule="auto"/>
        <w:rPr>
          <w:rFonts w:eastAsia="OpenSymbol" w:cs="Times New Roman"/>
        </w:rPr>
      </w:pPr>
      <w:r w:rsidRPr="00194C4A">
        <w:rPr>
          <w:rFonts w:cs="Times New Roman"/>
        </w:rPr>
        <w:t xml:space="preserve">Krajowy Dziesięcioletni Plan Rozwoju Systemu Przesyłowego na lata 2020-2029 </w:t>
      </w:r>
      <w:r w:rsidR="0087101A" w:rsidRPr="00194C4A">
        <w:rPr>
          <w:rFonts w:cs="Times New Roman"/>
        </w:rPr>
        <w:t>GAZ-SYSTEM</w:t>
      </w:r>
      <w:r w:rsidR="001F266D">
        <w:rPr>
          <w:rFonts w:cs="Times New Roman"/>
        </w:rPr>
        <w:t>,</w:t>
      </w:r>
    </w:p>
    <w:p w:rsidR="0087101A" w:rsidRPr="00194C4A" w:rsidRDefault="0087101A" w:rsidP="008A40A2">
      <w:pPr>
        <w:pStyle w:val="tekst"/>
        <w:numPr>
          <w:ilvl w:val="0"/>
          <w:numId w:val="6"/>
        </w:numPr>
        <w:spacing w:line="360" w:lineRule="auto"/>
        <w:rPr>
          <w:rFonts w:cs="Times New Roman"/>
        </w:rPr>
      </w:pPr>
      <w:r w:rsidRPr="00194C4A">
        <w:rPr>
          <w:rFonts w:cs="Times New Roman"/>
        </w:rPr>
        <w:t xml:space="preserve">„Koncepcja przestrzennego zagospodarowania kraju do roku </w:t>
      </w:r>
      <w:r w:rsidR="00D0422C" w:rsidRPr="00194C4A">
        <w:rPr>
          <w:rFonts w:cs="Times New Roman"/>
        </w:rPr>
        <w:t>203</w:t>
      </w:r>
      <w:r w:rsidR="0093297E" w:rsidRPr="00194C4A">
        <w:rPr>
          <w:rFonts w:cs="Times New Roman"/>
        </w:rPr>
        <w:t>0</w:t>
      </w:r>
      <w:r w:rsidRPr="00194C4A">
        <w:rPr>
          <w:rFonts w:cs="Times New Roman"/>
        </w:rPr>
        <w:t>”, przyjęta przez Radę Ministrów 13 grudnia 2011 r.,</w:t>
      </w:r>
    </w:p>
    <w:p w:rsidR="006364D0" w:rsidRPr="00194C4A" w:rsidRDefault="006364D0" w:rsidP="008A40A2">
      <w:pPr>
        <w:pStyle w:val="tekst"/>
        <w:numPr>
          <w:ilvl w:val="0"/>
          <w:numId w:val="6"/>
        </w:numPr>
        <w:spacing w:line="360" w:lineRule="auto"/>
        <w:rPr>
          <w:rFonts w:cs="Times New Roman"/>
        </w:rPr>
      </w:pPr>
      <w:r w:rsidRPr="00194C4A">
        <w:rPr>
          <w:rFonts w:cs="Times New Roman"/>
        </w:rPr>
        <w:t>Strategia na rzecz Odpowiedzialnego Rozwoju do roku 2020 (z perspektywą do 2030 r.) – SOR przyjęta przez Radę Ministrów 14 lutego 2017 r.</w:t>
      </w:r>
      <w:r w:rsidR="001F266D">
        <w:rPr>
          <w:rFonts w:cs="Times New Roman"/>
        </w:rPr>
        <w:t>,</w:t>
      </w:r>
    </w:p>
    <w:p w:rsidR="0087101A" w:rsidRPr="00194C4A" w:rsidRDefault="0087101A" w:rsidP="008A40A2">
      <w:pPr>
        <w:pStyle w:val="tekst"/>
        <w:numPr>
          <w:ilvl w:val="0"/>
          <w:numId w:val="6"/>
        </w:numPr>
        <w:spacing w:line="360" w:lineRule="auto"/>
        <w:rPr>
          <w:rFonts w:cs="Times New Roman"/>
        </w:rPr>
      </w:pPr>
      <w:r w:rsidRPr="00194C4A">
        <w:rPr>
          <w:rFonts w:cs="Times New Roman"/>
        </w:rPr>
        <w:t xml:space="preserve">„Polityka energetyczna Polski do </w:t>
      </w:r>
      <w:r w:rsidR="00D0422C" w:rsidRPr="00194C4A">
        <w:rPr>
          <w:rFonts w:cs="Times New Roman"/>
        </w:rPr>
        <w:t>20</w:t>
      </w:r>
      <w:r w:rsidR="00D307C8" w:rsidRPr="00194C4A">
        <w:rPr>
          <w:rFonts w:cs="Times New Roman"/>
        </w:rPr>
        <w:t>4</w:t>
      </w:r>
      <w:r w:rsidR="008F1A19" w:rsidRPr="00194C4A">
        <w:rPr>
          <w:rFonts w:cs="Times New Roman"/>
        </w:rPr>
        <w:t>0</w:t>
      </w:r>
      <w:r w:rsidRPr="00194C4A">
        <w:rPr>
          <w:rFonts w:cs="Times New Roman"/>
        </w:rPr>
        <w:t xml:space="preserve"> roku”</w:t>
      </w:r>
      <w:r w:rsidR="001F266D">
        <w:rPr>
          <w:rFonts w:cs="Times New Roman"/>
        </w:rPr>
        <w:t>,</w:t>
      </w:r>
    </w:p>
    <w:p w:rsidR="0087101A" w:rsidRPr="00194C4A" w:rsidRDefault="0087101A" w:rsidP="008A40A2">
      <w:pPr>
        <w:pStyle w:val="tekst"/>
        <w:numPr>
          <w:ilvl w:val="0"/>
          <w:numId w:val="6"/>
        </w:numPr>
        <w:spacing w:line="360" w:lineRule="auto"/>
        <w:rPr>
          <w:rFonts w:cs="Times New Roman"/>
        </w:rPr>
      </w:pPr>
      <w:r w:rsidRPr="00194C4A">
        <w:rPr>
          <w:rFonts w:cs="Times New Roman"/>
        </w:rPr>
        <w:t xml:space="preserve">Bank </w:t>
      </w:r>
      <w:r w:rsidR="00A106BD" w:rsidRPr="00194C4A">
        <w:rPr>
          <w:rFonts w:cs="Times New Roman"/>
        </w:rPr>
        <w:t>Danych Lokalnych z lat 20</w:t>
      </w:r>
      <w:r w:rsidR="000A79D4">
        <w:rPr>
          <w:rFonts w:cs="Times New Roman"/>
        </w:rPr>
        <w:t>15</w:t>
      </w:r>
      <w:r w:rsidR="00FD2E11" w:rsidRPr="00194C4A">
        <w:rPr>
          <w:rFonts w:cs="Times New Roman"/>
        </w:rPr>
        <w:t>-20</w:t>
      </w:r>
      <w:r w:rsidR="000A79D4">
        <w:rPr>
          <w:rFonts w:cs="Times New Roman"/>
        </w:rPr>
        <w:t>25</w:t>
      </w:r>
      <w:r w:rsidRPr="00194C4A">
        <w:rPr>
          <w:rFonts w:cs="Times New Roman"/>
        </w:rPr>
        <w:t xml:space="preserve"> opracowan</w:t>
      </w:r>
      <w:r w:rsidR="001F266D">
        <w:rPr>
          <w:rFonts w:cs="Times New Roman"/>
        </w:rPr>
        <w:t>y</w:t>
      </w:r>
      <w:r w:rsidRPr="00194C4A">
        <w:rPr>
          <w:rFonts w:cs="Times New Roman"/>
        </w:rPr>
        <w:t xml:space="preserve"> pr</w:t>
      </w:r>
      <w:r w:rsidR="00D4687E" w:rsidRPr="00194C4A">
        <w:rPr>
          <w:rFonts w:cs="Times New Roman"/>
        </w:rPr>
        <w:t>zez Główny Urząd Statystyczny</w:t>
      </w:r>
      <w:r w:rsidRPr="00194C4A">
        <w:rPr>
          <w:rFonts w:cs="Times New Roman"/>
        </w:rPr>
        <w:t>,</w:t>
      </w:r>
    </w:p>
    <w:p w:rsidR="00946FDE" w:rsidRPr="00194C4A" w:rsidRDefault="0087101A" w:rsidP="008A40A2">
      <w:pPr>
        <w:pStyle w:val="tekst"/>
        <w:numPr>
          <w:ilvl w:val="0"/>
          <w:numId w:val="6"/>
        </w:numPr>
        <w:spacing w:line="360" w:lineRule="auto"/>
        <w:rPr>
          <w:rFonts w:cs="Times New Roman"/>
        </w:rPr>
      </w:pPr>
      <w:r w:rsidRPr="00194C4A">
        <w:rPr>
          <w:rFonts w:cs="Times New Roman"/>
        </w:rPr>
        <w:t xml:space="preserve">Dane z Urzędu </w:t>
      </w:r>
      <w:r w:rsidR="006364D0" w:rsidRPr="00194C4A">
        <w:rPr>
          <w:rFonts w:cs="Times New Roman"/>
        </w:rPr>
        <w:t>Gminy</w:t>
      </w:r>
      <w:r w:rsidR="000A79D4">
        <w:rPr>
          <w:rFonts w:cs="Times New Roman"/>
        </w:rPr>
        <w:t xml:space="preserve"> w Wieliczkach</w:t>
      </w:r>
      <w:r w:rsidR="001F266D">
        <w:rPr>
          <w:rFonts w:cs="Times New Roman"/>
        </w:rPr>
        <w:t>,</w:t>
      </w:r>
    </w:p>
    <w:p w:rsidR="00D307C8" w:rsidRPr="00194C4A" w:rsidRDefault="00D307C8" w:rsidP="008A40A2">
      <w:pPr>
        <w:pStyle w:val="tekst"/>
        <w:numPr>
          <w:ilvl w:val="0"/>
          <w:numId w:val="6"/>
        </w:numPr>
        <w:spacing w:line="360" w:lineRule="auto"/>
        <w:rPr>
          <w:rFonts w:cs="Times New Roman"/>
        </w:rPr>
      </w:pPr>
      <w:r w:rsidRPr="00194C4A">
        <w:rPr>
          <w:rFonts w:cs="Times New Roman"/>
        </w:rPr>
        <w:t xml:space="preserve">Baza Danych Obiektów Topograficznych dla powiatu </w:t>
      </w:r>
      <w:r w:rsidR="000A79D4">
        <w:rPr>
          <w:rFonts w:cs="Times New Roman"/>
        </w:rPr>
        <w:t>oleckiego</w:t>
      </w:r>
      <w:r w:rsidR="001F266D">
        <w:rPr>
          <w:rFonts w:cs="Times New Roman"/>
        </w:rPr>
        <w:t>,</w:t>
      </w:r>
    </w:p>
    <w:p w:rsidR="00D307C8" w:rsidRPr="00194C4A" w:rsidRDefault="00D307C8" w:rsidP="008A40A2">
      <w:pPr>
        <w:pStyle w:val="tekst"/>
        <w:numPr>
          <w:ilvl w:val="0"/>
          <w:numId w:val="6"/>
        </w:numPr>
        <w:spacing w:line="360" w:lineRule="auto"/>
        <w:rPr>
          <w:rFonts w:cs="Times New Roman"/>
        </w:rPr>
      </w:pPr>
      <w:r w:rsidRPr="00194C4A">
        <w:rPr>
          <w:rFonts w:cs="Times New Roman"/>
        </w:rPr>
        <w:t>Ba</w:t>
      </w:r>
      <w:r w:rsidR="000A79D4">
        <w:rPr>
          <w:rFonts w:cs="Times New Roman"/>
        </w:rPr>
        <w:t>za numerów adresowych dla Gminy Wieliczki</w:t>
      </w:r>
      <w:r w:rsidR="001F266D">
        <w:rPr>
          <w:rFonts w:cs="Times New Roman"/>
        </w:rPr>
        <w:t>.</w:t>
      </w:r>
    </w:p>
    <w:p w:rsidR="008F1A19" w:rsidRPr="00194C4A" w:rsidRDefault="008F1A19">
      <w:pPr>
        <w:spacing w:after="0" w:line="240" w:lineRule="auto"/>
        <w:rPr>
          <w:rFonts w:ascii="Times New Roman" w:eastAsia="Times New Roman" w:hAnsi="Times New Roman" w:cs="Times New Roman"/>
          <w:b/>
          <w:bCs/>
          <w:color w:val="000000"/>
          <w:sz w:val="32"/>
          <w:szCs w:val="26"/>
        </w:rPr>
      </w:pPr>
      <w:bookmarkStart w:id="21" w:name="_Toc419273630"/>
      <w:r w:rsidRPr="00194C4A">
        <w:rPr>
          <w:rFonts w:ascii="Times New Roman" w:hAnsi="Times New Roman" w:cs="Times New Roman"/>
        </w:rPr>
        <w:br w:type="page"/>
      </w:r>
    </w:p>
    <w:p w:rsidR="00B822AE" w:rsidRPr="00194C4A" w:rsidRDefault="002F56F3" w:rsidP="008F1A19">
      <w:pPr>
        <w:pStyle w:val="Nagwek2"/>
        <w:rPr>
          <w:rFonts w:ascii="Times New Roman" w:hAnsi="Times New Roman" w:cs="Times New Roman"/>
        </w:rPr>
      </w:pPr>
      <w:bookmarkStart w:id="22" w:name="_Toc77321923"/>
      <w:r>
        <w:rPr>
          <w:rFonts w:ascii="Times New Roman" w:hAnsi="Times New Roman" w:cs="Times New Roman"/>
        </w:rPr>
        <w:lastRenderedPageBreak/>
        <w:t xml:space="preserve">1.2 </w:t>
      </w:r>
      <w:r w:rsidR="00B822AE" w:rsidRPr="00194C4A">
        <w:rPr>
          <w:rFonts w:ascii="Times New Roman" w:hAnsi="Times New Roman" w:cs="Times New Roman"/>
        </w:rPr>
        <w:t xml:space="preserve">Charakterystyka ogólna </w:t>
      </w:r>
      <w:bookmarkEnd w:id="21"/>
      <w:r w:rsidR="00D0422C" w:rsidRPr="00194C4A">
        <w:rPr>
          <w:rFonts w:ascii="Times New Roman" w:hAnsi="Times New Roman" w:cs="Times New Roman"/>
        </w:rPr>
        <w:t>gminy</w:t>
      </w:r>
      <w:r w:rsidR="006830A3">
        <w:rPr>
          <w:rFonts w:ascii="Times New Roman" w:hAnsi="Times New Roman" w:cs="Times New Roman"/>
        </w:rPr>
        <w:t xml:space="preserve"> Wieliczki </w:t>
      </w:r>
      <w:r w:rsidR="00734384" w:rsidRPr="00194C4A">
        <w:rPr>
          <w:rFonts w:ascii="Times New Roman" w:hAnsi="Times New Roman" w:cs="Times New Roman"/>
        </w:rPr>
        <w:t>mająca wpływ na planowanie energetyczne</w:t>
      </w:r>
      <w:bookmarkEnd w:id="22"/>
    </w:p>
    <w:p w:rsidR="003064A2" w:rsidRPr="00194C4A" w:rsidRDefault="00B56F71" w:rsidP="00B56F71">
      <w:pPr>
        <w:pStyle w:val="Nagwek3"/>
        <w:ind w:left="720" w:hanging="720"/>
        <w:rPr>
          <w:rFonts w:ascii="Times New Roman" w:hAnsi="Times New Roman" w:cs="Times New Roman"/>
        </w:rPr>
      </w:pPr>
      <w:bookmarkStart w:id="23" w:name="_Toc419273631"/>
      <w:bookmarkStart w:id="24" w:name="_Toc77321924"/>
      <w:r w:rsidRPr="00194C4A">
        <w:rPr>
          <w:rFonts w:ascii="Times New Roman" w:hAnsi="Times New Roman" w:cs="Times New Roman"/>
        </w:rPr>
        <w:t xml:space="preserve">1.2.1 </w:t>
      </w:r>
      <w:r w:rsidR="003064A2" w:rsidRPr="00194C4A">
        <w:rPr>
          <w:rFonts w:ascii="Times New Roman" w:hAnsi="Times New Roman" w:cs="Times New Roman"/>
        </w:rPr>
        <w:t>Lokalizacja gminy</w:t>
      </w:r>
      <w:bookmarkEnd w:id="23"/>
      <w:bookmarkEnd w:id="24"/>
    </w:p>
    <w:p w:rsidR="002812C9" w:rsidRDefault="002812C9" w:rsidP="002812C9">
      <w:pPr>
        <w:pStyle w:val="tekst"/>
        <w:rPr>
          <w:rFonts w:cs="Times New Roman"/>
        </w:rPr>
      </w:pPr>
      <w:r w:rsidRPr="00194C4A">
        <w:rPr>
          <w:rFonts w:cs="Times New Roman"/>
        </w:rPr>
        <w:t xml:space="preserve">Gmina </w:t>
      </w:r>
      <w:r w:rsidR="006830A3">
        <w:rPr>
          <w:rFonts w:cs="Times New Roman"/>
        </w:rPr>
        <w:t>Wieliczki</w:t>
      </w:r>
      <w:r w:rsidRPr="00194C4A">
        <w:rPr>
          <w:rFonts w:cs="Times New Roman"/>
        </w:rPr>
        <w:t xml:space="preserve"> jest gminą wiejską zlokalizowaną w województwie </w:t>
      </w:r>
      <w:r w:rsidR="006830A3">
        <w:rPr>
          <w:rFonts w:cs="Times New Roman"/>
        </w:rPr>
        <w:t>warmińsko-mazurskim</w:t>
      </w:r>
      <w:r w:rsidRPr="00194C4A">
        <w:rPr>
          <w:rFonts w:cs="Times New Roman"/>
        </w:rPr>
        <w:t xml:space="preserve">, </w:t>
      </w:r>
      <w:r w:rsidR="005D133E" w:rsidRPr="005D133E">
        <w:rPr>
          <w:rFonts w:cs="Times New Roman"/>
        </w:rPr>
        <w:t xml:space="preserve">w </w:t>
      </w:r>
      <w:r w:rsidR="006830A3">
        <w:rPr>
          <w:rFonts w:cs="Times New Roman"/>
        </w:rPr>
        <w:t xml:space="preserve"> południowo-wschodniej części powiatu oleckiego</w:t>
      </w:r>
      <w:r w:rsidRPr="00194C4A">
        <w:rPr>
          <w:rFonts w:cs="Times New Roman"/>
        </w:rPr>
        <w:t xml:space="preserve">. Zajmuje powierzchnię </w:t>
      </w:r>
      <w:r w:rsidR="006830A3">
        <w:rPr>
          <w:rFonts w:cs="Times New Roman"/>
        </w:rPr>
        <w:t>14077 ha</w:t>
      </w:r>
      <w:r w:rsidRPr="00194C4A">
        <w:rPr>
          <w:rFonts w:cs="Times New Roman"/>
        </w:rPr>
        <w:t xml:space="preserve">. </w:t>
      </w:r>
      <w:r w:rsidR="00B67975" w:rsidRPr="00194C4A">
        <w:rPr>
          <w:rFonts w:cs="Times New Roman"/>
        </w:rPr>
        <w:t>Szczegółowy podział powierzchni terenu przedstawia poniższa tabela</w:t>
      </w:r>
      <w:r w:rsidRPr="00194C4A">
        <w:rPr>
          <w:rFonts w:cs="Times New Roman"/>
        </w:rPr>
        <w:t>.</w:t>
      </w:r>
    </w:p>
    <w:p w:rsidR="00B67975" w:rsidRPr="00422799" w:rsidRDefault="00B67975" w:rsidP="00B67975">
      <w:pPr>
        <w:pStyle w:val="Legenda"/>
        <w:rPr>
          <w:rFonts w:ascii="Times New Roman" w:hAnsi="Times New Roman" w:cs="Times New Roman"/>
          <w:sz w:val="20"/>
          <w:szCs w:val="20"/>
        </w:rPr>
      </w:pPr>
      <w:bookmarkStart w:id="25" w:name="_Toc77321987"/>
      <w:r w:rsidRPr="00422799">
        <w:rPr>
          <w:rFonts w:ascii="Times New Roman" w:hAnsi="Times New Roman" w:cs="Times New Roman"/>
          <w:sz w:val="20"/>
          <w:szCs w:val="20"/>
        </w:rPr>
        <w:t xml:space="preserve">Tabela </w:t>
      </w:r>
      <w:r w:rsidR="00A05E44" w:rsidRPr="00422799">
        <w:rPr>
          <w:rFonts w:ascii="Times New Roman" w:hAnsi="Times New Roman" w:cs="Times New Roman"/>
          <w:noProof/>
          <w:sz w:val="20"/>
          <w:szCs w:val="20"/>
        </w:rPr>
        <w:fldChar w:fldCharType="begin"/>
      </w:r>
      <w:r w:rsidR="00135FCF" w:rsidRPr="00422799">
        <w:rPr>
          <w:rFonts w:ascii="Times New Roman" w:hAnsi="Times New Roman" w:cs="Times New Roman"/>
          <w:noProof/>
          <w:sz w:val="20"/>
          <w:szCs w:val="20"/>
        </w:rPr>
        <w:instrText xml:space="preserve"> SEQ Tabela \* ARABIC </w:instrText>
      </w:r>
      <w:r w:rsidR="00A05E44" w:rsidRPr="00422799">
        <w:rPr>
          <w:rFonts w:ascii="Times New Roman" w:hAnsi="Times New Roman" w:cs="Times New Roman"/>
          <w:noProof/>
          <w:sz w:val="20"/>
          <w:szCs w:val="20"/>
        </w:rPr>
        <w:fldChar w:fldCharType="separate"/>
      </w:r>
      <w:r w:rsidR="00F20FF3">
        <w:rPr>
          <w:rFonts w:ascii="Times New Roman" w:hAnsi="Times New Roman" w:cs="Times New Roman"/>
          <w:noProof/>
          <w:sz w:val="20"/>
          <w:szCs w:val="20"/>
        </w:rPr>
        <w:t>1</w:t>
      </w:r>
      <w:r w:rsidR="00A05E44" w:rsidRPr="00422799">
        <w:rPr>
          <w:rFonts w:ascii="Times New Roman" w:hAnsi="Times New Roman" w:cs="Times New Roman"/>
          <w:noProof/>
          <w:sz w:val="20"/>
          <w:szCs w:val="20"/>
        </w:rPr>
        <w:fldChar w:fldCharType="end"/>
      </w:r>
      <w:r w:rsidRPr="00422799">
        <w:rPr>
          <w:rFonts w:ascii="Times New Roman" w:hAnsi="Times New Roman" w:cs="Times New Roman"/>
          <w:sz w:val="20"/>
          <w:szCs w:val="20"/>
        </w:rPr>
        <w:t xml:space="preserve"> Podział pokrycia terenu</w:t>
      </w:r>
      <w:bookmarkEnd w:id="25"/>
    </w:p>
    <w:tbl>
      <w:tblPr>
        <w:tblStyle w:val="Tabelasiatki1jasnaakcent11"/>
        <w:tblW w:w="9539" w:type="dxa"/>
        <w:tblLook w:val="04A0"/>
      </w:tblPr>
      <w:tblGrid>
        <w:gridCol w:w="5123"/>
        <w:gridCol w:w="1567"/>
        <w:gridCol w:w="2849"/>
      </w:tblGrid>
      <w:tr w:rsidR="009E0B24" w:rsidRPr="00B656D3" w:rsidTr="00C4722A">
        <w:trPr>
          <w:cnfStyle w:val="100000000000"/>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Typ pokrycia terenu wg BDOT</w:t>
            </w:r>
          </w:p>
        </w:tc>
        <w:tc>
          <w:tcPr>
            <w:tcW w:w="1567" w:type="dxa"/>
            <w:noWrap/>
            <w:hideMark/>
          </w:tcPr>
          <w:p w:rsidR="009E0B24" w:rsidRPr="00B656D3" w:rsidRDefault="009E0B24" w:rsidP="009E0B24">
            <w:pPr>
              <w:jc w:val="center"/>
              <w:cnfStyle w:val="100000000000"/>
              <w:rPr>
                <w:rFonts w:ascii="Times New Roman" w:hAnsi="Times New Roman" w:cs="Times New Roman"/>
                <w:sz w:val="20"/>
                <w:szCs w:val="20"/>
              </w:rPr>
            </w:pPr>
            <w:r w:rsidRPr="00B656D3">
              <w:rPr>
                <w:rFonts w:ascii="Times New Roman" w:hAnsi="Times New Roman" w:cs="Times New Roman"/>
                <w:sz w:val="20"/>
                <w:szCs w:val="20"/>
              </w:rPr>
              <w:t>Powierzchnia [ha]</w:t>
            </w:r>
          </w:p>
        </w:tc>
        <w:tc>
          <w:tcPr>
            <w:tcW w:w="2849" w:type="dxa"/>
            <w:noWrap/>
            <w:hideMark/>
          </w:tcPr>
          <w:p w:rsidR="009E0B24" w:rsidRPr="00B656D3" w:rsidRDefault="009E0B24" w:rsidP="009E0B24">
            <w:pPr>
              <w:jc w:val="center"/>
              <w:cnfStyle w:val="100000000000"/>
              <w:rPr>
                <w:rFonts w:ascii="Times New Roman" w:hAnsi="Times New Roman" w:cs="Times New Roman"/>
                <w:sz w:val="20"/>
                <w:szCs w:val="20"/>
              </w:rPr>
            </w:pPr>
            <w:r w:rsidRPr="00B656D3">
              <w:rPr>
                <w:rFonts w:ascii="Times New Roman" w:hAnsi="Times New Roman" w:cs="Times New Roman"/>
                <w:sz w:val="20"/>
                <w:szCs w:val="20"/>
              </w:rPr>
              <w:t>Procentowy udział w powierzchni ogólnej [%]</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pozostały grunt nieużytkowany</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9,8459</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0,0078%</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teren pod drogą kołową</w:t>
            </w:r>
            <w:r w:rsidR="004231B1" w:rsidRPr="00B656D3">
              <w:rPr>
                <w:rFonts w:ascii="Times New Roman" w:hAnsi="Times New Roman" w:cs="Times New Roman"/>
                <w:sz w:val="20"/>
                <w:szCs w:val="20"/>
              </w:rPr>
              <w:t xml:space="preserve"> (drogi krajowe i wojewódzkie)</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271,6531</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0,2144%</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teren pod torowiskiem</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350,4288</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0,2766%</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las</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26426,54</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20,8609%</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zagajnik</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2427,17</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1,9160%</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zadrzewienie</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23,806</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0,0188%</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teren pod urządzeniami technicznymi lub budowlami</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29,3977</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0,0232%</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teren przemysłowo-składowy</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86,331</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0,0681%</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plac</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117,2793</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0,0926%</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krzewy</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430,6856</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0,3400%</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roślinność trawiasta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16050,47</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12,6701%</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uprawa na gruntach ornych</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68879,96</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54,3732%</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ogród działkowy</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57,6754</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0,0455%</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plantacja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293,6904</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0,2318%</w:t>
            </w:r>
          </w:p>
        </w:tc>
      </w:tr>
      <w:tr w:rsidR="009E0B24" w:rsidRPr="00B656D3" w:rsidTr="00C4722A">
        <w:trPr>
          <w:trHeight w:val="244"/>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sad</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2071,575</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1,6353%</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szkółka leśna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10,6463</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0,0084%</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szkółka roślin ozdobnych</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174,2224</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0,1375%</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woda płynąca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313,0298</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0,2471%</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woda stojąca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3737,535</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2,9504%</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wyrobisko</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54,3571</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0,0429%</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zabudowa wielorodzinna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93,7432</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0,0740%</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zabudowa jednorodzinna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4183,131</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3,3021%</w:t>
            </w:r>
          </w:p>
        </w:tc>
      </w:tr>
      <w:tr w:rsidR="009E0B24" w:rsidRPr="00B656D3" w:rsidTr="00C4722A">
        <w:trPr>
          <w:trHeight w:val="711"/>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zabudowa przemysłowo-składowa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191,7035</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0,1513%</w:t>
            </w:r>
          </w:p>
        </w:tc>
      </w:tr>
      <w:tr w:rsidR="009E0B24" w:rsidRPr="00B656D3" w:rsidTr="00C4722A">
        <w:trPr>
          <w:trHeight w:val="355"/>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zabudowa handlowo-usługowa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0,736</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0,0006%</w:t>
            </w:r>
          </w:p>
        </w:tc>
      </w:tr>
      <w:tr w:rsidR="009E0B24" w:rsidRPr="00B656D3" w:rsidTr="00C4722A">
        <w:trPr>
          <w:trHeight w:val="533"/>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pozostała zabudowa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394,387</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0,3113%</w:t>
            </w:r>
          </w:p>
        </w:tc>
      </w:tr>
      <w:tr w:rsidR="009E0B24" w:rsidRPr="00B656D3" w:rsidTr="00C4722A">
        <w:trPr>
          <w:trHeight w:val="711"/>
        </w:trPr>
        <w:tc>
          <w:tcPr>
            <w:cnfStyle w:val="001000000000"/>
            <w:tcW w:w="5123" w:type="dxa"/>
            <w:noWrap/>
            <w:hideMark/>
          </w:tcPr>
          <w:p w:rsidR="009E0B24" w:rsidRPr="00B656D3" w:rsidRDefault="009E0B24">
            <w:pPr>
              <w:rPr>
                <w:rFonts w:ascii="Times New Roman" w:hAnsi="Times New Roman" w:cs="Times New Roman"/>
                <w:sz w:val="20"/>
                <w:szCs w:val="20"/>
              </w:rPr>
            </w:pPr>
            <w:r w:rsidRPr="00B656D3">
              <w:rPr>
                <w:rFonts w:ascii="Times New Roman" w:hAnsi="Times New Roman" w:cs="Times New Roman"/>
                <w:sz w:val="20"/>
                <w:szCs w:val="20"/>
              </w:rPr>
              <w:t>suma</w:t>
            </w:r>
          </w:p>
        </w:tc>
        <w:tc>
          <w:tcPr>
            <w:tcW w:w="1567"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126680</w:t>
            </w:r>
          </w:p>
        </w:tc>
        <w:tc>
          <w:tcPr>
            <w:tcW w:w="2849" w:type="dxa"/>
            <w:noWrap/>
            <w:hideMark/>
          </w:tcPr>
          <w:p w:rsidR="009E0B24" w:rsidRPr="00B656D3" w:rsidRDefault="009E0B24" w:rsidP="009E0B24">
            <w:pPr>
              <w:jc w:val="center"/>
              <w:cnfStyle w:val="000000000000"/>
              <w:rPr>
                <w:rFonts w:ascii="Times New Roman" w:hAnsi="Times New Roman" w:cs="Times New Roman"/>
                <w:sz w:val="20"/>
                <w:szCs w:val="20"/>
              </w:rPr>
            </w:pPr>
            <w:r w:rsidRPr="00B656D3">
              <w:rPr>
                <w:rFonts w:ascii="Times New Roman" w:hAnsi="Times New Roman" w:cs="Times New Roman"/>
                <w:sz w:val="20"/>
                <w:szCs w:val="20"/>
              </w:rPr>
              <w:t>100,0000%</w:t>
            </w:r>
          </w:p>
        </w:tc>
      </w:tr>
    </w:tbl>
    <w:p w:rsidR="00B67975" w:rsidRPr="00194C4A" w:rsidRDefault="00B67975" w:rsidP="00B67975">
      <w:pPr>
        <w:pStyle w:val="tekst"/>
        <w:ind w:firstLine="0"/>
        <w:jc w:val="left"/>
        <w:rPr>
          <w:rFonts w:cs="Times New Roman"/>
          <w:i/>
        </w:rPr>
      </w:pPr>
      <w:r w:rsidRPr="00194C4A">
        <w:rPr>
          <w:rFonts w:cs="Times New Roman"/>
          <w:i/>
        </w:rPr>
        <w:t xml:space="preserve">Źródło: Opracowanie na podstawie </w:t>
      </w:r>
      <w:r w:rsidR="009E0B24">
        <w:rPr>
          <w:rFonts w:cs="Times New Roman"/>
          <w:i/>
        </w:rPr>
        <w:t>Bazy Danych Obiektów Topograficznych</w:t>
      </w:r>
    </w:p>
    <w:p w:rsidR="00B67975" w:rsidRPr="00194C4A" w:rsidRDefault="00B67975" w:rsidP="002812C9">
      <w:pPr>
        <w:pStyle w:val="tekst"/>
        <w:rPr>
          <w:rFonts w:cs="Times New Roman"/>
          <w:i/>
        </w:rPr>
      </w:pPr>
    </w:p>
    <w:p w:rsidR="009E0B24" w:rsidRDefault="009E0B24" w:rsidP="00B67975">
      <w:pPr>
        <w:pStyle w:val="tekst"/>
        <w:rPr>
          <w:rFonts w:cs="Times New Roman"/>
        </w:rPr>
      </w:pPr>
      <w:r w:rsidRPr="009E0B24">
        <w:rPr>
          <w:rFonts w:cs="Times New Roman"/>
        </w:rPr>
        <w:t xml:space="preserve">Gmina </w:t>
      </w:r>
      <w:r w:rsidR="004E3CC8">
        <w:rPr>
          <w:rFonts w:cs="Times New Roman"/>
        </w:rPr>
        <w:t>Wieliczki</w:t>
      </w:r>
      <w:r w:rsidRPr="009E0B24">
        <w:rPr>
          <w:rFonts w:cs="Times New Roman"/>
        </w:rPr>
        <w:t xml:space="preserve"> graniczy z następującymi gminami: </w:t>
      </w:r>
      <w:r w:rsidR="004E3CC8">
        <w:rPr>
          <w:rFonts w:cs="Times New Roman"/>
        </w:rPr>
        <w:t xml:space="preserve">Olecko, Bakałarzewo, Raczki, Kalinowo. </w:t>
      </w:r>
    </w:p>
    <w:p w:rsidR="00B67975" w:rsidRPr="00194C4A" w:rsidRDefault="005B349C" w:rsidP="00B67975">
      <w:pPr>
        <w:pStyle w:val="tekst"/>
        <w:rPr>
          <w:rFonts w:cs="Times New Roman"/>
        </w:rPr>
      </w:pPr>
      <w:r w:rsidRPr="00194C4A">
        <w:rPr>
          <w:rFonts w:cs="Times New Roman"/>
        </w:rPr>
        <w:t xml:space="preserve">Siedzibą administracyjną Gminy jest </w:t>
      </w:r>
      <w:r w:rsidR="00B67975" w:rsidRPr="00194C4A">
        <w:rPr>
          <w:rFonts w:cs="Times New Roman"/>
        </w:rPr>
        <w:t>miejscowość</w:t>
      </w:r>
      <w:r w:rsidR="004E3CC8">
        <w:rPr>
          <w:rFonts w:cs="Times New Roman"/>
        </w:rPr>
        <w:t xml:space="preserve"> Wieliczki</w:t>
      </w:r>
      <w:r w:rsidRPr="00194C4A">
        <w:rPr>
          <w:rFonts w:cs="Times New Roman"/>
        </w:rPr>
        <w:t xml:space="preserve">. </w:t>
      </w:r>
      <w:r w:rsidR="007B5347">
        <w:rPr>
          <w:rFonts w:cs="Times New Roman"/>
        </w:rPr>
        <w:t>S</w:t>
      </w:r>
      <w:r w:rsidRPr="00194C4A">
        <w:rPr>
          <w:rFonts w:cs="Times New Roman"/>
        </w:rPr>
        <w:t>trukturę administracyjną gminy stanowi</w:t>
      </w:r>
      <w:r w:rsidR="00B67975" w:rsidRPr="00194C4A">
        <w:rPr>
          <w:rFonts w:cs="Times New Roman"/>
        </w:rPr>
        <w:t>ą</w:t>
      </w:r>
      <w:r w:rsidR="004E3CC8">
        <w:rPr>
          <w:rFonts w:cs="Times New Roman"/>
        </w:rPr>
        <w:t xml:space="preserve"> </w:t>
      </w:r>
      <w:r w:rsidR="00B67975" w:rsidRPr="00194C4A">
        <w:rPr>
          <w:rFonts w:cs="Times New Roman"/>
        </w:rPr>
        <w:t>sołectwa</w:t>
      </w:r>
      <w:r w:rsidRPr="00194C4A">
        <w:rPr>
          <w:rFonts w:cs="Times New Roman"/>
        </w:rPr>
        <w:t>, obejmując</w:t>
      </w:r>
      <w:r w:rsidR="00B67975" w:rsidRPr="00194C4A">
        <w:rPr>
          <w:rFonts w:cs="Times New Roman"/>
        </w:rPr>
        <w:t>e</w:t>
      </w:r>
      <w:r w:rsidR="004E3CC8">
        <w:rPr>
          <w:rFonts w:cs="Times New Roman"/>
        </w:rPr>
        <w:t xml:space="preserve"> </w:t>
      </w:r>
      <w:r w:rsidR="00B67975" w:rsidRPr="00194C4A">
        <w:rPr>
          <w:rFonts w:cs="Times New Roman"/>
        </w:rPr>
        <w:t>pozostałe</w:t>
      </w:r>
      <w:r w:rsidRPr="00194C4A">
        <w:rPr>
          <w:rFonts w:cs="Times New Roman"/>
        </w:rPr>
        <w:t xml:space="preserve"> miejscowości. </w:t>
      </w:r>
      <w:r w:rsidR="00B67975" w:rsidRPr="00194C4A">
        <w:rPr>
          <w:rFonts w:cs="Times New Roman"/>
        </w:rPr>
        <w:t>W skład gminy wchodzi 2</w:t>
      </w:r>
      <w:r w:rsidR="004E3CC8">
        <w:rPr>
          <w:rFonts w:cs="Times New Roman"/>
        </w:rPr>
        <w:t>1</w:t>
      </w:r>
      <w:r w:rsidR="00B67975" w:rsidRPr="00194C4A">
        <w:rPr>
          <w:rFonts w:cs="Times New Roman"/>
        </w:rPr>
        <w:t xml:space="preserve"> sołectw</w:t>
      </w:r>
      <w:r w:rsidR="00137527">
        <w:rPr>
          <w:rFonts w:cs="Times New Roman"/>
        </w:rPr>
        <w:t>a</w:t>
      </w:r>
      <w:r w:rsidR="00B67975" w:rsidRPr="00194C4A">
        <w:rPr>
          <w:rFonts w:cs="Times New Roman"/>
        </w:rPr>
        <w:t xml:space="preserve">: </w:t>
      </w:r>
      <w:r w:rsidR="004E3CC8">
        <w:rPr>
          <w:rFonts w:cs="Times New Roman"/>
        </w:rPr>
        <w:t xml:space="preserve">Cimochy, Cimoszki, Gąsiorówko, Godziejewo- Krzyżewko, Guty, Jelitki- Gąsiorowo, Kleszczewo, Krupin, Małe Olecko-Nowy Młyn-Starosty, Markowskie, Niedźwiedzkie, Nory-Bartkowski Dwór, Nowe Raczki, Puchówka, Rynie, Sobole, Szeszki, Urbanki, Wieliczki, Wilkasy,  Wojnasy. </w:t>
      </w:r>
    </w:p>
    <w:p w:rsidR="00EB7CB8" w:rsidRDefault="00204632" w:rsidP="00B67975">
      <w:pPr>
        <w:pStyle w:val="tekst"/>
        <w:rPr>
          <w:rFonts w:cs="Times New Roman"/>
        </w:rPr>
      </w:pPr>
      <w:r w:rsidRPr="00194C4A">
        <w:rPr>
          <w:rFonts w:cs="Times New Roman"/>
        </w:rPr>
        <w:t xml:space="preserve">Zgodnie z podziałem fizyko-geograficznym Polski wg Jerzego Kondrackiego gmina </w:t>
      </w:r>
      <w:r w:rsidR="004E3CC8">
        <w:rPr>
          <w:rFonts w:cs="Times New Roman"/>
        </w:rPr>
        <w:t>Wieliczki</w:t>
      </w:r>
      <w:r w:rsidRPr="00194C4A">
        <w:rPr>
          <w:rFonts w:cs="Times New Roman"/>
        </w:rPr>
        <w:t xml:space="preserve"> leży w obrębie </w:t>
      </w:r>
      <w:r w:rsidR="004E3CC8">
        <w:rPr>
          <w:rFonts w:cs="Times New Roman"/>
        </w:rPr>
        <w:t>makroregionu- Pojezierze wschodniosuwalskie oraz mezoregionu: Wysoczyzna Olecka.</w:t>
      </w:r>
      <w:r w:rsidR="00373469">
        <w:rPr>
          <w:rFonts w:cs="Times New Roman"/>
        </w:rPr>
        <w:t xml:space="preserve"> </w:t>
      </w:r>
      <w:r w:rsidR="001F266D">
        <w:rPr>
          <w:rFonts w:cs="Times New Roman"/>
        </w:rPr>
        <w:t xml:space="preserve"> – zob. mapa poniżej</w:t>
      </w:r>
      <w:r w:rsidR="00CC5758" w:rsidRPr="00194C4A">
        <w:rPr>
          <w:rFonts w:cs="Times New Roman"/>
        </w:rPr>
        <w:t>.</w:t>
      </w:r>
    </w:p>
    <w:p w:rsidR="00CC5758" w:rsidRPr="00422799" w:rsidRDefault="00CC5758" w:rsidP="00CC5758">
      <w:pPr>
        <w:pStyle w:val="Legenda"/>
        <w:rPr>
          <w:rFonts w:ascii="Times New Roman" w:hAnsi="Times New Roman" w:cs="Times New Roman"/>
          <w:sz w:val="20"/>
        </w:rPr>
      </w:pPr>
      <w:bookmarkStart w:id="26" w:name="_Toc75946957"/>
      <w:r w:rsidRPr="00422799">
        <w:rPr>
          <w:rFonts w:ascii="Times New Roman" w:hAnsi="Times New Roman" w:cs="Times New Roman"/>
          <w:sz w:val="20"/>
        </w:rPr>
        <w:t xml:space="preserve">Mapa </w:t>
      </w:r>
      <w:r w:rsidR="00A05E44" w:rsidRPr="00422799">
        <w:rPr>
          <w:rFonts w:ascii="Times New Roman" w:hAnsi="Times New Roman" w:cs="Times New Roman"/>
          <w:noProof/>
          <w:sz w:val="20"/>
        </w:rPr>
        <w:fldChar w:fldCharType="begin"/>
      </w:r>
      <w:r w:rsidR="00135FCF" w:rsidRPr="00422799">
        <w:rPr>
          <w:rFonts w:ascii="Times New Roman" w:hAnsi="Times New Roman" w:cs="Times New Roman"/>
          <w:noProof/>
          <w:sz w:val="20"/>
        </w:rPr>
        <w:instrText xml:space="preserve"> SEQ Mapa \* ARABIC </w:instrText>
      </w:r>
      <w:r w:rsidR="00A05E44" w:rsidRPr="00422799">
        <w:rPr>
          <w:rFonts w:ascii="Times New Roman" w:hAnsi="Times New Roman" w:cs="Times New Roman"/>
          <w:noProof/>
          <w:sz w:val="20"/>
        </w:rPr>
        <w:fldChar w:fldCharType="separate"/>
      </w:r>
      <w:r w:rsidR="00F20FF3">
        <w:rPr>
          <w:rFonts w:ascii="Times New Roman" w:hAnsi="Times New Roman" w:cs="Times New Roman"/>
          <w:noProof/>
          <w:sz w:val="20"/>
        </w:rPr>
        <w:t>1</w:t>
      </w:r>
      <w:r w:rsidR="00A05E44" w:rsidRPr="00422799">
        <w:rPr>
          <w:rFonts w:ascii="Times New Roman" w:hAnsi="Times New Roman" w:cs="Times New Roman"/>
          <w:noProof/>
          <w:sz w:val="20"/>
        </w:rPr>
        <w:fldChar w:fldCharType="end"/>
      </w:r>
      <w:r w:rsidRPr="00422799">
        <w:rPr>
          <w:rFonts w:ascii="Times New Roman" w:hAnsi="Times New Roman" w:cs="Times New Roman"/>
          <w:sz w:val="20"/>
        </w:rPr>
        <w:t xml:space="preserve"> Położenie gminy na tle mezoregionów</w:t>
      </w:r>
      <w:bookmarkEnd w:id="26"/>
    </w:p>
    <w:p w:rsidR="00FB5DA7" w:rsidRPr="00194C4A" w:rsidRDefault="00FB0598" w:rsidP="00CC5758">
      <w:pPr>
        <w:pStyle w:val="tekst"/>
        <w:keepNext/>
        <w:ind w:firstLine="0"/>
        <w:rPr>
          <w:rFonts w:cs="Times New Roman"/>
        </w:rPr>
      </w:pPr>
      <w:r>
        <w:rPr>
          <w:rFonts w:cs="Times New Roman"/>
          <w:noProof/>
        </w:rPr>
        <w:drawing>
          <wp:inline distT="0" distB="0" distL="0" distR="0">
            <wp:extent cx="5972175" cy="5095308"/>
            <wp:effectExtent l="19050" t="0" r="9525"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72175" cy="5095308"/>
                    </a:xfrm>
                    <a:prstGeom prst="rect">
                      <a:avLst/>
                    </a:prstGeom>
                    <a:noFill/>
                    <a:ln w="9525">
                      <a:noFill/>
                      <a:miter lim="800000"/>
                      <a:headEnd/>
                      <a:tailEnd/>
                    </a:ln>
                  </pic:spPr>
                </pic:pic>
              </a:graphicData>
            </a:graphic>
          </wp:inline>
        </w:drawing>
      </w:r>
    </w:p>
    <w:p w:rsidR="00CC5758" w:rsidRDefault="00CC5758" w:rsidP="00CC5758">
      <w:pPr>
        <w:pStyle w:val="tekst"/>
        <w:ind w:firstLine="0"/>
        <w:jc w:val="left"/>
        <w:rPr>
          <w:rFonts w:cs="Times New Roman"/>
          <w:i/>
        </w:rPr>
      </w:pPr>
      <w:r w:rsidRPr="00194C4A">
        <w:rPr>
          <w:rFonts w:cs="Times New Roman"/>
          <w:i/>
        </w:rPr>
        <w:t>Źródło:</w:t>
      </w:r>
      <w:r w:rsidR="00FB0598" w:rsidRPr="00FB0598">
        <w:rPr>
          <w:rFonts w:cs="Times New Roman"/>
          <w:i/>
        </w:rPr>
        <w:t>https://www.wikiwand.com/pl/articles/Regionalizacja_fizycznogeograficzna_Polski#/media/Plik:Mezoregiony_Kondrackiego.png</w:t>
      </w:r>
    </w:p>
    <w:p w:rsidR="00FB0598" w:rsidRDefault="00FB0598" w:rsidP="00CC5758">
      <w:pPr>
        <w:pStyle w:val="tekst"/>
        <w:ind w:firstLine="0"/>
        <w:jc w:val="left"/>
        <w:rPr>
          <w:rFonts w:cs="Times New Roman"/>
          <w:i/>
        </w:rPr>
      </w:pPr>
    </w:p>
    <w:p w:rsidR="00FB0598" w:rsidRDefault="00FB0598" w:rsidP="00CC5758">
      <w:pPr>
        <w:pStyle w:val="tekst"/>
        <w:ind w:firstLine="0"/>
        <w:jc w:val="left"/>
        <w:rPr>
          <w:rFonts w:cs="Times New Roman"/>
          <w:i/>
        </w:rPr>
      </w:pPr>
    </w:p>
    <w:p w:rsidR="00FB0598" w:rsidRDefault="00FB0598" w:rsidP="00CC5758">
      <w:pPr>
        <w:pStyle w:val="tekst"/>
        <w:ind w:firstLine="0"/>
        <w:jc w:val="left"/>
        <w:rPr>
          <w:rFonts w:cs="Times New Roman"/>
          <w:i/>
        </w:rPr>
      </w:pPr>
    </w:p>
    <w:p w:rsidR="00FB0598" w:rsidRDefault="00FB0598" w:rsidP="00CC5758">
      <w:pPr>
        <w:pStyle w:val="tekst"/>
        <w:ind w:firstLine="0"/>
        <w:jc w:val="left"/>
        <w:rPr>
          <w:rFonts w:cs="Times New Roman"/>
          <w:i/>
        </w:rPr>
      </w:pPr>
    </w:p>
    <w:p w:rsidR="00FB0598" w:rsidRDefault="00FB0598" w:rsidP="00CC5758">
      <w:pPr>
        <w:pStyle w:val="tekst"/>
        <w:ind w:firstLine="0"/>
        <w:jc w:val="left"/>
        <w:rPr>
          <w:rFonts w:cs="Times New Roman"/>
          <w:i/>
        </w:rPr>
      </w:pPr>
      <w:r>
        <w:rPr>
          <w:rFonts w:cs="Times New Roman"/>
          <w:i/>
          <w:noProof/>
        </w:rPr>
        <w:drawing>
          <wp:inline distT="0" distB="0" distL="0" distR="0">
            <wp:extent cx="5876761" cy="4352925"/>
            <wp:effectExtent l="19050" t="0" r="0"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876449" cy="4352694"/>
                    </a:xfrm>
                    <a:prstGeom prst="rect">
                      <a:avLst/>
                    </a:prstGeom>
                    <a:noFill/>
                    <a:ln w="9525">
                      <a:noFill/>
                      <a:miter lim="800000"/>
                      <a:headEnd/>
                      <a:tailEnd/>
                    </a:ln>
                  </pic:spPr>
                </pic:pic>
              </a:graphicData>
            </a:graphic>
          </wp:inline>
        </w:drawing>
      </w:r>
    </w:p>
    <w:p w:rsidR="00FB0598" w:rsidRPr="00194C4A" w:rsidRDefault="00FB0598" w:rsidP="00CC5758">
      <w:pPr>
        <w:pStyle w:val="tekst"/>
        <w:ind w:firstLine="0"/>
        <w:jc w:val="left"/>
        <w:rPr>
          <w:rFonts w:cs="Times New Roman"/>
        </w:rPr>
      </w:pPr>
      <w:r>
        <w:rPr>
          <w:rFonts w:cs="Times New Roman"/>
        </w:rPr>
        <w:t>Źródło:</w:t>
      </w:r>
      <w:r w:rsidRPr="00FB0598">
        <w:rPr>
          <w:rFonts w:cs="Times New Roman"/>
        </w:rPr>
        <w:t>https://www.wikiwand.com/pl/articles/Regionalizacja_fizycznogeograficzna_Polski#/media/Plik:Mezoregiony_Kondrackiego.png</w:t>
      </w:r>
    </w:p>
    <w:p w:rsidR="001F266D" w:rsidRDefault="001F266D" w:rsidP="00CC5758">
      <w:pPr>
        <w:pStyle w:val="tekst"/>
        <w:rPr>
          <w:rFonts w:cs="Times New Roman"/>
        </w:rPr>
      </w:pPr>
      <w:bookmarkStart w:id="27" w:name="_Ref466489581"/>
    </w:p>
    <w:p w:rsidR="00FB0598" w:rsidRPr="00FB0598" w:rsidRDefault="00FB0598" w:rsidP="00FB0598">
      <w:pPr>
        <w:spacing w:line="360" w:lineRule="auto"/>
        <w:ind w:firstLine="709"/>
        <w:jc w:val="both"/>
        <w:rPr>
          <w:rFonts w:ascii="Times New Roman" w:hAnsi="Times New Roman" w:cs="Times New Roman"/>
          <w:sz w:val="24"/>
        </w:rPr>
      </w:pPr>
      <w:r w:rsidRPr="00FB0598">
        <w:rPr>
          <w:rFonts w:ascii="Times New Roman" w:hAnsi="Times New Roman" w:cs="Times New Roman"/>
          <w:sz w:val="24"/>
        </w:rPr>
        <w:t xml:space="preserve">Pod względem typologicznym na obszarze gminy Wieliczki dominują gleby autogeniczne z rzędu brunatnoziemnych (ok.50 %) - głównie gleby brunatne wyługowane i kwaśne oraz płowe, a także gleby z rzędu bielicoziemnych - rdzawe i bielice. Znaczne powierzchnie zajmują również gleby hydrogeniczne z rzędu bagiennych i pobagiennych - murszowomineralne, mułowo-torfowe i torfowo murszowe. Grunty rolne zajmują 71,5%. W strukturze użytkowania ziemi grunty orne zajmują 64,5%. Zgodnie z klasyfikacją bonitacyjną na terenie gminy w przewadze występują gleby orne zaliczane do klas IV - IVa i IVb (65 %), wykazujące średnią jakość. Gleby klasy V zajmują 20 %, klasy VI natomiast 7 %. Stosunkowo znaczne powierzchnie zajmują gleby klasy III – o najwyższych wartościach produkcyjnych (7 %). </w:t>
      </w:r>
    </w:p>
    <w:p w:rsidR="00FB0598" w:rsidRPr="00FB0598" w:rsidRDefault="00FB0598" w:rsidP="00FB0598">
      <w:pPr>
        <w:spacing w:line="360" w:lineRule="auto"/>
        <w:ind w:firstLine="709"/>
        <w:jc w:val="both"/>
        <w:rPr>
          <w:rFonts w:ascii="Times New Roman" w:hAnsi="Times New Roman" w:cs="Times New Roman"/>
          <w:sz w:val="24"/>
        </w:rPr>
      </w:pPr>
      <w:r w:rsidRPr="00FB0598">
        <w:rPr>
          <w:rFonts w:ascii="Times New Roman" w:hAnsi="Times New Roman" w:cs="Times New Roman"/>
          <w:sz w:val="24"/>
        </w:rPr>
        <w:t xml:space="preserve">Gleby na terenie gminy Wieliczki cechują się stosunkowo niskim udziałem gleb kwaśnych i bardzo kwaśnych (poniżej 20%), podobnie niewielka część gleb cierpi na niską zasobność w fosfor </w:t>
      </w:r>
      <w:r w:rsidRPr="00FB0598">
        <w:rPr>
          <w:rFonts w:ascii="Times New Roman" w:hAnsi="Times New Roman" w:cs="Times New Roman"/>
          <w:sz w:val="24"/>
        </w:rPr>
        <w:lastRenderedPageBreak/>
        <w:t>(poniżej 20%) oraz zasobność w potas (od 20% do 40%), większa część gleb ma zalicza się natomiast do gleb o niskiej zasobności w magnez (40-60%).</w:t>
      </w:r>
    </w:p>
    <w:p w:rsidR="00FB0598" w:rsidRDefault="00FB0598" w:rsidP="00CC5758">
      <w:pPr>
        <w:pStyle w:val="tekst"/>
        <w:rPr>
          <w:rFonts w:cs="Times New Roman"/>
        </w:rPr>
      </w:pPr>
    </w:p>
    <w:p w:rsidR="00EE7CF7" w:rsidRPr="00FB0598" w:rsidRDefault="00B56F71" w:rsidP="00FB0598">
      <w:pPr>
        <w:pStyle w:val="tekst"/>
        <w:ind w:firstLine="0"/>
        <w:rPr>
          <w:rFonts w:cs="Times New Roman"/>
          <w:color w:val="EE6D49" w:themeColor="accent1" w:themeTint="99"/>
          <w:sz w:val="32"/>
        </w:rPr>
      </w:pPr>
      <w:bookmarkStart w:id="28" w:name="_Toc77321925"/>
      <w:r w:rsidRPr="00FB0598">
        <w:rPr>
          <w:rFonts w:cs="Times New Roman"/>
          <w:color w:val="EE6D49" w:themeColor="accent1" w:themeTint="99"/>
          <w:sz w:val="32"/>
        </w:rPr>
        <w:t xml:space="preserve">1.2.3 </w:t>
      </w:r>
      <w:r w:rsidR="00EE7CF7" w:rsidRPr="00FB0598">
        <w:rPr>
          <w:rFonts w:cs="Times New Roman"/>
          <w:color w:val="EE6D49" w:themeColor="accent1" w:themeTint="99"/>
          <w:sz w:val="32"/>
        </w:rPr>
        <w:t>Klimat</w:t>
      </w:r>
      <w:bookmarkEnd w:id="27"/>
      <w:bookmarkEnd w:id="28"/>
    </w:p>
    <w:p w:rsidR="00FB0598" w:rsidRDefault="00FB0598" w:rsidP="00515E7B">
      <w:pPr>
        <w:pStyle w:val="Legenda"/>
        <w:rPr>
          <w:rFonts w:ascii="Times New Roman" w:hAnsi="Times New Roman" w:cs="Times New Roman"/>
          <w:sz w:val="20"/>
        </w:rPr>
      </w:pPr>
      <w:bookmarkStart w:id="29" w:name="_Toc449082982"/>
      <w:bookmarkStart w:id="30" w:name="_Toc77321988"/>
    </w:p>
    <w:p w:rsidR="00FB0598" w:rsidRPr="00181692" w:rsidRDefault="00FB0598" w:rsidP="003C44EC">
      <w:pPr>
        <w:spacing w:line="360" w:lineRule="auto"/>
        <w:ind w:firstLine="708"/>
        <w:jc w:val="both"/>
        <w:rPr>
          <w:rFonts w:ascii="Times New Roman" w:hAnsi="Times New Roman" w:cs="Times New Roman"/>
          <w:sz w:val="24"/>
        </w:rPr>
      </w:pPr>
      <w:r w:rsidRPr="00181692">
        <w:rPr>
          <w:rFonts w:ascii="Times New Roman" w:hAnsi="Times New Roman" w:cs="Times New Roman"/>
          <w:sz w:val="24"/>
        </w:rPr>
        <w:t xml:space="preserve">Obszar opracowania wg najnowszej regionalizacji klimatycznej Polski (Woś 1999), przeprowadzonej na podstawie analizy częstości występowania różnych typów pogody, położony jest w Regionie Mazursko-Podlaskim. </w:t>
      </w:r>
    </w:p>
    <w:p w:rsidR="00FB0598" w:rsidRPr="00181692" w:rsidRDefault="00FB0598" w:rsidP="003C44EC">
      <w:pPr>
        <w:spacing w:line="360" w:lineRule="auto"/>
        <w:ind w:firstLine="708"/>
        <w:jc w:val="both"/>
        <w:rPr>
          <w:rFonts w:ascii="Times New Roman" w:hAnsi="Times New Roman" w:cs="Times New Roman"/>
          <w:sz w:val="24"/>
        </w:rPr>
      </w:pPr>
      <w:r w:rsidRPr="00181692">
        <w:rPr>
          <w:rFonts w:ascii="Times New Roman" w:hAnsi="Times New Roman" w:cs="Times New Roman"/>
          <w:sz w:val="24"/>
        </w:rPr>
        <w:t>Średnia miesięczna temperatura powietrza z wielolecia waha się od -6,7°C (styczeń) do 16,6°C (sierpień) przy średniej rocznej 5,3°C. Zima rozpoczyna się już 19 listopada i trwa   do 8 kwietnia, tj. prawie 5 miesięcy. Dominującymi kierunkami wiatrów są: zachodni, południowo – zachodni, południowy. Średnia roczna prędkość wiatrów wynosi 4,0 m/s. Największe, średnie miesięczne prędkości wiatru, powyżej średniej rocznej, występują od listopada do kwietnia, a najniższe (3,5 m/s) od czerwca do sierpnia (Woś 1999).</w:t>
      </w:r>
    </w:p>
    <w:p w:rsidR="00FB0598" w:rsidRPr="00181692" w:rsidRDefault="00FB0598" w:rsidP="003C44EC">
      <w:pPr>
        <w:spacing w:line="360" w:lineRule="auto"/>
        <w:ind w:firstLine="708"/>
        <w:jc w:val="both"/>
        <w:rPr>
          <w:rFonts w:ascii="Times New Roman" w:hAnsi="Times New Roman" w:cs="Times New Roman"/>
          <w:sz w:val="24"/>
        </w:rPr>
      </w:pPr>
      <w:r w:rsidRPr="00181692">
        <w:rPr>
          <w:rFonts w:ascii="Times New Roman" w:hAnsi="Times New Roman" w:cs="Times New Roman"/>
          <w:sz w:val="24"/>
        </w:rPr>
        <w:t xml:space="preserve"> Na terenie Gminy Wieliczki zanieczyszczenia pochodzą głównie z emisji energetycznych z gospodarstw domowych korzystających z tradycyjnych źródeł energii i obiektów komunalnych. Uciążliwość jednakże charakteryzuje się wahaniami sezonowymi. W sezonach grzewczych wzrost zanieczyszczeń związany jest ze spalaniem węgla w paleniskach domowych, ponieważ większość budynków w gminie ogrzewana jest paliwami stałymi, głównie węglem kamiennym i drewnem. Emisja ze źródeł mobilnych na terenie gminy ma obecnie znaczenie drugorzędne. liczba pojazdów silnikowych korzystających z dróg na terenie gminy Wieliczki jest stosunkowo mała. </w:t>
      </w:r>
    </w:p>
    <w:p w:rsidR="00FB0598" w:rsidRPr="00181692" w:rsidRDefault="00FB0598" w:rsidP="003C44EC">
      <w:pPr>
        <w:spacing w:line="360" w:lineRule="auto"/>
        <w:ind w:firstLine="708"/>
        <w:jc w:val="both"/>
        <w:rPr>
          <w:rFonts w:ascii="Times New Roman" w:hAnsi="Times New Roman" w:cs="Times New Roman"/>
          <w:sz w:val="24"/>
        </w:rPr>
      </w:pPr>
      <w:r w:rsidRPr="00181692">
        <w:rPr>
          <w:rFonts w:ascii="Times New Roman" w:hAnsi="Times New Roman" w:cs="Times New Roman"/>
          <w:sz w:val="24"/>
        </w:rPr>
        <w:t xml:space="preserve">Z przeprowadzanych ocen w latach 2013-2017 jakości powietrza, na terenie województwa jak i gminy wynika, że:  </w:t>
      </w:r>
    </w:p>
    <w:p w:rsidR="00FB0598" w:rsidRPr="00181692" w:rsidRDefault="00FB0598" w:rsidP="008A40A2">
      <w:pPr>
        <w:pStyle w:val="Akapitzlist"/>
        <w:numPr>
          <w:ilvl w:val="0"/>
          <w:numId w:val="29"/>
        </w:numPr>
        <w:spacing w:after="200" w:line="360" w:lineRule="auto"/>
        <w:jc w:val="both"/>
        <w:rPr>
          <w:rFonts w:ascii="Times New Roman" w:hAnsi="Times New Roman" w:cs="Times New Roman"/>
          <w:sz w:val="24"/>
        </w:rPr>
      </w:pPr>
      <w:r w:rsidRPr="00181692">
        <w:rPr>
          <w:rFonts w:ascii="Times New Roman" w:hAnsi="Times New Roman" w:cs="Times New Roman"/>
          <w:sz w:val="24"/>
        </w:rPr>
        <w:t>stężenie zanieczyszczeń takich jak dwutlenek, siarki, dwutlenek azotu, tlenek węgla, benzen, ozon, pył zawieszony PM2,5, ołów, kadm, nikiel, arsen nie zostało przekroczone (kryterium ochrona zdrowia);</w:t>
      </w:r>
    </w:p>
    <w:p w:rsidR="00FB0598" w:rsidRPr="00181692" w:rsidRDefault="00FB0598" w:rsidP="008A40A2">
      <w:pPr>
        <w:pStyle w:val="Akapitzlist"/>
        <w:numPr>
          <w:ilvl w:val="0"/>
          <w:numId w:val="29"/>
        </w:numPr>
        <w:spacing w:after="200" w:line="360" w:lineRule="auto"/>
        <w:jc w:val="both"/>
        <w:rPr>
          <w:rFonts w:ascii="Times New Roman" w:hAnsi="Times New Roman" w:cs="Times New Roman"/>
          <w:sz w:val="24"/>
        </w:rPr>
      </w:pPr>
      <w:r w:rsidRPr="00181692">
        <w:rPr>
          <w:rFonts w:ascii="Times New Roman" w:hAnsi="Times New Roman" w:cs="Times New Roman"/>
          <w:sz w:val="24"/>
        </w:rPr>
        <w:t xml:space="preserve">  stężenia benzo(a)pirenu w analizowanym okresie zostały przekroczone (kryterium ochrony zdrowia); </w:t>
      </w:r>
    </w:p>
    <w:p w:rsidR="00FB0598" w:rsidRPr="00181692" w:rsidRDefault="00FB0598" w:rsidP="008A40A2">
      <w:pPr>
        <w:pStyle w:val="Akapitzlist"/>
        <w:numPr>
          <w:ilvl w:val="0"/>
          <w:numId w:val="29"/>
        </w:numPr>
        <w:spacing w:after="200" w:line="360" w:lineRule="auto"/>
        <w:jc w:val="both"/>
        <w:rPr>
          <w:rFonts w:ascii="Times New Roman" w:hAnsi="Times New Roman" w:cs="Times New Roman"/>
          <w:sz w:val="24"/>
        </w:rPr>
      </w:pPr>
      <w:r w:rsidRPr="00181692">
        <w:rPr>
          <w:rFonts w:ascii="Times New Roman" w:hAnsi="Times New Roman" w:cs="Times New Roman"/>
          <w:sz w:val="24"/>
        </w:rPr>
        <w:t xml:space="preserve"> stężenia pyłu PM10 w analizowanym okresie ma poziom dopuszczalny.</w:t>
      </w:r>
    </w:p>
    <w:p w:rsidR="00FB0598" w:rsidRPr="00181692" w:rsidRDefault="00FB0598" w:rsidP="008A40A2">
      <w:pPr>
        <w:pStyle w:val="Akapitzlist"/>
        <w:numPr>
          <w:ilvl w:val="0"/>
          <w:numId w:val="29"/>
        </w:numPr>
        <w:spacing w:after="200" w:line="360" w:lineRule="auto"/>
        <w:jc w:val="both"/>
        <w:rPr>
          <w:rFonts w:ascii="Times New Roman" w:hAnsi="Times New Roman" w:cs="Times New Roman"/>
          <w:sz w:val="24"/>
        </w:rPr>
      </w:pPr>
      <w:r w:rsidRPr="00181692">
        <w:rPr>
          <w:rFonts w:ascii="Times New Roman" w:hAnsi="Times New Roman" w:cs="Times New Roman"/>
          <w:sz w:val="24"/>
        </w:rPr>
        <w:t xml:space="preserve"> (kryterium ochrony zdrowia);  stężenia tlenków azotu oraz dwutlenku siarki i ozonu nie zostały przekroczone  (kryterium ochrona roślin);</w:t>
      </w:r>
    </w:p>
    <w:p w:rsidR="00FB0598" w:rsidRPr="00181692" w:rsidRDefault="00FB0598" w:rsidP="003C44EC">
      <w:pPr>
        <w:pStyle w:val="Akapitzlist"/>
        <w:spacing w:line="360" w:lineRule="auto"/>
        <w:ind w:left="0" w:firstLine="709"/>
        <w:jc w:val="both"/>
        <w:rPr>
          <w:rFonts w:ascii="Times New Roman" w:hAnsi="Times New Roman" w:cs="Times New Roman"/>
          <w:sz w:val="24"/>
        </w:rPr>
      </w:pPr>
      <w:r w:rsidRPr="00181692">
        <w:rPr>
          <w:rFonts w:ascii="Times New Roman" w:hAnsi="Times New Roman" w:cs="Times New Roman"/>
          <w:sz w:val="24"/>
        </w:rPr>
        <w:lastRenderedPageBreak/>
        <w:t xml:space="preserve">We wszystkich strefach województwa warmińsko-mazurskiego, podobnie jak w latach ubiegłych, przekroczony został poziom celu długoterminowego ozonu określony pod kątem ochrony zdrowia, a w strefie warmińsko-mazurskiej dodatkowo został przekroczony poziom celu długoterminowego określony w celu ochrony roślin. Przekroczenie poziomu celu długoterminowego ozonu spowodowane było przede wszystkim warunkami meteorologicznymi sprzyjającymi tworzeniu się ozonu w przyziemnej warstwie atmosfery oraz napływem spoza granic województwa i kraju mas powietrza zanieczyszczonych ozonem.  Cieplejsze, w porównaniu do wielolecia, miesiące zimowe skutkowały mniejszymi emisjami zanieczyszczeń do powietrza, zwłaszcza z indywidualnych źródeł grzewczych. Poprawie jakości powietrza sprzyjało również wystąpienie w okresie zimowym opadów przewyższających normy wieloletnie. </w:t>
      </w:r>
    </w:p>
    <w:p w:rsidR="00FB0598" w:rsidRDefault="00297A5F" w:rsidP="00515E7B">
      <w:pPr>
        <w:pStyle w:val="Legenda"/>
        <w:rPr>
          <w:rFonts w:ascii="Times New Roman" w:hAnsi="Times New Roman" w:cs="Times New Roman"/>
          <w:sz w:val="20"/>
        </w:rPr>
      </w:pPr>
      <w:r>
        <w:rPr>
          <w:rFonts w:ascii="Times New Roman" w:hAnsi="Times New Roman" w:cs="Times New Roman"/>
          <w:b w:val="0"/>
          <w:bCs w:val="0"/>
          <w:noProof/>
          <w:sz w:val="20"/>
        </w:rPr>
        <w:drawing>
          <wp:inline distT="0" distB="0" distL="0" distR="0">
            <wp:extent cx="6120765" cy="2604478"/>
            <wp:effectExtent l="19050" t="0" r="0"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120765" cy="2604478"/>
                    </a:xfrm>
                    <a:prstGeom prst="rect">
                      <a:avLst/>
                    </a:prstGeom>
                    <a:noFill/>
                    <a:ln w="9525">
                      <a:noFill/>
                      <a:miter lim="800000"/>
                      <a:headEnd/>
                      <a:tailEnd/>
                    </a:ln>
                  </pic:spPr>
                </pic:pic>
              </a:graphicData>
            </a:graphic>
          </wp:inline>
        </w:drawing>
      </w:r>
    </w:p>
    <w:p w:rsidR="00297A5F" w:rsidRDefault="00297A5F" w:rsidP="00297A5F">
      <w:r>
        <w:rPr>
          <w:noProof/>
        </w:rPr>
        <w:drawing>
          <wp:inline distT="0" distB="0" distL="0" distR="0">
            <wp:extent cx="6120765" cy="2575377"/>
            <wp:effectExtent l="19050" t="0" r="0"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6120765" cy="2575377"/>
                    </a:xfrm>
                    <a:prstGeom prst="rect">
                      <a:avLst/>
                    </a:prstGeom>
                    <a:noFill/>
                    <a:ln w="9525">
                      <a:noFill/>
                      <a:miter lim="800000"/>
                      <a:headEnd/>
                      <a:tailEnd/>
                    </a:ln>
                  </pic:spPr>
                </pic:pic>
              </a:graphicData>
            </a:graphic>
          </wp:inline>
        </w:drawing>
      </w:r>
    </w:p>
    <w:p w:rsidR="00297A5F" w:rsidRPr="00297A5F" w:rsidRDefault="00297A5F" w:rsidP="00297A5F">
      <w:r>
        <w:rPr>
          <w:noProof/>
        </w:rPr>
        <w:lastRenderedPageBreak/>
        <w:drawing>
          <wp:inline distT="0" distB="0" distL="0" distR="0">
            <wp:extent cx="6120765" cy="2701612"/>
            <wp:effectExtent l="19050" t="0" r="0" b="0"/>
            <wp:docPr id="2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6120765" cy="2701612"/>
                    </a:xfrm>
                    <a:prstGeom prst="rect">
                      <a:avLst/>
                    </a:prstGeom>
                    <a:noFill/>
                    <a:ln w="9525">
                      <a:noFill/>
                      <a:miter lim="800000"/>
                      <a:headEnd/>
                      <a:tailEnd/>
                    </a:ln>
                  </pic:spPr>
                </pic:pic>
              </a:graphicData>
            </a:graphic>
          </wp:inline>
        </w:drawing>
      </w:r>
    </w:p>
    <w:p w:rsidR="00297A5F" w:rsidRDefault="00297A5F" w:rsidP="00515E7B">
      <w:pPr>
        <w:pStyle w:val="Legenda"/>
        <w:rPr>
          <w:rFonts w:ascii="Times New Roman" w:hAnsi="Times New Roman" w:cs="Times New Roman"/>
          <w:sz w:val="20"/>
        </w:rPr>
      </w:pPr>
    </w:p>
    <w:bookmarkEnd w:id="29"/>
    <w:bookmarkEnd w:id="30"/>
    <w:p w:rsidR="00965742" w:rsidRPr="00422799" w:rsidRDefault="00297A5F" w:rsidP="00515E7B">
      <w:pPr>
        <w:pStyle w:val="Legenda"/>
        <w:rPr>
          <w:rFonts w:ascii="Times New Roman" w:hAnsi="Times New Roman" w:cs="Times New Roman"/>
          <w:sz w:val="20"/>
        </w:rPr>
      </w:pPr>
      <w:r>
        <w:rPr>
          <w:rFonts w:ascii="Times New Roman" w:hAnsi="Times New Roman" w:cs="Times New Roman"/>
          <w:sz w:val="20"/>
        </w:rPr>
        <w:t xml:space="preserve">Rys. 1. </w:t>
      </w:r>
      <w:r w:rsidRPr="00297A5F">
        <w:rPr>
          <w:rFonts w:ascii="Times New Roman" w:hAnsi="Times New Roman" w:cs="Times New Roman"/>
          <w:sz w:val="24"/>
          <w:szCs w:val="22"/>
        </w:rPr>
        <w:t>Roczne sumy usłonecznienia rzeczywistego w roku 2024</w:t>
      </w:r>
    </w:p>
    <w:p w:rsidR="00422799" w:rsidRPr="00194C4A" w:rsidRDefault="00422799" w:rsidP="00965742">
      <w:pPr>
        <w:pStyle w:val="podpis"/>
        <w:rPr>
          <w:rFonts w:cs="Times New Roman"/>
          <w:b w:val="0"/>
          <w:i/>
          <w:sz w:val="22"/>
        </w:rPr>
      </w:pPr>
    </w:p>
    <w:p w:rsidR="00297A5F" w:rsidRDefault="00297A5F" w:rsidP="00297A5F">
      <w:pPr>
        <w:pStyle w:val="tekst"/>
        <w:rPr>
          <w:rFonts w:cs="Times New Roman"/>
        </w:rPr>
      </w:pPr>
      <w:r>
        <w:rPr>
          <w:rFonts w:cs="Times New Roman"/>
          <w:noProof/>
        </w:rPr>
        <w:drawing>
          <wp:inline distT="0" distB="0" distL="0" distR="0">
            <wp:extent cx="4600575" cy="4459832"/>
            <wp:effectExtent l="19050" t="0" r="9525" b="0"/>
            <wp:docPr id="2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4604208" cy="4463354"/>
                    </a:xfrm>
                    <a:prstGeom prst="rect">
                      <a:avLst/>
                    </a:prstGeom>
                    <a:noFill/>
                  </pic:spPr>
                </pic:pic>
              </a:graphicData>
            </a:graphic>
          </wp:inline>
        </w:drawing>
      </w:r>
      <w:bookmarkStart w:id="31" w:name="_Toc77321926"/>
    </w:p>
    <w:p w:rsidR="00297A5F" w:rsidRDefault="00297A5F" w:rsidP="00297A5F">
      <w:pPr>
        <w:pStyle w:val="podpis"/>
        <w:rPr>
          <w:rFonts w:cs="Times New Roman"/>
          <w:b w:val="0"/>
          <w:i/>
          <w:sz w:val="22"/>
        </w:rPr>
      </w:pPr>
      <w:r w:rsidRPr="00194C4A">
        <w:rPr>
          <w:rFonts w:cs="Times New Roman"/>
          <w:b w:val="0"/>
          <w:i/>
          <w:sz w:val="22"/>
          <w:szCs w:val="24"/>
        </w:rPr>
        <w:t xml:space="preserve">Źródło: opracowanie własne na </w:t>
      </w:r>
      <w:r w:rsidRPr="00194C4A">
        <w:rPr>
          <w:rFonts w:cs="Times New Roman"/>
          <w:b w:val="0"/>
          <w:i/>
          <w:sz w:val="22"/>
        </w:rPr>
        <w:t>danych klimatycznych</w:t>
      </w:r>
      <w:r>
        <w:rPr>
          <w:rFonts w:cs="Times New Roman"/>
          <w:b w:val="0"/>
          <w:i/>
          <w:sz w:val="22"/>
        </w:rPr>
        <w:t xml:space="preserve"> </w:t>
      </w:r>
      <w:r w:rsidRPr="00194C4A">
        <w:rPr>
          <w:rFonts w:cs="Times New Roman"/>
          <w:b w:val="0"/>
          <w:i/>
          <w:sz w:val="22"/>
        </w:rPr>
        <w:t>IMGW</w:t>
      </w:r>
      <w:r>
        <w:rPr>
          <w:rFonts w:cs="Times New Roman"/>
          <w:b w:val="0"/>
          <w:i/>
          <w:sz w:val="22"/>
        </w:rPr>
        <w:t>.</w:t>
      </w:r>
    </w:p>
    <w:p w:rsidR="00297A5F" w:rsidRDefault="00297A5F" w:rsidP="00297A5F">
      <w:pPr>
        <w:pStyle w:val="tekst"/>
        <w:rPr>
          <w:rFonts w:cs="Times New Roman"/>
        </w:rPr>
      </w:pPr>
    </w:p>
    <w:p w:rsidR="00297A5F" w:rsidRDefault="00297A5F" w:rsidP="00297A5F">
      <w:pPr>
        <w:pStyle w:val="tekst"/>
        <w:rPr>
          <w:rFonts w:cs="Times New Roman"/>
        </w:rPr>
      </w:pPr>
    </w:p>
    <w:p w:rsidR="00EE7CF7" w:rsidRPr="002406D7" w:rsidRDefault="00297A5F" w:rsidP="00297A5F">
      <w:pPr>
        <w:pStyle w:val="tekst"/>
        <w:rPr>
          <w:rFonts w:cs="Times New Roman"/>
          <w:color w:val="EE6D49" w:themeColor="accent1" w:themeTint="99"/>
          <w:sz w:val="32"/>
        </w:rPr>
      </w:pPr>
      <w:r w:rsidRPr="002406D7">
        <w:rPr>
          <w:rFonts w:cs="Times New Roman"/>
          <w:color w:val="EE6D49" w:themeColor="accent1" w:themeTint="99"/>
          <w:sz w:val="32"/>
        </w:rPr>
        <w:t>1</w:t>
      </w:r>
      <w:r w:rsidR="00B56F71" w:rsidRPr="002406D7">
        <w:rPr>
          <w:rFonts w:cs="Times New Roman"/>
          <w:color w:val="EE6D49" w:themeColor="accent1" w:themeTint="99"/>
          <w:sz w:val="32"/>
        </w:rPr>
        <w:t xml:space="preserve">.2.4 </w:t>
      </w:r>
      <w:r w:rsidR="00955971" w:rsidRPr="002406D7">
        <w:rPr>
          <w:rFonts w:cs="Times New Roman"/>
          <w:color w:val="EE6D49" w:themeColor="accent1" w:themeTint="99"/>
          <w:sz w:val="32"/>
        </w:rPr>
        <w:t>O</w:t>
      </w:r>
      <w:r w:rsidR="000F24D9" w:rsidRPr="002406D7">
        <w:rPr>
          <w:rFonts w:cs="Times New Roman"/>
          <w:color w:val="EE6D49" w:themeColor="accent1" w:themeTint="99"/>
          <w:sz w:val="32"/>
        </w:rPr>
        <w:t>bszary chronione</w:t>
      </w:r>
      <w:bookmarkEnd w:id="31"/>
    </w:p>
    <w:p w:rsidR="00734384" w:rsidRPr="00194C4A" w:rsidRDefault="00734384" w:rsidP="00734384">
      <w:pPr>
        <w:pStyle w:val="tekst"/>
        <w:rPr>
          <w:rFonts w:cs="Times New Roman"/>
        </w:rPr>
      </w:pPr>
      <w:bookmarkStart w:id="32" w:name="_Hlk485815156"/>
      <w:r w:rsidRPr="00194C4A">
        <w:rPr>
          <w:rFonts w:cs="Times New Roman"/>
        </w:rPr>
        <w:lastRenderedPageBreak/>
        <w:t>Przy realizacji projektów energetycz</w:t>
      </w:r>
      <w:r w:rsidR="005F4F0E" w:rsidRPr="00194C4A">
        <w:rPr>
          <w:rFonts w:cs="Times New Roman"/>
        </w:rPr>
        <w:t xml:space="preserve">nych </w:t>
      </w:r>
      <w:r w:rsidRPr="00194C4A">
        <w:rPr>
          <w:rFonts w:cs="Times New Roman"/>
        </w:rPr>
        <w:t>ważne jest zwrócenie uwagi na formy ochrony przyrody występujące na badanym obszarze oraz w sąsiedztwie.</w:t>
      </w:r>
    </w:p>
    <w:p w:rsidR="00734384" w:rsidRPr="00E71367" w:rsidRDefault="00734384" w:rsidP="00E71367">
      <w:pPr>
        <w:pStyle w:val="tekst"/>
        <w:spacing w:line="360" w:lineRule="auto"/>
        <w:rPr>
          <w:rFonts w:cs="Times New Roman"/>
          <w:szCs w:val="24"/>
        </w:rPr>
      </w:pPr>
      <w:r w:rsidRPr="00E71367">
        <w:rPr>
          <w:rFonts w:cs="Times New Roman"/>
          <w:szCs w:val="24"/>
        </w:rPr>
        <w:t>Do form ochrony przyrody zalicza się: parki narodowe, rezerwaty przyrody, parki krajobrazowe, obszary chronionego krajobrazu, obszary Natura 2000, pomniki przyrody, stanowiska dokumentacyjne, użytki ekologiczne, zespoły przyrodniczo-krajobrazowe, ochron</w:t>
      </w:r>
      <w:r w:rsidR="001F266D" w:rsidRPr="00E71367">
        <w:rPr>
          <w:rFonts w:cs="Times New Roman"/>
          <w:szCs w:val="24"/>
        </w:rPr>
        <w:t>ę</w:t>
      </w:r>
      <w:r w:rsidRPr="00E71367">
        <w:rPr>
          <w:rFonts w:cs="Times New Roman"/>
          <w:szCs w:val="24"/>
        </w:rPr>
        <w:t xml:space="preserve"> gatunkow</w:t>
      </w:r>
      <w:r w:rsidR="001F266D" w:rsidRPr="00E71367">
        <w:rPr>
          <w:rFonts w:cs="Times New Roman"/>
          <w:szCs w:val="24"/>
        </w:rPr>
        <w:t>ą</w:t>
      </w:r>
      <w:r w:rsidRPr="00E71367">
        <w:rPr>
          <w:rFonts w:cs="Times New Roman"/>
          <w:szCs w:val="24"/>
        </w:rPr>
        <w:t xml:space="preserve"> roślin, zwierząt i grzybów.</w:t>
      </w:r>
    </w:p>
    <w:p w:rsidR="00C04992" w:rsidRPr="00E71367" w:rsidRDefault="00C04992" w:rsidP="00E71367">
      <w:pPr>
        <w:pStyle w:val="tekst"/>
        <w:spacing w:line="360" w:lineRule="auto"/>
        <w:rPr>
          <w:rFonts w:cs="Times New Roman"/>
          <w:szCs w:val="24"/>
        </w:rPr>
      </w:pPr>
    </w:p>
    <w:p w:rsidR="00C04992" w:rsidRPr="00C04992" w:rsidRDefault="00C04992" w:rsidP="00E71367">
      <w:pPr>
        <w:spacing w:line="360" w:lineRule="auto"/>
        <w:ind w:firstLine="708"/>
        <w:jc w:val="both"/>
        <w:rPr>
          <w:rFonts w:ascii="Times New Roman" w:hAnsi="Times New Roman" w:cs="Times New Roman"/>
          <w:sz w:val="24"/>
        </w:rPr>
      </w:pPr>
      <w:r w:rsidRPr="00E71367">
        <w:rPr>
          <w:rFonts w:ascii="Times New Roman" w:hAnsi="Times New Roman" w:cs="Times New Roman"/>
          <w:sz w:val="24"/>
          <w:szCs w:val="24"/>
        </w:rPr>
        <w:t xml:space="preserve">Na terenie gminy Wieliczki znajdują się jeden duży i zwarty kompleks leśne o powierzchni powyżej 100 ha. Jest to Bór Kleszczowski położony w południowej części gminy. Pozostałe kompleksy leśne to: </w:t>
      </w:r>
      <w:r w:rsidRPr="00E71367">
        <w:rPr>
          <w:rFonts w:ascii="Times New Roman" w:hAnsi="Times New Roman" w:cs="Times New Roman"/>
          <w:sz w:val="24"/>
          <w:szCs w:val="24"/>
        </w:rPr>
        <w:tab/>
      </w:r>
      <w:r w:rsidRPr="00E71367">
        <w:rPr>
          <w:rFonts w:ascii="Times New Roman" w:hAnsi="Times New Roman" w:cs="Times New Roman"/>
          <w:sz w:val="24"/>
          <w:szCs w:val="24"/>
        </w:rPr>
        <w:tab/>
        <w:t xml:space="preserve">           </w:t>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Pr="00E71367">
        <w:rPr>
          <w:rFonts w:ascii="Times New Roman" w:hAnsi="Times New Roman" w:cs="Times New Roman"/>
          <w:sz w:val="24"/>
          <w:szCs w:val="24"/>
        </w:rPr>
        <w:t xml:space="preserve">      - Kompleks leśny pomiędzy m. Wojnasy a Wilkasy zajmujący przede wszystkim podmokłe siedliska, </w:t>
      </w:r>
      <w:r w:rsidRPr="00E71367">
        <w:rPr>
          <w:rFonts w:ascii="Times New Roman" w:hAnsi="Times New Roman" w:cs="Times New Roman"/>
          <w:sz w:val="24"/>
          <w:szCs w:val="24"/>
        </w:rPr>
        <w:tab/>
        <w:t xml:space="preserve">                  </w:t>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00E71367">
        <w:rPr>
          <w:rFonts w:ascii="Times New Roman" w:hAnsi="Times New Roman" w:cs="Times New Roman"/>
          <w:sz w:val="24"/>
          <w:szCs w:val="24"/>
        </w:rPr>
        <w:tab/>
      </w:r>
      <w:r w:rsidRPr="00E71367">
        <w:rPr>
          <w:rFonts w:ascii="Times New Roman" w:hAnsi="Times New Roman" w:cs="Times New Roman"/>
          <w:sz w:val="24"/>
          <w:szCs w:val="24"/>
        </w:rPr>
        <w:t xml:space="preserve">  - Kompleks leśny pomiędzy m. Norki a Olecko Małe zajmujący różnorodne siedliska, ze znacznym udziałem siedlisk wilgotnych w zachodniej części; </w:t>
      </w:r>
      <w:r w:rsidRPr="00E71367">
        <w:rPr>
          <w:rFonts w:ascii="Times New Roman" w:hAnsi="Times New Roman" w:cs="Times New Roman"/>
          <w:sz w:val="24"/>
          <w:szCs w:val="24"/>
        </w:rPr>
        <w:tab/>
      </w:r>
      <w:r w:rsidRPr="00E71367">
        <w:rPr>
          <w:rFonts w:ascii="Times New Roman" w:hAnsi="Times New Roman" w:cs="Times New Roman"/>
          <w:sz w:val="24"/>
          <w:szCs w:val="24"/>
        </w:rPr>
        <w:tab/>
      </w:r>
      <w:r w:rsidRPr="00E71367">
        <w:rPr>
          <w:rFonts w:ascii="Times New Roman" w:hAnsi="Times New Roman" w:cs="Times New Roman"/>
          <w:sz w:val="24"/>
          <w:szCs w:val="24"/>
        </w:rPr>
        <w:tab/>
        <w:t xml:space="preserve">                                                                                                 - niewielkie kompleksy leśne w północnej części gminy w rejonach m. Markowskie i Krupin </w:t>
      </w:r>
      <w:r w:rsidR="00E71367">
        <w:rPr>
          <w:rFonts w:ascii="Times New Roman" w:hAnsi="Times New Roman" w:cs="Times New Roman"/>
          <w:sz w:val="24"/>
          <w:szCs w:val="24"/>
        </w:rPr>
        <w:t xml:space="preserve">                    </w:t>
      </w:r>
      <w:r w:rsidRPr="00E71367">
        <w:rPr>
          <w:rFonts w:ascii="Times New Roman" w:hAnsi="Times New Roman" w:cs="Times New Roman"/>
          <w:sz w:val="24"/>
          <w:szCs w:val="24"/>
        </w:rPr>
        <w:t xml:space="preserve">o powierzchni około 25 ha każdy. </w:t>
      </w:r>
      <w:r w:rsidRPr="00E71367">
        <w:rPr>
          <w:rFonts w:ascii="Times New Roman" w:hAnsi="Times New Roman" w:cs="Times New Roman"/>
          <w:sz w:val="24"/>
          <w:szCs w:val="24"/>
        </w:rPr>
        <w:tab/>
      </w:r>
      <w:r w:rsidRPr="00E71367">
        <w:rPr>
          <w:rFonts w:ascii="Times New Roman" w:hAnsi="Times New Roman" w:cs="Times New Roman"/>
          <w:sz w:val="24"/>
          <w:szCs w:val="24"/>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Pr>
          <w:rFonts w:ascii="Times New Roman" w:hAnsi="Times New Roman" w:cs="Times New Roman"/>
        </w:rPr>
        <w:tab/>
      </w:r>
      <w:r w:rsidRPr="00C04992">
        <w:rPr>
          <w:rFonts w:ascii="Times New Roman" w:hAnsi="Times New Roman" w:cs="Times New Roman"/>
          <w:sz w:val="24"/>
        </w:rPr>
        <w:t>Na terenie gminy Wieliczki dominują: bór mieszany świeży, las mieszany, las świeży i bór wilgotny. Obecnie lesistość gminy Wieliczki wynosi ok. 22%.</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t xml:space="preserve">Korytarze ekologiczne to obszary umożliwiające migrację zwierząt, roślin lub grzybów. </w:t>
      </w:r>
      <w:r>
        <w:rPr>
          <w:rFonts w:ascii="Times New Roman" w:hAnsi="Times New Roman" w:cs="Times New Roman"/>
          <w:sz w:val="24"/>
        </w:rPr>
        <w:t xml:space="preserve">            </w:t>
      </w:r>
      <w:r w:rsidRPr="00C04992">
        <w:rPr>
          <w:rFonts w:ascii="Times New Roman" w:hAnsi="Times New Roman" w:cs="Times New Roman"/>
          <w:sz w:val="24"/>
        </w:rPr>
        <w:t>W celu zachowania ich drożności zaleca się prowadzić następujące działania: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C04992">
        <w:rPr>
          <w:rFonts w:ascii="Times New Roman" w:hAnsi="Times New Roman" w:cs="Times New Roman"/>
          <w:sz w:val="24"/>
        </w:rPr>
        <w:t xml:space="preserve"> - uwzględnianie korytarzy ekologicznych w miejscowych planach zagospodarowania przestrzennego,</w:t>
      </w:r>
      <w:r w:rsidRPr="00C04992">
        <w:rPr>
          <w:rFonts w:ascii="Times New Roman" w:hAnsi="Times New Roman" w:cs="Times New Roman"/>
          <w:sz w:val="24"/>
        </w:rPr>
        <w:tab/>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C04992">
        <w:rPr>
          <w:rFonts w:ascii="Times New Roman" w:hAnsi="Times New Roman" w:cs="Times New Roman"/>
          <w:sz w:val="24"/>
        </w:rPr>
        <w:t xml:space="preserve">  - uwzględnienie korytarzy ekologicznych w miejscowych planach zagospodarowania przestrzennego;</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t>- budowa przejść dla zwierząt- dotyczy miejsc, gdzie przecinają się drogi i linie kolejowe już istniejące  ( o najwyższym natężeniu ruchu) z korytarzami ekologicznymi;</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t>- jednoczesna budowa przejść dla zwierząt wraz z budową nowych autostrad i dróg szybkiego ruchu, na drogach już istniejących o mniejszym natężeniu ruchu w miejscach przecięcia korytarzy migracyjnych, umieszczenie odpowiednich znaków informujących o tym oraz ograniczenie prędkości,</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t>- ochrona dolin rzecznych- poprzez zaniechanie zabudowy brzegów, regulacji koryta rzecznego; rewitalizacja najbardziej zdegradowanych odcinków rzek,</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t>- zalesienie- dotyczy korytarzy migracyjnych, gdzie płaty lasu w obrębie takiego korytarza są oddalone od siebie na odległość powyżej 1 km ( z wyłączeniem cennych przyrodniczo siedlisk nieleśnych),</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lastRenderedPageBreak/>
        <w:t xml:space="preserve">- ochrona przed dalszą zabudową odcinków korytarzy ekologicznych o znacznych przewężeniach, spowodowanych bezpośrednim sąsiedztwem terenów zurbanizowanych. </w:t>
      </w:r>
    </w:p>
    <w:p w:rsidR="00C04992" w:rsidRPr="00C04992" w:rsidRDefault="00C04992" w:rsidP="00C04992">
      <w:pPr>
        <w:ind w:firstLine="708"/>
        <w:jc w:val="both"/>
        <w:rPr>
          <w:rFonts w:ascii="Times New Roman" w:hAnsi="Times New Roman" w:cs="Times New Roman"/>
          <w:sz w:val="24"/>
        </w:rPr>
      </w:pPr>
      <w:r w:rsidRPr="00C04992">
        <w:rPr>
          <w:rFonts w:ascii="Times New Roman" w:hAnsi="Times New Roman" w:cs="Times New Roman"/>
          <w:sz w:val="24"/>
        </w:rPr>
        <w:t>Zachowanie drożności korytarzy ekologicznych powinno polegać przede wszystkim na ich ochronie przed zabudowaniem, przegrodzeniem i na tworzeniu nowych nasadzeń. Na rycinie przedstawiono przebieg korytarzy ekologicznych w regionie na podstawie projektu korytarzy zamieszczonych w portalu www.geoserwis.gdos.gov.pl. Z analizy mapy wynika, że bezpośrednio na terenie Gminy Wieliczki został wyznaczony korytarz ekologiczny: Dolina Biebrzy – Puszcza Borecka.</w:t>
      </w:r>
    </w:p>
    <w:p w:rsidR="00C04992" w:rsidRDefault="00C04992" w:rsidP="00C04992">
      <w:pPr>
        <w:rPr>
          <w:rFonts w:ascii="Times New Roman" w:hAnsi="Times New Roman" w:cs="Times New Roman"/>
        </w:rPr>
      </w:pPr>
      <w:r w:rsidRPr="00EC1616">
        <w:rPr>
          <w:rFonts w:ascii="Times New Roman" w:hAnsi="Times New Roman" w:cs="Times New Roman"/>
          <w:noProof/>
        </w:rPr>
        <w:drawing>
          <wp:inline distT="0" distB="0" distL="0" distR="0">
            <wp:extent cx="2512009" cy="3225021"/>
            <wp:effectExtent l="19050" t="0" r="2591"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511923" cy="3224911"/>
                    </a:xfrm>
                    <a:prstGeom prst="rect">
                      <a:avLst/>
                    </a:prstGeom>
                    <a:noFill/>
                    <a:ln w="9525">
                      <a:noFill/>
                      <a:miter lim="800000"/>
                      <a:headEnd/>
                      <a:tailEnd/>
                    </a:ln>
                  </pic:spPr>
                </pic:pic>
              </a:graphicData>
            </a:graphic>
          </wp:inline>
        </w:drawing>
      </w:r>
    </w:p>
    <w:p w:rsidR="00C04992" w:rsidRDefault="00C04992" w:rsidP="00C04992">
      <w:pPr>
        <w:rPr>
          <w:rFonts w:ascii="Times New Roman" w:hAnsi="Times New Roman" w:cs="Times New Roman"/>
          <w:b/>
          <w:sz w:val="18"/>
          <w:szCs w:val="18"/>
        </w:rPr>
      </w:pPr>
      <w:r w:rsidRPr="00F231AC">
        <w:rPr>
          <w:rFonts w:ascii="Times New Roman" w:hAnsi="Times New Roman" w:cs="Times New Roman"/>
          <w:b/>
          <w:sz w:val="18"/>
          <w:szCs w:val="18"/>
        </w:rPr>
        <w:t>Rys. 2 Przebieg korytarzy ekologicznych prezentowanych przez Generalną Dyrekcję Ochrony Środowiska</w:t>
      </w:r>
    </w:p>
    <w:p w:rsidR="00C04992" w:rsidRDefault="00C04992" w:rsidP="00C04992">
      <w:pPr>
        <w:rPr>
          <w:rFonts w:ascii="Times New Roman" w:hAnsi="Times New Roman" w:cs="Times New Roman"/>
          <w:b/>
          <w:sz w:val="16"/>
          <w:szCs w:val="16"/>
        </w:rPr>
      </w:pPr>
      <w:r w:rsidRPr="00107BA6">
        <w:rPr>
          <w:rFonts w:ascii="Times New Roman" w:hAnsi="Times New Roman" w:cs="Times New Roman"/>
          <w:b/>
          <w:sz w:val="16"/>
          <w:szCs w:val="16"/>
        </w:rPr>
        <w:t>Źródło: www.geoserwis.gdos.gov.pl</w:t>
      </w:r>
    </w:p>
    <w:p w:rsidR="00C04992" w:rsidRPr="00C04992" w:rsidRDefault="00C04992" w:rsidP="00C04992">
      <w:pPr>
        <w:pStyle w:val="tekst"/>
        <w:spacing w:line="360" w:lineRule="auto"/>
        <w:rPr>
          <w:rFonts w:cs="Times New Roman"/>
          <w:sz w:val="32"/>
        </w:rPr>
      </w:pPr>
    </w:p>
    <w:p w:rsidR="00C04992" w:rsidRPr="00C04992" w:rsidRDefault="00C04992" w:rsidP="00C04992">
      <w:pPr>
        <w:spacing w:line="360" w:lineRule="auto"/>
        <w:ind w:firstLine="708"/>
        <w:rPr>
          <w:rFonts w:ascii="Times New Roman" w:hAnsi="Times New Roman" w:cs="Times New Roman"/>
          <w:sz w:val="24"/>
        </w:rPr>
      </w:pPr>
      <w:r w:rsidRPr="00C04992">
        <w:rPr>
          <w:rFonts w:ascii="Times New Roman" w:hAnsi="Times New Roman" w:cs="Times New Roman"/>
          <w:sz w:val="24"/>
        </w:rPr>
        <w:t>Na terenie Gminy Wieliczki takimi formami ochrony przyrody są:</w:t>
      </w:r>
    </w:p>
    <w:p w:rsidR="00C04992" w:rsidRPr="00C04992" w:rsidRDefault="00C04992" w:rsidP="00C04992">
      <w:pPr>
        <w:spacing w:line="360" w:lineRule="auto"/>
        <w:ind w:firstLine="708"/>
        <w:rPr>
          <w:rFonts w:ascii="Times New Roman" w:hAnsi="Times New Roman" w:cs="Times New Roman"/>
          <w:sz w:val="24"/>
        </w:rPr>
      </w:pPr>
      <w:r w:rsidRPr="00C04992">
        <w:rPr>
          <w:rFonts w:ascii="Times New Roman" w:hAnsi="Times New Roman" w:cs="Times New Roman"/>
          <w:sz w:val="24"/>
        </w:rPr>
        <w:t>- Obszar Chronionego Krajobrazu Doliny Legi;</w:t>
      </w:r>
    </w:p>
    <w:p w:rsidR="00C04992" w:rsidRPr="00C04992" w:rsidRDefault="00C04992" w:rsidP="00C04992">
      <w:pPr>
        <w:spacing w:line="360" w:lineRule="auto"/>
        <w:ind w:firstLine="708"/>
        <w:rPr>
          <w:rFonts w:ascii="Times New Roman" w:hAnsi="Times New Roman" w:cs="Times New Roman"/>
          <w:sz w:val="24"/>
        </w:rPr>
      </w:pPr>
      <w:r w:rsidRPr="00C04992">
        <w:rPr>
          <w:rFonts w:ascii="Times New Roman" w:hAnsi="Times New Roman" w:cs="Times New Roman"/>
          <w:sz w:val="24"/>
        </w:rPr>
        <w:t>- Obszar Chronionego Krajobrazu Jezior Oleckich</w:t>
      </w:r>
    </w:p>
    <w:p w:rsidR="00C04992" w:rsidRPr="00C04992" w:rsidRDefault="00C04992" w:rsidP="00C04992">
      <w:pPr>
        <w:spacing w:line="360" w:lineRule="auto"/>
        <w:ind w:firstLine="708"/>
        <w:rPr>
          <w:rFonts w:ascii="Times New Roman" w:hAnsi="Times New Roman" w:cs="Times New Roman"/>
          <w:sz w:val="24"/>
        </w:rPr>
      </w:pPr>
      <w:r w:rsidRPr="00C04992">
        <w:rPr>
          <w:rFonts w:ascii="Times New Roman" w:hAnsi="Times New Roman" w:cs="Times New Roman"/>
          <w:sz w:val="24"/>
        </w:rPr>
        <w:t>- pomniki przyrody</w:t>
      </w:r>
    </w:p>
    <w:p w:rsidR="00C04992" w:rsidRPr="00C04992" w:rsidRDefault="00C04992" w:rsidP="00C04992">
      <w:pPr>
        <w:spacing w:line="360" w:lineRule="auto"/>
        <w:jc w:val="both"/>
        <w:rPr>
          <w:rFonts w:ascii="Times New Roman" w:hAnsi="Times New Roman" w:cs="Times New Roman"/>
          <w:b/>
          <w:sz w:val="24"/>
        </w:rPr>
      </w:pPr>
      <w:r w:rsidRPr="00C04992">
        <w:rPr>
          <w:rFonts w:ascii="Times New Roman" w:hAnsi="Times New Roman" w:cs="Times New Roman"/>
          <w:sz w:val="24"/>
        </w:rPr>
        <w:t>Na terenie Gminy Wieliczki nie ma obszarów Natura 2000.</w:t>
      </w:r>
    </w:p>
    <w:p w:rsidR="00C04992" w:rsidRPr="00C04992" w:rsidRDefault="00C04992" w:rsidP="00C04992">
      <w:pPr>
        <w:spacing w:line="360" w:lineRule="auto"/>
        <w:jc w:val="both"/>
        <w:rPr>
          <w:rFonts w:ascii="Times New Roman" w:hAnsi="Times New Roman" w:cs="Times New Roman"/>
          <w:sz w:val="24"/>
        </w:rPr>
      </w:pPr>
      <w:r w:rsidRPr="00C04992">
        <w:rPr>
          <w:rFonts w:ascii="Times New Roman" w:hAnsi="Times New Roman" w:cs="Times New Roman"/>
          <w:sz w:val="24"/>
        </w:rPr>
        <w:t xml:space="preserve">Na terenie Gminy Wieliczki zlokalizowane są 2 obszary chronionego krajobrazu: </w:t>
      </w:r>
      <w:r w:rsidRPr="00C04992">
        <w:rPr>
          <w:rFonts w:ascii="Times New Roman" w:hAnsi="Times New Roman" w:cs="Times New Roman"/>
          <w:sz w:val="24"/>
        </w:rPr>
        <w:tab/>
      </w:r>
      <w:r w:rsidRPr="00C04992">
        <w:rPr>
          <w:rFonts w:ascii="Times New Roman" w:hAnsi="Times New Roman" w:cs="Times New Roman"/>
          <w:sz w:val="24"/>
        </w:rPr>
        <w:tab/>
      </w:r>
      <w:r w:rsidRPr="00C04992">
        <w:rPr>
          <w:rFonts w:ascii="Times New Roman" w:hAnsi="Times New Roman" w:cs="Times New Roman"/>
          <w:sz w:val="24"/>
        </w:rPr>
        <w:tab/>
      </w:r>
      <w:r w:rsidRPr="00C04992">
        <w:rPr>
          <w:rFonts w:ascii="Times New Roman" w:hAnsi="Times New Roman" w:cs="Times New Roman"/>
          <w:sz w:val="24"/>
        </w:rPr>
        <w:tab/>
      </w:r>
      <w:r w:rsidRPr="00C04992">
        <w:rPr>
          <w:rFonts w:ascii="Times New Roman" w:hAnsi="Times New Roman" w:cs="Times New Roman"/>
          <w:b/>
          <w:sz w:val="24"/>
        </w:rPr>
        <w:t>OChK Doliny Legi</w:t>
      </w:r>
      <w:r w:rsidRPr="00C04992">
        <w:rPr>
          <w:rFonts w:ascii="Times New Roman" w:hAnsi="Times New Roman" w:cs="Times New Roman"/>
          <w:sz w:val="24"/>
        </w:rPr>
        <w:t xml:space="preserve"> - ustanowiony na mocy Rozporządzenia Nr 15 Wojewody Warmińsko-Mazurskiego z dnia 19 grudnia 2008 r. w sprawie Obszaru Chronionego Krajobrazu Doliny Legi (Dz. Urz. Woj. Warm.-Maz. Nr 198, poz. 3106); łączna powierzania obszaru wynosi 8 </w:t>
      </w:r>
      <w:r w:rsidRPr="00C04992">
        <w:rPr>
          <w:rFonts w:ascii="Times New Roman" w:hAnsi="Times New Roman" w:cs="Times New Roman"/>
          <w:sz w:val="24"/>
        </w:rPr>
        <w:lastRenderedPageBreak/>
        <w:t>579,8 ha; na terenie powiatu położony jest fragment obszaru – w</w:t>
      </w:r>
      <w:r>
        <w:rPr>
          <w:rFonts w:ascii="Times New Roman" w:hAnsi="Times New Roman" w:cs="Times New Roman"/>
          <w:sz w:val="24"/>
        </w:rPr>
        <w:t xml:space="preserve"> gminach Wieliczki i Olecko;</w:t>
      </w:r>
      <w:r>
        <w:rPr>
          <w:rFonts w:ascii="Times New Roman" w:hAnsi="Times New Roman" w:cs="Times New Roman"/>
          <w:sz w:val="24"/>
        </w:rPr>
        <w:tab/>
      </w:r>
      <w:r>
        <w:rPr>
          <w:rFonts w:ascii="Times New Roman" w:hAnsi="Times New Roman" w:cs="Times New Roman"/>
          <w:sz w:val="24"/>
        </w:rPr>
        <w:tab/>
        <w:t xml:space="preserve">           </w:t>
      </w:r>
      <w:r w:rsidRPr="00C04992">
        <w:rPr>
          <w:rFonts w:ascii="Times New Roman" w:hAnsi="Times New Roman" w:cs="Times New Roman"/>
          <w:sz w:val="24"/>
        </w:rPr>
        <w:t xml:space="preserve"> </w:t>
      </w:r>
      <w:r w:rsidRPr="00C04992">
        <w:rPr>
          <w:rFonts w:ascii="Times New Roman" w:hAnsi="Times New Roman" w:cs="Times New Roman"/>
          <w:b/>
          <w:sz w:val="24"/>
        </w:rPr>
        <w:t>OChK Jezior Oleckich</w:t>
      </w:r>
      <w:r w:rsidRPr="00C04992">
        <w:rPr>
          <w:rFonts w:ascii="Times New Roman" w:hAnsi="Times New Roman" w:cs="Times New Roman"/>
          <w:sz w:val="24"/>
        </w:rPr>
        <w:t xml:space="preserve"> – obszar powołany Rozporządzeniem Nr 139 Wojewody Warmińsko-Mazurskiego z dnia 12 listopada 2008 r. w sprawie Obszaru Chronionego Krajobrazu Jezior Oleckich (Dz. Urz. Woj. Warm.-Maz. Nr 178, poz. 2621); obszar w całości położony na terenie powiatu oleckiego (na terenie gmin: Olecko, Kowale Oleckie, Świętajno, Wieliczki); powierzchnia obszaru sięga 10 521,3 ha;</w:t>
      </w:r>
    </w:p>
    <w:p w:rsidR="00C04992" w:rsidRDefault="00C04992" w:rsidP="00A11E36">
      <w:pPr>
        <w:pStyle w:val="tekst"/>
        <w:rPr>
          <w:rFonts w:cs="Times New Roman"/>
        </w:rPr>
      </w:pPr>
    </w:p>
    <w:p w:rsidR="00C04992" w:rsidRDefault="00C04992" w:rsidP="00C04992">
      <w:pPr>
        <w:rPr>
          <w:rFonts w:ascii="Times New Roman" w:hAnsi="Times New Roman" w:cs="Times New Roman"/>
        </w:rPr>
      </w:pPr>
      <w:r w:rsidRPr="00D06EA9">
        <w:rPr>
          <w:rFonts w:ascii="Times New Roman" w:hAnsi="Times New Roman" w:cs="Times New Roman"/>
          <w:noProof/>
        </w:rPr>
        <w:drawing>
          <wp:inline distT="0" distB="0" distL="0" distR="0">
            <wp:extent cx="3225800" cy="3131185"/>
            <wp:effectExtent l="19050" t="0" r="0" b="0"/>
            <wp:docPr id="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225800" cy="3131185"/>
                    </a:xfrm>
                    <a:prstGeom prst="rect">
                      <a:avLst/>
                    </a:prstGeom>
                    <a:noFill/>
                    <a:ln w="9525">
                      <a:noFill/>
                      <a:miter lim="800000"/>
                      <a:headEnd/>
                      <a:tailEnd/>
                    </a:ln>
                  </pic:spPr>
                </pic:pic>
              </a:graphicData>
            </a:graphic>
          </wp:inline>
        </w:drawing>
      </w:r>
    </w:p>
    <w:p w:rsidR="00C04992" w:rsidRDefault="00C04992" w:rsidP="00C04992">
      <w:pPr>
        <w:rPr>
          <w:rFonts w:ascii="Times New Roman" w:hAnsi="Times New Roman" w:cs="Times New Roman"/>
          <w:b/>
          <w:sz w:val="16"/>
          <w:szCs w:val="16"/>
        </w:rPr>
      </w:pPr>
      <w:r w:rsidRPr="00774DA9">
        <w:rPr>
          <w:rFonts w:ascii="Times New Roman" w:hAnsi="Times New Roman" w:cs="Times New Roman"/>
          <w:b/>
          <w:sz w:val="16"/>
          <w:szCs w:val="16"/>
        </w:rPr>
        <w:t>Rys. 3 Obszary chronione na terenie gminy Wieliczki</w:t>
      </w:r>
    </w:p>
    <w:p w:rsidR="00C04992" w:rsidRDefault="00C04992" w:rsidP="00C04992">
      <w:pPr>
        <w:rPr>
          <w:rFonts w:ascii="Times New Roman" w:hAnsi="Times New Roman" w:cs="Times New Roman"/>
          <w:sz w:val="16"/>
          <w:szCs w:val="16"/>
        </w:rPr>
      </w:pPr>
      <w:r>
        <w:rPr>
          <w:rFonts w:ascii="Times New Roman" w:hAnsi="Times New Roman" w:cs="Times New Roman"/>
          <w:sz w:val="16"/>
          <w:szCs w:val="16"/>
        </w:rPr>
        <w:t xml:space="preserve">źródło: </w:t>
      </w:r>
      <w:r w:rsidRPr="00774DA9">
        <w:rPr>
          <w:rFonts w:ascii="Times New Roman" w:hAnsi="Times New Roman" w:cs="Times New Roman"/>
          <w:sz w:val="16"/>
          <w:szCs w:val="16"/>
        </w:rPr>
        <w:t>https://geoserwis.gdos.gov.pl/mapy/?usedesktop=true</w:t>
      </w:r>
    </w:p>
    <w:p w:rsidR="00C04992" w:rsidRDefault="00C04992" w:rsidP="00A11E36">
      <w:pPr>
        <w:pStyle w:val="tekst"/>
        <w:rPr>
          <w:rFonts w:cs="Times New Roman"/>
        </w:rPr>
      </w:pPr>
    </w:p>
    <w:p w:rsidR="00C04992" w:rsidRPr="00C04992" w:rsidRDefault="00C04992" w:rsidP="00C04992">
      <w:pPr>
        <w:spacing w:line="360" w:lineRule="auto"/>
        <w:ind w:firstLine="709"/>
        <w:jc w:val="both"/>
        <w:rPr>
          <w:rFonts w:ascii="Times New Roman" w:hAnsi="Times New Roman" w:cs="Times New Roman"/>
          <w:sz w:val="24"/>
        </w:rPr>
      </w:pPr>
      <w:r w:rsidRPr="00C04992">
        <w:rPr>
          <w:rFonts w:ascii="Times New Roman" w:hAnsi="Times New Roman" w:cs="Times New Roman"/>
          <w:sz w:val="24"/>
        </w:rPr>
        <w:t>Na terenie Gminy Wieliczki znajdują się pomniki przyrody, którymi są pojedyncze drzewa i grupy drzew. Szczegółowe dane dotyczące pomników przyrody dostępne są w Centralnym Rejestrze Form Ochrony Przyrody (pod adresem www.crfop.gdos.gov.pl).</w:t>
      </w:r>
    </w:p>
    <w:p w:rsidR="00C04992" w:rsidRPr="00C04992" w:rsidRDefault="00C04992" w:rsidP="00C04992">
      <w:pPr>
        <w:spacing w:line="360" w:lineRule="auto"/>
        <w:ind w:firstLine="709"/>
        <w:jc w:val="both"/>
        <w:rPr>
          <w:rFonts w:ascii="Times New Roman" w:hAnsi="Times New Roman" w:cs="Times New Roman"/>
          <w:sz w:val="24"/>
        </w:rPr>
      </w:pPr>
      <w:r w:rsidRPr="00C04992">
        <w:rPr>
          <w:rFonts w:ascii="Times New Roman" w:hAnsi="Times New Roman" w:cs="Times New Roman"/>
          <w:sz w:val="24"/>
        </w:rPr>
        <w:t>Na terenie Gminy Wieliczki pomnikami przyrody ustanowiono następujące obiekty:</w:t>
      </w:r>
      <w:r w:rsidRPr="00C04992">
        <w:rPr>
          <w:rFonts w:ascii="Times New Roman" w:hAnsi="Times New Roman" w:cs="Times New Roman"/>
          <w:sz w:val="24"/>
        </w:rPr>
        <w:tab/>
      </w:r>
      <w:r w:rsidRPr="00C04992">
        <w:rPr>
          <w:rFonts w:ascii="Times New Roman" w:hAnsi="Times New Roman" w:cs="Times New Roman"/>
          <w:sz w:val="24"/>
        </w:rPr>
        <w:tab/>
        <w:t xml:space="preserve"> - Modrzew europejski (larix decidua) (obwód 246 cm, wysokość 39 m, lokalizacja: Nadleśnictwo Olecko, Leśnictwo Kłosowo Oddz. 110c, Dz.Urz.Woj.Warm.-Maz. z 9.11.2015 r. poz.4020)</w:t>
      </w:r>
    </w:p>
    <w:p w:rsidR="00422799" w:rsidRPr="00522925" w:rsidRDefault="00C04992" w:rsidP="00522925">
      <w:pPr>
        <w:spacing w:line="360" w:lineRule="auto"/>
        <w:jc w:val="both"/>
        <w:rPr>
          <w:rFonts w:ascii="Times New Roman" w:hAnsi="Times New Roman" w:cs="Times New Roman"/>
          <w:sz w:val="24"/>
        </w:rPr>
      </w:pPr>
      <w:r w:rsidRPr="00C04992">
        <w:rPr>
          <w:rFonts w:ascii="Times New Roman" w:hAnsi="Times New Roman" w:cs="Times New Roman"/>
          <w:sz w:val="24"/>
        </w:rPr>
        <w:t>- Modrzew europejski (larix decidua) (obwód 244 cm, wysokość 39 m, lokalizacja: Nadleśnictwo Olecko, Leśnictwo Kłosowo Oddz. 110h, Dz.Urz.Woj.Warm.-Maz. z 9.</w:t>
      </w:r>
      <w:r>
        <w:rPr>
          <w:rFonts w:ascii="Times New Roman" w:hAnsi="Times New Roman" w:cs="Times New Roman"/>
          <w:sz w:val="24"/>
        </w:rPr>
        <w:t>11.2015 r. poz.4020)</w:t>
      </w:r>
      <w:r>
        <w:rPr>
          <w:rFonts w:ascii="Times New Roman" w:hAnsi="Times New Roman" w:cs="Times New Roman"/>
          <w:sz w:val="24"/>
        </w:rPr>
        <w:tab/>
        <w:t xml:space="preserve">               </w:t>
      </w:r>
      <w:r w:rsidRPr="00C04992">
        <w:rPr>
          <w:rFonts w:ascii="Times New Roman" w:hAnsi="Times New Roman" w:cs="Times New Roman"/>
          <w:sz w:val="24"/>
        </w:rPr>
        <w:t xml:space="preserve"> - Dąb szypułkowy (quercus robur) (obwód 316 cm, wysokość 27 m, lokalizacja: Nadleśnictwo Olecko, Leśnictwo Kłosowo Oddz. 114c, Dz.Urz.Woj.Warm.-</w:t>
      </w:r>
      <w:r>
        <w:rPr>
          <w:rFonts w:ascii="Times New Roman" w:hAnsi="Times New Roman" w:cs="Times New Roman"/>
          <w:sz w:val="24"/>
        </w:rPr>
        <w:t xml:space="preserve"> Maz. z 9.11.2015 r. poz.4020)</w:t>
      </w:r>
      <w:r>
        <w:rPr>
          <w:rFonts w:ascii="Times New Roman" w:hAnsi="Times New Roman" w:cs="Times New Roman"/>
          <w:sz w:val="24"/>
        </w:rPr>
        <w:tab/>
        <w:t xml:space="preserve">               </w:t>
      </w:r>
      <w:r w:rsidRPr="00C04992">
        <w:rPr>
          <w:rFonts w:ascii="Times New Roman" w:hAnsi="Times New Roman" w:cs="Times New Roman"/>
          <w:sz w:val="24"/>
        </w:rPr>
        <w:t xml:space="preserve"> </w:t>
      </w:r>
      <w:r w:rsidRPr="00C04992">
        <w:rPr>
          <w:rFonts w:ascii="Times New Roman" w:hAnsi="Times New Roman" w:cs="Times New Roman"/>
          <w:sz w:val="24"/>
        </w:rPr>
        <w:lastRenderedPageBreak/>
        <w:t>- Modrzew europejski (larix decidua) – grupa 4 drzew (obwód 271, 246, 235, 249 cm, wysokość 39 m, lokalizacja: Nadleśnictwo Olecko, Leśnictwo Kłosowo Oddz. 109a, uroczysko Cimochy, oddział graniczy z gruntami wsi Wasilówka; grupa modrzewi rozproszona w drzewostanie świerkowym Dz.Urz.Woj.Warm.-Maz.</w:t>
      </w:r>
      <w:r>
        <w:rPr>
          <w:rFonts w:ascii="Times New Roman" w:hAnsi="Times New Roman" w:cs="Times New Roman"/>
          <w:sz w:val="24"/>
        </w:rPr>
        <w:t xml:space="preserve"> z 9.11.2015 r. poz.4020)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Pr="00C04992">
        <w:rPr>
          <w:rFonts w:ascii="Times New Roman" w:hAnsi="Times New Roman" w:cs="Times New Roman"/>
          <w:sz w:val="24"/>
        </w:rPr>
        <w:t>- Aleja: wierzba biała (salix alba) -16 szt., obwód 180-320 cm, wysokość 20-28 m, lokalizacja: Nadleśnictwo Olecko, Leśnictwo Kłosowo Oddz. 117n, uroczysko Markowskie, 600 m od szosy Olecko- Krupin, Dz.Urz.Woj.Warm.- Maz. z 9.11.2015 r. poz.4020)</w:t>
      </w:r>
    </w:p>
    <w:p w:rsidR="00EE7CF7" w:rsidRPr="00194C4A" w:rsidRDefault="00B56F71" w:rsidP="00B56F71">
      <w:pPr>
        <w:pStyle w:val="Nagwek3"/>
        <w:ind w:left="720" w:hanging="720"/>
        <w:rPr>
          <w:rFonts w:ascii="Times New Roman" w:hAnsi="Times New Roman" w:cs="Times New Roman"/>
        </w:rPr>
      </w:pPr>
      <w:bookmarkStart w:id="33" w:name="_Toc77321927"/>
      <w:bookmarkEnd w:id="32"/>
      <w:r w:rsidRPr="00194C4A">
        <w:rPr>
          <w:rFonts w:ascii="Times New Roman" w:hAnsi="Times New Roman" w:cs="Times New Roman"/>
        </w:rPr>
        <w:t xml:space="preserve">1.2.5 </w:t>
      </w:r>
      <w:r w:rsidR="00EE7CF7" w:rsidRPr="00194C4A">
        <w:rPr>
          <w:rFonts w:ascii="Times New Roman" w:hAnsi="Times New Roman" w:cs="Times New Roman"/>
        </w:rPr>
        <w:t>Demografia</w:t>
      </w:r>
      <w:bookmarkEnd w:id="33"/>
    </w:p>
    <w:p w:rsidR="00954AAD" w:rsidRDefault="00954AAD" w:rsidP="00954AAD">
      <w:pPr>
        <w:pStyle w:val="podpis"/>
        <w:keepNext/>
        <w:rPr>
          <w:rFonts w:cs="Times New Roman"/>
        </w:rPr>
      </w:pPr>
    </w:p>
    <w:p w:rsidR="00522925" w:rsidRDefault="00522925" w:rsidP="00954AAD">
      <w:pPr>
        <w:pStyle w:val="podpis"/>
        <w:keepNext/>
        <w:rPr>
          <w:rFonts w:cs="Times New Roman"/>
        </w:rPr>
      </w:pPr>
    </w:p>
    <w:p w:rsidR="00522925" w:rsidRPr="00E71367" w:rsidRDefault="00522925" w:rsidP="00522925">
      <w:pPr>
        <w:spacing w:line="360" w:lineRule="auto"/>
        <w:jc w:val="both"/>
        <w:rPr>
          <w:rFonts w:ascii="Times New Roman" w:hAnsi="Times New Roman" w:cs="Times New Roman"/>
          <w:sz w:val="24"/>
          <w:szCs w:val="24"/>
        </w:rPr>
      </w:pPr>
      <w:r>
        <w:rPr>
          <w:rFonts w:ascii="Times New Roman" w:hAnsi="Times New Roman" w:cs="Times New Roman"/>
        </w:rPr>
        <w:tab/>
      </w:r>
      <w:r w:rsidRPr="00E71367">
        <w:rPr>
          <w:rFonts w:ascii="Times New Roman" w:hAnsi="Times New Roman" w:cs="Times New Roman"/>
          <w:sz w:val="24"/>
          <w:szCs w:val="24"/>
        </w:rPr>
        <w:t>Na terenie Gminy Wieliczki w 2021r. było 3197 osób ( dane GUS , rok 2020-2021). Z roku na rok można zaobserwować proces spadku liczby mieszkańców. Struktura wiekowa na terenie Gminy Wieliczki przedstawia się następująco:</w:t>
      </w:r>
    </w:p>
    <w:p w:rsidR="00522925" w:rsidRPr="00E71367" w:rsidRDefault="00522925" w:rsidP="008A40A2">
      <w:pPr>
        <w:pStyle w:val="Akapitzlist"/>
        <w:numPr>
          <w:ilvl w:val="0"/>
          <w:numId w:val="30"/>
        </w:numPr>
        <w:spacing w:after="200" w:line="360" w:lineRule="auto"/>
        <w:jc w:val="both"/>
        <w:rPr>
          <w:rFonts w:ascii="Times New Roman" w:hAnsi="Times New Roman" w:cs="Times New Roman"/>
          <w:sz w:val="24"/>
          <w:szCs w:val="24"/>
        </w:rPr>
      </w:pPr>
      <w:r w:rsidRPr="00E71367">
        <w:rPr>
          <w:rFonts w:ascii="Times New Roman" w:hAnsi="Times New Roman" w:cs="Times New Roman"/>
          <w:b/>
          <w:sz w:val="24"/>
          <w:szCs w:val="24"/>
        </w:rPr>
        <w:t>0-14 lat:</w:t>
      </w:r>
      <w:r w:rsidRPr="00E71367">
        <w:rPr>
          <w:rFonts w:ascii="Times New Roman" w:hAnsi="Times New Roman" w:cs="Times New Roman"/>
          <w:sz w:val="24"/>
          <w:szCs w:val="24"/>
        </w:rPr>
        <w:t xml:space="preserve"> 16,1% mieszkańców</w:t>
      </w:r>
    </w:p>
    <w:p w:rsidR="00522925" w:rsidRPr="00E71367" w:rsidRDefault="00522925" w:rsidP="00522925">
      <w:pPr>
        <w:pStyle w:val="Akapitzlist"/>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kobiety: 16,3%;</w:t>
      </w:r>
    </w:p>
    <w:p w:rsidR="00522925" w:rsidRPr="00E71367" w:rsidRDefault="00522925" w:rsidP="00522925">
      <w:pPr>
        <w:pStyle w:val="Akapitzlist"/>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mężczyźni: 16,0%</w:t>
      </w:r>
    </w:p>
    <w:p w:rsidR="00522925" w:rsidRPr="00E71367" w:rsidRDefault="00522925" w:rsidP="008A40A2">
      <w:pPr>
        <w:pStyle w:val="Akapitzlist"/>
        <w:numPr>
          <w:ilvl w:val="0"/>
          <w:numId w:val="30"/>
        </w:numPr>
        <w:spacing w:after="200" w:line="360" w:lineRule="auto"/>
        <w:jc w:val="both"/>
        <w:rPr>
          <w:rFonts w:ascii="Times New Roman" w:hAnsi="Times New Roman" w:cs="Times New Roman"/>
          <w:sz w:val="24"/>
          <w:szCs w:val="24"/>
        </w:rPr>
      </w:pPr>
      <w:r w:rsidRPr="00E71367">
        <w:rPr>
          <w:rFonts w:ascii="Times New Roman" w:hAnsi="Times New Roman" w:cs="Times New Roman"/>
          <w:sz w:val="24"/>
          <w:szCs w:val="24"/>
        </w:rPr>
        <w:t xml:space="preserve"> </w:t>
      </w:r>
      <w:r w:rsidRPr="00E71367">
        <w:rPr>
          <w:rFonts w:ascii="Times New Roman" w:hAnsi="Times New Roman" w:cs="Times New Roman"/>
          <w:b/>
          <w:sz w:val="24"/>
          <w:szCs w:val="24"/>
        </w:rPr>
        <w:t xml:space="preserve">15-64 lata: </w:t>
      </w:r>
      <w:r w:rsidRPr="00E71367">
        <w:rPr>
          <w:rFonts w:ascii="Times New Roman" w:hAnsi="Times New Roman" w:cs="Times New Roman"/>
          <w:sz w:val="24"/>
          <w:szCs w:val="24"/>
        </w:rPr>
        <w:t>(wiek produkcyjny):</w:t>
      </w:r>
      <w:r w:rsidRPr="00E71367">
        <w:rPr>
          <w:rFonts w:ascii="Times New Roman" w:hAnsi="Times New Roman" w:cs="Times New Roman"/>
          <w:b/>
          <w:sz w:val="24"/>
          <w:szCs w:val="24"/>
        </w:rPr>
        <w:t xml:space="preserve"> </w:t>
      </w:r>
      <w:r w:rsidRPr="00E71367">
        <w:rPr>
          <w:rFonts w:ascii="Times New Roman" w:hAnsi="Times New Roman" w:cs="Times New Roman"/>
          <w:sz w:val="24"/>
          <w:szCs w:val="24"/>
        </w:rPr>
        <w:t xml:space="preserve"> 68,4% mieszkańców</w:t>
      </w:r>
    </w:p>
    <w:p w:rsidR="00522925" w:rsidRPr="00E71367" w:rsidRDefault="00522925" w:rsidP="00522925">
      <w:pPr>
        <w:pStyle w:val="Akapitzlist"/>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kobiety: 65,7 %;</w:t>
      </w:r>
    </w:p>
    <w:p w:rsidR="00522925" w:rsidRPr="00E71367" w:rsidRDefault="00522925" w:rsidP="00522925">
      <w:pPr>
        <w:pStyle w:val="Akapitzlist"/>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mężczyźni: 71,0 %</w:t>
      </w:r>
    </w:p>
    <w:p w:rsidR="00522925" w:rsidRPr="00E71367" w:rsidRDefault="00522925" w:rsidP="008A40A2">
      <w:pPr>
        <w:pStyle w:val="Akapitzlist"/>
        <w:numPr>
          <w:ilvl w:val="0"/>
          <w:numId w:val="30"/>
        </w:numPr>
        <w:spacing w:after="200" w:line="360" w:lineRule="auto"/>
        <w:jc w:val="both"/>
        <w:rPr>
          <w:rFonts w:ascii="Times New Roman" w:hAnsi="Times New Roman" w:cs="Times New Roman"/>
          <w:sz w:val="24"/>
          <w:szCs w:val="24"/>
        </w:rPr>
      </w:pPr>
      <w:r w:rsidRPr="00E71367">
        <w:rPr>
          <w:rFonts w:ascii="Times New Roman" w:hAnsi="Times New Roman" w:cs="Times New Roman"/>
          <w:b/>
          <w:sz w:val="24"/>
          <w:szCs w:val="24"/>
        </w:rPr>
        <w:t>65 lat i więcej:</w:t>
      </w:r>
      <w:r w:rsidRPr="00E71367">
        <w:rPr>
          <w:rFonts w:ascii="Times New Roman" w:hAnsi="Times New Roman" w:cs="Times New Roman"/>
          <w:sz w:val="24"/>
          <w:szCs w:val="24"/>
        </w:rPr>
        <w:t xml:space="preserve"> 15,4% mieszkańców</w:t>
      </w:r>
    </w:p>
    <w:p w:rsidR="00522925" w:rsidRPr="00E71367" w:rsidRDefault="00522925" w:rsidP="00522925">
      <w:pPr>
        <w:pStyle w:val="Akapitzlist"/>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kobiety: 18,1 %;</w:t>
      </w:r>
    </w:p>
    <w:p w:rsidR="00522925" w:rsidRPr="00E71367" w:rsidRDefault="00522925" w:rsidP="00522925">
      <w:pPr>
        <w:pStyle w:val="Akapitzlist"/>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mężczyźni: 13,0 %</w:t>
      </w:r>
    </w:p>
    <w:p w:rsidR="00522925" w:rsidRPr="00E71367" w:rsidRDefault="00522925" w:rsidP="00522925">
      <w:pPr>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 xml:space="preserve">1. </w:t>
      </w:r>
      <w:r w:rsidRPr="00E71367">
        <w:rPr>
          <w:rFonts w:ascii="Times New Roman" w:hAnsi="Times New Roman" w:cs="Times New Roman"/>
          <w:b/>
          <w:sz w:val="24"/>
          <w:szCs w:val="24"/>
        </w:rPr>
        <w:t>Młodzi (0-14 lat-16%)-</w:t>
      </w:r>
      <w:r w:rsidRPr="00E71367">
        <w:rPr>
          <w:rFonts w:ascii="Times New Roman" w:hAnsi="Times New Roman" w:cs="Times New Roman"/>
          <w:sz w:val="24"/>
          <w:szCs w:val="24"/>
        </w:rPr>
        <w:t xml:space="preserve"> typowy poziom dla obszarów wiejskich: wystarczająco dzieci, by wspierać edukację, ale niżej niż w większych miastach.</w:t>
      </w:r>
    </w:p>
    <w:p w:rsidR="00522925" w:rsidRPr="00E71367" w:rsidRDefault="00522925" w:rsidP="00522925">
      <w:pPr>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2. Osoby w wieku produkcyjnym (-68%)- solidna podstawa aktywności zawodowej, szczególnie przewaga mężczyzn nad kobietami.</w:t>
      </w:r>
    </w:p>
    <w:p w:rsidR="00522925" w:rsidRPr="00E71367" w:rsidRDefault="00522925" w:rsidP="00522925">
      <w:pPr>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3. Seniorzy (65+)- 15% - niższy udział niż w niektórych starzejących się regionach, ale wciąż zauważalny.</w:t>
      </w:r>
    </w:p>
    <w:p w:rsidR="00522925" w:rsidRPr="00E71367" w:rsidRDefault="00522925" w:rsidP="00522925">
      <w:pPr>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t>Piramida wieku jest umiarkowanie zrównoważona, choć daje symptomy starzenia, widoczne przy wzroście odsetka seniorów. Relatywnie niski udział najmłodszych może sygnalizować przyszłe wyzwania przy utrzymaniu mieszkańców i zasobów.</w:t>
      </w:r>
    </w:p>
    <w:p w:rsidR="00E71367" w:rsidRPr="00E71367" w:rsidRDefault="00522925" w:rsidP="00522925">
      <w:pPr>
        <w:spacing w:line="360" w:lineRule="auto"/>
        <w:jc w:val="both"/>
        <w:rPr>
          <w:rFonts w:ascii="Times New Roman" w:hAnsi="Times New Roman" w:cs="Times New Roman"/>
          <w:sz w:val="24"/>
          <w:szCs w:val="24"/>
        </w:rPr>
      </w:pPr>
      <w:r w:rsidRPr="00E71367">
        <w:rPr>
          <w:rFonts w:ascii="Times New Roman" w:hAnsi="Times New Roman" w:cs="Times New Roman"/>
          <w:sz w:val="24"/>
          <w:szCs w:val="24"/>
        </w:rPr>
        <w:lastRenderedPageBreak/>
        <w:t>Na podstawie typowej struktury wiejskich gmin w Polsce można oszacować rozkład mieszkańców w 5-letnich przedziałach. To przybliżenie, ale daje lepszy pogląd demograficzny.</w:t>
      </w:r>
    </w:p>
    <w:tbl>
      <w:tblPr>
        <w:tblStyle w:val="Tabela-Siatka"/>
        <w:tblW w:w="0" w:type="auto"/>
        <w:tblLook w:val="04A0"/>
      </w:tblPr>
      <w:tblGrid>
        <w:gridCol w:w="4606"/>
        <w:gridCol w:w="4606"/>
      </w:tblGrid>
      <w:tr w:rsidR="00522925" w:rsidTr="00F605CA">
        <w:tc>
          <w:tcPr>
            <w:tcW w:w="4606" w:type="dxa"/>
          </w:tcPr>
          <w:p w:rsidR="00522925" w:rsidRPr="000177AF" w:rsidRDefault="00522925" w:rsidP="00F605CA">
            <w:pPr>
              <w:spacing w:line="360" w:lineRule="auto"/>
              <w:jc w:val="center"/>
              <w:rPr>
                <w:rFonts w:ascii="Times New Roman" w:hAnsi="Times New Roman" w:cs="Times New Roman"/>
                <w:b/>
              </w:rPr>
            </w:pPr>
            <w:r w:rsidRPr="000177AF">
              <w:rPr>
                <w:rFonts w:ascii="Times New Roman" w:hAnsi="Times New Roman" w:cs="Times New Roman"/>
                <w:b/>
              </w:rPr>
              <w:t>Grupa wiekowa</w:t>
            </w:r>
          </w:p>
        </w:tc>
        <w:tc>
          <w:tcPr>
            <w:tcW w:w="4606" w:type="dxa"/>
          </w:tcPr>
          <w:p w:rsidR="00522925" w:rsidRPr="000177AF" w:rsidRDefault="00522925" w:rsidP="00F605CA">
            <w:pPr>
              <w:spacing w:line="360" w:lineRule="auto"/>
              <w:jc w:val="center"/>
              <w:rPr>
                <w:rFonts w:ascii="Times New Roman" w:hAnsi="Times New Roman" w:cs="Times New Roman"/>
                <w:b/>
              </w:rPr>
            </w:pPr>
            <w:r w:rsidRPr="000177AF">
              <w:rPr>
                <w:rFonts w:ascii="Times New Roman" w:hAnsi="Times New Roman" w:cs="Times New Roman"/>
                <w:b/>
              </w:rPr>
              <w:t>% populacji</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0-4</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4%</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5-9</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5%</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10-14</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7%</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15-19</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7%</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20-24</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8%</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25-29</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8%</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30-34</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9%</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35-39</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10%</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40-44</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10%</w:t>
            </w:r>
          </w:p>
        </w:tc>
      </w:tr>
      <w:tr w:rsidR="00522925" w:rsidTr="00F605CA">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45-49</w:t>
            </w:r>
          </w:p>
        </w:tc>
        <w:tc>
          <w:tcPr>
            <w:tcW w:w="4606" w:type="dxa"/>
          </w:tcPr>
          <w:p w:rsidR="00522925" w:rsidRDefault="00522925" w:rsidP="00F605CA">
            <w:pPr>
              <w:spacing w:line="360" w:lineRule="auto"/>
              <w:jc w:val="both"/>
              <w:rPr>
                <w:rFonts w:ascii="Times New Roman" w:hAnsi="Times New Roman" w:cs="Times New Roman"/>
              </w:rPr>
            </w:pPr>
            <w:r>
              <w:rPr>
                <w:rFonts w:ascii="Times New Roman" w:hAnsi="Times New Roman" w:cs="Times New Roman"/>
              </w:rPr>
              <w:t>10%</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50-54</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9%</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55-59</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8%</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60-64</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7%</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65-69</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6%</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70-74</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4%</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75-79</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3%</w:t>
            </w:r>
          </w:p>
        </w:tc>
      </w:tr>
      <w:tr w:rsidR="00CD5196" w:rsidTr="00F605CA">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80+</w:t>
            </w:r>
          </w:p>
        </w:tc>
        <w:tc>
          <w:tcPr>
            <w:tcW w:w="4606" w:type="dxa"/>
          </w:tcPr>
          <w:p w:rsidR="00CD5196" w:rsidRDefault="00CD5196" w:rsidP="00F605CA">
            <w:pPr>
              <w:spacing w:line="360" w:lineRule="auto"/>
              <w:jc w:val="both"/>
              <w:rPr>
                <w:rFonts w:ascii="Times New Roman" w:hAnsi="Times New Roman" w:cs="Times New Roman"/>
              </w:rPr>
            </w:pPr>
            <w:r>
              <w:rPr>
                <w:rFonts w:ascii="Times New Roman" w:hAnsi="Times New Roman" w:cs="Times New Roman"/>
              </w:rPr>
              <w:t>3%</w:t>
            </w:r>
          </w:p>
        </w:tc>
      </w:tr>
    </w:tbl>
    <w:p w:rsidR="00CD5196" w:rsidRDefault="00CD5196" w:rsidP="00CD5196">
      <w:pPr>
        <w:spacing w:line="360" w:lineRule="auto"/>
        <w:jc w:val="both"/>
        <w:rPr>
          <w:rFonts w:ascii="Times New Roman" w:hAnsi="Times New Roman" w:cs="Times New Roman"/>
        </w:rPr>
      </w:pPr>
      <w:r>
        <w:rPr>
          <w:rFonts w:ascii="Times New Roman" w:hAnsi="Times New Roman" w:cs="Times New Roman"/>
        </w:rPr>
        <w:t>Źródło: opracowanie własne</w:t>
      </w:r>
    </w:p>
    <w:p w:rsidR="00CD5196" w:rsidRDefault="00CD5196" w:rsidP="00CD5196">
      <w:pPr>
        <w:spacing w:line="360" w:lineRule="auto"/>
        <w:jc w:val="both"/>
        <w:rPr>
          <w:rFonts w:ascii="Times New Roman" w:hAnsi="Times New Roman" w:cs="Times New Roman"/>
        </w:rPr>
      </w:pPr>
      <w:r>
        <w:rPr>
          <w:rFonts w:ascii="Times New Roman" w:hAnsi="Times New Roman" w:cs="Times New Roman"/>
        </w:rPr>
        <w:t>Liczba ludności ogółem w gminach powiatu oleckiego i województwa warmińsko-mazurskiego w latach 2015-2020</w:t>
      </w:r>
    </w:p>
    <w:p w:rsidR="00522925" w:rsidRDefault="00CD5196" w:rsidP="00954AAD">
      <w:pPr>
        <w:pStyle w:val="podpis"/>
        <w:keepNext/>
        <w:rPr>
          <w:rFonts w:cs="Times New Roman"/>
        </w:rPr>
      </w:pPr>
      <w:r w:rsidRPr="00CD5196">
        <w:rPr>
          <w:rFonts w:cs="Times New Roman"/>
          <w:noProof/>
        </w:rPr>
        <w:lastRenderedPageBreak/>
        <w:drawing>
          <wp:inline distT="0" distB="0" distL="0" distR="0">
            <wp:extent cx="5760720" cy="2840417"/>
            <wp:effectExtent l="19050" t="0" r="0" b="0"/>
            <wp:docPr id="2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760720" cy="2840417"/>
                    </a:xfrm>
                    <a:prstGeom prst="rect">
                      <a:avLst/>
                    </a:prstGeom>
                    <a:noFill/>
                    <a:ln w="9525">
                      <a:noFill/>
                      <a:miter lim="800000"/>
                      <a:headEnd/>
                      <a:tailEnd/>
                    </a:ln>
                  </pic:spPr>
                </pic:pic>
              </a:graphicData>
            </a:graphic>
          </wp:inline>
        </w:drawing>
      </w:r>
    </w:p>
    <w:p w:rsidR="00CD5196" w:rsidRDefault="00CD5196" w:rsidP="00954AAD">
      <w:pPr>
        <w:pStyle w:val="podpis"/>
        <w:keepNext/>
        <w:rPr>
          <w:rFonts w:cs="Times New Roman"/>
        </w:rPr>
      </w:pPr>
    </w:p>
    <w:p w:rsidR="00522925" w:rsidRDefault="00CD5196" w:rsidP="00954AAD">
      <w:pPr>
        <w:pStyle w:val="podpis"/>
        <w:keepNext/>
        <w:rPr>
          <w:rFonts w:cs="Times New Roman"/>
        </w:rPr>
      </w:pPr>
      <w:r w:rsidRPr="00CD5196">
        <w:rPr>
          <w:rFonts w:cs="Times New Roman"/>
          <w:noProof/>
        </w:rPr>
        <w:drawing>
          <wp:inline distT="0" distB="0" distL="0" distR="0">
            <wp:extent cx="5760720" cy="2588280"/>
            <wp:effectExtent l="19050" t="0" r="0" b="0"/>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5760720" cy="2588280"/>
                    </a:xfrm>
                    <a:prstGeom prst="rect">
                      <a:avLst/>
                    </a:prstGeom>
                    <a:noFill/>
                    <a:ln w="9525">
                      <a:noFill/>
                      <a:miter lim="800000"/>
                      <a:headEnd/>
                      <a:tailEnd/>
                    </a:ln>
                  </pic:spPr>
                </pic:pic>
              </a:graphicData>
            </a:graphic>
          </wp:inline>
        </w:drawing>
      </w:r>
    </w:p>
    <w:p w:rsidR="00CD5196" w:rsidRDefault="00CD5196" w:rsidP="00954AAD">
      <w:pPr>
        <w:pStyle w:val="podpis"/>
        <w:keepNext/>
        <w:rPr>
          <w:rFonts w:cs="Times New Roman"/>
        </w:rPr>
      </w:pPr>
    </w:p>
    <w:p w:rsidR="00522925" w:rsidRPr="00194C4A" w:rsidRDefault="00CD5196" w:rsidP="00954AAD">
      <w:pPr>
        <w:pStyle w:val="podpis"/>
        <w:keepNext/>
        <w:rPr>
          <w:rFonts w:cs="Times New Roman"/>
        </w:rPr>
      </w:pPr>
      <w:r w:rsidRPr="00CD5196">
        <w:rPr>
          <w:rFonts w:cs="Times New Roman"/>
          <w:noProof/>
        </w:rPr>
        <w:lastRenderedPageBreak/>
        <w:drawing>
          <wp:inline distT="0" distB="0" distL="0" distR="0">
            <wp:extent cx="5760720" cy="3579039"/>
            <wp:effectExtent l="19050" t="0" r="0" b="0"/>
            <wp:docPr id="29"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760720" cy="3579039"/>
                    </a:xfrm>
                    <a:prstGeom prst="rect">
                      <a:avLst/>
                    </a:prstGeom>
                    <a:noFill/>
                    <a:ln w="9525">
                      <a:noFill/>
                      <a:miter lim="800000"/>
                      <a:headEnd/>
                      <a:tailEnd/>
                    </a:ln>
                  </pic:spPr>
                </pic:pic>
              </a:graphicData>
            </a:graphic>
          </wp:inline>
        </w:drawing>
      </w:r>
    </w:p>
    <w:p w:rsidR="004C5A2D" w:rsidRDefault="004C5A2D" w:rsidP="00B56F71">
      <w:pPr>
        <w:pStyle w:val="Nagwek3"/>
        <w:ind w:left="720" w:hanging="720"/>
        <w:rPr>
          <w:rFonts w:ascii="Times New Roman" w:hAnsi="Times New Roman" w:cs="Times New Roman"/>
        </w:rPr>
      </w:pPr>
      <w:bookmarkStart w:id="34" w:name="_Toc77321928"/>
    </w:p>
    <w:p w:rsidR="006E461A" w:rsidRPr="00194C4A" w:rsidRDefault="00B56F71" w:rsidP="00B56F71">
      <w:pPr>
        <w:pStyle w:val="Nagwek3"/>
        <w:ind w:left="720" w:hanging="720"/>
        <w:rPr>
          <w:rFonts w:ascii="Times New Roman" w:hAnsi="Times New Roman" w:cs="Times New Roman"/>
        </w:rPr>
      </w:pPr>
      <w:r w:rsidRPr="00194C4A">
        <w:rPr>
          <w:rFonts w:ascii="Times New Roman" w:hAnsi="Times New Roman" w:cs="Times New Roman"/>
        </w:rPr>
        <w:t xml:space="preserve">1.2.6 </w:t>
      </w:r>
      <w:r w:rsidR="001251DF" w:rsidRPr="00194C4A">
        <w:rPr>
          <w:rFonts w:ascii="Times New Roman" w:hAnsi="Times New Roman" w:cs="Times New Roman"/>
        </w:rPr>
        <w:t>Struktura budowlana</w:t>
      </w:r>
      <w:bookmarkEnd w:id="34"/>
    </w:p>
    <w:p w:rsidR="009F6CCF" w:rsidRPr="00194C4A" w:rsidRDefault="009F6CCF" w:rsidP="009F6CCF">
      <w:pPr>
        <w:pStyle w:val="tekst"/>
        <w:rPr>
          <w:rFonts w:cs="Times New Roman"/>
        </w:rPr>
      </w:pPr>
      <w:r w:rsidRPr="00194C4A">
        <w:rPr>
          <w:rFonts w:cs="Times New Roman"/>
        </w:rPr>
        <w:t xml:space="preserve">Struktura budowlana na terenie gminy </w:t>
      </w:r>
      <w:r w:rsidR="004C5A2D">
        <w:rPr>
          <w:rFonts w:cs="Times New Roman"/>
        </w:rPr>
        <w:t>Wieliczki</w:t>
      </w:r>
      <w:r w:rsidRPr="00194C4A">
        <w:rPr>
          <w:rFonts w:cs="Times New Roman"/>
        </w:rPr>
        <w:t xml:space="preserve"> składa się z</w:t>
      </w:r>
      <w:r w:rsidR="006A711F">
        <w:rPr>
          <w:rFonts w:cs="Times New Roman"/>
        </w:rPr>
        <w:t xml:space="preserve"> (zob. tabela poniżej)</w:t>
      </w:r>
      <w:r w:rsidRPr="00194C4A">
        <w:rPr>
          <w:rFonts w:cs="Times New Roman"/>
        </w:rPr>
        <w:t>:</w:t>
      </w:r>
    </w:p>
    <w:p w:rsidR="009F6CCF" w:rsidRPr="00194C4A" w:rsidRDefault="009F6CCF" w:rsidP="008A40A2">
      <w:pPr>
        <w:pStyle w:val="tekst"/>
        <w:numPr>
          <w:ilvl w:val="0"/>
          <w:numId w:val="9"/>
        </w:numPr>
        <w:rPr>
          <w:rFonts w:cs="Times New Roman"/>
        </w:rPr>
      </w:pPr>
      <w:r w:rsidRPr="00194C4A">
        <w:rPr>
          <w:rFonts w:cs="Times New Roman"/>
        </w:rPr>
        <w:t>budyn</w:t>
      </w:r>
      <w:r w:rsidR="005F4F0E" w:rsidRPr="00194C4A">
        <w:rPr>
          <w:rFonts w:cs="Times New Roman"/>
        </w:rPr>
        <w:t>ków</w:t>
      </w:r>
      <w:r w:rsidRPr="00194C4A">
        <w:rPr>
          <w:rFonts w:cs="Times New Roman"/>
        </w:rPr>
        <w:t xml:space="preserve"> mieszkaln</w:t>
      </w:r>
      <w:r w:rsidR="005F4F0E" w:rsidRPr="00194C4A">
        <w:rPr>
          <w:rFonts w:cs="Times New Roman"/>
        </w:rPr>
        <w:t>ych</w:t>
      </w:r>
      <w:r w:rsidRPr="00194C4A">
        <w:rPr>
          <w:rFonts w:cs="Times New Roman"/>
        </w:rPr>
        <w:t xml:space="preserve"> jednorodzinn</w:t>
      </w:r>
      <w:r w:rsidR="005F4F0E" w:rsidRPr="00194C4A">
        <w:rPr>
          <w:rFonts w:cs="Times New Roman"/>
        </w:rPr>
        <w:t>ych</w:t>
      </w:r>
      <w:r w:rsidRPr="00194C4A">
        <w:rPr>
          <w:rFonts w:cs="Times New Roman"/>
        </w:rPr>
        <w:t>,</w:t>
      </w:r>
    </w:p>
    <w:p w:rsidR="009F6CCF" w:rsidRPr="00194C4A" w:rsidRDefault="009F6CCF" w:rsidP="008A40A2">
      <w:pPr>
        <w:pStyle w:val="tekst"/>
        <w:numPr>
          <w:ilvl w:val="0"/>
          <w:numId w:val="9"/>
        </w:numPr>
        <w:rPr>
          <w:rFonts w:cs="Times New Roman"/>
        </w:rPr>
      </w:pPr>
      <w:r w:rsidRPr="00194C4A">
        <w:rPr>
          <w:rFonts w:cs="Times New Roman"/>
        </w:rPr>
        <w:t>budynk</w:t>
      </w:r>
      <w:r w:rsidR="005F4F0E" w:rsidRPr="00194C4A">
        <w:rPr>
          <w:rFonts w:cs="Times New Roman"/>
        </w:rPr>
        <w:t>ów</w:t>
      </w:r>
      <w:r w:rsidRPr="00194C4A">
        <w:rPr>
          <w:rFonts w:cs="Times New Roman"/>
        </w:rPr>
        <w:t xml:space="preserve"> mieszkaln</w:t>
      </w:r>
      <w:r w:rsidR="005F4F0E" w:rsidRPr="00194C4A">
        <w:rPr>
          <w:rFonts w:cs="Times New Roman"/>
        </w:rPr>
        <w:t>ych</w:t>
      </w:r>
      <w:r w:rsidRPr="00194C4A">
        <w:rPr>
          <w:rFonts w:cs="Times New Roman"/>
        </w:rPr>
        <w:t xml:space="preserve"> wielorodzinn</w:t>
      </w:r>
      <w:r w:rsidR="005F4F0E" w:rsidRPr="00194C4A">
        <w:rPr>
          <w:rFonts w:cs="Times New Roman"/>
        </w:rPr>
        <w:t>ych</w:t>
      </w:r>
      <w:r w:rsidRPr="00194C4A">
        <w:rPr>
          <w:rFonts w:cs="Times New Roman"/>
        </w:rPr>
        <w:t>,</w:t>
      </w:r>
    </w:p>
    <w:p w:rsidR="009F6CCF" w:rsidRPr="00194C4A" w:rsidRDefault="009F6CCF" w:rsidP="008A40A2">
      <w:pPr>
        <w:pStyle w:val="tekst"/>
        <w:numPr>
          <w:ilvl w:val="0"/>
          <w:numId w:val="9"/>
        </w:numPr>
        <w:rPr>
          <w:rFonts w:cs="Times New Roman"/>
        </w:rPr>
      </w:pPr>
      <w:r w:rsidRPr="00194C4A">
        <w:rPr>
          <w:rFonts w:cs="Times New Roman"/>
        </w:rPr>
        <w:t>budynk</w:t>
      </w:r>
      <w:r w:rsidR="005F4F0E" w:rsidRPr="00194C4A">
        <w:rPr>
          <w:rFonts w:cs="Times New Roman"/>
        </w:rPr>
        <w:t>ów</w:t>
      </w:r>
      <w:r w:rsidRPr="00194C4A">
        <w:rPr>
          <w:rFonts w:cs="Times New Roman"/>
        </w:rPr>
        <w:t>, w których prowadzona jest działalność gospodarcza,</w:t>
      </w:r>
    </w:p>
    <w:p w:rsidR="009F6CCF" w:rsidRPr="00194C4A" w:rsidRDefault="009F6CCF" w:rsidP="008A40A2">
      <w:pPr>
        <w:pStyle w:val="tekst"/>
        <w:numPr>
          <w:ilvl w:val="0"/>
          <w:numId w:val="9"/>
        </w:numPr>
        <w:rPr>
          <w:rFonts w:cs="Times New Roman"/>
        </w:rPr>
      </w:pPr>
      <w:r w:rsidRPr="00194C4A">
        <w:rPr>
          <w:rFonts w:cs="Times New Roman"/>
        </w:rPr>
        <w:t>inn</w:t>
      </w:r>
      <w:r w:rsidR="005F4F0E" w:rsidRPr="00194C4A">
        <w:rPr>
          <w:rFonts w:cs="Times New Roman"/>
        </w:rPr>
        <w:t>ych</w:t>
      </w:r>
      <w:r w:rsidRPr="00194C4A">
        <w:rPr>
          <w:rFonts w:cs="Times New Roman"/>
        </w:rPr>
        <w:t xml:space="preserve"> budynk</w:t>
      </w:r>
      <w:r w:rsidR="005F4F0E" w:rsidRPr="00194C4A">
        <w:rPr>
          <w:rFonts w:cs="Times New Roman"/>
        </w:rPr>
        <w:t>ów</w:t>
      </w:r>
      <w:r w:rsidRPr="00194C4A">
        <w:rPr>
          <w:rFonts w:cs="Times New Roman"/>
        </w:rPr>
        <w:t>, w tym budynk</w:t>
      </w:r>
      <w:r w:rsidR="005F4F0E" w:rsidRPr="00194C4A">
        <w:rPr>
          <w:rFonts w:cs="Times New Roman"/>
        </w:rPr>
        <w:t>ów</w:t>
      </w:r>
      <w:r w:rsidRPr="00194C4A">
        <w:rPr>
          <w:rFonts w:cs="Times New Roman"/>
        </w:rPr>
        <w:t xml:space="preserve"> gospodarcz</w:t>
      </w:r>
      <w:r w:rsidR="005F4F0E" w:rsidRPr="00194C4A">
        <w:rPr>
          <w:rFonts w:cs="Times New Roman"/>
        </w:rPr>
        <w:t>ych</w:t>
      </w:r>
      <w:r w:rsidRPr="00194C4A">
        <w:rPr>
          <w:rFonts w:cs="Times New Roman"/>
        </w:rPr>
        <w:t>,</w:t>
      </w:r>
    </w:p>
    <w:p w:rsidR="00BD7704" w:rsidRPr="00194C4A" w:rsidRDefault="00BD7704" w:rsidP="008A40A2">
      <w:pPr>
        <w:pStyle w:val="tekst"/>
        <w:numPr>
          <w:ilvl w:val="0"/>
          <w:numId w:val="9"/>
        </w:numPr>
        <w:rPr>
          <w:rFonts w:cs="Times New Roman"/>
        </w:rPr>
      </w:pPr>
      <w:r w:rsidRPr="00194C4A">
        <w:rPr>
          <w:rFonts w:cs="Times New Roman"/>
        </w:rPr>
        <w:t>zabudowań rolniczych</w:t>
      </w:r>
      <w:r w:rsidR="006A711F">
        <w:rPr>
          <w:rFonts w:cs="Times New Roman"/>
        </w:rPr>
        <w:t>,</w:t>
      </w:r>
    </w:p>
    <w:p w:rsidR="009F6CCF" w:rsidRPr="00194C4A" w:rsidRDefault="0045734E" w:rsidP="008A40A2">
      <w:pPr>
        <w:pStyle w:val="tekst"/>
        <w:numPr>
          <w:ilvl w:val="0"/>
          <w:numId w:val="9"/>
        </w:numPr>
        <w:rPr>
          <w:rFonts w:cs="Times New Roman"/>
        </w:rPr>
      </w:pPr>
      <w:r w:rsidRPr="00194C4A">
        <w:rPr>
          <w:rFonts w:cs="Times New Roman"/>
        </w:rPr>
        <w:t>budowl</w:t>
      </w:r>
      <w:r w:rsidR="005F4F0E" w:rsidRPr="00194C4A">
        <w:rPr>
          <w:rFonts w:cs="Times New Roman"/>
        </w:rPr>
        <w:t>i</w:t>
      </w:r>
      <w:r w:rsidRPr="00194C4A">
        <w:rPr>
          <w:rFonts w:cs="Times New Roman"/>
        </w:rPr>
        <w:t>.</w:t>
      </w:r>
    </w:p>
    <w:p w:rsidR="00712131" w:rsidRDefault="0045734E" w:rsidP="00B656D3">
      <w:pPr>
        <w:pStyle w:val="tekst"/>
        <w:rPr>
          <w:rFonts w:cs="Times New Roman"/>
        </w:rPr>
      </w:pPr>
      <w:r w:rsidRPr="00194C4A">
        <w:rPr>
          <w:rFonts w:cs="Times New Roman"/>
        </w:rPr>
        <w:t xml:space="preserve">Całkowita powierzchnia mieszkalna na terenie gminy </w:t>
      </w:r>
      <w:r w:rsidR="00327190">
        <w:rPr>
          <w:rFonts w:cs="Times New Roman"/>
        </w:rPr>
        <w:t>Brodnica</w:t>
      </w:r>
      <w:r w:rsidR="00775933" w:rsidRPr="00194C4A">
        <w:rPr>
          <w:rFonts w:cs="Times New Roman"/>
        </w:rPr>
        <w:t xml:space="preserve"> według </w:t>
      </w:r>
      <w:r w:rsidR="00AE146C">
        <w:rPr>
          <w:rFonts w:cs="Times New Roman"/>
        </w:rPr>
        <w:t>danych podatkowych</w:t>
      </w:r>
      <w:r w:rsidR="00775933" w:rsidRPr="00194C4A">
        <w:rPr>
          <w:rFonts w:cs="Times New Roman"/>
        </w:rPr>
        <w:t xml:space="preserve"> wynosi </w:t>
      </w:r>
      <w:r w:rsidR="00E4158F" w:rsidRPr="00194C4A">
        <w:rPr>
          <w:rFonts w:cs="Times New Roman"/>
        </w:rPr>
        <w:t>207514</w:t>
      </w:r>
      <w:r w:rsidR="00775933" w:rsidRPr="00194C4A">
        <w:rPr>
          <w:rFonts w:cs="Times New Roman"/>
        </w:rPr>
        <w:t xml:space="preserve"> m</w:t>
      </w:r>
      <w:r w:rsidR="00775933" w:rsidRPr="00194C4A">
        <w:rPr>
          <w:rFonts w:cs="Times New Roman"/>
          <w:vertAlign w:val="superscript"/>
        </w:rPr>
        <w:t>2</w:t>
      </w:r>
      <w:r w:rsidR="006A711F">
        <w:rPr>
          <w:rFonts w:cs="Times New Roman"/>
        </w:rPr>
        <w:t>(zob. tabel poniżej)</w:t>
      </w:r>
      <w:r w:rsidR="00775933" w:rsidRPr="00194C4A">
        <w:rPr>
          <w:rFonts w:cs="Times New Roman"/>
        </w:rPr>
        <w:t>.</w:t>
      </w:r>
    </w:p>
    <w:p w:rsidR="00422799" w:rsidRDefault="00712131" w:rsidP="00712131">
      <w:pPr>
        <w:pStyle w:val="tekst"/>
        <w:jc w:val="left"/>
        <w:rPr>
          <w:rFonts w:cs="Times New Roman"/>
        </w:rPr>
      </w:pPr>
      <w:r>
        <w:rPr>
          <w:rFonts w:cs="Times New Roman"/>
          <w:noProof/>
        </w:rPr>
        <w:drawing>
          <wp:inline distT="0" distB="0" distL="0" distR="0">
            <wp:extent cx="5789738" cy="2343150"/>
            <wp:effectExtent l="19050" t="0" r="1462" b="0"/>
            <wp:docPr id="3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5791643" cy="2343921"/>
                    </a:xfrm>
                    <a:prstGeom prst="rect">
                      <a:avLst/>
                    </a:prstGeom>
                    <a:noFill/>
                  </pic:spPr>
                </pic:pic>
              </a:graphicData>
            </a:graphic>
          </wp:inline>
        </w:drawing>
      </w:r>
      <w:r w:rsidR="00422799">
        <w:rPr>
          <w:rFonts w:cs="Times New Roman"/>
        </w:rPr>
        <w:br w:type="page"/>
      </w:r>
    </w:p>
    <w:p w:rsidR="00456717" w:rsidRDefault="00712131" w:rsidP="00F02ED0">
      <w:pPr>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extent cx="6120765" cy="3345480"/>
            <wp:effectExtent l="19050" t="0" r="0" b="0"/>
            <wp:docPr id="3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6120765" cy="3345480"/>
                    </a:xfrm>
                    <a:prstGeom prst="rect">
                      <a:avLst/>
                    </a:prstGeom>
                    <a:noFill/>
                    <a:ln w="9525">
                      <a:noFill/>
                      <a:miter lim="800000"/>
                      <a:headEnd/>
                      <a:tailEnd/>
                    </a:ln>
                  </pic:spPr>
                </pic:pic>
              </a:graphicData>
            </a:graphic>
          </wp:inline>
        </w:drawing>
      </w:r>
    </w:p>
    <w:p w:rsidR="00712131" w:rsidRDefault="00712131" w:rsidP="00F02ED0">
      <w:pPr>
        <w:spacing w:after="0" w:line="240" w:lineRule="auto"/>
        <w:rPr>
          <w:rFonts w:ascii="Times New Roman" w:hAnsi="Times New Roman" w:cs="Times New Roman"/>
          <w:b/>
          <w:bCs/>
          <w:sz w:val="20"/>
          <w:szCs w:val="20"/>
        </w:rPr>
      </w:pPr>
    </w:p>
    <w:p w:rsidR="00712131" w:rsidRDefault="00712131" w:rsidP="00F02ED0">
      <w:pPr>
        <w:spacing w:after="0" w:line="240" w:lineRule="auto"/>
        <w:rPr>
          <w:rFonts w:ascii="Times New Roman" w:hAnsi="Times New Roman" w:cs="Times New Roman"/>
          <w:b/>
          <w:bCs/>
          <w:sz w:val="20"/>
          <w:szCs w:val="20"/>
        </w:rPr>
      </w:pPr>
    </w:p>
    <w:p w:rsidR="00712131" w:rsidRDefault="000D7E7B" w:rsidP="00F02ED0">
      <w:pPr>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extent cx="6120765" cy="3937659"/>
            <wp:effectExtent l="19050" t="0" r="0" b="0"/>
            <wp:docPr id="3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6120765" cy="3937659"/>
                    </a:xfrm>
                    <a:prstGeom prst="rect">
                      <a:avLst/>
                    </a:prstGeom>
                    <a:noFill/>
                    <a:ln w="9525">
                      <a:noFill/>
                      <a:miter lim="800000"/>
                      <a:headEnd/>
                      <a:tailEnd/>
                    </a:ln>
                  </pic:spPr>
                </pic:pic>
              </a:graphicData>
            </a:graphic>
          </wp:inline>
        </w:drawing>
      </w:r>
    </w:p>
    <w:p w:rsidR="00712131" w:rsidRDefault="00712131" w:rsidP="00F02ED0">
      <w:pPr>
        <w:spacing w:after="0" w:line="240" w:lineRule="auto"/>
        <w:rPr>
          <w:rFonts w:ascii="Times New Roman" w:hAnsi="Times New Roman" w:cs="Times New Roman"/>
          <w:b/>
          <w:bCs/>
          <w:sz w:val="20"/>
          <w:szCs w:val="20"/>
        </w:rPr>
      </w:pPr>
    </w:p>
    <w:p w:rsidR="00712131" w:rsidRDefault="00712131" w:rsidP="00F02ED0">
      <w:pPr>
        <w:spacing w:after="0" w:line="240" w:lineRule="auto"/>
        <w:rPr>
          <w:rFonts w:ascii="Times New Roman" w:hAnsi="Times New Roman" w:cs="Times New Roman"/>
          <w:b/>
          <w:bCs/>
          <w:sz w:val="20"/>
          <w:szCs w:val="20"/>
        </w:rPr>
      </w:pPr>
    </w:p>
    <w:p w:rsidR="000D7E7B" w:rsidRDefault="000D7E7B" w:rsidP="00F02ED0">
      <w:pPr>
        <w:spacing w:after="0" w:line="240" w:lineRule="auto"/>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extent cx="6120765" cy="3042809"/>
            <wp:effectExtent l="19050" t="0" r="0" b="0"/>
            <wp:docPr id="3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6120765" cy="3042809"/>
                    </a:xfrm>
                    <a:prstGeom prst="rect">
                      <a:avLst/>
                    </a:prstGeom>
                    <a:noFill/>
                    <a:ln w="9525">
                      <a:noFill/>
                      <a:miter lim="800000"/>
                      <a:headEnd/>
                      <a:tailEnd/>
                    </a:ln>
                  </pic:spPr>
                </pic:pic>
              </a:graphicData>
            </a:graphic>
          </wp:inline>
        </w:drawing>
      </w:r>
    </w:p>
    <w:p w:rsidR="000D7E7B" w:rsidRDefault="000D7E7B" w:rsidP="00F02ED0">
      <w:pPr>
        <w:spacing w:after="0" w:line="240" w:lineRule="auto"/>
        <w:rPr>
          <w:rFonts w:ascii="Times New Roman" w:hAnsi="Times New Roman" w:cs="Times New Roman"/>
          <w:b/>
          <w:bCs/>
          <w:sz w:val="20"/>
          <w:szCs w:val="20"/>
        </w:rPr>
      </w:pPr>
    </w:p>
    <w:p w:rsidR="006A711F" w:rsidRPr="00422799" w:rsidRDefault="006A711F" w:rsidP="00F02ED0">
      <w:pPr>
        <w:pStyle w:val="podpis"/>
        <w:rPr>
          <w:rFonts w:cs="Times New Roman"/>
          <w:b w:val="0"/>
          <w:i/>
          <w:sz w:val="22"/>
        </w:rPr>
      </w:pPr>
    </w:p>
    <w:p w:rsidR="00112C59" w:rsidRPr="00194C4A" w:rsidRDefault="00B56F71" w:rsidP="00B56F71">
      <w:pPr>
        <w:pStyle w:val="Nagwek3"/>
        <w:ind w:left="720" w:hanging="720"/>
        <w:rPr>
          <w:rFonts w:ascii="Times New Roman" w:hAnsi="Times New Roman" w:cs="Times New Roman"/>
        </w:rPr>
      </w:pPr>
      <w:bookmarkStart w:id="35" w:name="_Toc77321929"/>
      <w:r w:rsidRPr="00194C4A">
        <w:rPr>
          <w:rFonts w:ascii="Times New Roman" w:hAnsi="Times New Roman" w:cs="Times New Roman"/>
        </w:rPr>
        <w:t xml:space="preserve">1.2.7 </w:t>
      </w:r>
      <w:r w:rsidR="00112C59" w:rsidRPr="00194C4A">
        <w:rPr>
          <w:rFonts w:ascii="Times New Roman" w:hAnsi="Times New Roman" w:cs="Times New Roman"/>
        </w:rPr>
        <w:t>Działalność gospodarcza</w:t>
      </w:r>
      <w:bookmarkEnd w:id="35"/>
    </w:p>
    <w:p w:rsidR="00112C59" w:rsidRPr="00194C4A" w:rsidRDefault="00112C59" w:rsidP="00112C59">
      <w:pPr>
        <w:pStyle w:val="tekst"/>
        <w:rPr>
          <w:rFonts w:cs="Times New Roman"/>
        </w:rPr>
      </w:pPr>
      <w:r w:rsidRPr="00194C4A">
        <w:rPr>
          <w:rFonts w:cs="Times New Roman"/>
        </w:rPr>
        <w:t xml:space="preserve">Na terenie gminy </w:t>
      </w:r>
      <w:r w:rsidR="000D7E7B">
        <w:rPr>
          <w:rFonts w:cs="Times New Roman"/>
        </w:rPr>
        <w:t>Wieliczki</w:t>
      </w:r>
      <w:r w:rsidRPr="00194C4A">
        <w:rPr>
          <w:rFonts w:cs="Times New Roman"/>
        </w:rPr>
        <w:t xml:space="preserve"> w ostatnich latach rozwija się działalność gospodarcza i</w:t>
      </w:r>
      <w:r w:rsidR="00E67A7E" w:rsidRPr="00194C4A">
        <w:rPr>
          <w:rFonts w:cs="Times New Roman"/>
        </w:rPr>
        <w:t> </w:t>
      </w:r>
      <w:r w:rsidRPr="00194C4A">
        <w:rPr>
          <w:rFonts w:cs="Times New Roman"/>
        </w:rPr>
        <w:t>produkcyjna</w:t>
      </w:r>
      <w:r w:rsidR="005F4F0E" w:rsidRPr="00194C4A">
        <w:rPr>
          <w:rFonts w:cs="Times New Roman"/>
        </w:rPr>
        <w:t>.</w:t>
      </w:r>
      <w:r w:rsidR="002F465C" w:rsidRPr="00194C4A">
        <w:rPr>
          <w:rFonts w:cs="Times New Roman"/>
        </w:rPr>
        <w:t xml:space="preserve"> W strukturze prowadzonej działalności gospodarczej </w:t>
      </w:r>
      <w:r w:rsidR="000D7E7B">
        <w:rPr>
          <w:rFonts w:cs="Times New Roman"/>
        </w:rPr>
        <w:t>na terenie Gminy Wieliczki na dzień 31.12.2024r. zarejestrowanych było 15</w:t>
      </w:r>
      <w:r w:rsidR="0034517D">
        <w:rPr>
          <w:rFonts w:cs="Times New Roman"/>
        </w:rPr>
        <w:t>szt.</w:t>
      </w:r>
      <w:r w:rsidR="000D7E7B">
        <w:rPr>
          <w:rFonts w:cs="Times New Roman"/>
        </w:rPr>
        <w:t xml:space="preserve"> </w:t>
      </w:r>
      <w:r w:rsidR="0034517D">
        <w:rPr>
          <w:rFonts w:cs="Times New Roman"/>
        </w:rPr>
        <w:t>nowych podmiotów natomiast wyrejestrowało się 13 szt.</w:t>
      </w:r>
      <w:r w:rsidR="002F465C" w:rsidRPr="00194C4A">
        <w:rPr>
          <w:rFonts w:cs="Times New Roman"/>
        </w:rPr>
        <w:t xml:space="preserve"> </w:t>
      </w:r>
      <w:r w:rsidR="0034517D">
        <w:rPr>
          <w:rFonts w:cs="Times New Roman"/>
        </w:rPr>
        <w:t xml:space="preserve">Ogólnie w Gminie Wieliczki jest 152 podmiotów prowadzących działalność gospodarczą. </w:t>
      </w:r>
    </w:p>
    <w:p w:rsidR="00B05F1E" w:rsidRPr="00194C4A" w:rsidRDefault="00B05F1E" w:rsidP="00B05F1E">
      <w:pPr>
        <w:spacing w:after="0"/>
        <w:jc w:val="both"/>
        <w:rPr>
          <w:rFonts w:ascii="Times New Roman" w:eastAsia="Times New Roman" w:hAnsi="Times New Roman" w:cs="Times New Roman"/>
          <w:sz w:val="24"/>
          <w:szCs w:val="24"/>
        </w:rPr>
      </w:pPr>
    </w:p>
    <w:p w:rsidR="001A4B92" w:rsidRDefault="0034517D" w:rsidP="00C56144">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Podmioty według klas wielkości przedstawia poniższy wykres:</w:t>
      </w:r>
    </w:p>
    <w:p w:rsidR="0034517D" w:rsidRDefault="0034517D" w:rsidP="00C56144">
      <w:pPr>
        <w:spacing w:after="0"/>
        <w:ind w:firstLine="708"/>
        <w:jc w:val="both"/>
        <w:rPr>
          <w:rFonts w:ascii="Times New Roman" w:eastAsia="Times New Roman" w:hAnsi="Times New Roman" w:cs="Times New Roman"/>
          <w:sz w:val="24"/>
          <w:szCs w:val="24"/>
        </w:rPr>
      </w:pPr>
    </w:p>
    <w:p w:rsidR="0034517D" w:rsidRDefault="0034517D" w:rsidP="0034517D">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90883" cy="1190625"/>
            <wp:effectExtent l="19050" t="0" r="5117" b="0"/>
            <wp:docPr id="3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6120765" cy="1196466"/>
                    </a:xfrm>
                    <a:prstGeom prst="rect">
                      <a:avLst/>
                    </a:prstGeom>
                    <a:noFill/>
                    <a:ln w="9525">
                      <a:noFill/>
                      <a:miter lim="800000"/>
                      <a:headEnd/>
                      <a:tailEnd/>
                    </a:ln>
                  </pic:spPr>
                </pic:pic>
              </a:graphicData>
            </a:graphic>
          </wp:inline>
        </w:drawing>
      </w:r>
    </w:p>
    <w:p w:rsidR="0034517D" w:rsidRDefault="0034517D" w:rsidP="00C56144">
      <w:pPr>
        <w:spacing w:after="0"/>
        <w:ind w:firstLine="708"/>
        <w:jc w:val="both"/>
        <w:rPr>
          <w:rFonts w:ascii="Times New Roman" w:eastAsia="Times New Roman" w:hAnsi="Times New Roman" w:cs="Times New Roman"/>
          <w:sz w:val="24"/>
          <w:szCs w:val="24"/>
        </w:rPr>
      </w:pPr>
    </w:p>
    <w:p w:rsidR="0034517D" w:rsidRDefault="0034517D" w:rsidP="00C56144">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Poniższy wykres przedstawia podmioty prowadzące działalność gospodarczą wg klas gospodarczych.</w:t>
      </w:r>
    </w:p>
    <w:p w:rsidR="0034517D" w:rsidRDefault="0034517D" w:rsidP="00C56144">
      <w:pPr>
        <w:spacing w:after="0"/>
        <w:ind w:firstLine="708"/>
        <w:jc w:val="both"/>
        <w:rPr>
          <w:rFonts w:ascii="Times New Roman" w:eastAsia="Times New Roman" w:hAnsi="Times New Roman" w:cs="Times New Roman"/>
          <w:sz w:val="24"/>
          <w:szCs w:val="24"/>
        </w:rPr>
      </w:pPr>
    </w:p>
    <w:p w:rsidR="0034517D" w:rsidRDefault="0034517D" w:rsidP="0034517D">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24575" cy="6838950"/>
            <wp:effectExtent l="19050" t="0" r="9525" b="0"/>
            <wp:docPr id="37"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6120765" cy="6834696"/>
                    </a:xfrm>
                    <a:prstGeom prst="rect">
                      <a:avLst/>
                    </a:prstGeom>
                    <a:noFill/>
                    <a:ln w="9525">
                      <a:noFill/>
                      <a:miter lim="800000"/>
                      <a:headEnd/>
                      <a:tailEnd/>
                    </a:ln>
                  </pic:spPr>
                </pic:pic>
              </a:graphicData>
            </a:graphic>
          </wp:inline>
        </w:drawing>
      </w:r>
    </w:p>
    <w:p w:rsidR="0034517D" w:rsidRDefault="0034517D" w:rsidP="00C56144">
      <w:pPr>
        <w:spacing w:after="0"/>
        <w:ind w:firstLine="708"/>
        <w:jc w:val="both"/>
        <w:rPr>
          <w:rFonts w:ascii="Times New Roman" w:eastAsia="Times New Roman" w:hAnsi="Times New Roman" w:cs="Times New Roman"/>
          <w:sz w:val="24"/>
          <w:szCs w:val="24"/>
        </w:rPr>
      </w:pPr>
    </w:p>
    <w:p w:rsidR="0034517D" w:rsidRDefault="0034517D" w:rsidP="00C56144">
      <w:pPr>
        <w:spacing w:after="0"/>
        <w:ind w:firstLine="708"/>
        <w:jc w:val="both"/>
        <w:rPr>
          <w:rFonts w:ascii="Times New Roman" w:eastAsia="Times New Roman" w:hAnsi="Times New Roman" w:cs="Times New Roman"/>
          <w:sz w:val="24"/>
          <w:szCs w:val="24"/>
        </w:rPr>
      </w:pPr>
    </w:p>
    <w:p w:rsidR="0034517D" w:rsidRDefault="0034517D" w:rsidP="0034517D">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09247" cy="3524250"/>
            <wp:effectExtent l="19050" t="0" r="5803" b="0"/>
            <wp:docPr id="3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6120765" cy="3530895"/>
                    </a:xfrm>
                    <a:prstGeom prst="rect">
                      <a:avLst/>
                    </a:prstGeom>
                    <a:noFill/>
                    <a:ln w="9525">
                      <a:noFill/>
                      <a:miter lim="800000"/>
                      <a:headEnd/>
                      <a:tailEnd/>
                    </a:ln>
                  </pic:spPr>
                </pic:pic>
              </a:graphicData>
            </a:graphic>
          </wp:inline>
        </w:drawing>
      </w:r>
    </w:p>
    <w:p w:rsidR="0034517D" w:rsidRDefault="0034517D" w:rsidP="00C56144">
      <w:pPr>
        <w:spacing w:after="0"/>
        <w:ind w:firstLine="708"/>
        <w:jc w:val="both"/>
        <w:rPr>
          <w:rFonts w:ascii="Times New Roman" w:eastAsia="Times New Roman" w:hAnsi="Times New Roman" w:cs="Times New Roman"/>
          <w:sz w:val="24"/>
          <w:szCs w:val="24"/>
        </w:rPr>
      </w:pPr>
    </w:p>
    <w:p w:rsidR="000656C9" w:rsidRPr="00194C4A" w:rsidRDefault="00B56F71" w:rsidP="00B56F71">
      <w:pPr>
        <w:pStyle w:val="Nagwek1"/>
        <w:ind w:left="432" w:hanging="432"/>
        <w:rPr>
          <w:rFonts w:ascii="Times New Roman" w:hAnsi="Times New Roman" w:cs="Times New Roman"/>
        </w:rPr>
      </w:pPr>
      <w:bookmarkStart w:id="36" w:name="_Toc487805706"/>
      <w:bookmarkStart w:id="37" w:name="_Toc77321930"/>
      <w:bookmarkStart w:id="38" w:name="_Hlk487801121"/>
      <w:r w:rsidRPr="00194C4A">
        <w:rPr>
          <w:rFonts w:ascii="Times New Roman" w:hAnsi="Times New Roman" w:cs="Times New Roman"/>
        </w:rPr>
        <w:t xml:space="preserve">2 </w:t>
      </w:r>
      <w:r w:rsidR="000656C9" w:rsidRPr="00194C4A">
        <w:rPr>
          <w:rFonts w:ascii="Times New Roman" w:hAnsi="Times New Roman" w:cs="Times New Roman"/>
        </w:rPr>
        <w:t xml:space="preserve">Analiza i ocena zaopatrzenia </w:t>
      </w:r>
      <w:r w:rsidR="00B309C5" w:rsidRPr="00194C4A">
        <w:rPr>
          <w:rFonts w:ascii="Times New Roman" w:hAnsi="Times New Roman" w:cs="Times New Roman"/>
        </w:rPr>
        <w:t>gminy</w:t>
      </w:r>
      <w:r w:rsidR="00A83241">
        <w:rPr>
          <w:rFonts w:ascii="Times New Roman" w:hAnsi="Times New Roman" w:cs="Times New Roman"/>
        </w:rPr>
        <w:t xml:space="preserve"> Wieliczki</w:t>
      </w:r>
      <w:r w:rsidR="000656C9" w:rsidRPr="00194C4A">
        <w:rPr>
          <w:rFonts w:ascii="Times New Roman" w:hAnsi="Times New Roman" w:cs="Times New Roman"/>
        </w:rPr>
        <w:t xml:space="preserve"> w ciepło, energię elektryczną i paliwa gazowe</w:t>
      </w:r>
      <w:bookmarkEnd w:id="36"/>
      <w:bookmarkEnd w:id="37"/>
    </w:p>
    <w:p w:rsidR="000656C9" w:rsidRPr="00194C4A" w:rsidRDefault="00B56F71" w:rsidP="00B56F71">
      <w:pPr>
        <w:pStyle w:val="Nagwek2"/>
        <w:rPr>
          <w:rFonts w:ascii="Times New Roman" w:hAnsi="Times New Roman" w:cs="Times New Roman"/>
        </w:rPr>
      </w:pPr>
      <w:bookmarkStart w:id="39" w:name="_Toc487805707"/>
      <w:bookmarkStart w:id="40" w:name="_Toc77321931"/>
      <w:bookmarkEnd w:id="38"/>
      <w:r w:rsidRPr="00194C4A">
        <w:rPr>
          <w:rFonts w:ascii="Times New Roman" w:hAnsi="Times New Roman" w:cs="Times New Roman"/>
        </w:rPr>
        <w:t>2.1</w:t>
      </w:r>
      <w:r w:rsidR="000656C9" w:rsidRPr="00194C4A">
        <w:rPr>
          <w:rFonts w:ascii="Times New Roman" w:hAnsi="Times New Roman" w:cs="Times New Roman"/>
        </w:rPr>
        <w:t>Infrastruktura energetyczna na terenie gminy</w:t>
      </w:r>
      <w:bookmarkEnd w:id="39"/>
      <w:bookmarkEnd w:id="40"/>
    </w:p>
    <w:p w:rsidR="000656C9" w:rsidRPr="00194C4A" w:rsidRDefault="00B56F71" w:rsidP="00B56F71">
      <w:pPr>
        <w:pStyle w:val="Nagwek3"/>
        <w:ind w:left="720" w:hanging="720"/>
        <w:rPr>
          <w:rFonts w:ascii="Times New Roman" w:hAnsi="Times New Roman" w:cs="Times New Roman"/>
        </w:rPr>
      </w:pPr>
      <w:bookmarkStart w:id="41" w:name="_Toc487805708"/>
      <w:bookmarkStart w:id="42" w:name="_Toc77321932"/>
      <w:r w:rsidRPr="00194C4A">
        <w:rPr>
          <w:rFonts w:ascii="Times New Roman" w:hAnsi="Times New Roman" w:cs="Times New Roman"/>
        </w:rPr>
        <w:t xml:space="preserve">2.1.1 </w:t>
      </w:r>
      <w:r w:rsidR="000656C9" w:rsidRPr="00194C4A">
        <w:rPr>
          <w:rFonts w:ascii="Times New Roman" w:hAnsi="Times New Roman" w:cs="Times New Roman"/>
        </w:rPr>
        <w:t>Infrastruktura ciepln</w:t>
      </w:r>
      <w:bookmarkEnd w:id="41"/>
      <w:r w:rsidR="000656C9" w:rsidRPr="00194C4A">
        <w:rPr>
          <w:rFonts w:ascii="Times New Roman" w:hAnsi="Times New Roman" w:cs="Times New Roman"/>
        </w:rPr>
        <w:t>a</w:t>
      </w:r>
      <w:bookmarkEnd w:id="42"/>
    </w:p>
    <w:p w:rsidR="00F605CA" w:rsidRPr="00F605CA" w:rsidRDefault="00F605CA" w:rsidP="00F605CA">
      <w:pPr>
        <w:tabs>
          <w:tab w:val="left" w:pos="426"/>
        </w:tabs>
        <w:spacing w:line="360" w:lineRule="auto"/>
        <w:jc w:val="both"/>
        <w:rPr>
          <w:rFonts w:ascii="Times New Roman" w:hAnsi="Times New Roman" w:cs="Times New Roman"/>
          <w:sz w:val="24"/>
          <w:szCs w:val="20"/>
        </w:rPr>
      </w:pPr>
      <w:r>
        <w:rPr>
          <w:rFonts w:ascii="Times New Roman" w:hAnsi="Times New Roman" w:cs="Times New Roman"/>
          <w:sz w:val="20"/>
          <w:szCs w:val="20"/>
        </w:rPr>
        <w:tab/>
      </w:r>
      <w:r>
        <w:rPr>
          <w:rFonts w:ascii="Times New Roman" w:hAnsi="Times New Roman" w:cs="Times New Roman"/>
          <w:sz w:val="20"/>
          <w:szCs w:val="20"/>
        </w:rPr>
        <w:tab/>
      </w:r>
      <w:r w:rsidRPr="00F605CA">
        <w:rPr>
          <w:rFonts w:ascii="Times New Roman" w:hAnsi="Times New Roman" w:cs="Times New Roman"/>
          <w:sz w:val="24"/>
          <w:szCs w:val="20"/>
        </w:rPr>
        <w:t>Na terenie gminy dominują rozproszone źródła ciepła. Tylko na terenie osiedli w Wieliczkach oraz  w Norach znajdują się kotłownie zaopatr</w:t>
      </w:r>
      <w:r>
        <w:rPr>
          <w:rFonts w:ascii="Times New Roman" w:hAnsi="Times New Roman" w:cs="Times New Roman"/>
          <w:sz w:val="24"/>
          <w:szCs w:val="20"/>
        </w:rPr>
        <w:t xml:space="preserve">ujące mieszkańców w ciepło. </w:t>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sidRPr="00F605CA">
        <w:rPr>
          <w:rFonts w:ascii="Times New Roman" w:hAnsi="Times New Roman" w:cs="Times New Roman"/>
          <w:sz w:val="24"/>
          <w:szCs w:val="20"/>
        </w:rPr>
        <w:t xml:space="preserve">Istniejące kotłownie zasilają budynki indywidualne, zakłady usługowe czy inne obiekty gospodarcze   i pracują jako źródła lokalne, raczej o małej mocy. Nadal głównym paliwem wśród odbiorców indywidualnych jest węgiel, olej opałowy, biomasa (przede wszystkim drewno i jego pochodne) oraz rzadziej –energia elektryczna. Długość okresu grzewczego na terenie gminy wynika z uwarunkowań środowiskowych. </w:t>
      </w:r>
      <w:r w:rsidRPr="00F605CA">
        <w:rPr>
          <w:rFonts w:ascii="Times New Roman" w:hAnsi="Times New Roman" w:cs="Times New Roman"/>
          <w:sz w:val="24"/>
          <w:szCs w:val="20"/>
        </w:rPr>
        <w:tab/>
      </w:r>
      <w:r w:rsidRPr="00F605CA">
        <w:rPr>
          <w:rFonts w:ascii="Times New Roman" w:hAnsi="Times New Roman" w:cs="Times New Roman"/>
          <w:sz w:val="24"/>
          <w:szCs w:val="20"/>
        </w:rPr>
        <w:tab/>
      </w:r>
      <w:r w:rsidRPr="00F605CA">
        <w:rPr>
          <w:rFonts w:ascii="Times New Roman" w:hAnsi="Times New Roman" w:cs="Times New Roman"/>
          <w:sz w:val="24"/>
          <w:szCs w:val="20"/>
        </w:rPr>
        <w:tab/>
      </w:r>
      <w:r w:rsidRPr="00F605CA">
        <w:rPr>
          <w:rFonts w:ascii="Times New Roman" w:hAnsi="Times New Roman" w:cs="Times New Roman"/>
          <w:sz w:val="24"/>
          <w:szCs w:val="20"/>
        </w:rPr>
        <w:tab/>
      </w:r>
      <w:r w:rsidRPr="00F605CA">
        <w:rPr>
          <w:rFonts w:ascii="Times New Roman" w:hAnsi="Times New Roman" w:cs="Times New Roman"/>
          <w:sz w:val="24"/>
          <w:szCs w:val="20"/>
        </w:rPr>
        <w:tab/>
      </w:r>
      <w:r w:rsidRPr="00F605CA">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Pr>
          <w:rFonts w:ascii="Times New Roman" w:hAnsi="Times New Roman" w:cs="Times New Roman"/>
          <w:sz w:val="24"/>
          <w:szCs w:val="20"/>
        </w:rPr>
        <w:tab/>
      </w:r>
      <w:r w:rsidRPr="00F605CA">
        <w:rPr>
          <w:rFonts w:ascii="Times New Roman" w:hAnsi="Times New Roman" w:cs="Times New Roman"/>
          <w:sz w:val="24"/>
          <w:szCs w:val="20"/>
        </w:rPr>
        <w:t>W Gminie Wieliczki nie funkcjonuje typowo scentralizowany system ciepłowniczy. Budynki mieszkalne w gminie zasilane są głównie z przydomowych kotłowni indywidualnych.</w:t>
      </w:r>
    </w:p>
    <w:p w:rsidR="00F605CA" w:rsidRPr="00F605CA" w:rsidRDefault="00F605CA" w:rsidP="00F605CA">
      <w:pPr>
        <w:tabs>
          <w:tab w:val="left" w:pos="426"/>
          <w:tab w:val="left" w:pos="3767"/>
        </w:tabs>
        <w:spacing w:line="360" w:lineRule="auto"/>
        <w:jc w:val="both"/>
        <w:rPr>
          <w:rFonts w:ascii="Times New Roman" w:hAnsi="Times New Roman" w:cs="Times New Roman"/>
          <w:sz w:val="24"/>
          <w:szCs w:val="20"/>
        </w:rPr>
      </w:pPr>
      <w:r w:rsidRPr="00F605CA">
        <w:rPr>
          <w:rFonts w:ascii="Times New Roman" w:hAnsi="Times New Roman" w:cs="Times New Roman"/>
          <w:sz w:val="24"/>
          <w:szCs w:val="20"/>
        </w:rPr>
        <w:tab/>
        <w:t>Podstawowym nośnikiem energii wykorzystywanym w gminie do celów grzewczych jest drewno a w niewielkim stopniu energia elektryczna. Struktura zużycia paliwa i dostępnymi na obszarze całej gminy.</w:t>
      </w:r>
    </w:p>
    <w:p w:rsidR="00F605CA" w:rsidRPr="00E71367" w:rsidRDefault="00F605CA" w:rsidP="00E71367">
      <w:pPr>
        <w:tabs>
          <w:tab w:val="left" w:pos="426"/>
          <w:tab w:val="left" w:pos="3767"/>
        </w:tabs>
        <w:spacing w:line="360" w:lineRule="auto"/>
        <w:jc w:val="both"/>
        <w:rPr>
          <w:rFonts w:ascii="Times New Roman" w:hAnsi="Times New Roman" w:cs="Times New Roman"/>
          <w:sz w:val="20"/>
          <w:szCs w:val="20"/>
        </w:rPr>
      </w:pPr>
      <w:r w:rsidRPr="00F605CA">
        <w:rPr>
          <w:rFonts w:ascii="Times New Roman" w:hAnsi="Times New Roman" w:cs="Times New Roman"/>
          <w:sz w:val="24"/>
          <w:szCs w:val="20"/>
        </w:rPr>
        <w:lastRenderedPageBreak/>
        <w:tab/>
        <w:t xml:space="preserve">Ceny paliw ciekłych stanowią barierą w stosowaniu ich do celów grzewczych, dlatego ich znaczenie w bilansie energetycznym jest niewielkie i prawdopodobnie nadal będzie maleć, pomimo powszechnej ich dostępności. Budowa od podstaw lokalnego systemu ciepłowniczego opartego na węglu lub innych kopalnych nośnikach energii w przypadku Gminy Wieliczki jest nieopłacalna ze względu na wysokie koszty sieci ciepłowniczej oraz rozproszoną zabudowę. Nie można jednak wykluczyć budowy w przyszłości układów wyspowych zasilających kilka budynków opartych o </w:t>
      </w:r>
      <w:r w:rsidRPr="00F605CA">
        <w:rPr>
          <w:rFonts w:ascii="Times New Roman" w:hAnsi="Times New Roman" w:cs="Times New Roman"/>
          <w:sz w:val="24"/>
          <w:szCs w:val="24"/>
        </w:rPr>
        <w:t>odnawialne źródła energii lub ekologiczne technologie spalania czystych paliw jak np. gaz ziemny. Należy wówczas dokonać analizy opłacalności przedsięwzięcia w oparciu o środki dostępnych funduszy środowiskowych, zwłaszcza w przypadku realizacji programowych działań zmierzających do redukcji niskiej emisji.</w:t>
      </w:r>
      <w:r w:rsidRPr="00F605CA">
        <w:rPr>
          <w:rFonts w:ascii="Times New Roman" w:hAnsi="Times New Roman" w:cs="Times New Roman"/>
          <w:sz w:val="24"/>
          <w:szCs w:val="20"/>
        </w:rPr>
        <w:t xml:space="preserve"> </w:t>
      </w:r>
    </w:p>
    <w:p w:rsidR="009130E5" w:rsidRDefault="00227213" w:rsidP="00E71367">
      <w:pPr>
        <w:pStyle w:val="tekst"/>
        <w:spacing w:line="360" w:lineRule="auto"/>
        <w:rPr>
          <w:rFonts w:cs="Times New Roman"/>
        </w:rPr>
      </w:pPr>
      <w:r w:rsidRPr="00194C4A">
        <w:rPr>
          <w:rFonts w:cs="Times New Roman"/>
        </w:rPr>
        <w:t xml:space="preserve">Według danych uzyskanych z </w:t>
      </w:r>
      <w:r w:rsidR="00EF56E7" w:rsidRPr="00194C4A">
        <w:rPr>
          <w:rFonts w:cs="Times New Roman"/>
        </w:rPr>
        <w:t>Bazy danych lokalnych</w:t>
      </w:r>
      <w:r w:rsidRPr="00194C4A">
        <w:rPr>
          <w:rFonts w:cs="Times New Roman"/>
        </w:rPr>
        <w:t xml:space="preserve"> w budynkach znajdujących się na terenie Gminy </w:t>
      </w:r>
      <w:r w:rsidR="00A83241">
        <w:rPr>
          <w:rFonts w:cs="Times New Roman"/>
        </w:rPr>
        <w:t>Wieliczki</w:t>
      </w:r>
      <w:r w:rsidRPr="00194C4A">
        <w:rPr>
          <w:rFonts w:cs="Times New Roman"/>
        </w:rPr>
        <w:t xml:space="preserve"> zdecydowanie najczęściej wykorzystywany</w:t>
      </w:r>
      <w:r w:rsidR="00667A02">
        <w:rPr>
          <w:rFonts w:cs="Times New Roman"/>
        </w:rPr>
        <w:t>m</w:t>
      </w:r>
      <w:r w:rsidR="00A83241">
        <w:rPr>
          <w:rFonts w:cs="Times New Roman"/>
        </w:rPr>
        <w:t xml:space="preserve"> </w:t>
      </w:r>
      <w:r w:rsidR="00667A02" w:rsidRPr="00194C4A">
        <w:rPr>
          <w:rFonts w:cs="Times New Roman"/>
        </w:rPr>
        <w:t>źród</w:t>
      </w:r>
      <w:r w:rsidR="00667A02">
        <w:rPr>
          <w:rFonts w:cs="Times New Roman"/>
        </w:rPr>
        <w:t>łem</w:t>
      </w:r>
      <w:r w:rsidR="00667A02" w:rsidRPr="00194C4A">
        <w:rPr>
          <w:rFonts w:cs="Times New Roman"/>
        </w:rPr>
        <w:t xml:space="preserve"> ciepła</w:t>
      </w:r>
      <w:r w:rsidRPr="00194C4A">
        <w:rPr>
          <w:rFonts w:cs="Times New Roman"/>
        </w:rPr>
        <w:t xml:space="preserve"> jest kocioł centralnego ogrzewania (</w:t>
      </w:r>
      <w:r w:rsidR="00EF56E7" w:rsidRPr="00194C4A">
        <w:rPr>
          <w:rFonts w:cs="Times New Roman"/>
        </w:rPr>
        <w:t>80</w:t>
      </w:r>
      <w:r w:rsidRPr="00194C4A">
        <w:rPr>
          <w:rFonts w:cs="Times New Roman"/>
        </w:rPr>
        <w:t>,</w:t>
      </w:r>
      <w:r w:rsidR="00EF56E7" w:rsidRPr="00194C4A">
        <w:rPr>
          <w:rFonts w:cs="Times New Roman"/>
        </w:rPr>
        <w:t>9</w:t>
      </w:r>
      <w:r w:rsidRPr="00194C4A">
        <w:rPr>
          <w:rFonts w:cs="Times New Roman"/>
        </w:rPr>
        <w:t>%). Udział pieców kaflowych jak</w:t>
      </w:r>
      <w:r w:rsidR="00A16E39" w:rsidRPr="00194C4A">
        <w:rPr>
          <w:rFonts w:cs="Times New Roman"/>
        </w:rPr>
        <w:t>o</w:t>
      </w:r>
      <w:r w:rsidRPr="00194C4A">
        <w:rPr>
          <w:rFonts w:cs="Times New Roman"/>
        </w:rPr>
        <w:t xml:space="preserve"> drugiego najpopularniejszego urządzenia grzewczego wynosi </w:t>
      </w:r>
      <w:r w:rsidR="00EF56E7" w:rsidRPr="00194C4A">
        <w:rPr>
          <w:rFonts w:cs="Times New Roman"/>
        </w:rPr>
        <w:t>9,1</w:t>
      </w:r>
      <w:r w:rsidRPr="00194C4A">
        <w:rPr>
          <w:rFonts w:cs="Times New Roman"/>
        </w:rPr>
        <w:t>%.</w:t>
      </w:r>
      <w:r w:rsidR="00C2192A" w:rsidRPr="00194C4A">
        <w:rPr>
          <w:rFonts w:cs="Times New Roman"/>
        </w:rPr>
        <w:t xml:space="preserve">Z pośród kotłów centralnego ogrzewania </w:t>
      </w:r>
      <w:r w:rsidR="002864BF">
        <w:rPr>
          <w:rFonts w:cs="Times New Roman"/>
        </w:rPr>
        <w:t>1</w:t>
      </w:r>
      <w:r w:rsidR="00C2192A" w:rsidRPr="00194C4A">
        <w:rPr>
          <w:rFonts w:cs="Times New Roman"/>
        </w:rPr>
        <w:t xml:space="preserve"> % jest zasilana paliwem gazowym</w:t>
      </w:r>
      <w:r w:rsidR="00BD62EC" w:rsidRPr="00194C4A">
        <w:rPr>
          <w:rFonts w:cs="Times New Roman"/>
        </w:rPr>
        <w:t xml:space="preserve">. Zgodnie z opracowaniem GUS większość gospodarstw domowych zamienienie lub równocześnie ogrzewa </w:t>
      </w:r>
      <w:r w:rsidR="00667A02">
        <w:rPr>
          <w:rFonts w:cs="Times New Roman"/>
        </w:rPr>
        <w:t xml:space="preserve">się </w:t>
      </w:r>
      <w:r w:rsidR="00BD62EC" w:rsidRPr="00194C4A">
        <w:rPr>
          <w:rFonts w:cs="Times New Roman"/>
        </w:rPr>
        <w:t>węglem i drewnem</w:t>
      </w:r>
      <w:r w:rsidR="00667A02">
        <w:rPr>
          <w:rFonts w:cs="Times New Roman"/>
        </w:rPr>
        <w:t xml:space="preserve">; </w:t>
      </w:r>
      <w:r w:rsidR="00BD62EC" w:rsidRPr="00194C4A">
        <w:rPr>
          <w:rFonts w:cs="Times New Roman"/>
        </w:rPr>
        <w:t>wyłącznie z węgla korzysta 15,3% gospodarstw</w:t>
      </w:r>
      <w:r w:rsidR="00667A02">
        <w:rPr>
          <w:rFonts w:cs="Times New Roman"/>
        </w:rPr>
        <w:t>,</w:t>
      </w:r>
      <w:r w:rsidR="00BD62EC" w:rsidRPr="00194C4A">
        <w:rPr>
          <w:rFonts w:cs="Times New Roman"/>
        </w:rPr>
        <w:t xml:space="preserve"> zaś wyłącznie z drewna 7,3%</w:t>
      </w:r>
      <w:r w:rsidR="00667A02">
        <w:rPr>
          <w:rFonts w:cs="Times New Roman"/>
        </w:rPr>
        <w:t>.</w:t>
      </w:r>
      <w:r w:rsidR="00BD62EC" w:rsidRPr="00194C4A">
        <w:rPr>
          <w:rFonts w:cs="Times New Roman"/>
        </w:rPr>
        <w:t xml:space="preserve"> Oba paliwa spalane są zamiennie, zależnie od aktualnych warunków dostępności i cen, drewno jest spalane w okresach cieplejszych, a węgiel, jako paliwo o wyższej wartości opałowej, w okresach zimniejszych.</w:t>
      </w:r>
    </w:p>
    <w:p w:rsidR="009130E5" w:rsidRDefault="00E237AA" w:rsidP="00E71367">
      <w:pPr>
        <w:pStyle w:val="tekst"/>
        <w:spacing w:line="360" w:lineRule="auto"/>
        <w:rPr>
          <w:rFonts w:cs="Times New Roman"/>
        </w:rPr>
      </w:pPr>
      <w:r w:rsidRPr="00194C4A">
        <w:rPr>
          <w:rFonts w:cs="Times New Roman"/>
        </w:rPr>
        <w:t>Najczęściej wykorzystywane przez gospodarstwa domowe do gotowania posiłków były: energia elektryczna (</w:t>
      </w:r>
      <w:r w:rsidR="005D5C08" w:rsidRPr="00194C4A">
        <w:rPr>
          <w:rFonts w:cs="Times New Roman"/>
        </w:rPr>
        <w:t xml:space="preserve">6,64 </w:t>
      </w:r>
      <w:r w:rsidRPr="00194C4A">
        <w:rPr>
          <w:rFonts w:cs="Times New Roman"/>
        </w:rPr>
        <w:t>% gospodarstw domowych), gaz ziemny (</w:t>
      </w:r>
      <w:r w:rsidR="00797B5F">
        <w:rPr>
          <w:rFonts w:cs="Times New Roman"/>
        </w:rPr>
        <w:t>1</w:t>
      </w:r>
      <w:r w:rsidRPr="00194C4A">
        <w:rPr>
          <w:rFonts w:cs="Times New Roman"/>
        </w:rPr>
        <w:t xml:space="preserve">%) i gaz </w:t>
      </w:r>
      <w:r w:rsidR="005D5C08" w:rsidRPr="00194C4A">
        <w:rPr>
          <w:rFonts w:cs="Times New Roman"/>
        </w:rPr>
        <w:t>z butli</w:t>
      </w:r>
      <w:r w:rsidRPr="00194C4A">
        <w:rPr>
          <w:rFonts w:cs="Times New Roman"/>
        </w:rPr>
        <w:t xml:space="preserve"> (</w:t>
      </w:r>
      <w:r w:rsidR="005D5C08" w:rsidRPr="00194C4A">
        <w:rPr>
          <w:rFonts w:cs="Times New Roman"/>
        </w:rPr>
        <w:t>90</w:t>
      </w:r>
      <w:r w:rsidRPr="00194C4A">
        <w:rPr>
          <w:rFonts w:cs="Times New Roman"/>
        </w:rPr>
        <w:t xml:space="preserve">%). </w:t>
      </w:r>
    </w:p>
    <w:p w:rsidR="00DA573D" w:rsidRDefault="00E237AA" w:rsidP="00E71367">
      <w:pPr>
        <w:pStyle w:val="tekst"/>
        <w:spacing w:line="360" w:lineRule="auto"/>
        <w:rPr>
          <w:rFonts w:cs="Times New Roman"/>
        </w:rPr>
      </w:pPr>
      <w:r w:rsidRPr="00194C4A">
        <w:rPr>
          <w:rFonts w:cs="Times New Roman"/>
        </w:rPr>
        <w:t xml:space="preserve">Do ogrzewania wody dla celów bytowych </w:t>
      </w:r>
      <w:r w:rsidR="00797B5F">
        <w:rPr>
          <w:rFonts w:cs="Times New Roman"/>
        </w:rPr>
        <w:t xml:space="preserve">(ciepłej wody użytkowej) </w:t>
      </w:r>
      <w:r w:rsidRPr="00194C4A">
        <w:rPr>
          <w:rFonts w:cs="Times New Roman"/>
        </w:rPr>
        <w:t>najczęś</w:t>
      </w:r>
      <w:r w:rsidR="005D5C08" w:rsidRPr="00194C4A">
        <w:rPr>
          <w:rFonts w:cs="Times New Roman"/>
        </w:rPr>
        <w:t xml:space="preserve">ciej stosowano: </w:t>
      </w:r>
      <w:r w:rsidRPr="00194C4A">
        <w:rPr>
          <w:rFonts w:cs="Times New Roman"/>
        </w:rPr>
        <w:t xml:space="preserve">gaz ziemny </w:t>
      </w:r>
      <w:r w:rsidR="00797B5F">
        <w:rPr>
          <w:rFonts w:cs="Times New Roman"/>
        </w:rPr>
        <w:t>1</w:t>
      </w:r>
      <w:r w:rsidRPr="00194C4A">
        <w:rPr>
          <w:rFonts w:cs="Times New Roman"/>
        </w:rPr>
        <w:t>%, energię elektryczną 23,9</w:t>
      </w:r>
      <w:r w:rsidR="00644401" w:rsidRPr="00194C4A">
        <w:rPr>
          <w:rFonts w:cs="Times New Roman"/>
        </w:rPr>
        <w:t xml:space="preserve">%, </w:t>
      </w:r>
      <w:r w:rsidRPr="00194C4A">
        <w:rPr>
          <w:rFonts w:cs="Times New Roman"/>
        </w:rPr>
        <w:t xml:space="preserve">paliwa stałe </w:t>
      </w:r>
      <w:r w:rsidR="00644401" w:rsidRPr="00194C4A">
        <w:rPr>
          <w:rFonts w:cs="Times New Roman"/>
        </w:rPr>
        <w:t>70,74</w:t>
      </w:r>
      <w:r w:rsidRPr="00194C4A">
        <w:rPr>
          <w:rFonts w:cs="Times New Roman"/>
        </w:rPr>
        <w:t>% gospodarstw</w:t>
      </w:r>
      <w:r w:rsidR="005D5C08" w:rsidRPr="00194C4A">
        <w:rPr>
          <w:rFonts w:cs="Times New Roman"/>
        </w:rPr>
        <w:t xml:space="preserve">, </w:t>
      </w:r>
      <w:r w:rsidR="00644401" w:rsidRPr="00194C4A">
        <w:rPr>
          <w:rFonts w:cs="Times New Roman"/>
        </w:rPr>
        <w:t xml:space="preserve">pozostałe źródła ciepła </w:t>
      </w:r>
      <w:r w:rsidR="00DA573D">
        <w:rPr>
          <w:rFonts w:cs="Times New Roman"/>
        </w:rPr>
        <w:t>4,36</w:t>
      </w:r>
      <w:r w:rsidR="00644401" w:rsidRPr="00194C4A">
        <w:rPr>
          <w:rFonts w:cs="Times New Roman"/>
        </w:rPr>
        <w:t>%</w:t>
      </w:r>
      <w:r w:rsidRPr="00194C4A">
        <w:rPr>
          <w:rFonts w:cs="Times New Roman"/>
        </w:rPr>
        <w:t>.</w:t>
      </w:r>
    </w:p>
    <w:p w:rsidR="00F605CA" w:rsidRPr="00F605CA" w:rsidRDefault="00F605CA" w:rsidP="00E71367">
      <w:pPr>
        <w:spacing w:line="360" w:lineRule="auto"/>
        <w:ind w:firstLine="708"/>
        <w:jc w:val="both"/>
        <w:rPr>
          <w:rFonts w:ascii="Times New Roman" w:hAnsi="Times New Roman" w:cs="Times New Roman"/>
          <w:sz w:val="24"/>
          <w:szCs w:val="24"/>
        </w:rPr>
      </w:pPr>
      <w:r w:rsidRPr="00F605CA">
        <w:rPr>
          <w:rFonts w:ascii="Times New Roman" w:hAnsi="Times New Roman" w:cs="Times New Roman"/>
          <w:sz w:val="24"/>
          <w:szCs w:val="24"/>
        </w:rPr>
        <w:t>Gmina Wieliczki położona jest w obszarze oddziaływania spółek energetycznych należącyc</w:t>
      </w:r>
      <w:r>
        <w:rPr>
          <w:rFonts w:ascii="Times New Roman" w:hAnsi="Times New Roman" w:cs="Times New Roman"/>
          <w:sz w:val="24"/>
          <w:szCs w:val="24"/>
        </w:rPr>
        <w:t xml:space="preserve">h do grupy PGE S.A.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605CA">
        <w:rPr>
          <w:rFonts w:ascii="Times New Roman" w:hAnsi="Times New Roman" w:cs="Times New Roman"/>
          <w:sz w:val="24"/>
          <w:szCs w:val="24"/>
        </w:rPr>
        <w:t xml:space="preserve">Są to: </w:t>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Pr>
          <w:rFonts w:ascii="Times New Roman" w:hAnsi="Times New Roman" w:cs="Times New Roman"/>
          <w:sz w:val="24"/>
          <w:szCs w:val="24"/>
        </w:rPr>
        <w:t xml:space="preserve">                   </w:t>
      </w:r>
      <w:r w:rsidRPr="00F605CA">
        <w:rPr>
          <w:rFonts w:ascii="Times New Roman" w:hAnsi="Times New Roman" w:cs="Times New Roman"/>
          <w:sz w:val="24"/>
          <w:szCs w:val="24"/>
        </w:rPr>
        <w:t xml:space="preserve">- PGE Obrót S.A. Oddział z siedzibą w Białymstoku ul. Świętojańska 12 15-082 Białystok, </w:t>
      </w:r>
      <w:r w:rsidRPr="00F605CA">
        <w:rPr>
          <w:rFonts w:ascii="Times New Roman" w:hAnsi="Times New Roman" w:cs="Times New Roman"/>
          <w:sz w:val="24"/>
          <w:szCs w:val="24"/>
        </w:rPr>
        <w:tab/>
      </w:r>
      <w:r>
        <w:rPr>
          <w:rFonts w:ascii="Times New Roman" w:hAnsi="Times New Roman" w:cs="Times New Roman"/>
          <w:sz w:val="24"/>
          <w:szCs w:val="24"/>
        </w:rPr>
        <w:t xml:space="preserve">                </w:t>
      </w:r>
      <w:r w:rsidRPr="00F605CA">
        <w:rPr>
          <w:rFonts w:ascii="Times New Roman" w:hAnsi="Times New Roman" w:cs="Times New Roman"/>
          <w:sz w:val="24"/>
          <w:szCs w:val="24"/>
        </w:rPr>
        <w:t xml:space="preserve">- PGE Dystrybucja S.A. Oddział z siedzibą w Białymstoku, ul. Elektryczna 13, 15-950 Białystok. </w:t>
      </w:r>
    </w:p>
    <w:p w:rsidR="00F605CA" w:rsidRPr="00F605CA" w:rsidRDefault="00F605CA" w:rsidP="00F605CA">
      <w:pPr>
        <w:spacing w:line="360" w:lineRule="auto"/>
        <w:ind w:firstLine="708"/>
        <w:jc w:val="both"/>
        <w:rPr>
          <w:rFonts w:ascii="Times New Roman" w:hAnsi="Times New Roman" w:cs="Times New Roman"/>
          <w:sz w:val="24"/>
          <w:szCs w:val="24"/>
        </w:rPr>
      </w:pPr>
      <w:r w:rsidRPr="00F605CA">
        <w:rPr>
          <w:rFonts w:ascii="Times New Roman" w:hAnsi="Times New Roman" w:cs="Times New Roman"/>
          <w:sz w:val="24"/>
          <w:szCs w:val="24"/>
        </w:rPr>
        <w:t xml:space="preserve">Infrastrukturę oraz mieszkańców obsługuje Rejon Energetyczny Ełk – Posterunek Energetyczny Olecko oraz Rejon Energetyczny Suwałki- Posterunek Energetyczny Augustów. Zasilanie energetyczne na terenie gminy odbywa się poprzez: </w:t>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sidRPr="00F605CA">
        <w:rPr>
          <w:rFonts w:ascii="Times New Roman" w:hAnsi="Times New Roman" w:cs="Times New Roman"/>
          <w:sz w:val="24"/>
          <w:szCs w:val="24"/>
        </w:rPr>
        <w:tab/>
      </w:r>
      <w:r>
        <w:rPr>
          <w:rFonts w:ascii="Times New Roman" w:hAnsi="Times New Roman" w:cs="Times New Roman"/>
          <w:sz w:val="24"/>
          <w:szCs w:val="24"/>
        </w:rPr>
        <w:tab/>
      </w:r>
      <w:r w:rsidRPr="00F605CA">
        <w:rPr>
          <w:rFonts w:ascii="Times New Roman" w:hAnsi="Times New Roman" w:cs="Times New Roman"/>
          <w:sz w:val="24"/>
          <w:szCs w:val="24"/>
        </w:rPr>
        <w:t xml:space="preserve">Gmina Wieliczki zasilana jest w energię elektryczną liniami napowietrznymi l5kV ze stacji </w:t>
      </w:r>
      <w:r w:rsidRPr="00F605CA">
        <w:rPr>
          <w:rFonts w:ascii="Times New Roman" w:hAnsi="Times New Roman" w:cs="Times New Roman"/>
          <w:sz w:val="24"/>
          <w:szCs w:val="24"/>
        </w:rPr>
        <w:lastRenderedPageBreak/>
        <w:t>transformatorowych 110/30/15kV GPZ w Olecku oraz awaryjnie ze stacji 110/15kV GPZ Szeligi i GPZ Gołdap. Wschodnia część gminy zasilana jest z GPZ</w:t>
      </w:r>
      <w:r w:rsidRPr="00282474">
        <w:rPr>
          <w:rFonts w:ascii="Times New Roman" w:hAnsi="Times New Roman" w:cs="Times New Roman"/>
          <w:sz w:val="20"/>
          <w:szCs w:val="20"/>
        </w:rPr>
        <w:t xml:space="preserve"> </w:t>
      </w:r>
      <w:r w:rsidRPr="00F605CA">
        <w:rPr>
          <w:rFonts w:ascii="Times New Roman" w:hAnsi="Times New Roman" w:cs="Times New Roman"/>
          <w:sz w:val="24"/>
          <w:szCs w:val="24"/>
        </w:rPr>
        <w:t>Augustów. Na terenie gminy znajdują się 53 stacje transformatorowe 15/04kV o łącznej mocy 3908 kVA. W większości są to słupowe stacje transformatorowe typu ZH, STS 100, STS 250 i WSTtp. Linie magistralne 15 kV są wykonane na słupach betonowych, natomiast w liniach odgałęźnych na słupach betonowych i drewnianych. Linie odgałęźne są wykonane przekrojami przewodów 3x35mm2 AFL oraz 3x25 mm2 AFL.</w:t>
      </w:r>
    </w:p>
    <w:p w:rsidR="00F605CA" w:rsidRPr="00F605CA" w:rsidRDefault="00F605CA" w:rsidP="00F605CA">
      <w:pPr>
        <w:spacing w:line="360" w:lineRule="auto"/>
        <w:ind w:firstLine="708"/>
        <w:jc w:val="both"/>
        <w:rPr>
          <w:rFonts w:ascii="Times New Roman" w:hAnsi="Times New Roman" w:cs="Times New Roman"/>
          <w:sz w:val="24"/>
          <w:szCs w:val="24"/>
        </w:rPr>
      </w:pPr>
      <w:r w:rsidRPr="00F605CA">
        <w:rPr>
          <w:rFonts w:ascii="Times New Roman" w:hAnsi="Times New Roman" w:cs="Times New Roman"/>
          <w:sz w:val="24"/>
          <w:szCs w:val="24"/>
        </w:rPr>
        <w:t>Sieć rozdzielcza niskiego napięcia wyprowadzona ze stacji transformatorowych jest wykonana na słupach drewnianych i betonowych o zróżnicowanych przekrojach przewodów. Na terenach zwartej zabudowy wsi do sieci rozdzielczej 0,4 kV podwieszone są przewody oświetlenia zewnętrznego.</w:t>
      </w:r>
    </w:p>
    <w:p w:rsidR="00F605CA" w:rsidRPr="00F605CA" w:rsidRDefault="00F605CA" w:rsidP="00F605CA">
      <w:p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 xml:space="preserve">Na ukończeniu jest  budowa </w:t>
      </w:r>
      <w:r w:rsidRPr="00F605CA">
        <w:rPr>
          <w:rFonts w:ascii="Times New Roman" w:eastAsia="Times New Roman" w:hAnsi="Times New Roman" w:cs="Times New Roman"/>
          <w:bCs/>
          <w:sz w:val="24"/>
          <w:szCs w:val="24"/>
        </w:rPr>
        <w:t>dwutorowej linii elektroenergetycznej wysokiego napięcia 400 kV Alytus –Ełk</w:t>
      </w:r>
      <w:r w:rsidRPr="00F605CA">
        <w:rPr>
          <w:rFonts w:ascii="Times New Roman" w:eastAsia="Times New Roman" w:hAnsi="Times New Roman" w:cs="Times New Roman"/>
          <w:sz w:val="24"/>
          <w:szCs w:val="24"/>
        </w:rPr>
        <w:t>.</w:t>
      </w:r>
    </w:p>
    <w:p w:rsidR="00F605CA" w:rsidRPr="00F605CA" w:rsidRDefault="00F605CA" w:rsidP="00F605CA">
      <w:p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Kluczowe informacje:</w:t>
      </w:r>
    </w:p>
    <w:p w:rsidR="00F605CA" w:rsidRPr="00F605CA" w:rsidRDefault="00F605CA" w:rsidP="008A40A2">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Przeznaczenie</w:t>
      </w:r>
      <w:r w:rsidRPr="00F605CA">
        <w:rPr>
          <w:rFonts w:ascii="Times New Roman" w:eastAsia="Times New Roman" w:hAnsi="Times New Roman" w:cs="Times New Roman"/>
          <w:sz w:val="24"/>
          <w:szCs w:val="24"/>
        </w:rPr>
        <w:t>: wzmocnienie transgranicznych połączeń energetycznych między Polską                                  a Litwą, poprawa bezpieczeństwa energetycznego i zwiększenie możliwości przesyłu energii.</w:t>
      </w:r>
    </w:p>
    <w:p w:rsidR="00F605CA" w:rsidRPr="00F605CA" w:rsidRDefault="00F605CA" w:rsidP="008A40A2">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Parametry</w:t>
      </w:r>
      <w:r w:rsidRPr="00F605CA">
        <w:rPr>
          <w:rFonts w:ascii="Times New Roman" w:eastAsia="Times New Roman" w:hAnsi="Times New Roman" w:cs="Times New Roman"/>
          <w:sz w:val="24"/>
          <w:szCs w:val="24"/>
        </w:rPr>
        <w:t xml:space="preserve">: linia </w:t>
      </w:r>
      <w:r w:rsidRPr="00F605CA">
        <w:rPr>
          <w:rFonts w:ascii="Times New Roman" w:eastAsia="Times New Roman" w:hAnsi="Times New Roman" w:cs="Times New Roman"/>
          <w:bCs/>
          <w:sz w:val="24"/>
          <w:szCs w:val="24"/>
        </w:rPr>
        <w:t>400 kV</w:t>
      </w:r>
      <w:r w:rsidRPr="00F605CA">
        <w:rPr>
          <w:rFonts w:ascii="Times New Roman" w:eastAsia="Times New Roman" w:hAnsi="Times New Roman" w:cs="Times New Roman"/>
          <w:sz w:val="24"/>
          <w:szCs w:val="24"/>
        </w:rPr>
        <w:t xml:space="preserve">, </w:t>
      </w:r>
      <w:r w:rsidRPr="00F605CA">
        <w:rPr>
          <w:rFonts w:ascii="Times New Roman" w:eastAsia="Times New Roman" w:hAnsi="Times New Roman" w:cs="Times New Roman"/>
          <w:bCs/>
          <w:sz w:val="24"/>
          <w:szCs w:val="24"/>
        </w:rPr>
        <w:t>dwutorowa</w:t>
      </w:r>
      <w:r w:rsidRPr="00F605CA">
        <w:rPr>
          <w:rFonts w:ascii="Times New Roman" w:eastAsia="Times New Roman" w:hAnsi="Times New Roman" w:cs="Times New Roman"/>
          <w:sz w:val="24"/>
          <w:szCs w:val="24"/>
        </w:rPr>
        <w:t xml:space="preserve"> (dwa obwody przesyłowe).</w:t>
      </w:r>
    </w:p>
    <w:p w:rsidR="00F605CA" w:rsidRPr="00F605CA" w:rsidRDefault="00F605CA" w:rsidP="008A40A2">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Trasa</w:t>
      </w:r>
      <w:r w:rsidRPr="00F605CA">
        <w:rPr>
          <w:rFonts w:ascii="Times New Roman" w:eastAsia="Times New Roman" w:hAnsi="Times New Roman" w:cs="Times New Roman"/>
          <w:sz w:val="24"/>
          <w:szCs w:val="24"/>
        </w:rPr>
        <w:t xml:space="preserve">: od stacji elektroenergetycznej w </w:t>
      </w:r>
      <w:r w:rsidRPr="00F605CA">
        <w:rPr>
          <w:rFonts w:ascii="Times New Roman" w:eastAsia="Times New Roman" w:hAnsi="Times New Roman" w:cs="Times New Roman"/>
          <w:bCs/>
          <w:sz w:val="24"/>
          <w:szCs w:val="24"/>
        </w:rPr>
        <w:t>Alytus</w:t>
      </w:r>
      <w:r w:rsidRPr="00F605CA">
        <w:rPr>
          <w:rFonts w:ascii="Times New Roman" w:eastAsia="Times New Roman" w:hAnsi="Times New Roman" w:cs="Times New Roman"/>
          <w:sz w:val="24"/>
          <w:szCs w:val="24"/>
        </w:rPr>
        <w:t xml:space="preserve"> (Litwa) do stacji elektroenergetycznej w </w:t>
      </w:r>
      <w:r w:rsidRPr="00F605CA">
        <w:rPr>
          <w:rFonts w:ascii="Times New Roman" w:eastAsia="Times New Roman" w:hAnsi="Times New Roman" w:cs="Times New Roman"/>
          <w:bCs/>
          <w:sz w:val="24"/>
          <w:szCs w:val="24"/>
        </w:rPr>
        <w:t>Ełku</w:t>
      </w:r>
      <w:r w:rsidRPr="00F605CA">
        <w:rPr>
          <w:rFonts w:ascii="Times New Roman" w:eastAsia="Times New Roman" w:hAnsi="Times New Roman" w:cs="Times New Roman"/>
          <w:sz w:val="24"/>
          <w:szCs w:val="24"/>
        </w:rPr>
        <w:t xml:space="preserve"> (Polska).</w:t>
      </w:r>
    </w:p>
    <w:p w:rsidR="00F605CA" w:rsidRPr="00F605CA" w:rsidRDefault="00F605CA" w:rsidP="008A40A2">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Znaczenie dla regionu</w:t>
      </w:r>
      <w:r w:rsidRPr="00F605CA">
        <w:rPr>
          <w:rFonts w:ascii="Times New Roman" w:eastAsia="Times New Roman" w:hAnsi="Times New Roman" w:cs="Times New Roman"/>
          <w:sz w:val="24"/>
          <w:szCs w:val="24"/>
        </w:rPr>
        <w:t>: zwiększy niezawodność zasilania północno-wschodniej Polski, w tym również województwa warmińsko-mazurskiego, gdzie leży gmina Wieliczki.</w:t>
      </w:r>
    </w:p>
    <w:p w:rsidR="00F605CA" w:rsidRPr="00F605CA" w:rsidRDefault="00F605CA" w:rsidP="008A40A2">
      <w:pPr>
        <w:numPr>
          <w:ilvl w:val="0"/>
          <w:numId w:val="31"/>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Status</w:t>
      </w:r>
      <w:r w:rsidRPr="00F605CA">
        <w:rPr>
          <w:rFonts w:ascii="Times New Roman" w:eastAsia="Times New Roman" w:hAnsi="Times New Roman" w:cs="Times New Roman"/>
          <w:sz w:val="24"/>
          <w:szCs w:val="24"/>
        </w:rPr>
        <w:t>: projekt znajduje się w fazie planowania i przygotowań inwestycyjnych.</w:t>
      </w:r>
    </w:p>
    <w:p w:rsidR="00F605CA" w:rsidRPr="00F605CA" w:rsidRDefault="00F605CA" w:rsidP="00F605CA">
      <w:p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Taka linia będzie miała również wpływ na lokalne plany zagospodarowania przestrzennego                                          i inwestycje infrastrukturalne w całym pasie przebiegu trasy.</w:t>
      </w:r>
    </w:p>
    <w:p w:rsidR="00F605CA" w:rsidRPr="00F605CA" w:rsidRDefault="00F605CA" w:rsidP="00F605CA">
      <w:pPr>
        <w:spacing w:before="100" w:beforeAutospacing="1" w:after="100" w:afterAutospacing="1" w:line="240" w:lineRule="auto"/>
        <w:jc w:val="center"/>
        <w:rPr>
          <w:rFonts w:ascii="Times New Roman" w:eastAsia="Times New Roman" w:hAnsi="Times New Roman" w:cs="Times New Roman"/>
          <w:sz w:val="24"/>
          <w:szCs w:val="24"/>
        </w:rPr>
      </w:pPr>
      <w:r w:rsidRPr="00F605CA">
        <w:rPr>
          <w:rFonts w:ascii="Times New Roman" w:eastAsia="Times New Roman" w:hAnsi="Times New Roman" w:cs="Times New Roman"/>
          <w:noProof/>
          <w:sz w:val="24"/>
          <w:szCs w:val="24"/>
        </w:rPr>
        <w:lastRenderedPageBreak/>
        <w:drawing>
          <wp:inline distT="0" distB="0" distL="0" distR="0">
            <wp:extent cx="4787036" cy="3353228"/>
            <wp:effectExtent l="19050" t="0" r="0" b="0"/>
            <wp:docPr id="3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787669" cy="3353672"/>
                    </a:xfrm>
                    <a:prstGeom prst="rect">
                      <a:avLst/>
                    </a:prstGeom>
                    <a:noFill/>
                    <a:ln w="9525">
                      <a:noFill/>
                      <a:miter lim="800000"/>
                      <a:headEnd/>
                      <a:tailEnd/>
                    </a:ln>
                  </pic:spPr>
                </pic:pic>
              </a:graphicData>
            </a:graphic>
          </wp:inline>
        </w:drawing>
      </w:r>
    </w:p>
    <w:p w:rsidR="00F605CA" w:rsidRPr="00F605CA" w:rsidRDefault="00F605CA" w:rsidP="00F605CA">
      <w:p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w:t>
      </w:r>
      <w:r w:rsidRPr="00F605CA">
        <w:rPr>
          <w:rFonts w:ascii="Times New Roman" w:eastAsia="Times New Roman" w:hAnsi="Times New Roman" w:cs="Times New Roman"/>
          <w:sz w:val="24"/>
          <w:szCs w:val="24"/>
        </w:rPr>
        <w:tab/>
        <w:t xml:space="preserve">Na dzień 29 kwietnia 2025 roku, </w:t>
      </w:r>
      <w:r w:rsidRPr="00F605CA">
        <w:rPr>
          <w:rFonts w:ascii="Times New Roman" w:eastAsia="Times New Roman" w:hAnsi="Times New Roman" w:cs="Times New Roman"/>
          <w:bCs/>
          <w:sz w:val="24"/>
          <w:szCs w:val="24"/>
        </w:rPr>
        <w:t>infrastruktura oświetlenia ulicznego w gminie Wieliczka</w:t>
      </w:r>
      <w:r w:rsidRPr="00F605CA">
        <w:rPr>
          <w:rFonts w:ascii="Times New Roman" w:eastAsia="Times New Roman" w:hAnsi="Times New Roman" w:cs="Times New Roman"/>
          <w:sz w:val="24"/>
          <w:szCs w:val="24"/>
        </w:rPr>
        <w:t xml:space="preserve"> obejmuje  </w:t>
      </w:r>
      <w:r w:rsidRPr="00F605CA">
        <w:rPr>
          <w:rFonts w:ascii="Times New Roman" w:eastAsia="Times New Roman" w:hAnsi="Times New Roman" w:cs="Times New Roman"/>
          <w:bCs/>
          <w:sz w:val="24"/>
          <w:szCs w:val="24"/>
        </w:rPr>
        <w:t>5 139 opraw świetlnych</w:t>
      </w:r>
      <w:r w:rsidRPr="00F605CA">
        <w:rPr>
          <w:rFonts w:ascii="Times New Roman" w:eastAsia="Times New Roman" w:hAnsi="Times New Roman" w:cs="Times New Roman"/>
          <w:sz w:val="24"/>
          <w:szCs w:val="24"/>
        </w:rPr>
        <w:t xml:space="preserve">, z czego:​ </w:t>
      </w:r>
    </w:p>
    <w:p w:rsidR="00F605CA" w:rsidRPr="00F605CA" w:rsidRDefault="00F605CA" w:rsidP="008A40A2">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3 968 opraw</w:t>
      </w:r>
      <w:r w:rsidRPr="00F605CA">
        <w:rPr>
          <w:rFonts w:ascii="Times New Roman" w:eastAsia="Times New Roman" w:hAnsi="Times New Roman" w:cs="Times New Roman"/>
          <w:sz w:val="24"/>
          <w:szCs w:val="24"/>
        </w:rPr>
        <w:t xml:space="preserve"> (około 77%) należy do </w:t>
      </w:r>
      <w:r w:rsidRPr="00F605CA">
        <w:rPr>
          <w:rFonts w:ascii="Times New Roman" w:eastAsia="Times New Roman" w:hAnsi="Times New Roman" w:cs="Times New Roman"/>
          <w:bCs/>
          <w:sz w:val="24"/>
          <w:szCs w:val="24"/>
        </w:rPr>
        <w:t>TAURON Nowe Technologie SA</w:t>
      </w:r>
      <w:r w:rsidRPr="00F605CA">
        <w:rPr>
          <w:rFonts w:ascii="Times New Roman" w:eastAsia="Times New Roman" w:hAnsi="Times New Roman" w:cs="Times New Roman"/>
          <w:sz w:val="24"/>
          <w:szCs w:val="24"/>
        </w:rPr>
        <w:t>,</w:t>
      </w:r>
    </w:p>
    <w:p w:rsidR="00F605CA" w:rsidRPr="00F605CA" w:rsidRDefault="00F605CA" w:rsidP="008A40A2">
      <w:pPr>
        <w:numPr>
          <w:ilvl w:val="0"/>
          <w:numId w:val="32"/>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bCs/>
          <w:sz w:val="24"/>
          <w:szCs w:val="24"/>
        </w:rPr>
        <w:t>1 171 opraw</w:t>
      </w:r>
      <w:r w:rsidRPr="00F605CA">
        <w:rPr>
          <w:rFonts w:ascii="Times New Roman" w:eastAsia="Times New Roman" w:hAnsi="Times New Roman" w:cs="Times New Roman"/>
          <w:sz w:val="24"/>
          <w:szCs w:val="24"/>
        </w:rPr>
        <w:t xml:space="preserve"> (około 23%) jest własnością </w:t>
      </w:r>
      <w:r w:rsidRPr="00F605CA">
        <w:rPr>
          <w:rFonts w:ascii="Times New Roman" w:eastAsia="Times New Roman" w:hAnsi="Times New Roman" w:cs="Times New Roman"/>
          <w:bCs/>
          <w:sz w:val="24"/>
          <w:szCs w:val="24"/>
        </w:rPr>
        <w:t>Gminy Wieliczka</w:t>
      </w:r>
      <w:r w:rsidRPr="00F605CA">
        <w:rPr>
          <w:rFonts w:ascii="Times New Roman" w:eastAsia="Times New Roman" w:hAnsi="Times New Roman" w:cs="Times New Roman"/>
          <w:sz w:val="24"/>
          <w:szCs w:val="24"/>
        </w:rPr>
        <w:t xml:space="preserve">.​ </w:t>
      </w:r>
    </w:p>
    <w:p w:rsidR="00F605CA" w:rsidRPr="00F605CA" w:rsidRDefault="00F605CA" w:rsidP="00F605CA">
      <w:p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Obecnie trwają prace konserwacyjne i eksploatacyjne, które obejmują m.in.:​</w:t>
      </w:r>
    </w:p>
    <w:p w:rsidR="00F605CA" w:rsidRPr="00F605CA" w:rsidRDefault="00F605CA" w:rsidP="008A40A2">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oględziny infrastruktury oświetleniowej,</w:t>
      </w:r>
    </w:p>
    <w:p w:rsidR="00F605CA" w:rsidRPr="00F605CA" w:rsidRDefault="00F605CA" w:rsidP="008A40A2">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wymianę niesprawnych źródeł światła,</w:t>
      </w:r>
    </w:p>
    <w:p w:rsidR="00F605CA" w:rsidRPr="00F605CA" w:rsidRDefault="00F605CA" w:rsidP="008A40A2">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utrzymanie opraw w czystości,</w:t>
      </w:r>
    </w:p>
    <w:p w:rsidR="00F605CA" w:rsidRPr="00F605CA" w:rsidRDefault="00F605CA" w:rsidP="008A40A2">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lokalizację i naprawę uszkodzeń linii kablowych i napowietrznych,</w:t>
      </w:r>
    </w:p>
    <w:p w:rsidR="00F605CA" w:rsidRPr="00F605CA" w:rsidRDefault="00F605CA" w:rsidP="008A40A2">
      <w:pPr>
        <w:numPr>
          <w:ilvl w:val="0"/>
          <w:numId w:val="33"/>
        </w:numPr>
        <w:spacing w:before="100" w:beforeAutospacing="1" w:after="100" w:afterAutospacing="1" w:line="360" w:lineRule="auto"/>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 xml:space="preserve">utrzymanie sprawności technicznej opraw oświetleniowych przez wymianę ich poszczególnych elementów.​ </w:t>
      </w:r>
    </w:p>
    <w:p w:rsidR="00F605CA" w:rsidRPr="00F605CA" w:rsidRDefault="00F605CA" w:rsidP="00F605CA">
      <w:pPr>
        <w:spacing w:before="100" w:beforeAutospacing="1" w:after="100" w:afterAutospacing="1" w:line="360" w:lineRule="auto"/>
        <w:ind w:firstLine="708"/>
        <w:jc w:val="both"/>
        <w:rPr>
          <w:rFonts w:ascii="Times New Roman" w:eastAsia="Times New Roman" w:hAnsi="Times New Roman" w:cs="Times New Roman"/>
          <w:sz w:val="24"/>
          <w:szCs w:val="24"/>
        </w:rPr>
      </w:pPr>
      <w:r w:rsidRPr="00F605CA">
        <w:rPr>
          <w:rFonts w:ascii="Times New Roman" w:eastAsia="Times New Roman" w:hAnsi="Times New Roman" w:cs="Times New Roman"/>
          <w:sz w:val="24"/>
          <w:szCs w:val="24"/>
        </w:rPr>
        <w:t>W budżecie gminy na rok 2025 przeznaczono środki na oświetlenie ulic, placów i dróg, co świadczy o kontynuacji działań związanych z utrzymaniem i modernizacją infrastruktury oświetleniowej.</w:t>
      </w:r>
    </w:p>
    <w:p w:rsidR="00F605CA" w:rsidRPr="00F605CA" w:rsidRDefault="00F605CA" w:rsidP="00F605CA">
      <w:pPr>
        <w:spacing w:line="360" w:lineRule="auto"/>
        <w:ind w:firstLine="708"/>
        <w:jc w:val="both"/>
        <w:rPr>
          <w:rFonts w:ascii="Times New Roman" w:hAnsi="Times New Roman" w:cs="Times New Roman"/>
          <w:sz w:val="24"/>
          <w:szCs w:val="24"/>
        </w:rPr>
      </w:pPr>
      <w:r w:rsidRPr="00F605CA">
        <w:rPr>
          <w:rFonts w:ascii="Times New Roman" w:hAnsi="Times New Roman" w:cs="Times New Roman"/>
          <w:sz w:val="24"/>
          <w:szCs w:val="24"/>
        </w:rPr>
        <w:t>W kwietniu 2025 roku ogłoszono plan budowy farmy fotowoltaicznej PV Wieliczki o mocy do 70 MW w obrębie wsi Niedźwiedzkie, co może wpłynąć na rozwój lokalnej infrastruktury energetycznej</w:t>
      </w:r>
    </w:p>
    <w:p w:rsidR="00B77C71" w:rsidRPr="001F2973" w:rsidRDefault="00B77C71" w:rsidP="00B77C71">
      <w:pPr>
        <w:pStyle w:val="Legenda"/>
        <w:rPr>
          <w:rFonts w:ascii="Times New Roman" w:hAnsi="Times New Roman" w:cs="Times New Roman"/>
          <w:sz w:val="20"/>
          <w:szCs w:val="20"/>
        </w:rPr>
      </w:pPr>
      <w:r w:rsidRPr="001F2973">
        <w:rPr>
          <w:rFonts w:ascii="Times New Roman" w:hAnsi="Times New Roman" w:cs="Times New Roman"/>
          <w:sz w:val="20"/>
          <w:szCs w:val="20"/>
        </w:rPr>
        <w:lastRenderedPageBreak/>
        <w:t xml:space="preserve">Mapa </w:t>
      </w:r>
      <w:r w:rsidR="00A05E44" w:rsidRPr="001F2973">
        <w:rPr>
          <w:rFonts w:ascii="Times New Roman" w:hAnsi="Times New Roman" w:cs="Times New Roman"/>
          <w:sz w:val="20"/>
          <w:szCs w:val="20"/>
        </w:rPr>
        <w:fldChar w:fldCharType="begin"/>
      </w:r>
      <w:r w:rsidRPr="001F2973">
        <w:rPr>
          <w:rFonts w:ascii="Times New Roman" w:hAnsi="Times New Roman" w:cs="Times New Roman"/>
          <w:sz w:val="20"/>
          <w:szCs w:val="20"/>
        </w:rPr>
        <w:instrText xml:space="preserve"> SEQ Mapa \* ARABIC </w:instrText>
      </w:r>
      <w:r w:rsidR="00A05E44" w:rsidRPr="001F2973">
        <w:rPr>
          <w:rFonts w:ascii="Times New Roman" w:hAnsi="Times New Roman" w:cs="Times New Roman"/>
          <w:sz w:val="20"/>
          <w:szCs w:val="20"/>
        </w:rPr>
        <w:fldChar w:fldCharType="separate"/>
      </w:r>
      <w:r w:rsidR="00F20FF3">
        <w:rPr>
          <w:rFonts w:ascii="Times New Roman" w:hAnsi="Times New Roman" w:cs="Times New Roman"/>
          <w:noProof/>
          <w:sz w:val="20"/>
          <w:szCs w:val="20"/>
        </w:rPr>
        <w:t>2</w:t>
      </w:r>
      <w:r w:rsidR="00A05E44" w:rsidRPr="001F2973">
        <w:rPr>
          <w:rFonts w:ascii="Times New Roman" w:hAnsi="Times New Roman" w:cs="Times New Roman"/>
          <w:sz w:val="20"/>
          <w:szCs w:val="20"/>
        </w:rPr>
        <w:fldChar w:fldCharType="end"/>
      </w:r>
      <w:r w:rsidRPr="001F2973">
        <w:rPr>
          <w:rFonts w:ascii="Times New Roman" w:hAnsi="Times New Roman" w:cs="Times New Roman"/>
          <w:sz w:val="20"/>
          <w:szCs w:val="20"/>
        </w:rPr>
        <w:t xml:space="preserve"> Zasilenie w wysokie i najwyższe napięcia</w:t>
      </w:r>
    </w:p>
    <w:p w:rsidR="00F605CA" w:rsidRDefault="00F605CA" w:rsidP="00DA573D">
      <w:pPr>
        <w:pStyle w:val="tekst"/>
        <w:rPr>
          <w:rFonts w:cs="Times New Roman"/>
        </w:rPr>
      </w:pPr>
    </w:p>
    <w:p w:rsidR="00F605CA" w:rsidRDefault="00B77C71" w:rsidP="00B77C71">
      <w:pPr>
        <w:pStyle w:val="tekst"/>
        <w:ind w:firstLine="0"/>
        <w:rPr>
          <w:rFonts w:cs="Times New Roman"/>
        </w:rPr>
      </w:pPr>
      <w:r>
        <w:rPr>
          <w:rFonts w:cs="Times New Roman"/>
          <w:noProof/>
        </w:rPr>
        <w:drawing>
          <wp:inline distT="0" distB="0" distL="0" distR="0">
            <wp:extent cx="6120765" cy="3436136"/>
            <wp:effectExtent l="19050" t="0" r="0" b="0"/>
            <wp:docPr id="43"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srcRect/>
                    <a:stretch>
                      <a:fillRect/>
                    </a:stretch>
                  </pic:blipFill>
                  <pic:spPr bwMode="auto">
                    <a:xfrm>
                      <a:off x="0" y="0"/>
                      <a:ext cx="6120765" cy="3436136"/>
                    </a:xfrm>
                    <a:prstGeom prst="rect">
                      <a:avLst/>
                    </a:prstGeom>
                    <a:noFill/>
                    <a:ln w="9525">
                      <a:noFill/>
                      <a:miter lim="800000"/>
                      <a:headEnd/>
                      <a:tailEnd/>
                    </a:ln>
                  </pic:spPr>
                </pic:pic>
              </a:graphicData>
            </a:graphic>
          </wp:inline>
        </w:drawing>
      </w:r>
    </w:p>
    <w:p w:rsidR="00F605CA" w:rsidRDefault="00F605CA" w:rsidP="00DA573D">
      <w:pPr>
        <w:pStyle w:val="tekst"/>
        <w:rPr>
          <w:rFonts w:cs="Times New Roman"/>
        </w:rPr>
      </w:pPr>
    </w:p>
    <w:p w:rsidR="00F605CA" w:rsidRDefault="00F605CA" w:rsidP="00DA573D">
      <w:pPr>
        <w:pStyle w:val="tekst"/>
        <w:rPr>
          <w:rFonts w:cs="Times New Roman"/>
        </w:rPr>
      </w:pPr>
    </w:p>
    <w:p w:rsidR="00F605CA" w:rsidRDefault="00F6062A" w:rsidP="00DA573D">
      <w:pPr>
        <w:pStyle w:val="tekst"/>
        <w:rPr>
          <w:rFonts w:cs="Times New Roman"/>
        </w:rPr>
      </w:pPr>
      <w:r>
        <w:rPr>
          <w:rFonts w:cs="Times New Roman"/>
          <w:noProof/>
        </w:rPr>
        <w:lastRenderedPageBreak/>
        <w:drawing>
          <wp:inline distT="0" distB="0" distL="0" distR="0">
            <wp:extent cx="4705350" cy="6505575"/>
            <wp:effectExtent l="19050" t="0" r="0" b="0"/>
            <wp:docPr id="44"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a:srcRect/>
                    <a:stretch>
                      <a:fillRect/>
                    </a:stretch>
                  </pic:blipFill>
                  <pic:spPr bwMode="auto">
                    <a:xfrm>
                      <a:off x="0" y="0"/>
                      <a:ext cx="4705350" cy="6505575"/>
                    </a:xfrm>
                    <a:prstGeom prst="rect">
                      <a:avLst/>
                    </a:prstGeom>
                    <a:noFill/>
                    <a:ln w="9525">
                      <a:noFill/>
                      <a:miter lim="800000"/>
                      <a:headEnd/>
                      <a:tailEnd/>
                    </a:ln>
                  </pic:spPr>
                </pic:pic>
              </a:graphicData>
            </a:graphic>
          </wp:inline>
        </w:drawing>
      </w:r>
    </w:p>
    <w:p w:rsidR="00F605CA" w:rsidRDefault="00F605CA" w:rsidP="00DA573D">
      <w:pPr>
        <w:pStyle w:val="tekst"/>
        <w:rPr>
          <w:rFonts w:cs="Times New Roman"/>
        </w:rPr>
      </w:pPr>
    </w:p>
    <w:p w:rsidR="00F605CA" w:rsidRDefault="00F605CA" w:rsidP="00DA573D">
      <w:pPr>
        <w:pStyle w:val="tekst"/>
        <w:rPr>
          <w:rFonts w:cs="Times New Roman"/>
        </w:rPr>
      </w:pPr>
    </w:p>
    <w:p w:rsidR="00DA573D" w:rsidRPr="00DA573D" w:rsidRDefault="00DA573D" w:rsidP="00DA573D">
      <w:pPr>
        <w:pStyle w:val="tekst"/>
        <w:rPr>
          <w:rFonts w:cs="Times New Roman"/>
        </w:rPr>
      </w:pPr>
    </w:p>
    <w:p w:rsidR="001F2973" w:rsidRDefault="001F2973" w:rsidP="00906F60">
      <w:pPr>
        <w:pStyle w:val="tekst"/>
        <w:rPr>
          <w:rFonts w:cs="Times New Roman"/>
        </w:rPr>
      </w:pPr>
    </w:p>
    <w:p w:rsidR="001F2973" w:rsidRDefault="001F2973" w:rsidP="00906F60">
      <w:pPr>
        <w:pStyle w:val="tekst"/>
        <w:rPr>
          <w:rFonts w:cs="Times New Roman"/>
        </w:rPr>
      </w:pPr>
    </w:p>
    <w:p w:rsidR="001F2973" w:rsidRDefault="001F2973" w:rsidP="00906F60">
      <w:pPr>
        <w:pStyle w:val="tekst"/>
        <w:rPr>
          <w:rFonts w:cs="Times New Roman"/>
        </w:rPr>
      </w:pPr>
    </w:p>
    <w:p w:rsidR="001F2973" w:rsidRDefault="001F2973" w:rsidP="00906F60">
      <w:pPr>
        <w:pStyle w:val="tekst"/>
        <w:rPr>
          <w:rFonts w:cs="Times New Roman"/>
        </w:rPr>
      </w:pPr>
    </w:p>
    <w:p w:rsidR="001F2973" w:rsidRDefault="001F2973" w:rsidP="00906F60">
      <w:pPr>
        <w:pStyle w:val="tekst"/>
        <w:rPr>
          <w:rFonts w:cs="Times New Roman"/>
        </w:rPr>
      </w:pPr>
    </w:p>
    <w:p w:rsidR="001F2973" w:rsidRDefault="001F2973" w:rsidP="00906F60">
      <w:pPr>
        <w:pStyle w:val="tekst"/>
        <w:rPr>
          <w:rFonts w:cs="Times New Roman"/>
        </w:rPr>
      </w:pPr>
    </w:p>
    <w:p w:rsidR="001F2973" w:rsidRDefault="001F2973" w:rsidP="00906F60">
      <w:pPr>
        <w:pStyle w:val="tekst"/>
        <w:rPr>
          <w:rFonts w:cs="Times New Roman"/>
        </w:rPr>
      </w:pPr>
    </w:p>
    <w:p w:rsidR="0059111C" w:rsidRPr="00194C4A" w:rsidRDefault="0059111C" w:rsidP="00BD3324">
      <w:pPr>
        <w:pStyle w:val="podpis"/>
        <w:rPr>
          <w:rFonts w:cs="Times New Roman"/>
        </w:rPr>
      </w:pPr>
    </w:p>
    <w:p w:rsidR="002D4758" w:rsidRPr="00194C4A" w:rsidRDefault="002D4758" w:rsidP="002D4758">
      <w:pPr>
        <w:pStyle w:val="podpis"/>
        <w:rPr>
          <w:rFonts w:cs="Times New Roman"/>
          <w:b w:val="0"/>
          <w:bCs w:val="0"/>
          <w:sz w:val="24"/>
          <w:szCs w:val="20"/>
        </w:rPr>
      </w:pPr>
      <w:bookmarkStart w:id="43" w:name="_Toc429477931"/>
    </w:p>
    <w:p w:rsidR="00054C00" w:rsidRDefault="00054C00" w:rsidP="00054C00">
      <w:pPr>
        <w:pStyle w:val="Nagwek4"/>
        <w:ind w:left="864" w:hanging="864"/>
        <w:rPr>
          <w:rFonts w:ascii="Times New Roman" w:hAnsi="Times New Roman" w:cs="Times New Roman"/>
        </w:rPr>
      </w:pPr>
      <w:r>
        <w:rPr>
          <w:rFonts w:ascii="Times New Roman" w:hAnsi="Times New Roman" w:cs="Times New Roman"/>
        </w:rPr>
        <w:t>Plany przedsiębiorstw energetycznych</w:t>
      </w:r>
    </w:p>
    <w:p w:rsidR="00054C00" w:rsidRDefault="00054C00" w:rsidP="00054C00"/>
    <w:p w:rsidR="00054C00" w:rsidRPr="00220BC0" w:rsidRDefault="006E128F" w:rsidP="006E12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PGE Dystrybucja </w:t>
      </w:r>
      <w:r w:rsidR="00054C00" w:rsidRPr="00220BC0">
        <w:rPr>
          <w:rFonts w:ascii="Times New Roman" w:hAnsi="Times New Roman" w:cs="Times New Roman"/>
          <w:sz w:val="24"/>
          <w:szCs w:val="24"/>
        </w:rPr>
        <w:t xml:space="preserve"> operator planuje realizować następujące zamierzenia inwest</w:t>
      </w:r>
      <w:r>
        <w:rPr>
          <w:rFonts w:ascii="Times New Roman" w:hAnsi="Times New Roman" w:cs="Times New Roman"/>
          <w:sz w:val="24"/>
          <w:szCs w:val="24"/>
        </w:rPr>
        <w:t>ycyjne na terenie Gminy Wieliczki</w:t>
      </w:r>
      <w:r w:rsidR="00054C00" w:rsidRPr="00220BC0">
        <w:rPr>
          <w:rFonts w:ascii="Times New Roman" w:hAnsi="Times New Roman" w:cs="Times New Roman"/>
          <w:sz w:val="24"/>
          <w:szCs w:val="24"/>
        </w:rPr>
        <w:t>:</w:t>
      </w:r>
    </w:p>
    <w:p w:rsidR="006E128F" w:rsidRDefault="00054C00" w:rsidP="006E128F">
      <w:pPr>
        <w:spacing w:line="360" w:lineRule="auto"/>
        <w:jc w:val="both"/>
        <w:rPr>
          <w:rFonts w:ascii="Times New Roman" w:hAnsi="Times New Roman" w:cs="Times New Roman"/>
          <w:sz w:val="24"/>
          <w:szCs w:val="24"/>
        </w:rPr>
      </w:pPr>
      <w:r w:rsidRPr="00220BC0">
        <w:rPr>
          <w:rFonts w:ascii="Times New Roman" w:hAnsi="Times New Roman" w:cs="Times New Roman"/>
          <w:sz w:val="24"/>
          <w:szCs w:val="24"/>
        </w:rPr>
        <w:t xml:space="preserve"> - </w:t>
      </w:r>
      <w:r w:rsidR="006E128F">
        <w:rPr>
          <w:rFonts w:ascii="Times New Roman" w:hAnsi="Times New Roman" w:cs="Times New Roman"/>
          <w:sz w:val="24"/>
          <w:szCs w:val="24"/>
        </w:rPr>
        <w:t>PGE Dystrybucja ogłosiła przetarg ( zamknięty w listopadzie 2024r.) na projektowanie                          i realizację elektroenergetycznych przyłączy kablowych nN w obszarze działania RE-Suwałki (obejmującym m.in. Gminę Wieliczki);</w:t>
      </w:r>
    </w:p>
    <w:p w:rsidR="00054C00" w:rsidRPr="00220BC0" w:rsidRDefault="006E128F" w:rsidP="006E12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 gminie Olecko (sąsiad Wieliczek) trwa proces środowiskowy dla farmy PV o mocy do 12 MW w obrębie Sedranki. Może to wpłynąć na lokalny system energetyczny Gminy Wieliczki, choć sama inwestycja formalnie nie leży na jej terenie.  </w:t>
      </w:r>
    </w:p>
    <w:p w:rsidR="009D1C8E" w:rsidRDefault="009617B3" w:rsidP="009617B3">
      <w:pPr>
        <w:pStyle w:val="Nagwek3"/>
        <w:ind w:left="720" w:hanging="720"/>
        <w:rPr>
          <w:rFonts w:ascii="Times New Roman" w:hAnsi="Times New Roman" w:cs="Times New Roman"/>
        </w:rPr>
      </w:pPr>
      <w:bookmarkStart w:id="44" w:name="_Toc77321934"/>
      <w:r w:rsidRPr="00194C4A">
        <w:rPr>
          <w:rFonts w:ascii="Times New Roman" w:hAnsi="Times New Roman" w:cs="Times New Roman"/>
        </w:rPr>
        <w:t xml:space="preserve">2.1.3 </w:t>
      </w:r>
      <w:r w:rsidR="009D1C8E" w:rsidRPr="00194C4A">
        <w:rPr>
          <w:rFonts w:ascii="Times New Roman" w:hAnsi="Times New Roman" w:cs="Times New Roman"/>
        </w:rPr>
        <w:t>Sieć gazowa</w:t>
      </w:r>
      <w:bookmarkEnd w:id="44"/>
    </w:p>
    <w:p w:rsidR="00E71367" w:rsidRPr="00E71367" w:rsidRDefault="00E71367" w:rsidP="00E71367"/>
    <w:p w:rsidR="009D1C8E" w:rsidRPr="00194C4A" w:rsidRDefault="009D1C8E" w:rsidP="00E71367">
      <w:pPr>
        <w:pStyle w:val="tekst"/>
        <w:spacing w:line="360" w:lineRule="auto"/>
        <w:rPr>
          <w:rFonts w:cs="Times New Roman"/>
        </w:rPr>
      </w:pPr>
      <w:r w:rsidRPr="00194C4A">
        <w:rPr>
          <w:rFonts w:cs="Times New Roman"/>
        </w:rPr>
        <w:t>Sieć przesyłowa gazu ziemnego w Polsce to sieć gazociągów wysokiego ciśnienia będących własności</w:t>
      </w:r>
      <w:r w:rsidR="002620A3">
        <w:rPr>
          <w:rFonts w:cs="Times New Roman"/>
        </w:rPr>
        <w:t>ą</w:t>
      </w:r>
      <w:r w:rsidRPr="00194C4A">
        <w:rPr>
          <w:rFonts w:cs="Times New Roman"/>
        </w:rPr>
        <w:t xml:space="preserve"> Krajowego Operatora Przesyłowego GAZ-SYSTEM S.A. oraz </w:t>
      </w:r>
      <w:r w:rsidR="00A41BB8" w:rsidRPr="00A41BB8">
        <w:rPr>
          <w:rFonts w:cs="Times New Roman"/>
        </w:rPr>
        <w:t>G.EN. GAZ ENERGIA Sp. z o.o.</w:t>
      </w:r>
    </w:p>
    <w:p w:rsidR="002D4758" w:rsidRPr="00194C4A" w:rsidRDefault="002D4758" w:rsidP="00E71367">
      <w:pPr>
        <w:pStyle w:val="tekst"/>
        <w:spacing w:line="360" w:lineRule="auto"/>
        <w:rPr>
          <w:rFonts w:cs="Times New Roman"/>
        </w:rPr>
      </w:pPr>
      <w:r w:rsidRPr="00194C4A">
        <w:rPr>
          <w:rFonts w:cs="Times New Roman"/>
        </w:rPr>
        <w:t xml:space="preserve">Na terenie gminy znajdują się sieci gazowe </w:t>
      </w:r>
      <w:r w:rsidR="00A27072">
        <w:rPr>
          <w:rFonts w:cs="Times New Roman"/>
        </w:rPr>
        <w:t xml:space="preserve">średniego </w:t>
      </w:r>
      <w:r w:rsidRPr="00194C4A">
        <w:rPr>
          <w:rFonts w:cs="Times New Roman"/>
        </w:rPr>
        <w:t xml:space="preserve"> ciśnienia oraz stacja gazowa, której</w:t>
      </w:r>
    </w:p>
    <w:p w:rsidR="002D4758" w:rsidRDefault="002D4758" w:rsidP="00E71367">
      <w:pPr>
        <w:pStyle w:val="tekst"/>
        <w:spacing w:line="360" w:lineRule="auto"/>
        <w:ind w:firstLine="0"/>
        <w:rPr>
          <w:rFonts w:cs="Times New Roman"/>
        </w:rPr>
      </w:pPr>
      <w:r w:rsidRPr="00194C4A">
        <w:rPr>
          <w:rFonts w:cs="Times New Roman"/>
        </w:rPr>
        <w:t xml:space="preserve">operatorem jest Oddział w </w:t>
      </w:r>
      <w:r w:rsidR="00A27072">
        <w:rPr>
          <w:rFonts w:cs="Times New Roman"/>
        </w:rPr>
        <w:t>Bygdoszczy.</w:t>
      </w:r>
    </w:p>
    <w:p w:rsidR="00D90B14" w:rsidRDefault="00D90B14" w:rsidP="00E71367">
      <w:pPr>
        <w:pStyle w:val="tekst"/>
        <w:spacing w:line="360" w:lineRule="auto"/>
        <w:ind w:firstLine="0"/>
        <w:rPr>
          <w:rFonts w:cs="Times New Roman"/>
        </w:rPr>
      </w:pPr>
      <w:r>
        <w:rPr>
          <w:rFonts w:cs="Times New Roman"/>
          <w:noProof/>
        </w:rPr>
        <w:drawing>
          <wp:inline distT="0" distB="0" distL="0" distR="0">
            <wp:extent cx="3552825" cy="3764007"/>
            <wp:effectExtent l="19050" t="0" r="9525" b="0"/>
            <wp:docPr id="20"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3552825" cy="3764007"/>
                    </a:xfrm>
                    <a:prstGeom prst="rect">
                      <a:avLst/>
                    </a:prstGeom>
                    <a:noFill/>
                    <a:ln w="9525">
                      <a:noFill/>
                      <a:miter lim="800000"/>
                      <a:headEnd/>
                      <a:tailEnd/>
                    </a:ln>
                  </pic:spPr>
                </pic:pic>
              </a:graphicData>
            </a:graphic>
          </wp:inline>
        </w:drawing>
      </w:r>
    </w:p>
    <w:p w:rsidR="00A27072" w:rsidRDefault="00A27072" w:rsidP="00E71367">
      <w:pPr>
        <w:pStyle w:val="tekst"/>
        <w:spacing w:line="360" w:lineRule="auto"/>
        <w:ind w:firstLine="0"/>
        <w:rPr>
          <w:rFonts w:cs="Times New Roman"/>
        </w:rPr>
      </w:pPr>
      <w:r>
        <w:rPr>
          <w:rFonts w:cs="Times New Roman"/>
        </w:rPr>
        <w:lastRenderedPageBreak/>
        <w:tab/>
        <w:t>Na terenie Gminy Wieliczki znajduje się stacja gazowa która mieści się w Wieliczkach – teren po byłym korcie tenisowym przy Szkole Podstawowej w Wieliczkach. Przepustowość tej stacji wynosi 100m</w:t>
      </w:r>
      <w:r w:rsidRPr="00A27072">
        <w:rPr>
          <w:rFonts w:cs="Times New Roman"/>
          <w:vertAlign w:val="superscript"/>
        </w:rPr>
        <w:t>3</w:t>
      </w:r>
      <w:r>
        <w:rPr>
          <w:rFonts w:cs="Times New Roman"/>
        </w:rPr>
        <w:t xml:space="preserve">/ godz. </w:t>
      </w:r>
    </w:p>
    <w:p w:rsidR="00D90B14" w:rsidRDefault="00D90B14" w:rsidP="00E71367">
      <w:pPr>
        <w:pStyle w:val="tekst"/>
        <w:spacing w:line="360" w:lineRule="auto"/>
        <w:ind w:firstLine="0"/>
        <w:rPr>
          <w:rFonts w:cs="Times New Roman"/>
        </w:rPr>
      </w:pPr>
    </w:p>
    <w:p w:rsidR="00A27072" w:rsidRDefault="00A27072" w:rsidP="00E71367">
      <w:pPr>
        <w:pStyle w:val="tekst"/>
        <w:spacing w:line="360" w:lineRule="auto"/>
        <w:ind w:firstLine="0"/>
        <w:rPr>
          <w:rFonts w:cs="Times New Roman"/>
        </w:rPr>
      </w:pPr>
      <w:r>
        <w:rPr>
          <w:rFonts w:cs="Times New Roman"/>
        </w:rPr>
        <w:tab/>
        <w:t xml:space="preserve">Gazociągiem w Wieliczkach płynie gaz ziemny wysokometanowy – typ E. Szczegółowy przebieg sieci gazowej można podglądnąć na Geoportalu Powiatu Oleckiego: GEOPORTAL2.  Na dzień sporządzenia projektu założeń jest 15 odbiorców sieci gazowej. Na terenie Gminy Wieliczki nie ma stacji systemowej. Istnieje jedynie stacja gazowa redukcyjno-pomiarowa. Dostawą gazu jest PGNiG OD- dostawca gazu LNG. Średnie ciśnienie gazociągu to 1530m.  </w:t>
      </w:r>
    </w:p>
    <w:p w:rsidR="00A27072" w:rsidRDefault="00A27072" w:rsidP="00E71367">
      <w:pPr>
        <w:pStyle w:val="tekst"/>
        <w:spacing w:line="360" w:lineRule="auto"/>
        <w:ind w:firstLine="0"/>
        <w:rPr>
          <w:rFonts w:cs="Times New Roman"/>
        </w:rPr>
      </w:pPr>
      <w:r>
        <w:rPr>
          <w:rFonts w:cs="Times New Roman"/>
        </w:rPr>
        <w:tab/>
        <w:t xml:space="preserve">W planach na najbliższe lata jest rozbudowa sieci gazowej uzależniona jest od ekonomicznej opłacalności inwestycji oraz od podpisanych umów z Klientami. </w:t>
      </w:r>
    </w:p>
    <w:p w:rsidR="00D90B14" w:rsidRDefault="00D90B14" w:rsidP="00E71367">
      <w:pPr>
        <w:pStyle w:val="tekst"/>
        <w:spacing w:line="360" w:lineRule="auto"/>
        <w:ind w:firstLine="0"/>
        <w:rPr>
          <w:rFonts w:cs="Times New Roman"/>
        </w:rPr>
      </w:pPr>
      <w:r>
        <w:rPr>
          <w:rFonts w:cs="Times New Roman"/>
          <w:noProof/>
        </w:rPr>
        <w:drawing>
          <wp:inline distT="0" distB="0" distL="0" distR="0">
            <wp:extent cx="5705475" cy="3533775"/>
            <wp:effectExtent l="19050" t="0" r="9525" b="0"/>
            <wp:docPr id="23"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a:srcRect/>
                    <a:stretch>
                      <a:fillRect/>
                    </a:stretch>
                  </pic:blipFill>
                  <pic:spPr bwMode="auto">
                    <a:xfrm>
                      <a:off x="0" y="0"/>
                      <a:ext cx="5705475" cy="3533775"/>
                    </a:xfrm>
                    <a:prstGeom prst="rect">
                      <a:avLst/>
                    </a:prstGeom>
                    <a:noFill/>
                    <a:ln w="9525">
                      <a:noFill/>
                      <a:miter lim="800000"/>
                      <a:headEnd/>
                      <a:tailEnd/>
                    </a:ln>
                  </pic:spPr>
                </pic:pic>
              </a:graphicData>
            </a:graphic>
          </wp:inline>
        </w:drawing>
      </w:r>
    </w:p>
    <w:p w:rsidR="00D90B14" w:rsidRDefault="00D90B14" w:rsidP="00E71367">
      <w:pPr>
        <w:pStyle w:val="tekst"/>
        <w:spacing w:line="360" w:lineRule="auto"/>
        <w:ind w:firstLine="0"/>
        <w:rPr>
          <w:rFonts w:cs="Times New Roman"/>
        </w:rPr>
      </w:pPr>
      <w:r>
        <w:rPr>
          <w:rFonts w:cs="Times New Roman"/>
        </w:rPr>
        <w:t>Źródło: opracowanie PGNiG OD</w:t>
      </w:r>
    </w:p>
    <w:p w:rsidR="00D90B14" w:rsidRPr="00194C4A" w:rsidRDefault="00D90B14" w:rsidP="00E71367">
      <w:pPr>
        <w:pStyle w:val="tekst"/>
        <w:spacing w:line="360" w:lineRule="auto"/>
        <w:ind w:firstLine="0"/>
        <w:rPr>
          <w:rFonts w:cs="Times New Roman"/>
        </w:rPr>
      </w:pPr>
    </w:p>
    <w:p w:rsidR="00FB2AEF" w:rsidRDefault="00FB2AEF" w:rsidP="008430D4">
      <w:pPr>
        <w:pStyle w:val="tekst"/>
        <w:ind w:firstLine="708"/>
        <w:rPr>
          <w:rFonts w:cs="Times New Roman"/>
        </w:rPr>
      </w:pPr>
    </w:p>
    <w:p w:rsidR="003E1A6A" w:rsidRDefault="003E1A6A" w:rsidP="00220BC0">
      <w:pPr>
        <w:pStyle w:val="tekst"/>
        <w:ind w:firstLine="0"/>
        <w:rPr>
          <w:rFonts w:cs="Times New Roman"/>
        </w:rPr>
      </w:pPr>
    </w:p>
    <w:p w:rsidR="001718C6" w:rsidRPr="00194C4A" w:rsidRDefault="001718C6" w:rsidP="00220BC0">
      <w:pPr>
        <w:pStyle w:val="tekst"/>
        <w:ind w:firstLine="0"/>
        <w:rPr>
          <w:rFonts w:cs="Times New Roman"/>
        </w:rPr>
      </w:pPr>
    </w:p>
    <w:p w:rsidR="003E1A6A" w:rsidRDefault="003E1A6A" w:rsidP="001718C6">
      <w:pPr>
        <w:rPr>
          <w:rFonts w:ascii="Times New Roman" w:hAnsi="Times New Roman" w:cs="Times New Roman"/>
          <w:i/>
        </w:rPr>
      </w:pPr>
    </w:p>
    <w:p w:rsidR="003E1A6A" w:rsidRDefault="003E1A6A" w:rsidP="001718C6">
      <w:pPr>
        <w:rPr>
          <w:rFonts w:ascii="Times New Roman" w:hAnsi="Times New Roman" w:cs="Times New Roman"/>
          <w:i/>
        </w:rPr>
      </w:pPr>
    </w:p>
    <w:p w:rsidR="00D90B14" w:rsidRDefault="00D90B14" w:rsidP="001718C6">
      <w:pPr>
        <w:rPr>
          <w:rFonts w:ascii="Times New Roman" w:hAnsi="Times New Roman" w:cs="Times New Roman"/>
          <w:i/>
        </w:rPr>
      </w:pPr>
    </w:p>
    <w:p w:rsidR="00D90B14" w:rsidRDefault="00D90B14" w:rsidP="001718C6">
      <w:pPr>
        <w:rPr>
          <w:rFonts w:ascii="Times New Roman" w:hAnsi="Times New Roman" w:cs="Times New Roman"/>
          <w:i/>
        </w:rPr>
      </w:pPr>
    </w:p>
    <w:p w:rsidR="009D1C8E" w:rsidRPr="00194C4A" w:rsidRDefault="003A425C" w:rsidP="003A425C">
      <w:pPr>
        <w:pStyle w:val="Nagwek2"/>
        <w:rPr>
          <w:rFonts w:ascii="Times New Roman" w:hAnsi="Times New Roman" w:cs="Times New Roman"/>
        </w:rPr>
      </w:pPr>
      <w:bookmarkStart w:id="45" w:name="_Toc77321935"/>
      <w:r>
        <w:rPr>
          <w:rFonts w:ascii="Times New Roman" w:hAnsi="Times New Roman" w:cs="Times New Roman"/>
        </w:rPr>
        <w:lastRenderedPageBreak/>
        <w:t xml:space="preserve">2.2 </w:t>
      </w:r>
      <w:r w:rsidR="009D1C8E" w:rsidRPr="00194C4A">
        <w:rPr>
          <w:rFonts w:ascii="Times New Roman" w:hAnsi="Times New Roman" w:cs="Times New Roman"/>
        </w:rPr>
        <w:t>Inwentaryzacja potrzeb energetycznych</w:t>
      </w:r>
      <w:bookmarkEnd w:id="45"/>
    </w:p>
    <w:p w:rsidR="00B309C5" w:rsidRPr="00194C4A" w:rsidRDefault="009617B3" w:rsidP="009617B3">
      <w:pPr>
        <w:pStyle w:val="Nagwek3"/>
        <w:ind w:left="720" w:hanging="720"/>
        <w:rPr>
          <w:rFonts w:ascii="Times New Roman" w:hAnsi="Times New Roman" w:cs="Times New Roman"/>
        </w:rPr>
      </w:pPr>
      <w:bookmarkStart w:id="46" w:name="_Toc77321936"/>
      <w:r w:rsidRPr="00194C4A">
        <w:rPr>
          <w:rFonts w:ascii="Times New Roman" w:hAnsi="Times New Roman" w:cs="Times New Roman"/>
        </w:rPr>
        <w:t xml:space="preserve">2.2.1 </w:t>
      </w:r>
      <w:r w:rsidR="00B309C5" w:rsidRPr="00194C4A">
        <w:rPr>
          <w:rFonts w:ascii="Times New Roman" w:hAnsi="Times New Roman" w:cs="Times New Roman"/>
        </w:rPr>
        <w:t>Zapotrzebowanie na ciepło</w:t>
      </w:r>
      <w:bookmarkEnd w:id="46"/>
    </w:p>
    <w:p w:rsidR="009D1C8E" w:rsidRPr="00194C4A" w:rsidRDefault="00E46252" w:rsidP="00E46252">
      <w:pPr>
        <w:pStyle w:val="tekst"/>
        <w:rPr>
          <w:rFonts w:cs="Times New Roman"/>
        </w:rPr>
      </w:pPr>
      <w:r w:rsidRPr="00194C4A">
        <w:rPr>
          <w:rFonts w:cs="Times New Roman"/>
        </w:rPr>
        <w:t>Zapotrzebowanie na ciepło można podzielić ze względu na sektor, w którym występuję oraz na potrzeby, które są zaspokajane:</w:t>
      </w:r>
    </w:p>
    <w:p w:rsidR="00E46252" w:rsidRPr="00194C4A" w:rsidRDefault="00E46252" w:rsidP="008A40A2">
      <w:pPr>
        <w:pStyle w:val="tekst"/>
        <w:numPr>
          <w:ilvl w:val="0"/>
          <w:numId w:val="14"/>
        </w:numPr>
        <w:rPr>
          <w:rFonts w:cs="Times New Roman"/>
        </w:rPr>
      </w:pPr>
      <w:r w:rsidRPr="00194C4A">
        <w:rPr>
          <w:rFonts w:cs="Times New Roman"/>
        </w:rPr>
        <w:t>w sektorze mieszkaniowym – ogrzewanie</w:t>
      </w:r>
      <w:r w:rsidR="007A0A70" w:rsidRPr="00194C4A">
        <w:rPr>
          <w:rFonts w:cs="Times New Roman"/>
        </w:rPr>
        <w:t xml:space="preserve"> i chłodzenie</w:t>
      </w:r>
      <w:r w:rsidRPr="00194C4A">
        <w:rPr>
          <w:rFonts w:cs="Times New Roman"/>
        </w:rPr>
        <w:t xml:space="preserve">, przygotowanie ciepłej wody użytkowej, przygotowanie posiłków, </w:t>
      </w:r>
    </w:p>
    <w:p w:rsidR="0057044A" w:rsidRPr="00194C4A" w:rsidRDefault="0057044A" w:rsidP="008A40A2">
      <w:pPr>
        <w:pStyle w:val="tekst"/>
        <w:numPr>
          <w:ilvl w:val="0"/>
          <w:numId w:val="14"/>
        </w:numPr>
        <w:rPr>
          <w:rFonts w:cs="Times New Roman"/>
        </w:rPr>
      </w:pPr>
      <w:r w:rsidRPr="00194C4A">
        <w:rPr>
          <w:rFonts w:cs="Times New Roman"/>
        </w:rPr>
        <w:t>w sektorze publicznym – ogrzewanie i chłodzenie, przygotowanie ciepłej wody użytkowej, przygotowanie posiłków,</w:t>
      </w:r>
    </w:p>
    <w:p w:rsidR="0057044A" w:rsidRPr="00194C4A" w:rsidRDefault="0057044A" w:rsidP="008A40A2">
      <w:pPr>
        <w:pStyle w:val="tekst"/>
        <w:numPr>
          <w:ilvl w:val="0"/>
          <w:numId w:val="14"/>
        </w:numPr>
        <w:rPr>
          <w:rFonts w:cs="Times New Roman"/>
        </w:rPr>
      </w:pPr>
      <w:r w:rsidRPr="00194C4A">
        <w:rPr>
          <w:rFonts w:cs="Times New Roman"/>
        </w:rPr>
        <w:t>w sektorze produkcyjnym i usługowym – ogrzewanie i chłodzeni</w:t>
      </w:r>
      <w:r w:rsidR="002C13D6" w:rsidRPr="00194C4A">
        <w:rPr>
          <w:rFonts w:cs="Times New Roman"/>
        </w:rPr>
        <w:t>e</w:t>
      </w:r>
      <w:r w:rsidRPr="00194C4A">
        <w:rPr>
          <w:rFonts w:cs="Times New Roman"/>
        </w:rPr>
        <w:t>, przygotowanie ciepłej wody użytkowej, procesy technologiczne.</w:t>
      </w:r>
    </w:p>
    <w:p w:rsidR="0057044A" w:rsidRPr="00194C4A" w:rsidRDefault="0057044A" w:rsidP="009617B3">
      <w:pPr>
        <w:pStyle w:val="Nagwek4"/>
        <w:ind w:left="864" w:hanging="864"/>
        <w:rPr>
          <w:rFonts w:ascii="Times New Roman" w:hAnsi="Times New Roman" w:cs="Times New Roman"/>
        </w:rPr>
      </w:pPr>
      <w:r w:rsidRPr="00194C4A">
        <w:rPr>
          <w:rFonts w:ascii="Times New Roman" w:hAnsi="Times New Roman" w:cs="Times New Roman"/>
        </w:rPr>
        <w:t>Metody obliczeniowe</w:t>
      </w:r>
    </w:p>
    <w:p w:rsidR="0057044A" w:rsidRPr="00194C4A" w:rsidRDefault="0057044A" w:rsidP="0057044A">
      <w:pPr>
        <w:pStyle w:val="tekst"/>
        <w:rPr>
          <w:rFonts w:cs="Times New Roman"/>
        </w:rPr>
      </w:pPr>
      <w:r w:rsidRPr="00194C4A">
        <w:rPr>
          <w:rFonts w:cs="Times New Roman"/>
        </w:rPr>
        <w:t>Ocenę zapotrzebowania na moc i energię cieplną dla potrzeb ogrzewania i przygotowania ciepłej wody użytkowej oraz przygotowania posiłków w stanie istniejącym sporządzono w oparciu o:</w:t>
      </w:r>
      <w:r w:rsidR="00EB68DA" w:rsidRPr="00194C4A">
        <w:rPr>
          <w:rFonts w:cs="Times New Roman"/>
        </w:rPr>
        <w:t> </w:t>
      </w:r>
      <w:r w:rsidRPr="00194C4A">
        <w:rPr>
          <w:rFonts w:cs="Times New Roman"/>
        </w:rPr>
        <w:t>informacje uzyskane od właścicieli lub użytkowników obiektów, dane otrzymane z Urzędu</w:t>
      </w:r>
      <w:r w:rsidR="00E9311E">
        <w:rPr>
          <w:rFonts w:cs="Times New Roman"/>
        </w:rPr>
        <w:t xml:space="preserve"> </w:t>
      </w:r>
      <w:r w:rsidR="002620A3">
        <w:rPr>
          <w:rFonts w:cs="Times New Roman"/>
        </w:rPr>
        <w:t>Gminy</w:t>
      </w:r>
      <w:r w:rsidRPr="00194C4A">
        <w:rPr>
          <w:rFonts w:cs="Times New Roman"/>
        </w:rPr>
        <w:t xml:space="preserve">, wyniki szacunkowo obliczonego zapotrzebowania na ciepło oraz danych statystycznych. </w:t>
      </w:r>
    </w:p>
    <w:p w:rsidR="0057044A" w:rsidRPr="00194C4A" w:rsidRDefault="0057044A" w:rsidP="0057044A">
      <w:pPr>
        <w:pStyle w:val="tekst"/>
        <w:rPr>
          <w:rFonts w:cs="Times New Roman"/>
        </w:rPr>
      </w:pPr>
      <w:r w:rsidRPr="00194C4A">
        <w:rPr>
          <w:rFonts w:cs="Times New Roman"/>
        </w:rPr>
        <w:t>Obliczenia dla budownictwa mieszkaniowego i obiektów usługowych wykonano w oparciu o metodę wskaźnikową dzieląc obiekty na grupy według lat budowy oraz wyznaczając na tej podstawie statystyczne zapotrzebowanie. Podobnie zapotrzebowanie na ciepło w budynkach usługowych oraz użyteczności publicznej zostało oszacowane na podstawie powierzchni użytkowej budynków oraz na podstawie ich stanu technicznego.</w:t>
      </w:r>
    </w:p>
    <w:p w:rsidR="0057044A" w:rsidRPr="00194C4A" w:rsidRDefault="0057044A" w:rsidP="0057044A">
      <w:pPr>
        <w:pStyle w:val="tekst"/>
        <w:rPr>
          <w:rFonts w:cs="Times New Roman"/>
          <w:u w:val="single"/>
        </w:rPr>
      </w:pPr>
      <w:r w:rsidRPr="00194C4A">
        <w:rPr>
          <w:rFonts w:cs="Times New Roman"/>
          <w:u w:val="single"/>
        </w:rPr>
        <w:t xml:space="preserve">Ogrzewanie w budownictwie mieszkaniowym </w:t>
      </w:r>
    </w:p>
    <w:p w:rsidR="0057044A" w:rsidRPr="00194C4A" w:rsidRDefault="0057044A" w:rsidP="0057044A">
      <w:pPr>
        <w:pStyle w:val="tekst"/>
        <w:rPr>
          <w:rFonts w:cs="Times New Roman"/>
        </w:rPr>
      </w:pPr>
      <w:r w:rsidRPr="00194C4A">
        <w:rPr>
          <w:rFonts w:cs="Times New Roman"/>
        </w:rPr>
        <w:t xml:space="preserve">Sezonowe zapotrzebowanie ciepła – </w:t>
      </w:r>
      <w:r w:rsidR="00927915" w:rsidRPr="00194C4A">
        <w:rPr>
          <w:rFonts w:cs="Times New Roman"/>
        </w:rPr>
        <w:t>Q</w:t>
      </w:r>
      <w:r w:rsidRPr="00194C4A">
        <w:rPr>
          <w:rFonts w:cs="Times New Roman"/>
          <w:sz w:val="16"/>
          <w:szCs w:val="16"/>
        </w:rPr>
        <w:t xml:space="preserve">CO </w:t>
      </w:r>
      <w:r w:rsidRPr="00194C4A">
        <w:rPr>
          <w:rFonts w:cs="Times New Roman"/>
        </w:rPr>
        <w:t xml:space="preserve">- określające zapotrzebowanie energii do ogrzewania i wentylacji w standardowym sezonie grzewczym obliczono ze wzoru: </w:t>
      </w:r>
    </w:p>
    <w:p w:rsidR="0057044A" w:rsidRPr="00194C4A" w:rsidRDefault="0057044A" w:rsidP="0057044A">
      <w:pPr>
        <w:pStyle w:val="tekst"/>
        <w:rPr>
          <w:rFonts w:cs="Times New Roman"/>
        </w:rPr>
      </w:pPr>
      <w:r w:rsidRPr="00194C4A">
        <w:rPr>
          <w:rFonts w:cs="Times New Roman"/>
          <w:b/>
          <w:bCs/>
        </w:rPr>
        <w:t>Q</w:t>
      </w:r>
      <w:r w:rsidRPr="00194C4A">
        <w:rPr>
          <w:rFonts w:cs="Times New Roman"/>
          <w:b/>
          <w:bCs/>
          <w:sz w:val="16"/>
          <w:szCs w:val="16"/>
        </w:rPr>
        <w:t xml:space="preserve">CO </w:t>
      </w:r>
      <w:r w:rsidRPr="00194C4A">
        <w:rPr>
          <w:rFonts w:cs="Times New Roman"/>
          <w:b/>
          <w:bCs/>
        </w:rPr>
        <w:t>= E x S x 3,6/10</w:t>
      </w:r>
      <w:r w:rsidRPr="00194C4A">
        <w:rPr>
          <w:rFonts w:cs="Times New Roman"/>
          <w:b/>
          <w:bCs/>
          <w:vertAlign w:val="superscript"/>
        </w:rPr>
        <w:t>-6</w:t>
      </w:r>
      <w:r w:rsidRPr="00194C4A">
        <w:rPr>
          <w:rFonts w:cs="Times New Roman"/>
          <w:b/>
          <w:bCs/>
        </w:rPr>
        <w:t>[MWh]</w:t>
      </w:r>
      <w:r w:rsidRPr="00194C4A">
        <w:rPr>
          <w:rFonts w:cs="Times New Roman"/>
        </w:rPr>
        <w:t xml:space="preserve"> gdzie: </w:t>
      </w:r>
    </w:p>
    <w:p w:rsidR="0057044A" w:rsidRPr="00194C4A" w:rsidRDefault="0057044A" w:rsidP="008A40A2">
      <w:pPr>
        <w:pStyle w:val="tekst"/>
        <w:numPr>
          <w:ilvl w:val="0"/>
          <w:numId w:val="16"/>
        </w:numPr>
        <w:spacing w:before="60" w:after="60" w:line="360" w:lineRule="auto"/>
        <w:rPr>
          <w:rFonts w:cs="Times New Roman"/>
          <w:sz w:val="16"/>
          <w:szCs w:val="16"/>
        </w:rPr>
      </w:pPr>
      <w:r w:rsidRPr="00194C4A">
        <w:rPr>
          <w:rFonts w:cs="Times New Roman"/>
        </w:rPr>
        <w:t>S - powierzchnia użytkowa odbiorców ciepła w m</w:t>
      </w:r>
      <w:r w:rsidRPr="00194C4A">
        <w:rPr>
          <w:rFonts w:cs="Times New Roman"/>
          <w:vertAlign w:val="superscript"/>
        </w:rPr>
        <w:t>2</w:t>
      </w:r>
    </w:p>
    <w:p w:rsidR="0057044A" w:rsidRPr="00194C4A" w:rsidRDefault="0057044A" w:rsidP="008A40A2">
      <w:pPr>
        <w:pStyle w:val="tekst"/>
        <w:numPr>
          <w:ilvl w:val="0"/>
          <w:numId w:val="16"/>
        </w:numPr>
        <w:spacing w:before="60" w:after="60" w:line="360" w:lineRule="auto"/>
        <w:rPr>
          <w:rFonts w:cs="Times New Roman"/>
        </w:rPr>
      </w:pPr>
      <w:r w:rsidRPr="00194C4A">
        <w:rPr>
          <w:rFonts w:cs="Times New Roman"/>
        </w:rPr>
        <w:t>E – wskaźnik rocznego zapotrzebowania na ciepło do ogrzewania w kWh/(m</w:t>
      </w:r>
      <w:r w:rsidRPr="00194C4A">
        <w:rPr>
          <w:rFonts w:cs="Times New Roman"/>
          <w:vertAlign w:val="superscript"/>
        </w:rPr>
        <w:t>2</w:t>
      </w:r>
      <w:r w:rsidRPr="00194C4A">
        <w:rPr>
          <w:rFonts w:cs="Times New Roman"/>
        </w:rPr>
        <w:t>*rok)</w:t>
      </w:r>
    </w:p>
    <w:p w:rsidR="0057044A" w:rsidRPr="00194C4A" w:rsidRDefault="0057044A" w:rsidP="008A40A2">
      <w:pPr>
        <w:pStyle w:val="tekst"/>
        <w:numPr>
          <w:ilvl w:val="0"/>
          <w:numId w:val="16"/>
        </w:numPr>
        <w:spacing w:before="60" w:after="60" w:line="360" w:lineRule="auto"/>
        <w:rPr>
          <w:rFonts w:cs="Times New Roman"/>
        </w:rPr>
      </w:pPr>
      <w:r w:rsidRPr="00194C4A">
        <w:rPr>
          <w:rFonts w:cs="Times New Roman"/>
        </w:rPr>
        <w:t xml:space="preserve">3,6/1000- przeliczenie jednostek na GJ. </w:t>
      </w:r>
    </w:p>
    <w:p w:rsidR="0057044A" w:rsidRPr="00194C4A" w:rsidRDefault="0057044A" w:rsidP="0057044A">
      <w:pPr>
        <w:pStyle w:val="tekst"/>
        <w:rPr>
          <w:rFonts w:cs="Times New Roman"/>
        </w:rPr>
      </w:pPr>
      <w:r w:rsidRPr="00194C4A">
        <w:rPr>
          <w:rFonts w:cs="Times New Roman"/>
        </w:rPr>
        <w:t>Przy obliczeniach uwzględniono wiek budynku oraz stopień modernizacji budynków.</w:t>
      </w:r>
    </w:p>
    <w:p w:rsidR="00D1087C" w:rsidRPr="00194C4A" w:rsidRDefault="0057044A" w:rsidP="00023FC3">
      <w:pPr>
        <w:pStyle w:val="tekst"/>
        <w:rPr>
          <w:rFonts w:cs="Times New Roman"/>
        </w:rPr>
      </w:pPr>
      <w:r w:rsidRPr="00194C4A">
        <w:rPr>
          <w:rFonts w:cs="Times New Roman"/>
        </w:rPr>
        <w:t xml:space="preserve">Maksymalne zapotrzebowanie na strumień ciepła (moc cieplną) – </w:t>
      </w:r>
      <w:r w:rsidR="00927915" w:rsidRPr="00194C4A">
        <w:rPr>
          <w:rFonts w:cs="Times New Roman"/>
        </w:rPr>
        <w:t>q</w:t>
      </w:r>
      <w:r w:rsidRPr="00194C4A">
        <w:rPr>
          <w:rFonts w:cs="Times New Roman"/>
          <w:sz w:val="16"/>
          <w:szCs w:val="16"/>
          <w:vertAlign w:val="subscript"/>
        </w:rPr>
        <w:t>CO</w:t>
      </w:r>
      <w:r w:rsidRPr="00194C4A">
        <w:rPr>
          <w:rFonts w:cs="Times New Roman"/>
        </w:rPr>
        <w:t xml:space="preserve">, określające, jaką moc musi zapewnić system do ogrzania budynku przy obliczeniowej temperaturze zewnętrznej – </w:t>
      </w:r>
      <w:r w:rsidR="00D23EF2" w:rsidRPr="00194C4A">
        <w:rPr>
          <w:rFonts w:cs="Times New Roman"/>
        </w:rPr>
        <w:t>18</w:t>
      </w:r>
      <w:r w:rsidRPr="00194C4A">
        <w:rPr>
          <w:rFonts w:cs="Times New Roman"/>
        </w:rPr>
        <w:t xml:space="preserve">ºC obliczono ze wzoru: </w:t>
      </w:r>
    </w:p>
    <w:p w:rsidR="0057044A" w:rsidRPr="00194C4A" w:rsidRDefault="0057044A" w:rsidP="00023FC3">
      <w:pPr>
        <w:pStyle w:val="tekst"/>
        <w:rPr>
          <w:rFonts w:cs="Times New Roman"/>
        </w:rPr>
      </w:pPr>
      <w:r w:rsidRPr="00194C4A">
        <w:rPr>
          <w:rFonts w:cs="Times New Roman"/>
          <w:b/>
          <w:bCs/>
        </w:rPr>
        <w:t>q</w:t>
      </w:r>
      <w:r w:rsidRPr="00194C4A">
        <w:rPr>
          <w:rFonts w:cs="Times New Roman"/>
          <w:b/>
          <w:bCs/>
          <w:vertAlign w:val="subscript"/>
        </w:rPr>
        <w:t>co</w:t>
      </w:r>
      <w:r w:rsidRPr="00194C4A">
        <w:rPr>
          <w:rFonts w:cs="Times New Roman"/>
          <w:b/>
          <w:bCs/>
        </w:rPr>
        <w:t>= Qco ∙ (1000/3,6) / (t</w:t>
      </w:r>
      <w:r w:rsidRPr="00194C4A">
        <w:rPr>
          <w:rFonts w:cs="Times New Roman"/>
          <w:b/>
          <w:bCs/>
          <w:vertAlign w:val="subscript"/>
        </w:rPr>
        <w:t>SG</w:t>
      </w:r>
      <w:r w:rsidRPr="00194C4A">
        <w:rPr>
          <w:rFonts w:cs="Times New Roman"/>
          <w:b/>
          <w:bCs/>
        </w:rPr>
        <w:t xml:space="preserve"> ∙ φi)  [kW] </w:t>
      </w:r>
      <w:r w:rsidRPr="00194C4A">
        <w:rPr>
          <w:rFonts w:cs="Times New Roman"/>
        </w:rPr>
        <w:t xml:space="preserve">gdzie: </w:t>
      </w:r>
    </w:p>
    <w:tbl>
      <w:tblPr>
        <w:tblW w:w="8797" w:type="dxa"/>
        <w:tblInd w:w="861" w:type="dxa"/>
        <w:tblCellMar>
          <w:top w:w="15" w:type="dxa"/>
          <w:left w:w="70" w:type="dxa"/>
          <w:bottom w:w="15" w:type="dxa"/>
          <w:right w:w="70" w:type="dxa"/>
        </w:tblCellMar>
        <w:tblLook w:val="04A0"/>
      </w:tblPr>
      <w:tblGrid>
        <w:gridCol w:w="960"/>
        <w:gridCol w:w="3166"/>
        <w:gridCol w:w="1454"/>
        <w:gridCol w:w="1760"/>
        <w:gridCol w:w="1505"/>
      </w:tblGrid>
      <w:tr w:rsidR="0057044A" w:rsidRPr="00194C4A" w:rsidTr="00927915">
        <w:trPr>
          <w:trHeight w:val="285"/>
        </w:trPr>
        <w:tc>
          <w:tcPr>
            <w:tcW w:w="960" w:type="dxa"/>
            <w:shd w:val="clear" w:color="000000" w:fill="FFFFFF"/>
            <w:noWrap/>
            <w:vAlign w:val="bottom"/>
            <w:hideMark/>
          </w:tcPr>
          <w:p w:rsidR="0057044A" w:rsidRPr="00194C4A" w:rsidRDefault="0057044A" w:rsidP="00927915">
            <w:pPr>
              <w:spacing w:after="0" w:line="240" w:lineRule="auto"/>
              <w:jc w:val="center"/>
              <w:rPr>
                <w:rFonts w:ascii="Times New Roman" w:eastAsia="Times New Roman" w:hAnsi="Times New Roman" w:cs="Times New Roman"/>
              </w:rPr>
            </w:pPr>
            <w:r w:rsidRPr="00194C4A">
              <w:rPr>
                <w:rFonts w:ascii="Times New Roman" w:eastAsia="Times New Roman" w:hAnsi="Times New Roman" w:cs="Times New Roman"/>
              </w:rPr>
              <w:t xml:space="preserve">E - </w:t>
            </w:r>
          </w:p>
        </w:tc>
        <w:tc>
          <w:tcPr>
            <w:tcW w:w="4620" w:type="dxa"/>
            <w:gridSpan w:val="2"/>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wskaźnik rocznego zapotrzebowania na ciepło do ogrzewania</w:t>
            </w:r>
          </w:p>
        </w:tc>
        <w:tc>
          <w:tcPr>
            <w:tcW w:w="1760"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457"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[kWh/(m</w:t>
            </w:r>
            <w:r w:rsidRPr="00194C4A">
              <w:rPr>
                <w:rFonts w:ascii="Times New Roman" w:eastAsia="Times New Roman" w:hAnsi="Times New Roman" w:cs="Times New Roman"/>
                <w:vertAlign w:val="superscript"/>
              </w:rPr>
              <w:t>2</w:t>
            </w:r>
            <w:r w:rsidRPr="00194C4A">
              <w:rPr>
                <w:rFonts w:ascii="Times New Roman" w:eastAsia="Times New Roman" w:hAnsi="Times New Roman" w:cs="Times New Roman"/>
              </w:rPr>
              <w:t>*rok)]</w:t>
            </w:r>
          </w:p>
        </w:tc>
      </w:tr>
      <w:tr w:rsidR="0057044A" w:rsidRPr="00194C4A" w:rsidTr="00927915">
        <w:trPr>
          <w:trHeight w:val="285"/>
        </w:trPr>
        <w:tc>
          <w:tcPr>
            <w:tcW w:w="960" w:type="dxa"/>
            <w:shd w:val="clear" w:color="000000" w:fill="FFFFFF"/>
            <w:noWrap/>
            <w:vAlign w:val="bottom"/>
            <w:hideMark/>
          </w:tcPr>
          <w:p w:rsidR="0057044A" w:rsidRPr="00194C4A" w:rsidRDefault="0057044A" w:rsidP="00927915">
            <w:pPr>
              <w:spacing w:after="0" w:line="240" w:lineRule="auto"/>
              <w:jc w:val="center"/>
              <w:rPr>
                <w:rFonts w:ascii="Times New Roman" w:eastAsia="Times New Roman" w:hAnsi="Times New Roman" w:cs="Times New Roman"/>
              </w:rPr>
            </w:pPr>
            <w:r w:rsidRPr="00194C4A">
              <w:rPr>
                <w:rFonts w:ascii="Times New Roman" w:eastAsia="Times New Roman" w:hAnsi="Times New Roman" w:cs="Times New Roman"/>
              </w:rPr>
              <w:t xml:space="preserve">S - </w:t>
            </w:r>
          </w:p>
        </w:tc>
        <w:tc>
          <w:tcPr>
            <w:tcW w:w="3166"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 powierzchnia ogrzewana budynku</w:t>
            </w:r>
          </w:p>
        </w:tc>
        <w:tc>
          <w:tcPr>
            <w:tcW w:w="1454"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760"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457"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[m</w:t>
            </w:r>
            <w:r w:rsidRPr="00194C4A">
              <w:rPr>
                <w:rFonts w:ascii="Times New Roman" w:eastAsia="Times New Roman" w:hAnsi="Times New Roman" w:cs="Times New Roman"/>
                <w:vertAlign w:val="superscript"/>
              </w:rPr>
              <w:t>2</w:t>
            </w:r>
            <w:r w:rsidRPr="00194C4A">
              <w:rPr>
                <w:rFonts w:ascii="Times New Roman" w:eastAsia="Times New Roman" w:hAnsi="Times New Roman" w:cs="Times New Roman"/>
              </w:rPr>
              <w:t>]</w:t>
            </w:r>
          </w:p>
        </w:tc>
      </w:tr>
      <w:tr w:rsidR="0057044A" w:rsidRPr="00194C4A" w:rsidTr="00927915">
        <w:trPr>
          <w:trHeight w:val="315"/>
        </w:trPr>
        <w:tc>
          <w:tcPr>
            <w:tcW w:w="960" w:type="dxa"/>
            <w:shd w:val="clear" w:color="000000" w:fill="FFFFFF"/>
            <w:noWrap/>
            <w:vAlign w:val="bottom"/>
            <w:hideMark/>
          </w:tcPr>
          <w:p w:rsidR="0057044A" w:rsidRPr="00194C4A" w:rsidRDefault="0057044A" w:rsidP="00927915">
            <w:pPr>
              <w:spacing w:after="0" w:line="240" w:lineRule="auto"/>
              <w:jc w:val="center"/>
              <w:rPr>
                <w:rFonts w:ascii="Times New Roman" w:eastAsia="Times New Roman" w:hAnsi="Times New Roman" w:cs="Times New Roman"/>
              </w:rPr>
            </w:pPr>
            <w:r w:rsidRPr="00194C4A">
              <w:rPr>
                <w:rFonts w:ascii="Times New Roman" w:eastAsia="Times New Roman" w:hAnsi="Times New Roman" w:cs="Times New Roman"/>
              </w:rPr>
              <w:t>t</w:t>
            </w:r>
            <w:r w:rsidRPr="00194C4A">
              <w:rPr>
                <w:rFonts w:ascii="Times New Roman" w:eastAsia="Times New Roman" w:hAnsi="Times New Roman" w:cs="Times New Roman"/>
                <w:vertAlign w:val="subscript"/>
              </w:rPr>
              <w:t>SG</w:t>
            </w:r>
            <w:r w:rsidRPr="00194C4A">
              <w:rPr>
                <w:rFonts w:ascii="Times New Roman" w:eastAsia="Times New Roman" w:hAnsi="Times New Roman" w:cs="Times New Roman"/>
              </w:rPr>
              <w:t xml:space="preserve"> - </w:t>
            </w:r>
          </w:p>
        </w:tc>
        <w:tc>
          <w:tcPr>
            <w:tcW w:w="3166"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 długość sezonu grzewczego w h</w:t>
            </w:r>
          </w:p>
        </w:tc>
        <w:tc>
          <w:tcPr>
            <w:tcW w:w="1454"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760"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457"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[h]</w:t>
            </w:r>
          </w:p>
        </w:tc>
      </w:tr>
      <w:tr w:rsidR="0057044A" w:rsidRPr="00194C4A" w:rsidTr="00927915">
        <w:trPr>
          <w:trHeight w:val="375"/>
        </w:trPr>
        <w:tc>
          <w:tcPr>
            <w:tcW w:w="4126" w:type="dxa"/>
            <w:gridSpan w:val="2"/>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φ</w:t>
            </w:r>
            <w:r w:rsidRPr="00194C4A">
              <w:rPr>
                <w:rFonts w:ascii="Times New Roman" w:eastAsia="Times New Roman" w:hAnsi="Times New Roman" w:cs="Times New Roman"/>
                <w:vertAlign w:val="subscript"/>
              </w:rPr>
              <w:t>i</w:t>
            </w:r>
            <w:r w:rsidRPr="00194C4A">
              <w:rPr>
                <w:rFonts w:ascii="Times New Roman" w:eastAsia="Times New Roman" w:hAnsi="Times New Roman" w:cs="Times New Roman"/>
              </w:rPr>
              <w:t xml:space="preserve"> = q</w:t>
            </w:r>
            <w:r w:rsidRPr="00194C4A">
              <w:rPr>
                <w:rFonts w:ascii="Times New Roman" w:eastAsia="Times New Roman" w:hAnsi="Times New Roman" w:cs="Times New Roman"/>
                <w:vertAlign w:val="subscript"/>
              </w:rPr>
              <w:t>co,śr</w:t>
            </w:r>
            <w:r w:rsidRPr="00194C4A">
              <w:rPr>
                <w:rFonts w:ascii="Times New Roman" w:eastAsia="Times New Roman" w:hAnsi="Times New Roman" w:cs="Times New Roman"/>
              </w:rPr>
              <w:t xml:space="preserve"> / q</w:t>
            </w:r>
            <w:r w:rsidRPr="00194C4A">
              <w:rPr>
                <w:rFonts w:ascii="Times New Roman" w:eastAsia="Times New Roman" w:hAnsi="Times New Roman" w:cs="Times New Roman"/>
                <w:vertAlign w:val="subscript"/>
              </w:rPr>
              <w:t>co,max</w:t>
            </w:r>
            <w:r w:rsidRPr="00194C4A">
              <w:rPr>
                <w:rFonts w:ascii="Times New Roman" w:eastAsia="Times New Roman" w:hAnsi="Times New Roman" w:cs="Times New Roman"/>
              </w:rPr>
              <w:t xml:space="preserve"> = (T</w:t>
            </w:r>
            <w:r w:rsidRPr="00194C4A">
              <w:rPr>
                <w:rFonts w:ascii="Times New Roman" w:eastAsia="Times New Roman" w:hAnsi="Times New Roman" w:cs="Times New Roman"/>
                <w:vertAlign w:val="subscript"/>
              </w:rPr>
              <w:t>w</w:t>
            </w:r>
            <w:r w:rsidRPr="00194C4A">
              <w:rPr>
                <w:rFonts w:ascii="Times New Roman" w:eastAsia="Times New Roman" w:hAnsi="Times New Roman" w:cs="Times New Roman"/>
              </w:rPr>
              <w:t>-T</w:t>
            </w:r>
            <w:r w:rsidRPr="00194C4A">
              <w:rPr>
                <w:rFonts w:ascii="Times New Roman" w:eastAsia="Times New Roman" w:hAnsi="Times New Roman" w:cs="Times New Roman"/>
                <w:vertAlign w:val="subscript"/>
              </w:rPr>
              <w:t>z,sr</w:t>
            </w:r>
            <w:r w:rsidRPr="00194C4A">
              <w:rPr>
                <w:rFonts w:ascii="Times New Roman" w:eastAsia="Times New Roman" w:hAnsi="Times New Roman" w:cs="Times New Roman"/>
              </w:rPr>
              <w:t>) / (T</w:t>
            </w:r>
            <w:r w:rsidRPr="00194C4A">
              <w:rPr>
                <w:rFonts w:ascii="Times New Roman" w:eastAsia="Times New Roman" w:hAnsi="Times New Roman" w:cs="Times New Roman"/>
                <w:vertAlign w:val="subscript"/>
              </w:rPr>
              <w:t>w</w:t>
            </w:r>
            <w:r w:rsidRPr="00194C4A">
              <w:rPr>
                <w:rFonts w:ascii="Times New Roman" w:eastAsia="Times New Roman" w:hAnsi="Times New Roman" w:cs="Times New Roman"/>
              </w:rPr>
              <w:t>-T</w:t>
            </w:r>
            <w:r w:rsidRPr="00194C4A">
              <w:rPr>
                <w:rFonts w:ascii="Times New Roman" w:eastAsia="Times New Roman" w:hAnsi="Times New Roman" w:cs="Times New Roman"/>
                <w:vertAlign w:val="subscript"/>
              </w:rPr>
              <w:t>z,min</w:t>
            </w:r>
            <w:r w:rsidRPr="00194C4A">
              <w:rPr>
                <w:rFonts w:ascii="Times New Roman" w:eastAsia="Times New Roman" w:hAnsi="Times New Roman" w:cs="Times New Roman"/>
              </w:rPr>
              <w:t>)</w:t>
            </w:r>
          </w:p>
        </w:tc>
        <w:tc>
          <w:tcPr>
            <w:tcW w:w="1454"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760"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p>
        </w:tc>
        <w:tc>
          <w:tcPr>
            <w:tcW w:w="1457" w:type="dxa"/>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rPr>
            </w:pPr>
            <w:r w:rsidRPr="00194C4A">
              <w:rPr>
                <w:rFonts w:ascii="Times New Roman" w:eastAsia="Times New Roman" w:hAnsi="Times New Roman" w:cs="Times New Roman"/>
              </w:rPr>
              <w:t>---</w:t>
            </w:r>
          </w:p>
        </w:tc>
      </w:tr>
    </w:tbl>
    <w:p w:rsidR="00023FC3" w:rsidRPr="00194C4A" w:rsidRDefault="00023FC3" w:rsidP="0057044A">
      <w:pPr>
        <w:pStyle w:val="tekst"/>
        <w:rPr>
          <w:rFonts w:cs="Times New Roman"/>
          <w:u w:val="single"/>
        </w:rPr>
      </w:pPr>
    </w:p>
    <w:p w:rsidR="0057044A" w:rsidRPr="00194C4A" w:rsidRDefault="0057044A" w:rsidP="0057044A">
      <w:pPr>
        <w:pStyle w:val="tekst"/>
        <w:rPr>
          <w:rFonts w:cs="Times New Roman"/>
          <w:u w:val="single"/>
        </w:rPr>
      </w:pPr>
      <w:r w:rsidRPr="00194C4A">
        <w:rPr>
          <w:rFonts w:cs="Times New Roman"/>
          <w:u w:val="single"/>
        </w:rPr>
        <w:lastRenderedPageBreak/>
        <w:t>Ogrzewanie w budynkach usługowych</w:t>
      </w:r>
      <w:r w:rsidR="00AB295B" w:rsidRPr="00194C4A">
        <w:rPr>
          <w:rFonts w:cs="Times New Roman"/>
          <w:u w:val="single"/>
        </w:rPr>
        <w:t xml:space="preserve"> i administracji</w:t>
      </w:r>
    </w:p>
    <w:p w:rsidR="0057044A" w:rsidRPr="00194C4A" w:rsidRDefault="0057044A" w:rsidP="0057044A">
      <w:pPr>
        <w:pStyle w:val="tekst"/>
        <w:rPr>
          <w:rFonts w:cs="Times New Roman"/>
        </w:rPr>
      </w:pPr>
      <w:r w:rsidRPr="00194C4A">
        <w:rPr>
          <w:rFonts w:cs="Times New Roman"/>
        </w:rPr>
        <w:t xml:space="preserve">Zapotrzebowanie na ciepło w </w:t>
      </w:r>
      <w:r w:rsidR="009F470C" w:rsidRPr="00194C4A">
        <w:rPr>
          <w:rFonts w:cs="Times New Roman"/>
        </w:rPr>
        <w:t>budynkach usługowych</w:t>
      </w:r>
      <w:r w:rsidRPr="00194C4A">
        <w:rPr>
          <w:rFonts w:cs="Times New Roman"/>
        </w:rPr>
        <w:t xml:space="preserve"> w gminie </w:t>
      </w:r>
      <w:r w:rsidR="00A83241">
        <w:rPr>
          <w:rFonts w:cs="Times New Roman"/>
        </w:rPr>
        <w:t>Wieliczki</w:t>
      </w:r>
      <w:r w:rsidRPr="00194C4A">
        <w:rPr>
          <w:rFonts w:cs="Times New Roman"/>
        </w:rPr>
        <w:t xml:space="preserve"> zostało obliczone na podstawie powierzchni budynków oraz ich stanu według wzoru: </w:t>
      </w:r>
    </w:p>
    <w:p w:rsidR="0057044A" w:rsidRPr="00194C4A" w:rsidRDefault="0057044A" w:rsidP="0057044A">
      <w:pPr>
        <w:pStyle w:val="tekst"/>
        <w:rPr>
          <w:rFonts w:cs="Times New Roman"/>
        </w:rPr>
      </w:pPr>
      <w:r w:rsidRPr="00194C4A">
        <w:rPr>
          <w:rFonts w:cs="Times New Roman"/>
        </w:rPr>
        <w:t>Sezonowe zapotrzebowanie ciepła Q</w:t>
      </w:r>
      <w:r w:rsidRPr="00194C4A">
        <w:rPr>
          <w:rFonts w:cs="Times New Roman"/>
          <w:sz w:val="16"/>
          <w:szCs w:val="16"/>
        </w:rPr>
        <w:t>CO</w:t>
      </w:r>
      <w:r w:rsidR="002620A3">
        <w:rPr>
          <w:rFonts w:cs="Times New Roman"/>
        </w:rPr>
        <w:t>,</w:t>
      </w:r>
      <w:r w:rsidRPr="00194C4A">
        <w:rPr>
          <w:rFonts w:cs="Times New Roman"/>
        </w:rPr>
        <w:t xml:space="preserve"> określające zapotrzebowanie energii do ogrzewania i wentylacji w standardowym sezonie grzewczym</w:t>
      </w:r>
      <w:r w:rsidR="002620A3">
        <w:rPr>
          <w:rFonts w:cs="Times New Roman"/>
        </w:rPr>
        <w:t>,</w:t>
      </w:r>
      <w:r w:rsidRPr="00194C4A">
        <w:rPr>
          <w:rFonts w:cs="Times New Roman"/>
        </w:rPr>
        <w:t xml:space="preserve"> obliczono ze wzoru: </w:t>
      </w:r>
    </w:p>
    <w:p w:rsidR="00172D31" w:rsidRPr="00194C4A" w:rsidRDefault="00172D31" w:rsidP="0057044A">
      <w:pPr>
        <w:pStyle w:val="tekst"/>
        <w:rPr>
          <w:rFonts w:cs="Times New Roman"/>
        </w:rPr>
      </w:pPr>
    </w:p>
    <w:p w:rsidR="0057044A" w:rsidRPr="00194C4A" w:rsidRDefault="0057044A" w:rsidP="00FF7B1C">
      <w:pPr>
        <w:pStyle w:val="tekst"/>
        <w:spacing w:line="26" w:lineRule="atLeast"/>
        <w:rPr>
          <w:rFonts w:cs="Times New Roman"/>
        </w:rPr>
      </w:pPr>
      <w:r w:rsidRPr="00194C4A">
        <w:rPr>
          <w:rFonts w:cs="Times New Roman"/>
          <w:b/>
          <w:bCs/>
        </w:rPr>
        <w:t>Q</w:t>
      </w:r>
      <w:r w:rsidRPr="00194C4A">
        <w:rPr>
          <w:rFonts w:cs="Times New Roman"/>
          <w:b/>
          <w:bCs/>
          <w:sz w:val="16"/>
          <w:szCs w:val="16"/>
        </w:rPr>
        <w:t xml:space="preserve">CO </w:t>
      </w:r>
      <w:r w:rsidRPr="00194C4A">
        <w:rPr>
          <w:rFonts w:cs="Times New Roman"/>
          <w:b/>
          <w:bCs/>
        </w:rPr>
        <w:t xml:space="preserve">= P x WP x SD x WUC x 24 x 10 </w:t>
      </w:r>
      <w:r w:rsidRPr="00194C4A">
        <w:rPr>
          <w:rFonts w:cs="Times New Roman"/>
          <w:b/>
          <w:bCs/>
          <w:sz w:val="16"/>
          <w:szCs w:val="16"/>
        </w:rPr>
        <w:t xml:space="preserve">-6 </w:t>
      </w:r>
      <w:r w:rsidRPr="00194C4A">
        <w:rPr>
          <w:rFonts w:cs="Times New Roman"/>
          <w:b/>
          <w:bCs/>
        </w:rPr>
        <w:t xml:space="preserve">[MWh] x 3,6 x 10 </w:t>
      </w:r>
      <w:r w:rsidRPr="00194C4A">
        <w:rPr>
          <w:rFonts w:cs="Times New Roman"/>
          <w:b/>
          <w:bCs/>
          <w:sz w:val="16"/>
          <w:szCs w:val="16"/>
        </w:rPr>
        <w:t xml:space="preserve">-3 </w:t>
      </w:r>
      <w:r w:rsidRPr="00194C4A">
        <w:rPr>
          <w:rFonts w:cs="Times New Roman"/>
          <w:b/>
          <w:bCs/>
        </w:rPr>
        <w:t>[TJ</w:t>
      </w:r>
      <w:r w:rsidRPr="00194C4A">
        <w:rPr>
          <w:rFonts w:cs="Times New Roman"/>
        </w:rPr>
        <w:t xml:space="preserve">] gdzie: </w:t>
      </w:r>
    </w:p>
    <w:p w:rsidR="0057044A" w:rsidRPr="00194C4A" w:rsidRDefault="0057044A" w:rsidP="008A40A2">
      <w:pPr>
        <w:pStyle w:val="tekst"/>
        <w:numPr>
          <w:ilvl w:val="0"/>
          <w:numId w:val="19"/>
        </w:numPr>
        <w:spacing w:before="60" w:after="60" w:line="26" w:lineRule="atLeast"/>
        <w:rPr>
          <w:rFonts w:cs="Times New Roman"/>
          <w:sz w:val="16"/>
          <w:szCs w:val="16"/>
        </w:rPr>
      </w:pPr>
      <w:r w:rsidRPr="00194C4A">
        <w:rPr>
          <w:rFonts w:cs="Times New Roman"/>
        </w:rPr>
        <w:t>P</w:t>
      </w:r>
      <w:r w:rsidR="002620A3">
        <w:rPr>
          <w:rFonts w:cs="Times New Roman"/>
        </w:rPr>
        <w:t xml:space="preserve"> – </w:t>
      </w:r>
      <w:r w:rsidRPr="00194C4A">
        <w:rPr>
          <w:rFonts w:cs="Times New Roman"/>
        </w:rPr>
        <w:t xml:space="preserve">powierzchnia użytkowa odbiorców ciepła w m </w:t>
      </w:r>
    </w:p>
    <w:p w:rsidR="0057044A" w:rsidRPr="00194C4A" w:rsidRDefault="0057044A" w:rsidP="008A40A2">
      <w:pPr>
        <w:pStyle w:val="tekst"/>
        <w:numPr>
          <w:ilvl w:val="0"/>
          <w:numId w:val="19"/>
        </w:numPr>
        <w:spacing w:before="60" w:after="60" w:line="26" w:lineRule="atLeast"/>
        <w:rPr>
          <w:rFonts w:cs="Times New Roman"/>
        </w:rPr>
      </w:pPr>
      <w:r w:rsidRPr="00194C4A">
        <w:rPr>
          <w:rFonts w:cs="Times New Roman"/>
        </w:rPr>
        <w:t>WP – wskaźnik zapotrzebowania na moc cieplną w W/(m</w:t>
      </w:r>
      <w:r w:rsidRPr="00194C4A">
        <w:rPr>
          <w:rFonts w:cs="Times New Roman"/>
          <w:szCs w:val="24"/>
          <w:vertAlign w:val="superscript"/>
        </w:rPr>
        <w:t>2</w:t>
      </w:r>
      <w:r w:rsidRPr="00194C4A">
        <w:rPr>
          <w:rFonts w:cs="Times New Roman"/>
          <w:szCs w:val="24"/>
        </w:rPr>
        <w:t>K)</w:t>
      </w:r>
    </w:p>
    <w:p w:rsidR="0057044A" w:rsidRPr="00194C4A" w:rsidRDefault="0057044A" w:rsidP="008A40A2">
      <w:pPr>
        <w:pStyle w:val="tekst"/>
        <w:numPr>
          <w:ilvl w:val="0"/>
          <w:numId w:val="19"/>
        </w:numPr>
        <w:spacing w:before="60" w:after="60" w:line="26" w:lineRule="atLeast"/>
        <w:rPr>
          <w:rFonts w:cs="Times New Roman"/>
        </w:rPr>
      </w:pPr>
      <w:r w:rsidRPr="00194C4A">
        <w:rPr>
          <w:rFonts w:cs="Times New Roman"/>
        </w:rPr>
        <w:t xml:space="preserve">SD – stopniodni w </w:t>
      </w:r>
      <w:r w:rsidRPr="00194C4A">
        <w:rPr>
          <w:rFonts w:cs="Times New Roman"/>
          <w:sz w:val="16"/>
          <w:szCs w:val="16"/>
        </w:rPr>
        <w:t>0</w:t>
      </w:r>
      <w:r w:rsidRPr="00194C4A">
        <w:rPr>
          <w:rFonts w:cs="Times New Roman"/>
        </w:rPr>
        <w:t>C, dzień - SD = 3</w:t>
      </w:r>
      <w:r w:rsidR="00AB3C05" w:rsidRPr="00194C4A">
        <w:rPr>
          <w:rFonts w:cs="Times New Roman"/>
        </w:rPr>
        <w:t>454</w:t>
      </w:r>
    </w:p>
    <w:p w:rsidR="0057044A" w:rsidRPr="00194C4A" w:rsidRDefault="0057044A" w:rsidP="008A40A2">
      <w:pPr>
        <w:pStyle w:val="tekst"/>
        <w:numPr>
          <w:ilvl w:val="0"/>
          <w:numId w:val="19"/>
        </w:numPr>
        <w:spacing w:before="60" w:after="60" w:line="26" w:lineRule="atLeast"/>
        <w:rPr>
          <w:rFonts w:cs="Times New Roman"/>
        </w:rPr>
      </w:pPr>
      <w:r w:rsidRPr="00194C4A">
        <w:rPr>
          <w:rFonts w:cs="Times New Roman"/>
        </w:rPr>
        <w:t xml:space="preserve">WUC </w:t>
      </w:r>
      <w:r w:rsidR="002620A3">
        <w:rPr>
          <w:rFonts w:cs="Times New Roman"/>
        </w:rPr>
        <w:t>–</w:t>
      </w:r>
      <w:r w:rsidRPr="00194C4A">
        <w:rPr>
          <w:rFonts w:cs="Times New Roman"/>
        </w:rPr>
        <w:t xml:space="preserve"> współczynnik użytkowania ciepła uwzględniający wpływ innych źródeł ciepła, takich jak sąsiednie mieszkania, kuchnie, sprzęt rtv, oświetlenie itp.</w:t>
      </w:r>
      <w:r w:rsidR="002620A3">
        <w:rPr>
          <w:rFonts w:cs="Times New Roman"/>
        </w:rPr>
        <w:t>;</w:t>
      </w:r>
      <w:r w:rsidRPr="00194C4A">
        <w:rPr>
          <w:rFonts w:cs="Times New Roman"/>
        </w:rPr>
        <w:t xml:space="preserve"> przyjęto 0.9 </w:t>
      </w:r>
    </w:p>
    <w:p w:rsidR="0057044A" w:rsidRPr="00194C4A" w:rsidRDefault="0057044A" w:rsidP="008A40A2">
      <w:pPr>
        <w:pStyle w:val="tekst"/>
        <w:numPr>
          <w:ilvl w:val="0"/>
          <w:numId w:val="19"/>
        </w:numPr>
        <w:spacing w:before="60" w:after="60" w:line="26" w:lineRule="atLeast"/>
        <w:rPr>
          <w:rFonts w:cs="Times New Roman"/>
          <w:szCs w:val="24"/>
        </w:rPr>
      </w:pPr>
      <w:r w:rsidRPr="00194C4A">
        <w:rPr>
          <w:rFonts w:cs="Times New Roman"/>
        </w:rPr>
        <w:t>24 i 10</w:t>
      </w:r>
      <w:r w:rsidRPr="00194C4A">
        <w:rPr>
          <w:rFonts w:cs="Times New Roman"/>
          <w:szCs w:val="24"/>
          <w:vertAlign w:val="superscript"/>
        </w:rPr>
        <w:t>-6</w:t>
      </w:r>
      <w:r w:rsidR="002620A3">
        <w:rPr>
          <w:rFonts w:cs="Times New Roman"/>
        </w:rPr>
        <w:t>–</w:t>
      </w:r>
      <w:r w:rsidRPr="00194C4A">
        <w:rPr>
          <w:rFonts w:cs="Times New Roman"/>
          <w:szCs w:val="24"/>
        </w:rPr>
        <w:t xml:space="preserve"> przeliczenie jednostek na h i MWh. </w:t>
      </w:r>
    </w:p>
    <w:p w:rsidR="0057044A" w:rsidRPr="00194C4A" w:rsidRDefault="0057044A" w:rsidP="008A40A2">
      <w:pPr>
        <w:pStyle w:val="tekst"/>
        <w:numPr>
          <w:ilvl w:val="0"/>
          <w:numId w:val="19"/>
        </w:numPr>
        <w:spacing w:before="60" w:after="60" w:line="26" w:lineRule="atLeast"/>
        <w:rPr>
          <w:rFonts w:cs="Times New Roman"/>
          <w:szCs w:val="24"/>
        </w:rPr>
      </w:pPr>
      <w:r w:rsidRPr="00194C4A">
        <w:rPr>
          <w:rFonts w:cs="Times New Roman"/>
          <w:szCs w:val="24"/>
        </w:rPr>
        <w:t>3,6 i 10</w:t>
      </w:r>
      <w:r w:rsidRPr="00194C4A">
        <w:rPr>
          <w:rFonts w:cs="Times New Roman"/>
          <w:szCs w:val="24"/>
          <w:vertAlign w:val="superscript"/>
        </w:rPr>
        <w:t>-3</w:t>
      </w:r>
      <w:r w:rsidRPr="00194C4A">
        <w:rPr>
          <w:rFonts w:cs="Times New Roman"/>
          <w:szCs w:val="24"/>
        </w:rPr>
        <w:t xml:space="preserve"> – przeliczenie na TJ (1 MWh = 3,6 GJ) </w:t>
      </w:r>
    </w:p>
    <w:p w:rsidR="0057044A" w:rsidRPr="00194C4A" w:rsidRDefault="0057044A" w:rsidP="0057044A">
      <w:pPr>
        <w:pStyle w:val="tekst"/>
        <w:rPr>
          <w:rFonts w:cs="Times New Roman"/>
          <w:szCs w:val="24"/>
        </w:rPr>
      </w:pPr>
      <w:r w:rsidRPr="00194C4A">
        <w:rPr>
          <w:rFonts w:cs="Times New Roman"/>
          <w:szCs w:val="24"/>
        </w:rPr>
        <w:t xml:space="preserve">Maksymalne zapotrzebowanie na strumień ciepła (moc cieplną) – MCO, określające, jaką moc musi zapewnić system do ogrzania budynku przy obliczeniowej temperaturze zewnętrznej obliczono ze wzoru: </w:t>
      </w:r>
    </w:p>
    <w:p w:rsidR="0057044A" w:rsidRPr="00194C4A" w:rsidRDefault="0057044A" w:rsidP="00FF7B1C">
      <w:pPr>
        <w:pStyle w:val="tekst"/>
        <w:spacing w:line="26" w:lineRule="atLeast"/>
        <w:rPr>
          <w:rFonts w:cs="Times New Roman"/>
          <w:szCs w:val="24"/>
        </w:rPr>
      </w:pPr>
      <w:r w:rsidRPr="00194C4A">
        <w:rPr>
          <w:rFonts w:cs="Times New Roman"/>
          <w:b/>
          <w:bCs/>
          <w:szCs w:val="24"/>
        </w:rPr>
        <w:t xml:space="preserve">MCO = P x WP x Δ T x 10 -6 [MW] </w:t>
      </w:r>
      <w:r w:rsidRPr="00194C4A">
        <w:rPr>
          <w:rFonts w:cs="Times New Roman"/>
          <w:szCs w:val="24"/>
        </w:rPr>
        <w:t xml:space="preserve">gdzie: </w:t>
      </w:r>
    </w:p>
    <w:p w:rsidR="003929AF" w:rsidRPr="00194C4A" w:rsidRDefault="0057044A" w:rsidP="008A40A2">
      <w:pPr>
        <w:pStyle w:val="tekst"/>
        <w:numPr>
          <w:ilvl w:val="0"/>
          <w:numId w:val="15"/>
        </w:numPr>
        <w:spacing w:before="60" w:after="60" w:line="26" w:lineRule="atLeast"/>
        <w:rPr>
          <w:rFonts w:cs="Times New Roman"/>
          <w:szCs w:val="24"/>
        </w:rPr>
      </w:pPr>
      <w:r w:rsidRPr="00194C4A">
        <w:rPr>
          <w:rFonts w:cs="Times New Roman"/>
          <w:szCs w:val="24"/>
        </w:rPr>
        <w:t xml:space="preserve">Δ T – różnica temperatur zewnętrznej (- 18 </w:t>
      </w:r>
      <w:r w:rsidRPr="00194C4A">
        <w:rPr>
          <w:rFonts w:cs="Times New Roman"/>
          <w:szCs w:val="24"/>
          <w:vertAlign w:val="superscript"/>
        </w:rPr>
        <w:t>0</w:t>
      </w:r>
      <w:r w:rsidRPr="00194C4A">
        <w:rPr>
          <w:rFonts w:cs="Times New Roman"/>
          <w:szCs w:val="24"/>
        </w:rPr>
        <w:t xml:space="preserve">C) i średniej wewnętrznej (przyjęto +20 </w:t>
      </w:r>
      <w:r w:rsidRPr="00194C4A">
        <w:rPr>
          <w:rFonts w:cs="Times New Roman"/>
          <w:szCs w:val="24"/>
          <w:vertAlign w:val="superscript"/>
        </w:rPr>
        <w:t>0</w:t>
      </w:r>
      <w:r w:rsidRPr="00194C4A">
        <w:rPr>
          <w:rFonts w:cs="Times New Roman"/>
          <w:szCs w:val="24"/>
        </w:rPr>
        <w:t>C),</w:t>
      </w:r>
    </w:p>
    <w:p w:rsidR="0057044A" w:rsidRPr="00194C4A" w:rsidRDefault="0057044A" w:rsidP="00FF7B1C">
      <w:pPr>
        <w:pStyle w:val="tekst"/>
        <w:spacing w:before="60" w:after="60" w:line="26" w:lineRule="atLeast"/>
        <w:ind w:left="720" w:firstLine="0"/>
        <w:rPr>
          <w:rFonts w:cs="Times New Roman"/>
          <w:szCs w:val="24"/>
        </w:rPr>
      </w:pPr>
      <w:r w:rsidRPr="00194C4A">
        <w:rPr>
          <w:rFonts w:cs="Times New Roman"/>
          <w:szCs w:val="24"/>
        </w:rPr>
        <w:t xml:space="preserve">ΔT= 38 </w:t>
      </w:r>
      <w:r w:rsidRPr="00194C4A">
        <w:rPr>
          <w:rFonts w:cs="Times New Roman"/>
          <w:szCs w:val="24"/>
          <w:vertAlign w:val="superscript"/>
        </w:rPr>
        <w:t>0</w:t>
      </w:r>
      <w:r w:rsidRPr="00194C4A">
        <w:rPr>
          <w:rFonts w:cs="Times New Roman"/>
          <w:szCs w:val="24"/>
        </w:rPr>
        <w:t xml:space="preserve">C </w:t>
      </w:r>
    </w:p>
    <w:p w:rsidR="0057044A" w:rsidRPr="00194C4A" w:rsidRDefault="0057044A" w:rsidP="008A40A2">
      <w:pPr>
        <w:pStyle w:val="tekst"/>
        <w:numPr>
          <w:ilvl w:val="0"/>
          <w:numId w:val="15"/>
        </w:numPr>
        <w:spacing w:before="60" w:after="60" w:line="26" w:lineRule="atLeast"/>
        <w:rPr>
          <w:rFonts w:cs="Times New Roman"/>
        </w:rPr>
      </w:pPr>
      <w:r w:rsidRPr="00194C4A">
        <w:rPr>
          <w:rFonts w:cs="Times New Roman"/>
          <w:szCs w:val="24"/>
        </w:rPr>
        <w:t>10</w:t>
      </w:r>
      <w:r w:rsidRPr="00194C4A">
        <w:rPr>
          <w:rFonts w:cs="Times New Roman"/>
          <w:szCs w:val="24"/>
          <w:vertAlign w:val="superscript"/>
        </w:rPr>
        <w:t>-6</w:t>
      </w:r>
      <w:r w:rsidRPr="00194C4A">
        <w:rPr>
          <w:rFonts w:cs="Times New Roman"/>
          <w:szCs w:val="24"/>
        </w:rPr>
        <w:t xml:space="preserve"> - przeliczenie</w:t>
      </w:r>
      <w:r w:rsidRPr="00194C4A">
        <w:rPr>
          <w:rFonts w:cs="Times New Roman"/>
        </w:rPr>
        <w:t xml:space="preserve"> W na MW.</w:t>
      </w:r>
    </w:p>
    <w:p w:rsidR="00EB68DA" w:rsidRPr="00194C4A" w:rsidRDefault="00EB68DA" w:rsidP="0057044A">
      <w:pPr>
        <w:pStyle w:val="tekst"/>
        <w:rPr>
          <w:rFonts w:cs="Times New Roman"/>
          <w:u w:val="single"/>
        </w:rPr>
      </w:pPr>
    </w:p>
    <w:p w:rsidR="0057044A" w:rsidRPr="00194C4A" w:rsidRDefault="0057044A" w:rsidP="0057044A">
      <w:pPr>
        <w:pStyle w:val="tekst"/>
        <w:rPr>
          <w:rFonts w:cs="Times New Roman"/>
          <w:u w:val="single"/>
        </w:rPr>
      </w:pPr>
      <w:r w:rsidRPr="00194C4A">
        <w:rPr>
          <w:rFonts w:cs="Times New Roman"/>
          <w:u w:val="single"/>
        </w:rPr>
        <w:t>Ciepła woda użytkowa</w:t>
      </w:r>
    </w:p>
    <w:p w:rsidR="0057044A" w:rsidRPr="00194C4A" w:rsidRDefault="0057044A" w:rsidP="0057044A">
      <w:pPr>
        <w:pStyle w:val="tekst"/>
        <w:rPr>
          <w:rFonts w:cs="Times New Roman"/>
        </w:rPr>
      </w:pPr>
      <w:r w:rsidRPr="00194C4A">
        <w:rPr>
          <w:rFonts w:cs="Times New Roman"/>
        </w:rPr>
        <w:t>Zapotrzebowanie na moc cieplną do przygotowania ciepłej wody użytkowej w budynkach mieszkalnych</w:t>
      </w:r>
      <w:r w:rsidR="000A7440" w:rsidRPr="00194C4A">
        <w:rPr>
          <w:rFonts w:cs="Times New Roman"/>
        </w:rPr>
        <w:t>, przemysłowych</w:t>
      </w:r>
      <w:r w:rsidR="00E71367">
        <w:rPr>
          <w:rFonts w:cs="Times New Roman"/>
        </w:rPr>
        <w:t xml:space="preserve"> </w:t>
      </w:r>
      <w:r w:rsidR="000A7440" w:rsidRPr="00194C4A">
        <w:rPr>
          <w:rFonts w:cs="Times New Roman"/>
        </w:rPr>
        <w:t xml:space="preserve">i usługowych </w:t>
      </w:r>
      <w:r w:rsidRPr="00194C4A">
        <w:rPr>
          <w:rFonts w:cs="Times New Roman"/>
        </w:rPr>
        <w:t>określano na podstawie normatywnych wielkości średniego dobowego zużycia ciepłej wody użytkowej w odniesieniu do mieszkańca</w:t>
      </w:r>
      <w:r w:rsidR="000A7440" w:rsidRPr="00194C4A">
        <w:rPr>
          <w:rFonts w:cs="Times New Roman"/>
        </w:rPr>
        <w:t>/klienta/pracownika</w:t>
      </w:r>
      <w:r w:rsidR="00A83241">
        <w:rPr>
          <w:rFonts w:cs="Times New Roman"/>
        </w:rPr>
        <w:t>.</w:t>
      </w:r>
      <w:r w:rsidRPr="00194C4A">
        <w:rPr>
          <w:rFonts w:cs="Times New Roman"/>
        </w:rPr>
        <w:t xml:space="preserve"> Sposób obliczenie zapotrzebowania przedstawiono poniżej</w:t>
      </w:r>
      <w:r w:rsidR="00BF620B" w:rsidRPr="00194C4A">
        <w:rPr>
          <w:rFonts w:cs="Times New Roman"/>
        </w:rPr>
        <w:t>.</w:t>
      </w:r>
    </w:p>
    <w:tbl>
      <w:tblPr>
        <w:tblW w:w="9053" w:type="dxa"/>
        <w:tblCellMar>
          <w:top w:w="15" w:type="dxa"/>
          <w:left w:w="70" w:type="dxa"/>
          <w:bottom w:w="15" w:type="dxa"/>
          <w:right w:w="70" w:type="dxa"/>
        </w:tblCellMar>
        <w:tblLook w:val="04A0"/>
      </w:tblPr>
      <w:tblGrid>
        <w:gridCol w:w="80"/>
        <w:gridCol w:w="841"/>
        <w:gridCol w:w="352"/>
        <w:gridCol w:w="1793"/>
        <w:gridCol w:w="973"/>
        <w:gridCol w:w="41"/>
        <w:gridCol w:w="1093"/>
        <w:gridCol w:w="284"/>
        <w:gridCol w:w="6"/>
        <w:gridCol w:w="430"/>
        <w:gridCol w:w="1123"/>
        <w:gridCol w:w="201"/>
        <w:gridCol w:w="436"/>
        <w:gridCol w:w="923"/>
        <w:gridCol w:w="194"/>
        <w:gridCol w:w="283"/>
      </w:tblGrid>
      <w:tr w:rsidR="0057044A" w:rsidRPr="00194C4A" w:rsidTr="00927915">
        <w:trPr>
          <w:gridAfter w:val="2"/>
          <w:wAfter w:w="477" w:type="dxa"/>
          <w:trHeight w:val="555"/>
        </w:trPr>
        <w:tc>
          <w:tcPr>
            <w:tcW w:w="4039" w:type="dxa"/>
            <w:gridSpan w:val="5"/>
            <w:tcBorders>
              <w:right w:val="nil"/>
            </w:tcBorders>
            <w:shd w:val="clear" w:color="auto" w:fill="auto"/>
            <w:noWrap/>
            <w:vAlign w:val="center"/>
            <w:hideMark/>
          </w:tcPr>
          <w:p w:rsidR="0057044A" w:rsidRPr="00194C4A" w:rsidRDefault="0057044A" w:rsidP="00927915">
            <w:pPr>
              <w:spacing w:after="0" w:line="240" w:lineRule="auto"/>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Przygotowanie ciepłej wody użytkowej - budynki mieszkalne</w:t>
            </w:r>
          </w:p>
        </w:tc>
        <w:tc>
          <w:tcPr>
            <w:tcW w:w="1424" w:type="dxa"/>
            <w:gridSpan w:val="4"/>
            <w:tcBorders>
              <w:left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sz w:val="24"/>
                <w:szCs w:val="24"/>
              </w:rPr>
            </w:pPr>
          </w:p>
        </w:tc>
        <w:tc>
          <w:tcPr>
            <w:tcW w:w="1553" w:type="dxa"/>
            <w:gridSpan w:val="2"/>
            <w:tcBorders>
              <w:left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sz w:val="20"/>
                <w:szCs w:val="20"/>
              </w:rPr>
            </w:pPr>
          </w:p>
        </w:tc>
        <w:tc>
          <w:tcPr>
            <w:tcW w:w="1560" w:type="dxa"/>
            <w:gridSpan w:val="3"/>
            <w:tcBorders>
              <w:lef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After w:val="2"/>
          <w:wAfter w:w="477" w:type="dxa"/>
          <w:trHeight w:val="435"/>
        </w:trPr>
        <w:tc>
          <w:tcPr>
            <w:tcW w:w="3066" w:type="dxa"/>
            <w:gridSpan w:val="4"/>
            <w:tcBorders>
              <w:top w:val="nil"/>
              <w:right w:val="nil"/>
            </w:tcBorders>
            <w:shd w:val="clear" w:color="auto" w:fill="auto"/>
            <w:noWrap/>
            <w:vAlign w:val="center"/>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rPr>
              <w:t>1. Założenia ogólne</w:t>
            </w:r>
          </w:p>
        </w:tc>
        <w:tc>
          <w:tcPr>
            <w:tcW w:w="973" w:type="dxa"/>
            <w:tcBorders>
              <w:top w:val="nil"/>
              <w:left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c>
          <w:tcPr>
            <w:tcW w:w="1424" w:type="dxa"/>
            <w:gridSpan w:val="4"/>
            <w:tcBorders>
              <w:top w:val="nil"/>
              <w:left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53" w:type="dxa"/>
            <w:gridSpan w:val="2"/>
            <w:tcBorders>
              <w:top w:val="nil"/>
              <w:left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60" w:type="dxa"/>
            <w:gridSpan w:val="3"/>
            <w:tcBorders>
              <w:top w:val="nil"/>
              <w:lef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After w:val="2"/>
          <w:wAfter w:w="477" w:type="dxa"/>
          <w:trHeight w:val="330"/>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1) Jednostkowe zużycie ciepłej wody V</w:t>
            </w:r>
            <w:r w:rsidRPr="00194C4A">
              <w:rPr>
                <w:rFonts w:ascii="Times New Roman" w:eastAsia="Times New Roman" w:hAnsi="Times New Roman" w:cs="Times New Roman"/>
                <w:sz w:val="20"/>
                <w:szCs w:val="20"/>
                <w:vertAlign w:val="subscript"/>
              </w:rPr>
              <w:t>cw</w:t>
            </w:r>
            <w:r w:rsidRPr="00194C4A">
              <w:rPr>
                <w:rFonts w:ascii="Times New Roman" w:eastAsia="Times New Roman" w:hAnsi="Times New Roman" w:cs="Times New Roman"/>
                <w:sz w:val="20"/>
                <w:szCs w:val="20"/>
              </w:rPr>
              <w:t>:</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V</w:t>
            </w:r>
            <w:r w:rsidRPr="00194C4A">
              <w:rPr>
                <w:rFonts w:ascii="Times New Roman" w:eastAsia="Times New Roman" w:hAnsi="Times New Roman" w:cs="Times New Roman"/>
                <w:b/>
                <w:bCs/>
                <w:sz w:val="24"/>
                <w:szCs w:val="24"/>
                <w:vertAlign w:val="subscript"/>
              </w:rPr>
              <w:t>cw</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35,00</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rPr>
              <w:t>l/osobę na dobę</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r>
      <w:tr w:rsidR="0057044A" w:rsidRPr="00194C4A"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2) Temperatura wody ciepłej:</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t</w:t>
            </w:r>
            <w:r w:rsidRPr="00194C4A">
              <w:rPr>
                <w:rFonts w:ascii="Times New Roman" w:eastAsia="Times New Roman" w:hAnsi="Times New Roman" w:cs="Times New Roman"/>
                <w:b/>
                <w:bCs/>
                <w:sz w:val="24"/>
                <w:szCs w:val="24"/>
                <w:vertAlign w:val="subscript"/>
              </w:rPr>
              <w:t>cw</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50</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vertAlign w:val="superscript"/>
              </w:rPr>
              <w:t>o</w:t>
            </w:r>
            <w:r w:rsidRPr="00194C4A">
              <w:rPr>
                <w:rFonts w:ascii="Times New Roman" w:eastAsia="Times New Roman" w:hAnsi="Times New Roman" w:cs="Times New Roman"/>
                <w:b/>
                <w:bCs/>
                <w:sz w:val="20"/>
                <w:szCs w:val="20"/>
              </w:rPr>
              <w:t>C</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r>
      <w:tr w:rsidR="0057044A" w:rsidRPr="00194C4A"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3) Temperatura wody zimnej:</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t</w:t>
            </w:r>
            <w:r w:rsidRPr="00194C4A">
              <w:rPr>
                <w:rFonts w:ascii="Times New Roman" w:eastAsia="Times New Roman" w:hAnsi="Times New Roman" w:cs="Times New Roman"/>
                <w:b/>
                <w:bCs/>
                <w:sz w:val="24"/>
                <w:szCs w:val="24"/>
                <w:vertAlign w:val="subscript"/>
              </w:rPr>
              <w:t>o</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10</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vertAlign w:val="superscript"/>
              </w:rPr>
              <w:t>o</w:t>
            </w:r>
            <w:r w:rsidRPr="00194C4A">
              <w:rPr>
                <w:rFonts w:ascii="Times New Roman" w:eastAsia="Times New Roman" w:hAnsi="Times New Roman" w:cs="Times New Roman"/>
                <w:b/>
                <w:bCs/>
                <w:sz w:val="20"/>
                <w:szCs w:val="20"/>
              </w:rPr>
              <w:t>C</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r>
      <w:tr w:rsidR="0057044A" w:rsidRPr="00194C4A"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4) Gęstość wody</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ρ</w:t>
            </w:r>
            <w:r w:rsidRPr="00194C4A">
              <w:rPr>
                <w:rFonts w:ascii="Times New Roman" w:eastAsia="Times New Roman" w:hAnsi="Times New Roman" w:cs="Times New Roman"/>
                <w:b/>
                <w:bCs/>
                <w:sz w:val="24"/>
                <w:szCs w:val="24"/>
                <w:vertAlign w:val="subscript"/>
              </w:rPr>
              <w:t>w</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1000</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r w:rsidRPr="00194C4A">
              <w:rPr>
                <w:rFonts w:ascii="Times New Roman" w:eastAsia="Times New Roman" w:hAnsi="Times New Roman" w:cs="Times New Roman"/>
                <w:b/>
                <w:bCs/>
              </w:rPr>
              <w:t>kg/m</w:t>
            </w:r>
            <w:r w:rsidRPr="00194C4A">
              <w:rPr>
                <w:rFonts w:ascii="Times New Roman" w:eastAsia="Times New Roman" w:hAnsi="Times New Roman" w:cs="Times New Roman"/>
                <w:b/>
                <w:bCs/>
                <w:vertAlign w:val="superscript"/>
              </w:rPr>
              <w:t>3</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p>
        </w:tc>
      </w:tr>
      <w:tr w:rsidR="0057044A" w:rsidRPr="00194C4A" w:rsidTr="00927915">
        <w:trPr>
          <w:gridAfter w:val="2"/>
          <w:wAfter w:w="477" w:type="dxa"/>
          <w:trHeight w:val="390"/>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5) Ciepło właściwe wody</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c</w:t>
            </w:r>
            <w:r w:rsidRPr="00194C4A">
              <w:rPr>
                <w:rFonts w:ascii="Times New Roman" w:eastAsia="Times New Roman" w:hAnsi="Times New Roman" w:cs="Times New Roman"/>
                <w:b/>
                <w:bCs/>
                <w:sz w:val="24"/>
                <w:szCs w:val="24"/>
                <w:vertAlign w:val="subscript"/>
              </w:rPr>
              <w:t>w</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4,19</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r w:rsidRPr="00194C4A">
              <w:rPr>
                <w:rFonts w:ascii="Times New Roman" w:eastAsia="Times New Roman" w:hAnsi="Times New Roman" w:cs="Times New Roman"/>
                <w:b/>
                <w:bCs/>
              </w:rPr>
              <w:t xml:space="preserve">kJ/(kg </w:t>
            </w:r>
            <w:r w:rsidRPr="00194C4A">
              <w:rPr>
                <w:rFonts w:ascii="Times New Roman" w:eastAsia="Times New Roman" w:hAnsi="Times New Roman" w:cs="Times New Roman"/>
                <w:b/>
                <w:bCs/>
                <w:vertAlign w:val="superscript"/>
              </w:rPr>
              <w:t>o</w:t>
            </w:r>
            <w:r w:rsidRPr="00194C4A">
              <w:rPr>
                <w:rFonts w:ascii="Times New Roman" w:eastAsia="Times New Roman" w:hAnsi="Times New Roman" w:cs="Times New Roman"/>
                <w:b/>
                <w:bCs/>
              </w:rPr>
              <w:t>C)</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p>
        </w:tc>
      </w:tr>
      <w:tr w:rsidR="0057044A" w:rsidRPr="00194C4A"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6) Mnożnik korekcyjny:</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k</w:t>
            </w:r>
            <w:r w:rsidRPr="00194C4A">
              <w:rPr>
                <w:rFonts w:ascii="Times New Roman" w:eastAsia="Times New Roman" w:hAnsi="Times New Roman" w:cs="Times New Roman"/>
                <w:b/>
                <w:bCs/>
                <w:sz w:val="24"/>
                <w:szCs w:val="24"/>
                <w:vertAlign w:val="subscript"/>
              </w:rPr>
              <w:t>t</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1,0</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r w:rsidRPr="00194C4A">
              <w:rPr>
                <w:rFonts w:ascii="Times New Roman" w:eastAsia="Times New Roman" w:hAnsi="Times New Roman" w:cs="Times New Roman"/>
                <w:b/>
                <w:bCs/>
                <w:vertAlign w:val="superscript"/>
              </w:rPr>
              <w:t>---</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p>
        </w:tc>
      </w:tr>
      <w:tr w:rsidR="0057044A" w:rsidRPr="00194C4A" w:rsidTr="00927915">
        <w:trPr>
          <w:gridAfter w:val="2"/>
          <w:wAfter w:w="477" w:type="dxa"/>
          <w:trHeight w:val="420"/>
        </w:trPr>
        <w:tc>
          <w:tcPr>
            <w:tcW w:w="3066" w:type="dxa"/>
            <w:gridSpan w:val="4"/>
            <w:tcBorders>
              <w:top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7) Czas użytkowania:</w:t>
            </w:r>
          </w:p>
        </w:tc>
        <w:tc>
          <w:tcPr>
            <w:tcW w:w="973" w:type="dxa"/>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right"/>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t</w:t>
            </w:r>
            <w:r w:rsidRPr="00194C4A">
              <w:rPr>
                <w:rFonts w:ascii="Times New Roman" w:eastAsia="Times New Roman" w:hAnsi="Times New Roman" w:cs="Times New Roman"/>
                <w:b/>
                <w:bCs/>
                <w:sz w:val="24"/>
                <w:szCs w:val="24"/>
                <w:vertAlign w:val="subscript"/>
              </w:rPr>
              <w:t>uz</w:t>
            </w:r>
            <w:r w:rsidRPr="00194C4A">
              <w:rPr>
                <w:rFonts w:ascii="Times New Roman" w:eastAsia="Times New Roman" w:hAnsi="Times New Roman" w:cs="Times New Roman"/>
                <w:b/>
                <w:bCs/>
                <w:sz w:val="24"/>
                <w:szCs w:val="24"/>
              </w:rPr>
              <w:t xml:space="preserve"> = </w:t>
            </w:r>
          </w:p>
        </w:tc>
        <w:tc>
          <w:tcPr>
            <w:tcW w:w="1424" w:type="dxa"/>
            <w:gridSpan w:val="4"/>
            <w:tcBorders>
              <w:top w:val="nil"/>
              <w:left w:val="nil"/>
              <w:bottom w:val="nil"/>
              <w:right w:val="nil"/>
            </w:tcBorders>
            <w:shd w:val="clear" w:color="auto" w:fill="auto"/>
            <w:noWrap/>
            <w:vAlign w:val="bottom"/>
            <w:hideMark/>
          </w:tcPr>
          <w:p w:rsidR="0057044A" w:rsidRPr="00194C4A" w:rsidRDefault="0057044A" w:rsidP="00927915">
            <w:pPr>
              <w:spacing w:after="0" w:line="240" w:lineRule="auto"/>
              <w:jc w:val="center"/>
              <w:rPr>
                <w:rFonts w:ascii="Times New Roman" w:eastAsia="Times New Roman" w:hAnsi="Times New Roman" w:cs="Times New Roman"/>
                <w:b/>
                <w:bCs/>
                <w:sz w:val="24"/>
                <w:szCs w:val="24"/>
              </w:rPr>
            </w:pPr>
            <w:r w:rsidRPr="00194C4A">
              <w:rPr>
                <w:rFonts w:ascii="Times New Roman" w:eastAsia="Times New Roman" w:hAnsi="Times New Roman" w:cs="Times New Roman"/>
                <w:b/>
                <w:bCs/>
                <w:sz w:val="24"/>
                <w:szCs w:val="24"/>
              </w:rPr>
              <w:t>328,50</w:t>
            </w:r>
          </w:p>
        </w:tc>
        <w:tc>
          <w:tcPr>
            <w:tcW w:w="1553" w:type="dxa"/>
            <w:gridSpan w:val="2"/>
            <w:tcBorders>
              <w:top w:val="nil"/>
              <w:left w:val="nil"/>
              <w:bottom w:val="nil"/>
              <w:right w:val="nil"/>
            </w:tcBorders>
            <w:shd w:val="clear" w:color="auto" w:fill="auto"/>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r w:rsidRPr="00194C4A">
              <w:rPr>
                <w:rFonts w:ascii="Times New Roman" w:eastAsia="Times New Roman" w:hAnsi="Times New Roman" w:cs="Times New Roman"/>
                <w:b/>
                <w:bCs/>
              </w:rPr>
              <w:t>doby</w:t>
            </w:r>
          </w:p>
        </w:tc>
        <w:tc>
          <w:tcPr>
            <w:tcW w:w="1560" w:type="dxa"/>
            <w:gridSpan w:val="3"/>
            <w:tcBorders>
              <w:top w:val="nil"/>
              <w:left w:val="nil"/>
              <w:bottom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rPr>
            </w:pPr>
          </w:p>
        </w:tc>
      </w:tr>
      <w:tr w:rsidR="0057044A" w:rsidRPr="00194C4A" w:rsidTr="00927915">
        <w:trPr>
          <w:gridAfter w:val="1"/>
          <w:wAfter w:w="283" w:type="dxa"/>
          <w:trHeight w:val="270"/>
        </w:trPr>
        <w:tc>
          <w:tcPr>
            <w:tcW w:w="921" w:type="dxa"/>
            <w:gridSpan w:val="2"/>
            <w:tcBorders>
              <w:top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4252" w:type="dxa"/>
            <w:gridSpan w:val="5"/>
            <w:tcBorders>
              <w:top w:val="nil"/>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284" w:type="dxa"/>
            <w:tcBorders>
              <w:top w:val="nil"/>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760" w:type="dxa"/>
            <w:gridSpan w:val="4"/>
            <w:tcBorders>
              <w:top w:val="nil"/>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53" w:type="dxa"/>
            <w:gridSpan w:val="3"/>
            <w:tcBorders>
              <w:top w:val="nil"/>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After w:val="2"/>
          <w:wAfter w:w="477" w:type="dxa"/>
          <w:trHeight w:val="405"/>
        </w:trPr>
        <w:tc>
          <w:tcPr>
            <w:tcW w:w="3066" w:type="dxa"/>
            <w:gridSpan w:val="4"/>
            <w:tcBorders>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rPr>
              <w:lastRenderedPageBreak/>
              <w:t>2. Zapotrzebowanie na energię cieplną</w:t>
            </w:r>
            <w:r w:rsidR="00BF620B" w:rsidRPr="00194C4A">
              <w:rPr>
                <w:rFonts w:ascii="Times New Roman" w:eastAsia="Times New Roman" w:hAnsi="Times New Roman" w:cs="Times New Roman"/>
                <w:b/>
                <w:bCs/>
                <w:sz w:val="20"/>
                <w:szCs w:val="20"/>
              </w:rPr>
              <w:t>:</w:t>
            </w:r>
          </w:p>
        </w:tc>
        <w:tc>
          <w:tcPr>
            <w:tcW w:w="973" w:type="dxa"/>
            <w:tcBorders>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c>
          <w:tcPr>
            <w:tcW w:w="1424" w:type="dxa"/>
            <w:gridSpan w:val="4"/>
            <w:tcBorders>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53" w:type="dxa"/>
            <w:gridSpan w:val="2"/>
            <w:tcBorders>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560" w:type="dxa"/>
            <w:gridSpan w:val="3"/>
            <w:tcBorders>
              <w:lef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After w:val="1"/>
          <w:wAfter w:w="283" w:type="dxa"/>
          <w:trHeight w:val="600"/>
        </w:trPr>
        <w:tc>
          <w:tcPr>
            <w:tcW w:w="921" w:type="dxa"/>
            <w:gridSpan w:val="2"/>
            <w:tcBorders>
              <w:top w:val="nil"/>
              <w:bottom w:val="nil"/>
              <w:right w:val="nil"/>
            </w:tcBorders>
            <w:shd w:val="clear" w:color="000000" w:fill="FFFFFF"/>
            <w:noWrap/>
            <w:vAlign w:val="center"/>
            <w:hideMark/>
          </w:tcPr>
          <w:p w:rsidR="0057044A" w:rsidRPr="00194C4A" w:rsidRDefault="0057044A" w:rsidP="00927915">
            <w:pPr>
              <w:spacing w:after="0" w:line="240" w:lineRule="auto"/>
              <w:jc w:val="center"/>
              <w:rPr>
                <w:rFonts w:ascii="Times New Roman" w:eastAsia="Times New Roman" w:hAnsi="Times New Roman" w:cs="Times New Roman"/>
                <w:b/>
                <w:bCs/>
                <w:color w:val="000000"/>
                <w:sz w:val="24"/>
                <w:szCs w:val="24"/>
              </w:rPr>
            </w:pPr>
            <w:r w:rsidRPr="00194C4A">
              <w:rPr>
                <w:rFonts w:ascii="Times New Roman" w:eastAsia="Times New Roman" w:hAnsi="Times New Roman" w:cs="Times New Roman"/>
                <w:b/>
                <w:bCs/>
                <w:color w:val="000000"/>
                <w:sz w:val="24"/>
                <w:szCs w:val="24"/>
              </w:rPr>
              <w:t>Q</w:t>
            </w:r>
            <w:r w:rsidRPr="00194C4A">
              <w:rPr>
                <w:rFonts w:ascii="Times New Roman" w:eastAsia="Times New Roman" w:hAnsi="Times New Roman" w:cs="Times New Roman"/>
                <w:b/>
                <w:bCs/>
                <w:color w:val="000000"/>
                <w:sz w:val="24"/>
                <w:szCs w:val="24"/>
                <w:vertAlign w:val="subscript"/>
              </w:rPr>
              <w:t>cw</w:t>
            </w:r>
            <w:r w:rsidRPr="00194C4A">
              <w:rPr>
                <w:rFonts w:ascii="Times New Roman" w:eastAsia="Times New Roman" w:hAnsi="Times New Roman" w:cs="Times New Roman"/>
                <w:b/>
                <w:bCs/>
                <w:color w:val="000000"/>
                <w:sz w:val="24"/>
                <w:szCs w:val="24"/>
              </w:rPr>
              <w:t xml:space="preserve"> = </w:t>
            </w:r>
          </w:p>
        </w:tc>
        <w:tc>
          <w:tcPr>
            <w:tcW w:w="4252" w:type="dxa"/>
            <w:gridSpan w:val="5"/>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b/>
                <w:bCs/>
                <w:color w:val="000000"/>
                <w:sz w:val="24"/>
                <w:szCs w:val="24"/>
              </w:rPr>
            </w:pPr>
            <w:r w:rsidRPr="00194C4A">
              <w:rPr>
                <w:rFonts w:ascii="Times New Roman" w:eastAsia="Times New Roman" w:hAnsi="Times New Roman" w:cs="Times New Roman"/>
                <w:b/>
                <w:bCs/>
                <w:color w:val="000000"/>
                <w:sz w:val="24"/>
                <w:szCs w:val="24"/>
              </w:rPr>
              <w:t>V</w:t>
            </w:r>
            <w:r w:rsidRPr="00194C4A">
              <w:rPr>
                <w:rFonts w:ascii="Times New Roman" w:eastAsia="Times New Roman" w:hAnsi="Times New Roman" w:cs="Times New Roman"/>
                <w:b/>
                <w:bCs/>
                <w:color w:val="000000"/>
                <w:sz w:val="24"/>
                <w:szCs w:val="24"/>
                <w:vertAlign w:val="subscript"/>
              </w:rPr>
              <w:t>cw</w:t>
            </w:r>
            <w:r w:rsidRPr="00194C4A">
              <w:rPr>
                <w:rFonts w:ascii="Times New Roman" w:eastAsia="Times New Roman" w:hAnsi="Times New Roman" w:cs="Times New Roman"/>
                <w:b/>
                <w:bCs/>
                <w:color w:val="000000"/>
                <w:sz w:val="24"/>
                <w:szCs w:val="24"/>
              </w:rPr>
              <w:t>∙ L ∙ c</w:t>
            </w:r>
            <w:r w:rsidRPr="00194C4A">
              <w:rPr>
                <w:rFonts w:ascii="Times New Roman" w:eastAsia="Times New Roman" w:hAnsi="Times New Roman" w:cs="Times New Roman"/>
                <w:b/>
                <w:bCs/>
                <w:color w:val="000000"/>
                <w:sz w:val="24"/>
                <w:szCs w:val="24"/>
                <w:vertAlign w:val="subscript"/>
              </w:rPr>
              <w:t>w</w:t>
            </w:r>
            <w:r w:rsidRPr="00194C4A">
              <w:rPr>
                <w:rFonts w:ascii="Times New Roman" w:eastAsia="Times New Roman" w:hAnsi="Times New Roman" w:cs="Times New Roman"/>
                <w:b/>
                <w:bCs/>
                <w:color w:val="000000"/>
                <w:sz w:val="24"/>
                <w:szCs w:val="24"/>
              </w:rPr>
              <w:t>∙ ρ</w:t>
            </w:r>
            <w:r w:rsidRPr="00194C4A">
              <w:rPr>
                <w:rFonts w:ascii="Times New Roman" w:eastAsia="Times New Roman" w:hAnsi="Times New Roman" w:cs="Times New Roman"/>
                <w:b/>
                <w:bCs/>
                <w:color w:val="000000"/>
                <w:sz w:val="24"/>
                <w:szCs w:val="24"/>
                <w:vertAlign w:val="subscript"/>
              </w:rPr>
              <w:t>w</w:t>
            </w:r>
            <w:r w:rsidRPr="00194C4A">
              <w:rPr>
                <w:rFonts w:ascii="Times New Roman" w:eastAsia="Times New Roman" w:hAnsi="Times New Roman" w:cs="Times New Roman"/>
                <w:b/>
                <w:bCs/>
                <w:color w:val="000000"/>
                <w:sz w:val="24"/>
                <w:szCs w:val="24"/>
              </w:rPr>
              <w:t>∙ (t</w:t>
            </w:r>
            <w:r w:rsidRPr="00194C4A">
              <w:rPr>
                <w:rFonts w:ascii="Times New Roman" w:eastAsia="Times New Roman" w:hAnsi="Times New Roman" w:cs="Times New Roman"/>
                <w:b/>
                <w:bCs/>
                <w:color w:val="000000"/>
                <w:sz w:val="24"/>
                <w:szCs w:val="24"/>
                <w:vertAlign w:val="subscript"/>
              </w:rPr>
              <w:t>cw</w:t>
            </w:r>
            <w:r w:rsidRPr="00194C4A">
              <w:rPr>
                <w:rFonts w:ascii="Times New Roman" w:eastAsia="Times New Roman" w:hAnsi="Times New Roman" w:cs="Times New Roman"/>
                <w:b/>
                <w:bCs/>
                <w:color w:val="000000"/>
                <w:sz w:val="24"/>
                <w:szCs w:val="24"/>
              </w:rPr>
              <w:t xml:space="preserve"> – t</w:t>
            </w:r>
            <w:r w:rsidRPr="00194C4A">
              <w:rPr>
                <w:rFonts w:ascii="Times New Roman" w:eastAsia="Times New Roman" w:hAnsi="Times New Roman" w:cs="Times New Roman"/>
                <w:b/>
                <w:bCs/>
                <w:color w:val="000000"/>
                <w:sz w:val="24"/>
                <w:szCs w:val="24"/>
                <w:vertAlign w:val="subscript"/>
              </w:rPr>
              <w:t>z</w:t>
            </w:r>
            <w:r w:rsidRPr="00194C4A">
              <w:rPr>
                <w:rFonts w:ascii="Times New Roman" w:eastAsia="Times New Roman" w:hAnsi="Times New Roman" w:cs="Times New Roman"/>
                <w:b/>
                <w:bCs/>
                <w:color w:val="000000"/>
                <w:sz w:val="24"/>
                <w:szCs w:val="24"/>
              </w:rPr>
              <w:t>) ∙ k</w:t>
            </w:r>
            <w:r w:rsidRPr="00194C4A">
              <w:rPr>
                <w:rFonts w:ascii="Times New Roman" w:eastAsia="Times New Roman" w:hAnsi="Times New Roman" w:cs="Times New Roman"/>
                <w:b/>
                <w:bCs/>
                <w:color w:val="000000"/>
                <w:sz w:val="24"/>
                <w:szCs w:val="24"/>
                <w:vertAlign w:val="subscript"/>
              </w:rPr>
              <w:t>t</w:t>
            </w:r>
            <w:r w:rsidRPr="00194C4A">
              <w:rPr>
                <w:rFonts w:ascii="Times New Roman" w:eastAsia="Times New Roman" w:hAnsi="Times New Roman" w:cs="Times New Roman"/>
                <w:b/>
                <w:bCs/>
                <w:color w:val="000000"/>
                <w:sz w:val="24"/>
                <w:szCs w:val="24"/>
              </w:rPr>
              <w:t>∙ t</w:t>
            </w:r>
            <w:r w:rsidRPr="00194C4A">
              <w:rPr>
                <w:rFonts w:ascii="Times New Roman" w:eastAsia="Times New Roman" w:hAnsi="Times New Roman" w:cs="Times New Roman"/>
                <w:b/>
                <w:bCs/>
                <w:color w:val="000000"/>
                <w:sz w:val="24"/>
                <w:szCs w:val="24"/>
                <w:vertAlign w:val="subscript"/>
              </w:rPr>
              <w:t xml:space="preserve">uz </w:t>
            </w:r>
            <w:r w:rsidRPr="00194C4A">
              <w:rPr>
                <w:rFonts w:ascii="Times New Roman" w:eastAsia="Times New Roman" w:hAnsi="Times New Roman" w:cs="Times New Roman"/>
                <w:b/>
                <w:bCs/>
                <w:color w:val="000000"/>
                <w:sz w:val="24"/>
                <w:szCs w:val="24"/>
              </w:rPr>
              <w:t>∙ 10</w:t>
            </w:r>
            <w:r w:rsidRPr="00194C4A">
              <w:rPr>
                <w:rFonts w:ascii="Times New Roman" w:eastAsia="Times New Roman" w:hAnsi="Times New Roman" w:cs="Times New Roman"/>
                <w:b/>
                <w:bCs/>
                <w:color w:val="000000"/>
                <w:sz w:val="24"/>
                <w:szCs w:val="24"/>
                <w:vertAlign w:val="superscript"/>
              </w:rPr>
              <w:t>-9</w:t>
            </w:r>
          </w:p>
        </w:tc>
        <w:tc>
          <w:tcPr>
            <w:tcW w:w="284" w:type="dxa"/>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b/>
                <w:bCs/>
                <w:color w:val="000000"/>
                <w:sz w:val="24"/>
                <w:szCs w:val="24"/>
              </w:rPr>
            </w:pPr>
          </w:p>
        </w:tc>
        <w:tc>
          <w:tcPr>
            <w:tcW w:w="1760" w:type="dxa"/>
            <w:gridSpan w:val="4"/>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rPr>
              <w:t>GJ</w:t>
            </w:r>
          </w:p>
        </w:tc>
        <w:tc>
          <w:tcPr>
            <w:tcW w:w="1553"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r>
      <w:tr w:rsidR="0057044A" w:rsidRPr="00194C4A" w:rsidTr="00927915">
        <w:trPr>
          <w:gridBefore w:val="1"/>
          <w:wBefore w:w="80" w:type="dxa"/>
          <w:trHeight w:val="510"/>
        </w:trPr>
        <w:tc>
          <w:tcPr>
            <w:tcW w:w="4000" w:type="dxa"/>
            <w:gridSpan w:val="5"/>
            <w:tcBorders>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b/>
                <w:bCs/>
                <w:sz w:val="20"/>
                <w:szCs w:val="20"/>
              </w:rPr>
            </w:pPr>
            <w:r w:rsidRPr="00194C4A">
              <w:rPr>
                <w:rFonts w:ascii="Times New Roman" w:eastAsia="Times New Roman" w:hAnsi="Times New Roman" w:cs="Times New Roman"/>
                <w:b/>
                <w:bCs/>
                <w:sz w:val="20"/>
                <w:szCs w:val="20"/>
              </w:rPr>
              <w:t>3. Zapotrzebowanie na moc cieplną</w:t>
            </w:r>
          </w:p>
        </w:tc>
        <w:tc>
          <w:tcPr>
            <w:tcW w:w="1813" w:type="dxa"/>
            <w:gridSpan w:val="4"/>
            <w:tcBorders>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sz w:val="20"/>
                <w:szCs w:val="20"/>
              </w:rPr>
            </w:pPr>
          </w:p>
        </w:tc>
        <w:tc>
          <w:tcPr>
            <w:tcW w:w="1760" w:type="dxa"/>
            <w:gridSpan w:val="3"/>
            <w:tcBorders>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400" w:type="dxa"/>
            <w:gridSpan w:val="3"/>
            <w:tcBorders>
              <w:left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Before w:val="1"/>
          <w:wBefore w:w="80" w:type="dxa"/>
          <w:trHeight w:val="465"/>
        </w:trPr>
        <w:tc>
          <w:tcPr>
            <w:tcW w:w="4000" w:type="dxa"/>
            <w:gridSpan w:val="5"/>
            <w:tcBorders>
              <w:top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1) Średnie dobowe zapotrzebowanie cwu w budynku</w:t>
            </w:r>
          </w:p>
        </w:tc>
        <w:tc>
          <w:tcPr>
            <w:tcW w:w="1813" w:type="dxa"/>
            <w:gridSpan w:val="4"/>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760" w:type="dxa"/>
            <w:gridSpan w:val="3"/>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jc w:val="both"/>
              <w:rPr>
                <w:rFonts w:ascii="Times New Roman" w:eastAsia="Times New Roman" w:hAnsi="Times New Roman" w:cs="Times New Roman"/>
                <w:sz w:val="20"/>
                <w:szCs w:val="20"/>
              </w:rPr>
            </w:pPr>
          </w:p>
        </w:tc>
        <w:tc>
          <w:tcPr>
            <w:tcW w:w="1400" w:type="dxa"/>
            <w:gridSpan w:val="3"/>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jc w:val="both"/>
              <w:rPr>
                <w:rFonts w:ascii="Times New Roman" w:eastAsia="Times New Roman" w:hAnsi="Times New Roman" w:cs="Times New Roman"/>
                <w:sz w:val="20"/>
                <w:szCs w:val="20"/>
              </w:rPr>
            </w:pPr>
          </w:p>
        </w:tc>
      </w:tr>
      <w:tr w:rsidR="0057044A" w:rsidRPr="00194C4A"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rsidR="0057044A" w:rsidRPr="00194C4A" w:rsidRDefault="0057044A" w:rsidP="00927915">
            <w:pPr>
              <w:spacing w:after="0" w:line="240" w:lineRule="auto"/>
              <w:jc w:val="right"/>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V</w:t>
            </w:r>
            <w:r w:rsidRPr="00194C4A">
              <w:rPr>
                <w:rFonts w:ascii="Times New Roman" w:eastAsia="Times New Roman" w:hAnsi="Times New Roman" w:cs="Times New Roman"/>
                <w:sz w:val="20"/>
                <w:szCs w:val="20"/>
                <w:vertAlign w:val="subscript"/>
              </w:rPr>
              <w:t>d,śr</w:t>
            </w:r>
            <w:r w:rsidRPr="00194C4A">
              <w:rPr>
                <w:rFonts w:ascii="Times New Roman" w:eastAsia="Times New Roman" w:hAnsi="Times New Roman" w:cs="Times New Roman"/>
                <w:sz w:val="20"/>
                <w:szCs w:val="20"/>
              </w:rPr>
              <w:t xml:space="preserve">= </w:t>
            </w:r>
          </w:p>
        </w:tc>
        <w:tc>
          <w:tcPr>
            <w:tcW w:w="2807" w:type="dxa"/>
            <w:gridSpan w:val="3"/>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V</w:t>
            </w:r>
            <w:r w:rsidRPr="00194C4A">
              <w:rPr>
                <w:rFonts w:ascii="Times New Roman" w:eastAsia="Times New Roman" w:hAnsi="Times New Roman" w:cs="Times New Roman"/>
                <w:sz w:val="20"/>
                <w:szCs w:val="20"/>
                <w:vertAlign w:val="subscript"/>
              </w:rPr>
              <w:t>cw</w:t>
            </w:r>
            <w:r w:rsidRPr="00194C4A">
              <w:rPr>
                <w:rFonts w:ascii="Times New Roman" w:eastAsia="Times New Roman" w:hAnsi="Times New Roman" w:cs="Times New Roman"/>
                <w:sz w:val="20"/>
                <w:szCs w:val="20"/>
              </w:rPr>
              <w:t xml:space="preserve"> x L / 1000</w:t>
            </w:r>
          </w:p>
        </w:tc>
        <w:tc>
          <w:tcPr>
            <w:tcW w:w="1813" w:type="dxa"/>
            <w:gridSpan w:val="4"/>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76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400" w:type="dxa"/>
            <w:gridSpan w:val="3"/>
            <w:tcBorders>
              <w:top w:val="nil"/>
              <w:left w:val="nil"/>
              <w:bottom w:val="nil"/>
              <w:right w:val="nil"/>
            </w:tcBorders>
            <w:shd w:val="clear" w:color="000000" w:fill="FFFFFF"/>
            <w:noWrap/>
            <w:vAlign w:val="center"/>
            <w:hideMark/>
          </w:tcPr>
          <w:p w:rsidR="0057044A" w:rsidRPr="00194C4A" w:rsidRDefault="0057044A" w:rsidP="00E71367">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m</w:t>
            </w:r>
            <w:r w:rsidRPr="00194C4A">
              <w:rPr>
                <w:rFonts w:ascii="Times New Roman" w:eastAsia="Times New Roman" w:hAnsi="Times New Roman" w:cs="Times New Roman"/>
                <w:sz w:val="20"/>
                <w:szCs w:val="20"/>
                <w:vertAlign w:val="superscript"/>
              </w:rPr>
              <w:t>3</w:t>
            </w:r>
            <w:r w:rsidRPr="00194C4A">
              <w:rPr>
                <w:rFonts w:ascii="Times New Roman" w:eastAsia="Times New Roman" w:hAnsi="Times New Roman" w:cs="Times New Roman"/>
                <w:sz w:val="20"/>
                <w:szCs w:val="20"/>
              </w:rPr>
              <w:t>/dobę</w:t>
            </w:r>
          </w:p>
        </w:tc>
      </w:tr>
      <w:tr w:rsidR="0057044A" w:rsidRPr="00194C4A"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2) Średnie godzinowe zapotrzebowanie cwu</w:t>
            </w:r>
          </w:p>
        </w:tc>
        <w:tc>
          <w:tcPr>
            <w:tcW w:w="1813" w:type="dxa"/>
            <w:gridSpan w:val="4"/>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76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40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rsidR="0057044A" w:rsidRPr="00194C4A" w:rsidRDefault="0057044A" w:rsidP="00927915">
            <w:pPr>
              <w:spacing w:after="0" w:line="240" w:lineRule="auto"/>
              <w:jc w:val="right"/>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V</w:t>
            </w:r>
            <w:r w:rsidRPr="00194C4A">
              <w:rPr>
                <w:rFonts w:ascii="Times New Roman" w:eastAsia="Times New Roman" w:hAnsi="Times New Roman" w:cs="Times New Roman"/>
                <w:sz w:val="20"/>
                <w:szCs w:val="20"/>
                <w:vertAlign w:val="subscript"/>
              </w:rPr>
              <w:t>h,śr</w:t>
            </w:r>
            <w:r w:rsidRPr="00194C4A">
              <w:rPr>
                <w:rFonts w:ascii="Times New Roman" w:eastAsia="Times New Roman" w:hAnsi="Times New Roman" w:cs="Times New Roman"/>
                <w:sz w:val="20"/>
                <w:szCs w:val="20"/>
              </w:rPr>
              <w:t xml:space="preserve">= </w:t>
            </w:r>
          </w:p>
        </w:tc>
        <w:tc>
          <w:tcPr>
            <w:tcW w:w="4620" w:type="dxa"/>
            <w:gridSpan w:val="7"/>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V</w:t>
            </w:r>
            <w:r w:rsidRPr="00194C4A">
              <w:rPr>
                <w:rFonts w:ascii="Times New Roman" w:eastAsia="Times New Roman" w:hAnsi="Times New Roman" w:cs="Times New Roman"/>
                <w:sz w:val="20"/>
                <w:szCs w:val="20"/>
                <w:vertAlign w:val="subscript"/>
              </w:rPr>
              <w:t>d,śr</w:t>
            </w:r>
            <w:r w:rsidRPr="00194C4A">
              <w:rPr>
                <w:rFonts w:ascii="Times New Roman" w:eastAsia="Times New Roman" w:hAnsi="Times New Roman" w:cs="Times New Roman"/>
                <w:sz w:val="20"/>
                <w:szCs w:val="20"/>
              </w:rPr>
              <w:t>/ 18 = (V</w:t>
            </w:r>
            <w:r w:rsidRPr="00194C4A">
              <w:rPr>
                <w:rFonts w:ascii="Times New Roman" w:eastAsia="Times New Roman" w:hAnsi="Times New Roman" w:cs="Times New Roman"/>
                <w:sz w:val="20"/>
                <w:szCs w:val="20"/>
                <w:vertAlign w:val="subscript"/>
              </w:rPr>
              <w:t>cw</w:t>
            </w:r>
            <w:r w:rsidRPr="00194C4A">
              <w:rPr>
                <w:rFonts w:ascii="Times New Roman" w:eastAsia="Times New Roman" w:hAnsi="Times New Roman" w:cs="Times New Roman"/>
                <w:sz w:val="20"/>
                <w:szCs w:val="20"/>
              </w:rPr>
              <w:t xml:space="preserve"> x L / 1000)/18 = (V</w:t>
            </w:r>
            <w:r w:rsidRPr="00194C4A">
              <w:rPr>
                <w:rFonts w:ascii="Times New Roman" w:eastAsia="Times New Roman" w:hAnsi="Times New Roman" w:cs="Times New Roman"/>
                <w:sz w:val="20"/>
                <w:szCs w:val="20"/>
                <w:vertAlign w:val="subscript"/>
              </w:rPr>
              <w:t>cw</w:t>
            </w:r>
            <w:r w:rsidRPr="00194C4A">
              <w:rPr>
                <w:rFonts w:ascii="Times New Roman" w:eastAsia="Times New Roman" w:hAnsi="Times New Roman" w:cs="Times New Roman"/>
                <w:sz w:val="20"/>
                <w:szCs w:val="20"/>
              </w:rPr>
              <w:t xml:space="preserve"> x L) / 18 000</w:t>
            </w:r>
          </w:p>
        </w:tc>
        <w:tc>
          <w:tcPr>
            <w:tcW w:w="176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400" w:type="dxa"/>
            <w:gridSpan w:val="3"/>
            <w:tcBorders>
              <w:top w:val="nil"/>
              <w:left w:val="nil"/>
              <w:bottom w:val="nil"/>
              <w:right w:val="nil"/>
            </w:tcBorders>
            <w:shd w:val="clear" w:color="000000" w:fill="FFFFFF"/>
            <w:noWrap/>
            <w:vAlign w:val="center"/>
            <w:hideMark/>
          </w:tcPr>
          <w:p w:rsidR="0057044A" w:rsidRPr="00194C4A" w:rsidRDefault="0057044A" w:rsidP="00E71367">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m</w:t>
            </w:r>
            <w:r w:rsidRPr="00194C4A">
              <w:rPr>
                <w:rFonts w:ascii="Times New Roman" w:eastAsia="Times New Roman" w:hAnsi="Times New Roman" w:cs="Times New Roman"/>
                <w:sz w:val="20"/>
                <w:szCs w:val="20"/>
                <w:vertAlign w:val="superscript"/>
              </w:rPr>
              <w:t>3</w:t>
            </w:r>
            <w:r w:rsidRPr="00194C4A">
              <w:rPr>
                <w:rFonts w:ascii="Times New Roman" w:eastAsia="Times New Roman" w:hAnsi="Times New Roman" w:cs="Times New Roman"/>
                <w:sz w:val="20"/>
                <w:szCs w:val="20"/>
              </w:rPr>
              <w:t>/h</w:t>
            </w:r>
          </w:p>
        </w:tc>
      </w:tr>
      <w:tr w:rsidR="0057044A" w:rsidRPr="00194C4A"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sz w:val="20"/>
                <w:szCs w:val="20"/>
              </w:rPr>
            </w:pPr>
            <w:r w:rsidRPr="00194C4A">
              <w:rPr>
                <w:rFonts w:ascii="Times New Roman" w:eastAsia="Times New Roman" w:hAnsi="Times New Roman" w:cs="Times New Roman"/>
                <w:sz w:val="20"/>
                <w:szCs w:val="20"/>
              </w:rPr>
              <w:t>3) Średnie zapotrzebowanie na moc cieplną do podgrzewu c.w.u.</w:t>
            </w:r>
          </w:p>
        </w:tc>
        <w:tc>
          <w:tcPr>
            <w:tcW w:w="1813" w:type="dxa"/>
            <w:gridSpan w:val="4"/>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76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c>
          <w:tcPr>
            <w:tcW w:w="140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sz w:val="20"/>
                <w:szCs w:val="20"/>
              </w:rPr>
            </w:pPr>
          </w:p>
        </w:tc>
      </w:tr>
      <w:tr w:rsidR="0057044A" w:rsidRPr="00194C4A" w:rsidTr="00927915">
        <w:trPr>
          <w:gridBefore w:val="1"/>
          <w:wBefore w:w="80" w:type="dxa"/>
          <w:trHeight w:val="285"/>
        </w:trPr>
        <w:tc>
          <w:tcPr>
            <w:tcW w:w="1193" w:type="dxa"/>
            <w:gridSpan w:val="2"/>
            <w:tcBorders>
              <w:top w:val="nil"/>
              <w:bottom w:val="nil"/>
              <w:right w:val="nil"/>
            </w:tcBorders>
            <w:shd w:val="clear" w:color="000000" w:fill="FFFFFF"/>
            <w:noWrap/>
            <w:vAlign w:val="center"/>
            <w:hideMark/>
          </w:tcPr>
          <w:p w:rsidR="0057044A" w:rsidRPr="00194C4A" w:rsidRDefault="0057044A" w:rsidP="00927915">
            <w:pPr>
              <w:spacing w:after="0" w:line="240" w:lineRule="auto"/>
              <w:jc w:val="right"/>
              <w:rPr>
                <w:rFonts w:ascii="Times New Roman" w:eastAsia="Times New Roman" w:hAnsi="Times New Roman" w:cs="Times New Roman"/>
                <w:b/>
                <w:bCs/>
                <w:color w:val="000000"/>
                <w:sz w:val="20"/>
                <w:szCs w:val="20"/>
              </w:rPr>
            </w:pPr>
            <w:r w:rsidRPr="00194C4A">
              <w:rPr>
                <w:rFonts w:ascii="Times New Roman" w:eastAsia="Times New Roman" w:hAnsi="Times New Roman" w:cs="Times New Roman"/>
                <w:b/>
                <w:bCs/>
                <w:color w:val="000000"/>
                <w:sz w:val="20"/>
                <w:szCs w:val="20"/>
              </w:rPr>
              <w:t>q</w:t>
            </w:r>
            <w:r w:rsidRPr="00194C4A">
              <w:rPr>
                <w:rFonts w:ascii="Times New Roman" w:eastAsia="Times New Roman" w:hAnsi="Times New Roman" w:cs="Times New Roman"/>
                <w:b/>
                <w:bCs/>
                <w:color w:val="000000"/>
                <w:sz w:val="20"/>
                <w:szCs w:val="20"/>
                <w:vertAlign w:val="subscript"/>
              </w:rPr>
              <w:t>cw</w:t>
            </w:r>
            <w:r w:rsidRPr="00194C4A">
              <w:rPr>
                <w:rFonts w:ascii="Times New Roman" w:eastAsia="Times New Roman" w:hAnsi="Times New Roman" w:cs="Times New Roman"/>
                <w:b/>
                <w:bCs/>
                <w:color w:val="000000"/>
                <w:sz w:val="20"/>
                <w:szCs w:val="20"/>
              </w:rPr>
              <w:t xml:space="preserve"> = </w:t>
            </w:r>
          </w:p>
        </w:tc>
        <w:tc>
          <w:tcPr>
            <w:tcW w:w="6380" w:type="dxa"/>
            <w:gridSpan w:val="10"/>
            <w:tcBorders>
              <w:top w:val="nil"/>
              <w:left w:val="nil"/>
              <w:bottom w:val="nil"/>
              <w:right w:val="nil"/>
            </w:tcBorders>
            <w:shd w:val="clear" w:color="000000" w:fill="FFFFFF"/>
            <w:noWrap/>
            <w:vAlign w:val="center"/>
            <w:hideMark/>
          </w:tcPr>
          <w:p w:rsidR="0057044A" w:rsidRPr="00194C4A" w:rsidRDefault="0057044A" w:rsidP="00927915">
            <w:pPr>
              <w:spacing w:after="0" w:line="240" w:lineRule="auto"/>
              <w:rPr>
                <w:rFonts w:ascii="Times New Roman" w:eastAsia="Times New Roman" w:hAnsi="Times New Roman" w:cs="Times New Roman"/>
                <w:b/>
                <w:bCs/>
                <w:color w:val="000000"/>
                <w:sz w:val="20"/>
                <w:szCs w:val="20"/>
              </w:rPr>
            </w:pPr>
            <w:r w:rsidRPr="00194C4A">
              <w:rPr>
                <w:rFonts w:ascii="Times New Roman" w:eastAsia="Times New Roman" w:hAnsi="Times New Roman" w:cs="Times New Roman"/>
                <w:b/>
                <w:bCs/>
                <w:color w:val="000000"/>
                <w:sz w:val="20"/>
                <w:szCs w:val="20"/>
              </w:rPr>
              <w:t>V</w:t>
            </w:r>
            <w:r w:rsidRPr="00194C4A">
              <w:rPr>
                <w:rFonts w:ascii="Times New Roman" w:eastAsia="Times New Roman" w:hAnsi="Times New Roman" w:cs="Times New Roman"/>
                <w:b/>
                <w:bCs/>
                <w:color w:val="000000"/>
                <w:sz w:val="20"/>
                <w:szCs w:val="20"/>
                <w:vertAlign w:val="subscript"/>
              </w:rPr>
              <w:t>h,śr</w:t>
            </w:r>
            <w:r w:rsidRPr="00194C4A">
              <w:rPr>
                <w:rFonts w:ascii="Times New Roman" w:eastAsia="Times New Roman" w:hAnsi="Times New Roman" w:cs="Times New Roman"/>
                <w:b/>
                <w:bCs/>
                <w:color w:val="000000"/>
                <w:sz w:val="20"/>
                <w:szCs w:val="20"/>
              </w:rPr>
              <w:t xml:space="preserve"> ∙ c</w:t>
            </w:r>
            <w:r w:rsidRPr="00194C4A">
              <w:rPr>
                <w:rFonts w:ascii="Times New Roman" w:eastAsia="Times New Roman" w:hAnsi="Times New Roman" w:cs="Times New Roman"/>
                <w:b/>
                <w:bCs/>
                <w:color w:val="000000"/>
                <w:sz w:val="20"/>
                <w:szCs w:val="20"/>
                <w:vertAlign w:val="subscript"/>
              </w:rPr>
              <w:t>w</w:t>
            </w:r>
            <w:r w:rsidRPr="00194C4A">
              <w:rPr>
                <w:rFonts w:ascii="Times New Roman" w:eastAsia="Times New Roman" w:hAnsi="Times New Roman" w:cs="Times New Roman"/>
                <w:b/>
                <w:bCs/>
                <w:color w:val="000000"/>
                <w:sz w:val="20"/>
                <w:szCs w:val="20"/>
              </w:rPr>
              <w:t xml:space="preserve"> ∙ ρ</w:t>
            </w:r>
            <w:r w:rsidRPr="00194C4A">
              <w:rPr>
                <w:rFonts w:ascii="Times New Roman" w:eastAsia="Times New Roman" w:hAnsi="Times New Roman" w:cs="Times New Roman"/>
                <w:b/>
                <w:bCs/>
                <w:color w:val="000000"/>
                <w:sz w:val="20"/>
                <w:szCs w:val="20"/>
                <w:vertAlign w:val="subscript"/>
              </w:rPr>
              <w:t>w</w:t>
            </w:r>
            <w:r w:rsidRPr="00194C4A">
              <w:rPr>
                <w:rFonts w:ascii="Times New Roman" w:eastAsia="Times New Roman" w:hAnsi="Times New Roman" w:cs="Times New Roman"/>
                <w:b/>
                <w:bCs/>
                <w:color w:val="000000"/>
                <w:sz w:val="20"/>
                <w:szCs w:val="20"/>
              </w:rPr>
              <w:t xml:space="preserve"> ∙ (t</w:t>
            </w:r>
            <w:r w:rsidRPr="00194C4A">
              <w:rPr>
                <w:rFonts w:ascii="Times New Roman" w:eastAsia="Times New Roman" w:hAnsi="Times New Roman" w:cs="Times New Roman"/>
                <w:b/>
                <w:bCs/>
                <w:color w:val="000000"/>
                <w:sz w:val="20"/>
                <w:szCs w:val="20"/>
                <w:vertAlign w:val="subscript"/>
              </w:rPr>
              <w:t>cw</w:t>
            </w:r>
            <w:r w:rsidRPr="00194C4A">
              <w:rPr>
                <w:rFonts w:ascii="Times New Roman" w:eastAsia="Times New Roman" w:hAnsi="Times New Roman" w:cs="Times New Roman"/>
                <w:b/>
                <w:bCs/>
                <w:color w:val="000000"/>
                <w:sz w:val="20"/>
                <w:szCs w:val="20"/>
              </w:rPr>
              <w:t xml:space="preserve"> – t</w:t>
            </w:r>
            <w:r w:rsidRPr="00194C4A">
              <w:rPr>
                <w:rFonts w:ascii="Times New Roman" w:eastAsia="Times New Roman" w:hAnsi="Times New Roman" w:cs="Times New Roman"/>
                <w:b/>
                <w:bCs/>
                <w:color w:val="000000"/>
                <w:sz w:val="20"/>
                <w:szCs w:val="20"/>
                <w:vertAlign w:val="subscript"/>
              </w:rPr>
              <w:t>z</w:t>
            </w:r>
            <w:r w:rsidRPr="00194C4A">
              <w:rPr>
                <w:rFonts w:ascii="Times New Roman" w:eastAsia="Times New Roman" w:hAnsi="Times New Roman" w:cs="Times New Roman"/>
                <w:b/>
                <w:bCs/>
                <w:color w:val="000000"/>
                <w:sz w:val="20"/>
                <w:szCs w:val="20"/>
              </w:rPr>
              <w:t>) / 3600 = [(V</w:t>
            </w:r>
            <w:r w:rsidRPr="00194C4A">
              <w:rPr>
                <w:rFonts w:ascii="Times New Roman" w:eastAsia="Times New Roman" w:hAnsi="Times New Roman" w:cs="Times New Roman"/>
                <w:b/>
                <w:bCs/>
                <w:color w:val="000000"/>
                <w:sz w:val="20"/>
                <w:szCs w:val="20"/>
                <w:vertAlign w:val="subscript"/>
              </w:rPr>
              <w:t>cw</w:t>
            </w:r>
            <w:r w:rsidRPr="00194C4A">
              <w:rPr>
                <w:rFonts w:ascii="Times New Roman" w:eastAsia="Times New Roman" w:hAnsi="Times New Roman" w:cs="Times New Roman"/>
                <w:b/>
                <w:bCs/>
                <w:color w:val="000000"/>
                <w:sz w:val="20"/>
                <w:szCs w:val="20"/>
              </w:rPr>
              <w:t xml:space="preserve"> x L) / 18 000] ∙c</w:t>
            </w:r>
            <w:r w:rsidRPr="00194C4A">
              <w:rPr>
                <w:rFonts w:ascii="Times New Roman" w:eastAsia="Times New Roman" w:hAnsi="Times New Roman" w:cs="Times New Roman"/>
                <w:b/>
                <w:bCs/>
                <w:color w:val="000000"/>
                <w:sz w:val="20"/>
                <w:szCs w:val="20"/>
                <w:vertAlign w:val="subscript"/>
              </w:rPr>
              <w:t>w</w:t>
            </w:r>
            <w:r w:rsidRPr="00194C4A">
              <w:rPr>
                <w:rFonts w:ascii="Times New Roman" w:eastAsia="Times New Roman" w:hAnsi="Times New Roman" w:cs="Times New Roman"/>
                <w:b/>
                <w:bCs/>
                <w:color w:val="000000"/>
                <w:sz w:val="20"/>
                <w:szCs w:val="20"/>
              </w:rPr>
              <w:t xml:space="preserve"> ∙ ρ</w:t>
            </w:r>
            <w:r w:rsidRPr="00194C4A">
              <w:rPr>
                <w:rFonts w:ascii="Times New Roman" w:eastAsia="Times New Roman" w:hAnsi="Times New Roman" w:cs="Times New Roman"/>
                <w:b/>
                <w:bCs/>
                <w:color w:val="000000"/>
                <w:sz w:val="20"/>
                <w:szCs w:val="20"/>
                <w:vertAlign w:val="subscript"/>
              </w:rPr>
              <w:t>w</w:t>
            </w:r>
            <w:r w:rsidRPr="00194C4A">
              <w:rPr>
                <w:rFonts w:ascii="Times New Roman" w:eastAsia="Times New Roman" w:hAnsi="Times New Roman" w:cs="Times New Roman"/>
                <w:b/>
                <w:bCs/>
                <w:color w:val="000000"/>
                <w:sz w:val="20"/>
                <w:szCs w:val="20"/>
              </w:rPr>
              <w:t xml:space="preserve"> ∙ (t</w:t>
            </w:r>
            <w:r w:rsidRPr="00194C4A">
              <w:rPr>
                <w:rFonts w:ascii="Times New Roman" w:eastAsia="Times New Roman" w:hAnsi="Times New Roman" w:cs="Times New Roman"/>
                <w:b/>
                <w:bCs/>
                <w:color w:val="000000"/>
                <w:sz w:val="20"/>
                <w:szCs w:val="20"/>
                <w:vertAlign w:val="subscript"/>
              </w:rPr>
              <w:t>cw</w:t>
            </w:r>
            <w:r w:rsidRPr="00194C4A">
              <w:rPr>
                <w:rFonts w:ascii="Times New Roman" w:eastAsia="Times New Roman" w:hAnsi="Times New Roman" w:cs="Times New Roman"/>
                <w:b/>
                <w:bCs/>
                <w:color w:val="000000"/>
                <w:sz w:val="20"/>
                <w:szCs w:val="20"/>
              </w:rPr>
              <w:t xml:space="preserve"> – t</w:t>
            </w:r>
            <w:r w:rsidRPr="00194C4A">
              <w:rPr>
                <w:rFonts w:ascii="Times New Roman" w:eastAsia="Times New Roman" w:hAnsi="Times New Roman" w:cs="Times New Roman"/>
                <w:b/>
                <w:bCs/>
                <w:color w:val="000000"/>
                <w:sz w:val="20"/>
                <w:szCs w:val="20"/>
                <w:vertAlign w:val="subscript"/>
              </w:rPr>
              <w:t>z</w:t>
            </w:r>
            <w:r w:rsidRPr="00194C4A">
              <w:rPr>
                <w:rFonts w:ascii="Times New Roman" w:eastAsia="Times New Roman" w:hAnsi="Times New Roman" w:cs="Times New Roman"/>
                <w:b/>
                <w:bCs/>
                <w:color w:val="000000"/>
                <w:sz w:val="20"/>
                <w:szCs w:val="20"/>
              </w:rPr>
              <w:t>) / 3600</w:t>
            </w:r>
          </w:p>
        </w:tc>
        <w:tc>
          <w:tcPr>
            <w:tcW w:w="1400" w:type="dxa"/>
            <w:gridSpan w:val="3"/>
            <w:tcBorders>
              <w:top w:val="nil"/>
              <w:left w:val="nil"/>
              <w:bottom w:val="nil"/>
              <w:right w:val="nil"/>
            </w:tcBorders>
            <w:shd w:val="clear" w:color="000000" w:fill="FFFFFF"/>
            <w:noWrap/>
            <w:vAlign w:val="bottom"/>
            <w:hideMark/>
          </w:tcPr>
          <w:p w:rsidR="0057044A" w:rsidRPr="00194C4A" w:rsidRDefault="0057044A" w:rsidP="00927915">
            <w:pPr>
              <w:spacing w:after="0" w:line="240" w:lineRule="auto"/>
              <w:rPr>
                <w:rFonts w:ascii="Times New Roman" w:eastAsia="Times New Roman" w:hAnsi="Times New Roman" w:cs="Times New Roman"/>
                <w:b/>
                <w:bCs/>
                <w:color w:val="000000"/>
                <w:sz w:val="20"/>
                <w:szCs w:val="20"/>
              </w:rPr>
            </w:pPr>
            <w:r w:rsidRPr="00194C4A">
              <w:rPr>
                <w:rFonts w:ascii="Times New Roman" w:eastAsia="Times New Roman" w:hAnsi="Times New Roman" w:cs="Times New Roman"/>
                <w:b/>
                <w:bCs/>
                <w:color w:val="000000"/>
                <w:sz w:val="20"/>
                <w:szCs w:val="20"/>
              </w:rPr>
              <w:t>kW</w:t>
            </w:r>
          </w:p>
        </w:tc>
      </w:tr>
    </w:tbl>
    <w:p w:rsidR="0057044A" w:rsidRPr="00194C4A" w:rsidRDefault="0057044A" w:rsidP="0057044A">
      <w:pPr>
        <w:spacing w:after="0" w:line="240" w:lineRule="auto"/>
        <w:rPr>
          <w:rFonts w:ascii="Times New Roman" w:hAnsi="Times New Roman" w:cs="Times New Roman"/>
          <w:sz w:val="24"/>
          <w:szCs w:val="20"/>
          <w:u w:val="single"/>
        </w:rPr>
      </w:pPr>
    </w:p>
    <w:p w:rsidR="000A7440" w:rsidRPr="00194C4A" w:rsidRDefault="000A7440" w:rsidP="00C56144">
      <w:pPr>
        <w:spacing w:after="0" w:line="240" w:lineRule="auto"/>
        <w:ind w:firstLine="708"/>
        <w:jc w:val="both"/>
        <w:rPr>
          <w:rFonts w:ascii="Times New Roman" w:hAnsi="Times New Roman" w:cs="Times New Roman"/>
          <w:b/>
          <w:sz w:val="24"/>
          <w:szCs w:val="20"/>
        </w:rPr>
      </w:pPr>
      <w:r w:rsidRPr="00194C4A">
        <w:rPr>
          <w:rFonts w:ascii="Times New Roman" w:hAnsi="Times New Roman" w:cs="Times New Roman"/>
          <w:sz w:val="24"/>
          <w:szCs w:val="20"/>
        </w:rPr>
        <w:t xml:space="preserve">W przypadku budynków usługowych i przemysłowych zastosowano odpowiednie </w:t>
      </w:r>
      <w:r w:rsidR="002620A3">
        <w:rPr>
          <w:rFonts w:ascii="Times New Roman" w:hAnsi="Times New Roman" w:cs="Times New Roman"/>
          <w:sz w:val="24"/>
          <w:szCs w:val="20"/>
        </w:rPr>
        <w:t>w</w:t>
      </w:r>
      <w:r w:rsidRPr="00194C4A">
        <w:rPr>
          <w:rFonts w:ascii="Times New Roman" w:hAnsi="Times New Roman" w:cs="Times New Roman"/>
          <w:sz w:val="24"/>
          <w:szCs w:val="20"/>
        </w:rPr>
        <w:t xml:space="preserve">spółczynniki korekcyjne dla wielkości zużycia ciepłej wody użytkowej oraz czasu użytkowania </w:t>
      </w:r>
      <w:r w:rsidRPr="00194C4A">
        <w:rPr>
          <w:rFonts w:ascii="Times New Roman" w:hAnsi="Times New Roman" w:cs="Times New Roman"/>
          <w:b/>
          <w:sz w:val="24"/>
          <w:szCs w:val="20"/>
        </w:rPr>
        <w:t>tuz.</w:t>
      </w:r>
    </w:p>
    <w:p w:rsidR="0057044A" w:rsidRPr="00194C4A" w:rsidRDefault="0057044A" w:rsidP="0057044A">
      <w:pPr>
        <w:pStyle w:val="tekst"/>
        <w:rPr>
          <w:rFonts w:cs="Times New Roman"/>
          <w:u w:val="single"/>
        </w:rPr>
      </w:pPr>
      <w:r w:rsidRPr="00194C4A">
        <w:rPr>
          <w:rFonts w:cs="Times New Roman"/>
          <w:u w:val="single"/>
        </w:rPr>
        <w:t>Przygotowanie posiłków</w:t>
      </w:r>
    </w:p>
    <w:p w:rsidR="0057044A" w:rsidRPr="00194C4A" w:rsidRDefault="0057044A" w:rsidP="0057044A">
      <w:pPr>
        <w:pStyle w:val="tekst"/>
        <w:rPr>
          <w:rFonts w:cs="Times New Roman"/>
        </w:rPr>
      </w:pPr>
      <w:r w:rsidRPr="00194C4A">
        <w:rPr>
          <w:rFonts w:cs="Times New Roman"/>
        </w:rPr>
        <w:t>Przygotowanie posiłków wiąże się z wykorzystanie</w:t>
      </w:r>
      <w:r w:rsidR="002620A3">
        <w:rPr>
          <w:rFonts w:cs="Times New Roman"/>
        </w:rPr>
        <w:t>m</w:t>
      </w:r>
      <w:r w:rsidRPr="00194C4A">
        <w:rPr>
          <w:rFonts w:cs="Times New Roman"/>
        </w:rPr>
        <w:t xml:space="preserve"> ciepła</w:t>
      </w:r>
      <w:r w:rsidR="002620A3">
        <w:rPr>
          <w:rFonts w:cs="Times New Roman"/>
        </w:rPr>
        <w:t>;</w:t>
      </w:r>
      <w:r w:rsidRPr="00194C4A">
        <w:rPr>
          <w:rFonts w:cs="Times New Roman"/>
        </w:rPr>
        <w:t xml:space="preserve"> według danych GUS standardowe roczne zapotrzebowanie na ciepło do przygotowania posiłków wynosi 350 kWh na mieszkańca</w:t>
      </w:r>
      <w:r w:rsidR="000A7440" w:rsidRPr="00194C4A">
        <w:rPr>
          <w:rFonts w:cs="Times New Roman"/>
        </w:rPr>
        <w:t xml:space="preserve"> lub klienta w wypadku obiektów noclegowych i restauracji</w:t>
      </w:r>
      <w:r w:rsidRPr="00194C4A">
        <w:rPr>
          <w:rFonts w:cs="Times New Roman"/>
        </w:rPr>
        <w:t>.</w:t>
      </w:r>
    </w:p>
    <w:p w:rsidR="00927915" w:rsidRPr="00194C4A" w:rsidRDefault="00927915" w:rsidP="001B141C">
      <w:pPr>
        <w:pStyle w:val="Nagwek4"/>
        <w:ind w:left="864"/>
        <w:rPr>
          <w:rFonts w:ascii="Times New Roman" w:hAnsi="Times New Roman" w:cs="Times New Roman"/>
        </w:rPr>
      </w:pPr>
      <w:r w:rsidRPr="00194C4A">
        <w:rPr>
          <w:rFonts w:ascii="Times New Roman" w:hAnsi="Times New Roman" w:cs="Times New Roman"/>
        </w:rPr>
        <w:t>Wyznaczenie zapotrzebowania na ciepło</w:t>
      </w:r>
    </w:p>
    <w:p w:rsidR="00462E2F" w:rsidRPr="00A83241" w:rsidRDefault="00462E2F" w:rsidP="00462E2F">
      <w:pPr>
        <w:spacing w:line="360" w:lineRule="auto"/>
        <w:jc w:val="both"/>
        <w:rPr>
          <w:rFonts w:ascii="Times New Roman" w:hAnsi="Times New Roman" w:cs="Times New Roman"/>
          <w:sz w:val="24"/>
          <w:szCs w:val="20"/>
        </w:rPr>
      </w:pPr>
      <w:bookmarkStart w:id="47" w:name="_Toc77321937"/>
      <w:r w:rsidRPr="00A83241">
        <w:rPr>
          <w:rFonts w:ascii="Times New Roman" w:hAnsi="Times New Roman" w:cs="Times New Roman"/>
          <w:sz w:val="24"/>
          <w:szCs w:val="20"/>
        </w:rPr>
        <w:t>Obiekty budowlane znajdujące się na terenie gminy różnią się wiekiem, technologią wykonania, przeznaczeniem, w związku z tym ich energochłonność jest także zróżnicowana. Spośród wszystkich budynków wyodrębniono podstawowe grupy obiektów:</w:t>
      </w:r>
    </w:p>
    <w:p w:rsidR="00462E2F" w:rsidRPr="00A83241" w:rsidRDefault="00462E2F" w:rsidP="008A40A2">
      <w:pPr>
        <w:pStyle w:val="Akapitzlist"/>
        <w:numPr>
          <w:ilvl w:val="0"/>
          <w:numId w:val="34"/>
        </w:numPr>
        <w:spacing w:after="200" w:line="360" w:lineRule="auto"/>
        <w:jc w:val="both"/>
        <w:rPr>
          <w:rFonts w:ascii="Times New Roman" w:hAnsi="Times New Roman" w:cs="Times New Roman"/>
          <w:sz w:val="24"/>
          <w:szCs w:val="20"/>
        </w:rPr>
      </w:pPr>
      <w:r w:rsidRPr="00A83241">
        <w:rPr>
          <w:rFonts w:ascii="Times New Roman" w:hAnsi="Times New Roman" w:cs="Times New Roman"/>
          <w:sz w:val="24"/>
          <w:szCs w:val="20"/>
        </w:rPr>
        <w:t>budynki mieszkalne jednorodzinne i wielorodzinne;</w:t>
      </w:r>
    </w:p>
    <w:p w:rsidR="00462E2F" w:rsidRPr="00A83241" w:rsidRDefault="00462E2F" w:rsidP="008A40A2">
      <w:pPr>
        <w:pStyle w:val="Akapitzlist"/>
        <w:numPr>
          <w:ilvl w:val="0"/>
          <w:numId w:val="34"/>
        </w:numPr>
        <w:spacing w:after="200" w:line="360" w:lineRule="auto"/>
        <w:jc w:val="both"/>
        <w:rPr>
          <w:rFonts w:ascii="Times New Roman" w:hAnsi="Times New Roman" w:cs="Times New Roman"/>
          <w:sz w:val="24"/>
          <w:szCs w:val="20"/>
        </w:rPr>
      </w:pPr>
      <w:r w:rsidRPr="00A83241">
        <w:rPr>
          <w:rFonts w:ascii="Times New Roman" w:hAnsi="Times New Roman" w:cs="Times New Roman"/>
          <w:sz w:val="24"/>
          <w:szCs w:val="20"/>
        </w:rPr>
        <w:t>obiekty użyteczności publicznej;</w:t>
      </w:r>
    </w:p>
    <w:p w:rsidR="00462E2F" w:rsidRPr="00A83241" w:rsidRDefault="00462E2F" w:rsidP="008A40A2">
      <w:pPr>
        <w:pStyle w:val="Akapitzlist"/>
        <w:numPr>
          <w:ilvl w:val="0"/>
          <w:numId w:val="34"/>
        </w:numPr>
        <w:spacing w:after="200" w:line="360" w:lineRule="auto"/>
        <w:jc w:val="both"/>
        <w:rPr>
          <w:rFonts w:ascii="Times New Roman" w:hAnsi="Times New Roman" w:cs="Times New Roman"/>
          <w:sz w:val="24"/>
          <w:szCs w:val="20"/>
        </w:rPr>
      </w:pPr>
      <w:r w:rsidRPr="00A83241">
        <w:rPr>
          <w:rFonts w:ascii="Times New Roman" w:hAnsi="Times New Roman" w:cs="Times New Roman"/>
          <w:sz w:val="24"/>
          <w:szCs w:val="20"/>
        </w:rPr>
        <w:t>obiekty handlowe, usługowe i przemysłowe- podmioty gospodarcze.</w:t>
      </w:r>
    </w:p>
    <w:p w:rsidR="00462E2F" w:rsidRPr="00A83241" w:rsidRDefault="00462E2F" w:rsidP="00462E2F">
      <w:pPr>
        <w:pStyle w:val="Akapitzlist"/>
        <w:spacing w:line="360" w:lineRule="auto"/>
        <w:ind w:left="0" w:firstLine="720"/>
        <w:jc w:val="both"/>
        <w:rPr>
          <w:rFonts w:ascii="Times New Roman" w:hAnsi="Times New Roman" w:cs="Times New Roman"/>
          <w:sz w:val="24"/>
          <w:szCs w:val="20"/>
        </w:rPr>
      </w:pPr>
      <w:r w:rsidRPr="00A83241">
        <w:rPr>
          <w:rFonts w:ascii="Times New Roman" w:hAnsi="Times New Roman" w:cs="Times New Roman"/>
          <w:sz w:val="24"/>
          <w:szCs w:val="20"/>
        </w:rPr>
        <w:t xml:space="preserve">W sektorze budynków mieszkalnych i użyteczności publicznej (budynki edukacyjne, urzędy, obiekty sportowe) energia może być użytkowana do realizacji celów takich jak ogrzewanie i wentylacja, podgrzewanie wody, klimatyzacja, gotowanie, oświetlenie, napędy urządzeń elektrycznych, zasilanie urządzeń biurowych i sprzętu AGD. W budownictwie tradycyjnym energia zużywana jest głównie do celów ogrzewania pomieszczeń. Zasadniczymi czynnikami, od których zależy to zużycie, jest temperatura zewnętrzna i wewnętrzna pomieszczeń ogrzewanych, a to z kolei wynika z przeznaczenia budynku. Charakterystyczne minimalne temperatury zewnętrzne dane są dla poszczególnych stref klimatycznych kraju. Podział na te strefy pokazano na poniższym rysunku. </w:t>
      </w:r>
    </w:p>
    <w:p w:rsidR="00462E2F" w:rsidRPr="006303DF" w:rsidRDefault="00462E2F" w:rsidP="00462E2F">
      <w:pPr>
        <w:pStyle w:val="Akapitzlist"/>
        <w:spacing w:line="360" w:lineRule="auto"/>
        <w:ind w:left="0" w:firstLine="720"/>
        <w:jc w:val="both"/>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4475988" cy="3138220"/>
            <wp:effectExtent l="19050" t="0" r="762"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473936" cy="3136781"/>
                    </a:xfrm>
                    <a:prstGeom prst="rect">
                      <a:avLst/>
                    </a:prstGeom>
                    <a:noFill/>
                    <a:ln w="9525">
                      <a:noFill/>
                      <a:miter lim="800000"/>
                      <a:headEnd/>
                      <a:tailEnd/>
                    </a:ln>
                  </pic:spPr>
                </pic:pic>
              </a:graphicData>
            </a:graphic>
          </wp:inline>
        </w:drawing>
      </w:r>
    </w:p>
    <w:p w:rsidR="00A83241" w:rsidRDefault="00462E2F" w:rsidP="00462E2F">
      <w:pPr>
        <w:spacing w:line="360" w:lineRule="auto"/>
        <w:ind w:firstLine="284"/>
        <w:jc w:val="both"/>
        <w:rPr>
          <w:rFonts w:ascii="Times New Roman" w:hAnsi="Times New Roman" w:cs="Times New Roman"/>
          <w:sz w:val="24"/>
        </w:rPr>
      </w:pPr>
      <w:r w:rsidRPr="00A83241">
        <w:rPr>
          <w:rFonts w:ascii="Times New Roman" w:hAnsi="Times New Roman" w:cs="Times New Roman"/>
          <w:sz w:val="24"/>
        </w:rPr>
        <w:t xml:space="preserve">Inne czynniki decydujące o wielkości zużycia energii w budynku to: </w:t>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t>• zwartość budynku (współczynnik A/V) – mniejsza energochłonność to minimalna powierzchnia ścian zewnętrznych i płaski dach;</w:t>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t xml:space="preserve">• usytuowanie względem stron świata – pozyskiwanie energii promieniowania słonecznego – mniejsza energochłonność to elewacja południowa z przeszkleniami i roletami opuszczanymi na noc; elewacja północna z jak najmniejszą liczbą otworów w przegrodach zewnętrznych - w tej strefie budynku można lokalizować strefy gospodarcze, natomiast pomieszczenia pobytu dziennego od strony południowej; </w:t>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p>
    <w:p w:rsidR="00A83241" w:rsidRDefault="00462E2F" w:rsidP="00462E2F">
      <w:pPr>
        <w:spacing w:line="360" w:lineRule="auto"/>
        <w:ind w:firstLine="284"/>
        <w:jc w:val="both"/>
        <w:rPr>
          <w:rFonts w:ascii="Times New Roman" w:hAnsi="Times New Roman" w:cs="Times New Roman"/>
          <w:sz w:val="24"/>
        </w:rPr>
      </w:pPr>
      <w:r w:rsidRPr="00A83241">
        <w:rPr>
          <w:rFonts w:ascii="Times New Roman" w:hAnsi="Times New Roman" w:cs="Times New Roman"/>
          <w:sz w:val="24"/>
        </w:rPr>
        <w:tab/>
        <w:t xml:space="preserve">• stopień osłonięcia budynku od wiatru; </w:t>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00A83241">
        <w:rPr>
          <w:rFonts w:ascii="Times New Roman" w:hAnsi="Times New Roman" w:cs="Times New Roman"/>
          <w:sz w:val="24"/>
        </w:rPr>
        <w:tab/>
      </w:r>
      <w:r w:rsidRPr="00A83241">
        <w:rPr>
          <w:rFonts w:ascii="Times New Roman" w:hAnsi="Times New Roman" w:cs="Times New Roman"/>
          <w:sz w:val="24"/>
        </w:rPr>
        <w:t>• parametry izolacyjności termicznej przegród zewnętrznych (tj. ściany, okna, stropy, dachy itp.);</w:t>
      </w:r>
      <w:r w:rsidRPr="00A83241">
        <w:rPr>
          <w:rFonts w:ascii="Times New Roman" w:hAnsi="Times New Roman" w:cs="Times New Roman"/>
          <w:sz w:val="24"/>
        </w:rPr>
        <w:tab/>
      </w:r>
      <w:r w:rsidRPr="00A83241">
        <w:rPr>
          <w:rFonts w:ascii="Times New Roman" w:hAnsi="Times New Roman" w:cs="Times New Roman"/>
          <w:sz w:val="24"/>
        </w:rPr>
        <w:tab/>
      </w:r>
    </w:p>
    <w:p w:rsidR="00462E2F" w:rsidRPr="00A83241" w:rsidRDefault="00462E2F" w:rsidP="00462E2F">
      <w:pPr>
        <w:spacing w:line="360" w:lineRule="auto"/>
        <w:ind w:firstLine="284"/>
        <w:jc w:val="both"/>
        <w:rPr>
          <w:rFonts w:ascii="Times New Roman" w:hAnsi="Times New Roman" w:cs="Times New Roman"/>
          <w:sz w:val="24"/>
        </w:rPr>
      </w:pPr>
      <w:r w:rsidRPr="00A83241">
        <w:rPr>
          <w:rFonts w:ascii="Times New Roman" w:hAnsi="Times New Roman" w:cs="Times New Roman"/>
          <w:sz w:val="24"/>
        </w:rPr>
        <w:t xml:space="preserve">• rozwiązania wentylacji wnętrz; </w:t>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Pr="00A83241">
        <w:rPr>
          <w:rFonts w:ascii="Times New Roman" w:hAnsi="Times New Roman" w:cs="Times New Roman"/>
          <w:sz w:val="24"/>
        </w:rPr>
        <w:tab/>
      </w:r>
      <w:r w:rsidR="00A83241">
        <w:rPr>
          <w:rFonts w:ascii="Times New Roman" w:hAnsi="Times New Roman" w:cs="Times New Roman"/>
          <w:sz w:val="24"/>
        </w:rPr>
        <w:tab/>
        <w:t xml:space="preserve">                     </w:t>
      </w:r>
      <w:r w:rsidRPr="00A83241">
        <w:rPr>
          <w:rFonts w:ascii="Times New Roman" w:hAnsi="Times New Roman" w:cs="Times New Roman"/>
          <w:sz w:val="24"/>
        </w:rPr>
        <w:t xml:space="preserve">• świadome, przemyślane wykorzystanie energii promieniowania słonecznego, energii gruntu. </w:t>
      </w:r>
    </w:p>
    <w:p w:rsidR="00462E2F" w:rsidRDefault="00462E2F" w:rsidP="00462E2F">
      <w:pPr>
        <w:ind w:firstLine="284"/>
        <w:jc w:val="both"/>
        <w:rPr>
          <w:rFonts w:ascii="Times New Roman" w:hAnsi="Times New Roman" w:cs="Times New Roman"/>
          <w:sz w:val="20"/>
        </w:rPr>
      </w:pPr>
      <w:r>
        <w:rPr>
          <w:rFonts w:ascii="Times New Roman" w:hAnsi="Times New Roman" w:cs="Times New Roman"/>
          <w:sz w:val="20"/>
        </w:rPr>
        <w:t>Tab. nr 7 Zestawienie mieszkań z terenu Gminy Wieliczki</w:t>
      </w:r>
    </w:p>
    <w:tbl>
      <w:tblPr>
        <w:tblStyle w:val="Tabela-Siatka"/>
        <w:tblW w:w="0" w:type="auto"/>
        <w:tblLook w:val="04A0"/>
      </w:tblPr>
      <w:tblGrid>
        <w:gridCol w:w="4606"/>
        <w:gridCol w:w="4606"/>
      </w:tblGrid>
      <w:tr w:rsidR="00462E2F" w:rsidTr="00E64C12">
        <w:tc>
          <w:tcPr>
            <w:tcW w:w="9212" w:type="dxa"/>
            <w:gridSpan w:val="2"/>
            <w:shd w:val="clear" w:color="auto" w:fill="BFBFBF" w:themeFill="background1" w:themeFillShade="BF"/>
          </w:tcPr>
          <w:p w:rsidR="00462E2F" w:rsidRPr="00F13EA2" w:rsidRDefault="00462E2F" w:rsidP="00E64C12">
            <w:pPr>
              <w:jc w:val="center"/>
              <w:rPr>
                <w:rFonts w:ascii="Times New Roman" w:hAnsi="Times New Roman" w:cs="Times New Roman"/>
                <w:b/>
                <w:sz w:val="20"/>
              </w:rPr>
            </w:pPr>
            <w:r w:rsidRPr="00F13EA2">
              <w:rPr>
                <w:rFonts w:ascii="Times New Roman" w:hAnsi="Times New Roman" w:cs="Times New Roman"/>
                <w:b/>
                <w:sz w:val="20"/>
              </w:rPr>
              <w:t>Mieszkania ogółem i wg statusu zamieszkania</w:t>
            </w:r>
          </w:p>
        </w:tc>
      </w:tr>
      <w:tr w:rsidR="00462E2F" w:rsidTr="00E64C12">
        <w:tc>
          <w:tcPr>
            <w:tcW w:w="4606" w:type="dxa"/>
            <w:shd w:val="clear" w:color="auto" w:fill="BFBFBF" w:themeFill="background1" w:themeFillShade="BF"/>
          </w:tcPr>
          <w:p w:rsidR="00462E2F" w:rsidRDefault="00462E2F" w:rsidP="00E64C12">
            <w:pPr>
              <w:jc w:val="center"/>
              <w:rPr>
                <w:rFonts w:ascii="Times New Roman" w:hAnsi="Times New Roman" w:cs="Times New Roman"/>
                <w:sz w:val="20"/>
              </w:rPr>
            </w:pPr>
            <w:r>
              <w:rPr>
                <w:rFonts w:ascii="Times New Roman" w:hAnsi="Times New Roman" w:cs="Times New Roman"/>
                <w:sz w:val="20"/>
              </w:rPr>
              <w:t>Zamieszkałe</w:t>
            </w:r>
          </w:p>
        </w:tc>
        <w:tc>
          <w:tcPr>
            <w:tcW w:w="4606" w:type="dxa"/>
            <w:shd w:val="clear" w:color="auto" w:fill="BFBFBF" w:themeFill="background1" w:themeFillShade="BF"/>
          </w:tcPr>
          <w:p w:rsidR="00462E2F" w:rsidRDefault="00462E2F" w:rsidP="00E64C12">
            <w:pPr>
              <w:jc w:val="center"/>
              <w:rPr>
                <w:rFonts w:ascii="Times New Roman" w:hAnsi="Times New Roman" w:cs="Times New Roman"/>
                <w:sz w:val="20"/>
              </w:rPr>
            </w:pPr>
            <w:r>
              <w:rPr>
                <w:rFonts w:ascii="Times New Roman" w:hAnsi="Times New Roman" w:cs="Times New Roman"/>
                <w:sz w:val="20"/>
              </w:rPr>
              <w:t>Niezamieszkałe</w:t>
            </w:r>
          </w:p>
        </w:tc>
      </w:tr>
      <w:tr w:rsidR="00462E2F" w:rsidTr="00E64C12">
        <w:tc>
          <w:tcPr>
            <w:tcW w:w="4606" w:type="dxa"/>
          </w:tcPr>
          <w:p w:rsidR="00462E2F" w:rsidRDefault="00462E2F" w:rsidP="00E64C12">
            <w:pPr>
              <w:jc w:val="center"/>
              <w:rPr>
                <w:rFonts w:ascii="Times New Roman" w:hAnsi="Times New Roman" w:cs="Times New Roman"/>
                <w:sz w:val="20"/>
              </w:rPr>
            </w:pPr>
            <w:r>
              <w:rPr>
                <w:rFonts w:ascii="Times New Roman" w:hAnsi="Times New Roman" w:cs="Times New Roman"/>
                <w:sz w:val="20"/>
              </w:rPr>
              <w:t>911 szt.</w:t>
            </w:r>
          </w:p>
        </w:tc>
        <w:tc>
          <w:tcPr>
            <w:tcW w:w="4606" w:type="dxa"/>
          </w:tcPr>
          <w:p w:rsidR="00462E2F" w:rsidRDefault="00462E2F" w:rsidP="00E64C12">
            <w:pPr>
              <w:jc w:val="center"/>
              <w:rPr>
                <w:rFonts w:ascii="Times New Roman" w:hAnsi="Times New Roman" w:cs="Times New Roman"/>
                <w:sz w:val="20"/>
              </w:rPr>
            </w:pPr>
            <w:r>
              <w:rPr>
                <w:rFonts w:ascii="Times New Roman" w:hAnsi="Times New Roman" w:cs="Times New Roman"/>
                <w:sz w:val="20"/>
              </w:rPr>
              <w:t>106 szt.</w:t>
            </w:r>
          </w:p>
        </w:tc>
      </w:tr>
    </w:tbl>
    <w:p w:rsidR="00462E2F" w:rsidRDefault="00462E2F" w:rsidP="00462E2F">
      <w:pPr>
        <w:tabs>
          <w:tab w:val="left" w:pos="3767"/>
        </w:tabs>
        <w:ind w:firstLine="284"/>
        <w:jc w:val="center"/>
        <w:rPr>
          <w:rFonts w:ascii="Times New Roman" w:hAnsi="Times New Roman" w:cs="Times New Roman"/>
          <w:sz w:val="18"/>
          <w:szCs w:val="18"/>
        </w:rPr>
      </w:pPr>
      <w:r w:rsidRPr="00F13EA2">
        <w:rPr>
          <w:rFonts w:ascii="Times New Roman" w:hAnsi="Times New Roman" w:cs="Times New Roman"/>
          <w:sz w:val="18"/>
          <w:szCs w:val="18"/>
        </w:rPr>
        <w:t>Źródło: (opracowanie własne)</w:t>
      </w:r>
    </w:p>
    <w:p w:rsidR="00462E2F" w:rsidRPr="00F13EA2" w:rsidRDefault="00462E2F" w:rsidP="00462E2F">
      <w:pPr>
        <w:ind w:firstLine="284"/>
        <w:jc w:val="both"/>
        <w:rPr>
          <w:rFonts w:ascii="Times New Roman" w:hAnsi="Times New Roman" w:cs="Times New Roman"/>
          <w:sz w:val="20"/>
        </w:rPr>
      </w:pPr>
      <w:r>
        <w:rPr>
          <w:rFonts w:ascii="Times New Roman" w:hAnsi="Times New Roman" w:cs="Times New Roman"/>
          <w:sz w:val="20"/>
        </w:rPr>
        <w:t>Tab. nr 8 Zestawienie powierzchni użytkowej mieszkań i ludności zamieszkujących w tych mieszkaniach</w:t>
      </w:r>
    </w:p>
    <w:tbl>
      <w:tblPr>
        <w:tblStyle w:val="Tabela-Siatka"/>
        <w:tblW w:w="0" w:type="auto"/>
        <w:tblLook w:val="04A0"/>
      </w:tblPr>
      <w:tblGrid>
        <w:gridCol w:w="4606"/>
        <w:gridCol w:w="4606"/>
      </w:tblGrid>
      <w:tr w:rsidR="00462E2F" w:rsidTr="00E64C12">
        <w:tc>
          <w:tcPr>
            <w:tcW w:w="9212" w:type="dxa"/>
            <w:gridSpan w:val="2"/>
            <w:shd w:val="clear" w:color="auto" w:fill="BFBFBF" w:themeFill="background1" w:themeFillShade="BF"/>
          </w:tcPr>
          <w:p w:rsidR="00462E2F" w:rsidRPr="00F13EA2" w:rsidRDefault="00462E2F" w:rsidP="00E64C12">
            <w:pPr>
              <w:jc w:val="center"/>
              <w:rPr>
                <w:rFonts w:ascii="Times New Roman" w:hAnsi="Times New Roman" w:cs="Times New Roman"/>
                <w:b/>
                <w:sz w:val="20"/>
              </w:rPr>
            </w:pPr>
            <w:r>
              <w:rPr>
                <w:rFonts w:ascii="Times New Roman" w:hAnsi="Times New Roman" w:cs="Times New Roman"/>
                <w:b/>
                <w:sz w:val="20"/>
              </w:rPr>
              <w:lastRenderedPageBreak/>
              <w:t>Mieszkania zamieszkałe ogółem</w:t>
            </w:r>
          </w:p>
        </w:tc>
      </w:tr>
      <w:tr w:rsidR="00462E2F" w:rsidTr="00E64C12">
        <w:tc>
          <w:tcPr>
            <w:tcW w:w="4606" w:type="dxa"/>
            <w:shd w:val="clear" w:color="auto" w:fill="BFBFBF" w:themeFill="background1" w:themeFillShade="BF"/>
          </w:tcPr>
          <w:p w:rsidR="00462E2F" w:rsidRDefault="00462E2F" w:rsidP="00E64C12">
            <w:pPr>
              <w:jc w:val="center"/>
              <w:rPr>
                <w:rFonts w:ascii="Times New Roman" w:hAnsi="Times New Roman" w:cs="Times New Roman"/>
                <w:sz w:val="20"/>
              </w:rPr>
            </w:pPr>
            <w:r>
              <w:rPr>
                <w:rFonts w:ascii="Times New Roman" w:hAnsi="Times New Roman" w:cs="Times New Roman"/>
                <w:sz w:val="20"/>
              </w:rPr>
              <w:t>Pow. użytkowa mieszkania</w:t>
            </w:r>
          </w:p>
        </w:tc>
        <w:tc>
          <w:tcPr>
            <w:tcW w:w="4606" w:type="dxa"/>
            <w:shd w:val="clear" w:color="auto" w:fill="BFBFBF" w:themeFill="background1" w:themeFillShade="BF"/>
          </w:tcPr>
          <w:p w:rsidR="00462E2F" w:rsidRDefault="00462E2F" w:rsidP="00E64C12">
            <w:pPr>
              <w:jc w:val="center"/>
              <w:rPr>
                <w:rFonts w:ascii="Times New Roman" w:hAnsi="Times New Roman" w:cs="Times New Roman"/>
                <w:sz w:val="20"/>
              </w:rPr>
            </w:pPr>
            <w:r>
              <w:rPr>
                <w:rFonts w:ascii="Times New Roman" w:hAnsi="Times New Roman" w:cs="Times New Roman"/>
                <w:sz w:val="20"/>
              </w:rPr>
              <w:t>Ludność w mieszkaniach zamieszkałych</w:t>
            </w:r>
          </w:p>
        </w:tc>
      </w:tr>
      <w:tr w:rsidR="00462E2F" w:rsidTr="00E64C12">
        <w:tc>
          <w:tcPr>
            <w:tcW w:w="4606" w:type="dxa"/>
          </w:tcPr>
          <w:p w:rsidR="00462E2F" w:rsidRDefault="00462E2F" w:rsidP="00E64C12">
            <w:pPr>
              <w:jc w:val="center"/>
              <w:rPr>
                <w:rFonts w:ascii="Times New Roman" w:hAnsi="Times New Roman" w:cs="Times New Roman"/>
                <w:sz w:val="20"/>
              </w:rPr>
            </w:pPr>
            <w:r>
              <w:rPr>
                <w:rFonts w:ascii="Times New Roman" w:hAnsi="Times New Roman" w:cs="Times New Roman"/>
                <w:sz w:val="20"/>
              </w:rPr>
              <w:t xml:space="preserve">75298 m </w:t>
            </w:r>
            <w:r w:rsidRPr="00F13EA2">
              <w:rPr>
                <w:rFonts w:ascii="Times New Roman" w:hAnsi="Times New Roman" w:cs="Times New Roman"/>
                <w:sz w:val="20"/>
                <w:vertAlign w:val="superscript"/>
              </w:rPr>
              <w:t>2</w:t>
            </w:r>
          </w:p>
        </w:tc>
        <w:tc>
          <w:tcPr>
            <w:tcW w:w="4606" w:type="dxa"/>
          </w:tcPr>
          <w:p w:rsidR="00462E2F" w:rsidRDefault="00462E2F" w:rsidP="00E64C12">
            <w:pPr>
              <w:jc w:val="center"/>
              <w:rPr>
                <w:rFonts w:ascii="Times New Roman" w:hAnsi="Times New Roman" w:cs="Times New Roman"/>
                <w:sz w:val="20"/>
              </w:rPr>
            </w:pPr>
            <w:r>
              <w:rPr>
                <w:rFonts w:ascii="Times New Roman" w:hAnsi="Times New Roman" w:cs="Times New Roman"/>
                <w:sz w:val="20"/>
              </w:rPr>
              <w:t>3179 osób</w:t>
            </w:r>
          </w:p>
        </w:tc>
      </w:tr>
    </w:tbl>
    <w:p w:rsidR="00462E2F" w:rsidRDefault="00462E2F" w:rsidP="009617B3">
      <w:pPr>
        <w:pStyle w:val="Nagwek3"/>
        <w:ind w:left="720" w:hanging="720"/>
        <w:rPr>
          <w:rFonts w:ascii="Times New Roman" w:hAnsi="Times New Roman" w:cs="Times New Roman"/>
        </w:rPr>
      </w:pPr>
      <w:r w:rsidRPr="00F13EA2">
        <w:rPr>
          <w:rFonts w:ascii="Times New Roman" w:hAnsi="Times New Roman" w:cs="Times New Roman"/>
          <w:sz w:val="18"/>
          <w:szCs w:val="18"/>
        </w:rPr>
        <w:t>Źródło: (opracowanie własne)</w:t>
      </w:r>
    </w:p>
    <w:p w:rsidR="00462E2F" w:rsidRDefault="00462E2F" w:rsidP="009617B3">
      <w:pPr>
        <w:pStyle w:val="Nagwek3"/>
        <w:ind w:left="720" w:hanging="720"/>
        <w:rPr>
          <w:rFonts w:ascii="Times New Roman" w:hAnsi="Times New Roman" w:cs="Times New Roman"/>
        </w:rPr>
      </w:pPr>
    </w:p>
    <w:p w:rsidR="00462E2F" w:rsidRPr="00D90B14" w:rsidRDefault="00462E2F" w:rsidP="00462E2F">
      <w:pPr>
        <w:tabs>
          <w:tab w:val="left" w:pos="426"/>
          <w:tab w:val="left" w:pos="3767"/>
        </w:tabs>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ab/>
        <w:t xml:space="preserve">Zaopatrzenie w energię jest jednym z podstawowych czynników niezbędnych dla egzystencji ludności, jednak wydobycie paliw i produkcja energii stanowi jeden najbardziej niekorzystnych rodzajów oddziaływania na środowisko. Jest to wynikiem zarówno ogromnej ilości użytkowanej energii, jak i istotny przemian energetycznych, którym energia musi być poddawana w celu dostosowania do potrzeb odbiorców. </w:t>
      </w:r>
    </w:p>
    <w:p w:rsidR="00462E2F" w:rsidRPr="00D90B14" w:rsidRDefault="00462E2F" w:rsidP="00462E2F">
      <w:pPr>
        <w:tabs>
          <w:tab w:val="left" w:pos="426"/>
          <w:tab w:val="left" w:pos="3767"/>
        </w:tabs>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ab/>
        <w:t>W skali kraju Gmina Wieliczki należy do grupy małych gmin pod względem liczby ludności. Podobnie jak wiele innych gmin w Polsce, boryka się z szeregiem wyzwań technicznych, ekonomicznych, środowiskowych i społecznych we wszystkich dziedzinach jej funkcjonowania. Jedną z najistotniejszych dziedzin funkcjonowania gminy jest gospodarka energetyczna, czyli zagadnienia związane z zaopatrzeniem w energię, jej użytkowaniem i gospodarowaniem zapewniając bezpieczeństwo i równość dostępu zasobów.</w:t>
      </w:r>
    </w:p>
    <w:p w:rsidR="00AB2E21" w:rsidRPr="00194C4A" w:rsidRDefault="009617B3" w:rsidP="009617B3">
      <w:pPr>
        <w:pStyle w:val="Nagwek3"/>
        <w:ind w:left="720" w:hanging="720"/>
        <w:rPr>
          <w:rFonts w:ascii="Times New Roman" w:hAnsi="Times New Roman" w:cs="Times New Roman"/>
        </w:rPr>
      </w:pPr>
      <w:r w:rsidRPr="00194C4A">
        <w:rPr>
          <w:rFonts w:ascii="Times New Roman" w:hAnsi="Times New Roman" w:cs="Times New Roman"/>
        </w:rPr>
        <w:t xml:space="preserve">2.2.2 </w:t>
      </w:r>
      <w:r w:rsidR="00AB2E21" w:rsidRPr="00194C4A">
        <w:rPr>
          <w:rFonts w:ascii="Times New Roman" w:hAnsi="Times New Roman" w:cs="Times New Roman"/>
        </w:rPr>
        <w:t>Zużycie energii elektrycznej</w:t>
      </w:r>
      <w:bookmarkEnd w:id="43"/>
      <w:bookmarkEnd w:id="47"/>
    </w:p>
    <w:p w:rsidR="0029595D" w:rsidRDefault="00C91B97" w:rsidP="00EB68DA">
      <w:pPr>
        <w:pStyle w:val="tekst"/>
        <w:spacing w:after="240"/>
        <w:rPr>
          <w:rFonts w:cs="Times New Roman"/>
        </w:rPr>
      </w:pPr>
      <w:r w:rsidRPr="00194C4A">
        <w:rPr>
          <w:rFonts w:cs="Times New Roman"/>
        </w:rPr>
        <w:t xml:space="preserve">Zużycie energii elektrycznej nie jest ewidencjonowane z rozbiciem na </w:t>
      </w:r>
      <w:r w:rsidR="00B25014" w:rsidRPr="00194C4A">
        <w:rPr>
          <w:rFonts w:cs="Times New Roman"/>
        </w:rPr>
        <w:t>obszary</w:t>
      </w:r>
      <w:r w:rsidRPr="00194C4A">
        <w:rPr>
          <w:rFonts w:cs="Times New Roman"/>
        </w:rPr>
        <w:t xml:space="preserve"> wiejskie w</w:t>
      </w:r>
      <w:r w:rsidR="004B5028" w:rsidRPr="00194C4A">
        <w:rPr>
          <w:rFonts w:cs="Times New Roman"/>
        </w:rPr>
        <w:t> </w:t>
      </w:r>
      <w:r w:rsidRPr="00194C4A">
        <w:rPr>
          <w:rFonts w:cs="Times New Roman"/>
        </w:rPr>
        <w:t>Polsce</w:t>
      </w:r>
      <w:r w:rsidR="00AB2E21" w:rsidRPr="00194C4A">
        <w:rPr>
          <w:rFonts w:cs="Times New Roman"/>
        </w:rPr>
        <w:t>.</w:t>
      </w:r>
      <w:r w:rsidR="005A4F90" w:rsidRPr="00194C4A">
        <w:rPr>
          <w:rFonts w:cs="Times New Roman"/>
        </w:rPr>
        <w:t xml:space="preserve"> Ewidencję</w:t>
      </w:r>
      <w:r w:rsidRPr="00194C4A">
        <w:rPr>
          <w:rFonts w:cs="Times New Roman"/>
        </w:rPr>
        <w:t xml:space="preserve"> dostarczonej energii elektrycznej prowadzi się dla terenów wiejskich powiatu </w:t>
      </w:r>
      <w:r w:rsidR="00462E2F">
        <w:rPr>
          <w:rFonts w:cs="Times New Roman"/>
        </w:rPr>
        <w:t xml:space="preserve">oleckiego </w:t>
      </w:r>
      <w:r w:rsidRPr="00194C4A">
        <w:rPr>
          <w:rFonts w:cs="Times New Roman"/>
        </w:rPr>
        <w:t xml:space="preserve">łącznie oraz dla poszczególnych miast powiatu. </w:t>
      </w:r>
    </w:p>
    <w:p w:rsidR="00462E2F" w:rsidRPr="00194C4A" w:rsidRDefault="0029595D" w:rsidP="00D90B14">
      <w:pPr>
        <w:pStyle w:val="tekst"/>
        <w:spacing w:after="240"/>
        <w:rPr>
          <w:rFonts w:cs="Times New Roman"/>
        </w:rPr>
      </w:pPr>
      <w:r>
        <w:rPr>
          <w:rFonts w:cs="Times New Roman"/>
        </w:rPr>
        <w:t xml:space="preserve">Z uwagi na brak szczegółowych danych od </w:t>
      </w:r>
      <w:r w:rsidR="00462E2F">
        <w:rPr>
          <w:rFonts w:cs="Times New Roman"/>
        </w:rPr>
        <w:t>PGE Dystrybucja</w:t>
      </w:r>
      <w:r>
        <w:rPr>
          <w:rFonts w:cs="Times New Roman"/>
        </w:rPr>
        <w:t xml:space="preserve"> dla terenu gminy </w:t>
      </w:r>
      <w:r w:rsidR="00462E2F">
        <w:rPr>
          <w:rFonts w:cs="Times New Roman"/>
        </w:rPr>
        <w:t>Wieliczki</w:t>
      </w:r>
      <w:r>
        <w:rPr>
          <w:rFonts w:cs="Times New Roman"/>
        </w:rPr>
        <w:t xml:space="preserve"> zastosowano średnie zużycie energii elektrycznej dla sektorów gospodarki. </w:t>
      </w:r>
      <w:r w:rsidR="00C91B97" w:rsidRPr="00194C4A">
        <w:rPr>
          <w:rFonts w:cs="Times New Roman"/>
        </w:rPr>
        <w:t>Dla celów opracowania przyjęto</w:t>
      </w:r>
      <w:r w:rsidR="00E67A7E" w:rsidRPr="00194C4A">
        <w:rPr>
          <w:rFonts w:cs="Times New Roman"/>
        </w:rPr>
        <w:t>,</w:t>
      </w:r>
      <w:r w:rsidR="00C91B97" w:rsidRPr="00194C4A">
        <w:rPr>
          <w:rFonts w:cs="Times New Roman"/>
        </w:rPr>
        <w:t xml:space="preserve"> że</w:t>
      </w:r>
      <w:r w:rsidR="0018465B" w:rsidRPr="00194C4A">
        <w:rPr>
          <w:rFonts w:cs="Times New Roman"/>
        </w:rPr>
        <w:t> </w:t>
      </w:r>
      <w:r w:rsidR="00C91B97" w:rsidRPr="00194C4A">
        <w:rPr>
          <w:rFonts w:cs="Times New Roman"/>
        </w:rPr>
        <w:t xml:space="preserve">zużycie energii elektrycznej na </w:t>
      </w:r>
      <w:r w:rsidR="00F0075A" w:rsidRPr="00194C4A">
        <w:rPr>
          <w:rFonts w:cs="Times New Roman"/>
        </w:rPr>
        <w:t xml:space="preserve">jedno </w:t>
      </w:r>
      <w:r w:rsidR="0068400D">
        <w:rPr>
          <w:rFonts w:cs="Times New Roman"/>
        </w:rPr>
        <w:t>gospodarstwo domowe</w:t>
      </w:r>
      <w:r w:rsidR="00F0075A" w:rsidRPr="00194C4A">
        <w:rPr>
          <w:rFonts w:cs="Times New Roman"/>
        </w:rPr>
        <w:t xml:space="preserve"> terenów wiejskich </w:t>
      </w:r>
      <w:r w:rsidR="00B7344B">
        <w:rPr>
          <w:rFonts w:cs="Times New Roman"/>
        </w:rPr>
        <w:t>średnio wynosi 3 MWh</w:t>
      </w:r>
      <w:r w:rsidR="00F0075A" w:rsidRPr="00194C4A">
        <w:rPr>
          <w:rFonts w:cs="Times New Roman"/>
        </w:rPr>
        <w:t xml:space="preserve">. </w:t>
      </w:r>
      <w:r w:rsidR="00B7344B">
        <w:rPr>
          <w:rFonts w:cs="Times New Roman"/>
        </w:rPr>
        <w:t xml:space="preserve">Dane dotyczące faktycznego zużycia otrzymano dla budynków gminnych. Dane dotyczące oświetlenia obliczono zgodnie z założeniami dot. uproszczonego sposobu sporządzania audytów efektywności energetycznej. </w:t>
      </w:r>
    </w:p>
    <w:p w:rsidR="00462E2F" w:rsidRDefault="00462E2F" w:rsidP="00462E2F">
      <w:pPr>
        <w:spacing w:line="360" w:lineRule="auto"/>
        <w:ind w:firstLine="708"/>
        <w:jc w:val="both"/>
        <w:rPr>
          <w:rFonts w:ascii="Times New Roman" w:hAnsi="Times New Roman" w:cs="Times New Roman"/>
          <w:sz w:val="22"/>
          <w:szCs w:val="22"/>
        </w:rPr>
      </w:pPr>
      <w:r w:rsidRPr="00D90B14">
        <w:rPr>
          <w:rFonts w:ascii="Times New Roman" w:hAnsi="Times New Roman" w:cs="Times New Roman"/>
          <w:sz w:val="22"/>
          <w:szCs w:val="22"/>
        </w:rPr>
        <w:t>Dla określenia wielkości emisji przyjęto standardowe wskaźniki emisji IPCC. Wskaźniki te nie oddają pełnej wielkości emisji wynikającej z cyklu życia produktów i usług (metodologia LCA), charakteryzują się jednak większą dokładnością wyznaczenia emisji. W celu wyliczenia emisji CO2 powstającej w związku ze zużyciem energii elektrycznej przyjęto standardowy wskaźnik emisji dla Polski (wg. poradnika „Jak opracować plan działań na rzecz zrównoważonej energii (SEAP)?”) wynoszący 1,191 MgCO2/MWh. Dla energii ze źródeł odnawialnych przyjęto wskaźnik na poziomie 0 Mg CO2/MWh (wg. poradnika „Jak opracować plan działań na rzecz zrównoważonej energii (SEAP)?”). Dla ciepła sieciowego przyjęto wskaźnik na poziomie 0,332 MgCO2/MWh (wg. KOBIZE).</w:t>
      </w:r>
    </w:p>
    <w:p w:rsidR="00A83241" w:rsidRDefault="00A83241" w:rsidP="00462E2F">
      <w:pPr>
        <w:spacing w:line="360" w:lineRule="auto"/>
        <w:ind w:firstLine="708"/>
        <w:jc w:val="both"/>
        <w:rPr>
          <w:rFonts w:ascii="Times New Roman" w:hAnsi="Times New Roman" w:cs="Times New Roman"/>
          <w:sz w:val="22"/>
          <w:szCs w:val="22"/>
        </w:rPr>
      </w:pPr>
    </w:p>
    <w:p w:rsidR="00A83241" w:rsidRPr="00D90B14" w:rsidRDefault="00A83241" w:rsidP="00462E2F">
      <w:pPr>
        <w:spacing w:line="360" w:lineRule="auto"/>
        <w:ind w:firstLine="708"/>
        <w:jc w:val="both"/>
        <w:rPr>
          <w:rFonts w:ascii="Times New Roman" w:hAnsi="Times New Roman" w:cs="Times New Roman"/>
          <w:sz w:val="22"/>
          <w:szCs w:val="22"/>
        </w:rPr>
      </w:pP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lastRenderedPageBreak/>
        <w:t>Tabela 9. Zestawienie wykorzystywanych wskaźników emisji dla paliw</w:t>
      </w:r>
    </w:p>
    <w:tbl>
      <w:tblPr>
        <w:tblStyle w:val="Tabela-Siatka"/>
        <w:tblW w:w="0" w:type="auto"/>
        <w:tblLook w:val="04A0"/>
      </w:tblPr>
      <w:tblGrid>
        <w:gridCol w:w="4606"/>
        <w:gridCol w:w="4606"/>
      </w:tblGrid>
      <w:tr w:rsidR="00462E2F" w:rsidTr="00E64C12">
        <w:tc>
          <w:tcPr>
            <w:tcW w:w="4606" w:type="dxa"/>
          </w:tcPr>
          <w:p w:rsidR="00462E2F" w:rsidRPr="00344941" w:rsidRDefault="00462E2F" w:rsidP="00E64C12">
            <w:pPr>
              <w:rPr>
                <w:rFonts w:ascii="Times New Roman" w:hAnsi="Times New Roman" w:cs="Times New Roman"/>
                <w:b/>
                <w:sz w:val="20"/>
                <w:szCs w:val="20"/>
              </w:rPr>
            </w:pPr>
            <w:r w:rsidRPr="00344941">
              <w:rPr>
                <w:rFonts w:ascii="Times New Roman" w:hAnsi="Times New Roman" w:cs="Times New Roman"/>
                <w:b/>
                <w:sz w:val="20"/>
                <w:szCs w:val="20"/>
              </w:rPr>
              <w:t>Rodzaj paliwa</w:t>
            </w:r>
          </w:p>
        </w:tc>
        <w:tc>
          <w:tcPr>
            <w:tcW w:w="4606" w:type="dxa"/>
          </w:tcPr>
          <w:p w:rsidR="00462E2F" w:rsidRPr="00344941" w:rsidRDefault="00462E2F" w:rsidP="00E64C12">
            <w:pPr>
              <w:rPr>
                <w:rFonts w:ascii="Times New Roman" w:hAnsi="Times New Roman" w:cs="Times New Roman"/>
                <w:b/>
                <w:sz w:val="20"/>
                <w:szCs w:val="20"/>
              </w:rPr>
            </w:pPr>
            <w:r w:rsidRPr="00344941">
              <w:rPr>
                <w:rFonts w:ascii="Times New Roman" w:hAnsi="Times New Roman" w:cs="Times New Roman"/>
                <w:b/>
                <w:sz w:val="20"/>
                <w:szCs w:val="20"/>
              </w:rPr>
              <w:t>Standardowy wskaźnik emisji CO</w:t>
            </w:r>
            <w:r w:rsidRPr="00344941">
              <w:rPr>
                <w:rFonts w:ascii="Times New Roman" w:hAnsi="Times New Roman" w:cs="Times New Roman"/>
                <w:b/>
                <w:sz w:val="20"/>
                <w:szCs w:val="20"/>
                <w:vertAlign w:val="subscript"/>
              </w:rPr>
              <w:t>2</w:t>
            </w:r>
            <w:r w:rsidRPr="00344941">
              <w:rPr>
                <w:rFonts w:ascii="Times New Roman" w:hAnsi="Times New Roman" w:cs="Times New Roman"/>
                <w:b/>
                <w:sz w:val="20"/>
                <w:szCs w:val="20"/>
              </w:rPr>
              <w:t xml:space="preserve"> (kg/GJ)</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Drewno</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112,00 (biogeniczny CO</w:t>
            </w:r>
            <w:r w:rsidRPr="00344941">
              <w:rPr>
                <w:rFonts w:ascii="Times New Roman" w:hAnsi="Times New Roman" w:cs="Times New Roman"/>
                <w:sz w:val="20"/>
                <w:szCs w:val="20"/>
                <w:vertAlign w:val="subscript"/>
              </w:rPr>
              <w:t>2</w:t>
            </w:r>
            <w:r>
              <w:rPr>
                <w:rFonts w:ascii="Times New Roman" w:hAnsi="Times New Roman" w:cs="Times New Roman"/>
                <w:sz w:val="20"/>
                <w:szCs w:val="20"/>
              </w:rPr>
              <w:t>)</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Węgiel</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94,6</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Olej opałowy</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77,4</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Gaz ziemny</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56,1</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Benzyna</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69,30</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Olej napędowy (diesel)</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74,10</w:t>
            </w:r>
          </w:p>
        </w:tc>
      </w:tr>
      <w:tr w:rsidR="00462E2F" w:rsidTr="00E64C12">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LPG</w:t>
            </w:r>
          </w:p>
        </w:tc>
        <w:tc>
          <w:tcPr>
            <w:tcW w:w="4606"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63,1</w:t>
            </w:r>
          </w:p>
        </w:tc>
      </w:tr>
    </w:tbl>
    <w:p w:rsidR="00462E2F" w:rsidRDefault="00462E2F" w:rsidP="00462E2F">
      <w:pPr>
        <w:rPr>
          <w:rFonts w:ascii="Times New Roman" w:hAnsi="Times New Roman" w:cs="Times New Roman"/>
          <w:sz w:val="20"/>
          <w:szCs w:val="20"/>
        </w:rPr>
      </w:pPr>
      <w:r>
        <w:rPr>
          <w:rFonts w:ascii="Times New Roman" w:hAnsi="Times New Roman" w:cs="Times New Roman"/>
          <w:sz w:val="20"/>
          <w:szCs w:val="20"/>
        </w:rPr>
        <w:t>Źródło: opracowanie własne</w:t>
      </w:r>
    </w:p>
    <w:p w:rsidR="00462E2F" w:rsidRDefault="00462E2F" w:rsidP="008A40A2">
      <w:pPr>
        <w:pStyle w:val="Akapitzlist"/>
        <w:numPr>
          <w:ilvl w:val="0"/>
          <w:numId w:val="35"/>
        </w:numPr>
        <w:spacing w:after="200"/>
        <w:rPr>
          <w:rFonts w:ascii="Times New Roman" w:hAnsi="Times New Roman" w:cs="Times New Roman"/>
          <w:i/>
          <w:sz w:val="20"/>
          <w:szCs w:val="20"/>
        </w:rPr>
      </w:pPr>
      <w:r w:rsidRPr="00344941">
        <w:rPr>
          <w:rFonts w:ascii="Times New Roman" w:hAnsi="Times New Roman" w:cs="Times New Roman"/>
          <w:i/>
          <w:sz w:val="20"/>
          <w:szCs w:val="20"/>
        </w:rPr>
        <w:t>Wskaźnik emisji pozostałych gazów i pyłów</w:t>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 xml:space="preserve">Inwentaryzacja emisji pyłu zawieszonego PM10 oraz benzo(a)pirenu została wykonana na podstawie wytycznych Ministerstwa Środowiska – „Wskazówki dla wojewódzkich inwentaryzacji emisji na potrzeby ocen bieżących i programów ochrony powietrza” </w:t>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Zgodnie z wytycznymi Ministerstwa Środowiska – „Wskazówki dla wojewódzkich inwentaryzacji emisji na potrzeby ocen bieżących i programów ochrony powietrza” model emisyjny podzielony zostanie na źródła emisji;</w:t>
      </w:r>
      <w:r w:rsidR="00D90B14" w:rsidRPr="00D90B14">
        <w:rPr>
          <w:rFonts w:ascii="Times New Roman" w:hAnsi="Times New Roman" w:cs="Times New Roman"/>
          <w:sz w:val="22"/>
          <w:szCs w:val="22"/>
        </w:rPr>
        <w:tab/>
      </w:r>
      <w:r w:rsidRPr="00D90B14">
        <w:rPr>
          <w:rFonts w:ascii="Times New Roman" w:hAnsi="Times New Roman" w:cs="Times New Roman"/>
          <w:sz w:val="22"/>
          <w:szCs w:val="22"/>
        </w:rPr>
        <w:t xml:space="preserve">      </w:t>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Pr="00D90B14">
        <w:rPr>
          <w:rFonts w:ascii="Times New Roman" w:hAnsi="Times New Roman" w:cs="Times New Roman"/>
          <w:sz w:val="22"/>
          <w:szCs w:val="22"/>
        </w:rPr>
        <w:t xml:space="preserve">  a) powierzchniowe (źródła komunalno-bytowe i budynki użyteczności publicznej wraz z działalnością gospodarczą);</w:t>
      </w:r>
      <w:r w:rsidR="00D90B14" w:rsidRPr="00D90B14">
        <w:rPr>
          <w:rFonts w:ascii="Times New Roman" w:hAnsi="Times New Roman" w:cs="Times New Roman"/>
          <w:sz w:val="22"/>
          <w:szCs w:val="22"/>
        </w:rPr>
        <w:t xml:space="preserve">         </w:t>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Pr>
          <w:rFonts w:ascii="Times New Roman" w:hAnsi="Times New Roman" w:cs="Times New Roman"/>
          <w:sz w:val="22"/>
          <w:szCs w:val="22"/>
        </w:rPr>
        <w:tab/>
      </w:r>
      <w:r w:rsidR="00D90B14" w:rsidRPr="00D90B14">
        <w:rPr>
          <w:rFonts w:ascii="Times New Roman" w:hAnsi="Times New Roman" w:cs="Times New Roman"/>
          <w:sz w:val="22"/>
          <w:szCs w:val="22"/>
        </w:rPr>
        <w:t xml:space="preserve">    </w:t>
      </w:r>
      <w:r w:rsidRPr="00D90B14">
        <w:rPr>
          <w:rFonts w:ascii="Times New Roman" w:hAnsi="Times New Roman" w:cs="Times New Roman"/>
          <w:sz w:val="22"/>
          <w:szCs w:val="22"/>
        </w:rPr>
        <w:t xml:space="preserve"> b) liniowe (źródła związane z transportem, drogi wojewódzkie i lokalne)</w:t>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r>
      <w:r w:rsidRPr="00D90B14">
        <w:rPr>
          <w:rFonts w:ascii="Times New Roman" w:hAnsi="Times New Roman" w:cs="Times New Roman"/>
          <w:sz w:val="22"/>
          <w:szCs w:val="22"/>
        </w:rPr>
        <w:tab/>
        <w:t>Powierzchniowe źródła emisji będą obejmowały liczne źródła pochodzące z indywidualnych systemów grzewczych małej mocy. Wprowadzanie pyłów i gazów do powietrza następuje na niewielkiej wysokości, a zanieczyszczenia gromadzą się wokół miejsca powstawania, zwykle na obszarach zwartej zabudowy mieszkaniowej.</w:t>
      </w:r>
      <w:r w:rsidR="00D90B14" w:rsidRPr="00D90B14">
        <w:rPr>
          <w:rFonts w:ascii="Times New Roman" w:hAnsi="Times New Roman" w:cs="Times New Roman"/>
          <w:sz w:val="22"/>
          <w:szCs w:val="22"/>
        </w:rPr>
        <w:t xml:space="preserve"> </w:t>
      </w:r>
      <w:r w:rsidRPr="00D90B14">
        <w:rPr>
          <w:rFonts w:ascii="Times New Roman" w:hAnsi="Times New Roman" w:cs="Times New Roman"/>
          <w:sz w:val="22"/>
          <w:szCs w:val="22"/>
        </w:rPr>
        <w:t xml:space="preserve">Do tych </w:t>
      </w:r>
      <w:r w:rsidR="00D90B14">
        <w:rPr>
          <w:rFonts w:ascii="Times New Roman" w:hAnsi="Times New Roman" w:cs="Times New Roman"/>
          <w:sz w:val="22"/>
          <w:szCs w:val="22"/>
        </w:rPr>
        <w:t xml:space="preserve">źródeł zostaną zakwalifikowane </w:t>
      </w:r>
      <w:r w:rsidRPr="00D90B14">
        <w:rPr>
          <w:rFonts w:ascii="Times New Roman" w:hAnsi="Times New Roman" w:cs="Times New Roman"/>
          <w:sz w:val="22"/>
          <w:szCs w:val="22"/>
        </w:rPr>
        <w:t xml:space="preserve">małe kotłownie przydomowe, paleniska domowe (piece węglowe ceramiczne oraz węglowe trzony kuchenne), niewielkie kotłownie do 1 MW dostarczające ciepło do lokali usługowych lub warsztatów, czyli szeroko pojęty sektor bytowo-komunalny. </w:t>
      </w:r>
      <w:r w:rsidR="00D90B14">
        <w:rPr>
          <w:rFonts w:ascii="Times New Roman" w:hAnsi="Times New Roman" w:cs="Times New Roman"/>
          <w:sz w:val="22"/>
          <w:szCs w:val="22"/>
        </w:rPr>
        <w:tab/>
      </w:r>
      <w:r w:rsidRPr="00D90B14">
        <w:rPr>
          <w:rFonts w:ascii="Times New Roman" w:hAnsi="Times New Roman" w:cs="Times New Roman"/>
          <w:sz w:val="22"/>
          <w:szCs w:val="22"/>
        </w:rPr>
        <w:t xml:space="preserve">Struktura stosowania paliw w celach grzewczych określona zostanie na podstawie danych uzyskanych podczas inwentaryzacji budynków mieszkalnych w terenie oraz danych statystycznych GUS. Do obliczeń emisji ze źródeł powierzchniowych przyjęte zostaną wskaźniki emisji pochodzące z „The EMEP/EEA air pollutant emission inventory guidebook 2023”, średnie dla terenu Europy, dla poszczególnych rodzajów paliw. </w:t>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 xml:space="preserve">Do określenia emisji ze źródeł należących do samorządu wykorzystano dane z przeprowadzonej ankietyzacji ogrzewania obiektów komunalnych (urzędu, szkół, oraz innych obiektów należących do Gminy), ogrzewania komunalnych budynków mieszkalnych, liczby i energochłonności lamp oświetlenia </w:t>
      </w:r>
      <w:r w:rsidRPr="00D90B14">
        <w:rPr>
          <w:rFonts w:ascii="Times New Roman" w:hAnsi="Times New Roman" w:cs="Times New Roman"/>
          <w:sz w:val="22"/>
          <w:szCs w:val="22"/>
        </w:rPr>
        <w:lastRenderedPageBreak/>
        <w:t>ulicznego, zużycia energii elektrycznej w budynkach komunalnych (określono na podstawie faktur za energię), zużycia paliw płynnych (na podstawie inwentaryzacji faktur za paliwo oraz raportów za korzystanie ze środowiska).</w:t>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Emisja ze źródeł należących do sektora prywatnego, została obliczona na podstawie ankietyzacji przeprowadzonej wśród mieszkańców Gminy. Określono dzięki temu emisję pochodzącą z ogrzewania budynków należących do mieszkańców oraz emisję ze środków transportu będącego ich własnością.</w:t>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Rekomenduje się przygotowanie tzw.”Raportów z działań” nie zawierających aktualizacji inwentaryzacji emisji co rok począwszy od przygotowania planu gospodarki niskoemisyjnej. Ponadto w roku 2024 należało przygotować „raport z implementacji” zawierający szczegółową inwentaryzację emisji dotyczącą wcześniejszego roku ( dopuszcza się także przygotowanie pośredniego „Raportu z implementacji „ w roku 2026.</w:t>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„Raport z działań” powinien zawierać informacje o procesie wdrażania działań, analizę sytuacji oraz, jeśli to potrzebne, wyniki odpowiednich pomiarów. Zarówno „Raporty z działań” jak i „Raporty z implementacji” powinny być wykonane według szablonu udostępnionego przez biuro Porozumienia Burmistrzów i NFOŚiGW.</w:t>
      </w:r>
    </w:p>
    <w:p w:rsidR="00462E2F" w:rsidRPr="00D90B14" w:rsidRDefault="00462E2F" w:rsidP="00462E2F">
      <w:pPr>
        <w:spacing w:line="360" w:lineRule="auto"/>
        <w:ind w:firstLine="708"/>
        <w:jc w:val="both"/>
        <w:rPr>
          <w:rFonts w:ascii="Times New Roman" w:hAnsi="Times New Roman" w:cs="Times New Roman"/>
          <w:sz w:val="22"/>
          <w:szCs w:val="22"/>
        </w:rPr>
      </w:pPr>
      <w:r w:rsidRPr="00D90B14">
        <w:rPr>
          <w:rFonts w:ascii="Times New Roman" w:hAnsi="Times New Roman" w:cs="Times New Roman"/>
          <w:sz w:val="22"/>
          <w:szCs w:val="22"/>
        </w:rPr>
        <w:t>„Raporty z implementacji” powinny być powiązane z poszczególnymi etapami wdrażania PGN.</w:t>
      </w:r>
    </w:p>
    <w:p w:rsidR="00462E2F" w:rsidRPr="00D90B14" w:rsidRDefault="00462E2F" w:rsidP="00462E2F">
      <w:pPr>
        <w:spacing w:line="360" w:lineRule="auto"/>
        <w:ind w:firstLine="708"/>
        <w:jc w:val="both"/>
        <w:rPr>
          <w:rFonts w:ascii="Times New Roman" w:hAnsi="Times New Roman" w:cs="Times New Roman"/>
          <w:sz w:val="22"/>
          <w:szCs w:val="22"/>
        </w:rPr>
      </w:pPr>
      <w:r w:rsidRPr="00D90B14">
        <w:rPr>
          <w:rFonts w:ascii="Times New Roman" w:hAnsi="Times New Roman" w:cs="Times New Roman"/>
          <w:sz w:val="22"/>
          <w:szCs w:val="22"/>
        </w:rPr>
        <w:t>Sporządzanie „Raportu z implementacji” wiąże się z gromadzeniem danych wejściowych koniecznych do sporządzenia dokładnej aktualizacji emisji. Niezbędna jest współpraca z następującymi podmiotami funkcjonującymi na terenie gminy:</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przedsiębiorstwa energetyczne;</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zarządcy nieruchomości;</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firmy i instytucje;</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przedsiębiorstwa produkcyjne;</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mieszkańcy gminy;</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przedsiębiorstwa komunikacyjne.</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Ponadto należy rozwijać system monitoringu zużycia energii i paliw w obiektach bezpośrednio zarządzanych przez gminę. Należy wziąć pod uwagę kilka narzędzi możliwych do wykorzystania w tym zakresie:</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monitoring on-line;</w:t>
      </w:r>
    </w:p>
    <w:p w:rsidR="00462E2F" w:rsidRPr="00D90B14" w:rsidRDefault="00462E2F" w:rsidP="00462E2F">
      <w:pPr>
        <w:spacing w:line="360" w:lineRule="auto"/>
        <w:jc w:val="both"/>
        <w:rPr>
          <w:rFonts w:ascii="Times New Roman" w:hAnsi="Times New Roman" w:cs="Times New Roman"/>
          <w:sz w:val="22"/>
          <w:szCs w:val="22"/>
        </w:rPr>
      </w:pPr>
      <w:r w:rsidRPr="00D90B14">
        <w:rPr>
          <w:rFonts w:ascii="Times New Roman" w:hAnsi="Times New Roman" w:cs="Times New Roman"/>
          <w:sz w:val="22"/>
          <w:szCs w:val="22"/>
        </w:rPr>
        <w:t>- roczne raporty dla administratorów;</w:t>
      </w:r>
    </w:p>
    <w:p w:rsidR="00462E2F" w:rsidRPr="00D90B14" w:rsidRDefault="00462E2F" w:rsidP="00462E2F">
      <w:pPr>
        <w:jc w:val="both"/>
        <w:rPr>
          <w:rFonts w:ascii="Times New Roman" w:hAnsi="Times New Roman" w:cs="Times New Roman"/>
          <w:sz w:val="22"/>
          <w:szCs w:val="22"/>
        </w:rPr>
      </w:pPr>
      <w:r w:rsidRPr="00D90B14">
        <w:rPr>
          <w:rFonts w:ascii="Times New Roman" w:hAnsi="Times New Roman" w:cs="Times New Roman"/>
          <w:sz w:val="22"/>
          <w:szCs w:val="22"/>
        </w:rPr>
        <w:t>- benchmarking obiektów gminnych.</w:t>
      </w:r>
    </w:p>
    <w:p w:rsidR="00462E2F" w:rsidRPr="00D90B14" w:rsidRDefault="00462E2F" w:rsidP="00D90B14">
      <w:pPr>
        <w:spacing w:line="360" w:lineRule="auto"/>
        <w:ind w:firstLine="708"/>
        <w:jc w:val="both"/>
        <w:rPr>
          <w:rFonts w:ascii="Times New Roman" w:hAnsi="Times New Roman" w:cs="Times New Roman"/>
          <w:sz w:val="22"/>
          <w:szCs w:val="22"/>
        </w:rPr>
      </w:pPr>
      <w:r w:rsidRPr="00D90B14">
        <w:rPr>
          <w:rFonts w:ascii="Times New Roman" w:hAnsi="Times New Roman" w:cs="Times New Roman"/>
          <w:sz w:val="22"/>
          <w:szCs w:val="22"/>
        </w:rPr>
        <w:lastRenderedPageBreak/>
        <w:t>Należy pamiętać o tym jak ważny jest odpowiedni dobór wskaźników monitoringu efektów poszczególnych działań. Proponowane wskaźniki przedstawia poniższa tabela. Wskaźniki wskazują jednocześnie jakie dane należy pozyskiwać podczas przygotowania raportów dla Komisji Europejskiej.</w:t>
      </w:r>
    </w:p>
    <w:p w:rsidR="00462E2F" w:rsidRPr="00D90B14" w:rsidRDefault="00462E2F" w:rsidP="00D90B14">
      <w:pPr>
        <w:spacing w:line="360" w:lineRule="auto"/>
        <w:ind w:firstLine="708"/>
        <w:jc w:val="both"/>
        <w:rPr>
          <w:rFonts w:ascii="Times New Roman" w:hAnsi="Times New Roman" w:cs="Times New Roman"/>
          <w:sz w:val="22"/>
          <w:szCs w:val="22"/>
        </w:rPr>
      </w:pPr>
      <w:r w:rsidRPr="00D90B14">
        <w:rPr>
          <w:rFonts w:ascii="Times New Roman" w:hAnsi="Times New Roman" w:cs="Times New Roman"/>
          <w:sz w:val="22"/>
          <w:szCs w:val="22"/>
        </w:rPr>
        <w:t>W poniższych tabelach przedstawiono proponowane wskaźniki monitoringu w oparciu o działania w poszczególnych grupach użytkowników energii. Wskaźniki proponuje się monitorować każdego roku. Większość z nich opartych jest o informacje posiadane przez Urząd Gminy w Wieliczkach, przedsiębiorstwa energetyczne bądź dane statystyczne udostępnione przez Główny Urząd Statystyczny.</w:t>
      </w:r>
    </w:p>
    <w:p w:rsidR="00462E2F" w:rsidRDefault="00462E2F" w:rsidP="00462E2F">
      <w:pPr>
        <w:jc w:val="both"/>
        <w:rPr>
          <w:rFonts w:ascii="Times New Roman" w:hAnsi="Times New Roman" w:cs="Times New Roman"/>
          <w:sz w:val="20"/>
          <w:szCs w:val="20"/>
        </w:rPr>
      </w:pPr>
    </w:p>
    <w:p w:rsidR="00462E2F" w:rsidRPr="00011DC6" w:rsidRDefault="00462E2F" w:rsidP="00462E2F">
      <w:pPr>
        <w:rPr>
          <w:rFonts w:ascii="Times New Roman" w:hAnsi="Times New Roman" w:cs="Times New Roman"/>
          <w:b/>
          <w:sz w:val="20"/>
          <w:szCs w:val="20"/>
        </w:rPr>
      </w:pPr>
      <w:r>
        <w:rPr>
          <w:rFonts w:ascii="Times New Roman" w:hAnsi="Times New Roman" w:cs="Times New Roman"/>
          <w:b/>
          <w:sz w:val="20"/>
          <w:szCs w:val="20"/>
        </w:rPr>
        <w:t>Tabela 10</w:t>
      </w:r>
      <w:r w:rsidRPr="00011DC6">
        <w:rPr>
          <w:rFonts w:ascii="Times New Roman" w:hAnsi="Times New Roman" w:cs="Times New Roman"/>
          <w:b/>
          <w:sz w:val="20"/>
          <w:szCs w:val="20"/>
        </w:rPr>
        <w:t xml:space="preserve">. </w:t>
      </w:r>
      <w:r>
        <w:rPr>
          <w:rFonts w:ascii="Times New Roman" w:hAnsi="Times New Roman" w:cs="Times New Roman"/>
          <w:b/>
          <w:sz w:val="20"/>
          <w:szCs w:val="20"/>
        </w:rPr>
        <w:t>Wskaźniki monitoringu proponowane dla grupy użyteczności publicznej/ infrastruktura komunalna</w:t>
      </w:r>
    </w:p>
    <w:tbl>
      <w:tblPr>
        <w:tblStyle w:val="Tabela-Siatka"/>
        <w:tblW w:w="0" w:type="auto"/>
        <w:tblLook w:val="04A0"/>
      </w:tblPr>
      <w:tblGrid>
        <w:gridCol w:w="817"/>
        <w:gridCol w:w="3789"/>
        <w:gridCol w:w="2303"/>
        <w:gridCol w:w="2303"/>
      </w:tblGrid>
      <w:tr w:rsidR="00462E2F" w:rsidRPr="00672FA5" w:rsidTr="00E64C12">
        <w:tc>
          <w:tcPr>
            <w:tcW w:w="817" w:type="dxa"/>
            <w:shd w:val="clear" w:color="auto" w:fill="BFBFBF" w:themeFill="background1" w:themeFillShade="BF"/>
          </w:tcPr>
          <w:p w:rsidR="00462E2F" w:rsidRPr="0093228A" w:rsidRDefault="00462E2F" w:rsidP="00E64C12">
            <w:pPr>
              <w:rPr>
                <w:rFonts w:ascii="Times New Roman" w:hAnsi="Times New Roman" w:cs="Times New Roman"/>
                <w:b/>
                <w:sz w:val="20"/>
                <w:szCs w:val="20"/>
              </w:rPr>
            </w:pPr>
            <w:r w:rsidRPr="0093228A">
              <w:rPr>
                <w:rFonts w:ascii="Times New Roman" w:hAnsi="Times New Roman" w:cs="Times New Roman"/>
                <w:b/>
                <w:sz w:val="20"/>
                <w:szCs w:val="20"/>
              </w:rPr>
              <w:t>Lp.</w:t>
            </w:r>
          </w:p>
        </w:tc>
        <w:tc>
          <w:tcPr>
            <w:tcW w:w="3789" w:type="dxa"/>
            <w:shd w:val="clear" w:color="auto" w:fill="BFBFBF" w:themeFill="background1" w:themeFillShade="BF"/>
          </w:tcPr>
          <w:p w:rsidR="00462E2F" w:rsidRPr="0093228A" w:rsidRDefault="00462E2F" w:rsidP="00E64C12">
            <w:pPr>
              <w:rPr>
                <w:rFonts w:ascii="Times New Roman" w:hAnsi="Times New Roman" w:cs="Times New Roman"/>
                <w:b/>
                <w:sz w:val="20"/>
                <w:szCs w:val="20"/>
              </w:rPr>
            </w:pPr>
            <w:r w:rsidRPr="0093228A">
              <w:rPr>
                <w:rFonts w:ascii="Times New Roman" w:hAnsi="Times New Roman" w:cs="Times New Roman"/>
                <w:b/>
                <w:sz w:val="20"/>
                <w:szCs w:val="20"/>
              </w:rPr>
              <w:t>Opis wskaźnika</w:t>
            </w:r>
          </w:p>
        </w:tc>
        <w:tc>
          <w:tcPr>
            <w:tcW w:w="2303" w:type="dxa"/>
            <w:shd w:val="clear" w:color="auto" w:fill="BFBFBF" w:themeFill="background1" w:themeFillShade="BF"/>
          </w:tcPr>
          <w:p w:rsidR="00462E2F" w:rsidRPr="0093228A" w:rsidRDefault="00462E2F" w:rsidP="00E64C12">
            <w:pPr>
              <w:rPr>
                <w:rFonts w:ascii="Times New Roman" w:hAnsi="Times New Roman" w:cs="Times New Roman"/>
                <w:b/>
                <w:sz w:val="20"/>
                <w:szCs w:val="20"/>
              </w:rPr>
            </w:pPr>
            <w:r w:rsidRPr="0093228A">
              <w:rPr>
                <w:rFonts w:ascii="Times New Roman" w:hAnsi="Times New Roman" w:cs="Times New Roman"/>
                <w:b/>
                <w:sz w:val="20"/>
                <w:szCs w:val="20"/>
              </w:rPr>
              <w:t>Jednostka</w:t>
            </w:r>
          </w:p>
        </w:tc>
        <w:tc>
          <w:tcPr>
            <w:tcW w:w="2303" w:type="dxa"/>
            <w:shd w:val="clear" w:color="auto" w:fill="BFBFBF" w:themeFill="background1" w:themeFillShade="BF"/>
          </w:tcPr>
          <w:p w:rsidR="00462E2F" w:rsidRPr="0093228A" w:rsidRDefault="00462E2F" w:rsidP="00E64C12">
            <w:pPr>
              <w:rPr>
                <w:rFonts w:ascii="Times New Roman" w:hAnsi="Times New Roman" w:cs="Times New Roman"/>
                <w:b/>
                <w:sz w:val="20"/>
                <w:szCs w:val="20"/>
              </w:rPr>
            </w:pPr>
            <w:r w:rsidRPr="0093228A">
              <w:rPr>
                <w:rFonts w:ascii="Times New Roman" w:hAnsi="Times New Roman" w:cs="Times New Roman"/>
                <w:b/>
                <w:sz w:val="20"/>
                <w:szCs w:val="20"/>
              </w:rPr>
              <w:t>Źródła danych</w:t>
            </w:r>
          </w:p>
        </w:tc>
      </w:tr>
      <w:tr w:rsidR="00462E2F" w:rsidRPr="00672FA5" w:rsidTr="00E64C12">
        <w:tc>
          <w:tcPr>
            <w:tcW w:w="817" w:type="dxa"/>
          </w:tcPr>
          <w:p w:rsidR="00462E2F" w:rsidRPr="0093228A" w:rsidRDefault="00462E2F" w:rsidP="00E64C12">
            <w:pPr>
              <w:rPr>
                <w:rFonts w:ascii="Times New Roman" w:hAnsi="Times New Roman" w:cs="Times New Roman"/>
                <w:sz w:val="20"/>
                <w:szCs w:val="20"/>
              </w:rPr>
            </w:pPr>
            <w:r w:rsidRPr="0093228A">
              <w:rPr>
                <w:rFonts w:ascii="Times New Roman" w:hAnsi="Times New Roman" w:cs="Times New Roman"/>
                <w:sz w:val="20"/>
                <w:szCs w:val="20"/>
              </w:rPr>
              <w:t>UP1</w:t>
            </w:r>
          </w:p>
        </w:tc>
        <w:tc>
          <w:tcPr>
            <w:tcW w:w="3789" w:type="dxa"/>
          </w:tcPr>
          <w:p w:rsidR="00462E2F" w:rsidRPr="0093228A" w:rsidRDefault="00462E2F" w:rsidP="00E64C12">
            <w:pPr>
              <w:rPr>
                <w:rFonts w:ascii="Times New Roman" w:hAnsi="Times New Roman" w:cs="Times New Roman"/>
                <w:sz w:val="20"/>
                <w:szCs w:val="20"/>
              </w:rPr>
            </w:pPr>
            <w:r w:rsidRPr="0093228A">
              <w:rPr>
                <w:rFonts w:ascii="Times New Roman" w:hAnsi="Times New Roman" w:cs="Times New Roman"/>
                <w:sz w:val="20"/>
                <w:szCs w:val="20"/>
              </w:rPr>
              <w:t>Ilość wykorzystywanej energii elektrycznej pochodzącej ze źródeł odnawialnych w budynkach użyteczności publicznej</w:t>
            </w:r>
          </w:p>
        </w:tc>
        <w:tc>
          <w:tcPr>
            <w:tcW w:w="2303" w:type="dxa"/>
          </w:tcPr>
          <w:p w:rsidR="00462E2F" w:rsidRPr="0093228A" w:rsidRDefault="00462E2F" w:rsidP="00E64C12">
            <w:pPr>
              <w:rPr>
                <w:rFonts w:ascii="Times New Roman" w:hAnsi="Times New Roman" w:cs="Times New Roman"/>
                <w:sz w:val="20"/>
                <w:szCs w:val="20"/>
              </w:rPr>
            </w:pPr>
            <w:r w:rsidRPr="0093228A">
              <w:rPr>
                <w:rFonts w:ascii="Times New Roman" w:hAnsi="Times New Roman" w:cs="Times New Roman"/>
                <w:sz w:val="20"/>
                <w:szCs w:val="20"/>
              </w:rPr>
              <w:t>MWh/rok</w:t>
            </w:r>
          </w:p>
        </w:tc>
        <w:tc>
          <w:tcPr>
            <w:tcW w:w="2303" w:type="dxa"/>
          </w:tcPr>
          <w:p w:rsidR="00462E2F" w:rsidRPr="0093228A" w:rsidRDefault="00462E2F" w:rsidP="00E64C12">
            <w:pPr>
              <w:rPr>
                <w:rFonts w:ascii="Times New Roman" w:hAnsi="Times New Roman" w:cs="Times New Roman"/>
                <w:sz w:val="20"/>
                <w:szCs w:val="20"/>
              </w:rPr>
            </w:pPr>
            <w:r w:rsidRPr="0093228A">
              <w:rPr>
                <w:rFonts w:ascii="Times New Roman" w:hAnsi="Times New Roman" w:cs="Times New Roman"/>
                <w:sz w:val="20"/>
                <w:szCs w:val="20"/>
              </w:rPr>
              <w:t xml:space="preserve"> Administratorzy obiektów, funkcjonujący monitoring zużycia i kosztów nośników energii, przedsiębiorstwa energetyczne</w:t>
            </w:r>
          </w:p>
        </w:tc>
      </w:tr>
      <w:tr w:rsidR="00462E2F" w:rsidRPr="00672FA5" w:rsidTr="00E64C12">
        <w:tc>
          <w:tcPr>
            <w:tcW w:w="817" w:type="dxa"/>
          </w:tcPr>
          <w:p w:rsidR="00462E2F" w:rsidRPr="0093228A" w:rsidRDefault="00462E2F" w:rsidP="00E64C12">
            <w:pPr>
              <w:rPr>
                <w:rFonts w:ascii="Times New Roman" w:hAnsi="Times New Roman" w:cs="Times New Roman"/>
                <w:sz w:val="20"/>
                <w:szCs w:val="20"/>
              </w:rPr>
            </w:pPr>
            <w:r>
              <w:rPr>
                <w:rFonts w:ascii="Times New Roman" w:hAnsi="Times New Roman" w:cs="Times New Roman"/>
                <w:sz w:val="20"/>
                <w:szCs w:val="20"/>
              </w:rPr>
              <w:t>UP2</w:t>
            </w:r>
          </w:p>
        </w:tc>
        <w:tc>
          <w:tcPr>
            <w:tcW w:w="3789" w:type="dxa"/>
          </w:tcPr>
          <w:p w:rsidR="00462E2F" w:rsidRPr="0093228A" w:rsidRDefault="00462E2F" w:rsidP="00E64C12">
            <w:pPr>
              <w:rPr>
                <w:rFonts w:ascii="Times New Roman" w:hAnsi="Times New Roman" w:cs="Times New Roman"/>
                <w:sz w:val="20"/>
                <w:szCs w:val="20"/>
              </w:rPr>
            </w:pPr>
            <w:r>
              <w:rPr>
                <w:rFonts w:ascii="Times New Roman" w:hAnsi="Times New Roman" w:cs="Times New Roman"/>
                <w:sz w:val="20"/>
                <w:szCs w:val="20"/>
              </w:rPr>
              <w:t>Ilość wykorzystywane energii cieplnej pochodzącej ze źródeł odnawialnych w budynkach użyteczności publicznej</w:t>
            </w:r>
          </w:p>
        </w:tc>
        <w:tc>
          <w:tcPr>
            <w:tcW w:w="2303" w:type="dxa"/>
          </w:tcPr>
          <w:p w:rsidR="00462E2F" w:rsidRPr="0093228A" w:rsidRDefault="00462E2F" w:rsidP="00E64C12">
            <w:pPr>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Pr="0093228A"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 przedsiębiorstwa 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UP3</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Udział wykorzystywanej energii pochodzącej ze źródeł odnawialnych w całkowitej energii zużywanej w budynkach użyteczności publicznej</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w:t>
            </w:r>
          </w:p>
        </w:tc>
        <w:tc>
          <w:tcPr>
            <w:tcW w:w="2303" w:type="dxa"/>
          </w:tcPr>
          <w:p w:rsidR="00462E2F" w:rsidRPr="0093228A"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 przedsiębiorstwa 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UP4</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Całkowita powierzchnia zainstalowanych paneli fotowoltaicznych</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t>
            </w:r>
            <w:r w:rsidRPr="00E53EEE">
              <w:rPr>
                <w:rFonts w:ascii="Times New Roman" w:hAnsi="Times New Roman" w:cs="Times New Roman"/>
                <w:sz w:val="20"/>
                <w:szCs w:val="20"/>
                <w:vertAlign w:val="superscript"/>
              </w:rPr>
              <w:t xml:space="preserve"> 2</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UP5</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Liczba budynków użyteczności publicznej poddana termomodernizacji po roku 2019</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szt.</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UP6</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Powierzchnia budynków użyteczności publicznej poddana termomodernizacji po roku 2019</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t>
            </w:r>
            <w:r w:rsidRPr="00E53EEE">
              <w:rPr>
                <w:rFonts w:ascii="Times New Roman" w:hAnsi="Times New Roman" w:cs="Times New Roman"/>
                <w:sz w:val="20"/>
                <w:szCs w:val="20"/>
                <w:vertAlign w:val="superscript"/>
              </w:rPr>
              <w:t xml:space="preserve"> 2</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w:t>
            </w:r>
          </w:p>
        </w:tc>
      </w:tr>
      <w:tr w:rsidR="00462E2F" w:rsidRPr="00672FA5" w:rsidTr="00E64C12">
        <w:trPr>
          <w:trHeight w:val="1564"/>
        </w:trPr>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lastRenderedPageBreak/>
              <w:t>UP7</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Całkowite zużycie energii elektrycznej w grupie budynków użyteczności publicznej będących własnością Gminy Wieliczki</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 przedsiębiorstwa 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UP8</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Całkowite zużycie energii cieplnej w grupie budynków użyteczności publicznej będących własnością Gminy Wieliczki</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 przedsiębiorstwa 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UP9</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Całkowite zużycie gazu w grupie budynków użyteczności publicznej będących własnością Gminy Wieliczki</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 przedsiębiorstwa 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UP10</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Jednostkowe roczne zużycie energii końcowej w grupie budynków użyteczności publicznej</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kWh/m</w:t>
            </w:r>
            <w:r w:rsidRPr="00E53EEE">
              <w:rPr>
                <w:rFonts w:ascii="Times New Roman" w:hAnsi="Times New Roman" w:cs="Times New Roman"/>
                <w:sz w:val="20"/>
                <w:szCs w:val="20"/>
                <w:vertAlign w:val="superscript"/>
              </w:rPr>
              <w:t>2</w:t>
            </w:r>
            <w:r>
              <w:rPr>
                <w:rFonts w:ascii="Times New Roman" w:hAnsi="Times New Roman" w:cs="Times New Roman"/>
                <w:sz w:val="20"/>
                <w:szCs w:val="20"/>
              </w:rPr>
              <w:t>/rok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Administratorzy obiektów, funkcjonujący monitoring zużycia i kosztów nośników energii, przedsiębiorstwa 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UP11</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Liczba obiektów objętych systemem monitoringu nośników energii oraz wody</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szt.</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Urząd Gminy                    w Wieliczkach</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UP12</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Roczna liczba usług/produktów których procedura wyboru oparta została także o kryteria środowiskowe/efektywności (system zielonych zamówień publicznych)</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szt./rok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Urząd Gminy                    w Wieliczkach</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UP13</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Roczne zużycie energii elektrycznej przez system oświetlenia gminnego</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Urząd Gminy w Wieliczkach, przedsiębiorstwo elektroenergetyczne</w:t>
            </w:r>
          </w:p>
        </w:tc>
      </w:tr>
      <w:tr w:rsidR="00462E2F" w:rsidRPr="00672FA5" w:rsidTr="00E64C12">
        <w:tc>
          <w:tcPr>
            <w:tcW w:w="817"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UP14</w:t>
            </w:r>
          </w:p>
        </w:tc>
        <w:tc>
          <w:tcPr>
            <w:tcW w:w="3789"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Wskaźnik rocznego zużycia energii elektrycznej przez system oświetlenia gminnego w odniesieniu do liczby punktów oświetleniowych</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MWh/punkt/rok</w:t>
            </w:r>
          </w:p>
        </w:tc>
        <w:tc>
          <w:tcPr>
            <w:tcW w:w="2303" w:type="dxa"/>
          </w:tcPr>
          <w:p w:rsidR="00462E2F" w:rsidRDefault="00462E2F" w:rsidP="00E64C12">
            <w:pPr>
              <w:rPr>
                <w:rFonts w:ascii="Times New Roman" w:hAnsi="Times New Roman" w:cs="Times New Roman"/>
                <w:sz w:val="20"/>
                <w:szCs w:val="20"/>
              </w:rPr>
            </w:pPr>
            <w:r>
              <w:rPr>
                <w:rFonts w:ascii="Times New Roman" w:hAnsi="Times New Roman" w:cs="Times New Roman"/>
                <w:sz w:val="20"/>
                <w:szCs w:val="20"/>
              </w:rPr>
              <w:t>Urząd Gminy w Wieliczkach, przedsiębiorstwo elektroenergetyczne</w:t>
            </w:r>
          </w:p>
        </w:tc>
      </w:tr>
    </w:tbl>
    <w:p w:rsidR="00462E2F" w:rsidRPr="00F30B76" w:rsidRDefault="00462E2F" w:rsidP="00462E2F">
      <w:pPr>
        <w:jc w:val="center"/>
        <w:rPr>
          <w:rFonts w:ascii="Times New Roman" w:hAnsi="Times New Roman" w:cs="Times New Roman"/>
          <w:sz w:val="20"/>
          <w:szCs w:val="20"/>
        </w:rPr>
      </w:pPr>
      <w:r w:rsidRPr="00F30B76">
        <w:rPr>
          <w:rFonts w:ascii="Times New Roman" w:hAnsi="Times New Roman" w:cs="Times New Roman"/>
          <w:sz w:val="20"/>
          <w:szCs w:val="20"/>
        </w:rPr>
        <w:t>Źródło: analizy własne</w:t>
      </w:r>
    </w:p>
    <w:p w:rsidR="00462E2F" w:rsidRDefault="00462E2F" w:rsidP="00462E2F">
      <w:pPr>
        <w:jc w:val="both"/>
        <w:rPr>
          <w:rFonts w:ascii="Times New Roman" w:hAnsi="Times New Roman" w:cs="Times New Roman"/>
          <w:b/>
          <w:sz w:val="20"/>
          <w:szCs w:val="20"/>
        </w:rPr>
      </w:pPr>
      <w:r>
        <w:rPr>
          <w:rFonts w:ascii="Times New Roman" w:hAnsi="Times New Roman" w:cs="Times New Roman"/>
          <w:b/>
          <w:sz w:val="20"/>
          <w:szCs w:val="20"/>
        </w:rPr>
        <w:t>Tabela nr 11</w:t>
      </w:r>
      <w:r w:rsidRPr="00F30B76">
        <w:rPr>
          <w:rFonts w:ascii="Times New Roman" w:hAnsi="Times New Roman" w:cs="Times New Roman"/>
          <w:b/>
          <w:sz w:val="20"/>
          <w:szCs w:val="20"/>
        </w:rPr>
        <w:t xml:space="preserve"> Wskaźniki monitoringu proponowane dla sektora mieszkalnictwo</w:t>
      </w:r>
    </w:p>
    <w:tbl>
      <w:tblPr>
        <w:tblStyle w:val="Tabela-Siatka"/>
        <w:tblW w:w="0" w:type="auto"/>
        <w:tblLook w:val="04A0"/>
      </w:tblPr>
      <w:tblGrid>
        <w:gridCol w:w="817"/>
        <w:gridCol w:w="3789"/>
        <w:gridCol w:w="2303"/>
        <w:gridCol w:w="2303"/>
      </w:tblGrid>
      <w:tr w:rsidR="00462E2F" w:rsidTr="00E64C12">
        <w:tc>
          <w:tcPr>
            <w:tcW w:w="817" w:type="dxa"/>
            <w:shd w:val="clear" w:color="auto" w:fill="BFBFBF" w:themeFill="background1" w:themeFillShade="BF"/>
          </w:tcPr>
          <w:p w:rsidR="00462E2F" w:rsidRDefault="00462E2F" w:rsidP="00E64C12">
            <w:pPr>
              <w:jc w:val="both"/>
              <w:rPr>
                <w:rFonts w:ascii="Times New Roman" w:hAnsi="Times New Roman" w:cs="Times New Roman"/>
                <w:b/>
                <w:sz w:val="20"/>
                <w:szCs w:val="20"/>
              </w:rPr>
            </w:pPr>
            <w:r>
              <w:rPr>
                <w:rFonts w:ascii="Times New Roman" w:hAnsi="Times New Roman" w:cs="Times New Roman"/>
                <w:b/>
                <w:sz w:val="20"/>
                <w:szCs w:val="20"/>
              </w:rPr>
              <w:t>Lp.</w:t>
            </w:r>
          </w:p>
        </w:tc>
        <w:tc>
          <w:tcPr>
            <w:tcW w:w="3789" w:type="dxa"/>
            <w:shd w:val="clear" w:color="auto" w:fill="BFBFBF" w:themeFill="background1" w:themeFillShade="BF"/>
          </w:tcPr>
          <w:p w:rsidR="00462E2F" w:rsidRDefault="00462E2F" w:rsidP="00E64C12">
            <w:pPr>
              <w:jc w:val="both"/>
              <w:rPr>
                <w:rFonts w:ascii="Times New Roman" w:hAnsi="Times New Roman" w:cs="Times New Roman"/>
                <w:b/>
                <w:sz w:val="20"/>
                <w:szCs w:val="20"/>
              </w:rPr>
            </w:pPr>
            <w:r>
              <w:rPr>
                <w:rFonts w:ascii="Times New Roman" w:hAnsi="Times New Roman" w:cs="Times New Roman"/>
                <w:b/>
                <w:sz w:val="20"/>
                <w:szCs w:val="20"/>
              </w:rPr>
              <w:t>Opis wskaźnika</w:t>
            </w:r>
          </w:p>
        </w:tc>
        <w:tc>
          <w:tcPr>
            <w:tcW w:w="2303" w:type="dxa"/>
            <w:shd w:val="clear" w:color="auto" w:fill="BFBFBF" w:themeFill="background1" w:themeFillShade="BF"/>
          </w:tcPr>
          <w:p w:rsidR="00462E2F" w:rsidRDefault="00462E2F" w:rsidP="00E64C12">
            <w:pPr>
              <w:jc w:val="both"/>
              <w:rPr>
                <w:rFonts w:ascii="Times New Roman" w:hAnsi="Times New Roman" w:cs="Times New Roman"/>
                <w:b/>
                <w:sz w:val="20"/>
                <w:szCs w:val="20"/>
              </w:rPr>
            </w:pPr>
            <w:r>
              <w:rPr>
                <w:rFonts w:ascii="Times New Roman" w:hAnsi="Times New Roman" w:cs="Times New Roman"/>
                <w:b/>
                <w:sz w:val="20"/>
                <w:szCs w:val="20"/>
              </w:rPr>
              <w:t>Jednostka</w:t>
            </w:r>
          </w:p>
        </w:tc>
        <w:tc>
          <w:tcPr>
            <w:tcW w:w="2303" w:type="dxa"/>
            <w:shd w:val="clear" w:color="auto" w:fill="BFBFBF" w:themeFill="background1" w:themeFillShade="BF"/>
          </w:tcPr>
          <w:p w:rsidR="00462E2F" w:rsidRDefault="00462E2F" w:rsidP="00E64C12">
            <w:pPr>
              <w:jc w:val="both"/>
              <w:rPr>
                <w:rFonts w:ascii="Times New Roman" w:hAnsi="Times New Roman" w:cs="Times New Roman"/>
                <w:b/>
                <w:sz w:val="20"/>
                <w:szCs w:val="20"/>
              </w:rPr>
            </w:pPr>
            <w:r>
              <w:rPr>
                <w:rFonts w:ascii="Times New Roman" w:hAnsi="Times New Roman" w:cs="Times New Roman"/>
                <w:b/>
                <w:sz w:val="20"/>
                <w:szCs w:val="20"/>
              </w:rPr>
              <w:t>Źródła danych</w:t>
            </w:r>
          </w:p>
        </w:tc>
      </w:tr>
      <w:tr w:rsidR="00462E2F" w:rsidTr="00E64C12">
        <w:tc>
          <w:tcPr>
            <w:tcW w:w="817"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M1</w:t>
            </w:r>
          </w:p>
        </w:tc>
        <w:tc>
          <w:tcPr>
            <w:tcW w:w="3789"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Liczba zlikwidowanych tradycyjnych kotłów węglowych po roku 2019</w:t>
            </w:r>
          </w:p>
        </w:tc>
        <w:tc>
          <w:tcPr>
            <w:tcW w:w="2303" w:type="dxa"/>
          </w:tcPr>
          <w:p w:rsidR="00462E2F" w:rsidRPr="00F30B76" w:rsidRDefault="00462E2F" w:rsidP="00E64C12">
            <w:pPr>
              <w:jc w:val="both"/>
              <w:rPr>
                <w:rFonts w:ascii="Times New Roman" w:hAnsi="Times New Roman" w:cs="Times New Roman"/>
                <w:sz w:val="20"/>
                <w:szCs w:val="20"/>
              </w:rPr>
            </w:pPr>
            <w:r>
              <w:rPr>
                <w:rFonts w:ascii="Times New Roman" w:hAnsi="Times New Roman" w:cs="Times New Roman"/>
                <w:sz w:val="20"/>
                <w:szCs w:val="20"/>
              </w:rPr>
              <w:t>s</w:t>
            </w:r>
            <w:r w:rsidRPr="00F30B76">
              <w:rPr>
                <w:rFonts w:ascii="Times New Roman" w:hAnsi="Times New Roman" w:cs="Times New Roman"/>
                <w:sz w:val="20"/>
                <w:szCs w:val="20"/>
              </w:rPr>
              <w:t>zt.</w:t>
            </w:r>
          </w:p>
        </w:tc>
        <w:tc>
          <w:tcPr>
            <w:tcW w:w="2303"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 xml:space="preserve">Urząd Gminy </w:t>
            </w:r>
            <w:r>
              <w:rPr>
                <w:rFonts w:ascii="Times New Roman" w:hAnsi="Times New Roman" w:cs="Times New Roman"/>
                <w:sz w:val="20"/>
                <w:szCs w:val="20"/>
              </w:rPr>
              <w:t xml:space="preserve">                         </w:t>
            </w:r>
            <w:r w:rsidRPr="00F30B76">
              <w:rPr>
                <w:rFonts w:ascii="Times New Roman" w:hAnsi="Times New Roman" w:cs="Times New Roman"/>
                <w:sz w:val="20"/>
                <w:szCs w:val="20"/>
              </w:rPr>
              <w:t>w Wieliczkach</w:t>
            </w:r>
          </w:p>
        </w:tc>
      </w:tr>
      <w:tr w:rsidR="00462E2F" w:rsidTr="00E64C12">
        <w:tc>
          <w:tcPr>
            <w:tcW w:w="817"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M2</w:t>
            </w:r>
          </w:p>
        </w:tc>
        <w:tc>
          <w:tcPr>
            <w:tcW w:w="3789"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 xml:space="preserve">Roczna liczba dofinansowanych przez gminę wymian źródeł ciepła w podziale na </w:t>
            </w:r>
            <w:r w:rsidRPr="00F30B76">
              <w:rPr>
                <w:rFonts w:ascii="Times New Roman" w:hAnsi="Times New Roman" w:cs="Times New Roman"/>
                <w:sz w:val="20"/>
                <w:szCs w:val="20"/>
              </w:rPr>
              <w:lastRenderedPageBreak/>
              <w:t>typy zainstalowanych źródeł</w:t>
            </w:r>
          </w:p>
        </w:tc>
        <w:tc>
          <w:tcPr>
            <w:tcW w:w="2303" w:type="dxa"/>
          </w:tcPr>
          <w:p w:rsidR="00462E2F" w:rsidRPr="00F30B76" w:rsidRDefault="00462E2F" w:rsidP="00E64C12">
            <w:pPr>
              <w:jc w:val="both"/>
              <w:rPr>
                <w:rFonts w:ascii="Times New Roman" w:hAnsi="Times New Roman" w:cs="Times New Roman"/>
                <w:sz w:val="20"/>
                <w:szCs w:val="20"/>
              </w:rPr>
            </w:pPr>
            <w:r>
              <w:rPr>
                <w:rFonts w:ascii="Times New Roman" w:hAnsi="Times New Roman" w:cs="Times New Roman"/>
                <w:sz w:val="20"/>
                <w:szCs w:val="20"/>
              </w:rPr>
              <w:lastRenderedPageBreak/>
              <w:t>s</w:t>
            </w:r>
            <w:r w:rsidRPr="00F30B76">
              <w:rPr>
                <w:rFonts w:ascii="Times New Roman" w:hAnsi="Times New Roman" w:cs="Times New Roman"/>
                <w:sz w:val="20"/>
                <w:szCs w:val="20"/>
              </w:rPr>
              <w:t>zt.</w:t>
            </w:r>
          </w:p>
        </w:tc>
        <w:tc>
          <w:tcPr>
            <w:tcW w:w="2303"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 xml:space="preserve">Urząd </w:t>
            </w:r>
            <w:r>
              <w:rPr>
                <w:rFonts w:ascii="Times New Roman" w:hAnsi="Times New Roman" w:cs="Times New Roman"/>
                <w:sz w:val="20"/>
                <w:szCs w:val="20"/>
              </w:rPr>
              <w:t xml:space="preserve">            </w:t>
            </w:r>
            <w:r w:rsidRPr="00F30B76">
              <w:rPr>
                <w:rFonts w:ascii="Times New Roman" w:hAnsi="Times New Roman" w:cs="Times New Roman"/>
                <w:sz w:val="20"/>
                <w:szCs w:val="20"/>
              </w:rPr>
              <w:t xml:space="preserve">Gminy </w:t>
            </w:r>
            <w:r>
              <w:rPr>
                <w:rFonts w:ascii="Times New Roman" w:hAnsi="Times New Roman" w:cs="Times New Roman"/>
                <w:sz w:val="20"/>
                <w:szCs w:val="20"/>
              </w:rPr>
              <w:t xml:space="preserve">                        </w:t>
            </w:r>
            <w:r w:rsidRPr="00F30B76">
              <w:rPr>
                <w:rFonts w:ascii="Times New Roman" w:hAnsi="Times New Roman" w:cs="Times New Roman"/>
                <w:sz w:val="20"/>
                <w:szCs w:val="20"/>
              </w:rPr>
              <w:lastRenderedPageBreak/>
              <w:t>w Wieliczkach</w:t>
            </w:r>
          </w:p>
        </w:tc>
      </w:tr>
      <w:tr w:rsidR="00462E2F" w:rsidTr="00E64C12">
        <w:tc>
          <w:tcPr>
            <w:tcW w:w="817" w:type="dxa"/>
          </w:tcPr>
          <w:p w:rsidR="00462E2F" w:rsidRPr="00F30B76" w:rsidRDefault="00462E2F" w:rsidP="00E64C12">
            <w:pPr>
              <w:jc w:val="both"/>
              <w:rPr>
                <w:rFonts w:ascii="Times New Roman" w:hAnsi="Times New Roman" w:cs="Times New Roman"/>
                <w:sz w:val="20"/>
                <w:szCs w:val="20"/>
              </w:rPr>
            </w:pPr>
            <w:r>
              <w:rPr>
                <w:rFonts w:ascii="Times New Roman" w:hAnsi="Times New Roman" w:cs="Times New Roman"/>
                <w:sz w:val="20"/>
                <w:szCs w:val="20"/>
              </w:rPr>
              <w:lastRenderedPageBreak/>
              <w:t>M3</w:t>
            </w:r>
          </w:p>
        </w:tc>
        <w:tc>
          <w:tcPr>
            <w:tcW w:w="3789" w:type="dxa"/>
          </w:tcPr>
          <w:p w:rsidR="00462E2F" w:rsidRPr="00F30B76" w:rsidRDefault="00462E2F" w:rsidP="00E64C12">
            <w:pPr>
              <w:jc w:val="both"/>
              <w:rPr>
                <w:rFonts w:ascii="Times New Roman" w:hAnsi="Times New Roman" w:cs="Times New Roman"/>
                <w:sz w:val="20"/>
                <w:szCs w:val="20"/>
              </w:rPr>
            </w:pPr>
            <w:r>
              <w:rPr>
                <w:rFonts w:ascii="Times New Roman" w:hAnsi="Times New Roman" w:cs="Times New Roman"/>
                <w:sz w:val="20"/>
                <w:szCs w:val="20"/>
              </w:rPr>
              <w:t>Roczna liczba dofinansowanych przez gminę instalacji OZE</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szt.</w:t>
            </w:r>
          </w:p>
        </w:tc>
        <w:tc>
          <w:tcPr>
            <w:tcW w:w="2303" w:type="dxa"/>
          </w:tcPr>
          <w:p w:rsidR="00462E2F" w:rsidRPr="00F30B76" w:rsidRDefault="00462E2F" w:rsidP="00E64C12">
            <w:pPr>
              <w:jc w:val="both"/>
              <w:rPr>
                <w:rFonts w:ascii="Times New Roman" w:hAnsi="Times New Roman" w:cs="Times New Roman"/>
                <w:sz w:val="20"/>
                <w:szCs w:val="20"/>
              </w:rPr>
            </w:pPr>
            <w:r w:rsidRPr="00F30B76">
              <w:rPr>
                <w:rFonts w:ascii="Times New Roman" w:hAnsi="Times New Roman" w:cs="Times New Roman"/>
                <w:sz w:val="20"/>
                <w:szCs w:val="20"/>
              </w:rPr>
              <w:t xml:space="preserve">Urząd </w:t>
            </w:r>
            <w:r>
              <w:rPr>
                <w:rFonts w:ascii="Times New Roman" w:hAnsi="Times New Roman" w:cs="Times New Roman"/>
                <w:sz w:val="20"/>
                <w:szCs w:val="20"/>
              </w:rPr>
              <w:t xml:space="preserve">            </w:t>
            </w:r>
            <w:r w:rsidRPr="00F30B76">
              <w:rPr>
                <w:rFonts w:ascii="Times New Roman" w:hAnsi="Times New Roman" w:cs="Times New Roman"/>
                <w:sz w:val="20"/>
                <w:szCs w:val="20"/>
              </w:rPr>
              <w:t xml:space="preserve">Gminy </w:t>
            </w:r>
            <w:r>
              <w:rPr>
                <w:rFonts w:ascii="Times New Roman" w:hAnsi="Times New Roman" w:cs="Times New Roman"/>
                <w:sz w:val="20"/>
                <w:szCs w:val="20"/>
              </w:rPr>
              <w:t xml:space="preserve">                        </w:t>
            </w:r>
            <w:r w:rsidRPr="00F30B76">
              <w:rPr>
                <w:rFonts w:ascii="Times New Roman" w:hAnsi="Times New Roman" w:cs="Times New Roman"/>
                <w:sz w:val="20"/>
                <w:szCs w:val="20"/>
              </w:rPr>
              <w:t>w Wieliczkach</w:t>
            </w:r>
          </w:p>
        </w:tc>
      </w:tr>
      <w:tr w:rsidR="00462E2F" w:rsidTr="00E64C12">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M4</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Liczba budynków mieszkalnych Gminy w Wieliczkach podłączonych do sieciowych nośników energii po roku 2019</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Szt.</w:t>
            </w:r>
          </w:p>
        </w:tc>
        <w:tc>
          <w:tcPr>
            <w:tcW w:w="2303" w:type="dxa"/>
          </w:tcPr>
          <w:p w:rsidR="00462E2F" w:rsidRPr="00F30B76" w:rsidRDefault="00462E2F" w:rsidP="00E64C12">
            <w:pPr>
              <w:jc w:val="both"/>
              <w:rPr>
                <w:rFonts w:ascii="Times New Roman" w:hAnsi="Times New Roman" w:cs="Times New Roman"/>
                <w:sz w:val="20"/>
                <w:szCs w:val="20"/>
              </w:rPr>
            </w:pPr>
            <w:r>
              <w:rPr>
                <w:rFonts w:ascii="Times New Roman" w:hAnsi="Times New Roman" w:cs="Times New Roman"/>
                <w:sz w:val="20"/>
                <w:szCs w:val="20"/>
              </w:rPr>
              <w:t>Przedsiębiorstwa energetyczne</w:t>
            </w:r>
          </w:p>
        </w:tc>
      </w:tr>
      <w:tr w:rsidR="00462E2F" w:rsidTr="00E64C12">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M5</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Powierzchnia budynków mieszkalnych podłączonych do sieciowych nośników energii po roku 2019</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w:t>
            </w:r>
            <w:r w:rsidRPr="00FB6B2C">
              <w:rPr>
                <w:rFonts w:ascii="Times New Roman" w:hAnsi="Times New Roman" w:cs="Times New Roman"/>
                <w:sz w:val="20"/>
                <w:szCs w:val="20"/>
                <w:vertAlign w:val="superscript"/>
              </w:rPr>
              <w:t xml:space="preserve"> 2</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Przedsiębiorstwa energetyczne</w:t>
            </w:r>
          </w:p>
        </w:tc>
      </w:tr>
      <w:tr w:rsidR="00462E2F" w:rsidTr="00E64C12">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M6</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Roczne zużycie gazu ziemnego, energii elektrycznej w budynkach mieszkalnych/gospodarstwach domowych</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 xml:space="preserve">Przedsiębiorstwa energetyczne,                        Główny  Urząd Statystyczny </w:t>
            </w:r>
          </w:p>
        </w:tc>
      </w:tr>
      <w:tr w:rsidR="00462E2F" w:rsidTr="00E64C12">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M7</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Liczba osób objętych akcjami społecznymi (konkursy, szkolenia) po 2019</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osoby</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Urząd Gminy w Wieliczkach</w:t>
            </w:r>
          </w:p>
          <w:p w:rsidR="00462E2F" w:rsidRDefault="00462E2F" w:rsidP="00E64C12">
            <w:pPr>
              <w:jc w:val="both"/>
              <w:rPr>
                <w:rFonts w:ascii="Times New Roman" w:hAnsi="Times New Roman" w:cs="Times New Roman"/>
                <w:sz w:val="20"/>
                <w:szCs w:val="20"/>
              </w:rPr>
            </w:pPr>
          </w:p>
        </w:tc>
      </w:tr>
      <w:tr w:rsidR="00462E2F" w:rsidTr="00E64C12">
        <w:trPr>
          <w:trHeight w:val="741"/>
        </w:trPr>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M8</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Długość sieci gazowniczej na terenie gminy</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km</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Główny Urząd Statystyczny</w:t>
            </w:r>
          </w:p>
        </w:tc>
      </w:tr>
      <w:tr w:rsidR="00462E2F" w:rsidTr="00E64C12">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M9</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Liczba mieszkań w budynkach ocieplonych po roku 2019</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Mieszk.</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Główny Urząd Statystyczny</w:t>
            </w:r>
          </w:p>
        </w:tc>
      </w:tr>
      <w:tr w:rsidR="00462E2F" w:rsidTr="00E64C12">
        <w:tc>
          <w:tcPr>
            <w:tcW w:w="817"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M10</w:t>
            </w:r>
          </w:p>
        </w:tc>
        <w:tc>
          <w:tcPr>
            <w:tcW w:w="3789"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Ilość energii wyprodukowanej w OZE dofinansowanych w ramach programów realizowanych poprzez gminę</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MWh/rok</w:t>
            </w:r>
          </w:p>
        </w:tc>
        <w:tc>
          <w:tcPr>
            <w:tcW w:w="2303" w:type="dxa"/>
          </w:tcPr>
          <w:p w:rsidR="00462E2F" w:rsidRDefault="00462E2F" w:rsidP="00E64C12">
            <w:pPr>
              <w:jc w:val="both"/>
              <w:rPr>
                <w:rFonts w:ascii="Times New Roman" w:hAnsi="Times New Roman" w:cs="Times New Roman"/>
                <w:sz w:val="20"/>
                <w:szCs w:val="20"/>
              </w:rPr>
            </w:pPr>
            <w:r>
              <w:rPr>
                <w:rFonts w:ascii="Times New Roman" w:hAnsi="Times New Roman" w:cs="Times New Roman"/>
                <w:sz w:val="20"/>
                <w:szCs w:val="20"/>
              </w:rPr>
              <w:t>Urząd Gminy w Wieliczkach</w:t>
            </w:r>
          </w:p>
        </w:tc>
      </w:tr>
    </w:tbl>
    <w:p w:rsidR="00462E2F" w:rsidRDefault="00462E2F" w:rsidP="00462E2F">
      <w:pPr>
        <w:jc w:val="center"/>
        <w:rPr>
          <w:rFonts w:ascii="Times New Roman" w:hAnsi="Times New Roman" w:cs="Times New Roman"/>
          <w:sz w:val="18"/>
          <w:szCs w:val="18"/>
        </w:rPr>
      </w:pPr>
      <w:r w:rsidRPr="00FB6B2C">
        <w:rPr>
          <w:rFonts w:ascii="Times New Roman" w:hAnsi="Times New Roman" w:cs="Times New Roman"/>
          <w:sz w:val="18"/>
          <w:szCs w:val="18"/>
        </w:rPr>
        <w:t>Źródło: analizy własne</w:t>
      </w:r>
    </w:p>
    <w:p w:rsidR="00462E2F" w:rsidRPr="00D90B14" w:rsidRDefault="00462E2F" w:rsidP="00462E2F">
      <w:pPr>
        <w:spacing w:line="360" w:lineRule="auto"/>
        <w:rPr>
          <w:rFonts w:ascii="Times New Roman" w:hAnsi="Times New Roman" w:cs="Times New Roman"/>
          <w:sz w:val="22"/>
          <w:szCs w:val="22"/>
        </w:rPr>
      </w:pPr>
      <w:r w:rsidRPr="00D90B14">
        <w:rPr>
          <w:rFonts w:ascii="Times New Roman" w:hAnsi="Times New Roman" w:cs="Times New Roman"/>
          <w:sz w:val="22"/>
          <w:szCs w:val="22"/>
        </w:rPr>
        <w:t>Powyższe wskaźniki stanowią jedynie propozycję w ramach monitoringu efektów działań. W rzeczywistości wskaźników odpowiednich dla specyfikacji każdego działania może być znacznie więcej.</w:t>
      </w:r>
    </w:p>
    <w:p w:rsidR="00462E2F" w:rsidRPr="00D90B14" w:rsidRDefault="00462E2F" w:rsidP="00462E2F">
      <w:pPr>
        <w:spacing w:line="360" w:lineRule="auto"/>
        <w:ind w:firstLine="708"/>
        <w:jc w:val="both"/>
        <w:rPr>
          <w:rFonts w:ascii="Times New Roman" w:hAnsi="Times New Roman" w:cs="Times New Roman"/>
          <w:sz w:val="22"/>
          <w:szCs w:val="22"/>
        </w:rPr>
      </w:pPr>
      <w:r w:rsidRPr="00D90B14">
        <w:rPr>
          <w:rFonts w:ascii="Times New Roman" w:hAnsi="Times New Roman" w:cs="Times New Roman"/>
          <w:sz w:val="22"/>
          <w:szCs w:val="22"/>
        </w:rPr>
        <w:t>Należy pamiętać, że powyższe wskaźniki monitorują realizację poszczególnych przedsięwzięć  w ramach „Raportów z działań” i mogą stanowić pomoc w realizacji planu. Jednocześnie należy dla każdego z przedsięwzięć wyznaczyć redukcję emisji CO</w:t>
      </w:r>
      <w:r w:rsidRPr="00D90B14">
        <w:rPr>
          <w:rFonts w:ascii="Times New Roman" w:hAnsi="Times New Roman" w:cs="Times New Roman"/>
          <w:sz w:val="22"/>
          <w:szCs w:val="22"/>
          <w:vertAlign w:val="subscript"/>
        </w:rPr>
        <w:t xml:space="preserve">2 </w:t>
      </w:r>
      <w:r w:rsidRPr="00D90B14">
        <w:rPr>
          <w:rFonts w:ascii="Times New Roman" w:hAnsi="Times New Roman" w:cs="Times New Roman"/>
          <w:sz w:val="22"/>
          <w:szCs w:val="22"/>
        </w:rPr>
        <w:t>(Mg/rok), zmniejszenie zużycia energii finalnej (MWh/rok) oraz- w przypadku działań związanych z wykorzystaniem odnawialnych źródeł energii- ilość energii wytworzonej z odnawialnych źródeł (MWh/rok). Powyższe dotyczy głównie zadań realizowanych przez gminę.</w:t>
      </w:r>
    </w:p>
    <w:p w:rsidR="00462E2F" w:rsidRPr="00D90B14" w:rsidRDefault="00462E2F" w:rsidP="00462E2F">
      <w:pPr>
        <w:spacing w:line="360" w:lineRule="auto"/>
        <w:ind w:firstLine="709"/>
        <w:jc w:val="both"/>
        <w:rPr>
          <w:rFonts w:ascii="Times New Roman" w:hAnsi="Times New Roman" w:cs="Times New Roman"/>
          <w:sz w:val="22"/>
          <w:szCs w:val="22"/>
        </w:rPr>
      </w:pPr>
      <w:r w:rsidRPr="00D90B14">
        <w:rPr>
          <w:rFonts w:ascii="Times New Roman" w:hAnsi="Times New Roman" w:cs="Times New Roman"/>
          <w:sz w:val="22"/>
          <w:szCs w:val="22"/>
        </w:rPr>
        <w:tab/>
        <w:t xml:space="preserve">Zmiany dokumentu dotyczącego modyfikacji przedsięwzięć lub dodania nowych działań należy podejmować na drodze uchwały w ramach aktualizacji planu gospodarki niskoemisyjnej. Jednocześnie należy zauważyć że aktualizacja PGN stanowi naturalny proces związany z realizacją działań niskoemisyjnych przez Na podstawie danych pochodzących z ankiet przekazywanych przez mieszkańców określono wielkość emisji dwutlenku węgla pochodzącej ze spalania paliw w celu ogrzewania budynków. Sporządzona w ten sposób próba pozwoliła na określenie zależności między powierzchnią budynku a </w:t>
      </w:r>
      <w:r w:rsidRPr="00D90B14">
        <w:rPr>
          <w:rFonts w:ascii="Times New Roman" w:hAnsi="Times New Roman" w:cs="Times New Roman"/>
          <w:sz w:val="22"/>
          <w:szCs w:val="22"/>
        </w:rPr>
        <w:lastRenderedPageBreak/>
        <w:t>zużyciem w nim energii. Dzięki określeniu liczby oraz wielkości budynków, które wyposażone są w źródła energii cieplnej, możliwe było ustalenie wielkości emisji CO2 pochodzącej z ogrzewania w budynkach należących do mieszkańców w całej gminie.</w:t>
      </w:r>
    </w:p>
    <w:p w:rsidR="00462E2F" w:rsidRPr="00011DC6" w:rsidRDefault="00462E2F" w:rsidP="00462E2F">
      <w:pPr>
        <w:rPr>
          <w:rFonts w:ascii="Times New Roman" w:hAnsi="Times New Roman" w:cs="Times New Roman"/>
          <w:b/>
          <w:sz w:val="20"/>
          <w:szCs w:val="20"/>
        </w:rPr>
      </w:pPr>
      <w:r>
        <w:rPr>
          <w:rFonts w:ascii="Times New Roman" w:hAnsi="Times New Roman" w:cs="Times New Roman"/>
          <w:b/>
          <w:sz w:val="20"/>
          <w:szCs w:val="20"/>
        </w:rPr>
        <w:t>Tabela 12</w:t>
      </w:r>
      <w:r w:rsidRPr="00011DC6">
        <w:rPr>
          <w:rFonts w:ascii="Times New Roman" w:hAnsi="Times New Roman" w:cs="Times New Roman"/>
          <w:b/>
          <w:sz w:val="20"/>
          <w:szCs w:val="20"/>
        </w:rPr>
        <w:t xml:space="preserve">. Roczne zużycie źródeł energii cieplnej w budynkach mieszkalnych </w:t>
      </w:r>
    </w:p>
    <w:tbl>
      <w:tblPr>
        <w:tblStyle w:val="Tabela-Siatka"/>
        <w:tblW w:w="0" w:type="auto"/>
        <w:tblLook w:val="04A0"/>
      </w:tblPr>
      <w:tblGrid>
        <w:gridCol w:w="1842"/>
        <w:gridCol w:w="1842"/>
        <w:gridCol w:w="1842"/>
        <w:gridCol w:w="1843"/>
        <w:gridCol w:w="1843"/>
      </w:tblGrid>
      <w:tr w:rsidR="00462E2F" w:rsidTr="00E64C12">
        <w:tc>
          <w:tcPr>
            <w:tcW w:w="1842" w:type="dxa"/>
            <w:shd w:val="clear" w:color="auto" w:fill="D9D9D9" w:themeFill="background1" w:themeFillShade="D9"/>
          </w:tcPr>
          <w:p w:rsidR="00462E2F" w:rsidRPr="00011DC6" w:rsidRDefault="00462E2F" w:rsidP="00E64C12">
            <w:pPr>
              <w:jc w:val="center"/>
              <w:rPr>
                <w:rFonts w:ascii="Times New Roman" w:hAnsi="Times New Roman" w:cs="Times New Roman"/>
                <w:b/>
                <w:sz w:val="20"/>
                <w:szCs w:val="20"/>
              </w:rPr>
            </w:pPr>
            <w:r w:rsidRPr="00011DC6">
              <w:rPr>
                <w:rFonts w:ascii="Times New Roman" w:hAnsi="Times New Roman" w:cs="Times New Roman"/>
                <w:b/>
                <w:sz w:val="20"/>
                <w:szCs w:val="20"/>
              </w:rPr>
              <w:t>Węgiel kamienny (Mg)</w:t>
            </w:r>
          </w:p>
        </w:tc>
        <w:tc>
          <w:tcPr>
            <w:tcW w:w="1842" w:type="dxa"/>
            <w:shd w:val="clear" w:color="auto" w:fill="D9D9D9" w:themeFill="background1" w:themeFillShade="D9"/>
          </w:tcPr>
          <w:p w:rsidR="00462E2F" w:rsidRPr="00011DC6" w:rsidRDefault="00462E2F" w:rsidP="00E64C12">
            <w:pPr>
              <w:jc w:val="center"/>
              <w:rPr>
                <w:rFonts w:ascii="Times New Roman" w:hAnsi="Times New Roman" w:cs="Times New Roman"/>
                <w:b/>
                <w:sz w:val="20"/>
                <w:szCs w:val="20"/>
              </w:rPr>
            </w:pPr>
            <w:r w:rsidRPr="00011DC6">
              <w:rPr>
                <w:rFonts w:ascii="Times New Roman" w:hAnsi="Times New Roman" w:cs="Times New Roman"/>
                <w:b/>
                <w:sz w:val="20"/>
                <w:szCs w:val="20"/>
              </w:rPr>
              <w:t>Gaz ziemny</w:t>
            </w:r>
            <w:r>
              <w:rPr>
                <w:rFonts w:ascii="Times New Roman" w:hAnsi="Times New Roman" w:cs="Times New Roman"/>
                <w:b/>
                <w:sz w:val="20"/>
                <w:szCs w:val="20"/>
              </w:rPr>
              <w:t xml:space="preserve">              </w:t>
            </w:r>
            <w:r w:rsidRPr="00011DC6">
              <w:rPr>
                <w:rFonts w:ascii="Times New Roman" w:hAnsi="Times New Roman" w:cs="Times New Roman"/>
                <w:b/>
                <w:sz w:val="20"/>
                <w:szCs w:val="20"/>
              </w:rPr>
              <w:t xml:space="preserve"> (m</w:t>
            </w:r>
            <w:r w:rsidRPr="00011DC6">
              <w:rPr>
                <w:rFonts w:ascii="Times New Roman" w:hAnsi="Times New Roman" w:cs="Times New Roman"/>
                <w:b/>
                <w:sz w:val="20"/>
                <w:szCs w:val="20"/>
                <w:vertAlign w:val="superscript"/>
              </w:rPr>
              <w:t>3</w:t>
            </w:r>
            <w:r w:rsidRPr="00011DC6">
              <w:rPr>
                <w:rFonts w:ascii="Times New Roman" w:hAnsi="Times New Roman" w:cs="Times New Roman"/>
                <w:b/>
                <w:sz w:val="20"/>
                <w:szCs w:val="20"/>
              </w:rPr>
              <w:t>)</w:t>
            </w:r>
          </w:p>
        </w:tc>
        <w:tc>
          <w:tcPr>
            <w:tcW w:w="1842" w:type="dxa"/>
            <w:shd w:val="clear" w:color="auto" w:fill="D9D9D9" w:themeFill="background1" w:themeFillShade="D9"/>
          </w:tcPr>
          <w:p w:rsidR="00462E2F" w:rsidRPr="00011DC6" w:rsidRDefault="00462E2F" w:rsidP="00E64C12">
            <w:pPr>
              <w:jc w:val="center"/>
              <w:rPr>
                <w:rFonts w:ascii="Times New Roman" w:hAnsi="Times New Roman" w:cs="Times New Roman"/>
                <w:b/>
                <w:sz w:val="20"/>
                <w:szCs w:val="20"/>
              </w:rPr>
            </w:pPr>
            <w:r w:rsidRPr="00011DC6">
              <w:rPr>
                <w:rFonts w:ascii="Times New Roman" w:hAnsi="Times New Roman" w:cs="Times New Roman"/>
                <w:b/>
                <w:sz w:val="20"/>
                <w:szCs w:val="20"/>
              </w:rPr>
              <w:t>Olej opałowy (dm</w:t>
            </w:r>
            <w:r w:rsidRPr="00011DC6">
              <w:rPr>
                <w:rFonts w:ascii="Times New Roman" w:hAnsi="Times New Roman" w:cs="Times New Roman"/>
                <w:b/>
                <w:sz w:val="20"/>
                <w:szCs w:val="20"/>
                <w:vertAlign w:val="superscript"/>
              </w:rPr>
              <w:t>3</w:t>
            </w:r>
            <w:r w:rsidRPr="00011DC6">
              <w:rPr>
                <w:rFonts w:ascii="Times New Roman" w:hAnsi="Times New Roman" w:cs="Times New Roman"/>
                <w:b/>
                <w:sz w:val="20"/>
                <w:szCs w:val="20"/>
              </w:rPr>
              <w:t>)</w:t>
            </w:r>
          </w:p>
        </w:tc>
        <w:tc>
          <w:tcPr>
            <w:tcW w:w="1843" w:type="dxa"/>
            <w:shd w:val="clear" w:color="auto" w:fill="D9D9D9" w:themeFill="background1" w:themeFillShade="D9"/>
          </w:tcPr>
          <w:p w:rsidR="00462E2F" w:rsidRPr="00011DC6" w:rsidRDefault="00462E2F" w:rsidP="00E64C12">
            <w:pPr>
              <w:jc w:val="center"/>
              <w:rPr>
                <w:rFonts w:ascii="Times New Roman" w:hAnsi="Times New Roman" w:cs="Times New Roman"/>
                <w:b/>
                <w:sz w:val="20"/>
                <w:szCs w:val="20"/>
              </w:rPr>
            </w:pPr>
            <w:r w:rsidRPr="00011DC6">
              <w:rPr>
                <w:rFonts w:ascii="Times New Roman" w:hAnsi="Times New Roman" w:cs="Times New Roman"/>
                <w:b/>
                <w:sz w:val="20"/>
                <w:szCs w:val="20"/>
              </w:rPr>
              <w:t>Drewno (m</w:t>
            </w:r>
            <w:r w:rsidRPr="00011DC6">
              <w:rPr>
                <w:rFonts w:ascii="Times New Roman" w:hAnsi="Times New Roman" w:cs="Times New Roman"/>
                <w:b/>
                <w:sz w:val="20"/>
                <w:szCs w:val="20"/>
                <w:vertAlign w:val="superscript"/>
              </w:rPr>
              <w:t>3</w:t>
            </w:r>
            <w:r w:rsidRPr="00011DC6">
              <w:rPr>
                <w:rFonts w:ascii="Times New Roman" w:hAnsi="Times New Roman" w:cs="Times New Roman"/>
                <w:b/>
                <w:sz w:val="20"/>
                <w:szCs w:val="20"/>
              </w:rPr>
              <w:t>)</w:t>
            </w:r>
          </w:p>
        </w:tc>
        <w:tc>
          <w:tcPr>
            <w:tcW w:w="1843" w:type="dxa"/>
            <w:shd w:val="clear" w:color="auto" w:fill="D9D9D9" w:themeFill="background1" w:themeFillShade="D9"/>
          </w:tcPr>
          <w:p w:rsidR="00462E2F" w:rsidRPr="00011DC6" w:rsidRDefault="00462E2F" w:rsidP="00E64C12">
            <w:pPr>
              <w:jc w:val="center"/>
              <w:rPr>
                <w:rFonts w:ascii="Times New Roman" w:hAnsi="Times New Roman" w:cs="Times New Roman"/>
                <w:b/>
                <w:sz w:val="20"/>
                <w:szCs w:val="20"/>
              </w:rPr>
            </w:pPr>
            <w:r w:rsidRPr="00011DC6">
              <w:rPr>
                <w:rFonts w:ascii="Times New Roman" w:hAnsi="Times New Roman" w:cs="Times New Roman"/>
                <w:b/>
                <w:sz w:val="20"/>
                <w:szCs w:val="20"/>
              </w:rPr>
              <w:t>Energia elektryczna (MWh)</w:t>
            </w:r>
          </w:p>
        </w:tc>
      </w:tr>
      <w:tr w:rsidR="00462E2F" w:rsidTr="00E64C12">
        <w:tc>
          <w:tcPr>
            <w:tcW w:w="1842" w:type="dxa"/>
          </w:tcPr>
          <w:p w:rsidR="00462E2F" w:rsidRPr="008F1E5F" w:rsidRDefault="00462E2F" w:rsidP="00E64C12">
            <w:pPr>
              <w:jc w:val="center"/>
              <w:rPr>
                <w:rFonts w:ascii="Times New Roman" w:hAnsi="Times New Roman" w:cs="Times New Roman"/>
                <w:sz w:val="20"/>
                <w:szCs w:val="20"/>
              </w:rPr>
            </w:pPr>
            <w:r w:rsidRPr="008F1E5F">
              <w:rPr>
                <w:rFonts w:ascii="Times New Roman" w:hAnsi="Times New Roman" w:cs="Times New Roman"/>
                <w:sz w:val="20"/>
                <w:szCs w:val="20"/>
              </w:rPr>
              <w:t>0,00</w:t>
            </w:r>
          </w:p>
        </w:tc>
        <w:tc>
          <w:tcPr>
            <w:tcW w:w="1842" w:type="dxa"/>
          </w:tcPr>
          <w:p w:rsidR="00462E2F" w:rsidRPr="008F1E5F" w:rsidRDefault="00462E2F" w:rsidP="00E64C12">
            <w:pPr>
              <w:jc w:val="center"/>
              <w:rPr>
                <w:rFonts w:ascii="Times New Roman" w:hAnsi="Times New Roman" w:cs="Times New Roman"/>
                <w:sz w:val="20"/>
                <w:szCs w:val="20"/>
              </w:rPr>
            </w:pPr>
            <w:r w:rsidRPr="008F1E5F">
              <w:rPr>
                <w:rFonts w:ascii="Times New Roman" w:hAnsi="Times New Roman" w:cs="Times New Roman"/>
                <w:sz w:val="20"/>
                <w:szCs w:val="20"/>
              </w:rPr>
              <w:t>0,00</w:t>
            </w:r>
          </w:p>
        </w:tc>
        <w:tc>
          <w:tcPr>
            <w:tcW w:w="1842" w:type="dxa"/>
          </w:tcPr>
          <w:p w:rsidR="00462E2F" w:rsidRPr="008F1E5F" w:rsidRDefault="00462E2F" w:rsidP="00E64C12">
            <w:pPr>
              <w:jc w:val="center"/>
              <w:rPr>
                <w:rFonts w:ascii="Times New Roman" w:hAnsi="Times New Roman" w:cs="Times New Roman"/>
                <w:sz w:val="20"/>
                <w:szCs w:val="20"/>
              </w:rPr>
            </w:pPr>
            <w:r w:rsidRPr="008F1E5F">
              <w:rPr>
                <w:rFonts w:ascii="Times New Roman" w:hAnsi="Times New Roman" w:cs="Times New Roman"/>
                <w:sz w:val="20"/>
                <w:szCs w:val="20"/>
              </w:rPr>
              <w:t>0,00</w:t>
            </w:r>
          </w:p>
        </w:tc>
        <w:tc>
          <w:tcPr>
            <w:tcW w:w="1843" w:type="dxa"/>
          </w:tcPr>
          <w:p w:rsidR="00462E2F" w:rsidRPr="008F1E5F" w:rsidRDefault="00462E2F" w:rsidP="00E64C12">
            <w:pPr>
              <w:jc w:val="center"/>
              <w:rPr>
                <w:rFonts w:ascii="Times New Roman" w:hAnsi="Times New Roman" w:cs="Times New Roman"/>
                <w:sz w:val="20"/>
                <w:szCs w:val="20"/>
              </w:rPr>
            </w:pPr>
            <w:r w:rsidRPr="008F1E5F">
              <w:rPr>
                <w:rFonts w:ascii="Times New Roman" w:hAnsi="Times New Roman" w:cs="Times New Roman"/>
                <w:sz w:val="20"/>
                <w:szCs w:val="20"/>
              </w:rPr>
              <w:t>1381,10</w:t>
            </w:r>
          </w:p>
        </w:tc>
        <w:tc>
          <w:tcPr>
            <w:tcW w:w="1843" w:type="dxa"/>
          </w:tcPr>
          <w:p w:rsidR="00462E2F" w:rsidRPr="008F1E5F" w:rsidRDefault="00462E2F" w:rsidP="00E64C12">
            <w:pPr>
              <w:jc w:val="center"/>
              <w:rPr>
                <w:rFonts w:ascii="Times New Roman" w:hAnsi="Times New Roman" w:cs="Times New Roman"/>
                <w:sz w:val="20"/>
                <w:szCs w:val="20"/>
              </w:rPr>
            </w:pPr>
            <w:r w:rsidRPr="008F1E5F">
              <w:rPr>
                <w:rFonts w:ascii="Times New Roman" w:hAnsi="Times New Roman" w:cs="Times New Roman"/>
                <w:sz w:val="20"/>
                <w:szCs w:val="20"/>
              </w:rPr>
              <w:t>556,00</w:t>
            </w:r>
          </w:p>
        </w:tc>
      </w:tr>
    </w:tbl>
    <w:p w:rsidR="00462E2F" w:rsidRDefault="00462E2F" w:rsidP="00462E2F">
      <w:pPr>
        <w:jc w:val="center"/>
        <w:rPr>
          <w:rFonts w:ascii="Times New Roman" w:hAnsi="Times New Roman" w:cs="Times New Roman"/>
          <w:sz w:val="20"/>
          <w:szCs w:val="20"/>
        </w:rPr>
      </w:pPr>
      <w:r w:rsidRPr="00011DC6">
        <w:rPr>
          <w:rFonts w:ascii="Times New Roman" w:hAnsi="Times New Roman" w:cs="Times New Roman"/>
          <w:sz w:val="20"/>
          <w:szCs w:val="20"/>
        </w:rPr>
        <w:t>(źródło: opracowanie własne)</w:t>
      </w:r>
    </w:p>
    <w:p w:rsidR="00462E2F" w:rsidRPr="008F1E5F" w:rsidRDefault="00462E2F" w:rsidP="00462E2F">
      <w:pPr>
        <w:spacing w:before="100" w:beforeAutospacing="1" w:after="100" w:afterAutospacing="1" w:line="240" w:lineRule="auto"/>
        <w:ind w:firstLine="708"/>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Na podstawie wskaźników emisji z KOBiZE/EEA (dla suchego drewna opałowego):</w:t>
      </w:r>
    </w:p>
    <w:tbl>
      <w:tblPr>
        <w:tblW w:w="0" w:type="auto"/>
        <w:tblCellSpacing w:w="15" w:type="dxa"/>
        <w:tblCellMar>
          <w:top w:w="15" w:type="dxa"/>
          <w:left w:w="15" w:type="dxa"/>
          <w:bottom w:w="15" w:type="dxa"/>
          <w:right w:w="15" w:type="dxa"/>
        </w:tblCellMar>
        <w:tblLook w:val="04A0"/>
      </w:tblPr>
      <w:tblGrid>
        <w:gridCol w:w="1775"/>
        <w:gridCol w:w="1477"/>
        <w:gridCol w:w="2555"/>
        <w:gridCol w:w="1303"/>
      </w:tblGrid>
      <w:tr w:rsidR="00462E2F" w:rsidRPr="008F1E5F" w:rsidTr="00E64C12">
        <w:trPr>
          <w:tblHeader/>
          <w:tblCellSpacing w:w="15" w:type="dxa"/>
        </w:trPr>
        <w:tc>
          <w:tcPr>
            <w:tcW w:w="0" w:type="auto"/>
            <w:vAlign w:val="center"/>
            <w:hideMark/>
          </w:tcPr>
          <w:p w:rsidR="00462E2F" w:rsidRPr="008F1E5F" w:rsidRDefault="00462E2F" w:rsidP="00E64C12">
            <w:pPr>
              <w:spacing w:after="0" w:line="240" w:lineRule="auto"/>
              <w:jc w:val="center"/>
              <w:rPr>
                <w:rFonts w:ascii="Times New Roman" w:eastAsia="Times New Roman" w:hAnsi="Times New Roman" w:cs="Times New Roman"/>
                <w:b/>
                <w:bCs/>
                <w:sz w:val="20"/>
                <w:szCs w:val="20"/>
              </w:rPr>
            </w:pPr>
            <w:r w:rsidRPr="008F1E5F">
              <w:rPr>
                <w:rFonts w:ascii="Times New Roman" w:eastAsia="Times New Roman" w:hAnsi="Times New Roman" w:cs="Times New Roman"/>
                <w:b/>
                <w:bCs/>
                <w:sz w:val="20"/>
                <w:szCs w:val="20"/>
              </w:rPr>
              <w:t>Zanieczyszczenie</w:t>
            </w:r>
          </w:p>
        </w:tc>
        <w:tc>
          <w:tcPr>
            <w:tcW w:w="0" w:type="auto"/>
            <w:vAlign w:val="center"/>
            <w:hideMark/>
          </w:tcPr>
          <w:p w:rsidR="00462E2F" w:rsidRPr="008F1E5F" w:rsidRDefault="00462E2F" w:rsidP="00E64C12">
            <w:pPr>
              <w:spacing w:after="0" w:line="240" w:lineRule="auto"/>
              <w:jc w:val="center"/>
              <w:rPr>
                <w:rFonts w:ascii="Times New Roman" w:eastAsia="Times New Roman" w:hAnsi="Times New Roman" w:cs="Times New Roman"/>
                <w:b/>
                <w:bCs/>
                <w:sz w:val="20"/>
                <w:szCs w:val="20"/>
              </w:rPr>
            </w:pPr>
            <w:r w:rsidRPr="008F1E5F">
              <w:rPr>
                <w:rFonts w:ascii="Times New Roman" w:eastAsia="Times New Roman" w:hAnsi="Times New Roman" w:cs="Times New Roman"/>
                <w:b/>
                <w:bCs/>
                <w:sz w:val="20"/>
                <w:szCs w:val="20"/>
              </w:rPr>
              <w:t>Wskaźnik emisji</w:t>
            </w:r>
          </w:p>
        </w:tc>
        <w:tc>
          <w:tcPr>
            <w:tcW w:w="0" w:type="auto"/>
            <w:vAlign w:val="center"/>
            <w:hideMark/>
          </w:tcPr>
          <w:p w:rsidR="00462E2F" w:rsidRPr="008F1E5F" w:rsidRDefault="00462E2F" w:rsidP="00E64C12">
            <w:pPr>
              <w:spacing w:after="0" w:line="240" w:lineRule="auto"/>
              <w:jc w:val="center"/>
              <w:rPr>
                <w:rFonts w:ascii="Times New Roman" w:eastAsia="Times New Roman" w:hAnsi="Times New Roman" w:cs="Times New Roman"/>
                <w:b/>
                <w:bCs/>
                <w:sz w:val="20"/>
                <w:szCs w:val="20"/>
              </w:rPr>
            </w:pPr>
            <w:r w:rsidRPr="008F1E5F">
              <w:rPr>
                <w:rFonts w:ascii="Times New Roman" w:eastAsia="Times New Roman" w:hAnsi="Times New Roman" w:cs="Times New Roman"/>
                <w:b/>
                <w:bCs/>
                <w:sz w:val="20"/>
                <w:szCs w:val="20"/>
              </w:rPr>
              <w:t>Obliczenie</w:t>
            </w:r>
          </w:p>
        </w:tc>
        <w:tc>
          <w:tcPr>
            <w:tcW w:w="0" w:type="auto"/>
            <w:vAlign w:val="center"/>
            <w:hideMark/>
          </w:tcPr>
          <w:p w:rsidR="00462E2F" w:rsidRPr="008F1E5F" w:rsidRDefault="00462E2F" w:rsidP="00E64C12">
            <w:pPr>
              <w:spacing w:after="0" w:line="240" w:lineRule="auto"/>
              <w:jc w:val="center"/>
              <w:rPr>
                <w:rFonts w:ascii="Times New Roman" w:eastAsia="Times New Roman" w:hAnsi="Times New Roman" w:cs="Times New Roman"/>
                <w:b/>
                <w:bCs/>
                <w:sz w:val="20"/>
                <w:szCs w:val="20"/>
              </w:rPr>
            </w:pPr>
            <w:r w:rsidRPr="008F1E5F">
              <w:rPr>
                <w:rFonts w:ascii="Times New Roman" w:eastAsia="Times New Roman" w:hAnsi="Times New Roman" w:cs="Times New Roman"/>
                <w:b/>
                <w:bCs/>
                <w:sz w:val="20"/>
                <w:szCs w:val="20"/>
              </w:rPr>
              <w:t>Emisja roczna</w:t>
            </w:r>
          </w:p>
        </w:tc>
      </w:tr>
      <w:tr w:rsidR="00462E2F" w:rsidRPr="008F1E5F" w:rsidTr="00E64C12">
        <w:trPr>
          <w:tblCellSpacing w:w="15" w:type="dxa"/>
        </w:trPr>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b/>
                <w:bCs/>
                <w:sz w:val="20"/>
                <w:szCs w:val="20"/>
              </w:rPr>
              <w:t>CO₂ biogeniczne</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112 kg/GJ</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(2 002 595 kWh ÷ 3600) × 112</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17 452 kg</w:t>
            </w:r>
          </w:p>
        </w:tc>
      </w:tr>
      <w:tr w:rsidR="00462E2F" w:rsidRPr="008F1E5F" w:rsidTr="00E64C12">
        <w:trPr>
          <w:tblCellSpacing w:w="15" w:type="dxa"/>
        </w:trPr>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b/>
                <w:bCs/>
                <w:sz w:val="20"/>
                <w:szCs w:val="20"/>
              </w:rPr>
              <w:t>CO</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2,2 kg/GJ</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556,28 GJ × 2,2</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1 224 kg</w:t>
            </w:r>
          </w:p>
        </w:tc>
      </w:tr>
      <w:tr w:rsidR="00462E2F" w:rsidRPr="008F1E5F" w:rsidTr="00E64C12">
        <w:trPr>
          <w:tblCellSpacing w:w="15" w:type="dxa"/>
        </w:trPr>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b/>
                <w:bCs/>
                <w:sz w:val="20"/>
                <w:szCs w:val="20"/>
              </w:rPr>
              <w:t>Pył całkowity (TSP)</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0,6 kg/GJ</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556,28 GJ × 0,6</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334 kg</w:t>
            </w:r>
          </w:p>
        </w:tc>
      </w:tr>
      <w:tr w:rsidR="00462E2F" w:rsidRPr="008F1E5F" w:rsidTr="00E64C12">
        <w:trPr>
          <w:tblCellSpacing w:w="15" w:type="dxa"/>
        </w:trPr>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b/>
                <w:bCs/>
                <w:sz w:val="20"/>
                <w:szCs w:val="20"/>
              </w:rPr>
              <w:t>SO₂</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0,015 kg/GJ</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556,28 GJ × 0,015</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8,34 kg</w:t>
            </w:r>
          </w:p>
        </w:tc>
      </w:tr>
      <w:tr w:rsidR="00462E2F" w:rsidRPr="008F1E5F" w:rsidTr="00E64C12">
        <w:trPr>
          <w:tblCellSpacing w:w="15" w:type="dxa"/>
        </w:trPr>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b/>
                <w:bCs/>
                <w:sz w:val="20"/>
                <w:szCs w:val="20"/>
              </w:rPr>
              <w:t>NOₓ</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0,08 kg/GJ</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556,28 GJ × 0,08</w:t>
            </w:r>
          </w:p>
        </w:tc>
        <w:tc>
          <w:tcPr>
            <w:tcW w:w="0" w:type="auto"/>
            <w:vAlign w:val="center"/>
            <w:hideMark/>
          </w:tcPr>
          <w:p w:rsidR="00462E2F" w:rsidRPr="008F1E5F" w:rsidRDefault="00462E2F" w:rsidP="00E64C12">
            <w:pPr>
              <w:spacing w:after="0" w:line="240" w:lineRule="auto"/>
              <w:rPr>
                <w:rFonts w:ascii="Times New Roman" w:eastAsia="Times New Roman" w:hAnsi="Times New Roman" w:cs="Times New Roman"/>
                <w:sz w:val="20"/>
                <w:szCs w:val="20"/>
              </w:rPr>
            </w:pPr>
            <w:r w:rsidRPr="008F1E5F">
              <w:rPr>
                <w:rFonts w:ascii="Times New Roman" w:eastAsia="Times New Roman" w:hAnsi="Times New Roman" w:cs="Times New Roman"/>
                <w:sz w:val="20"/>
                <w:szCs w:val="20"/>
              </w:rPr>
              <w:t>44,5 kg</w:t>
            </w:r>
          </w:p>
        </w:tc>
      </w:tr>
    </w:tbl>
    <w:p w:rsidR="00462E2F" w:rsidRDefault="00462E2F" w:rsidP="00462E2F">
      <w:pPr>
        <w:rPr>
          <w:rFonts w:ascii="Times New Roman" w:hAnsi="Times New Roman" w:cs="Times New Roman"/>
          <w:sz w:val="20"/>
          <w:szCs w:val="20"/>
        </w:rPr>
      </w:pP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 xml:space="preserve">Zużycie drewna opałowego: 1381,10 m³/rok  </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Energia końcowa uzyskana z drewna: 2 002 595 kWh ≈ 556,28 GJ</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Szacunkowe emisje z drewna opałowego:</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 CO₂ (biogeniczne): 17 452 kg/rok</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 CO: 1 224 kg/rok</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 Pyły całkowite (TSP): 334 kg/rok</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 SO₂: 8,34 kg/rok</w:t>
      </w:r>
    </w:p>
    <w:p w:rsidR="00462E2F" w:rsidRPr="00D90B14" w:rsidRDefault="00462E2F" w:rsidP="00462E2F">
      <w:pPr>
        <w:rPr>
          <w:rFonts w:ascii="Times New Roman" w:hAnsi="Times New Roman" w:cs="Times New Roman"/>
          <w:sz w:val="22"/>
          <w:szCs w:val="22"/>
        </w:rPr>
      </w:pPr>
      <w:r w:rsidRPr="00D90B14">
        <w:rPr>
          <w:rFonts w:ascii="Times New Roman" w:hAnsi="Times New Roman" w:cs="Times New Roman"/>
          <w:sz w:val="22"/>
          <w:szCs w:val="22"/>
        </w:rPr>
        <w:t>- NOₓ: 44,5 kg/rok</w:t>
      </w:r>
    </w:p>
    <w:p w:rsidR="00462E2F" w:rsidRPr="00D90B14" w:rsidRDefault="00462E2F" w:rsidP="00462E2F">
      <w:pPr>
        <w:pStyle w:val="Nagwek3"/>
        <w:rPr>
          <w:rFonts w:ascii="Times New Roman" w:hAnsi="Times New Roman" w:cs="Times New Roman"/>
          <w:color w:val="auto"/>
          <w:sz w:val="22"/>
          <w:szCs w:val="22"/>
        </w:rPr>
      </w:pPr>
      <w:r w:rsidRPr="00D90B14">
        <w:rPr>
          <w:rFonts w:ascii="Times New Roman" w:hAnsi="Times New Roman" w:cs="Times New Roman"/>
          <w:color w:val="auto"/>
          <w:sz w:val="22"/>
          <w:szCs w:val="22"/>
        </w:rPr>
        <w:t>Przykładowe zestawienie paliw i wskaźników emisji CO₂ (na podstawie KOBiZE/EEA):</w:t>
      </w:r>
    </w:p>
    <w:tbl>
      <w:tblPr>
        <w:tblW w:w="0" w:type="auto"/>
        <w:tblCellSpacing w:w="15" w:type="dxa"/>
        <w:tblCellMar>
          <w:top w:w="15" w:type="dxa"/>
          <w:left w:w="15" w:type="dxa"/>
          <w:bottom w:w="15" w:type="dxa"/>
          <w:right w:w="15" w:type="dxa"/>
        </w:tblCellMar>
        <w:tblLook w:val="04A0"/>
      </w:tblPr>
      <w:tblGrid>
        <w:gridCol w:w="1846"/>
        <w:gridCol w:w="3487"/>
        <w:gridCol w:w="1711"/>
        <w:gridCol w:w="2685"/>
      </w:tblGrid>
      <w:tr w:rsidR="00462E2F" w:rsidRPr="00D90B14" w:rsidTr="00E64C12">
        <w:trPr>
          <w:tblHeader/>
          <w:tblCellSpacing w:w="15" w:type="dxa"/>
        </w:trPr>
        <w:tc>
          <w:tcPr>
            <w:tcW w:w="0" w:type="auto"/>
            <w:vAlign w:val="center"/>
            <w:hideMark/>
          </w:tcPr>
          <w:p w:rsidR="00462E2F" w:rsidRPr="00D90B14" w:rsidRDefault="00462E2F" w:rsidP="00E64C12">
            <w:pPr>
              <w:jc w:val="center"/>
              <w:rPr>
                <w:rFonts w:ascii="Times New Roman" w:hAnsi="Times New Roman" w:cs="Times New Roman"/>
                <w:b/>
                <w:bCs/>
                <w:sz w:val="22"/>
                <w:szCs w:val="22"/>
              </w:rPr>
            </w:pPr>
            <w:r w:rsidRPr="00D90B14">
              <w:rPr>
                <w:rFonts w:ascii="Times New Roman" w:hAnsi="Times New Roman" w:cs="Times New Roman"/>
                <w:b/>
                <w:bCs/>
                <w:sz w:val="22"/>
                <w:szCs w:val="22"/>
              </w:rPr>
              <w:t>Nośnik energii</w:t>
            </w:r>
          </w:p>
        </w:tc>
        <w:tc>
          <w:tcPr>
            <w:tcW w:w="0" w:type="auto"/>
            <w:vAlign w:val="center"/>
            <w:hideMark/>
          </w:tcPr>
          <w:p w:rsidR="00462E2F" w:rsidRPr="00D90B14" w:rsidRDefault="00462E2F" w:rsidP="00E64C12">
            <w:pPr>
              <w:jc w:val="center"/>
              <w:rPr>
                <w:rFonts w:ascii="Times New Roman" w:hAnsi="Times New Roman" w:cs="Times New Roman"/>
                <w:b/>
                <w:bCs/>
                <w:sz w:val="22"/>
                <w:szCs w:val="22"/>
              </w:rPr>
            </w:pPr>
            <w:r w:rsidRPr="00D90B14">
              <w:rPr>
                <w:rFonts w:ascii="Times New Roman" w:hAnsi="Times New Roman" w:cs="Times New Roman"/>
                <w:b/>
                <w:bCs/>
                <w:sz w:val="22"/>
                <w:szCs w:val="22"/>
              </w:rPr>
              <w:t>Wskaźnik emisji CO₂ (kg/GJ)</w:t>
            </w:r>
          </w:p>
        </w:tc>
        <w:tc>
          <w:tcPr>
            <w:tcW w:w="0" w:type="auto"/>
            <w:vAlign w:val="center"/>
            <w:hideMark/>
          </w:tcPr>
          <w:p w:rsidR="00462E2F" w:rsidRPr="00D90B14" w:rsidRDefault="00462E2F" w:rsidP="00E64C12">
            <w:pPr>
              <w:jc w:val="center"/>
              <w:rPr>
                <w:rFonts w:ascii="Times New Roman" w:hAnsi="Times New Roman" w:cs="Times New Roman"/>
                <w:b/>
                <w:bCs/>
                <w:sz w:val="22"/>
                <w:szCs w:val="22"/>
              </w:rPr>
            </w:pPr>
            <w:r w:rsidRPr="00D90B14">
              <w:rPr>
                <w:rFonts w:ascii="Times New Roman" w:hAnsi="Times New Roman" w:cs="Times New Roman"/>
                <w:b/>
                <w:bCs/>
                <w:sz w:val="22"/>
                <w:szCs w:val="22"/>
              </w:rPr>
              <w:t>Przelicznik energii</w:t>
            </w:r>
          </w:p>
        </w:tc>
        <w:tc>
          <w:tcPr>
            <w:tcW w:w="0" w:type="auto"/>
            <w:vAlign w:val="center"/>
            <w:hideMark/>
          </w:tcPr>
          <w:p w:rsidR="00462E2F" w:rsidRPr="00D90B14" w:rsidRDefault="00462E2F" w:rsidP="00E64C12">
            <w:pPr>
              <w:jc w:val="center"/>
              <w:rPr>
                <w:rFonts w:ascii="Times New Roman" w:hAnsi="Times New Roman" w:cs="Times New Roman"/>
                <w:b/>
                <w:bCs/>
                <w:sz w:val="22"/>
                <w:szCs w:val="22"/>
              </w:rPr>
            </w:pPr>
            <w:r w:rsidRPr="00D90B14">
              <w:rPr>
                <w:rFonts w:ascii="Times New Roman" w:hAnsi="Times New Roman" w:cs="Times New Roman"/>
                <w:b/>
                <w:bCs/>
                <w:sz w:val="22"/>
                <w:szCs w:val="22"/>
              </w:rPr>
              <w:t>Przykład emisji dla 1 jednostki</w:t>
            </w:r>
          </w:p>
        </w:tc>
      </w:tr>
      <w:tr w:rsidR="00462E2F" w:rsidRPr="00D90B14" w:rsidTr="00E64C12">
        <w:trPr>
          <w:tblCellSpacing w:w="15" w:type="dxa"/>
        </w:trPr>
        <w:tc>
          <w:tcPr>
            <w:tcW w:w="0" w:type="auto"/>
            <w:vAlign w:val="center"/>
            <w:hideMark/>
          </w:tcPr>
          <w:p w:rsidR="00462E2F" w:rsidRPr="00D90B14" w:rsidRDefault="00462E2F" w:rsidP="00E64C12">
            <w:pPr>
              <w:rPr>
                <w:rFonts w:ascii="Times New Roman" w:hAnsi="Times New Roman" w:cs="Times New Roman"/>
                <w:sz w:val="22"/>
                <w:szCs w:val="22"/>
              </w:rPr>
            </w:pPr>
            <w:r w:rsidRPr="00D90B14">
              <w:rPr>
                <w:rStyle w:val="Pogrubienie"/>
                <w:rFonts w:ascii="Times New Roman" w:hAnsi="Times New Roman" w:cs="Times New Roman"/>
                <w:sz w:val="22"/>
                <w:szCs w:val="22"/>
              </w:rPr>
              <w:t>Węgiel kamienny</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94,6 kg/GJ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Mg ≈ 24 GJ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Mg → ~2,27 Mg CO₂</w:t>
            </w:r>
          </w:p>
        </w:tc>
      </w:tr>
      <w:tr w:rsidR="00462E2F" w:rsidRPr="00D90B14" w:rsidTr="00E64C12">
        <w:trPr>
          <w:tblCellSpacing w:w="15" w:type="dxa"/>
        </w:trPr>
        <w:tc>
          <w:tcPr>
            <w:tcW w:w="0" w:type="auto"/>
            <w:vAlign w:val="center"/>
            <w:hideMark/>
          </w:tcPr>
          <w:p w:rsidR="00462E2F" w:rsidRPr="00D90B14" w:rsidRDefault="00462E2F" w:rsidP="00E64C12">
            <w:pPr>
              <w:rPr>
                <w:rFonts w:ascii="Times New Roman" w:hAnsi="Times New Roman" w:cs="Times New Roman"/>
                <w:sz w:val="22"/>
                <w:szCs w:val="22"/>
              </w:rPr>
            </w:pPr>
            <w:r w:rsidRPr="00D90B14">
              <w:rPr>
                <w:rStyle w:val="Pogrubienie"/>
                <w:rFonts w:ascii="Times New Roman" w:hAnsi="Times New Roman" w:cs="Times New Roman"/>
                <w:sz w:val="22"/>
                <w:szCs w:val="22"/>
              </w:rPr>
              <w:t>Węgiel brunatny</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101 kg/GJ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Mg ≈ 10 GJ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Mg → ~1,01 Mg CO₂</w:t>
            </w:r>
          </w:p>
        </w:tc>
      </w:tr>
      <w:tr w:rsidR="00462E2F" w:rsidRPr="00D90B14" w:rsidTr="00E64C12">
        <w:trPr>
          <w:tblCellSpacing w:w="15" w:type="dxa"/>
        </w:trPr>
        <w:tc>
          <w:tcPr>
            <w:tcW w:w="0" w:type="auto"/>
            <w:vAlign w:val="center"/>
            <w:hideMark/>
          </w:tcPr>
          <w:p w:rsidR="00462E2F" w:rsidRPr="00D90B14" w:rsidRDefault="00462E2F" w:rsidP="00E64C12">
            <w:pPr>
              <w:rPr>
                <w:rFonts w:ascii="Times New Roman" w:hAnsi="Times New Roman" w:cs="Times New Roman"/>
                <w:sz w:val="22"/>
                <w:szCs w:val="22"/>
              </w:rPr>
            </w:pPr>
            <w:r w:rsidRPr="00D90B14">
              <w:rPr>
                <w:rStyle w:val="Pogrubienie"/>
                <w:rFonts w:ascii="Times New Roman" w:hAnsi="Times New Roman" w:cs="Times New Roman"/>
                <w:sz w:val="22"/>
                <w:szCs w:val="22"/>
              </w:rPr>
              <w:t>Drewno opałowe</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 xml:space="preserve">112 kg/GJ </w:t>
            </w:r>
            <w:r w:rsidRPr="00D90B14">
              <w:rPr>
                <w:rStyle w:val="Uwydatnienie"/>
                <w:rFonts w:ascii="Times New Roman" w:hAnsi="Times New Roman" w:cs="Times New Roman"/>
                <w:sz w:val="22"/>
                <w:szCs w:val="22"/>
              </w:rPr>
              <w:t>(biogeniczne)</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m³ ≈ 1450 kWh</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 xml:space="preserve">1 m³ → ~12,5 kg CO₂ </w:t>
            </w:r>
            <w:r w:rsidRPr="00D90B14">
              <w:rPr>
                <w:rStyle w:val="Uwydatnienie"/>
                <w:rFonts w:ascii="Times New Roman" w:hAnsi="Times New Roman" w:cs="Times New Roman"/>
                <w:sz w:val="22"/>
                <w:szCs w:val="22"/>
              </w:rPr>
              <w:t>(bio)</w:t>
            </w:r>
          </w:p>
        </w:tc>
      </w:tr>
      <w:tr w:rsidR="00462E2F" w:rsidRPr="00D90B14" w:rsidTr="00E64C12">
        <w:trPr>
          <w:tblCellSpacing w:w="15" w:type="dxa"/>
        </w:trPr>
        <w:tc>
          <w:tcPr>
            <w:tcW w:w="0" w:type="auto"/>
            <w:vAlign w:val="center"/>
            <w:hideMark/>
          </w:tcPr>
          <w:p w:rsidR="00462E2F" w:rsidRPr="00D90B14" w:rsidRDefault="00462E2F" w:rsidP="00E64C12">
            <w:pPr>
              <w:rPr>
                <w:rFonts w:ascii="Times New Roman" w:hAnsi="Times New Roman" w:cs="Times New Roman"/>
                <w:sz w:val="22"/>
                <w:szCs w:val="22"/>
              </w:rPr>
            </w:pPr>
            <w:r w:rsidRPr="00D90B14">
              <w:rPr>
                <w:rStyle w:val="Pogrubienie"/>
                <w:rFonts w:ascii="Times New Roman" w:hAnsi="Times New Roman" w:cs="Times New Roman"/>
                <w:sz w:val="22"/>
                <w:szCs w:val="22"/>
              </w:rPr>
              <w:t>Gaz ziemny</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56,1 kg/GJ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m³ ≈ 34 MJ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m³ → ~1,91 kg CO₂</w:t>
            </w:r>
          </w:p>
        </w:tc>
      </w:tr>
      <w:tr w:rsidR="00462E2F" w:rsidRPr="00D90B14" w:rsidTr="00E64C12">
        <w:trPr>
          <w:tblCellSpacing w:w="15" w:type="dxa"/>
        </w:trPr>
        <w:tc>
          <w:tcPr>
            <w:tcW w:w="0" w:type="auto"/>
            <w:vAlign w:val="center"/>
            <w:hideMark/>
          </w:tcPr>
          <w:p w:rsidR="00462E2F" w:rsidRPr="00D90B14" w:rsidRDefault="00462E2F" w:rsidP="00E64C12">
            <w:pPr>
              <w:rPr>
                <w:rFonts w:ascii="Times New Roman" w:hAnsi="Times New Roman" w:cs="Times New Roman"/>
                <w:sz w:val="22"/>
                <w:szCs w:val="22"/>
              </w:rPr>
            </w:pPr>
            <w:r w:rsidRPr="00D90B14">
              <w:rPr>
                <w:rStyle w:val="Pogrubienie"/>
                <w:rFonts w:ascii="Times New Roman" w:hAnsi="Times New Roman" w:cs="Times New Roman"/>
                <w:sz w:val="22"/>
                <w:szCs w:val="22"/>
              </w:rPr>
              <w:t>Olej opałowy</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77,4 kg/GJ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litr ≈ 36 MJ</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litr → ~2,79 kg CO₂</w:t>
            </w:r>
          </w:p>
        </w:tc>
      </w:tr>
      <w:tr w:rsidR="00462E2F" w:rsidRPr="00D90B14" w:rsidTr="00E64C12">
        <w:trPr>
          <w:tblCellSpacing w:w="15" w:type="dxa"/>
        </w:trPr>
        <w:tc>
          <w:tcPr>
            <w:tcW w:w="0" w:type="auto"/>
            <w:vAlign w:val="center"/>
            <w:hideMark/>
          </w:tcPr>
          <w:p w:rsidR="00462E2F" w:rsidRPr="00D90B14" w:rsidRDefault="00462E2F" w:rsidP="00E64C12">
            <w:pPr>
              <w:rPr>
                <w:rFonts w:ascii="Times New Roman" w:hAnsi="Times New Roman" w:cs="Times New Roman"/>
                <w:sz w:val="22"/>
                <w:szCs w:val="22"/>
              </w:rPr>
            </w:pPr>
            <w:r w:rsidRPr="00D90B14">
              <w:rPr>
                <w:rStyle w:val="Pogrubienie"/>
                <w:rFonts w:ascii="Times New Roman" w:hAnsi="Times New Roman" w:cs="Times New Roman"/>
                <w:sz w:val="22"/>
                <w:szCs w:val="22"/>
              </w:rPr>
              <w:lastRenderedPageBreak/>
              <w:t>Energia elektryczna</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~400–700 g CO₂/kWh* (zależne od miksu)</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w:t>
            </w:r>
          </w:p>
        </w:tc>
        <w:tc>
          <w:tcPr>
            <w:tcW w:w="0" w:type="auto"/>
            <w:vAlign w:val="center"/>
            <w:hideMark/>
          </w:tcPr>
          <w:p w:rsidR="00462E2F" w:rsidRPr="00D90B14" w:rsidRDefault="00462E2F" w:rsidP="00E64C12">
            <w:pPr>
              <w:rPr>
                <w:rFonts w:ascii="Times New Roman" w:hAnsi="Times New Roman" w:cs="Times New Roman"/>
                <w:sz w:val="22"/>
                <w:szCs w:val="22"/>
              </w:rPr>
            </w:pPr>
            <w:r w:rsidRPr="00D90B14">
              <w:rPr>
                <w:rFonts w:ascii="Times New Roman" w:hAnsi="Times New Roman" w:cs="Times New Roman"/>
                <w:sz w:val="22"/>
                <w:szCs w:val="22"/>
              </w:rPr>
              <w:t>1 kWh → ~0,5 kg CO₂ (średnio)</w:t>
            </w:r>
          </w:p>
        </w:tc>
      </w:tr>
    </w:tbl>
    <w:p w:rsidR="00462E2F" w:rsidRPr="00D90B14" w:rsidRDefault="00462E2F" w:rsidP="00462E2F">
      <w:pPr>
        <w:jc w:val="both"/>
        <w:rPr>
          <w:rFonts w:ascii="Times New Roman" w:hAnsi="Times New Roman" w:cs="Times New Roman"/>
          <w:b/>
          <w:sz w:val="22"/>
          <w:szCs w:val="22"/>
        </w:rPr>
      </w:pPr>
    </w:p>
    <w:p w:rsidR="00462E2F" w:rsidRPr="00D90B14" w:rsidRDefault="00462E2F" w:rsidP="00462E2F">
      <w:pPr>
        <w:pStyle w:val="Nagwek3"/>
        <w:jc w:val="both"/>
        <w:rPr>
          <w:rFonts w:ascii="Times New Roman" w:hAnsi="Times New Roman" w:cs="Times New Roman"/>
          <w:sz w:val="22"/>
          <w:szCs w:val="22"/>
        </w:rPr>
      </w:pPr>
      <w:r w:rsidRPr="00D90B14">
        <w:rPr>
          <w:rFonts w:ascii="Times New Roman" w:hAnsi="Times New Roman" w:cs="Times New Roman"/>
          <w:color w:val="auto"/>
          <w:sz w:val="22"/>
          <w:szCs w:val="22"/>
        </w:rPr>
        <w:t>1. Emisja CO₂ z drewna (m³)</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Wartość emisji z drewna zależy od jego rodzaju, ale w przybliżeniu przyjmuje się średnią emisję w zakresie 1,8–3,5 kg CO₂ na 1 m³ drewna, w zależności od jego wilgotności i rodzaju (drewno twarde, miękkie itp.).</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Załóżmy, że średnia emisja CO₂ z drewna wynosi 2,5 kg CO₂/m³ (przyjmujemy wartość średnią).</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Obliczenie emisji CO₂ z drewna:</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Emisja CO₂ z drewna=1381,10 m3×2,5 kg CO₂/m3\text{Emisja CO₂ z drewna} = 1381,10 \, \text{m}^3 \times 2,5 \, \text{kg CO₂/m}^3</w:t>
      </w:r>
      <w:r w:rsidRPr="00D90B14">
        <w:rPr>
          <w:rStyle w:val="mord"/>
          <w:rFonts w:ascii="Times New Roman" w:hAnsi="Times New Roman" w:cs="Times New Roman"/>
          <w:sz w:val="22"/>
          <w:szCs w:val="22"/>
        </w:rPr>
        <w:t>Emisja CO₂ z drewna</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1381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10m3</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2</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5kg CO₂/m3</w:t>
      </w:r>
      <w:r w:rsidRPr="00D90B14">
        <w:rPr>
          <w:rFonts w:ascii="Times New Roman" w:hAnsi="Times New Roman" w:cs="Times New Roman"/>
          <w:sz w:val="22"/>
          <w:szCs w:val="22"/>
        </w:rPr>
        <w:t xml:space="preserve"> </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2. Emisja CO₂ z energii elektrycznej (kWh)</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Emisja CO₂ z energii elektrycznej zależy od struktury miksu energetycznego w danym kraju. W Polsce średnia emisja CO₂ dla energii elektrycznej w 2021 roku wynosi około 0,822 kg CO₂/kWh (z uwagi na dominację węgla w miksie energetycznym).</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Obliczenie emisji CO₂ z energii elektrycznej:</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Emisja CO₂ z energii elektrycznej=391,123 kWh×0,822 kg CO₂/kWh\text{Emisja CO₂ z energii elektrycznej} = 391,123 \, \text{kWh} \times 0,822 \, \text{kg CO₂/kWh}</w:t>
      </w:r>
      <w:r w:rsidRPr="00D90B14">
        <w:rPr>
          <w:rStyle w:val="mord"/>
          <w:rFonts w:ascii="Times New Roman" w:hAnsi="Times New Roman" w:cs="Times New Roman"/>
          <w:sz w:val="22"/>
          <w:szCs w:val="22"/>
        </w:rPr>
        <w:t>Emisja CO₂ z energii elektrycznej</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391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123kWh</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822kg CO₂/kWh</w:t>
      </w:r>
      <w:r w:rsidRPr="00D90B14">
        <w:rPr>
          <w:rFonts w:ascii="Times New Roman" w:hAnsi="Times New Roman" w:cs="Times New Roman"/>
          <w:sz w:val="22"/>
          <w:szCs w:val="22"/>
        </w:rPr>
        <w:t xml:space="preserve"> </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Wyliczenie emisji CO₂</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Teraz obliczymy dokładną wartość emisji:</w:t>
      </w:r>
    </w:p>
    <w:p w:rsidR="00462E2F" w:rsidRPr="00D90B14" w:rsidRDefault="00462E2F" w:rsidP="008A40A2">
      <w:pPr>
        <w:numPr>
          <w:ilvl w:val="0"/>
          <w:numId w:val="36"/>
        </w:numPr>
        <w:spacing w:before="100" w:beforeAutospacing="1" w:after="100" w:afterAutospacing="1" w:line="240" w:lineRule="auto"/>
        <w:jc w:val="both"/>
        <w:rPr>
          <w:rFonts w:ascii="Times New Roman" w:hAnsi="Times New Roman" w:cs="Times New Roman"/>
          <w:sz w:val="22"/>
          <w:szCs w:val="22"/>
        </w:rPr>
      </w:pPr>
      <w:r w:rsidRPr="00D90B14">
        <w:rPr>
          <w:rStyle w:val="Pogrubienie"/>
          <w:rFonts w:ascii="Times New Roman" w:hAnsi="Times New Roman" w:cs="Times New Roman"/>
          <w:sz w:val="22"/>
          <w:szCs w:val="22"/>
        </w:rPr>
        <w:t>Emisja z drewna</w:t>
      </w:r>
      <w:r w:rsidRPr="00D90B14">
        <w:rPr>
          <w:rFonts w:ascii="Times New Roman" w:hAnsi="Times New Roman" w:cs="Times New Roman"/>
          <w:sz w:val="22"/>
          <w:szCs w:val="22"/>
        </w:rPr>
        <w:t>:</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Emisja CO₂ z drewna=1381,10×2,5=3452,75 kg CO₂\text{Emisja CO₂ z drewna} = 1381,10 \times 2,5 = 3452,75 \, \text{kg CO₂}</w:t>
      </w:r>
      <w:r w:rsidRPr="00D90B14">
        <w:rPr>
          <w:rStyle w:val="mord"/>
          <w:rFonts w:ascii="Times New Roman" w:hAnsi="Times New Roman" w:cs="Times New Roman"/>
          <w:sz w:val="22"/>
          <w:szCs w:val="22"/>
        </w:rPr>
        <w:t>Emisja CO₂ z drewna</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1381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10</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2</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5</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3452</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75kg CO₂</w:t>
      </w:r>
      <w:r w:rsidRPr="00D90B14">
        <w:rPr>
          <w:rFonts w:ascii="Times New Roman" w:hAnsi="Times New Roman" w:cs="Times New Roman"/>
          <w:sz w:val="22"/>
          <w:szCs w:val="22"/>
        </w:rPr>
        <w:t xml:space="preserve"> </w:t>
      </w:r>
    </w:p>
    <w:p w:rsidR="00462E2F" w:rsidRPr="00D90B14" w:rsidRDefault="00462E2F" w:rsidP="008A40A2">
      <w:pPr>
        <w:numPr>
          <w:ilvl w:val="0"/>
          <w:numId w:val="37"/>
        </w:numPr>
        <w:spacing w:before="100" w:beforeAutospacing="1" w:after="100" w:afterAutospacing="1" w:line="240" w:lineRule="auto"/>
        <w:jc w:val="both"/>
        <w:rPr>
          <w:rFonts w:ascii="Times New Roman" w:hAnsi="Times New Roman" w:cs="Times New Roman"/>
          <w:sz w:val="22"/>
          <w:szCs w:val="22"/>
        </w:rPr>
      </w:pPr>
      <w:r w:rsidRPr="00D90B14">
        <w:rPr>
          <w:rStyle w:val="Pogrubienie"/>
          <w:rFonts w:ascii="Times New Roman" w:hAnsi="Times New Roman" w:cs="Times New Roman"/>
          <w:sz w:val="22"/>
          <w:szCs w:val="22"/>
        </w:rPr>
        <w:t>Emisja z energii elektrycznej</w:t>
      </w:r>
      <w:r w:rsidRPr="00D90B14">
        <w:rPr>
          <w:rFonts w:ascii="Times New Roman" w:hAnsi="Times New Roman" w:cs="Times New Roman"/>
          <w:sz w:val="22"/>
          <w:szCs w:val="22"/>
        </w:rPr>
        <w:t>:</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Emisja CO₂ z energii elektrycznej=391,123×0,822=321,78 kg CO₂\text{Emisja CO₂ z energii elektrycznej} = 391,123 \times 0,822 = 321,78 \, \text{kg CO₂}</w:t>
      </w:r>
      <w:r w:rsidRPr="00D90B14">
        <w:rPr>
          <w:rStyle w:val="mord"/>
          <w:rFonts w:ascii="Times New Roman" w:hAnsi="Times New Roman" w:cs="Times New Roman"/>
          <w:sz w:val="22"/>
          <w:szCs w:val="22"/>
        </w:rPr>
        <w:t>Emisja CO₂ z energii elektrycznej</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391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123</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822</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321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78kg CO₂</w:t>
      </w:r>
      <w:r w:rsidRPr="00D90B14">
        <w:rPr>
          <w:rFonts w:ascii="Times New Roman" w:hAnsi="Times New Roman" w:cs="Times New Roman"/>
          <w:sz w:val="22"/>
          <w:szCs w:val="22"/>
        </w:rPr>
        <w:t xml:space="preserve"> </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Podsumowanie emisji CO₂:</w:t>
      </w:r>
    </w:p>
    <w:p w:rsidR="00462E2F" w:rsidRPr="00D90B14" w:rsidRDefault="00462E2F" w:rsidP="008A40A2">
      <w:pPr>
        <w:numPr>
          <w:ilvl w:val="0"/>
          <w:numId w:val="38"/>
        </w:numPr>
        <w:spacing w:before="100" w:beforeAutospacing="1" w:after="100" w:afterAutospacing="1" w:line="240" w:lineRule="auto"/>
        <w:jc w:val="both"/>
        <w:rPr>
          <w:rFonts w:ascii="Times New Roman" w:hAnsi="Times New Roman" w:cs="Times New Roman"/>
          <w:sz w:val="22"/>
          <w:szCs w:val="22"/>
        </w:rPr>
      </w:pPr>
      <w:r w:rsidRPr="00D90B14">
        <w:rPr>
          <w:rStyle w:val="Pogrubienie"/>
          <w:rFonts w:ascii="Times New Roman" w:hAnsi="Times New Roman" w:cs="Times New Roman"/>
          <w:sz w:val="22"/>
          <w:szCs w:val="22"/>
        </w:rPr>
        <w:t>Z drewna</w:t>
      </w:r>
      <w:r w:rsidRPr="00D90B14">
        <w:rPr>
          <w:rFonts w:ascii="Times New Roman" w:hAnsi="Times New Roman" w:cs="Times New Roman"/>
          <w:sz w:val="22"/>
          <w:szCs w:val="22"/>
        </w:rPr>
        <w:t>: 3452,75 kg CO₂</w:t>
      </w:r>
    </w:p>
    <w:p w:rsidR="00462E2F" w:rsidRPr="00D90B14" w:rsidRDefault="00462E2F" w:rsidP="008A40A2">
      <w:pPr>
        <w:numPr>
          <w:ilvl w:val="0"/>
          <w:numId w:val="38"/>
        </w:numPr>
        <w:spacing w:before="100" w:beforeAutospacing="1" w:after="100" w:afterAutospacing="1" w:line="240" w:lineRule="auto"/>
        <w:jc w:val="both"/>
        <w:rPr>
          <w:rFonts w:ascii="Times New Roman" w:hAnsi="Times New Roman" w:cs="Times New Roman"/>
          <w:sz w:val="22"/>
          <w:szCs w:val="22"/>
        </w:rPr>
      </w:pPr>
      <w:r w:rsidRPr="00D90B14">
        <w:rPr>
          <w:rStyle w:val="Pogrubienie"/>
          <w:rFonts w:ascii="Times New Roman" w:hAnsi="Times New Roman" w:cs="Times New Roman"/>
          <w:sz w:val="22"/>
          <w:szCs w:val="22"/>
        </w:rPr>
        <w:t>Z energii elektrycznej</w:t>
      </w:r>
      <w:r w:rsidRPr="00D90B14">
        <w:rPr>
          <w:rFonts w:ascii="Times New Roman" w:hAnsi="Times New Roman" w:cs="Times New Roman"/>
          <w:sz w:val="22"/>
          <w:szCs w:val="22"/>
        </w:rPr>
        <w:t>: 321,78 kg CO₂</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lastRenderedPageBreak/>
        <w:t>Razem:</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Całkowita emisja CO₂=3452,75 kg CO₂+321,78 kg CO₂=3774,53 kg CO₂≈3,77 Mg CO₂\text{Całkowita emisja CO₂} = 3452,75 \, \text{kg CO₂} + 321,78 \, \text{kg CO₂} = 3774,53 \, \text{kg CO₂} \approx 3,77 \, \text{Mg CO₂}</w:t>
      </w:r>
      <w:r w:rsidRPr="00D90B14">
        <w:rPr>
          <w:rStyle w:val="mord"/>
          <w:rFonts w:ascii="Times New Roman" w:hAnsi="Times New Roman" w:cs="Times New Roman"/>
          <w:sz w:val="22"/>
          <w:szCs w:val="22"/>
        </w:rPr>
        <w:t>Całkowita emisja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3452</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75kg CO₂</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321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78kg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3774</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53kg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77Mg CO₂</w:t>
      </w:r>
      <w:r w:rsidRPr="00D90B14">
        <w:rPr>
          <w:rFonts w:ascii="Times New Roman" w:hAnsi="Times New Roman" w:cs="Times New Roman"/>
          <w:sz w:val="22"/>
          <w:szCs w:val="22"/>
        </w:rPr>
        <w:t xml:space="preserve"> </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 xml:space="preserve">Otrzymujesz około </w:t>
      </w:r>
      <w:r w:rsidRPr="00D90B14">
        <w:rPr>
          <w:rStyle w:val="Pogrubienie"/>
          <w:rFonts w:ascii="Times New Roman" w:hAnsi="Times New Roman" w:cs="Times New Roman"/>
          <w:sz w:val="22"/>
          <w:szCs w:val="22"/>
        </w:rPr>
        <w:t>3,77 Mg CO₂</w:t>
      </w:r>
      <w:r w:rsidRPr="00D90B14">
        <w:rPr>
          <w:rFonts w:ascii="Times New Roman" w:hAnsi="Times New Roman" w:cs="Times New Roman"/>
          <w:sz w:val="22"/>
          <w:szCs w:val="22"/>
        </w:rPr>
        <w:t xml:space="preserve"> z obu nośników energii (drewno i energia elektryczna).</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b/>
          <w:sz w:val="22"/>
          <w:szCs w:val="22"/>
        </w:rPr>
        <w:t xml:space="preserve">Emisja z budynków użyteczności publicznej przedstawia się następująco: </w:t>
      </w:r>
      <w:r w:rsidRPr="00D90B14">
        <w:rPr>
          <w:rFonts w:ascii="Times New Roman" w:hAnsi="Times New Roman" w:cs="Times New Roman"/>
          <w:sz w:val="22"/>
          <w:szCs w:val="22"/>
        </w:rPr>
        <w:t xml:space="preserve">Zużycie energii elektrycznej wynosi: </w:t>
      </w:r>
      <w:r w:rsidRPr="00D90B14">
        <w:rPr>
          <w:rStyle w:val="Pogrubienie"/>
          <w:rFonts w:ascii="Times New Roman" w:hAnsi="Times New Roman" w:cs="Times New Roman"/>
          <w:sz w:val="22"/>
          <w:szCs w:val="22"/>
        </w:rPr>
        <w:t>214,183,02 MWh</w:t>
      </w:r>
      <w:r w:rsidRPr="00D90B14">
        <w:rPr>
          <w:rFonts w:ascii="Times New Roman" w:hAnsi="Times New Roman" w:cs="Times New Roman"/>
          <w:sz w:val="22"/>
          <w:szCs w:val="22"/>
        </w:rPr>
        <w:t xml:space="preserve"> (megawatogodziny).</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Współczynnik emisji CO₂</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 xml:space="preserve">Średnia emisja CO₂ w Polsce wynosi około </w:t>
      </w:r>
      <w:r w:rsidRPr="00D90B14">
        <w:rPr>
          <w:rStyle w:val="Pogrubienie"/>
          <w:rFonts w:ascii="Times New Roman" w:hAnsi="Times New Roman" w:cs="Times New Roman"/>
          <w:sz w:val="22"/>
          <w:szCs w:val="22"/>
        </w:rPr>
        <w:t>0,822 kg CO₂/kWh</w:t>
      </w:r>
      <w:r w:rsidRPr="00D90B14">
        <w:rPr>
          <w:rFonts w:ascii="Times New Roman" w:hAnsi="Times New Roman" w:cs="Times New Roman"/>
          <w:sz w:val="22"/>
          <w:szCs w:val="22"/>
        </w:rPr>
        <w:t xml:space="preserve"> (z powodu struktury miksu energetycznego, który oparty jest głównie na węglu).</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1 MWh = 1000 kWh, więc należy przeliczyć zużycie energii z MWh na kWh:</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Zużycie energii elektrycznej=214,183,02 MWh×1000=214,183,020 kWh\text{Zużycie energii elektrycznej} = 214,183,02 \, \text{MWh} \times 1000 = 214,183,020 \, \text{kWh}</w:t>
      </w:r>
      <w:r w:rsidRPr="00D90B14">
        <w:rPr>
          <w:rStyle w:val="mord"/>
          <w:rFonts w:ascii="Times New Roman" w:hAnsi="Times New Roman" w:cs="Times New Roman"/>
          <w:sz w:val="22"/>
          <w:szCs w:val="22"/>
        </w:rPr>
        <w:t>Zuz˙ycie energii elektrycznej</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214</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183</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02MWh</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1000</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214</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183</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020kWh</w:t>
      </w:r>
      <w:r w:rsidRPr="00D90B14">
        <w:rPr>
          <w:rFonts w:ascii="Times New Roman" w:hAnsi="Times New Roman" w:cs="Times New Roman"/>
          <w:sz w:val="22"/>
          <w:szCs w:val="22"/>
        </w:rPr>
        <w:t xml:space="preserve"> </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Obliczenie emisji CO₂</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Emisja CO₂ = Zużycie energii elektrycznej (kWh) × Współczynnik emisji CO₂ (kg CO₂/kWh)</w:t>
      </w:r>
    </w:p>
    <w:p w:rsidR="00462E2F" w:rsidRPr="00D90B14" w:rsidRDefault="00462E2F" w:rsidP="00462E2F">
      <w:pPr>
        <w:spacing w:after="0"/>
        <w:jc w:val="both"/>
        <w:rPr>
          <w:rFonts w:ascii="Times New Roman" w:hAnsi="Times New Roman" w:cs="Times New Roman"/>
          <w:sz w:val="22"/>
          <w:szCs w:val="22"/>
        </w:rPr>
      </w:pPr>
      <w:r w:rsidRPr="00D90B14">
        <w:rPr>
          <w:rStyle w:val="katex-mathml"/>
          <w:rFonts w:ascii="Times New Roman" w:hAnsi="Times New Roman" w:cs="Times New Roman"/>
          <w:sz w:val="22"/>
          <w:szCs w:val="22"/>
        </w:rPr>
        <w:t>Emisja CO₂=214,183,020 kWh×0,822 kg CO₂/kWh\text{Emisja CO₂} = 214,183,020 \, \text{kWh} \times 0,822 \, \text{kg CO₂/kWh}</w:t>
      </w:r>
      <w:r w:rsidRPr="00D90B14">
        <w:rPr>
          <w:rStyle w:val="mord"/>
          <w:rFonts w:ascii="Times New Roman" w:hAnsi="Times New Roman" w:cs="Times New Roman"/>
          <w:sz w:val="22"/>
          <w:szCs w:val="22"/>
        </w:rPr>
        <w:t>Emisja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214</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183</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020kWh</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822kg CO₂/kWh</w:t>
      </w:r>
      <w:r w:rsidRPr="00D90B14">
        <w:rPr>
          <w:rFonts w:ascii="Times New Roman" w:hAnsi="Times New Roman" w:cs="Times New Roman"/>
          <w:sz w:val="22"/>
          <w:szCs w:val="22"/>
        </w:rPr>
        <w:t xml:space="preserve"> </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Wynik</w:t>
      </w:r>
    </w:p>
    <w:p w:rsidR="00462E2F" w:rsidRPr="00D90B14" w:rsidRDefault="00462E2F" w:rsidP="00462E2F">
      <w:pPr>
        <w:jc w:val="both"/>
        <w:rPr>
          <w:rFonts w:ascii="Times New Roman" w:hAnsi="Times New Roman" w:cs="Times New Roman"/>
          <w:sz w:val="22"/>
          <w:szCs w:val="22"/>
        </w:rPr>
      </w:pPr>
      <w:r w:rsidRPr="00D90B14">
        <w:rPr>
          <w:rStyle w:val="katex-mathml"/>
          <w:rFonts w:ascii="Times New Roman" w:hAnsi="Times New Roman" w:cs="Times New Roman"/>
          <w:sz w:val="22"/>
          <w:szCs w:val="22"/>
        </w:rPr>
        <w:t>Emisja CO₂=214,183,020×0,822=175,324,501,64 kg CO₂=175,32 Mg CO₂\text{Emisja CO₂} = 214,183,020 \times 0,822 = 175,324,501,64 \, \text{kg CO₂} = 175,32 \, \text{Mg CO₂}</w:t>
      </w:r>
      <w:r w:rsidRPr="00D90B14">
        <w:rPr>
          <w:rStyle w:val="mord"/>
          <w:rFonts w:ascii="Times New Roman" w:hAnsi="Times New Roman" w:cs="Times New Roman"/>
          <w:sz w:val="22"/>
          <w:szCs w:val="22"/>
        </w:rPr>
        <w:t>Emisja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214</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183</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020</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822</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175</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324</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501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64kg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175</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32Mg CO₂</w:t>
      </w:r>
      <w:r w:rsidRPr="00D90B14">
        <w:rPr>
          <w:rFonts w:ascii="Times New Roman" w:hAnsi="Times New Roman" w:cs="Times New Roman"/>
          <w:sz w:val="22"/>
          <w:szCs w:val="22"/>
        </w:rPr>
        <w:t xml:space="preserve"> </w:t>
      </w:r>
    </w:p>
    <w:p w:rsidR="00462E2F" w:rsidRPr="00D90B14" w:rsidRDefault="00462E2F" w:rsidP="00462E2F">
      <w:pPr>
        <w:pStyle w:val="Nagwek3"/>
        <w:jc w:val="both"/>
        <w:rPr>
          <w:rFonts w:ascii="Times New Roman" w:hAnsi="Times New Roman" w:cs="Times New Roman"/>
          <w:color w:val="auto"/>
          <w:sz w:val="22"/>
          <w:szCs w:val="22"/>
        </w:rPr>
      </w:pPr>
      <w:r w:rsidRPr="00D90B14">
        <w:rPr>
          <w:rFonts w:ascii="Times New Roman" w:hAnsi="Times New Roman" w:cs="Times New Roman"/>
          <w:color w:val="auto"/>
          <w:sz w:val="22"/>
          <w:szCs w:val="22"/>
        </w:rPr>
        <w:t>Podsumowanie:</w:t>
      </w:r>
    </w:p>
    <w:p w:rsidR="00462E2F" w:rsidRPr="00D90B14" w:rsidRDefault="00462E2F" w:rsidP="00462E2F">
      <w:pPr>
        <w:spacing w:before="100" w:beforeAutospacing="1" w:after="100" w:afterAutospacing="1"/>
        <w:jc w:val="both"/>
        <w:rPr>
          <w:rFonts w:ascii="Times New Roman" w:hAnsi="Times New Roman" w:cs="Times New Roman"/>
          <w:sz w:val="22"/>
          <w:szCs w:val="22"/>
        </w:rPr>
      </w:pPr>
      <w:r w:rsidRPr="00D90B14">
        <w:rPr>
          <w:rFonts w:ascii="Times New Roman" w:hAnsi="Times New Roman" w:cs="Times New Roman"/>
          <w:sz w:val="22"/>
          <w:szCs w:val="22"/>
        </w:rPr>
        <w:t xml:space="preserve">Wielkość emisji CO₂ związana z zużyciem energii elektrycznej w gminie wynosi około </w:t>
      </w:r>
      <w:r w:rsidRPr="00D90B14">
        <w:rPr>
          <w:rStyle w:val="Pogrubienie"/>
          <w:rFonts w:ascii="Times New Roman" w:hAnsi="Times New Roman" w:cs="Times New Roman"/>
          <w:sz w:val="22"/>
          <w:szCs w:val="22"/>
        </w:rPr>
        <w:t>175,32 Mg CO₂</w:t>
      </w:r>
      <w:r w:rsidRPr="00D90B14">
        <w:rPr>
          <w:rFonts w:ascii="Times New Roman" w:hAnsi="Times New Roman" w:cs="Times New Roman"/>
          <w:sz w:val="22"/>
          <w:szCs w:val="22"/>
        </w:rPr>
        <w:t>.</w:t>
      </w:r>
    </w:p>
    <w:p w:rsidR="00462E2F" w:rsidRPr="00D90B14" w:rsidRDefault="00462E2F" w:rsidP="00462E2F">
      <w:pPr>
        <w:spacing w:before="100" w:beforeAutospacing="1" w:after="100" w:afterAutospacing="1"/>
        <w:ind w:firstLine="708"/>
        <w:jc w:val="both"/>
        <w:rPr>
          <w:rFonts w:ascii="Times New Roman" w:hAnsi="Times New Roman" w:cs="Times New Roman"/>
          <w:sz w:val="22"/>
          <w:szCs w:val="22"/>
        </w:rPr>
      </w:pPr>
      <w:r w:rsidRPr="00D90B14">
        <w:rPr>
          <w:rFonts w:ascii="Times New Roman" w:hAnsi="Times New Roman" w:cs="Times New Roman"/>
          <w:sz w:val="22"/>
          <w:szCs w:val="22"/>
        </w:rPr>
        <w:t>Emisja z oświetlenia ulicznego dotyczy istotnej części dwutlenku węgla dostającego się do atmosfery. Podobnie jak w przypadku zużycia energii elektrycznej w budynkach, dwutlenek węgla powstający przy produkcji energii elektrycznej zużywanej przez oświetlenie uliczne powstaje poza granicami gminy. Informacje na temat zużycia prądu w tej dziedzinie pochodzą z faktur opłacanych przez gminę.</w:t>
      </w:r>
    </w:p>
    <w:p w:rsidR="00462E2F" w:rsidRPr="00D90B14" w:rsidRDefault="00462E2F" w:rsidP="00462E2F">
      <w:pPr>
        <w:pStyle w:val="Nagwek3"/>
        <w:rPr>
          <w:rFonts w:ascii="Times New Roman" w:hAnsi="Times New Roman" w:cs="Times New Roman"/>
          <w:color w:val="auto"/>
          <w:sz w:val="22"/>
          <w:szCs w:val="22"/>
        </w:rPr>
      </w:pPr>
      <w:r w:rsidRPr="00D90B14">
        <w:rPr>
          <w:rFonts w:ascii="Times New Roman" w:hAnsi="Times New Roman" w:cs="Times New Roman"/>
          <w:color w:val="auto"/>
          <w:sz w:val="22"/>
          <w:szCs w:val="22"/>
        </w:rPr>
        <w:t>Zużycie energii elektrycznej z oświetlenia ulicznego</w:t>
      </w:r>
    </w:p>
    <w:p w:rsidR="00462E2F" w:rsidRPr="00D90B14" w:rsidRDefault="00462E2F" w:rsidP="00462E2F">
      <w:pPr>
        <w:spacing w:before="100" w:beforeAutospacing="1" w:after="100" w:afterAutospacing="1"/>
        <w:rPr>
          <w:rFonts w:ascii="Times New Roman" w:hAnsi="Times New Roman" w:cs="Times New Roman"/>
          <w:sz w:val="22"/>
          <w:szCs w:val="22"/>
        </w:rPr>
      </w:pPr>
      <w:r w:rsidRPr="00D90B14">
        <w:rPr>
          <w:rFonts w:ascii="Times New Roman" w:hAnsi="Times New Roman" w:cs="Times New Roman"/>
          <w:sz w:val="22"/>
          <w:szCs w:val="22"/>
        </w:rPr>
        <w:t xml:space="preserve">Zużycie energii wynosi: </w:t>
      </w:r>
      <w:r w:rsidRPr="00D90B14">
        <w:rPr>
          <w:rStyle w:val="Pogrubienie"/>
          <w:rFonts w:ascii="Times New Roman" w:hAnsi="Times New Roman" w:cs="Times New Roman"/>
          <w:sz w:val="22"/>
          <w:szCs w:val="22"/>
        </w:rPr>
        <w:t>35,210,94 MWh</w:t>
      </w:r>
      <w:r w:rsidRPr="00D90B14">
        <w:rPr>
          <w:rFonts w:ascii="Times New Roman" w:hAnsi="Times New Roman" w:cs="Times New Roman"/>
          <w:sz w:val="22"/>
          <w:szCs w:val="22"/>
        </w:rPr>
        <w:t xml:space="preserve"> (megawatogodziny).</w:t>
      </w:r>
    </w:p>
    <w:p w:rsidR="00462E2F" w:rsidRPr="00D90B14" w:rsidRDefault="00462E2F" w:rsidP="00462E2F">
      <w:pPr>
        <w:pStyle w:val="Nagwek3"/>
        <w:rPr>
          <w:rFonts w:ascii="Times New Roman" w:hAnsi="Times New Roman" w:cs="Times New Roman"/>
          <w:color w:val="auto"/>
          <w:sz w:val="22"/>
          <w:szCs w:val="22"/>
        </w:rPr>
      </w:pPr>
      <w:r w:rsidRPr="00D90B14">
        <w:rPr>
          <w:rFonts w:ascii="Times New Roman" w:hAnsi="Times New Roman" w:cs="Times New Roman"/>
          <w:color w:val="auto"/>
          <w:sz w:val="22"/>
          <w:szCs w:val="22"/>
        </w:rPr>
        <w:t>Współczynnik emisji CO₂</w:t>
      </w:r>
    </w:p>
    <w:p w:rsidR="00462E2F" w:rsidRPr="00D90B14" w:rsidRDefault="00462E2F" w:rsidP="00462E2F">
      <w:pPr>
        <w:spacing w:before="100" w:beforeAutospacing="1" w:after="100" w:afterAutospacing="1"/>
        <w:rPr>
          <w:rFonts w:ascii="Times New Roman" w:hAnsi="Times New Roman" w:cs="Times New Roman"/>
          <w:sz w:val="22"/>
          <w:szCs w:val="22"/>
        </w:rPr>
      </w:pPr>
      <w:r w:rsidRPr="00D90B14">
        <w:rPr>
          <w:rFonts w:ascii="Times New Roman" w:hAnsi="Times New Roman" w:cs="Times New Roman"/>
          <w:sz w:val="22"/>
          <w:szCs w:val="22"/>
        </w:rPr>
        <w:t xml:space="preserve">Średnia emisja CO₂ w Polsce wynosi około </w:t>
      </w:r>
      <w:r w:rsidRPr="00D90B14">
        <w:rPr>
          <w:rStyle w:val="Pogrubienie"/>
          <w:rFonts w:ascii="Times New Roman" w:hAnsi="Times New Roman" w:cs="Times New Roman"/>
          <w:sz w:val="22"/>
          <w:szCs w:val="22"/>
        </w:rPr>
        <w:t>0,822 kg CO₂/kWh</w:t>
      </w:r>
      <w:r w:rsidRPr="00D90B14">
        <w:rPr>
          <w:rFonts w:ascii="Times New Roman" w:hAnsi="Times New Roman" w:cs="Times New Roman"/>
          <w:sz w:val="22"/>
          <w:szCs w:val="22"/>
        </w:rPr>
        <w:t>. Przekształcamy MWh na kWh:</w:t>
      </w:r>
    </w:p>
    <w:p w:rsidR="00462E2F" w:rsidRPr="00D90B14" w:rsidRDefault="00462E2F" w:rsidP="00462E2F">
      <w:pPr>
        <w:spacing w:after="0"/>
        <w:rPr>
          <w:rFonts w:ascii="Times New Roman" w:hAnsi="Times New Roman" w:cs="Times New Roman"/>
          <w:sz w:val="22"/>
          <w:szCs w:val="22"/>
        </w:rPr>
      </w:pPr>
      <w:r w:rsidRPr="00D90B14">
        <w:rPr>
          <w:rStyle w:val="katex-mathml"/>
          <w:rFonts w:ascii="Times New Roman" w:hAnsi="Times New Roman" w:cs="Times New Roman"/>
          <w:sz w:val="22"/>
          <w:szCs w:val="22"/>
        </w:rPr>
        <w:lastRenderedPageBreak/>
        <w:t>35,210,94 MWh×1000=35,210,940 kWh35,210,94 \, \text{MWh} \times 1000 = 35,210,940 \, \text{kWh}</w:t>
      </w:r>
      <w:r w:rsidRPr="00D90B14">
        <w:rPr>
          <w:rStyle w:val="mord"/>
          <w:rFonts w:ascii="Times New Roman" w:hAnsi="Times New Roman" w:cs="Times New Roman"/>
          <w:sz w:val="22"/>
          <w:szCs w:val="22"/>
        </w:rPr>
        <w:t>35</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210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94MWh</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1000</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35</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210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940kWh</w:t>
      </w:r>
      <w:r w:rsidRPr="00D90B14">
        <w:rPr>
          <w:rFonts w:ascii="Times New Roman" w:hAnsi="Times New Roman" w:cs="Times New Roman"/>
          <w:sz w:val="22"/>
          <w:szCs w:val="22"/>
        </w:rPr>
        <w:t xml:space="preserve"> </w:t>
      </w:r>
    </w:p>
    <w:p w:rsidR="00462E2F" w:rsidRPr="00D90B14" w:rsidRDefault="00462E2F" w:rsidP="00462E2F">
      <w:pPr>
        <w:pStyle w:val="Nagwek3"/>
        <w:rPr>
          <w:rFonts w:ascii="Times New Roman" w:hAnsi="Times New Roman" w:cs="Times New Roman"/>
          <w:color w:val="auto"/>
          <w:sz w:val="22"/>
          <w:szCs w:val="22"/>
        </w:rPr>
      </w:pPr>
      <w:r w:rsidRPr="00D90B14">
        <w:rPr>
          <w:rFonts w:ascii="Times New Roman" w:hAnsi="Times New Roman" w:cs="Times New Roman"/>
          <w:color w:val="auto"/>
          <w:sz w:val="22"/>
          <w:szCs w:val="22"/>
        </w:rPr>
        <w:t>Obliczenie emisji CO₂</w:t>
      </w:r>
    </w:p>
    <w:p w:rsidR="00462E2F" w:rsidRPr="00D90B14" w:rsidRDefault="00462E2F" w:rsidP="00462E2F">
      <w:pPr>
        <w:spacing w:before="100" w:beforeAutospacing="1" w:after="100" w:afterAutospacing="1"/>
        <w:rPr>
          <w:rFonts w:ascii="Times New Roman" w:hAnsi="Times New Roman" w:cs="Times New Roman"/>
          <w:sz w:val="22"/>
          <w:szCs w:val="22"/>
        </w:rPr>
      </w:pPr>
      <w:r w:rsidRPr="00D90B14">
        <w:rPr>
          <w:rFonts w:ascii="Times New Roman" w:hAnsi="Times New Roman" w:cs="Times New Roman"/>
          <w:sz w:val="22"/>
          <w:szCs w:val="22"/>
        </w:rPr>
        <w:t>Emisja CO₂ = Zużycie energii elektrycznej (kWh) × Współczynnik emisji CO₂ (kg CO₂/kWh)</w:t>
      </w:r>
    </w:p>
    <w:p w:rsidR="00462E2F" w:rsidRPr="00D90B14" w:rsidRDefault="00462E2F" w:rsidP="00462E2F">
      <w:pPr>
        <w:spacing w:after="0"/>
        <w:rPr>
          <w:rFonts w:ascii="Times New Roman" w:hAnsi="Times New Roman" w:cs="Times New Roman"/>
          <w:sz w:val="22"/>
          <w:szCs w:val="22"/>
        </w:rPr>
      </w:pPr>
      <w:r w:rsidRPr="00D90B14">
        <w:rPr>
          <w:rStyle w:val="katex-mathml"/>
          <w:rFonts w:ascii="Times New Roman" w:hAnsi="Times New Roman" w:cs="Times New Roman"/>
          <w:sz w:val="22"/>
          <w:szCs w:val="22"/>
        </w:rPr>
        <w:t>Emisja CO₂=35,210,940 kWh×0,822 kg CO₂/kWh\text{Emisja CO₂} = 35,210,940 \, \text{kWh} \times 0,822 \, \text{kg CO₂/kWh}</w:t>
      </w:r>
      <w:r w:rsidRPr="00D90B14">
        <w:rPr>
          <w:rStyle w:val="mord"/>
          <w:rFonts w:ascii="Times New Roman" w:hAnsi="Times New Roman" w:cs="Times New Roman"/>
          <w:sz w:val="22"/>
          <w:szCs w:val="22"/>
        </w:rPr>
        <w:t>Emisja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35</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210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940kWh</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822kg CO₂/kWh</w:t>
      </w:r>
      <w:r w:rsidRPr="00D90B14">
        <w:rPr>
          <w:rFonts w:ascii="Times New Roman" w:hAnsi="Times New Roman" w:cs="Times New Roman"/>
          <w:sz w:val="22"/>
          <w:szCs w:val="22"/>
        </w:rPr>
        <w:t xml:space="preserve"> </w:t>
      </w:r>
    </w:p>
    <w:p w:rsidR="00462E2F" w:rsidRPr="00D90B14" w:rsidRDefault="00462E2F" w:rsidP="00462E2F">
      <w:pPr>
        <w:pStyle w:val="Nagwek3"/>
        <w:rPr>
          <w:rFonts w:ascii="Times New Roman" w:hAnsi="Times New Roman" w:cs="Times New Roman"/>
          <w:color w:val="auto"/>
          <w:sz w:val="22"/>
          <w:szCs w:val="22"/>
        </w:rPr>
      </w:pPr>
      <w:r w:rsidRPr="00D90B14">
        <w:rPr>
          <w:rFonts w:ascii="Times New Roman" w:hAnsi="Times New Roman" w:cs="Times New Roman"/>
          <w:color w:val="auto"/>
          <w:sz w:val="22"/>
          <w:szCs w:val="22"/>
        </w:rPr>
        <w:t>Wynik</w:t>
      </w:r>
    </w:p>
    <w:p w:rsidR="00462E2F" w:rsidRPr="00D90B14" w:rsidRDefault="00462E2F" w:rsidP="00462E2F">
      <w:pPr>
        <w:rPr>
          <w:rFonts w:ascii="Times New Roman" w:hAnsi="Times New Roman" w:cs="Times New Roman"/>
          <w:sz w:val="22"/>
          <w:szCs w:val="22"/>
        </w:rPr>
      </w:pPr>
      <w:r w:rsidRPr="00D90B14">
        <w:rPr>
          <w:rStyle w:val="katex-mathml"/>
          <w:rFonts w:ascii="Times New Roman" w:hAnsi="Times New Roman" w:cs="Times New Roman"/>
          <w:sz w:val="22"/>
          <w:szCs w:val="22"/>
        </w:rPr>
        <w:t>Emisja CO₂=35,210,940×0,822=28,921,349,48 kg CO₂=28,92 Mg CO₂\text{Emisja CO₂} = 35,210,940 \times 0,822 = 28,921,349,48 \, \text{kg CO₂} = 28,92 \, \text{Mg CO₂}</w:t>
      </w:r>
      <w:r w:rsidRPr="00D90B14">
        <w:rPr>
          <w:rStyle w:val="mord"/>
          <w:rFonts w:ascii="Times New Roman" w:hAnsi="Times New Roman" w:cs="Times New Roman"/>
          <w:sz w:val="22"/>
          <w:szCs w:val="22"/>
        </w:rPr>
        <w:t>Emisja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35</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210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940</w:t>
      </w:r>
      <w:r w:rsidRPr="00D90B14">
        <w:rPr>
          <w:rStyle w:val="mbin"/>
          <w:rFonts w:ascii="Times New Roman" w:hAnsi="Times New Roman" w:cs="Times New Roman"/>
          <w:sz w:val="22"/>
          <w:szCs w:val="22"/>
        </w:rPr>
        <w:t>×</w:t>
      </w:r>
      <w:r w:rsidRPr="00D90B14">
        <w:rPr>
          <w:rStyle w:val="mord"/>
          <w:rFonts w:ascii="Times New Roman" w:hAnsi="Times New Roman" w:cs="Times New Roman"/>
          <w:sz w:val="22"/>
          <w:szCs w:val="22"/>
        </w:rPr>
        <w:t>0</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822</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28</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921</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349</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48kg CO₂</w:t>
      </w:r>
      <w:r w:rsidRPr="00D90B14">
        <w:rPr>
          <w:rStyle w:val="mrel"/>
          <w:rFonts w:ascii="Times New Roman" w:hAnsi="Times New Roman" w:cs="Times New Roman"/>
          <w:sz w:val="22"/>
          <w:szCs w:val="22"/>
        </w:rPr>
        <w:t>=</w:t>
      </w:r>
      <w:r w:rsidRPr="00D90B14">
        <w:rPr>
          <w:rStyle w:val="mord"/>
          <w:rFonts w:ascii="Times New Roman" w:hAnsi="Times New Roman" w:cs="Times New Roman"/>
          <w:sz w:val="22"/>
          <w:szCs w:val="22"/>
        </w:rPr>
        <w:t>28</w:t>
      </w:r>
      <w:r w:rsidRPr="00D90B14">
        <w:rPr>
          <w:rStyle w:val="mpunct"/>
          <w:rFonts w:ascii="Times New Roman" w:hAnsi="Times New Roman" w:cs="Times New Roman"/>
          <w:sz w:val="22"/>
          <w:szCs w:val="22"/>
        </w:rPr>
        <w:t>,</w:t>
      </w:r>
      <w:r w:rsidRPr="00D90B14">
        <w:rPr>
          <w:rStyle w:val="mord"/>
          <w:rFonts w:ascii="Times New Roman" w:hAnsi="Times New Roman" w:cs="Times New Roman"/>
          <w:sz w:val="22"/>
          <w:szCs w:val="22"/>
        </w:rPr>
        <w:t>92Mg CO₂</w:t>
      </w:r>
      <w:r w:rsidRPr="00D90B14">
        <w:rPr>
          <w:rFonts w:ascii="Times New Roman" w:hAnsi="Times New Roman" w:cs="Times New Roman"/>
          <w:sz w:val="22"/>
          <w:szCs w:val="22"/>
        </w:rPr>
        <w:t xml:space="preserve"> </w:t>
      </w:r>
    </w:p>
    <w:p w:rsidR="00462E2F" w:rsidRPr="00D90B14" w:rsidRDefault="00462E2F" w:rsidP="00462E2F">
      <w:pPr>
        <w:pStyle w:val="Nagwek3"/>
        <w:rPr>
          <w:rFonts w:ascii="Times New Roman" w:hAnsi="Times New Roman" w:cs="Times New Roman"/>
          <w:color w:val="auto"/>
          <w:sz w:val="22"/>
          <w:szCs w:val="22"/>
        </w:rPr>
      </w:pPr>
      <w:r w:rsidRPr="00D90B14">
        <w:rPr>
          <w:rFonts w:ascii="Times New Roman" w:hAnsi="Times New Roman" w:cs="Times New Roman"/>
          <w:color w:val="auto"/>
          <w:sz w:val="22"/>
          <w:szCs w:val="22"/>
        </w:rPr>
        <w:t>Podsumowanie:</w:t>
      </w:r>
    </w:p>
    <w:p w:rsidR="00462E2F" w:rsidRPr="00A83241" w:rsidRDefault="00462E2F" w:rsidP="00A83241">
      <w:pPr>
        <w:spacing w:before="100" w:beforeAutospacing="1" w:after="100" w:afterAutospacing="1"/>
        <w:rPr>
          <w:rFonts w:ascii="Times New Roman" w:hAnsi="Times New Roman" w:cs="Times New Roman"/>
          <w:sz w:val="22"/>
          <w:szCs w:val="22"/>
        </w:rPr>
      </w:pPr>
      <w:r w:rsidRPr="00D90B14">
        <w:rPr>
          <w:rFonts w:ascii="Times New Roman" w:hAnsi="Times New Roman" w:cs="Times New Roman"/>
          <w:sz w:val="22"/>
          <w:szCs w:val="22"/>
        </w:rPr>
        <w:t xml:space="preserve">Wielkość emisji CO₂ z oświetlenia ulicznego wynosi około </w:t>
      </w:r>
      <w:r w:rsidRPr="00D90B14">
        <w:rPr>
          <w:rStyle w:val="Pogrubienie"/>
          <w:rFonts w:ascii="Times New Roman" w:hAnsi="Times New Roman" w:cs="Times New Roman"/>
          <w:sz w:val="22"/>
          <w:szCs w:val="22"/>
        </w:rPr>
        <w:t>28,92 Mg CO₂</w:t>
      </w:r>
      <w:r w:rsidRPr="00D90B14">
        <w:rPr>
          <w:rFonts w:ascii="Times New Roman" w:hAnsi="Times New Roman" w:cs="Times New Roman"/>
          <w:sz w:val="22"/>
          <w:szCs w:val="22"/>
        </w:rPr>
        <w:t>.</w:t>
      </w:r>
    </w:p>
    <w:p w:rsidR="00B40000" w:rsidRPr="00194C4A" w:rsidRDefault="009617B3" w:rsidP="009617B3">
      <w:pPr>
        <w:pStyle w:val="Nagwek2"/>
        <w:rPr>
          <w:rFonts w:ascii="Times New Roman" w:hAnsi="Times New Roman" w:cs="Times New Roman"/>
        </w:rPr>
      </w:pPr>
      <w:bookmarkStart w:id="48" w:name="_Toc77321939"/>
      <w:r w:rsidRPr="00194C4A">
        <w:rPr>
          <w:rFonts w:ascii="Times New Roman" w:hAnsi="Times New Roman" w:cs="Times New Roman"/>
        </w:rPr>
        <w:t>2.</w:t>
      </w:r>
      <w:r w:rsidR="003A425C">
        <w:rPr>
          <w:rFonts w:ascii="Times New Roman" w:hAnsi="Times New Roman" w:cs="Times New Roman"/>
        </w:rPr>
        <w:t>3</w:t>
      </w:r>
      <w:r w:rsidR="00D90B14">
        <w:rPr>
          <w:rFonts w:ascii="Times New Roman" w:hAnsi="Times New Roman" w:cs="Times New Roman"/>
        </w:rPr>
        <w:t xml:space="preserve"> </w:t>
      </w:r>
      <w:r w:rsidR="00E56850" w:rsidRPr="00194C4A">
        <w:rPr>
          <w:rFonts w:ascii="Times New Roman" w:hAnsi="Times New Roman" w:cs="Times New Roman"/>
        </w:rPr>
        <w:t>Ocena zaopatrzenia w ciepło, energię elektryczną i paliwa gazowe</w:t>
      </w:r>
      <w:bookmarkEnd w:id="48"/>
    </w:p>
    <w:p w:rsidR="007A30A9" w:rsidRPr="00194C4A" w:rsidRDefault="009617B3" w:rsidP="009617B3">
      <w:pPr>
        <w:pStyle w:val="Nagwek3"/>
        <w:ind w:left="720" w:hanging="720"/>
        <w:rPr>
          <w:rFonts w:ascii="Times New Roman" w:hAnsi="Times New Roman" w:cs="Times New Roman"/>
        </w:rPr>
      </w:pPr>
      <w:bookmarkStart w:id="49" w:name="_Toc77321940"/>
      <w:r w:rsidRPr="00194C4A">
        <w:rPr>
          <w:rFonts w:ascii="Times New Roman" w:hAnsi="Times New Roman" w:cs="Times New Roman"/>
        </w:rPr>
        <w:t>2.</w:t>
      </w:r>
      <w:r w:rsidR="003A425C">
        <w:rPr>
          <w:rFonts w:ascii="Times New Roman" w:hAnsi="Times New Roman" w:cs="Times New Roman"/>
        </w:rPr>
        <w:t>3</w:t>
      </w:r>
      <w:r w:rsidRPr="00194C4A">
        <w:rPr>
          <w:rFonts w:ascii="Times New Roman" w:hAnsi="Times New Roman" w:cs="Times New Roman"/>
        </w:rPr>
        <w:t xml:space="preserve">.1 </w:t>
      </w:r>
      <w:r w:rsidR="007A30A9" w:rsidRPr="00194C4A">
        <w:rPr>
          <w:rFonts w:ascii="Times New Roman" w:hAnsi="Times New Roman" w:cs="Times New Roman"/>
        </w:rPr>
        <w:t>Bezpieczeństwo dostaw energii cieplnej</w:t>
      </w:r>
      <w:bookmarkEnd w:id="49"/>
    </w:p>
    <w:p w:rsidR="007A30A9" w:rsidRPr="00194C4A" w:rsidRDefault="00872F4B" w:rsidP="007A30A9">
      <w:pPr>
        <w:pStyle w:val="tekst"/>
        <w:rPr>
          <w:rFonts w:cs="Times New Roman"/>
        </w:rPr>
      </w:pPr>
      <w:r>
        <w:rPr>
          <w:rFonts w:cs="Times New Roman"/>
        </w:rPr>
        <w:t xml:space="preserve">W gminie </w:t>
      </w:r>
      <w:r w:rsidR="00462E2F">
        <w:rPr>
          <w:rFonts w:cs="Times New Roman"/>
        </w:rPr>
        <w:t>Wieliczki</w:t>
      </w:r>
      <w:r>
        <w:rPr>
          <w:rFonts w:cs="Times New Roman"/>
        </w:rPr>
        <w:t xml:space="preserve"> n</w:t>
      </w:r>
      <w:r w:rsidR="00695DCA" w:rsidRPr="00194C4A">
        <w:rPr>
          <w:rFonts w:cs="Times New Roman"/>
        </w:rPr>
        <w:t>ie występuje zagrożenie zaprzestania dostaw energii cieplnej.</w:t>
      </w:r>
      <w:r w:rsidR="009C1E0B" w:rsidRPr="00194C4A">
        <w:rPr>
          <w:rFonts w:cs="Times New Roman"/>
        </w:rPr>
        <w:t xml:space="preserve"> Większość budynków i</w:t>
      </w:r>
      <w:r w:rsidR="0018465B" w:rsidRPr="00194C4A">
        <w:rPr>
          <w:rFonts w:cs="Times New Roman"/>
        </w:rPr>
        <w:t> </w:t>
      </w:r>
      <w:r w:rsidR="009C1E0B" w:rsidRPr="00194C4A">
        <w:rPr>
          <w:rFonts w:cs="Times New Roman"/>
        </w:rPr>
        <w:t>mieszkańców na terenie gminy zaopatrywana jest ze źródeł indywidualnych. Ciepło wytwarzane jest lokalnie i nie ma zagrożenia dla ich dostaw. Potencjalnym zagrożeniem jest wzrost cen paliw wykorzystywanych przy produkcji ciepła ze źródeł indywidualnych oraz zjawisko tzw. ubóstwa energetycznego</w:t>
      </w:r>
      <w:r w:rsidR="00774B58" w:rsidRPr="00194C4A">
        <w:rPr>
          <w:rFonts w:cs="Times New Roman"/>
        </w:rPr>
        <w:t>. Ubóstwo energetyczne powstaje na skutek nałożenia się przynajmniej dwóch z poniższych czynników: niskiej jakości tkanki mieszkaniowej, niskich lub skrajnie niskich dochodów oraz dużej powierzchni mieszkalnej. Zamieszkiwanie w złej jakości budynkach połączone z niskimi dochodami jest charakterystyczne dla wybranych mieszkańców</w:t>
      </w:r>
      <w:r>
        <w:rPr>
          <w:rFonts w:cs="Times New Roman"/>
        </w:rPr>
        <w:t>,</w:t>
      </w:r>
      <w:r w:rsidR="00774B58" w:rsidRPr="00194C4A">
        <w:rPr>
          <w:rFonts w:cs="Times New Roman"/>
        </w:rPr>
        <w:t xml:space="preserve"> zarówno miast</w:t>
      </w:r>
      <w:r>
        <w:rPr>
          <w:rFonts w:cs="Times New Roman"/>
        </w:rPr>
        <w:t>,</w:t>
      </w:r>
      <w:r w:rsidR="00774B58" w:rsidRPr="00194C4A">
        <w:rPr>
          <w:rFonts w:cs="Times New Roman"/>
        </w:rPr>
        <w:t xml:space="preserve"> jak i wsi. Z jednej strony dotyczy gospodarstw domowych zajmujących niewielkie lokale w przedwojennych kamienicach, zlokalizowane w enklawach biedy, z drugiej zaś ubogich mieszkańców wsi mieszkających w starych domach i zabudowaniach popegeerowskich. Źródło ubóstwa energetycznego tego rodzaju należy wiązać z procesami zachodzącymi od lat 90. XX wieku. Trwałe pogorszenie sytuacji na lokalnych rynkach pracy, na skutek upadku państwowych przedsiębiorstw i gospodarstw rolnych stanowi główną przyczyną obecnych problemów mieszkaniowych i energetycznych. Ograniczona aktywność państwa oraz samorządów w zakresie poprawy efektywności energetycznej zasobu mieszkaniowego spowodowała, że pogorszenie sytuacji na rynku pracy zostało utrwalone w jakości tkanki mieszkaniowej. Inny charakter ma ubóstwo energetyczne gospodarstw mieszkających w dużych domach, których mieszkańcy nie narzekają na brak komfortu cieplnego i nie doświadczają skrajnej deprywacji materialnej, ale zaspokojenie przez nich potrzeb energetycznych stanowi poważne obciążenie dla budżetu domowego. Dotyka ono przede wszystkim rodzin z dziećmi w domach wolnostojących na wsi, gdzie duży metraż koresponduje z dużą liczebnością gospodarstwa, </w:t>
      </w:r>
      <w:r w:rsidR="00774B58" w:rsidRPr="00194C4A">
        <w:rPr>
          <w:rFonts w:cs="Times New Roman"/>
        </w:rPr>
        <w:lastRenderedPageBreak/>
        <w:t>ale wiąże się również ze stosunkowo niskimi dochodami w przeliczeniu na osobę w gospodarstwie domowym.</w:t>
      </w:r>
    </w:p>
    <w:p w:rsidR="00774B58" w:rsidRPr="00194C4A" w:rsidRDefault="00774B58" w:rsidP="007A30A9">
      <w:pPr>
        <w:pStyle w:val="tekst"/>
        <w:rPr>
          <w:rFonts w:cs="Times New Roman"/>
        </w:rPr>
      </w:pPr>
      <w:r w:rsidRPr="00194C4A">
        <w:rPr>
          <w:rFonts w:cs="Times New Roman"/>
        </w:rPr>
        <w:t>Po przeanalizowaniu danych statystycznych dot. struktury budynków można wysn</w:t>
      </w:r>
      <w:r w:rsidR="00872F4B">
        <w:rPr>
          <w:rFonts w:cs="Times New Roman"/>
        </w:rPr>
        <w:t>u</w:t>
      </w:r>
      <w:r w:rsidRPr="00194C4A">
        <w:rPr>
          <w:rFonts w:cs="Times New Roman"/>
        </w:rPr>
        <w:t>ć wniosek</w:t>
      </w:r>
      <w:r w:rsidR="00872F4B">
        <w:rPr>
          <w:rFonts w:cs="Times New Roman"/>
        </w:rPr>
        <w:t>,</w:t>
      </w:r>
      <w:r w:rsidRPr="00194C4A">
        <w:rPr>
          <w:rFonts w:cs="Times New Roman"/>
        </w:rPr>
        <w:t xml:space="preserve"> iż </w:t>
      </w:r>
      <w:r w:rsidR="00872F4B">
        <w:rPr>
          <w:rFonts w:cs="Times New Roman"/>
        </w:rPr>
        <w:t xml:space="preserve">są to </w:t>
      </w:r>
      <w:r w:rsidRPr="00194C4A">
        <w:rPr>
          <w:rFonts w:cs="Times New Roman"/>
        </w:rPr>
        <w:t>zjawisk</w:t>
      </w:r>
      <w:r w:rsidR="00872F4B">
        <w:rPr>
          <w:rFonts w:cs="Times New Roman"/>
        </w:rPr>
        <w:t>a</w:t>
      </w:r>
      <w:r w:rsidRPr="00194C4A">
        <w:rPr>
          <w:rFonts w:cs="Times New Roman"/>
        </w:rPr>
        <w:t xml:space="preserve"> obecne również na terenie Gminy </w:t>
      </w:r>
      <w:r w:rsidR="00462E2F">
        <w:rPr>
          <w:rFonts w:cs="Times New Roman"/>
        </w:rPr>
        <w:t>Wieliczki</w:t>
      </w:r>
      <w:r w:rsidRPr="00194C4A">
        <w:rPr>
          <w:rFonts w:cs="Times New Roman"/>
        </w:rPr>
        <w:t>.</w:t>
      </w:r>
    </w:p>
    <w:p w:rsidR="00E56850" w:rsidRPr="00194C4A" w:rsidRDefault="009617B3" w:rsidP="009617B3">
      <w:pPr>
        <w:pStyle w:val="Nagwek3"/>
        <w:ind w:left="720" w:hanging="720"/>
        <w:rPr>
          <w:rFonts w:ascii="Times New Roman" w:hAnsi="Times New Roman" w:cs="Times New Roman"/>
        </w:rPr>
      </w:pPr>
      <w:bookmarkStart w:id="50" w:name="_Toc77321941"/>
      <w:r w:rsidRPr="00194C4A">
        <w:rPr>
          <w:rFonts w:ascii="Times New Roman" w:hAnsi="Times New Roman" w:cs="Times New Roman"/>
        </w:rPr>
        <w:t>2.</w:t>
      </w:r>
      <w:r w:rsidR="003A425C">
        <w:rPr>
          <w:rFonts w:ascii="Times New Roman" w:hAnsi="Times New Roman" w:cs="Times New Roman"/>
        </w:rPr>
        <w:t>3</w:t>
      </w:r>
      <w:r w:rsidRPr="00194C4A">
        <w:rPr>
          <w:rFonts w:ascii="Times New Roman" w:hAnsi="Times New Roman" w:cs="Times New Roman"/>
        </w:rPr>
        <w:t xml:space="preserve">.2 </w:t>
      </w:r>
      <w:r w:rsidR="00E56850" w:rsidRPr="00194C4A">
        <w:rPr>
          <w:rFonts w:ascii="Times New Roman" w:hAnsi="Times New Roman" w:cs="Times New Roman"/>
        </w:rPr>
        <w:t>Bezpieczeństwo dostaw energii elektrycznej</w:t>
      </w:r>
      <w:bookmarkEnd w:id="50"/>
    </w:p>
    <w:p w:rsidR="00E56850" w:rsidRPr="00194C4A" w:rsidRDefault="00E56850" w:rsidP="00E56850">
      <w:pPr>
        <w:pStyle w:val="tekst"/>
        <w:rPr>
          <w:rFonts w:cs="Times New Roman"/>
        </w:rPr>
      </w:pPr>
      <w:r w:rsidRPr="00194C4A">
        <w:rPr>
          <w:rFonts w:cs="Times New Roman"/>
        </w:rPr>
        <w:t>Problem z dostawami energii elektrycznej może być spowodowany niedostatecznym rozwojem infrastruktury sieciowej lub przyczynami niezależnymi</w:t>
      </w:r>
      <w:r w:rsidR="00872F4B">
        <w:rPr>
          <w:rFonts w:cs="Times New Roman"/>
        </w:rPr>
        <w:t>,</w:t>
      </w:r>
      <w:r w:rsidRPr="00194C4A">
        <w:rPr>
          <w:rFonts w:cs="Times New Roman"/>
        </w:rPr>
        <w:t xml:space="preserve"> jak np. katastrofy, zjawiska pogodowe. Minimalizacja potencjalnego wpływu zjawisk pogodowych na zasilanie w energi</w:t>
      </w:r>
      <w:r w:rsidR="009D2BFF" w:rsidRPr="00194C4A">
        <w:rPr>
          <w:rFonts w:cs="Times New Roman"/>
        </w:rPr>
        <w:t xml:space="preserve">ę </w:t>
      </w:r>
      <w:r w:rsidRPr="00194C4A">
        <w:rPr>
          <w:rFonts w:cs="Times New Roman"/>
        </w:rPr>
        <w:t xml:space="preserve">elektryczną może </w:t>
      </w:r>
      <w:r w:rsidR="00872F4B">
        <w:rPr>
          <w:rFonts w:cs="Times New Roman"/>
        </w:rPr>
        <w:t xml:space="preserve">nastąpić </w:t>
      </w:r>
      <w:r w:rsidRPr="00194C4A">
        <w:rPr>
          <w:rFonts w:cs="Times New Roman"/>
        </w:rPr>
        <w:t xml:space="preserve">m.in. poprzez budowę sieci elektroenergetycznej w sposób pierścieniowy, z zapewnieniem dostaw z różnych kierunków. </w:t>
      </w:r>
    </w:p>
    <w:p w:rsidR="00E56850" w:rsidRPr="00194C4A" w:rsidRDefault="00E56850" w:rsidP="00E56850">
      <w:pPr>
        <w:pStyle w:val="tekst"/>
        <w:rPr>
          <w:rFonts w:cs="Times New Roman"/>
        </w:rPr>
      </w:pPr>
      <w:r w:rsidRPr="00194C4A">
        <w:rPr>
          <w:rFonts w:cs="Times New Roman"/>
        </w:rPr>
        <w:t>Miejscowo występujący problem z możliwością przyłączenia się do sieci dystrybucyjnej spowodowany jest niedostatecznym rozwojem sieci w stosunku do potrzeb</w:t>
      </w:r>
      <w:r w:rsidR="00872F4B">
        <w:rPr>
          <w:rFonts w:cs="Times New Roman"/>
        </w:rPr>
        <w:t>. B</w:t>
      </w:r>
      <w:r w:rsidRPr="00194C4A">
        <w:rPr>
          <w:rFonts w:cs="Times New Roman"/>
        </w:rPr>
        <w:t xml:space="preserve">rak możliwości przyłączenia nowych odbiorców o wysokim zapotrzebowaniu na moc do istniejących linii jest skutkiem wysokiego obciążenia istniejącej infrastruktury elektroenergetycznej. </w:t>
      </w:r>
    </w:p>
    <w:p w:rsidR="00774B58" w:rsidRPr="00194C4A" w:rsidRDefault="00774B58" w:rsidP="00E56850">
      <w:pPr>
        <w:pStyle w:val="tekst"/>
        <w:rPr>
          <w:rFonts w:cs="Times New Roman"/>
        </w:rPr>
      </w:pPr>
      <w:r w:rsidRPr="00194C4A">
        <w:rPr>
          <w:rFonts w:cs="Times New Roman"/>
        </w:rPr>
        <w:t>W przyszłości ten problem będzie się zwiększał w wyniku stosowania w większej ilości niestabilnych odnawialnych źródeł energii czy pojazdów zasilanych elektrycznie.</w:t>
      </w:r>
    </w:p>
    <w:p w:rsidR="009C1E0B" w:rsidRPr="00194C4A" w:rsidRDefault="009617B3" w:rsidP="009617B3">
      <w:pPr>
        <w:pStyle w:val="Nagwek3"/>
        <w:ind w:left="720" w:hanging="720"/>
        <w:rPr>
          <w:rFonts w:ascii="Times New Roman" w:hAnsi="Times New Roman" w:cs="Times New Roman"/>
        </w:rPr>
      </w:pPr>
      <w:bookmarkStart w:id="51" w:name="_Toc77321942"/>
      <w:r w:rsidRPr="00194C4A">
        <w:rPr>
          <w:rFonts w:ascii="Times New Roman" w:hAnsi="Times New Roman" w:cs="Times New Roman"/>
        </w:rPr>
        <w:t>2.</w:t>
      </w:r>
      <w:r w:rsidR="003A425C">
        <w:rPr>
          <w:rFonts w:ascii="Times New Roman" w:hAnsi="Times New Roman" w:cs="Times New Roman"/>
        </w:rPr>
        <w:t>3</w:t>
      </w:r>
      <w:r w:rsidRPr="00194C4A">
        <w:rPr>
          <w:rFonts w:ascii="Times New Roman" w:hAnsi="Times New Roman" w:cs="Times New Roman"/>
        </w:rPr>
        <w:t xml:space="preserve">.3 </w:t>
      </w:r>
      <w:r w:rsidR="009C1E0B" w:rsidRPr="00194C4A">
        <w:rPr>
          <w:rFonts w:ascii="Times New Roman" w:hAnsi="Times New Roman" w:cs="Times New Roman"/>
        </w:rPr>
        <w:t>Bezpieczeństwo dostaw gazu ziemnego</w:t>
      </w:r>
      <w:bookmarkEnd w:id="51"/>
    </w:p>
    <w:p w:rsidR="00616C3D" w:rsidRPr="00194C4A" w:rsidRDefault="009C1E0B" w:rsidP="009C1E0B">
      <w:pPr>
        <w:pStyle w:val="tekst"/>
        <w:rPr>
          <w:rFonts w:cs="Times New Roman"/>
        </w:rPr>
      </w:pPr>
      <w:r w:rsidRPr="00194C4A">
        <w:rPr>
          <w:rFonts w:cs="Times New Roman"/>
        </w:rPr>
        <w:t xml:space="preserve">Należy zauważyć, że obecnie istniejąca infrastruktura gazowa jest dla zapewnienia dostaw gazu dla obecnych odbiorców wystarczająca i posiada znaczne rezerwy, możliwe do wykorzystania w przypadku pojawienia się nowych odbiorców i rozbudowy sieci. </w:t>
      </w:r>
    </w:p>
    <w:p w:rsidR="009C1E0B" w:rsidRPr="00194C4A" w:rsidRDefault="00616C3D" w:rsidP="00616C3D">
      <w:pPr>
        <w:spacing w:after="0" w:line="240" w:lineRule="auto"/>
        <w:rPr>
          <w:rFonts w:ascii="Times New Roman" w:hAnsi="Times New Roman" w:cs="Times New Roman"/>
          <w:sz w:val="24"/>
          <w:szCs w:val="20"/>
        </w:rPr>
      </w:pPr>
      <w:r w:rsidRPr="00194C4A">
        <w:rPr>
          <w:rFonts w:ascii="Times New Roman" w:hAnsi="Times New Roman" w:cs="Times New Roman"/>
        </w:rPr>
        <w:br w:type="page"/>
      </w:r>
    </w:p>
    <w:p w:rsidR="0037670E" w:rsidRPr="00194C4A" w:rsidRDefault="009617B3" w:rsidP="009617B3">
      <w:pPr>
        <w:pStyle w:val="Nagwek1"/>
        <w:ind w:left="432" w:hanging="432"/>
        <w:rPr>
          <w:rFonts w:ascii="Times New Roman" w:hAnsi="Times New Roman" w:cs="Times New Roman"/>
        </w:rPr>
      </w:pPr>
      <w:bookmarkStart w:id="52" w:name="_Toc77321943"/>
      <w:r w:rsidRPr="00194C4A">
        <w:rPr>
          <w:rFonts w:ascii="Times New Roman" w:hAnsi="Times New Roman" w:cs="Times New Roman"/>
        </w:rPr>
        <w:lastRenderedPageBreak/>
        <w:t>3</w:t>
      </w:r>
      <w:r w:rsidR="00194C4A" w:rsidRPr="00194C4A">
        <w:rPr>
          <w:rFonts w:ascii="Times New Roman" w:hAnsi="Times New Roman" w:cs="Times New Roman"/>
        </w:rPr>
        <w:t>.</w:t>
      </w:r>
      <w:r w:rsidR="00382E22" w:rsidRPr="00194C4A">
        <w:rPr>
          <w:rFonts w:ascii="Times New Roman" w:hAnsi="Times New Roman" w:cs="Times New Roman"/>
        </w:rPr>
        <w:t>Uwarunkowania</w:t>
      </w:r>
      <w:r w:rsidR="00B40000" w:rsidRPr="00194C4A">
        <w:rPr>
          <w:rFonts w:ascii="Times New Roman" w:hAnsi="Times New Roman" w:cs="Times New Roman"/>
        </w:rPr>
        <w:t xml:space="preserve"> planowania energetycznego w gminie</w:t>
      </w:r>
      <w:bookmarkEnd w:id="52"/>
    </w:p>
    <w:p w:rsidR="00B40000" w:rsidRPr="00194C4A" w:rsidRDefault="00B40000" w:rsidP="00382E22">
      <w:pPr>
        <w:pStyle w:val="tekst"/>
        <w:rPr>
          <w:rFonts w:cs="Times New Roman"/>
        </w:rPr>
      </w:pPr>
      <w:r w:rsidRPr="00194C4A">
        <w:rPr>
          <w:rFonts w:cs="Times New Roman"/>
        </w:rPr>
        <w:t>Planowanie energetyczne sprowadza się do przedstawienia koncepcji sposobu zaopatrzenia w</w:t>
      </w:r>
      <w:r w:rsidR="00616C3D" w:rsidRPr="00194C4A">
        <w:rPr>
          <w:rFonts w:cs="Times New Roman"/>
        </w:rPr>
        <w:t> </w:t>
      </w:r>
      <w:r w:rsidRPr="00194C4A">
        <w:rPr>
          <w:rFonts w:cs="Times New Roman"/>
        </w:rPr>
        <w:t>energię użytkowników. Przy planowaniu należy brać pod uwagę:</w:t>
      </w:r>
    </w:p>
    <w:p w:rsidR="00B40000" w:rsidRPr="00194C4A" w:rsidRDefault="00B40000" w:rsidP="008A40A2">
      <w:pPr>
        <w:pStyle w:val="tekst"/>
        <w:numPr>
          <w:ilvl w:val="0"/>
          <w:numId w:val="10"/>
        </w:numPr>
        <w:rPr>
          <w:rFonts w:cs="Times New Roman"/>
        </w:rPr>
      </w:pPr>
      <w:r w:rsidRPr="00194C4A">
        <w:rPr>
          <w:rFonts w:cs="Times New Roman"/>
        </w:rPr>
        <w:t>aktualny stan infrastruktury energetycznej,</w:t>
      </w:r>
    </w:p>
    <w:p w:rsidR="00B40000" w:rsidRPr="00194C4A" w:rsidRDefault="00B40000" w:rsidP="008A40A2">
      <w:pPr>
        <w:pStyle w:val="tekst"/>
        <w:numPr>
          <w:ilvl w:val="0"/>
          <w:numId w:val="10"/>
        </w:numPr>
        <w:rPr>
          <w:rFonts w:cs="Times New Roman"/>
        </w:rPr>
      </w:pPr>
      <w:r w:rsidRPr="00194C4A">
        <w:rPr>
          <w:rFonts w:cs="Times New Roman"/>
        </w:rPr>
        <w:t>obecny sposób zaopatrzenia w energię,</w:t>
      </w:r>
    </w:p>
    <w:p w:rsidR="00382E22" w:rsidRPr="00194C4A" w:rsidRDefault="00382E22" w:rsidP="008A40A2">
      <w:pPr>
        <w:pStyle w:val="tekst"/>
        <w:numPr>
          <w:ilvl w:val="0"/>
          <w:numId w:val="10"/>
        </w:numPr>
        <w:rPr>
          <w:rFonts w:cs="Times New Roman"/>
        </w:rPr>
      </w:pPr>
      <w:r w:rsidRPr="00194C4A">
        <w:rPr>
          <w:rFonts w:cs="Times New Roman"/>
        </w:rPr>
        <w:t>możliwości rozwoju infrastruktury energetycznej,</w:t>
      </w:r>
    </w:p>
    <w:p w:rsidR="00382E22" w:rsidRPr="00194C4A" w:rsidRDefault="00382E22" w:rsidP="008A40A2">
      <w:pPr>
        <w:pStyle w:val="tekst"/>
        <w:numPr>
          <w:ilvl w:val="0"/>
          <w:numId w:val="10"/>
        </w:numPr>
        <w:rPr>
          <w:rFonts w:cs="Times New Roman"/>
        </w:rPr>
      </w:pPr>
      <w:r w:rsidRPr="00194C4A">
        <w:rPr>
          <w:rFonts w:cs="Times New Roman"/>
        </w:rPr>
        <w:t>przewidywane zmiany w zapotrzebowaniu na energię, w tym ocenę rozwoju gminy,</w:t>
      </w:r>
    </w:p>
    <w:p w:rsidR="00382E22" w:rsidRPr="00194C4A" w:rsidRDefault="00382E22" w:rsidP="008A40A2">
      <w:pPr>
        <w:pStyle w:val="tekst"/>
        <w:numPr>
          <w:ilvl w:val="0"/>
          <w:numId w:val="10"/>
        </w:numPr>
        <w:rPr>
          <w:rFonts w:cs="Times New Roman"/>
        </w:rPr>
      </w:pPr>
      <w:r w:rsidRPr="00194C4A">
        <w:rPr>
          <w:rFonts w:cs="Times New Roman"/>
        </w:rPr>
        <w:t>aktualne i przewidywane uwarunkowania prawne i technologiczne,</w:t>
      </w:r>
    </w:p>
    <w:p w:rsidR="00382E22" w:rsidRPr="00194C4A" w:rsidRDefault="00382E22" w:rsidP="008A40A2">
      <w:pPr>
        <w:pStyle w:val="tekst"/>
        <w:numPr>
          <w:ilvl w:val="0"/>
          <w:numId w:val="10"/>
        </w:numPr>
        <w:rPr>
          <w:rFonts w:cs="Times New Roman"/>
        </w:rPr>
      </w:pPr>
      <w:r w:rsidRPr="00194C4A">
        <w:rPr>
          <w:rFonts w:cs="Times New Roman"/>
        </w:rPr>
        <w:t>posiadane zasoby energetyczne,</w:t>
      </w:r>
    </w:p>
    <w:p w:rsidR="00382E22" w:rsidRPr="00194C4A" w:rsidRDefault="00382E22" w:rsidP="008A40A2">
      <w:pPr>
        <w:pStyle w:val="tekst"/>
        <w:numPr>
          <w:ilvl w:val="0"/>
          <w:numId w:val="10"/>
        </w:numPr>
        <w:rPr>
          <w:rFonts w:cs="Times New Roman"/>
        </w:rPr>
      </w:pPr>
      <w:r w:rsidRPr="00194C4A">
        <w:rPr>
          <w:rFonts w:cs="Times New Roman"/>
        </w:rPr>
        <w:t>uwarunkowania społeczne i ekonomiczne.</w:t>
      </w:r>
    </w:p>
    <w:p w:rsidR="00BD314A" w:rsidRPr="00194C4A" w:rsidRDefault="009617B3" w:rsidP="009617B3">
      <w:pPr>
        <w:pStyle w:val="Nagwek2"/>
        <w:rPr>
          <w:rFonts w:ascii="Times New Roman" w:hAnsi="Times New Roman" w:cs="Times New Roman"/>
        </w:rPr>
      </w:pPr>
      <w:bookmarkStart w:id="53" w:name="_Toc77321944"/>
      <w:bookmarkStart w:id="54" w:name="_Toc419273661"/>
      <w:r w:rsidRPr="00194C4A">
        <w:rPr>
          <w:rFonts w:ascii="Times New Roman" w:hAnsi="Times New Roman" w:cs="Times New Roman"/>
        </w:rPr>
        <w:t xml:space="preserve">3.1 </w:t>
      </w:r>
      <w:r w:rsidR="00BD314A" w:rsidRPr="00194C4A">
        <w:rPr>
          <w:rFonts w:ascii="Times New Roman" w:hAnsi="Times New Roman" w:cs="Times New Roman"/>
        </w:rPr>
        <w:t>Przedsięwzięcia racjonalizujące wykorzystanie energii</w:t>
      </w:r>
      <w:bookmarkEnd w:id="53"/>
    </w:p>
    <w:p w:rsidR="00BD314A" w:rsidRPr="00194C4A" w:rsidRDefault="00BD314A" w:rsidP="00BD314A">
      <w:pPr>
        <w:pStyle w:val="tekst"/>
        <w:rPr>
          <w:rFonts w:cs="Times New Roman"/>
        </w:rPr>
      </w:pPr>
      <w:r w:rsidRPr="00194C4A">
        <w:rPr>
          <w:rFonts w:cs="Times New Roman"/>
        </w:rPr>
        <w:t>Jednym z warunków postępu i bezpieczeństwa energetycznego jest dążenie do zmniejszenia zużycia i racjonalnego wykorzystania nośników energii. Spowodowane jest to takimi cechami nośników energii jak:</w:t>
      </w:r>
    </w:p>
    <w:p w:rsidR="00BD314A" w:rsidRPr="00194C4A" w:rsidRDefault="00BD314A" w:rsidP="00902E94">
      <w:pPr>
        <w:pStyle w:val="tekst"/>
        <w:numPr>
          <w:ilvl w:val="0"/>
          <w:numId w:val="1"/>
        </w:numPr>
        <w:ind w:left="426"/>
        <w:rPr>
          <w:rFonts w:cs="Times New Roman"/>
        </w:rPr>
      </w:pPr>
      <w:r w:rsidRPr="00194C4A">
        <w:rPr>
          <w:rFonts w:cs="Times New Roman"/>
        </w:rPr>
        <w:t>ograniczoność zasobów,</w:t>
      </w:r>
    </w:p>
    <w:p w:rsidR="00BD314A" w:rsidRPr="00194C4A" w:rsidRDefault="00BD314A" w:rsidP="00902E94">
      <w:pPr>
        <w:pStyle w:val="tekst"/>
        <w:numPr>
          <w:ilvl w:val="0"/>
          <w:numId w:val="1"/>
        </w:numPr>
        <w:ind w:left="426"/>
        <w:rPr>
          <w:rFonts w:cs="Times New Roman"/>
        </w:rPr>
      </w:pPr>
      <w:r w:rsidRPr="00194C4A">
        <w:rPr>
          <w:rFonts w:cs="Times New Roman"/>
        </w:rPr>
        <w:t>utrudniony dostęp do paliw,</w:t>
      </w:r>
    </w:p>
    <w:p w:rsidR="00BD314A" w:rsidRPr="00194C4A" w:rsidRDefault="00BD314A" w:rsidP="00902E94">
      <w:pPr>
        <w:pStyle w:val="tekst"/>
        <w:numPr>
          <w:ilvl w:val="0"/>
          <w:numId w:val="1"/>
        </w:numPr>
        <w:ind w:left="426"/>
        <w:rPr>
          <w:rFonts w:cs="Times New Roman"/>
        </w:rPr>
      </w:pPr>
      <w:r w:rsidRPr="00194C4A">
        <w:rPr>
          <w:rFonts w:cs="Times New Roman"/>
        </w:rPr>
        <w:t>wzrostowa tendencja cen paliw w długiej perspektywie,</w:t>
      </w:r>
    </w:p>
    <w:p w:rsidR="00BD314A" w:rsidRPr="00194C4A" w:rsidRDefault="00BD314A" w:rsidP="00902E94">
      <w:pPr>
        <w:pStyle w:val="tekst"/>
        <w:numPr>
          <w:ilvl w:val="0"/>
          <w:numId w:val="1"/>
        </w:numPr>
        <w:ind w:left="426"/>
        <w:rPr>
          <w:rFonts w:cs="Times New Roman"/>
        </w:rPr>
      </w:pPr>
      <w:r w:rsidRPr="00194C4A">
        <w:rPr>
          <w:rFonts w:cs="Times New Roman"/>
        </w:rPr>
        <w:t>zanieczyszczenie środowiska spowodowane procesami spalania paliw kopalnych.</w:t>
      </w:r>
    </w:p>
    <w:p w:rsidR="00BD314A" w:rsidRPr="00194C4A" w:rsidRDefault="00BD314A" w:rsidP="00BD314A">
      <w:pPr>
        <w:pStyle w:val="tekst"/>
        <w:rPr>
          <w:rFonts w:cs="Times New Roman"/>
        </w:rPr>
      </w:pPr>
      <w:r w:rsidRPr="00194C4A">
        <w:rPr>
          <w:rFonts w:cs="Times New Roman"/>
        </w:rPr>
        <w:t xml:space="preserve">Udział sektora bytowo-komunalnego w Polsce w ogólnym wykorzystaniu zasobów energetycznych wynosi ok. 40%, </w:t>
      </w:r>
      <w:r w:rsidR="00DD6FEF" w:rsidRPr="00194C4A">
        <w:rPr>
          <w:rFonts w:cs="Times New Roman"/>
        </w:rPr>
        <w:t>z czego 36% przypada na budynki</w:t>
      </w:r>
      <w:r w:rsidRPr="00194C4A">
        <w:rPr>
          <w:rFonts w:cs="Times New Roman"/>
        </w:rPr>
        <w:t xml:space="preserve"> przy czym ok. 30% przypada na budynki mieszkalne, a reszta na budynki użyteczności publicznej. </w:t>
      </w:r>
      <w:r w:rsidR="00774B58" w:rsidRPr="00194C4A">
        <w:rPr>
          <w:rFonts w:cs="Times New Roman"/>
        </w:rPr>
        <w:t xml:space="preserve">W gminie </w:t>
      </w:r>
      <w:r w:rsidR="008F0A1A">
        <w:rPr>
          <w:rFonts w:cs="Times New Roman"/>
        </w:rPr>
        <w:t xml:space="preserve">Wieliczki </w:t>
      </w:r>
      <w:r w:rsidR="00774B58" w:rsidRPr="00194C4A">
        <w:rPr>
          <w:rFonts w:cs="Times New Roman"/>
        </w:rPr>
        <w:t xml:space="preserve">najbardziej energochłonnym sektorem jest mieszkalnictwo. </w:t>
      </w:r>
      <w:r w:rsidRPr="00194C4A">
        <w:rPr>
          <w:rFonts w:cs="Times New Roman"/>
        </w:rPr>
        <w:t>W chwili obecnej sektor bytowo</w:t>
      </w:r>
      <w:r w:rsidR="009D2BFF" w:rsidRPr="00194C4A">
        <w:rPr>
          <w:rFonts w:cs="Times New Roman"/>
        </w:rPr>
        <w:t>-</w:t>
      </w:r>
      <w:r w:rsidRPr="00194C4A">
        <w:rPr>
          <w:rFonts w:cs="Times New Roman"/>
        </w:rPr>
        <w:t>komunalny zużywa nadmierne ilości energii.</w:t>
      </w:r>
    </w:p>
    <w:p w:rsidR="00BD314A" w:rsidRPr="00194C4A" w:rsidRDefault="00BD314A" w:rsidP="00BD314A">
      <w:pPr>
        <w:pStyle w:val="tekst"/>
        <w:rPr>
          <w:rFonts w:cs="Times New Roman"/>
        </w:rPr>
      </w:pPr>
      <w:r w:rsidRPr="00194C4A">
        <w:rPr>
          <w:rFonts w:cs="Times New Roman"/>
        </w:rPr>
        <w:t xml:space="preserve">Do podstawowych strategicznych założeń mających na celu racjonalizację użytkowania ciepła, energii elektrycznej i paliw gazowych na obszarze </w:t>
      </w:r>
      <w:r w:rsidR="00D0422C" w:rsidRPr="00194C4A">
        <w:rPr>
          <w:rFonts w:cs="Times New Roman"/>
        </w:rPr>
        <w:t>gminy</w:t>
      </w:r>
      <w:r w:rsidR="008F0A1A">
        <w:rPr>
          <w:rFonts w:cs="Times New Roman"/>
        </w:rPr>
        <w:t xml:space="preserve"> Wieliczki </w:t>
      </w:r>
      <w:r w:rsidRPr="00194C4A">
        <w:rPr>
          <w:rFonts w:cs="Times New Roman"/>
        </w:rPr>
        <w:t>należy zaliczyć:</w:t>
      </w:r>
    </w:p>
    <w:p w:rsidR="00BD314A" w:rsidRPr="00194C4A" w:rsidRDefault="00774B58" w:rsidP="00902E94">
      <w:pPr>
        <w:pStyle w:val="tekst"/>
        <w:numPr>
          <w:ilvl w:val="0"/>
          <w:numId w:val="2"/>
        </w:numPr>
        <w:ind w:left="426"/>
        <w:rPr>
          <w:rFonts w:cs="Times New Roman"/>
          <w:szCs w:val="24"/>
        </w:rPr>
      </w:pPr>
      <w:r w:rsidRPr="00194C4A">
        <w:rPr>
          <w:rFonts w:cs="Times New Roman"/>
        </w:rPr>
        <w:t>zmniejszenie energochłonności budynków mieszkalnych w szczególności jednorodzinnych</w:t>
      </w:r>
      <w:r w:rsidR="00CB3BAC">
        <w:rPr>
          <w:rFonts w:cs="Times New Roman"/>
        </w:rPr>
        <w:t>,</w:t>
      </w:r>
    </w:p>
    <w:p w:rsidR="00BD314A" w:rsidRPr="00194C4A" w:rsidRDefault="00BD314A" w:rsidP="005136C8">
      <w:pPr>
        <w:pStyle w:val="tekst"/>
        <w:ind w:left="426"/>
        <w:rPr>
          <w:rFonts w:cs="Times New Roman"/>
          <w:sz w:val="2"/>
          <w:szCs w:val="2"/>
        </w:rPr>
      </w:pPr>
    </w:p>
    <w:p w:rsidR="00BD314A" w:rsidRPr="00194C4A" w:rsidRDefault="00BD314A" w:rsidP="00902E94">
      <w:pPr>
        <w:pStyle w:val="tekst"/>
        <w:numPr>
          <w:ilvl w:val="0"/>
          <w:numId w:val="2"/>
        </w:numPr>
        <w:ind w:left="426"/>
        <w:rPr>
          <w:rFonts w:cs="Times New Roman"/>
        </w:rPr>
      </w:pPr>
      <w:r w:rsidRPr="00194C4A">
        <w:rPr>
          <w:rFonts w:cs="Times New Roman"/>
        </w:rPr>
        <w:t>minimalizacja szkodliwych dla środowiska skutków funkcjonowania sektora paliwowo-energetycznego na obszarze gminy</w:t>
      </w:r>
      <w:r w:rsidR="00774B58" w:rsidRPr="00194C4A">
        <w:rPr>
          <w:rFonts w:cs="Times New Roman"/>
        </w:rPr>
        <w:t xml:space="preserve"> w szczególności likwidacja niskiej emisji</w:t>
      </w:r>
      <w:r w:rsidRPr="00194C4A">
        <w:rPr>
          <w:rFonts w:cs="Times New Roman"/>
        </w:rPr>
        <w:t>,</w:t>
      </w:r>
    </w:p>
    <w:p w:rsidR="00BD314A" w:rsidRPr="00194C4A" w:rsidRDefault="00BD314A" w:rsidP="00902E94">
      <w:pPr>
        <w:pStyle w:val="tekst"/>
        <w:numPr>
          <w:ilvl w:val="0"/>
          <w:numId w:val="2"/>
        </w:numPr>
        <w:ind w:left="426"/>
        <w:rPr>
          <w:rFonts w:cs="Times New Roman"/>
        </w:rPr>
      </w:pPr>
      <w:r w:rsidRPr="00194C4A">
        <w:rPr>
          <w:rFonts w:cs="Times New Roman"/>
        </w:rPr>
        <w:t xml:space="preserve">zapewnienie bezpieczeństwa i pewności zasilania w zakresie ciepła, energii elektrycznej oraz </w:t>
      </w:r>
      <w:r w:rsidR="00382E22" w:rsidRPr="00194C4A">
        <w:rPr>
          <w:rFonts w:cs="Times New Roman"/>
        </w:rPr>
        <w:t xml:space="preserve">potencjalnie </w:t>
      </w:r>
      <w:r w:rsidRPr="00194C4A">
        <w:rPr>
          <w:rFonts w:cs="Times New Roman"/>
        </w:rPr>
        <w:t xml:space="preserve">paliw gzowych. </w:t>
      </w:r>
    </w:p>
    <w:p w:rsidR="00BD314A" w:rsidRPr="00194C4A" w:rsidRDefault="009617B3" w:rsidP="009617B3">
      <w:pPr>
        <w:pStyle w:val="Nagwek3"/>
        <w:ind w:left="720" w:hanging="720"/>
        <w:rPr>
          <w:rFonts w:ascii="Times New Roman" w:hAnsi="Times New Roman" w:cs="Times New Roman"/>
        </w:rPr>
      </w:pPr>
      <w:bookmarkStart w:id="55" w:name="_Toc419273658"/>
      <w:bookmarkStart w:id="56" w:name="_Toc77321945"/>
      <w:r w:rsidRPr="00194C4A">
        <w:rPr>
          <w:rFonts w:ascii="Times New Roman" w:eastAsia="Calibri" w:hAnsi="Times New Roman" w:cs="Times New Roman"/>
        </w:rPr>
        <w:t xml:space="preserve">3.1.1 </w:t>
      </w:r>
      <w:r w:rsidR="00BD314A" w:rsidRPr="00194C4A">
        <w:rPr>
          <w:rFonts w:ascii="Times New Roman" w:eastAsia="Calibri" w:hAnsi="Times New Roman" w:cs="Times New Roman"/>
        </w:rPr>
        <w:t>Sposoby racjonalizacji zużycia energii</w:t>
      </w:r>
      <w:bookmarkEnd w:id="55"/>
      <w:bookmarkEnd w:id="56"/>
    </w:p>
    <w:p w:rsidR="00BD314A" w:rsidRPr="00194C4A" w:rsidRDefault="00BD314A" w:rsidP="00194C4A">
      <w:pPr>
        <w:pStyle w:val="Nagwek4"/>
        <w:rPr>
          <w:rFonts w:ascii="Times New Roman" w:hAnsi="Times New Roman" w:cs="Times New Roman"/>
        </w:rPr>
      </w:pPr>
      <w:r w:rsidRPr="00194C4A">
        <w:rPr>
          <w:rFonts w:ascii="Times New Roman" w:hAnsi="Times New Roman" w:cs="Times New Roman"/>
        </w:rPr>
        <w:t xml:space="preserve">Możliwości </w:t>
      </w:r>
      <w:r w:rsidR="008F0A1A">
        <w:rPr>
          <w:rFonts w:ascii="Times New Roman" w:hAnsi="Times New Roman" w:cs="Times New Roman"/>
        </w:rPr>
        <w:t xml:space="preserve"> </w:t>
      </w:r>
      <w:r w:rsidRPr="00194C4A">
        <w:rPr>
          <w:rFonts w:ascii="Times New Roman" w:hAnsi="Times New Roman" w:cs="Times New Roman"/>
        </w:rPr>
        <w:t xml:space="preserve">stosowania </w:t>
      </w:r>
      <w:r w:rsidR="008F0A1A">
        <w:rPr>
          <w:rFonts w:ascii="Times New Roman" w:hAnsi="Times New Roman" w:cs="Times New Roman"/>
        </w:rPr>
        <w:t xml:space="preserve"> </w:t>
      </w:r>
      <w:r w:rsidRPr="00194C4A">
        <w:rPr>
          <w:rFonts w:ascii="Times New Roman" w:hAnsi="Times New Roman" w:cs="Times New Roman"/>
        </w:rPr>
        <w:t xml:space="preserve">środków </w:t>
      </w:r>
      <w:r w:rsidR="008F0A1A">
        <w:rPr>
          <w:rFonts w:ascii="Times New Roman" w:hAnsi="Times New Roman" w:cs="Times New Roman"/>
        </w:rPr>
        <w:t xml:space="preserve"> </w:t>
      </w:r>
      <w:r w:rsidRPr="00194C4A">
        <w:rPr>
          <w:rFonts w:ascii="Times New Roman" w:hAnsi="Times New Roman" w:cs="Times New Roman"/>
        </w:rPr>
        <w:t xml:space="preserve">poprawy </w:t>
      </w:r>
      <w:r w:rsidR="008F0A1A">
        <w:rPr>
          <w:rFonts w:ascii="Times New Roman" w:hAnsi="Times New Roman" w:cs="Times New Roman"/>
        </w:rPr>
        <w:t xml:space="preserve"> </w:t>
      </w:r>
      <w:r w:rsidRPr="00194C4A">
        <w:rPr>
          <w:rFonts w:ascii="Times New Roman" w:hAnsi="Times New Roman" w:cs="Times New Roman"/>
        </w:rPr>
        <w:t xml:space="preserve">efektywności </w:t>
      </w:r>
      <w:r w:rsidR="008F0A1A">
        <w:rPr>
          <w:rFonts w:ascii="Times New Roman" w:hAnsi="Times New Roman" w:cs="Times New Roman"/>
        </w:rPr>
        <w:t xml:space="preserve"> </w:t>
      </w:r>
      <w:r w:rsidRPr="00194C4A">
        <w:rPr>
          <w:rFonts w:ascii="Times New Roman" w:hAnsi="Times New Roman" w:cs="Times New Roman"/>
        </w:rPr>
        <w:t xml:space="preserve">energetycznej w </w:t>
      </w:r>
      <w:r w:rsidR="007C7127" w:rsidRPr="00194C4A">
        <w:rPr>
          <w:rFonts w:ascii="Times New Roman" w:hAnsi="Times New Roman" w:cs="Times New Roman"/>
        </w:rPr>
        <w:t>gminie</w:t>
      </w:r>
      <w:r w:rsidR="008F0A1A">
        <w:rPr>
          <w:rFonts w:ascii="Times New Roman" w:hAnsi="Times New Roman" w:cs="Times New Roman"/>
        </w:rPr>
        <w:t xml:space="preserve"> Wieliczki</w:t>
      </w:r>
    </w:p>
    <w:p w:rsidR="00BD314A" w:rsidRPr="00194C4A" w:rsidRDefault="00194C4A" w:rsidP="00194C4A">
      <w:pPr>
        <w:pStyle w:val="tekst"/>
        <w:ind w:firstLine="0"/>
        <w:rPr>
          <w:rFonts w:cs="Times New Roman"/>
          <w:b/>
          <w:szCs w:val="24"/>
        </w:rPr>
      </w:pPr>
      <w:r w:rsidRPr="00194C4A">
        <w:rPr>
          <w:rFonts w:cs="Times New Roman"/>
          <w:b/>
          <w:szCs w:val="24"/>
        </w:rPr>
        <w:t>W odniesieniu do wytwarzania i przesyłu ciepła</w:t>
      </w:r>
      <w:r w:rsidR="00BD314A" w:rsidRPr="00194C4A">
        <w:rPr>
          <w:rFonts w:cs="Times New Roman"/>
          <w:b/>
          <w:szCs w:val="24"/>
        </w:rPr>
        <w:t>:</w:t>
      </w:r>
    </w:p>
    <w:p w:rsidR="00194C4A" w:rsidRPr="00422799" w:rsidRDefault="00194C4A" w:rsidP="008A40A2">
      <w:pPr>
        <w:pStyle w:val="tekst"/>
        <w:numPr>
          <w:ilvl w:val="0"/>
          <w:numId w:val="21"/>
        </w:numPr>
        <w:ind w:left="426"/>
      </w:pPr>
      <w:r w:rsidRPr="00422799">
        <w:t>Propagowanie i popieranie wytwarzanie ciepła przez jednostki produkujące ciepło i energię elektryczną w skojarzeniu (mikrokogeneracja), najlepiej przy wykorzystaniu lokalnych zasobów energetycznych.</w:t>
      </w:r>
    </w:p>
    <w:p w:rsidR="00194C4A" w:rsidRPr="00422799" w:rsidRDefault="00194C4A" w:rsidP="008A40A2">
      <w:pPr>
        <w:pStyle w:val="tekst"/>
        <w:numPr>
          <w:ilvl w:val="0"/>
          <w:numId w:val="21"/>
        </w:numPr>
        <w:ind w:left="426"/>
      </w:pPr>
      <w:r w:rsidRPr="00422799">
        <w:lastRenderedPageBreak/>
        <w:t>Stosowanie elektronicznych regulatorów automatyzujących proces wytwarzania i przesyłu energii cieplnej i dostosowujących produkcje ciepła do aktualnych warunków pogodowych i zapotrzebowania użytkowników (regulacja pogodowo-czasowa).</w:t>
      </w:r>
    </w:p>
    <w:p w:rsidR="00194C4A" w:rsidRPr="00422799" w:rsidRDefault="00194C4A" w:rsidP="008A40A2">
      <w:pPr>
        <w:pStyle w:val="tekst"/>
        <w:numPr>
          <w:ilvl w:val="0"/>
          <w:numId w:val="21"/>
        </w:numPr>
        <w:ind w:left="426"/>
      </w:pPr>
      <w:r w:rsidRPr="00422799">
        <w:t>Stosowanie technologii niskoemisyjnych wytwarzania ciepła w budynkach (wysokosprawne kondensacyjne kotły gazowe lub olejowe bądź na biomasę z niską emisją pyłów i cząsteczek stałych).</w:t>
      </w:r>
    </w:p>
    <w:p w:rsidR="00194C4A" w:rsidRPr="00422799" w:rsidRDefault="00194C4A" w:rsidP="008A40A2">
      <w:pPr>
        <w:pStyle w:val="tekst"/>
        <w:numPr>
          <w:ilvl w:val="0"/>
          <w:numId w:val="21"/>
        </w:numPr>
        <w:ind w:left="426"/>
      </w:pPr>
      <w:r w:rsidRPr="00422799">
        <w:t>Dostosowanie istniejących kominów do specyficznych wymogów jakie stawia zastosowanie kotłów opalanych gazem lub olejem opałowym, przez stosowanie wkładek z blachy stalowej chromoniklowej, bądź budowie nowych kominów zewnętrznych dwuściennych ze stali chromoniklowej.</w:t>
      </w:r>
    </w:p>
    <w:p w:rsidR="00194C4A" w:rsidRPr="00422799" w:rsidRDefault="00194C4A" w:rsidP="008A40A2">
      <w:pPr>
        <w:pStyle w:val="tekst"/>
        <w:numPr>
          <w:ilvl w:val="0"/>
          <w:numId w:val="21"/>
        </w:numPr>
        <w:ind w:left="426"/>
      </w:pPr>
      <w:r w:rsidRPr="00422799">
        <w:t>Stosowanie stacji uzdatniania wody, przedłużającej żywotność urządzeń grzewczych i instalacji, i gwarantujących zachowanie wysokiej sprawności, dzięki znacznej redukcji odkładania się kamienia kotłowego na powierzchniach ogrzewalnych kotłów i w rurociągach instalacji.</w:t>
      </w:r>
    </w:p>
    <w:p w:rsidR="00194C4A" w:rsidRPr="00194C4A" w:rsidRDefault="00194C4A" w:rsidP="00194C4A">
      <w:pPr>
        <w:pStyle w:val="tekst"/>
        <w:spacing w:line="240" w:lineRule="auto"/>
        <w:ind w:firstLine="0"/>
        <w:rPr>
          <w:rFonts w:cs="Times New Roman"/>
        </w:rPr>
      </w:pPr>
      <w:r w:rsidRPr="00194C4A">
        <w:rPr>
          <w:rFonts w:eastAsia="Calibri" w:cs="Times New Roman"/>
          <w:b/>
          <w:lang w:val="es-ES"/>
        </w:rPr>
        <w:t>W odniesieniu do użytkowania ciepła:</w:t>
      </w:r>
    </w:p>
    <w:p w:rsidR="00194C4A" w:rsidRPr="00422799" w:rsidRDefault="00194C4A" w:rsidP="008A40A2">
      <w:pPr>
        <w:pStyle w:val="tekst"/>
        <w:numPr>
          <w:ilvl w:val="0"/>
          <w:numId w:val="22"/>
        </w:numPr>
        <w:ind w:left="426"/>
      </w:pPr>
      <w:r w:rsidRPr="00422799">
        <w:t>Podejmowanie przedsięwzięć związanych ze zwiększeniem efektywności wykorzystania energii cieplnej w obiektach gminnych (termorenowacja i termomodernizacja budynków, modernizacja wewnętrznych systemów ciepłowniczych oraz wyposażanie w elementy pomiarowe i regulacyjne, wykorzystywanie ciepła odpadowego) oraz wspieranie przedsięwzięć termomodernizacyjnych podejmowanych przez użytkowników indywidualnych (np. prowadzenie doradztwa, auditingu energetycznego).</w:t>
      </w:r>
    </w:p>
    <w:p w:rsidR="00194C4A" w:rsidRPr="00422799" w:rsidRDefault="00194C4A" w:rsidP="008A40A2">
      <w:pPr>
        <w:pStyle w:val="tekst"/>
        <w:numPr>
          <w:ilvl w:val="0"/>
          <w:numId w:val="22"/>
        </w:numPr>
        <w:ind w:left="426"/>
      </w:pPr>
      <w:r w:rsidRPr="00422799">
        <w:t>Modernizacja wewnętrznych układów c.o. połączona z opomiarowaniem i automatyką regulacyjną pogodową.</w:t>
      </w:r>
    </w:p>
    <w:p w:rsidR="00194C4A" w:rsidRPr="00422799" w:rsidRDefault="00194C4A" w:rsidP="008A40A2">
      <w:pPr>
        <w:pStyle w:val="tekst"/>
        <w:numPr>
          <w:ilvl w:val="0"/>
          <w:numId w:val="22"/>
        </w:numPr>
        <w:ind w:left="426"/>
      </w:pPr>
      <w:r w:rsidRPr="00422799">
        <w:t xml:space="preserve">Dla nowo projektowanych obiektów wydawanie decyzji o warunkach zabudowy </w:t>
      </w:r>
      <w:r w:rsidRPr="00422799">
        <w:br/>
        <w:t>i zagospodarowania terenu uwzględniających proekologiczną i energooszczędną politykę państwa i gminy (np. użytkowanie energii przyjaznej ekologicznie, stosowanie energooszczędnych technologii w budownictwie, opłacalne wykorzystywanie energii odpadowej i inne).</w:t>
      </w:r>
    </w:p>
    <w:p w:rsidR="00194C4A" w:rsidRPr="00422799" w:rsidRDefault="00194C4A" w:rsidP="008A40A2">
      <w:pPr>
        <w:pStyle w:val="tekst"/>
        <w:numPr>
          <w:ilvl w:val="0"/>
          <w:numId w:val="22"/>
        </w:numPr>
        <w:ind w:left="426"/>
      </w:pPr>
      <w:r w:rsidRPr="00422799">
        <w:t>Popieranie i promowanie indywidualnych działań właścicieli lokali polegających na przechodzeniu do użytkowania na cele grzewcze i sanitarne ekologicznie czystszych rodzajów paliw lub energii elektrycznej albo energii odnawialnej.</w:t>
      </w:r>
    </w:p>
    <w:p w:rsidR="00194C4A" w:rsidRPr="00194C4A" w:rsidRDefault="00194C4A" w:rsidP="00194C4A">
      <w:pPr>
        <w:pStyle w:val="Nagwek4"/>
        <w:spacing w:before="0"/>
        <w:ind w:left="864" w:hanging="864"/>
        <w:rPr>
          <w:rFonts w:ascii="Times New Roman" w:eastAsia="Calibri" w:hAnsi="Times New Roman" w:cs="Times New Roman"/>
          <w:b/>
          <w:i w:val="0"/>
          <w:color w:val="auto"/>
          <w:sz w:val="24"/>
          <w:szCs w:val="24"/>
        </w:rPr>
      </w:pPr>
      <w:r w:rsidRPr="00194C4A">
        <w:rPr>
          <w:rFonts w:ascii="Times New Roman" w:eastAsia="Calibri" w:hAnsi="Times New Roman" w:cs="Times New Roman"/>
          <w:b/>
          <w:i w:val="0"/>
          <w:color w:val="auto"/>
          <w:sz w:val="24"/>
          <w:szCs w:val="24"/>
        </w:rPr>
        <w:t>W odniesieniu do użytkowania energii elektrycznej</w:t>
      </w:r>
    </w:p>
    <w:p w:rsidR="00194C4A" w:rsidRPr="00422799" w:rsidRDefault="00194C4A" w:rsidP="008A40A2">
      <w:pPr>
        <w:pStyle w:val="tekst"/>
        <w:numPr>
          <w:ilvl w:val="0"/>
          <w:numId w:val="23"/>
        </w:numPr>
        <w:ind w:left="426"/>
      </w:pPr>
      <w:r w:rsidRPr="00422799">
        <w:t>Stopniowe przechodzenie na stosowanie energooszczędnych źródeł światła w obiektach użyteczności publicznej oraz dążenie do wprowadzenia innowacyjnych i energooszczędnych technologii do oświetlenia ulic, placów itp.</w:t>
      </w:r>
    </w:p>
    <w:p w:rsidR="00194C4A" w:rsidRPr="00422799" w:rsidRDefault="00194C4A" w:rsidP="008A40A2">
      <w:pPr>
        <w:pStyle w:val="tekst"/>
        <w:numPr>
          <w:ilvl w:val="0"/>
          <w:numId w:val="23"/>
        </w:numPr>
        <w:ind w:left="426"/>
      </w:pPr>
      <w:r w:rsidRPr="00422799">
        <w:t>Przeprowadzanie regularnych prac konserwacyjno-naprawczych urządzeń i czyszczenia oświetlenia.</w:t>
      </w:r>
    </w:p>
    <w:p w:rsidR="00194C4A" w:rsidRPr="00422799" w:rsidRDefault="00194C4A" w:rsidP="008A40A2">
      <w:pPr>
        <w:pStyle w:val="tekst"/>
        <w:numPr>
          <w:ilvl w:val="0"/>
          <w:numId w:val="23"/>
        </w:numPr>
        <w:ind w:left="426"/>
      </w:pPr>
      <w:r w:rsidRPr="00422799">
        <w:t>Stosowanie urządzeń energooszczędnych o najwyższej sprawności.</w:t>
      </w:r>
    </w:p>
    <w:p w:rsidR="00194C4A" w:rsidRPr="00422799" w:rsidRDefault="00194C4A" w:rsidP="008A40A2">
      <w:pPr>
        <w:pStyle w:val="tekst"/>
        <w:numPr>
          <w:ilvl w:val="0"/>
          <w:numId w:val="23"/>
        </w:numPr>
        <w:ind w:left="426"/>
      </w:pPr>
      <w:r w:rsidRPr="00422799">
        <w:t>Redukcja strat energii elektrycznej poprzez automatyzację wykorzystania urządzeń dostosowan</w:t>
      </w:r>
      <w:r w:rsidR="00CB3BAC">
        <w:t>ych</w:t>
      </w:r>
      <w:r w:rsidRPr="00422799">
        <w:t xml:space="preserve"> do potrzeb użytkownika.</w:t>
      </w:r>
    </w:p>
    <w:p w:rsidR="00194C4A" w:rsidRPr="00422799" w:rsidRDefault="00194C4A" w:rsidP="008A40A2">
      <w:pPr>
        <w:pStyle w:val="tekst"/>
        <w:numPr>
          <w:ilvl w:val="0"/>
          <w:numId w:val="23"/>
        </w:numPr>
        <w:ind w:left="426"/>
      </w:pPr>
      <w:r w:rsidRPr="00422799">
        <w:lastRenderedPageBreak/>
        <w:t>Tam, gdzie to możliwe</w:t>
      </w:r>
      <w:r w:rsidR="00CB3BAC">
        <w:t>,</w:t>
      </w:r>
      <w:r w:rsidRPr="00422799">
        <w:t xml:space="preserve"> sterowanie obciążeniem polegające na przesuwaniu okresów pracy odbiorników energii elektrycznej na godziny poza szczytem energetycznym.</w:t>
      </w:r>
    </w:p>
    <w:p w:rsidR="00194C4A" w:rsidRPr="00422799" w:rsidRDefault="00194C4A" w:rsidP="008A40A2">
      <w:pPr>
        <w:pStyle w:val="tekst"/>
        <w:numPr>
          <w:ilvl w:val="0"/>
          <w:numId w:val="23"/>
        </w:numPr>
        <w:ind w:left="426"/>
      </w:pPr>
      <w:r w:rsidRPr="00422799">
        <w:t>Wybór najkorzystniejszej oferty przedstawionej przez sprzedawców energii, tworzenie grup zakupowych negocjujących wspólny zakup energii.</w:t>
      </w:r>
    </w:p>
    <w:p w:rsidR="00194C4A" w:rsidRPr="00422799" w:rsidRDefault="00194C4A" w:rsidP="008A40A2">
      <w:pPr>
        <w:pStyle w:val="tekst"/>
        <w:numPr>
          <w:ilvl w:val="0"/>
          <w:numId w:val="23"/>
        </w:numPr>
        <w:ind w:left="426"/>
      </w:pPr>
      <w:r w:rsidRPr="00422799">
        <w:t>Monitoring i aktualizacja wartości mocy zamówionej w przedsiębiorstwie energetycznym.</w:t>
      </w:r>
    </w:p>
    <w:p w:rsidR="00090D7F" w:rsidRDefault="008F311F" w:rsidP="008F311F">
      <w:pPr>
        <w:pStyle w:val="Nagwek2"/>
        <w:rPr>
          <w:rFonts w:ascii="Times New Roman" w:hAnsi="Times New Roman" w:cs="Times New Roman"/>
        </w:rPr>
      </w:pPr>
      <w:bookmarkStart w:id="57" w:name="_Toc77321946"/>
      <w:r>
        <w:rPr>
          <w:rFonts w:ascii="Times New Roman" w:hAnsi="Times New Roman" w:cs="Times New Roman"/>
        </w:rPr>
        <w:t xml:space="preserve">3.2 </w:t>
      </w:r>
      <w:r w:rsidR="00622F53" w:rsidRPr="00194C4A">
        <w:rPr>
          <w:rFonts w:ascii="Times New Roman" w:hAnsi="Times New Roman" w:cs="Times New Roman"/>
        </w:rPr>
        <w:t xml:space="preserve">Możliwości wykorzystania istniejących nadwyżek i lokalnych zasobów paliw i </w:t>
      </w:r>
      <w:r w:rsidR="00090D7F">
        <w:rPr>
          <w:rFonts w:ascii="Times New Roman" w:hAnsi="Times New Roman" w:cs="Times New Roman"/>
        </w:rPr>
        <w:t>energii</w:t>
      </w:r>
      <w:bookmarkStart w:id="58" w:name="_Toc23629593"/>
      <w:bookmarkStart w:id="59" w:name="_Toc440631601"/>
      <w:bookmarkEnd w:id="54"/>
      <w:bookmarkEnd w:id="57"/>
    </w:p>
    <w:p w:rsidR="00090D7F" w:rsidRPr="00B941F4" w:rsidRDefault="00090D7F" w:rsidP="00090D7F">
      <w:pPr>
        <w:pStyle w:val="Nagwek3"/>
        <w:rPr>
          <w:rFonts w:ascii="Times New Roman" w:hAnsi="Times New Roman" w:cs="Times New Roman"/>
        </w:rPr>
      </w:pPr>
      <w:bookmarkStart w:id="60" w:name="_Toc77321947"/>
      <w:r w:rsidRPr="00B941F4">
        <w:rPr>
          <w:rFonts w:ascii="Times New Roman" w:hAnsi="Times New Roman" w:cs="Times New Roman"/>
        </w:rPr>
        <w:t>3.</w:t>
      </w:r>
      <w:r w:rsidR="00D1122F" w:rsidRPr="00B941F4">
        <w:rPr>
          <w:rFonts w:ascii="Times New Roman" w:hAnsi="Times New Roman" w:cs="Times New Roman"/>
        </w:rPr>
        <w:t>2</w:t>
      </w:r>
      <w:r w:rsidRPr="00B941F4">
        <w:rPr>
          <w:rFonts w:ascii="Times New Roman" w:hAnsi="Times New Roman" w:cs="Times New Roman"/>
        </w:rPr>
        <w:t>.1 Energia wiatru</w:t>
      </w:r>
      <w:bookmarkEnd w:id="60"/>
    </w:p>
    <w:p w:rsidR="00422799" w:rsidRDefault="00422799" w:rsidP="00090D7F">
      <w:pPr>
        <w:pStyle w:val="tekst"/>
      </w:pPr>
    </w:p>
    <w:p w:rsidR="00194C4A" w:rsidRDefault="00194C4A" w:rsidP="00090D7F">
      <w:pPr>
        <w:pStyle w:val="tekst"/>
      </w:pPr>
      <w:r w:rsidRPr="00090D7F">
        <w:t xml:space="preserve">Znaczna część województwa </w:t>
      </w:r>
      <w:r w:rsidR="008F0A1A">
        <w:t>Warmińsko-Mazurskiego</w:t>
      </w:r>
      <w:r w:rsidR="00CB3BAC">
        <w:t>,</w:t>
      </w:r>
      <w:r w:rsidRPr="00090D7F">
        <w:t xml:space="preserve"> a tym samym Gminy </w:t>
      </w:r>
      <w:r w:rsidR="008F0A1A">
        <w:t>Wieliczki</w:t>
      </w:r>
      <w:r w:rsidR="00CB3BAC">
        <w:t>,</w:t>
      </w:r>
      <w:r w:rsidRPr="00090D7F">
        <w:t xml:space="preserve">  charakteryzuje się dogodnymi warunkami wiatrowymi. Dużą rolę w wyborze umiejscowienia elektrowni wiatrowej odgrywa szorstkość terenu. Ma ona bowiem wpływ na rozkład prędkości wiatru w funkcji wysokości. Rodzaj powierzchni, stopień zabudowania i jej ukształtowanie ma wpływ na prędkość wiatru. Przeszkody tj. budynki, ujemnie wpływają na przepływ wiatru. Zatem im większa szorstkość terenu tym większy wzrost prędkości wraz z wysokością. Należy jednak w tym przypadku wziąć pod uwagę rosnące gwałtownie koszty związane z podwyższaniem wieży. Ukształtowanie terenu gminy </w:t>
      </w:r>
      <w:r w:rsidR="008F0A1A">
        <w:t>Wieliczki</w:t>
      </w:r>
      <w:r w:rsidRPr="00090D7F">
        <w:t xml:space="preserve"> zaliczyć można do trzeciej klasy szorstkości charakterystycznej dla wiosek, małych miasteczek, terenów uprawnych z licznymi żywopłotami, lasami i pofałdowanymi terenami</w:t>
      </w:r>
      <w:r w:rsidR="00CB3BAC">
        <w:t xml:space="preserve"> (zob. mapa poniżej)</w:t>
      </w:r>
      <w:r w:rsidRPr="00090D7F">
        <w:t xml:space="preserve">. </w:t>
      </w:r>
      <w:r w:rsidR="00090D7F">
        <w:t>O</w:t>
      </w:r>
      <w:r w:rsidRPr="00090D7F">
        <w:t>becn</w:t>
      </w:r>
      <w:r w:rsidR="00090D7F">
        <w:t>e</w:t>
      </w:r>
      <w:r w:rsidRPr="00090D7F">
        <w:t xml:space="preserve"> ograniczenia prawne tzw. „Ustawa odległościowa” eliminuje możliwości swobodnego wykorzystania energii wiatrowej.</w:t>
      </w:r>
      <w:bookmarkEnd w:id="58"/>
      <w:r w:rsidR="00090D7F">
        <w:t xml:space="preserve"> Dodatkowo w zapisach studium dla Gminy </w:t>
      </w:r>
      <w:r w:rsidR="008F0A1A">
        <w:t>Wieliczki</w:t>
      </w:r>
      <w:r w:rsidR="00090D7F">
        <w:t xml:space="preserve"> nie wyznacza się dodatkowych obszarów dla energetyki wiatrowej</w:t>
      </w:r>
      <w:r w:rsidR="00C32794">
        <w:t>.</w:t>
      </w:r>
    </w:p>
    <w:p w:rsidR="003A425C" w:rsidRDefault="003A425C" w:rsidP="00090D7F">
      <w:pPr>
        <w:pStyle w:val="tekst"/>
      </w:pPr>
    </w:p>
    <w:p w:rsidR="00090D7F" w:rsidRPr="003A425C" w:rsidRDefault="00C223D8" w:rsidP="00C223D8">
      <w:pPr>
        <w:pStyle w:val="Legenda"/>
        <w:rPr>
          <w:color w:val="D55816" w:themeColor="accent2"/>
          <w:sz w:val="44"/>
          <w:szCs w:val="36"/>
        </w:rPr>
      </w:pPr>
      <w:bookmarkStart w:id="61" w:name="_Toc75946963"/>
      <w:r w:rsidRPr="00C223D8">
        <w:rPr>
          <w:sz w:val="20"/>
          <w:szCs w:val="20"/>
        </w:rPr>
        <w:t xml:space="preserve">Mapa </w:t>
      </w:r>
      <w:r w:rsidR="00A05E44" w:rsidRPr="00C223D8">
        <w:rPr>
          <w:sz w:val="20"/>
          <w:szCs w:val="20"/>
        </w:rPr>
        <w:fldChar w:fldCharType="begin"/>
      </w:r>
      <w:r w:rsidRPr="00C223D8">
        <w:rPr>
          <w:sz w:val="20"/>
          <w:szCs w:val="20"/>
        </w:rPr>
        <w:instrText xml:space="preserve"> SEQ Mapa \* ARABIC </w:instrText>
      </w:r>
      <w:r w:rsidR="00A05E44" w:rsidRPr="00C223D8">
        <w:rPr>
          <w:sz w:val="20"/>
          <w:szCs w:val="20"/>
        </w:rPr>
        <w:fldChar w:fldCharType="separate"/>
      </w:r>
      <w:r w:rsidR="00F20FF3">
        <w:rPr>
          <w:noProof/>
          <w:sz w:val="20"/>
          <w:szCs w:val="20"/>
        </w:rPr>
        <w:t>3</w:t>
      </w:r>
      <w:r w:rsidR="00A05E44" w:rsidRPr="00C223D8">
        <w:rPr>
          <w:sz w:val="20"/>
          <w:szCs w:val="20"/>
        </w:rPr>
        <w:fldChar w:fldCharType="end"/>
      </w:r>
      <w:r w:rsidR="008F0A1A">
        <w:rPr>
          <w:sz w:val="20"/>
          <w:szCs w:val="20"/>
        </w:rPr>
        <w:t xml:space="preserve"> </w:t>
      </w:r>
      <w:r w:rsidR="00090D7F" w:rsidRPr="00C223D8">
        <w:rPr>
          <w:sz w:val="20"/>
          <w:szCs w:val="20"/>
        </w:rPr>
        <w:t>Szorstkość</w:t>
      </w:r>
      <w:r w:rsidR="00090D7F" w:rsidRPr="003A425C">
        <w:rPr>
          <w:sz w:val="20"/>
        </w:rPr>
        <w:t xml:space="preserve"> terenu Polski</w:t>
      </w:r>
      <w:bookmarkEnd w:id="61"/>
    </w:p>
    <w:p w:rsidR="00194C4A" w:rsidRDefault="00194C4A" w:rsidP="00194C4A">
      <w:pPr>
        <w:pStyle w:val="Legenda"/>
        <w:rPr>
          <w:rFonts w:ascii="Times New Roman" w:hAnsi="Times New Roman" w:cs="Times New Roman"/>
          <w:color w:val="000000"/>
          <w:sz w:val="22"/>
          <w:szCs w:val="22"/>
        </w:rPr>
      </w:pPr>
      <w:r w:rsidRPr="00194C4A">
        <w:rPr>
          <w:rFonts w:ascii="Times New Roman" w:hAnsi="Times New Roman" w:cs="Times New Roman"/>
          <w:noProof/>
          <w:sz w:val="22"/>
          <w:szCs w:val="22"/>
        </w:rPr>
        <w:drawing>
          <wp:inline distT="0" distB="0" distL="0" distR="0">
            <wp:extent cx="5760720" cy="2033270"/>
            <wp:effectExtent l="0" t="0" r="0" b="508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033270"/>
                    </a:xfrm>
                    <a:prstGeom prst="rect">
                      <a:avLst/>
                    </a:prstGeom>
                  </pic:spPr>
                </pic:pic>
              </a:graphicData>
            </a:graphic>
          </wp:inline>
        </w:drawing>
      </w:r>
    </w:p>
    <w:p w:rsidR="00090D7F" w:rsidRPr="008E3F6F" w:rsidRDefault="00090D7F" w:rsidP="00090D7F">
      <w:pPr>
        <w:rPr>
          <w:rFonts w:ascii="Times New Roman" w:hAnsi="Times New Roman" w:cs="Times New Roman"/>
          <w:i/>
          <w:sz w:val="22"/>
          <w:szCs w:val="22"/>
        </w:rPr>
      </w:pPr>
      <w:r w:rsidRPr="008E3F6F">
        <w:rPr>
          <w:rFonts w:ascii="Times New Roman" w:hAnsi="Times New Roman" w:cs="Times New Roman"/>
          <w:i/>
          <w:sz w:val="22"/>
          <w:szCs w:val="22"/>
        </w:rPr>
        <w:t>Źródło: uwm.edu.pl</w:t>
      </w:r>
    </w:p>
    <w:p w:rsidR="00194C4A" w:rsidRDefault="00194C4A" w:rsidP="003A425C">
      <w:pPr>
        <w:pStyle w:val="tekst"/>
      </w:pPr>
      <w:r w:rsidRPr="00194C4A">
        <w:t>Szorstkość terenu odgrywa w wyborze lokalizacji pod elektrownię wiatrową dużą rolę, ma bowiem wpływ na rozkład prędkości wiatru w funkcji wysokość. Zatem im większa szorstkość terenu</w:t>
      </w:r>
      <w:r w:rsidR="00CB3BAC">
        <w:t>,</w:t>
      </w:r>
      <w:r w:rsidRPr="00194C4A">
        <w:t xml:space="preserve"> tym większy wzrost prędkości wraz z wysokością.</w:t>
      </w:r>
    </w:p>
    <w:p w:rsidR="008E3F6F" w:rsidRDefault="008E3F6F" w:rsidP="00194C4A">
      <w:pPr>
        <w:rPr>
          <w:rFonts w:ascii="Times New Roman" w:hAnsi="Times New Roman" w:cs="Times New Roman"/>
          <w:color w:val="000000"/>
          <w:sz w:val="22"/>
          <w:szCs w:val="22"/>
        </w:rPr>
      </w:pPr>
    </w:p>
    <w:p w:rsidR="008E3F6F" w:rsidRPr="00E64C12" w:rsidRDefault="008E3F6F" w:rsidP="008E3F6F">
      <w:pPr>
        <w:pStyle w:val="Legenda"/>
        <w:rPr>
          <w:rFonts w:ascii="Times New Roman" w:hAnsi="Times New Roman" w:cs="Times New Roman"/>
          <w:sz w:val="20"/>
        </w:rPr>
      </w:pPr>
      <w:bookmarkStart w:id="62" w:name="_Toc77322002"/>
      <w:r w:rsidRPr="00E64C12">
        <w:rPr>
          <w:rFonts w:ascii="Times New Roman" w:hAnsi="Times New Roman" w:cs="Times New Roman"/>
          <w:sz w:val="20"/>
        </w:rPr>
        <w:lastRenderedPageBreak/>
        <w:t xml:space="preserve">Tabela </w:t>
      </w:r>
      <w:r w:rsidR="00A05E44" w:rsidRPr="00E64C12">
        <w:rPr>
          <w:rFonts w:ascii="Times New Roman" w:hAnsi="Times New Roman" w:cs="Times New Roman"/>
          <w:sz w:val="20"/>
        </w:rPr>
        <w:fldChar w:fldCharType="begin"/>
      </w:r>
      <w:r w:rsidRPr="00E64C12">
        <w:rPr>
          <w:rFonts w:ascii="Times New Roman" w:hAnsi="Times New Roman" w:cs="Times New Roman"/>
          <w:sz w:val="20"/>
        </w:rPr>
        <w:instrText xml:space="preserve"> SEQ Tabela \* ARABIC </w:instrText>
      </w:r>
      <w:r w:rsidR="00A05E44" w:rsidRPr="00E64C12">
        <w:rPr>
          <w:rFonts w:ascii="Times New Roman" w:hAnsi="Times New Roman" w:cs="Times New Roman"/>
          <w:sz w:val="20"/>
        </w:rPr>
        <w:fldChar w:fldCharType="separate"/>
      </w:r>
      <w:r w:rsidR="00F20FF3">
        <w:rPr>
          <w:rFonts w:ascii="Times New Roman" w:hAnsi="Times New Roman" w:cs="Times New Roman"/>
          <w:noProof/>
          <w:sz w:val="20"/>
        </w:rPr>
        <w:t>2</w:t>
      </w:r>
      <w:r w:rsidR="00A05E44" w:rsidRPr="00E64C12">
        <w:rPr>
          <w:rFonts w:ascii="Times New Roman" w:hAnsi="Times New Roman" w:cs="Times New Roman"/>
          <w:sz w:val="20"/>
        </w:rPr>
        <w:fldChar w:fldCharType="end"/>
      </w:r>
      <w:r w:rsidRPr="00E64C12">
        <w:rPr>
          <w:rFonts w:ascii="Times New Roman" w:hAnsi="Times New Roman" w:cs="Times New Roman"/>
          <w:sz w:val="20"/>
        </w:rPr>
        <w:t xml:space="preserve"> Skala szorstkości terenu</w:t>
      </w:r>
      <w:bookmarkEnd w:id="62"/>
    </w:p>
    <w:p w:rsidR="00E64C12" w:rsidRPr="00E64C12" w:rsidRDefault="00E64C12" w:rsidP="00E64C12">
      <w:pPr>
        <w:spacing w:line="360" w:lineRule="auto"/>
        <w:jc w:val="both"/>
        <w:rPr>
          <w:rFonts w:ascii="Times New Roman" w:hAnsi="Times New Roman" w:cs="Times New Roman"/>
        </w:rPr>
      </w:pPr>
      <w:r w:rsidRPr="00E64C12">
        <w:rPr>
          <w:rFonts w:ascii="Times New Roman" w:hAnsi="Times New Roman" w:cs="Times New Roman"/>
        </w:rPr>
        <w:t>Klasy szorstkości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1588"/>
        <w:gridCol w:w="1588"/>
        <w:gridCol w:w="4287"/>
      </w:tblGrid>
      <w:tr w:rsidR="00E64C12" w:rsidRPr="00E64C12" w:rsidTr="00E64C12">
        <w:tc>
          <w:tcPr>
            <w:tcW w:w="1588" w:type="dxa"/>
            <w:shd w:val="clear" w:color="auto" w:fill="E6E6E6"/>
          </w:tcPr>
          <w:p w:rsidR="00E64C12" w:rsidRPr="00E64C12" w:rsidRDefault="00E64C12" w:rsidP="00E64C12">
            <w:pPr>
              <w:jc w:val="center"/>
              <w:rPr>
                <w:rFonts w:ascii="Times New Roman" w:hAnsi="Times New Roman" w:cs="Times New Roman"/>
                <w:b/>
                <w:bCs/>
              </w:rPr>
            </w:pPr>
            <w:r w:rsidRPr="00E64C12">
              <w:rPr>
                <w:rFonts w:ascii="Times New Roman" w:hAnsi="Times New Roman" w:cs="Times New Roman"/>
                <w:b/>
                <w:bCs/>
              </w:rPr>
              <w:t>Klasa szorstkości</w:t>
            </w:r>
          </w:p>
        </w:tc>
        <w:tc>
          <w:tcPr>
            <w:tcW w:w="1588" w:type="dxa"/>
            <w:shd w:val="clear" w:color="auto" w:fill="E6E6E6"/>
          </w:tcPr>
          <w:p w:rsidR="00E64C12" w:rsidRPr="00E64C12" w:rsidRDefault="00E64C12" w:rsidP="00E64C12">
            <w:pPr>
              <w:jc w:val="center"/>
              <w:rPr>
                <w:rFonts w:ascii="Times New Roman" w:hAnsi="Times New Roman" w:cs="Times New Roman"/>
                <w:b/>
                <w:bCs/>
              </w:rPr>
            </w:pPr>
            <w:r w:rsidRPr="00E64C12">
              <w:rPr>
                <w:rFonts w:ascii="Times New Roman" w:hAnsi="Times New Roman" w:cs="Times New Roman"/>
                <w:b/>
                <w:bCs/>
              </w:rPr>
              <w:t>Szorstkość n długość [m]</w:t>
            </w:r>
          </w:p>
        </w:tc>
        <w:tc>
          <w:tcPr>
            <w:tcW w:w="4287" w:type="dxa"/>
            <w:shd w:val="clear" w:color="auto" w:fill="E6E6E6"/>
          </w:tcPr>
          <w:p w:rsidR="00E64C12" w:rsidRPr="00E64C12" w:rsidRDefault="00E64C12" w:rsidP="00E64C12">
            <w:pPr>
              <w:jc w:val="center"/>
              <w:rPr>
                <w:rFonts w:ascii="Times New Roman" w:hAnsi="Times New Roman" w:cs="Times New Roman"/>
                <w:b/>
                <w:bCs/>
              </w:rPr>
            </w:pPr>
            <w:r w:rsidRPr="00E64C12">
              <w:rPr>
                <w:rFonts w:ascii="Times New Roman" w:hAnsi="Times New Roman" w:cs="Times New Roman"/>
                <w:b/>
                <w:bCs/>
              </w:rPr>
              <w:t>Rodzaj terenu</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0,0002</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Powierzchnia wody</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0,5</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0,0024</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Całkowicie otwarty teren (lotnisko, łąka)</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1</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0,03</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Otwarte pola uprawne z niskimi pojedynczymi zabudowaniami, tylko lekko pofalowany teren</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1,5</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0,055</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Otwarte pola uprawne z pojedynczymi niskimi zabudowaniami i 8 metrowymi żywopłotami oddalonymi o 500m</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2</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0,1</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Otwarte pola uprawne z pojedynczymi niskimi zabudowaniami i 8 metrowymi żywopłotami oddalonymi o 500m</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2,5</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0,2</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Tereny uprawne z licznymi zabudowaniami lub 8 metrowe żywopłoty oddalone o ok. 250m</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3</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0,4</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Wioski, małe miasteczka, tereny uprawne z licznymi żywopłotami, las lub teren pofałdowany</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3,5</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0,8</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Duże miasta z wysokimi budynkami</w:t>
            </w:r>
          </w:p>
        </w:tc>
      </w:tr>
      <w:tr w:rsidR="00E64C12" w:rsidRPr="00E64C12" w:rsidTr="00E64C12">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4</w:t>
            </w:r>
          </w:p>
        </w:tc>
        <w:tc>
          <w:tcPr>
            <w:tcW w:w="1588"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1,6</w:t>
            </w:r>
          </w:p>
        </w:tc>
        <w:tc>
          <w:tcPr>
            <w:tcW w:w="4287" w:type="dxa"/>
          </w:tcPr>
          <w:p w:rsidR="00E64C12" w:rsidRPr="00E64C12" w:rsidRDefault="00E64C12" w:rsidP="00E64C12">
            <w:pPr>
              <w:jc w:val="both"/>
              <w:rPr>
                <w:rFonts w:ascii="Times New Roman" w:hAnsi="Times New Roman" w:cs="Times New Roman"/>
              </w:rPr>
            </w:pPr>
            <w:r w:rsidRPr="00E64C12">
              <w:rPr>
                <w:rFonts w:ascii="Times New Roman" w:hAnsi="Times New Roman" w:cs="Times New Roman"/>
              </w:rPr>
              <w:t>Bardzo duże miasta z drapaczami chmur.</w:t>
            </w:r>
          </w:p>
        </w:tc>
      </w:tr>
    </w:tbl>
    <w:p w:rsidR="00E64C12" w:rsidRPr="00E64C12" w:rsidRDefault="00E64C12" w:rsidP="00E64C12">
      <w:pPr>
        <w:spacing w:line="360" w:lineRule="auto"/>
        <w:jc w:val="both"/>
        <w:rPr>
          <w:rFonts w:ascii="Times New Roman" w:hAnsi="Times New Roman" w:cs="Times New Roman"/>
        </w:rPr>
      </w:pPr>
    </w:p>
    <w:p w:rsidR="00E64C12" w:rsidRPr="00E64C12" w:rsidRDefault="00E64C12" w:rsidP="00E64C12">
      <w:pPr>
        <w:spacing w:line="360" w:lineRule="auto"/>
        <w:jc w:val="both"/>
        <w:rPr>
          <w:rFonts w:ascii="Times New Roman" w:hAnsi="Times New Roman" w:cs="Times New Roman"/>
        </w:rPr>
      </w:pPr>
      <w:r w:rsidRPr="00E64C12">
        <w:rPr>
          <w:rFonts w:ascii="Times New Roman" w:hAnsi="Times New Roman" w:cs="Times New Roman"/>
        </w:rPr>
        <w:t>Zależność prędkości wiatru od wysokości określa funkcja dana wzorem (8.16).</w:t>
      </w:r>
    </w:p>
    <w:p w:rsidR="00E64C12" w:rsidRPr="00E64C12" w:rsidRDefault="00E64C12" w:rsidP="00E64C12">
      <w:pPr>
        <w:spacing w:line="360" w:lineRule="auto"/>
        <w:ind w:firstLine="708"/>
        <w:jc w:val="both"/>
        <w:rPr>
          <w:rFonts w:ascii="Times New Roman" w:hAnsi="Times New Roman" w:cs="Times New Roman"/>
        </w:rPr>
      </w:pPr>
      <w:r w:rsidRPr="00E64C12">
        <w:rPr>
          <w:rFonts w:ascii="Times New Roman" w:hAnsi="Times New Roman" w:cs="Times New Roman"/>
          <w:position w:val="-56"/>
        </w:rPr>
        <w:object w:dxaOrig="134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2.25pt" o:ole="">
            <v:imagedata r:id="rId36" o:title=""/>
          </v:shape>
          <o:OLEObject Type="Embed" ProgID="Equation.3" ShapeID="_x0000_i1025" DrawAspect="Content" ObjectID="_1818828079" r:id="rId37"/>
        </w:object>
      </w:r>
      <w:r w:rsidRPr="00E64C12">
        <w:rPr>
          <w:rFonts w:ascii="Times New Roman" w:hAnsi="Times New Roman" w:cs="Times New Roman"/>
        </w:rPr>
        <w:tab/>
      </w:r>
      <w:r w:rsidRPr="00E64C12">
        <w:rPr>
          <w:rFonts w:ascii="Times New Roman" w:hAnsi="Times New Roman" w:cs="Times New Roman"/>
        </w:rPr>
        <w:tab/>
      </w:r>
      <w:r w:rsidRPr="00E64C12">
        <w:rPr>
          <w:rFonts w:ascii="Times New Roman" w:hAnsi="Times New Roman" w:cs="Times New Roman"/>
        </w:rPr>
        <w:tab/>
        <w:t>(8.16)</w:t>
      </w:r>
    </w:p>
    <w:p w:rsidR="00E64C12" w:rsidRPr="00E64C12" w:rsidRDefault="00E64C12" w:rsidP="00E64C12">
      <w:pPr>
        <w:spacing w:line="360" w:lineRule="auto"/>
        <w:jc w:val="both"/>
        <w:rPr>
          <w:rFonts w:ascii="Times New Roman" w:hAnsi="Times New Roman" w:cs="Times New Roman"/>
        </w:rPr>
      </w:pPr>
      <w:r w:rsidRPr="00E64C12">
        <w:rPr>
          <w:rFonts w:ascii="Times New Roman" w:hAnsi="Times New Roman" w:cs="Times New Roman"/>
        </w:rPr>
        <w:t>Gdzie przyjęto oznaczenia:</w:t>
      </w:r>
    </w:p>
    <w:p w:rsidR="00E64C12" w:rsidRPr="00E64C12" w:rsidRDefault="00E64C12" w:rsidP="00E64C12">
      <w:pPr>
        <w:spacing w:line="360" w:lineRule="auto"/>
        <w:jc w:val="both"/>
        <w:rPr>
          <w:rFonts w:ascii="Times New Roman" w:hAnsi="Times New Roman" w:cs="Times New Roman"/>
        </w:rPr>
      </w:pPr>
      <w:r w:rsidRPr="00E64C12">
        <w:rPr>
          <w:rFonts w:ascii="Times New Roman" w:hAnsi="Times New Roman" w:cs="Times New Roman"/>
          <w:position w:val="-12"/>
        </w:rPr>
        <w:object w:dxaOrig="260" w:dyaOrig="360">
          <v:shape id="_x0000_i1026" type="#_x0000_t75" style="width:12.75pt;height:18pt" o:ole="">
            <v:imagedata r:id="rId38" o:title=""/>
          </v:shape>
          <o:OLEObject Type="Embed" ProgID="Equation.3" ShapeID="_x0000_i1026" DrawAspect="Content" ObjectID="_1818828080" r:id="rId39"/>
        </w:object>
      </w:r>
      <w:r w:rsidRPr="00E64C12">
        <w:rPr>
          <w:rFonts w:ascii="Times New Roman" w:hAnsi="Times New Roman" w:cs="Times New Roman"/>
        </w:rPr>
        <w:t>- prędkość wiatru na wysokości h [m/s].</w:t>
      </w:r>
    </w:p>
    <w:p w:rsidR="00E64C12" w:rsidRPr="00E64C12" w:rsidRDefault="00E64C12" w:rsidP="00E64C12">
      <w:pPr>
        <w:spacing w:line="360" w:lineRule="auto"/>
        <w:jc w:val="both"/>
        <w:rPr>
          <w:rFonts w:ascii="Times New Roman" w:hAnsi="Times New Roman" w:cs="Times New Roman"/>
        </w:rPr>
      </w:pPr>
      <w:r w:rsidRPr="00E64C12">
        <w:rPr>
          <w:rFonts w:ascii="Times New Roman" w:hAnsi="Times New Roman" w:cs="Times New Roman"/>
          <w:position w:val="-12"/>
        </w:rPr>
        <w:object w:dxaOrig="260" w:dyaOrig="360">
          <v:shape id="_x0000_i1027" type="#_x0000_t75" style="width:12.75pt;height:18pt" o:ole="">
            <v:imagedata r:id="rId40" o:title=""/>
          </v:shape>
          <o:OLEObject Type="Embed" ProgID="Equation.3" ShapeID="_x0000_i1027" DrawAspect="Content" ObjectID="_1818828081" r:id="rId41"/>
        </w:object>
      </w:r>
      <w:r w:rsidRPr="00E64C12">
        <w:rPr>
          <w:rFonts w:ascii="Times New Roman" w:hAnsi="Times New Roman" w:cs="Times New Roman"/>
        </w:rPr>
        <w:t>- prędkość wiatru na wysokości h</w:t>
      </w:r>
      <w:r w:rsidRPr="00E64C12">
        <w:rPr>
          <w:rFonts w:ascii="Times New Roman" w:hAnsi="Times New Roman" w:cs="Times New Roman"/>
          <w:vertAlign w:val="subscript"/>
        </w:rPr>
        <w:t xml:space="preserve">0 </w:t>
      </w:r>
      <w:r w:rsidRPr="00E64C12">
        <w:rPr>
          <w:rFonts w:ascii="Times New Roman" w:hAnsi="Times New Roman" w:cs="Times New Roman"/>
        </w:rPr>
        <w:t>[m/s].</w:t>
      </w:r>
    </w:p>
    <w:p w:rsidR="00E64C12" w:rsidRPr="00E64C12" w:rsidRDefault="00E64C12" w:rsidP="00E64C12">
      <w:pPr>
        <w:spacing w:line="360" w:lineRule="auto"/>
        <w:jc w:val="both"/>
        <w:rPr>
          <w:rFonts w:ascii="Times New Roman" w:hAnsi="Times New Roman" w:cs="Times New Roman"/>
        </w:rPr>
      </w:pPr>
      <w:r w:rsidRPr="00E64C12">
        <w:rPr>
          <w:rFonts w:ascii="Times New Roman" w:hAnsi="Times New Roman" w:cs="Times New Roman"/>
          <w:position w:val="-12"/>
        </w:rPr>
        <w:object w:dxaOrig="260" w:dyaOrig="360">
          <v:shape id="_x0000_i1028" type="#_x0000_t75" style="width:12.75pt;height:18pt" o:ole="">
            <v:imagedata r:id="rId42" o:title=""/>
          </v:shape>
          <o:OLEObject Type="Embed" ProgID="Equation.3" ShapeID="_x0000_i1028" DrawAspect="Content" ObjectID="_1818828082" r:id="rId43"/>
        </w:object>
      </w:r>
      <w:r w:rsidRPr="00E64C12">
        <w:rPr>
          <w:rFonts w:ascii="Times New Roman" w:hAnsi="Times New Roman" w:cs="Times New Roman"/>
        </w:rPr>
        <w:t>- wysokość usytuowania nadajnika prędkości wiatru [m].</w:t>
      </w:r>
    </w:p>
    <w:p w:rsidR="00E64C12" w:rsidRDefault="00E64C12" w:rsidP="00E64C12">
      <w:pPr>
        <w:tabs>
          <w:tab w:val="num" w:pos="720"/>
        </w:tabs>
        <w:spacing w:line="360" w:lineRule="auto"/>
        <w:jc w:val="both"/>
      </w:pPr>
      <w:r w:rsidRPr="00E64C12">
        <w:rPr>
          <w:rFonts w:ascii="Times New Roman" w:hAnsi="Times New Roman" w:cs="Times New Roman"/>
          <w:position w:val="-6"/>
        </w:rPr>
        <w:object w:dxaOrig="200" w:dyaOrig="279">
          <v:shape id="_x0000_i1029" type="#_x0000_t75" style="width:9.75pt;height:14.25pt" o:ole="">
            <v:imagedata r:id="rId44" o:title=""/>
          </v:shape>
          <o:OLEObject Type="Embed" ProgID="Equation.3" ShapeID="_x0000_i1029" DrawAspect="Content" ObjectID="_1818828083" r:id="rId45"/>
        </w:object>
      </w:r>
      <w:r w:rsidRPr="00E64C12">
        <w:rPr>
          <w:rFonts w:ascii="Times New Roman" w:hAnsi="Times New Roman" w:cs="Times New Roman"/>
        </w:rPr>
        <w:t>- wysokość dla której obliczana jest prędkość wiatru [m].</w:t>
      </w:r>
    </w:p>
    <w:p w:rsidR="00E64C12" w:rsidRPr="00E64C12" w:rsidRDefault="00E64C12" w:rsidP="00E64C12">
      <w:pPr>
        <w:tabs>
          <w:tab w:val="num" w:pos="720"/>
        </w:tabs>
        <w:spacing w:line="360" w:lineRule="auto"/>
        <w:jc w:val="both"/>
        <w:rPr>
          <w:rFonts w:ascii="Times New Roman" w:hAnsi="Times New Roman" w:cs="Times New Roman"/>
        </w:rPr>
      </w:pPr>
      <w:r w:rsidRPr="00E64C12">
        <w:rPr>
          <w:rFonts w:ascii="Times New Roman" w:hAnsi="Times New Roman" w:cs="Times New Roman"/>
        </w:rPr>
        <w:t>n - szorstkość.</w:t>
      </w:r>
    </w:p>
    <w:p w:rsidR="00E64C12" w:rsidRDefault="00E64C12" w:rsidP="00E64C12">
      <w:pPr>
        <w:spacing w:line="360" w:lineRule="auto"/>
        <w:jc w:val="both"/>
      </w:pPr>
    </w:p>
    <w:p w:rsidR="00E64C12" w:rsidRPr="00E64C12" w:rsidRDefault="00E64C12" w:rsidP="00E64C12">
      <w:pPr>
        <w:jc w:val="both"/>
        <w:rPr>
          <w:rFonts w:ascii="Times New Roman" w:hAnsi="Times New Roman" w:cs="Times New Roman"/>
          <w:sz w:val="22"/>
          <w:szCs w:val="22"/>
        </w:rPr>
      </w:pPr>
      <w:r w:rsidRPr="00E64C12">
        <w:rPr>
          <w:rFonts w:ascii="Times New Roman" w:hAnsi="Times New Roman" w:cs="Times New Roman"/>
          <w:sz w:val="22"/>
          <w:szCs w:val="22"/>
        </w:rPr>
        <w:t xml:space="preserve">Szorstkość n jest definiowana jako wysokość nad poziomem ziemi, na której prędkość wiatru jest zredukowana do wartości 0m/s na skutek oddziaływania podłoża na ruchy powietrza. Oczywistym jest, że dla warunków panujących </w:t>
      </w:r>
      <w:r>
        <w:rPr>
          <w:rFonts w:ascii="Times New Roman" w:hAnsi="Times New Roman" w:cs="Times New Roman"/>
          <w:sz w:val="22"/>
          <w:szCs w:val="22"/>
        </w:rPr>
        <w:t>w Gminie Wieliczki</w:t>
      </w:r>
      <w:r w:rsidRPr="00E64C12">
        <w:rPr>
          <w:rFonts w:ascii="Times New Roman" w:hAnsi="Times New Roman" w:cs="Times New Roman"/>
          <w:sz w:val="22"/>
          <w:szCs w:val="22"/>
        </w:rPr>
        <w:t>, na wysokości niewiele przewyższającej wysokość budynków, powyższy wzór nie ma żadnego praktycznego zastosowania.</w:t>
      </w:r>
    </w:p>
    <w:p w:rsidR="008E3F6F" w:rsidRPr="00B941F4" w:rsidRDefault="008E3F6F" w:rsidP="008E3F6F">
      <w:pPr>
        <w:pStyle w:val="Nagwek3"/>
        <w:rPr>
          <w:rFonts w:ascii="Times New Roman" w:hAnsi="Times New Roman" w:cs="Times New Roman"/>
        </w:rPr>
      </w:pPr>
      <w:bookmarkStart w:id="63" w:name="_Toc77321948"/>
      <w:bookmarkStart w:id="64" w:name="_Toc23629594"/>
      <w:r w:rsidRPr="00B941F4">
        <w:rPr>
          <w:rFonts w:ascii="Times New Roman" w:hAnsi="Times New Roman" w:cs="Times New Roman"/>
        </w:rPr>
        <w:t>3.</w:t>
      </w:r>
      <w:r w:rsidR="00D1122F" w:rsidRPr="00B941F4">
        <w:rPr>
          <w:rFonts w:ascii="Times New Roman" w:hAnsi="Times New Roman" w:cs="Times New Roman"/>
        </w:rPr>
        <w:t>2</w:t>
      </w:r>
      <w:r w:rsidRPr="00B941F4">
        <w:rPr>
          <w:rFonts w:ascii="Times New Roman" w:hAnsi="Times New Roman" w:cs="Times New Roman"/>
        </w:rPr>
        <w:t>.2 Energia słoneczna</w:t>
      </w:r>
      <w:bookmarkEnd w:id="63"/>
    </w:p>
    <w:p w:rsidR="00CB3BAC" w:rsidRDefault="00194C4A" w:rsidP="003A425C">
      <w:pPr>
        <w:pStyle w:val="tekst"/>
      </w:pPr>
      <w:r w:rsidRPr="003A425C">
        <w:t xml:space="preserve">Cały obszar województwa </w:t>
      </w:r>
      <w:r w:rsidR="00E64C12">
        <w:t xml:space="preserve">warmińsko-mazurskiego </w:t>
      </w:r>
      <w:r w:rsidRPr="003A425C">
        <w:t>ma zbliżony potencjał w zakresie uzyskania energii z rocznego promieniowania słonecznego. Średnia roczna gęstość</w:t>
      </w:r>
      <w:r w:rsidRPr="003A425C">
        <w:br/>
        <w:t xml:space="preserve">promieniowania słonecznego wynosi w województwie </w:t>
      </w:r>
      <w:r w:rsidR="00843290">
        <w:t>kujawsko-pomorskim</w:t>
      </w:r>
      <w:r w:rsidRPr="003A425C">
        <w:t xml:space="preserve"> około</w:t>
      </w:r>
      <w:r w:rsidR="00B656D3">
        <w:t xml:space="preserve"> </w:t>
      </w:r>
      <w:r w:rsidR="00E64C12">
        <w:t>950</w:t>
      </w:r>
      <w:r w:rsidR="00B656D3">
        <w:t>-</w:t>
      </w:r>
      <w:r w:rsidRPr="003A425C">
        <w:t xml:space="preserve"> 1</w:t>
      </w:r>
      <w:r w:rsidR="00E64C12">
        <w:t>050</w:t>
      </w:r>
      <w:r w:rsidRPr="003A425C">
        <w:br/>
        <w:t>kWh/(m</w:t>
      </w:r>
      <w:r w:rsidRPr="00E64C12">
        <w:rPr>
          <w:vertAlign w:val="superscript"/>
        </w:rPr>
        <w:t>2</w:t>
      </w:r>
      <w:r w:rsidRPr="003A425C">
        <w:sym w:font="Symbol" w:char="F0D7"/>
      </w:r>
      <w:r w:rsidRPr="003A425C">
        <w:t>rok)</w:t>
      </w:r>
      <w:r w:rsidR="008E3F6F" w:rsidRPr="003A425C">
        <w:t xml:space="preserve">. </w:t>
      </w:r>
      <w:r w:rsidRPr="003A425C">
        <w:t>Wieloletnie badania potwierdzają nieco</w:t>
      </w:r>
      <w:r w:rsidR="008E3F6F" w:rsidRPr="003A425C">
        <w:t xml:space="preserve"> mniej</w:t>
      </w:r>
      <w:r w:rsidRPr="003A425C">
        <w:t xml:space="preserve"> korzystn</w:t>
      </w:r>
      <w:r w:rsidR="008E3F6F" w:rsidRPr="003A425C">
        <w:t xml:space="preserve">e </w:t>
      </w:r>
      <w:r w:rsidRPr="003A425C">
        <w:t xml:space="preserve">warunki występujące w </w:t>
      </w:r>
      <w:r w:rsidR="00B656D3">
        <w:t>południowej</w:t>
      </w:r>
      <w:r w:rsidRPr="003A425C">
        <w:t xml:space="preserve"> części województwa</w:t>
      </w:r>
      <w:r w:rsidR="00CB3BAC">
        <w:t xml:space="preserve"> (zob. mapa poniżej)</w:t>
      </w:r>
      <w:r w:rsidR="008E3F6F" w:rsidRPr="003A425C">
        <w:t>.</w:t>
      </w:r>
    </w:p>
    <w:p w:rsidR="008E3F6F" w:rsidRPr="003A425C" w:rsidRDefault="008E3F6F" w:rsidP="003A425C">
      <w:pPr>
        <w:pStyle w:val="tekst"/>
      </w:pPr>
    </w:p>
    <w:p w:rsidR="008E3F6F" w:rsidRPr="003A425C" w:rsidRDefault="008E3F6F" w:rsidP="008E3F6F">
      <w:pPr>
        <w:pStyle w:val="Legenda"/>
        <w:rPr>
          <w:sz w:val="20"/>
        </w:rPr>
      </w:pPr>
      <w:bookmarkStart w:id="65" w:name="_Toc75946964"/>
      <w:r w:rsidRPr="003A425C">
        <w:rPr>
          <w:sz w:val="20"/>
        </w:rPr>
        <w:t xml:space="preserve">Mapa </w:t>
      </w:r>
      <w:r w:rsidR="00A05E44" w:rsidRPr="003A425C">
        <w:rPr>
          <w:sz w:val="20"/>
        </w:rPr>
        <w:fldChar w:fldCharType="begin"/>
      </w:r>
      <w:r w:rsidRPr="003A425C">
        <w:rPr>
          <w:sz w:val="20"/>
        </w:rPr>
        <w:instrText xml:space="preserve"> SEQ Mapa \* ARABIC </w:instrText>
      </w:r>
      <w:r w:rsidR="00A05E44" w:rsidRPr="003A425C">
        <w:rPr>
          <w:sz w:val="20"/>
        </w:rPr>
        <w:fldChar w:fldCharType="separate"/>
      </w:r>
      <w:r w:rsidR="00F20FF3">
        <w:rPr>
          <w:noProof/>
          <w:sz w:val="20"/>
        </w:rPr>
        <w:t>4</w:t>
      </w:r>
      <w:r w:rsidR="00A05E44" w:rsidRPr="003A425C">
        <w:rPr>
          <w:sz w:val="20"/>
        </w:rPr>
        <w:fldChar w:fldCharType="end"/>
      </w:r>
      <w:r w:rsidRPr="003A425C">
        <w:rPr>
          <w:sz w:val="20"/>
        </w:rPr>
        <w:t xml:space="preserve"> Nasłonecznienie w Polsce</w:t>
      </w:r>
      <w:bookmarkEnd w:id="65"/>
    </w:p>
    <w:p w:rsidR="008E3F6F" w:rsidRDefault="008E3F6F" w:rsidP="008E3F6F">
      <w:pPr>
        <w:pStyle w:val="tekst"/>
      </w:pPr>
      <w:r w:rsidRPr="008278D1">
        <w:rPr>
          <w:rFonts w:cs="Times New Roman"/>
          <w:noProof/>
        </w:rPr>
        <w:drawing>
          <wp:inline distT="0" distB="0" distL="0" distR="0">
            <wp:extent cx="3086100" cy="2933386"/>
            <wp:effectExtent l="0" t="0" r="0" b="635"/>
            <wp:docPr id="6" name="Obraz 6" descr="C:\Users\PC\Desktop\Łysomice\mapasol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Łysomice\mapasolary.pn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8795" cy="2945452"/>
                    </a:xfrm>
                    <a:prstGeom prst="rect">
                      <a:avLst/>
                    </a:prstGeom>
                    <a:noFill/>
                    <a:ln>
                      <a:noFill/>
                    </a:ln>
                  </pic:spPr>
                </pic:pic>
              </a:graphicData>
            </a:graphic>
          </wp:inline>
        </w:drawing>
      </w:r>
    </w:p>
    <w:p w:rsidR="008E3F6F" w:rsidRDefault="008E3F6F" w:rsidP="008E3F6F">
      <w:pPr>
        <w:pStyle w:val="tekst"/>
        <w:ind w:firstLine="0"/>
        <w:rPr>
          <w:i/>
        </w:rPr>
      </w:pPr>
      <w:r w:rsidRPr="008E3F6F">
        <w:rPr>
          <w:i/>
        </w:rPr>
        <w:t>Źródło: teplo.pl</w:t>
      </w:r>
      <w:r w:rsidR="00CB3BAC">
        <w:rPr>
          <w:i/>
        </w:rPr>
        <w:t>.</w:t>
      </w:r>
    </w:p>
    <w:p w:rsidR="00CB3BAC" w:rsidRPr="008E3F6F" w:rsidRDefault="00CB3BAC" w:rsidP="008E3F6F">
      <w:pPr>
        <w:pStyle w:val="tekst"/>
        <w:ind w:firstLine="0"/>
        <w:rPr>
          <w:i/>
        </w:rPr>
      </w:pPr>
    </w:p>
    <w:p w:rsidR="00194C4A" w:rsidRPr="008E3F6F" w:rsidRDefault="00194C4A" w:rsidP="008E3F6F">
      <w:pPr>
        <w:pStyle w:val="tekst"/>
        <w:rPr>
          <w:i/>
        </w:rPr>
      </w:pPr>
      <w:r w:rsidRPr="00194C4A">
        <w:t xml:space="preserve">Potencjał teoretyczny energii promieniowania słonecznego, oznaczający całkowity strumień energii docierający w ciągu roku do obszaru województwa, wynosi </w:t>
      </w:r>
      <w:r w:rsidR="00E64C12">
        <w:t xml:space="preserve">24,173 </w:t>
      </w:r>
      <w:r w:rsidRPr="00194C4A">
        <w:t>TWh</w:t>
      </w:r>
      <w:r w:rsidR="00E64C12">
        <w:t>/rok</w:t>
      </w:r>
      <w:r w:rsidRPr="00194C4A">
        <w:t xml:space="preserve">. Potencjał techniczny, równy strumieniowi energii promieniowania słonecznego docierającemu na tereny zabudowane, wynosi </w:t>
      </w:r>
      <w:r w:rsidR="00E64C12">
        <w:rPr>
          <w:b/>
        </w:rPr>
        <w:t xml:space="preserve">1,088 </w:t>
      </w:r>
      <w:r w:rsidRPr="00194C4A">
        <w:rPr>
          <w:b/>
        </w:rPr>
        <w:t>TWh</w:t>
      </w:r>
      <w:r w:rsidR="00B2281B">
        <w:rPr>
          <w:bCs/>
        </w:rPr>
        <w:t>(zob. rysunek poniżej)</w:t>
      </w:r>
      <w:bookmarkEnd w:id="64"/>
      <w:r w:rsidR="002B578F">
        <w:rPr>
          <w:b/>
        </w:rPr>
        <w:t>.</w:t>
      </w:r>
    </w:p>
    <w:p w:rsidR="00194C4A" w:rsidRPr="00194C4A" w:rsidRDefault="00194C4A" w:rsidP="00247A48">
      <w:pPr>
        <w:pStyle w:val="tekst"/>
      </w:pPr>
      <w:r w:rsidRPr="00194C4A">
        <w:t>Możliwości wykorzystania zasobów energii słonecznej leżą przede wszystkim w zdolnościach przesyłowych systemów energetycznych. Spadające w szybkim tempie koszty instalacji źródeł fotowoltaicznych oraz rosnące ceny prądu sprawiają</w:t>
      </w:r>
      <w:r w:rsidR="00CB3BAC">
        <w:t>,</w:t>
      </w:r>
      <w:r w:rsidRPr="00194C4A">
        <w:t xml:space="preserve"> iż coraz mniej jest możliwości podłączenia instalacji do sieci ze względu na rosnący popyt na systemy fotowoltaiczne. </w:t>
      </w:r>
    </w:p>
    <w:p w:rsidR="00194C4A" w:rsidRPr="00194C4A" w:rsidRDefault="00194C4A" w:rsidP="00247A48">
      <w:pPr>
        <w:pStyle w:val="tekst"/>
      </w:pPr>
      <w:r w:rsidRPr="00194C4A">
        <w:t>Tak jak zostało to opisane w rozdziale 4</w:t>
      </w:r>
      <w:r w:rsidR="00CB3BAC">
        <w:t>,</w:t>
      </w:r>
      <w:r w:rsidRPr="00194C4A">
        <w:t xml:space="preserve"> gwałtowny rozwój systemów fotowoltaicznych będzie w najbliższych latach kluczowy dla rozwoju systemu elektroenergetycznego. Potencjalni inwestorzy mogą liczyć na szereg udogodnień. W przypadku mikroinstalacji są to:</w:t>
      </w:r>
    </w:p>
    <w:p w:rsidR="00194C4A" w:rsidRPr="00194C4A" w:rsidRDefault="00194C4A" w:rsidP="008A40A2">
      <w:pPr>
        <w:pStyle w:val="tekst"/>
        <w:numPr>
          <w:ilvl w:val="0"/>
          <w:numId w:val="25"/>
        </w:numPr>
      </w:pPr>
      <w:r w:rsidRPr="00194C4A">
        <w:lastRenderedPageBreak/>
        <w:t>preferencyjne pożyczki z programu „Czyste Powietrze” oraz komercyjne oferty bankowe</w:t>
      </w:r>
      <w:r w:rsidR="00CB3BAC">
        <w:t>,</w:t>
      </w:r>
    </w:p>
    <w:p w:rsidR="00194C4A" w:rsidRPr="00CB3BAC" w:rsidRDefault="00194C4A" w:rsidP="008A40A2">
      <w:pPr>
        <w:pStyle w:val="tekst"/>
        <w:numPr>
          <w:ilvl w:val="0"/>
          <w:numId w:val="25"/>
        </w:numPr>
      </w:pPr>
      <w:r w:rsidRPr="00CB3BAC">
        <w:t>możliwość odliczenia od podatku</w:t>
      </w:r>
      <w:r w:rsidR="00CB3BAC" w:rsidRPr="009A4E08">
        <w:t>,</w:t>
      </w:r>
    </w:p>
    <w:p w:rsidR="00194C4A" w:rsidRPr="00CB3BAC" w:rsidRDefault="00194C4A" w:rsidP="008A40A2">
      <w:pPr>
        <w:pStyle w:val="tekst"/>
        <w:numPr>
          <w:ilvl w:val="0"/>
          <w:numId w:val="25"/>
        </w:numPr>
      </w:pPr>
      <w:r w:rsidRPr="00CB3BAC">
        <w:t>możliwość korzystania z netmetteringu czyli tzw. magazynowania nadwyżek energii w sieci</w:t>
      </w:r>
      <w:r w:rsidR="00CB3BAC" w:rsidRPr="009A4E08">
        <w:t>,</w:t>
      </w:r>
    </w:p>
    <w:p w:rsidR="00194C4A" w:rsidRPr="00CB3BAC" w:rsidRDefault="00194C4A" w:rsidP="008A40A2">
      <w:pPr>
        <w:pStyle w:val="tekst"/>
        <w:numPr>
          <w:ilvl w:val="0"/>
          <w:numId w:val="25"/>
        </w:numPr>
      </w:pPr>
      <w:r w:rsidRPr="00CB3BAC">
        <w:t>możliwość korzystania z dotacji z funduszy RPO lub funduszy rządowych np. „Mój Prąd”</w:t>
      </w:r>
      <w:r w:rsidR="00CB3BAC" w:rsidRPr="009A4E08">
        <w:t>.</w:t>
      </w:r>
    </w:p>
    <w:p w:rsidR="00247A48" w:rsidRDefault="00194C4A" w:rsidP="00247A48">
      <w:pPr>
        <w:pStyle w:val="tekst"/>
      </w:pPr>
      <w:r w:rsidRPr="00194C4A">
        <w:t>Inwestorzy planujący komercyjnie wykorzystać energię słońca mogą liczyć na preferencyjne kredyty, niskie podatki (korzystna interpretacja NSA sygnatura II FSK 1275/18), prefer</w:t>
      </w:r>
      <w:r w:rsidR="00CB3BAC">
        <w:t>e</w:t>
      </w:r>
      <w:r w:rsidRPr="00194C4A">
        <w:t xml:space="preserve">ncje w odbiorze energii przez sieć. Energia </w:t>
      </w:r>
      <w:r w:rsidR="00CB3BAC">
        <w:t xml:space="preserve">słoneczna jest </w:t>
      </w:r>
      <w:r w:rsidRPr="00194C4A">
        <w:t>tańsza niż z sieci</w:t>
      </w:r>
      <w:r w:rsidR="00CB3BAC">
        <w:t>,</w:t>
      </w:r>
      <w:r w:rsidRPr="00194C4A">
        <w:t xml:space="preserve"> w związku z tym </w:t>
      </w:r>
      <w:r w:rsidR="00CB3BAC">
        <w:t xml:space="preserve">jest to </w:t>
      </w:r>
      <w:r w:rsidRPr="00194C4A">
        <w:t>istotna rozważenia inwestycja dla obiektów przemysłowych</w:t>
      </w:r>
      <w:r w:rsidR="00CB3BAC">
        <w:t>,</w:t>
      </w:r>
      <w:r w:rsidRPr="00194C4A">
        <w:t xml:space="preserve"> usługowych i administracyjnych.</w:t>
      </w:r>
    </w:p>
    <w:p w:rsidR="00247A48" w:rsidRDefault="00247A48" w:rsidP="00247A48">
      <w:pPr>
        <w:pStyle w:val="tekst"/>
      </w:pPr>
    </w:p>
    <w:p w:rsidR="00247A48" w:rsidRPr="003A425C" w:rsidRDefault="00247A48" w:rsidP="00247A48">
      <w:pPr>
        <w:pStyle w:val="Legenda"/>
        <w:rPr>
          <w:rFonts w:ascii="Times New Roman" w:hAnsi="Times New Roman" w:cs="Times New Roman"/>
          <w:color w:val="000000"/>
          <w:sz w:val="28"/>
          <w:szCs w:val="22"/>
        </w:rPr>
      </w:pPr>
      <w:bookmarkStart w:id="66" w:name="_Toc77321978"/>
      <w:r w:rsidRPr="003A425C">
        <w:rPr>
          <w:sz w:val="20"/>
        </w:rPr>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1</w:t>
      </w:r>
      <w:r w:rsidR="00A05E44" w:rsidRPr="003A425C">
        <w:rPr>
          <w:sz w:val="20"/>
        </w:rPr>
        <w:fldChar w:fldCharType="end"/>
      </w:r>
      <w:r w:rsidR="00862CFB">
        <w:rPr>
          <w:sz w:val="20"/>
        </w:rPr>
        <w:t>Profil p</w:t>
      </w:r>
      <w:r w:rsidRPr="003A425C">
        <w:rPr>
          <w:sz w:val="20"/>
        </w:rPr>
        <w:t>rodukcj</w:t>
      </w:r>
      <w:r w:rsidR="00862CFB">
        <w:rPr>
          <w:sz w:val="20"/>
        </w:rPr>
        <w:t>i</w:t>
      </w:r>
      <w:r w:rsidRPr="003A425C">
        <w:rPr>
          <w:sz w:val="20"/>
        </w:rPr>
        <w:t xml:space="preserve"> energii elektrycznej ze słońca dla </w:t>
      </w:r>
      <w:bookmarkEnd w:id="66"/>
      <w:r w:rsidR="00E64C12">
        <w:rPr>
          <w:sz w:val="20"/>
        </w:rPr>
        <w:t>Gminy Wieliczki</w:t>
      </w:r>
    </w:p>
    <w:p w:rsidR="00E64C12" w:rsidRPr="00E64C12" w:rsidRDefault="00E64C12" w:rsidP="00E64C12">
      <w:pPr>
        <w:pStyle w:val="Nagwek2"/>
        <w:rPr>
          <w:rFonts w:ascii="Times New Roman" w:hAnsi="Times New Roman" w:cs="Times New Roman"/>
          <w:color w:val="auto"/>
          <w:sz w:val="22"/>
          <w:szCs w:val="22"/>
        </w:rPr>
      </w:pPr>
      <w:r w:rsidRPr="00E64C12">
        <w:rPr>
          <w:rFonts w:ascii="Times New Roman" w:hAnsi="Times New Roman" w:cs="Times New Roman"/>
          <w:color w:val="auto"/>
          <w:sz w:val="22"/>
          <w:szCs w:val="22"/>
        </w:rPr>
        <w:t>Produkcja roczna według wielkości instalacji</w:t>
      </w:r>
    </w:p>
    <w:p w:rsidR="00E64C12" w:rsidRDefault="00E64C12" w:rsidP="00E64C12">
      <w:pPr>
        <w:pStyle w:val="NormalnyWeb"/>
      </w:pPr>
      <w:r>
        <w:rPr>
          <w:rStyle w:val="relative"/>
          <w:rFonts w:eastAsiaTheme="majorEastAsia"/>
        </w:rPr>
        <w:t>Przy założeniu ustawienia modułów pod kątem ok. 43° (na południe, bez zacienienia), roczne uzyski z instalacji PV to</w:t>
      </w:r>
      <w:r>
        <w:t xml:space="preserve"> </w:t>
      </w:r>
      <w:hyperlink r:id="rId47" w:tgtFrame="_blank" w:history="1">
        <w:r>
          <w:rPr>
            <w:rStyle w:val="max-w-full"/>
            <w:rFonts w:eastAsiaTheme="majorEastAsia"/>
            <w:color w:val="0000FF"/>
            <w:u w:val="single"/>
          </w:rPr>
          <w:t>kalkulatormocy.pl</w:t>
        </w:r>
        <w:r>
          <w:rPr>
            <w:rStyle w:val="-me-1"/>
            <w:rFonts w:eastAsiaTheme="majorEastAsia"/>
            <w:color w:val="0000FF"/>
            <w:u w:val="single"/>
          </w:rPr>
          <w:t>+1</w:t>
        </w:r>
        <w:r>
          <w:rPr>
            <w:rStyle w:val="max-w-full"/>
            <w:rFonts w:eastAsiaTheme="majorEastAsia"/>
            <w:color w:val="0000FF"/>
            <w:u w:val="single"/>
          </w:rPr>
          <w:t>oze.net.pl</w:t>
        </w:r>
        <w:r>
          <w:rPr>
            <w:rStyle w:val="-me-1"/>
            <w:rFonts w:eastAsiaTheme="majorEastAsia"/>
            <w:color w:val="0000FF"/>
            <w:u w:val="single"/>
          </w:rPr>
          <w:t>+1</w:t>
        </w:r>
      </w:hyperlink>
      <w:r>
        <w:t>:</w:t>
      </w:r>
    </w:p>
    <w:tbl>
      <w:tblPr>
        <w:tblW w:w="0" w:type="auto"/>
        <w:tblCellSpacing w:w="15" w:type="dxa"/>
        <w:tblCellMar>
          <w:top w:w="15" w:type="dxa"/>
          <w:left w:w="15" w:type="dxa"/>
          <w:bottom w:w="15" w:type="dxa"/>
          <w:right w:w="15" w:type="dxa"/>
        </w:tblCellMar>
        <w:tblLook w:val="04A0"/>
      </w:tblPr>
      <w:tblGrid>
        <w:gridCol w:w="1401"/>
        <w:gridCol w:w="2508"/>
      </w:tblGrid>
      <w:tr w:rsidR="00E64C12" w:rsidTr="00E64C12">
        <w:trPr>
          <w:tblHeader/>
          <w:tblCellSpacing w:w="15" w:type="dxa"/>
        </w:trPr>
        <w:tc>
          <w:tcPr>
            <w:tcW w:w="0" w:type="auto"/>
            <w:vAlign w:val="center"/>
            <w:hideMark/>
          </w:tcPr>
          <w:p w:rsidR="00E64C12" w:rsidRPr="00E64C12" w:rsidRDefault="00E64C12">
            <w:pPr>
              <w:jc w:val="center"/>
              <w:rPr>
                <w:rFonts w:ascii="Times New Roman" w:hAnsi="Times New Roman" w:cs="Times New Roman"/>
                <w:b/>
                <w:bCs/>
                <w:sz w:val="22"/>
                <w:szCs w:val="22"/>
              </w:rPr>
            </w:pPr>
            <w:r w:rsidRPr="00E64C12">
              <w:rPr>
                <w:rFonts w:ascii="Times New Roman" w:hAnsi="Times New Roman" w:cs="Times New Roman"/>
                <w:b/>
                <w:bCs/>
                <w:sz w:val="22"/>
                <w:szCs w:val="22"/>
              </w:rPr>
              <w:t>Moc instalacji</w:t>
            </w:r>
          </w:p>
        </w:tc>
        <w:tc>
          <w:tcPr>
            <w:tcW w:w="0" w:type="auto"/>
            <w:vAlign w:val="center"/>
            <w:hideMark/>
          </w:tcPr>
          <w:p w:rsidR="00E64C12" w:rsidRPr="00E64C12" w:rsidRDefault="00E64C12">
            <w:pPr>
              <w:jc w:val="center"/>
              <w:rPr>
                <w:rFonts w:ascii="Times New Roman" w:hAnsi="Times New Roman" w:cs="Times New Roman"/>
                <w:b/>
                <w:bCs/>
                <w:sz w:val="22"/>
                <w:szCs w:val="22"/>
              </w:rPr>
            </w:pPr>
            <w:r w:rsidRPr="00E64C12">
              <w:rPr>
                <w:rFonts w:ascii="Times New Roman" w:hAnsi="Times New Roman" w:cs="Times New Roman"/>
                <w:b/>
                <w:bCs/>
                <w:sz w:val="22"/>
                <w:szCs w:val="22"/>
              </w:rPr>
              <w:t>Roczna produkcja energii</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2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2 154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3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3 231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4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4 308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5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5 385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6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6 462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7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7 539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8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8 616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9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9 693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10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10 770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15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16 155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20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21 540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30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32 310 kWh</w:t>
            </w:r>
          </w:p>
        </w:tc>
      </w:tr>
      <w:tr w:rsidR="00E64C12" w:rsidTr="00E64C12">
        <w:trPr>
          <w:tblCellSpacing w:w="15" w:type="dxa"/>
        </w:trPr>
        <w:tc>
          <w:tcPr>
            <w:tcW w:w="0" w:type="auto"/>
            <w:vAlign w:val="center"/>
            <w:hideMark/>
          </w:tcPr>
          <w:p w:rsidR="00E64C12" w:rsidRPr="00E64C12" w:rsidRDefault="00E64C12">
            <w:pPr>
              <w:rPr>
                <w:rFonts w:ascii="Times New Roman" w:hAnsi="Times New Roman" w:cs="Times New Roman"/>
                <w:sz w:val="22"/>
                <w:szCs w:val="22"/>
              </w:rPr>
            </w:pPr>
            <w:r w:rsidRPr="00E64C12">
              <w:rPr>
                <w:rFonts w:ascii="Times New Roman" w:hAnsi="Times New Roman" w:cs="Times New Roman"/>
                <w:sz w:val="22"/>
                <w:szCs w:val="22"/>
              </w:rPr>
              <w:t>50 kWp</w:t>
            </w:r>
          </w:p>
        </w:tc>
        <w:tc>
          <w:tcPr>
            <w:tcW w:w="0" w:type="auto"/>
            <w:vAlign w:val="center"/>
            <w:hideMark/>
          </w:tcPr>
          <w:p w:rsidR="00E64C12" w:rsidRPr="00E64C12" w:rsidRDefault="00E64C12">
            <w:pPr>
              <w:rPr>
                <w:rFonts w:ascii="Times New Roman" w:hAnsi="Times New Roman" w:cs="Times New Roman"/>
                <w:sz w:val="22"/>
                <w:szCs w:val="22"/>
              </w:rPr>
            </w:pPr>
            <w:r w:rsidRPr="00E64C12">
              <w:rPr>
                <w:rStyle w:val="relative"/>
                <w:rFonts w:ascii="Times New Roman" w:hAnsi="Times New Roman" w:cs="Times New Roman"/>
                <w:sz w:val="22"/>
                <w:szCs w:val="22"/>
              </w:rPr>
              <w:t>53 850 kWh</w:t>
            </w:r>
          </w:p>
        </w:tc>
      </w:tr>
    </w:tbl>
    <w:p w:rsidR="00180F27" w:rsidRDefault="00E64C12" w:rsidP="00E64C12">
      <w:pPr>
        <w:ind w:firstLine="708"/>
        <w:rPr>
          <w:rFonts w:ascii="Times New Roman" w:hAnsi="Times New Roman" w:cs="Times New Roman"/>
          <w:sz w:val="22"/>
          <w:szCs w:val="22"/>
        </w:rPr>
      </w:pPr>
      <w:r w:rsidRPr="00E64C12">
        <w:rPr>
          <w:rFonts w:ascii="Times New Roman" w:hAnsi="Times New Roman" w:cs="Times New Roman"/>
          <w:sz w:val="22"/>
          <w:szCs w:val="22"/>
        </w:rPr>
        <w:t xml:space="preserve">W gminie Wieliczki typowa instalacja PV ma moc </w:t>
      </w:r>
      <w:r w:rsidRPr="00E64C12">
        <w:rPr>
          <w:rStyle w:val="Pogrubienie"/>
          <w:rFonts w:ascii="Times New Roman" w:hAnsi="Times New Roman" w:cs="Times New Roman"/>
          <w:sz w:val="22"/>
          <w:szCs w:val="22"/>
        </w:rPr>
        <w:t>7,26 kWp</w:t>
      </w:r>
      <w:r w:rsidRPr="00E64C12">
        <w:rPr>
          <w:rFonts w:ascii="Times New Roman" w:hAnsi="Times New Roman" w:cs="Times New Roman"/>
          <w:sz w:val="22"/>
          <w:szCs w:val="22"/>
        </w:rPr>
        <w:t xml:space="preserve">, co daje produkcję rzędu </w:t>
      </w:r>
      <w:r w:rsidRPr="00E64C12">
        <w:rPr>
          <w:rStyle w:val="Pogrubienie"/>
          <w:rFonts w:ascii="Times New Roman" w:hAnsi="Times New Roman" w:cs="Times New Roman"/>
          <w:sz w:val="22"/>
          <w:szCs w:val="22"/>
        </w:rPr>
        <w:t>7,8 MWh rocznie</w:t>
      </w:r>
      <w:r w:rsidRPr="00E64C12">
        <w:rPr>
          <w:rFonts w:ascii="Times New Roman" w:hAnsi="Times New Roman" w:cs="Times New Roman"/>
          <w:sz w:val="22"/>
          <w:szCs w:val="22"/>
        </w:rPr>
        <w:t xml:space="preserve"> przy założeniach z kalkulatora (średni koszt 33 240 zł, zwrot inwestycji ~5 lat).</w:t>
      </w:r>
    </w:p>
    <w:p w:rsidR="00E64C12" w:rsidRPr="00E64C12" w:rsidRDefault="00E64C12" w:rsidP="003C5079">
      <w:pPr>
        <w:spacing w:before="100" w:beforeAutospacing="1" w:after="100" w:afterAutospacing="1" w:line="240" w:lineRule="auto"/>
        <w:ind w:firstLine="1416"/>
        <w:rPr>
          <w:rFonts w:ascii="Times New Roman" w:eastAsia="Times New Roman" w:hAnsi="Times New Roman" w:cs="Times New Roman"/>
          <w:sz w:val="24"/>
          <w:szCs w:val="24"/>
        </w:rPr>
      </w:pPr>
      <w:r w:rsidRPr="00E64C12">
        <w:rPr>
          <w:rFonts w:ascii="Times New Roman" w:eastAsia="Times New Roman" w:hAnsi="Times New Roman" w:cs="Times New Roman"/>
          <w:sz w:val="24"/>
          <w:szCs w:val="24"/>
        </w:rPr>
        <w:t xml:space="preserve">W planach jest budowa </w:t>
      </w:r>
      <w:r w:rsidRPr="00E64C12">
        <w:rPr>
          <w:rFonts w:ascii="Times New Roman" w:eastAsia="Times New Roman" w:hAnsi="Times New Roman" w:cs="Times New Roman"/>
          <w:bCs/>
          <w:sz w:val="24"/>
          <w:szCs w:val="24"/>
        </w:rPr>
        <w:t>farmy fotowoltaicznej o mocy do 70 MW</w:t>
      </w:r>
      <w:r w:rsidRPr="00E64C12">
        <w:rPr>
          <w:rFonts w:ascii="Times New Roman" w:eastAsia="Times New Roman" w:hAnsi="Times New Roman" w:cs="Times New Roman"/>
          <w:sz w:val="24"/>
          <w:szCs w:val="24"/>
        </w:rPr>
        <w:t xml:space="preserve"> w obrębie wsi Niedźwiedzkie (2025), z rozpoczęciem procedury środowiskowej w kwietniu 2025 r. </w:t>
      </w:r>
      <w:hyperlink r:id="rId48" w:tgtFrame="_blank" w:history="1">
        <w:r w:rsidRPr="00E64C12">
          <w:rPr>
            <w:rFonts w:ascii="Times New Roman" w:eastAsia="Times New Roman" w:hAnsi="Times New Roman" w:cs="Times New Roman"/>
            <w:color w:val="0000FF"/>
            <w:sz w:val="24"/>
            <w:szCs w:val="24"/>
            <w:u w:val="single"/>
          </w:rPr>
          <w:t>tauron-dystrybucja.pl+9bip.wieliczki.pl+9bip.wieliczki.pl+9</w:t>
        </w:r>
      </w:hyperlink>
      <w:r w:rsidRPr="00E64C12">
        <w:rPr>
          <w:rFonts w:ascii="Times New Roman" w:eastAsia="Times New Roman" w:hAnsi="Times New Roman" w:cs="Times New Roman"/>
          <w:sz w:val="24"/>
          <w:szCs w:val="24"/>
        </w:rPr>
        <w:t>.</w:t>
      </w:r>
    </w:p>
    <w:p w:rsidR="00E64C12" w:rsidRPr="00E64C12" w:rsidRDefault="00E64C12" w:rsidP="00E64C12">
      <w:pPr>
        <w:spacing w:before="100" w:beforeAutospacing="1" w:after="100" w:afterAutospacing="1" w:line="360" w:lineRule="auto"/>
        <w:ind w:firstLine="708"/>
        <w:jc w:val="both"/>
        <w:rPr>
          <w:rFonts w:ascii="Times New Roman" w:eastAsia="Times New Roman" w:hAnsi="Times New Roman" w:cs="Times New Roman"/>
          <w:sz w:val="24"/>
          <w:szCs w:val="24"/>
        </w:rPr>
      </w:pPr>
      <w:r w:rsidRPr="00E64C12">
        <w:rPr>
          <w:rFonts w:ascii="Times New Roman" w:eastAsia="Times New Roman" w:hAnsi="Times New Roman" w:cs="Times New Roman"/>
          <w:sz w:val="24"/>
          <w:szCs w:val="24"/>
        </w:rPr>
        <w:lastRenderedPageBreak/>
        <w:t xml:space="preserve">Tak duża farma może generować rocznie </w:t>
      </w:r>
      <w:r w:rsidRPr="00E64C12">
        <w:rPr>
          <w:rFonts w:ascii="Times New Roman" w:eastAsia="Times New Roman" w:hAnsi="Times New Roman" w:cs="Times New Roman"/>
          <w:bCs/>
          <w:sz w:val="24"/>
          <w:szCs w:val="24"/>
        </w:rPr>
        <w:t>kilkaset GWh energii</w:t>
      </w:r>
      <w:r w:rsidRPr="00E64C12">
        <w:rPr>
          <w:rFonts w:ascii="Times New Roman" w:eastAsia="Times New Roman" w:hAnsi="Times New Roman" w:cs="Times New Roman"/>
          <w:sz w:val="24"/>
          <w:szCs w:val="24"/>
        </w:rPr>
        <w:t xml:space="preserve"> – wstępne dane środowiskowe będą w oficjalnych dokumentach.</w:t>
      </w:r>
    </w:p>
    <w:p w:rsidR="00E64C12" w:rsidRPr="00E64C12" w:rsidRDefault="00E64C12" w:rsidP="00E64C12">
      <w:pPr>
        <w:spacing w:before="100" w:beforeAutospacing="1" w:after="100" w:afterAutospacing="1" w:line="360" w:lineRule="auto"/>
        <w:ind w:firstLine="360"/>
        <w:jc w:val="both"/>
        <w:rPr>
          <w:rFonts w:ascii="Times New Roman" w:eastAsia="Times New Roman" w:hAnsi="Times New Roman" w:cs="Times New Roman"/>
          <w:sz w:val="24"/>
          <w:szCs w:val="24"/>
        </w:rPr>
      </w:pPr>
      <w:r w:rsidRPr="00E64C12">
        <w:rPr>
          <w:rFonts w:ascii="Times New Roman" w:eastAsia="Times New Roman" w:hAnsi="Times New Roman" w:cs="Times New Roman"/>
          <w:sz w:val="24"/>
          <w:szCs w:val="24"/>
        </w:rPr>
        <w:t xml:space="preserve">  Gmina Wieliczki dynamicznie rozwija produkcję zielonej energii na dwóch poziomach:</w:t>
      </w:r>
    </w:p>
    <w:p w:rsidR="00E64C12" w:rsidRPr="00E64C12" w:rsidRDefault="00E64C12" w:rsidP="008A40A2">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E64C12">
        <w:rPr>
          <w:rFonts w:ascii="Times New Roman" w:eastAsia="Times New Roman" w:hAnsi="Times New Roman" w:cs="Times New Roman"/>
          <w:b/>
          <w:bCs/>
          <w:sz w:val="24"/>
          <w:szCs w:val="24"/>
        </w:rPr>
        <w:t>Mikroinstalacje (2–10 kWp)</w:t>
      </w:r>
      <w:r w:rsidRPr="00E64C12">
        <w:rPr>
          <w:rFonts w:ascii="Times New Roman" w:eastAsia="Times New Roman" w:hAnsi="Times New Roman" w:cs="Times New Roman"/>
          <w:sz w:val="24"/>
          <w:szCs w:val="24"/>
        </w:rPr>
        <w:t xml:space="preserve"> – obecnie użytkowane przez mieszkańców (średnio 7,3 kWp).</w:t>
      </w:r>
    </w:p>
    <w:p w:rsidR="00E64C12" w:rsidRPr="00E64C12" w:rsidRDefault="00E64C12" w:rsidP="008A40A2">
      <w:pPr>
        <w:numPr>
          <w:ilvl w:val="0"/>
          <w:numId w:val="39"/>
        </w:numPr>
        <w:spacing w:before="100" w:beforeAutospacing="1" w:after="100" w:afterAutospacing="1" w:line="360" w:lineRule="auto"/>
        <w:jc w:val="both"/>
        <w:rPr>
          <w:rFonts w:ascii="Times New Roman" w:eastAsia="Times New Roman" w:hAnsi="Times New Roman" w:cs="Times New Roman"/>
          <w:sz w:val="24"/>
          <w:szCs w:val="24"/>
        </w:rPr>
      </w:pPr>
      <w:r w:rsidRPr="00E64C12">
        <w:rPr>
          <w:rFonts w:ascii="Times New Roman" w:eastAsia="Times New Roman" w:hAnsi="Times New Roman" w:cs="Times New Roman"/>
          <w:b/>
          <w:bCs/>
          <w:sz w:val="24"/>
          <w:szCs w:val="24"/>
        </w:rPr>
        <w:t>Farmy fotowoltaiczne</w:t>
      </w:r>
      <w:r w:rsidRPr="00E64C12">
        <w:rPr>
          <w:rFonts w:ascii="Times New Roman" w:eastAsia="Times New Roman" w:hAnsi="Times New Roman" w:cs="Times New Roman"/>
          <w:sz w:val="24"/>
          <w:szCs w:val="24"/>
        </w:rPr>
        <w:t xml:space="preserve"> – pierwszy krok to instalacja PV 70 MW w Niedźwiedzkim.</w:t>
      </w:r>
    </w:p>
    <w:p w:rsidR="00E64C12" w:rsidRPr="003C5079" w:rsidRDefault="00E64C12" w:rsidP="003C5079">
      <w:pPr>
        <w:spacing w:before="100" w:beforeAutospacing="1" w:after="100" w:afterAutospacing="1" w:line="360" w:lineRule="auto"/>
        <w:ind w:firstLine="360"/>
        <w:jc w:val="both"/>
        <w:rPr>
          <w:rFonts w:ascii="Times New Roman" w:eastAsia="Times New Roman" w:hAnsi="Times New Roman" w:cs="Times New Roman"/>
          <w:sz w:val="24"/>
          <w:szCs w:val="24"/>
        </w:rPr>
      </w:pPr>
      <w:r w:rsidRPr="00E64C12">
        <w:rPr>
          <w:rFonts w:ascii="Times New Roman" w:eastAsia="Times New Roman" w:hAnsi="Times New Roman" w:cs="Times New Roman"/>
          <w:sz w:val="24"/>
          <w:szCs w:val="24"/>
        </w:rPr>
        <w:t xml:space="preserve">  Roczna produkcja zależy mocno od rozmiaru instalacji i efektywn</w:t>
      </w:r>
      <w:r w:rsidR="003C5079">
        <w:rPr>
          <w:rFonts w:ascii="Times New Roman" w:eastAsia="Times New Roman" w:hAnsi="Times New Roman" w:cs="Times New Roman"/>
          <w:sz w:val="24"/>
          <w:szCs w:val="24"/>
        </w:rPr>
        <w:t>ości – od kilku do kilkuset MWh.</w:t>
      </w:r>
    </w:p>
    <w:p w:rsidR="00247A48" w:rsidRDefault="00194C4A" w:rsidP="00247A48">
      <w:pPr>
        <w:pStyle w:val="tekst"/>
      </w:pPr>
      <w:r w:rsidRPr="00194C4A">
        <w:t>Niezmiennie można wykorzystywać potencjał słońca do produkcji ciepłej wody użytkowej w postaci kolektorów słonecznych. Należy przy tym jednak pamiętać</w:t>
      </w:r>
      <w:r w:rsidR="00180F27">
        <w:t>,</w:t>
      </w:r>
      <w:r w:rsidRPr="00194C4A">
        <w:t xml:space="preserve"> że ciepło może być magazynowane w opłacalny sposób na kilkadziesiąt godzin, a nadwyżek energii nie można łatwo zmagazynować poza istniejącym zasobnikiem na cwu.</w:t>
      </w:r>
      <w:bookmarkStart w:id="67" w:name="_Toc23629595"/>
    </w:p>
    <w:p w:rsidR="00247A48" w:rsidRPr="00B941F4" w:rsidRDefault="00247A48" w:rsidP="00247A48">
      <w:pPr>
        <w:pStyle w:val="Nagwek3"/>
        <w:rPr>
          <w:rFonts w:ascii="Times New Roman" w:hAnsi="Times New Roman" w:cs="Times New Roman"/>
        </w:rPr>
      </w:pPr>
      <w:bookmarkStart w:id="68" w:name="_Toc77321949"/>
      <w:r w:rsidRPr="00B941F4">
        <w:rPr>
          <w:rFonts w:ascii="Times New Roman" w:hAnsi="Times New Roman" w:cs="Times New Roman"/>
        </w:rPr>
        <w:t>3.</w:t>
      </w:r>
      <w:r w:rsidR="00D1122F" w:rsidRPr="00B941F4">
        <w:rPr>
          <w:rFonts w:ascii="Times New Roman" w:hAnsi="Times New Roman" w:cs="Times New Roman"/>
        </w:rPr>
        <w:t>2</w:t>
      </w:r>
      <w:r w:rsidRPr="00B941F4">
        <w:rPr>
          <w:rFonts w:ascii="Times New Roman" w:hAnsi="Times New Roman" w:cs="Times New Roman"/>
        </w:rPr>
        <w:t>.3 Energia geotermalna</w:t>
      </w:r>
      <w:bookmarkEnd w:id="68"/>
    </w:p>
    <w:p w:rsidR="00194C4A" w:rsidRDefault="00194C4A" w:rsidP="00247A48">
      <w:pPr>
        <w:pStyle w:val="tekst"/>
      </w:pPr>
      <w:r w:rsidRPr="00194C4A">
        <w:t>Ze względu na odmienną technologię i inne kierunki zastosowań w wykorzystaniu energii geotermalnej stosuje się podział na geotermię płytką (niskiej entalpii) – pompy ciepła oraz geotermię głęboką (wysokiej entalpii) – źródła geotermalne</w:t>
      </w:r>
      <w:r w:rsidR="00630A60">
        <w:t xml:space="preserve"> (zob. rysunki poniżej)</w:t>
      </w:r>
      <w:r w:rsidRPr="00194C4A">
        <w:t>.</w:t>
      </w:r>
      <w:bookmarkEnd w:id="67"/>
    </w:p>
    <w:p w:rsidR="003A425C" w:rsidRDefault="003A425C" w:rsidP="00247A48">
      <w:pPr>
        <w:pStyle w:val="tekst"/>
      </w:pPr>
    </w:p>
    <w:p w:rsidR="003C5079" w:rsidRDefault="003C5079" w:rsidP="00C223D8">
      <w:pPr>
        <w:pStyle w:val="Legenda"/>
        <w:rPr>
          <w:sz w:val="20"/>
          <w:szCs w:val="20"/>
        </w:rPr>
      </w:pPr>
      <w:bookmarkStart w:id="69" w:name="_Toc75946965"/>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247A48" w:rsidRPr="003A425C" w:rsidRDefault="00C223D8" w:rsidP="00C223D8">
      <w:pPr>
        <w:pStyle w:val="Legenda"/>
        <w:rPr>
          <w:sz w:val="20"/>
        </w:rPr>
      </w:pPr>
      <w:r w:rsidRPr="00C223D8">
        <w:rPr>
          <w:sz w:val="20"/>
          <w:szCs w:val="20"/>
        </w:rPr>
        <w:lastRenderedPageBreak/>
        <w:t xml:space="preserve">Mapa </w:t>
      </w:r>
      <w:r w:rsidR="00A05E44" w:rsidRPr="00C223D8">
        <w:rPr>
          <w:sz w:val="20"/>
          <w:szCs w:val="20"/>
        </w:rPr>
        <w:fldChar w:fldCharType="begin"/>
      </w:r>
      <w:r w:rsidRPr="00C223D8">
        <w:rPr>
          <w:sz w:val="20"/>
          <w:szCs w:val="20"/>
        </w:rPr>
        <w:instrText xml:space="preserve"> SEQ Mapa \* ARABIC </w:instrText>
      </w:r>
      <w:r w:rsidR="00A05E44" w:rsidRPr="00C223D8">
        <w:rPr>
          <w:sz w:val="20"/>
          <w:szCs w:val="20"/>
        </w:rPr>
        <w:fldChar w:fldCharType="separate"/>
      </w:r>
      <w:r w:rsidR="00F20FF3">
        <w:rPr>
          <w:noProof/>
          <w:sz w:val="20"/>
          <w:szCs w:val="20"/>
        </w:rPr>
        <w:t>5</w:t>
      </w:r>
      <w:r w:rsidR="00A05E44" w:rsidRPr="00C223D8">
        <w:rPr>
          <w:sz w:val="20"/>
          <w:szCs w:val="20"/>
        </w:rPr>
        <w:fldChar w:fldCharType="end"/>
      </w:r>
      <w:r w:rsidR="00247A48" w:rsidRPr="00C223D8">
        <w:rPr>
          <w:sz w:val="20"/>
          <w:szCs w:val="20"/>
        </w:rPr>
        <w:t>Zasoby</w:t>
      </w:r>
      <w:r w:rsidR="00247A48" w:rsidRPr="003A425C">
        <w:rPr>
          <w:sz w:val="20"/>
        </w:rPr>
        <w:t xml:space="preserve"> geotermalne</w:t>
      </w:r>
      <w:bookmarkEnd w:id="69"/>
    </w:p>
    <w:p w:rsidR="00194C4A" w:rsidRPr="00194C4A" w:rsidRDefault="00194C4A" w:rsidP="00194C4A">
      <w:pPr>
        <w:pStyle w:val="Akapitzlist"/>
        <w:spacing w:line="360" w:lineRule="auto"/>
        <w:ind w:left="0"/>
        <w:jc w:val="both"/>
        <w:rPr>
          <w:rFonts w:ascii="Times New Roman" w:hAnsi="Times New Roman" w:cs="Times New Roman"/>
          <w:sz w:val="22"/>
          <w:szCs w:val="22"/>
        </w:rPr>
      </w:pPr>
      <w:r w:rsidRPr="00194C4A">
        <w:rPr>
          <w:rFonts w:ascii="Times New Roman" w:hAnsi="Times New Roman" w:cs="Times New Roman"/>
          <w:noProof/>
          <w:sz w:val="22"/>
          <w:szCs w:val="22"/>
        </w:rPr>
        <w:drawing>
          <wp:inline distT="0" distB="0" distL="0" distR="0">
            <wp:extent cx="4524375" cy="3207861"/>
            <wp:effectExtent l="19050" t="0" r="952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29" t="9183"/>
                    <a:stretch/>
                  </pic:blipFill>
                  <pic:spPr bwMode="auto">
                    <a:xfrm>
                      <a:off x="0" y="0"/>
                      <a:ext cx="4525040" cy="32083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94C4A" w:rsidRPr="00247A48" w:rsidRDefault="00194C4A" w:rsidP="00194C4A">
      <w:pPr>
        <w:pStyle w:val="Legenda"/>
        <w:rPr>
          <w:rFonts w:ascii="Times New Roman" w:hAnsi="Times New Roman" w:cs="Times New Roman"/>
          <w:b w:val="0"/>
          <w:i/>
          <w:color w:val="auto"/>
          <w:sz w:val="22"/>
          <w:szCs w:val="22"/>
        </w:rPr>
      </w:pPr>
      <w:bookmarkStart w:id="70" w:name="_Toc23628599"/>
      <w:bookmarkStart w:id="71" w:name="_Toc23628494"/>
      <w:r w:rsidRPr="00247A48">
        <w:rPr>
          <w:rFonts w:ascii="Times New Roman" w:hAnsi="Times New Roman" w:cs="Times New Roman"/>
          <w:b w:val="0"/>
          <w:i/>
          <w:color w:val="auto"/>
          <w:sz w:val="22"/>
          <w:szCs w:val="22"/>
        </w:rPr>
        <w:t>źródło: Komisja Europejska.</w:t>
      </w:r>
      <w:bookmarkEnd w:id="70"/>
      <w:bookmarkEnd w:id="71"/>
    </w:p>
    <w:p w:rsidR="00194C4A" w:rsidRPr="00194C4A" w:rsidRDefault="00194C4A" w:rsidP="00247A48">
      <w:pPr>
        <w:pStyle w:val="tekst"/>
      </w:pPr>
      <w:r w:rsidRPr="00194C4A">
        <w:t>Główną zaletą wykorzystania energii zawartej w wodach geotermalnych (geotermii głębokiej) jest jej „czystość”, gdyż zastępując tradycyjne nośniki energii (np. węgiel, koks), energią gorącej wody eliminuje się emisję gazów i pyłów, co ma istotny wpływ na środowisko naturalne. Poza tym instalacje oparte o wykorzystanie energii geotermalnej odznaczają się stosunkowo niskimi kosztami eksploatacyjnymi. Wadami pozyskiwania tego rodzaju energii są:</w:t>
      </w:r>
    </w:p>
    <w:p w:rsidR="008D046D" w:rsidRDefault="00194C4A" w:rsidP="008A40A2">
      <w:pPr>
        <w:pStyle w:val="tekst"/>
        <w:numPr>
          <w:ilvl w:val="0"/>
          <w:numId w:val="27"/>
        </w:numPr>
      </w:pPr>
      <w:r w:rsidRPr="008D046D">
        <w:t>duże nakłady inwestycyjne na budowę instalacji;</w:t>
      </w:r>
    </w:p>
    <w:p w:rsidR="008D046D" w:rsidRDefault="00194C4A" w:rsidP="008A40A2">
      <w:pPr>
        <w:pStyle w:val="tekst"/>
        <w:numPr>
          <w:ilvl w:val="0"/>
          <w:numId w:val="27"/>
        </w:numPr>
      </w:pPr>
      <w:r w:rsidRPr="008D046D">
        <w:t>ryzyko przemieszczenia się złóż geotermalnych, które na całe dziesięciolecia mogą „uciec” z miejsca eksploatacji;</w:t>
      </w:r>
    </w:p>
    <w:p w:rsidR="008D046D" w:rsidRDefault="00194C4A" w:rsidP="008A40A2">
      <w:pPr>
        <w:pStyle w:val="tekst"/>
        <w:numPr>
          <w:ilvl w:val="0"/>
          <w:numId w:val="27"/>
        </w:numPr>
      </w:pPr>
      <w:r w:rsidRPr="008D046D">
        <w:t xml:space="preserve">ich eksploatację ograniczają często niesprzyjające wydobyciu warunki; </w:t>
      </w:r>
    </w:p>
    <w:p w:rsidR="00194C4A" w:rsidRDefault="00194C4A" w:rsidP="008A40A2">
      <w:pPr>
        <w:pStyle w:val="tekst"/>
        <w:numPr>
          <w:ilvl w:val="0"/>
          <w:numId w:val="27"/>
        </w:numPr>
      </w:pPr>
      <w:r w:rsidRPr="008D046D">
        <w:t>efektem ubocznym ich wykorzystania jest niebezpieczeństwo zanieczyszczenia atmosfery, a takżewód powierzchniowych i podziemnych przez szkodliwe gazy (np. siarkowodór) i minerały</w:t>
      </w:r>
      <w:r w:rsidR="00630A60">
        <w:t>.</w:t>
      </w:r>
    </w:p>
    <w:p w:rsidR="00C223D8" w:rsidRPr="008D046D" w:rsidRDefault="00C223D8" w:rsidP="00C223D8">
      <w:pPr>
        <w:pStyle w:val="tekst"/>
        <w:ind w:left="720" w:firstLine="0"/>
      </w:pPr>
    </w:p>
    <w:p w:rsidR="003C5079" w:rsidRDefault="003C5079" w:rsidP="00C223D8">
      <w:pPr>
        <w:pStyle w:val="Legenda"/>
        <w:rPr>
          <w:sz w:val="20"/>
          <w:szCs w:val="20"/>
        </w:rPr>
      </w:pPr>
      <w:bookmarkStart w:id="72" w:name="_Toc75946966"/>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3C5079" w:rsidRDefault="003C5079" w:rsidP="00C223D8">
      <w:pPr>
        <w:pStyle w:val="Legenda"/>
        <w:rPr>
          <w:sz w:val="20"/>
          <w:szCs w:val="20"/>
        </w:rPr>
      </w:pPr>
    </w:p>
    <w:p w:rsidR="00247A48" w:rsidRPr="003A425C" w:rsidRDefault="00C223D8" w:rsidP="00C223D8">
      <w:pPr>
        <w:pStyle w:val="Legenda"/>
        <w:rPr>
          <w:rFonts w:ascii="Times New Roman" w:hAnsi="Times New Roman" w:cs="Times New Roman"/>
          <w:color w:val="000000"/>
          <w:sz w:val="28"/>
          <w:szCs w:val="22"/>
        </w:rPr>
      </w:pPr>
      <w:r w:rsidRPr="00C223D8">
        <w:rPr>
          <w:sz w:val="20"/>
          <w:szCs w:val="20"/>
        </w:rPr>
        <w:t xml:space="preserve">Mapa </w:t>
      </w:r>
      <w:r w:rsidR="00A05E44" w:rsidRPr="00C223D8">
        <w:rPr>
          <w:sz w:val="20"/>
          <w:szCs w:val="20"/>
        </w:rPr>
        <w:fldChar w:fldCharType="begin"/>
      </w:r>
      <w:r w:rsidRPr="00C223D8">
        <w:rPr>
          <w:sz w:val="20"/>
          <w:szCs w:val="20"/>
        </w:rPr>
        <w:instrText xml:space="preserve"> SEQ Mapa \* ARABIC </w:instrText>
      </w:r>
      <w:r w:rsidR="00A05E44" w:rsidRPr="00C223D8">
        <w:rPr>
          <w:sz w:val="20"/>
          <w:szCs w:val="20"/>
        </w:rPr>
        <w:fldChar w:fldCharType="separate"/>
      </w:r>
      <w:r w:rsidR="00F20FF3">
        <w:rPr>
          <w:noProof/>
          <w:sz w:val="20"/>
          <w:szCs w:val="20"/>
        </w:rPr>
        <w:t>6</w:t>
      </w:r>
      <w:r w:rsidR="00A05E44" w:rsidRPr="00C223D8">
        <w:rPr>
          <w:sz w:val="20"/>
          <w:szCs w:val="20"/>
        </w:rPr>
        <w:fldChar w:fldCharType="end"/>
      </w:r>
      <w:r w:rsidR="00247A48" w:rsidRPr="00C223D8">
        <w:rPr>
          <w:sz w:val="20"/>
          <w:szCs w:val="20"/>
        </w:rPr>
        <w:t>Zasoby</w:t>
      </w:r>
      <w:r w:rsidR="00247A48" w:rsidRPr="003A425C">
        <w:rPr>
          <w:sz w:val="20"/>
        </w:rPr>
        <w:t xml:space="preserve"> geotermalne na poziomie 3500 m p.p.g</w:t>
      </w:r>
      <w:bookmarkEnd w:id="72"/>
    </w:p>
    <w:p w:rsidR="00247A48" w:rsidRDefault="00A05E44" w:rsidP="00194C4A">
      <w:pPr>
        <w:pStyle w:val="Legenda"/>
        <w:rPr>
          <w:rFonts w:ascii="Times New Roman" w:hAnsi="Times New Roman" w:cs="Times New Roman"/>
          <w:b w:val="0"/>
          <w:i/>
          <w:color w:val="auto"/>
          <w:sz w:val="22"/>
          <w:szCs w:val="22"/>
        </w:rPr>
      </w:pPr>
      <w:bookmarkStart w:id="73" w:name="_Toc23628600"/>
      <w:r>
        <w:rPr>
          <w:rFonts w:ascii="Times New Roman" w:hAnsi="Times New Roman" w:cs="Times New Roman"/>
          <w:b w:val="0"/>
          <w:i/>
          <w:noProof/>
          <w:color w:val="auto"/>
          <w:sz w:val="22"/>
          <w:szCs w:val="22"/>
        </w:rPr>
        <w:lastRenderedPageBreak/>
        <w:pict>
          <v:rect id="Prostokąt 11" o:spid="_x0000_s1031" style="position:absolute;margin-left:12.35pt;margin-top:187.15pt;width:63pt;height:60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" fillcolor="white [3212]" strokecolor="white [3212]" strokeweight="2pt"/>
        </w:pict>
      </w:r>
      <w:r>
        <w:rPr>
          <w:rFonts w:ascii="Times New Roman" w:hAnsi="Times New Roman" w:cs="Times New Roman"/>
          <w:b w:val="0"/>
          <w:i/>
          <w:noProof/>
          <w:color w:val="auto"/>
          <w:sz w:val="22"/>
          <w:szCs w:val="22"/>
        </w:rPr>
        <w:pict>
          <v:rect id="Prostokąt 36" o:spid="_x0000_s1030" style="position:absolute;margin-left:52.85pt;margin-top:253.2pt;width:96pt;height:38.6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" fillcolor="white [3212]" strokecolor="white [3212]" strokeweight="2pt"/>
        </w:pict>
      </w:r>
      <w:r w:rsidR="00194C4A" w:rsidRPr="00247A48">
        <w:rPr>
          <w:rFonts w:ascii="Times New Roman" w:hAnsi="Times New Roman" w:cs="Times New Roman"/>
          <w:b w:val="0"/>
          <w:i/>
          <w:noProof/>
          <w:color w:val="auto"/>
          <w:sz w:val="22"/>
          <w:szCs w:val="22"/>
        </w:rPr>
        <w:drawing>
          <wp:inline distT="0" distB="0" distL="0" distR="0">
            <wp:extent cx="5760720" cy="3709670"/>
            <wp:effectExtent l="0" t="0" r="0" b="508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9314"/>
                    <a:stretch/>
                  </pic:blipFill>
                  <pic:spPr bwMode="auto">
                    <a:xfrm>
                      <a:off x="0" y="0"/>
                      <a:ext cx="5760720" cy="3709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74" w:name="_Toc23628495"/>
    </w:p>
    <w:p w:rsidR="00194C4A" w:rsidRPr="00247A48" w:rsidRDefault="00247A48" w:rsidP="00194C4A">
      <w:pPr>
        <w:pStyle w:val="Legenda"/>
        <w:rPr>
          <w:rFonts w:ascii="Times New Roman" w:hAnsi="Times New Roman" w:cs="Times New Roman"/>
          <w:b w:val="0"/>
          <w:i/>
          <w:color w:val="auto"/>
          <w:sz w:val="22"/>
          <w:szCs w:val="22"/>
        </w:rPr>
      </w:pPr>
      <w:r w:rsidRPr="00247A48">
        <w:rPr>
          <w:rFonts w:ascii="Times New Roman" w:hAnsi="Times New Roman" w:cs="Times New Roman"/>
          <w:b w:val="0"/>
          <w:i/>
          <w:color w:val="auto"/>
          <w:sz w:val="22"/>
          <w:szCs w:val="22"/>
        </w:rPr>
        <w:t>Ź</w:t>
      </w:r>
      <w:r w:rsidR="00194C4A" w:rsidRPr="00247A48">
        <w:rPr>
          <w:rFonts w:ascii="Times New Roman" w:hAnsi="Times New Roman" w:cs="Times New Roman"/>
          <w:b w:val="0"/>
          <w:i/>
          <w:color w:val="auto"/>
          <w:sz w:val="22"/>
          <w:szCs w:val="22"/>
        </w:rPr>
        <w:t>ródło</w:t>
      </w:r>
      <w:r w:rsidRPr="00247A48">
        <w:rPr>
          <w:rFonts w:ascii="Times New Roman" w:hAnsi="Times New Roman" w:cs="Times New Roman"/>
          <w:b w:val="0"/>
          <w:i/>
          <w:color w:val="auto"/>
          <w:sz w:val="22"/>
          <w:szCs w:val="22"/>
        </w:rPr>
        <w:t>:</w:t>
      </w:r>
      <w:r w:rsidR="00194C4A" w:rsidRPr="00247A48">
        <w:rPr>
          <w:rFonts w:ascii="Times New Roman" w:hAnsi="Times New Roman" w:cs="Times New Roman"/>
          <w:b w:val="0"/>
          <w:i/>
          <w:color w:val="auto"/>
          <w:sz w:val="22"/>
          <w:szCs w:val="22"/>
        </w:rPr>
        <w:t xml:space="preserve"> pga.org.pl</w:t>
      </w:r>
      <w:bookmarkEnd w:id="73"/>
      <w:bookmarkEnd w:id="74"/>
    </w:p>
    <w:p w:rsidR="00194C4A" w:rsidRPr="00194C4A" w:rsidRDefault="00194C4A" w:rsidP="000E1241">
      <w:pPr>
        <w:pStyle w:val="tekst"/>
      </w:pPr>
      <w:r w:rsidRPr="00194C4A">
        <w:rPr>
          <w:shd w:val="clear" w:color="auto" w:fill="FFFFFF"/>
        </w:rPr>
        <w:t>Głównym sposobem pozyskiwania energii geotermalnej jest tworzenie odwiertów do zbiorników gorących wód geotermalnych. W pewnej odległości od otworu czerpalnego wykonuje się drugi otwór, którym wodę geotermalną</w:t>
      </w:r>
      <w:r w:rsidR="00CB3FBF">
        <w:rPr>
          <w:shd w:val="clear" w:color="auto" w:fill="FFFFFF"/>
        </w:rPr>
        <w:t>,</w:t>
      </w:r>
      <w:r w:rsidRPr="00194C4A">
        <w:rPr>
          <w:shd w:val="clear" w:color="auto" w:fill="FFFFFF"/>
        </w:rPr>
        <w:t xml:space="preserve"> po odebraniu od niej ciepła, wtłacza się z powrotem do złoża. Wody geotermiczne są z reguły mocno zasolone, jest to powodem szczególnie trudnych warunków pracy wymienników ciepła i innych elementów armatury instalacji geotermicznych. Energię geotermiczną wykorzystuje się w układach centralnego ogrzewania jako podstawowe źródło energii cieplnej. Drugim zastosowaniem energii geotermicznej jest produkcja energii elektrycznej. Jest to opłacalne jedynie w przypadkach źródeł szczególnie gorących</w:t>
      </w:r>
      <w:r w:rsidRPr="00194C4A">
        <w:rPr>
          <w:rStyle w:val="Odwoanieprzypisudolnego"/>
          <w:rFonts w:cs="Times New Roman"/>
          <w:color w:val="222222"/>
          <w:sz w:val="22"/>
          <w:szCs w:val="22"/>
          <w:shd w:val="clear" w:color="auto" w:fill="FFFFFF"/>
        </w:rPr>
        <w:footnoteReference w:id="2"/>
      </w:r>
      <w:r w:rsidRPr="00194C4A">
        <w:rPr>
          <w:shd w:val="clear" w:color="auto" w:fill="FFFFFF"/>
        </w:rPr>
        <w:t>. </w:t>
      </w:r>
    </w:p>
    <w:p w:rsidR="00194C4A" w:rsidRPr="00194C4A" w:rsidRDefault="00194C4A" w:rsidP="000E1241">
      <w:pPr>
        <w:pStyle w:val="tekst"/>
      </w:pPr>
      <w:r w:rsidRPr="00194C4A">
        <w:t xml:space="preserve">Wykorzystanie geotermii płytkiej może następować poprzez wykorzystanie pomp ciepła. Ciepło produkowane przez pompy może być w dużej części pobierane z ogólnie dostępnego środowiska cechującego się niewyczerpalnymi zasobami energii (np. grunt, cieki wodne, powietrze atmosferyczne), nie powodując przy tym jego degradacji. Ponadto pompy zapewniają wysoki komfort użytkowania, nie wymagają codziennej obsługi, cechują się cichą pracą i nie zanieczyszczają środowiska w miejscu użytkowania. Wadę pomp stanowią duże koszty inwestycyjne, zwykle znacząco wyższe od innych równoważnych systemów pozyskania energii. Ich wadą jest także niebezpieczeństwo skażenia środowiska naturalnego freonami – w przypadku pomp sprężarkowych – lub czynnikami stosowanymi w pompach absorpcyjnych (NH3, H2SO4, CH3OH itp.). Dodatkowo rozwój pomp powietrznych sprawia iż decyzję o budowie pompy gruntowej jeszcze trudniej podjąć.  Z tego względu przed podjęciem decyzji o zainstalowaniu pompy ciepła </w:t>
      </w:r>
      <w:r w:rsidRPr="00194C4A">
        <w:lastRenderedPageBreak/>
        <w:t xml:space="preserve">należy przeprowadzić staranną analizę ekonomiczną uwzględniającą konkretne warunki użytkowania układu, w którym znajduje ona zastosowanie. </w:t>
      </w:r>
    </w:p>
    <w:p w:rsidR="007A1917" w:rsidRDefault="007A1917" w:rsidP="007A1917">
      <w:pPr>
        <w:pStyle w:val="tekst"/>
      </w:pPr>
      <w:r>
        <w:t xml:space="preserve">Na obszarze gminy </w:t>
      </w:r>
      <w:r w:rsidR="003C5079">
        <w:t>Wieliczki</w:t>
      </w:r>
      <w:r>
        <w:t xml:space="preserve"> istnieje </w:t>
      </w:r>
      <w:r w:rsidR="003C5079">
        <w:t>średnie</w:t>
      </w:r>
      <w:r>
        <w:t xml:space="preserve"> prawdopodobieństwo znalezienia zmineralizowanych wód termalnych. Jednak </w:t>
      </w:r>
      <w:r w:rsidR="000E1241">
        <w:t>rozproszony charakter zabudowy powoduje iż może to być nieopłacalne przedsięwzięcia.</w:t>
      </w:r>
    </w:p>
    <w:p w:rsidR="00194C4A" w:rsidRDefault="000E1241" w:rsidP="007A1917">
      <w:pPr>
        <w:pStyle w:val="tekst"/>
      </w:pPr>
      <w:r>
        <w:t>W przypadku tzw. płytkiej geotermii większe znaczenie ma struktura gruntu niż to</w:t>
      </w:r>
      <w:r w:rsidR="00CB3FBF">
        <w:t>,</w:t>
      </w:r>
      <w:r>
        <w:t xml:space="preserve"> że </w:t>
      </w:r>
      <w:r w:rsidR="003C5079">
        <w:t>Wieliczki</w:t>
      </w:r>
      <w:r>
        <w:t xml:space="preserve"> leży w zasięgu ciepłych wód termalnych. Dla pomp ciepła na ogrzewanie domu stosuje się kolektory o głębokości 100 m lub kolektory poziome. </w:t>
      </w:r>
    </w:p>
    <w:p w:rsidR="000E1241" w:rsidRPr="00B941F4" w:rsidRDefault="000E1241" w:rsidP="000E1241">
      <w:pPr>
        <w:pStyle w:val="Nagwek3"/>
        <w:rPr>
          <w:rFonts w:ascii="Times New Roman" w:hAnsi="Times New Roman" w:cs="Times New Roman"/>
        </w:rPr>
      </w:pPr>
      <w:bookmarkStart w:id="75" w:name="_Toc77321950"/>
      <w:r w:rsidRPr="00B941F4">
        <w:rPr>
          <w:rFonts w:ascii="Times New Roman" w:hAnsi="Times New Roman" w:cs="Times New Roman"/>
        </w:rPr>
        <w:t>3.</w:t>
      </w:r>
      <w:r w:rsidR="00D1122F" w:rsidRPr="00B941F4">
        <w:rPr>
          <w:rFonts w:ascii="Times New Roman" w:hAnsi="Times New Roman" w:cs="Times New Roman"/>
        </w:rPr>
        <w:t>2</w:t>
      </w:r>
      <w:r w:rsidRPr="00B941F4">
        <w:rPr>
          <w:rFonts w:ascii="Times New Roman" w:hAnsi="Times New Roman" w:cs="Times New Roman"/>
        </w:rPr>
        <w:t xml:space="preserve">.4 Energia </w:t>
      </w:r>
      <w:r w:rsidR="00784A81" w:rsidRPr="00B941F4">
        <w:rPr>
          <w:rFonts w:ascii="Times New Roman" w:hAnsi="Times New Roman" w:cs="Times New Roman"/>
        </w:rPr>
        <w:t>w</w:t>
      </w:r>
      <w:r w:rsidRPr="00B941F4">
        <w:rPr>
          <w:rFonts w:ascii="Times New Roman" w:hAnsi="Times New Roman" w:cs="Times New Roman"/>
        </w:rPr>
        <w:t>ody</w:t>
      </w:r>
      <w:bookmarkEnd w:id="75"/>
    </w:p>
    <w:p w:rsidR="003C5079" w:rsidRPr="003C5079" w:rsidRDefault="003C5079" w:rsidP="003C5079">
      <w:pPr>
        <w:spacing w:line="360" w:lineRule="auto"/>
        <w:ind w:firstLine="708"/>
        <w:jc w:val="both"/>
        <w:rPr>
          <w:rFonts w:ascii="Times New Roman" w:hAnsi="Times New Roman" w:cs="Times New Roman"/>
          <w:sz w:val="22"/>
          <w:szCs w:val="22"/>
        </w:rPr>
      </w:pPr>
      <w:bookmarkStart w:id="76" w:name="_Toc23629598"/>
      <w:r w:rsidRPr="003C5079">
        <w:rPr>
          <w:rFonts w:ascii="Times New Roman" w:hAnsi="Times New Roman" w:cs="Times New Roman"/>
          <w:sz w:val="22"/>
          <w:szCs w:val="22"/>
        </w:rPr>
        <w:t xml:space="preserve">Wieliczki Ramowa Dyrektywa Wodna, tj. dyrektywa 2000/60/WE Parlamentu Europejskiego i Rady z dnia 23 października 2000 r., ustanawiająca ramy wspólnotowego działania w dziedzinie polityki wodnej, definiuje wodę w następujący sposób: „woda nie jest produktem handlowym takim jak każdy inny, ale raczej dziedzictwem, które musi być chronione, bronione i traktowane jako takie”. </w:t>
      </w:r>
    </w:p>
    <w:p w:rsidR="003C5079" w:rsidRPr="003C5079" w:rsidRDefault="003C5079" w:rsidP="003C5079">
      <w:pPr>
        <w:spacing w:line="360" w:lineRule="auto"/>
        <w:ind w:firstLine="708"/>
        <w:jc w:val="both"/>
        <w:rPr>
          <w:rFonts w:ascii="Times New Roman" w:hAnsi="Times New Roman" w:cs="Times New Roman"/>
          <w:sz w:val="22"/>
          <w:szCs w:val="22"/>
        </w:rPr>
      </w:pPr>
      <w:r w:rsidRPr="003C5079">
        <w:rPr>
          <w:rFonts w:ascii="Times New Roman" w:hAnsi="Times New Roman" w:cs="Times New Roman"/>
          <w:sz w:val="22"/>
          <w:szCs w:val="22"/>
        </w:rPr>
        <w:t>Gospodarowanie wodami powinno się więc sprowadzać do zapewnienia utrzymania lub osiągnięcia dobrego stanu wód, zarówno pod względem jakościowym, jak i ilościowym. W tym celu konieczne jest podejmowanie działań, zmierzających do ograniczenia lub wyeliminowania skutków oddziaływania różnego rodzaju presji.</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t xml:space="preserve"> Pod względem hydrograficznym cały obszar gminy Wieliczki należy do dorzecza Wisły                      i należy do zlewni dwóch prawobrzeżnych dopływów Biebrzy: Legi i Rospudy. Dział wodny powierzchniowy IV rzędu pomiędzy zlewniami Legi i Rospudy, przebiega w północnej części gminy. Obszar gminy odwadniany jest przez dwie rzeki. Lega wraz z lewobrzeżnymi dopływami                        (Kanał Wieliczki i Kanał Niedźwiedzki, rzeka Czarna) odwadnia część zachodnią obszaru, natomiast Rospuda wraz z Kanałem Rynie – część wschodnią. Obydwie rzeki maja podobny, dosyć znaczny spadek, są płytkie i wąskie (do 10 m).</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C5079">
        <w:rPr>
          <w:rFonts w:ascii="Times New Roman" w:hAnsi="Times New Roman" w:cs="Times New Roman"/>
          <w:sz w:val="22"/>
          <w:szCs w:val="22"/>
        </w:rPr>
        <w:t>Największym ciekiem na terenie gminy jest rzeka Lega, wchodząca w skład dorzecza Biebrzy. Przepływa ona przez jezioro Olecko Wielkie i Oleckie Małe i kieruje się ku południowi. Rzeka Lega w południowej części gminy łączy się z ciekiem Czarna. Doliny obydwu rzek są miejscami bardzo wąskie, ograniczone grzbietami sąsiadującej wysoczyzny, miejscami zaś przechodzą w rozległe, silnie podmokłe obniżenia.</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C5079">
        <w:rPr>
          <w:rFonts w:ascii="Times New Roman" w:hAnsi="Times New Roman" w:cs="Times New Roman"/>
          <w:sz w:val="22"/>
          <w:szCs w:val="22"/>
        </w:rPr>
        <w:t xml:space="preserve"> Lega płynie doliną wykorzystującą obniżenia wytopiskowe i doliny wód roztopowych, wcięta w wysoczyzny polodowcowe, niekiedy meandrując wśród bagien i torfowisk. Czarna, lewobrzeżny dopływ Legi, wypływa z rozległych, pokrytych torfowiskami obszarów wytopiskowych.                   </w:t>
      </w:r>
      <w:r w:rsidRPr="003C5079">
        <w:rPr>
          <w:rFonts w:ascii="Times New Roman" w:hAnsi="Times New Roman" w:cs="Times New Roman"/>
          <w:sz w:val="22"/>
          <w:szCs w:val="22"/>
        </w:rPr>
        <w:tab/>
      </w:r>
      <w:r>
        <w:rPr>
          <w:rFonts w:ascii="Times New Roman" w:hAnsi="Times New Roman" w:cs="Times New Roman"/>
          <w:sz w:val="22"/>
          <w:szCs w:val="22"/>
        </w:rPr>
        <w:tab/>
      </w:r>
      <w:r w:rsidRPr="003C5079">
        <w:rPr>
          <w:rFonts w:ascii="Times New Roman" w:hAnsi="Times New Roman" w:cs="Times New Roman"/>
          <w:sz w:val="22"/>
          <w:szCs w:val="22"/>
        </w:rPr>
        <w:t xml:space="preserve">Wraz z bezimiennymi ciekami odwadnia tę część gminy. W terenach zlewni Rospudy, sieć hydrograficzna jest słabo rozwinięta i w znacznej mierze są to obszary bezodpływowe. </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t xml:space="preserve">Sieć hydrograficzną na badanym terenie dopełniają liczne podmokłe obniżenia terenu, wypełnione torfowiskami oraz jezioro Oleckie Małe położone poza terenem gminy, będące jeziorem granicznym. </w:t>
      </w:r>
    </w:p>
    <w:p w:rsidR="003C5079" w:rsidRDefault="003C5079" w:rsidP="003C5079">
      <w:pPr>
        <w:tabs>
          <w:tab w:val="left" w:pos="945"/>
        </w:tabs>
        <w:spacing w:line="360" w:lineRule="auto"/>
        <w:rPr>
          <w:rFonts w:ascii="Times New Roman" w:hAnsi="Times New Roman" w:cs="Times New Roman"/>
          <w:sz w:val="22"/>
          <w:szCs w:val="22"/>
        </w:rPr>
      </w:pPr>
      <w:r w:rsidRPr="003C5079">
        <w:rPr>
          <w:rFonts w:ascii="Times New Roman" w:hAnsi="Times New Roman" w:cs="Times New Roman"/>
          <w:sz w:val="22"/>
          <w:szCs w:val="22"/>
        </w:rPr>
        <w:lastRenderedPageBreak/>
        <w:tab/>
      </w:r>
    </w:p>
    <w:p w:rsidR="003C5079" w:rsidRDefault="003C5079" w:rsidP="003C5079">
      <w:pPr>
        <w:tabs>
          <w:tab w:val="left" w:pos="945"/>
        </w:tabs>
        <w:spacing w:line="360" w:lineRule="auto"/>
        <w:rPr>
          <w:rFonts w:ascii="Times New Roman" w:hAnsi="Times New Roman" w:cs="Times New Roman"/>
          <w:sz w:val="22"/>
          <w:szCs w:val="22"/>
        </w:rPr>
      </w:pPr>
      <w:r>
        <w:rPr>
          <w:rFonts w:ascii="Times New Roman" w:hAnsi="Times New Roman" w:cs="Times New Roman"/>
          <w:sz w:val="22"/>
          <w:szCs w:val="22"/>
        </w:rPr>
        <w:tab/>
      </w:r>
      <w:r w:rsidRPr="003C5079">
        <w:rPr>
          <w:rFonts w:ascii="Times New Roman" w:hAnsi="Times New Roman" w:cs="Times New Roman"/>
          <w:sz w:val="22"/>
          <w:szCs w:val="22"/>
        </w:rPr>
        <w:t>Wszystkie płynące przez teren gminy cieki mają bardzo małe spadki, część z nich płynie w bardzo wąskich dolinach przypominających przełomy. Koryta rzeczne są słabo wcięte w podłoże, a wahania wodostanów w ciągu roku są niewielkie.</w:t>
      </w:r>
    </w:p>
    <w:p w:rsidR="003C5079" w:rsidRPr="003C5079" w:rsidRDefault="003C5079" w:rsidP="003C5079">
      <w:pPr>
        <w:tabs>
          <w:tab w:val="left" w:pos="945"/>
        </w:tabs>
        <w:spacing w:line="360" w:lineRule="auto"/>
        <w:rPr>
          <w:rFonts w:ascii="Times New Roman" w:hAnsi="Times New Roman" w:cs="Times New Roman"/>
          <w:sz w:val="22"/>
          <w:szCs w:val="22"/>
        </w:rPr>
      </w:pPr>
      <w:r>
        <w:rPr>
          <w:rFonts w:ascii="Times New Roman" w:hAnsi="Times New Roman" w:cs="Times New Roman"/>
          <w:sz w:val="22"/>
          <w:szCs w:val="22"/>
        </w:rPr>
        <w:tab/>
      </w:r>
      <w:r w:rsidRPr="003C5079">
        <w:rPr>
          <w:rFonts w:ascii="Times New Roman" w:hAnsi="Times New Roman" w:cs="Times New Roman"/>
          <w:sz w:val="22"/>
          <w:szCs w:val="22"/>
        </w:rPr>
        <w:t>Wody powierzchniowe gromadzone są również w okresie roztopów wiosennych lub dużych opadów atmosferycznych w licznych zagłębieniach bezodpływowych, odwadnianych przez krótkie cieki bez nazwy.</w:t>
      </w:r>
    </w:p>
    <w:p w:rsidR="003C5079" w:rsidRDefault="003C5079" w:rsidP="003C5079">
      <w:pPr>
        <w:tabs>
          <w:tab w:val="left" w:pos="945"/>
        </w:tabs>
        <w:rPr>
          <w:rFonts w:ascii="Times New Roman" w:hAnsi="Times New Roman" w:cs="Times New Roman"/>
        </w:rPr>
      </w:pPr>
      <w:r>
        <w:rPr>
          <w:rFonts w:ascii="Times New Roman" w:hAnsi="Times New Roman" w:cs="Times New Roman"/>
        </w:rPr>
        <w:tab/>
      </w:r>
      <w:r>
        <w:rPr>
          <w:rFonts w:ascii="Times New Roman" w:hAnsi="Times New Roman" w:cs="Times New Roman"/>
          <w:noProof/>
        </w:rPr>
        <w:drawing>
          <wp:inline distT="0" distB="0" distL="0" distR="0">
            <wp:extent cx="3206953" cy="2665618"/>
            <wp:effectExtent l="1905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3207217" cy="2665837"/>
                    </a:xfrm>
                    <a:prstGeom prst="rect">
                      <a:avLst/>
                    </a:prstGeom>
                    <a:noFill/>
                    <a:ln w="9525">
                      <a:noFill/>
                      <a:miter lim="800000"/>
                      <a:headEnd/>
                      <a:tailEnd/>
                    </a:ln>
                  </pic:spPr>
                </pic:pic>
              </a:graphicData>
            </a:graphic>
          </wp:inline>
        </w:drawing>
      </w:r>
    </w:p>
    <w:p w:rsidR="003C5079" w:rsidRPr="003C5079" w:rsidRDefault="003C5079" w:rsidP="003C5079">
      <w:pPr>
        <w:tabs>
          <w:tab w:val="left" w:pos="945"/>
        </w:tabs>
        <w:rPr>
          <w:rFonts w:ascii="Times New Roman" w:hAnsi="Times New Roman" w:cs="Times New Roman"/>
          <w:b/>
          <w:sz w:val="18"/>
          <w:szCs w:val="18"/>
        </w:rPr>
      </w:pPr>
      <w:r w:rsidRPr="00C065CE">
        <w:rPr>
          <w:rFonts w:ascii="Times New Roman" w:hAnsi="Times New Roman" w:cs="Times New Roman"/>
          <w:b/>
          <w:sz w:val="18"/>
          <w:szCs w:val="18"/>
        </w:rPr>
        <w:t>Rys. 3 Jednolite części wód powierzchniowych</w:t>
      </w:r>
    </w:p>
    <w:p w:rsidR="003C5079" w:rsidRPr="003C5079" w:rsidRDefault="003C5079" w:rsidP="003C5079">
      <w:pPr>
        <w:ind w:firstLine="708"/>
        <w:jc w:val="both"/>
        <w:rPr>
          <w:rFonts w:ascii="Times New Roman" w:hAnsi="Times New Roman" w:cs="Times New Roman"/>
          <w:sz w:val="22"/>
          <w:szCs w:val="22"/>
        </w:rPr>
      </w:pPr>
      <w:r w:rsidRPr="003C5079">
        <w:rPr>
          <w:rFonts w:ascii="Times New Roman" w:hAnsi="Times New Roman" w:cs="Times New Roman"/>
          <w:sz w:val="22"/>
          <w:szCs w:val="22"/>
        </w:rPr>
        <w:t xml:space="preserve">Teren Gminy Wieliczki położony jest w zasięgu 6 jednolitych części wód powierzchniowych rzecznych, wymienionych w tabeli poniżej. </w:t>
      </w:r>
    </w:p>
    <w:p w:rsidR="003C5079" w:rsidRDefault="003C5079" w:rsidP="003C5079">
      <w:pPr>
        <w:tabs>
          <w:tab w:val="left" w:pos="910"/>
        </w:tabs>
        <w:rPr>
          <w:rFonts w:ascii="Times New Roman" w:hAnsi="Times New Roman" w:cs="Times New Roman"/>
          <w:b/>
          <w:sz w:val="18"/>
          <w:szCs w:val="18"/>
        </w:rPr>
      </w:pPr>
      <w:r w:rsidRPr="00C065CE">
        <w:rPr>
          <w:rFonts w:ascii="Times New Roman" w:hAnsi="Times New Roman" w:cs="Times New Roman"/>
          <w:b/>
          <w:sz w:val="18"/>
          <w:szCs w:val="18"/>
        </w:rPr>
        <w:t>Tab. 11 Wykaz Jednolitych Części Wód Powierzchniowych na terenie Gminy Wieliczki</w:t>
      </w:r>
    </w:p>
    <w:tbl>
      <w:tblPr>
        <w:tblStyle w:val="Tabela-Siatka"/>
        <w:tblW w:w="0" w:type="auto"/>
        <w:tblLayout w:type="fixed"/>
        <w:tblLook w:val="04A0"/>
      </w:tblPr>
      <w:tblGrid>
        <w:gridCol w:w="534"/>
        <w:gridCol w:w="4072"/>
        <w:gridCol w:w="2732"/>
        <w:gridCol w:w="1874"/>
      </w:tblGrid>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Lp.</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JCWP (kod)</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Typ abiotyczny</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Długość (km)</w:t>
            </w:r>
          </w:p>
        </w:tc>
      </w:tr>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Kanał Wieliczki (RW200018262615349)</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21,48</w:t>
            </w:r>
          </w:p>
        </w:tc>
      </w:tr>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2.</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Czarna (RW2000182626169)</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37,84</w:t>
            </w:r>
          </w:p>
        </w:tc>
      </w:tr>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3.</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Jegrznia (Lega) od wypływu z jez. Olecko Małe do wpływu do jez. Selmęt Wielki (RW2000202626199)</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20- rzeka nizinna żwirowa</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32,67</w:t>
            </w:r>
          </w:p>
        </w:tc>
      </w:tr>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4.</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Kanał Rynie (RW2000182622372)</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15,31</w:t>
            </w:r>
          </w:p>
        </w:tc>
      </w:tr>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5.</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Dopływ spod Zatyk (RW200018262618)</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7,50</w:t>
            </w:r>
          </w:p>
        </w:tc>
      </w:tr>
      <w:tr w:rsidR="003C5079" w:rsidTr="005C5B3E">
        <w:tc>
          <w:tcPr>
            <w:tcW w:w="53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6.</w:t>
            </w:r>
          </w:p>
        </w:tc>
        <w:tc>
          <w:tcPr>
            <w:tcW w:w="407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Jegrznia (Lega) od wpływu do jez. Olecko Wielkie do wypływu z jez. Olecko Małe (RW20002526261539)</w:t>
            </w:r>
          </w:p>
        </w:tc>
        <w:tc>
          <w:tcPr>
            <w:tcW w:w="2732"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25-ciek łączący jeziora</w:t>
            </w:r>
          </w:p>
        </w:tc>
        <w:tc>
          <w:tcPr>
            <w:tcW w:w="1874" w:type="dxa"/>
          </w:tcPr>
          <w:p w:rsidR="003C5079" w:rsidRDefault="003C5079" w:rsidP="005C5B3E">
            <w:pPr>
              <w:rPr>
                <w:rFonts w:ascii="Times New Roman" w:hAnsi="Times New Roman" w:cs="Times New Roman"/>
                <w:sz w:val="18"/>
                <w:szCs w:val="18"/>
              </w:rPr>
            </w:pPr>
            <w:r>
              <w:rPr>
                <w:rFonts w:ascii="Times New Roman" w:hAnsi="Times New Roman" w:cs="Times New Roman"/>
                <w:sz w:val="18"/>
                <w:szCs w:val="18"/>
              </w:rPr>
              <w:t>12,45</w:t>
            </w:r>
          </w:p>
        </w:tc>
      </w:tr>
    </w:tbl>
    <w:p w:rsidR="003C5079" w:rsidRDefault="003C5079" w:rsidP="003C5079">
      <w:pPr>
        <w:rPr>
          <w:rFonts w:ascii="Times New Roman" w:hAnsi="Times New Roman" w:cs="Times New Roman"/>
          <w:i/>
          <w:sz w:val="16"/>
          <w:szCs w:val="16"/>
        </w:rPr>
      </w:pPr>
      <w:r w:rsidRPr="00C065CE">
        <w:rPr>
          <w:rFonts w:ascii="Times New Roman" w:hAnsi="Times New Roman" w:cs="Times New Roman"/>
          <w:i/>
          <w:sz w:val="16"/>
          <w:szCs w:val="16"/>
        </w:rPr>
        <w:t>Źródło: dane Krajowego Zarządu Gospodarki Wodnej</w:t>
      </w:r>
    </w:p>
    <w:p w:rsidR="003C5079" w:rsidRDefault="003C5079" w:rsidP="003C5079">
      <w:pPr>
        <w:ind w:firstLine="708"/>
        <w:jc w:val="both"/>
        <w:rPr>
          <w:rFonts w:ascii="Times New Roman" w:hAnsi="Times New Roman" w:cs="Times New Roman"/>
        </w:rPr>
      </w:pPr>
    </w:p>
    <w:p w:rsidR="003C5079" w:rsidRPr="003C5079" w:rsidRDefault="003C5079" w:rsidP="003C5079">
      <w:pPr>
        <w:spacing w:line="360" w:lineRule="auto"/>
        <w:ind w:firstLine="708"/>
        <w:jc w:val="both"/>
        <w:rPr>
          <w:rFonts w:ascii="Times New Roman" w:hAnsi="Times New Roman" w:cs="Times New Roman"/>
          <w:sz w:val="22"/>
          <w:szCs w:val="22"/>
        </w:rPr>
      </w:pPr>
      <w:r w:rsidRPr="003C5079">
        <w:rPr>
          <w:rFonts w:ascii="Times New Roman" w:hAnsi="Times New Roman" w:cs="Times New Roman"/>
          <w:sz w:val="22"/>
          <w:szCs w:val="22"/>
        </w:rPr>
        <w:lastRenderedPageBreak/>
        <w:t xml:space="preserve">Rozporządzenie 88/2018  z dnia 03 stycznia 2018r. zmieniające Rozporządzenie nr 5/2015 Dyrektora Regionalnego Zarządu Gospodarki Wodnej w Warszawie z dnia 3 kwietnia 2015r. w sprawie ustalenia warunków korzystania z wód regionu wodnego Środkowej Wisły. </w:t>
      </w:r>
    </w:p>
    <w:p w:rsidR="00762BF3" w:rsidRPr="003C5079" w:rsidRDefault="003C5079" w:rsidP="003C5079">
      <w:pPr>
        <w:spacing w:line="360" w:lineRule="auto"/>
        <w:ind w:firstLine="708"/>
        <w:jc w:val="both"/>
        <w:rPr>
          <w:rFonts w:ascii="Times New Roman" w:hAnsi="Times New Roman" w:cs="Times New Roman"/>
          <w:sz w:val="22"/>
          <w:szCs w:val="22"/>
        </w:rPr>
      </w:pPr>
      <w:r w:rsidRPr="003C5079">
        <w:rPr>
          <w:rFonts w:ascii="Times New Roman" w:hAnsi="Times New Roman" w:cs="Times New Roman"/>
          <w:sz w:val="22"/>
          <w:szCs w:val="22"/>
        </w:rPr>
        <w:t xml:space="preserve">1. RW200018262618 dopływ spod Zatyk stan zły, niezagrożona, osiągnięcie co najmniej dobrego stanu ekologicznego oraz utrzymanie co najmniej dobrego stanu chemicznego wód. </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t>2. RW2000182626169 Czarna stan zły, niezagrożona, osiągnięcie co najmniej dobrego stanu ekologicznego oraz utrzymanie co najmniej dobrego stanu chemicznego wód.</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t xml:space="preserve"> 3. RW2000202626199 Jegrznia (Lega) od wypływu z jez. Oleckie Małe do wpływu      do jez. Szelmet Wielki stan zły, niezagrożona, osiągnięcie co najmniej dobrego stanu ekologicznego oraz utrzymanie co najmniej dobrego stanu chemicznego wód. </w:t>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r>
      <w:r w:rsidRPr="003C5079">
        <w:rPr>
          <w:rFonts w:ascii="Times New Roman" w:hAnsi="Times New Roman" w:cs="Times New Roman"/>
          <w:sz w:val="22"/>
          <w:szCs w:val="22"/>
        </w:rPr>
        <w:tab/>
        <w:t xml:space="preserve">4. RW20002526261539 Jegrznia (Lega) od wpływu do jez. Olecko Wielkie do wypływu  z jez. Oleckie Małe stan zły, zagrożona, osiągnięcie co najmniej dobrego stanu ekologicznego  oraz utrzymanie co najmniej dobrego stanu chemicznego wód derogacja wpływ działalności antropogenicznej na stan JCWP generuje konieczność przesunięcia w czasie osiągnięcia celów środowiskowych z uwagi na brak rozwiązań technicznych możliwych do zastosowania w celu poprawy stanu JCWP.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C5079">
        <w:rPr>
          <w:rFonts w:ascii="Times New Roman" w:hAnsi="Times New Roman" w:cs="Times New Roman"/>
          <w:sz w:val="22"/>
          <w:szCs w:val="22"/>
        </w:rPr>
        <w:t xml:space="preserve">5. RW200018262615349 Kanał Wieliczki stan zły, zagrożona, osiągnięcie co najmniej dobrego stanu ekologicznego oraz utrzymanie co najmniej dobrego stanu chemicznego wód – derogacja, wpływ działalności antropogenicznej na stan JCWP generuje konieczność przesunięcia   w czasie osiągnięcia celów środowiskowych z uwagi na brak rozwiązań technicznych możliwych      do zastosowania w celu poprawy stanu JCWP. </w:t>
      </w:r>
      <w:r w:rsidRPr="003C5079">
        <w:rPr>
          <w:rFonts w:ascii="Times New Roman" w:hAnsi="Times New Roman" w:cs="Times New Roman"/>
          <w:sz w:val="22"/>
          <w:szCs w:val="22"/>
        </w:rPr>
        <w:tab/>
      </w:r>
      <w:r w:rsidRPr="003C5079">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Pr="003C5079">
        <w:rPr>
          <w:rFonts w:ascii="Times New Roman" w:hAnsi="Times New Roman" w:cs="Times New Roman"/>
          <w:sz w:val="22"/>
          <w:szCs w:val="22"/>
        </w:rPr>
        <w:t>6. RW2000182622372 Kanał Rynie stan dobry, niezagrożona, utrzymanie obecnego stanu ekologicznego wód.</w:t>
      </w:r>
    </w:p>
    <w:p w:rsidR="00762BF3" w:rsidRPr="00B941F4" w:rsidRDefault="00762BF3" w:rsidP="00762BF3">
      <w:pPr>
        <w:pStyle w:val="Nagwek3"/>
        <w:rPr>
          <w:rFonts w:ascii="Times New Roman" w:hAnsi="Times New Roman" w:cs="Times New Roman"/>
        </w:rPr>
      </w:pPr>
      <w:bookmarkStart w:id="77" w:name="_Toc77321951"/>
      <w:bookmarkStart w:id="78" w:name="_Toc23629597"/>
      <w:r w:rsidRPr="00B941F4">
        <w:rPr>
          <w:rFonts w:ascii="Times New Roman" w:hAnsi="Times New Roman" w:cs="Times New Roman"/>
        </w:rPr>
        <w:t>3.2.5 Energia biomasy</w:t>
      </w:r>
      <w:bookmarkEnd w:id="77"/>
    </w:p>
    <w:p w:rsidR="00762BF3" w:rsidRPr="006361C6" w:rsidRDefault="00762BF3" w:rsidP="00762BF3"/>
    <w:p w:rsidR="00762BF3" w:rsidRPr="006361C6" w:rsidRDefault="00762BF3" w:rsidP="00762BF3">
      <w:pPr>
        <w:pStyle w:val="tekst"/>
      </w:pPr>
      <w:r>
        <w:t>Biomasa to j</w:t>
      </w:r>
      <w:r w:rsidRPr="00194C4A">
        <w:t>edna z najbardziej pierwotnych form energii znana ludzkości.</w:t>
      </w:r>
      <w:r w:rsidR="003C5079">
        <w:t xml:space="preserve"> </w:t>
      </w:r>
      <w:r w:rsidRPr="00194C4A">
        <w:rPr>
          <w:shd w:val="clear" w:color="auto" w:fill="FFFFFF"/>
        </w:rPr>
        <w:t xml:space="preserve">Poprzez fotosyntezę energia słoneczna jest akumulowana w biomasie, początkowo organizmów roślinnych, </w:t>
      </w:r>
      <w:r>
        <w:rPr>
          <w:shd w:val="clear" w:color="auto" w:fill="FFFFFF"/>
        </w:rPr>
        <w:t xml:space="preserve">a </w:t>
      </w:r>
      <w:r w:rsidRPr="00194C4A">
        <w:rPr>
          <w:shd w:val="clear" w:color="auto" w:fill="FFFFFF"/>
        </w:rPr>
        <w:t xml:space="preserve">później </w:t>
      </w:r>
      <w:r>
        <w:rPr>
          <w:shd w:val="clear" w:color="auto" w:fill="FFFFFF"/>
        </w:rPr>
        <w:t xml:space="preserve">i </w:t>
      </w:r>
      <w:r w:rsidRPr="00194C4A">
        <w:rPr>
          <w:shd w:val="clear" w:color="auto" w:fill="FFFFFF"/>
        </w:rPr>
        <w:t>zwierzęcych. Energię zawartą w biomasie można wykorzystać dla celów człowieka. Polega to na przetwarzaniu na inne formy energii poprzez spalanie biomasy lub spalanie produktów jej rozkładu. W wyniku spalania uzyskuje się ciepło, które może być przetworzone na inne rodzaje energii, np. energię elektryczną</w:t>
      </w:r>
      <w:r w:rsidRPr="00194C4A">
        <w:rPr>
          <w:rStyle w:val="Odwoanieprzypisudolnego"/>
          <w:rFonts w:cs="Times New Roman"/>
          <w:sz w:val="22"/>
          <w:szCs w:val="22"/>
          <w:shd w:val="clear" w:color="auto" w:fill="FFFFFF"/>
        </w:rPr>
        <w:footnoteReference w:id="3"/>
      </w:r>
      <w:r w:rsidRPr="00194C4A">
        <w:rPr>
          <w:shd w:val="clear" w:color="auto" w:fill="FFFFFF"/>
        </w:rPr>
        <w:t xml:space="preserve">. </w:t>
      </w:r>
      <w:r w:rsidRPr="00194C4A">
        <w:rPr>
          <w:color w:val="000000"/>
        </w:rPr>
        <w:t>Zgodnie z zapisami Dyrektywy 2001/77/WE biomasa oznacza podatne na rozkład biologiczny produkty oraz ich frakcje, odpady i pozostałości przemysłu rolnego. Krajowe prawod</w:t>
      </w:r>
      <w:r>
        <w:rPr>
          <w:color w:val="000000"/>
        </w:rPr>
        <w:t>a</w:t>
      </w:r>
      <w:r w:rsidRPr="00194C4A">
        <w:rPr>
          <w:color w:val="000000"/>
        </w:rPr>
        <w:t>wstwo definiuje ten termin w Ustawie o odnawialnych źródłach energii bardziej szczegółowo:</w:t>
      </w:r>
      <w:bookmarkEnd w:id="78"/>
      <w:r w:rsidR="003C5079">
        <w:rPr>
          <w:color w:val="000000"/>
        </w:rPr>
        <w:t xml:space="preserve"> </w:t>
      </w:r>
      <w:r w:rsidRPr="006361C6">
        <w:rPr>
          <w:i/>
        </w:rPr>
        <w:t xml:space="preserve">biomasa – ulegającą biodegradacji część produktów, odpadów lub pozostałości pochodzenia biologicznego z rolnictwa, w tym substancje roślinne i zwierzęce, leśnictwa i związanych działów przemysłu, w tym rybołówstwa i akwakultury, przetworzoną </w:t>
      </w:r>
      <w:r w:rsidRPr="006361C6">
        <w:rPr>
          <w:i/>
        </w:rPr>
        <w:lastRenderedPageBreak/>
        <w:t>biomasę, w szczególności w postaci brykietu, peletu, toryfikatu i biowęgla, a także ulegającą biodegradacji część odpadów przemysłowych lub komunalnych pochodzenia roślinnego lub zwierzęcego, w tym odpadów z instalacji do przetwarzania odpadów oraz odpadów z uzdatniania wody i oczyszczania ścieków, w szczególności osadów ściekowych, zgodnie z przepisami o odpadach w zakresie kwalifikowania części energii odzyskanej z termicznego przekształcania odpadów; 3b) biomasa pochodzenia rolniczego – biomasę pochodzącą z upraw energetycznych, a także odpady lub pozostałości z produkcji rolnej oraz przemysłu przetwarzającego jej produkty</w:t>
      </w:r>
      <w:r w:rsidRPr="006361C6">
        <w:rPr>
          <w:rStyle w:val="Odwoanieprzypisudolnego"/>
          <w:rFonts w:cs="Times New Roman"/>
          <w:i/>
          <w:sz w:val="22"/>
          <w:szCs w:val="22"/>
        </w:rPr>
        <w:footnoteReference w:id="4"/>
      </w:r>
    </w:p>
    <w:p w:rsidR="00762BF3" w:rsidRDefault="00762BF3" w:rsidP="00762BF3">
      <w:pPr>
        <w:pStyle w:val="tekst"/>
      </w:pPr>
      <w:r w:rsidRPr="00194C4A">
        <w:rPr>
          <w:b/>
        </w:rPr>
        <w:t>- biomasa z lasów</w:t>
      </w:r>
      <w:r w:rsidRPr="00194C4A">
        <w:t>. Przy obliczaniu wartości energetycznej drewna najważniejsza jest wilgotność oraz gęstość, mniejszy wpływ na tą wartość ma rodzaj i sposób przygotowania. Wartość</w:t>
      </w:r>
      <w:r w:rsidRPr="00194C4A">
        <w:br/>
        <w:t>opałowa mokrego drzewa o naturalnej wilgotności wynoszącej 50</w:t>
      </w:r>
      <w:r>
        <w:t>-</w:t>
      </w:r>
      <w:r w:rsidRPr="00194C4A">
        <w:t>60% wynosi</w:t>
      </w:r>
      <w:r w:rsidRPr="00194C4A">
        <w:br/>
        <w:t>tylko 6</w:t>
      </w:r>
      <w:r>
        <w:t>-</w:t>
      </w:r>
      <w:r w:rsidRPr="00194C4A">
        <w:t>8 GJ/t. Po obniżeniu wilgotności do 10</w:t>
      </w:r>
      <w:r>
        <w:t>-</w:t>
      </w:r>
      <w:r w:rsidRPr="00194C4A">
        <w:t>20% wartość energetyczna wzrasta</w:t>
      </w:r>
      <w:r w:rsidRPr="00194C4A">
        <w:br/>
        <w:t>dwukrotnie do poziomu 14</w:t>
      </w:r>
      <w:r>
        <w:t>-</w:t>
      </w:r>
      <w:r w:rsidRPr="00194C4A">
        <w:t>16 GJ/t, natomiast po całkowitym osuszeniu wzrasta</w:t>
      </w:r>
      <w:r w:rsidRPr="00194C4A">
        <w:br/>
        <w:t>ona do 19 GJ/t. Przyjmując wartość opałową węgla na poziomie 23</w:t>
      </w:r>
      <w:r>
        <w:t>-</w:t>
      </w:r>
      <w:r w:rsidRPr="00194C4A">
        <w:t>25 GJ/t 1 tona</w:t>
      </w:r>
      <w:r w:rsidRPr="00194C4A">
        <w:br/>
        <w:t xml:space="preserve">węgla jest równa ok. 1,5 tony </w:t>
      </w:r>
      <w:r>
        <w:t xml:space="preserve">drewna </w:t>
      </w:r>
      <w:r w:rsidRPr="00194C4A">
        <w:t>podsuszonego (wilgotność 10</w:t>
      </w:r>
      <w:r>
        <w:t>-</w:t>
      </w:r>
      <w:r w:rsidRPr="00194C4A">
        <w:t>20%). W głównej mierze przeważającym gatunkiem na ternie gminy jest sosna. Zasobność drewna na ha w takich drzewostanach wynosi 480 m3/ha. Warto zaznaczyć</w:t>
      </w:r>
      <w:r>
        <w:t>,</w:t>
      </w:r>
      <w:r w:rsidRPr="00194C4A">
        <w:t xml:space="preserve"> że nie cały potencjał może być wykorzystany na cele energetyczne z uwagi na poprawność działania ekosystemów leśnych. Część biomasy musi </w:t>
      </w:r>
      <w:r w:rsidRPr="006361C6">
        <w:t>pozostać w lesie</w:t>
      </w:r>
      <w:r>
        <w:t>,</w:t>
      </w:r>
      <w:r w:rsidRPr="006361C6">
        <w:t xml:space="preserve"> aby ubogacać możliwości rozwoju innych gatunków. Powierzchnia lasów w gminie wynosi </w:t>
      </w:r>
      <w:r>
        <w:t xml:space="preserve">25,81 </w:t>
      </w:r>
      <w:r w:rsidRPr="006361C6">
        <w:t>km</w:t>
      </w:r>
      <w:r w:rsidRPr="009A4E08">
        <w:rPr>
          <w:vertAlign w:val="superscript"/>
        </w:rPr>
        <w:t>2</w:t>
      </w:r>
      <w:r>
        <w:t>,</w:t>
      </w:r>
      <w:r w:rsidRPr="006361C6">
        <w:t xml:space="preserve"> co stanowi </w:t>
      </w:r>
      <w:r>
        <w:t>24,67</w:t>
      </w:r>
      <w:r w:rsidRPr="006361C6">
        <w:t>% ogólnej powierzchni gminy. Wobec powyższego potencjał energetyczny biomasy leśnej oceniany jest na 2 </w:t>
      </w:r>
      <w:r>
        <w:t>090</w:t>
      </w:r>
      <w:r w:rsidRPr="006361C6">
        <w:t xml:space="preserve"> MWh.</w:t>
      </w:r>
    </w:p>
    <w:p w:rsidR="00765F77" w:rsidRDefault="00762BF3" w:rsidP="00765F77">
      <w:pPr>
        <w:pStyle w:val="tekst"/>
      </w:pPr>
      <w:r w:rsidRPr="00194C4A">
        <w:rPr>
          <w:rStyle w:val="Pogrubienie"/>
          <w:rFonts w:cs="Times New Roman"/>
          <w:sz w:val="22"/>
          <w:szCs w:val="22"/>
        </w:rPr>
        <w:t xml:space="preserve">-biogaz. </w:t>
      </w:r>
      <w:r>
        <w:rPr>
          <w:rStyle w:val="Pogrubienie"/>
          <w:rFonts w:cs="Times New Roman"/>
          <w:b w:val="0"/>
          <w:sz w:val="22"/>
          <w:szCs w:val="22"/>
        </w:rPr>
        <w:t>Ocenia się iż z</w:t>
      </w:r>
      <w:r w:rsidRPr="00194C4A">
        <w:t xml:space="preserve"> 1 m3 odcieków można uzyskać około 20 m3 biogazu, natomiast z 1 m3 obornika</w:t>
      </w:r>
      <w:r>
        <w:t xml:space="preserve"> – </w:t>
      </w:r>
      <w:r w:rsidRPr="00194C4A">
        <w:t>średnio 30 m3 biogazu o wartości ok. 23 MJ/m3. Wartość energetyczna 1 m3 biogazu</w:t>
      </w:r>
      <w:r w:rsidR="00765F77">
        <w:t xml:space="preserve"> </w:t>
      </w:r>
      <w:r w:rsidRPr="00194C4A">
        <w:t>jest porównywalna z 0,7 m3 gazu ziemnego lub 0,8 kg węgla. Produkcja metanu</w:t>
      </w:r>
      <w:r w:rsidR="00765F77">
        <w:t xml:space="preserve"> </w:t>
      </w:r>
      <w:r w:rsidRPr="00194C4A">
        <w:t>zależy m. in. od zawartości suchej masy (s.m.) odniesionej do masy odpadów oraz</w:t>
      </w:r>
      <w:r w:rsidR="00765F77">
        <w:t xml:space="preserve"> </w:t>
      </w:r>
      <w:r w:rsidRPr="00194C4A">
        <w:t>suchej masy organicznej (s.m.o.) w stosunku do suchej masy</w:t>
      </w:r>
      <w:r w:rsidR="00765F77">
        <w:t>.</w:t>
      </w:r>
    </w:p>
    <w:p w:rsidR="00765F77" w:rsidRPr="00765F77" w:rsidRDefault="00765F77" w:rsidP="00765F77">
      <w:pPr>
        <w:spacing w:before="100" w:beforeAutospacing="1" w:after="100" w:afterAutospacing="1" w:line="240" w:lineRule="auto"/>
        <w:ind w:firstLine="708"/>
        <w:rPr>
          <w:rFonts w:ascii="Times New Roman" w:eastAsia="Times New Roman" w:hAnsi="Times New Roman" w:cs="Times New Roman"/>
          <w:sz w:val="24"/>
          <w:szCs w:val="24"/>
        </w:rPr>
      </w:pPr>
      <w:r w:rsidRPr="00765F77">
        <w:rPr>
          <w:rFonts w:ascii="Times New Roman" w:eastAsia="Times New Roman" w:hAnsi="Times New Roman" w:cs="Times New Roman"/>
          <w:sz w:val="24"/>
          <w:szCs w:val="24"/>
        </w:rPr>
        <w:t>Zawartość biogazowa z obornika, gnojowicy osadów itd. w skali kraju – wielkość gminy sugeruje dzielenie krajowego potencjału z rolnictwa przez liczbę gmin (~2479). Przy założeniu nierównomiernego rozmieszczenia rolnictwa, ale jako przybliżenie:</w:t>
      </w:r>
    </w:p>
    <w:p w:rsidR="00765F77" w:rsidRPr="00765F77" w:rsidRDefault="00765F77" w:rsidP="00765F77">
      <w:pPr>
        <w:spacing w:beforeAutospacing="1" w:after="100" w:afterAutospacing="1" w:line="240" w:lineRule="auto"/>
        <w:jc w:val="both"/>
        <w:rPr>
          <w:rFonts w:ascii="Times New Roman" w:eastAsia="Times New Roman" w:hAnsi="Times New Roman" w:cs="Times New Roman"/>
          <w:sz w:val="24"/>
          <w:szCs w:val="24"/>
        </w:rPr>
      </w:pPr>
      <w:r w:rsidRPr="00765F77">
        <w:rPr>
          <w:rFonts w:ascii="Times New Roman" w:eastAsia="Times New Roman" w:hAnsi="Times New Roman" w:cs="Times New Roman"/>
          <w:sz w:val="24"/>
          <w:szCs w:val="24"/>
        </w:rPr>
        <w:t xml:space="preserve">Techniczny potencjał gminy ≈ </w:t>
      </w:r>
      <w:r w:rsidRPr="00765F77">
        <w:rPr>
          <w:rFonts w:ascii="Times New Roman" w:eastAsia="Times New Roman" w:hAnsi="Times New Roman" w:cs="Times New Roman"/>
          <w:i/>
          <w:iCs/>
          <w:sz w:val="24"/>
          <w:szCs w:val="24"/>
        </w:rPr>
        <w:t>(3,2 mld m³)</w:t>
      </w:r>
      <w:r w:rsidRPr="00765F77">
        <w:rPr>
          <w:rFonts w:ascii="Times New Roman" w:eastAsia="Times New Roman" w:hAnsi="Times New Roman" w:cs="Times New Roman"/>
          <w:sz w:val="24"/>
          <w:szCs w:val="24"/>
        </w:rPr>
        <w:t xml:space="preserve"> ÷ 2479 ≈ </w:t>
      </w:r>
      <w:r w:rsidRPr="00765F77">
        <w:rPr>
          <w:rFonts w:ascii="Times New Roman" w:eastAsia="Times New Roman" w:hAnsi="Times New Roman" w:cs="Times New Roman"/>
          <w:bCs/>
          <w:sz w:val="24"/>
          <w:szCs w:val="24"/>
        </w:rPr>
        <w:t>1,29 mln m³ biometanu rocznie</w:t>
      </w:r>
    </w:p>
    <w:p w:rsidR="00765F77" w:rsidRDefault="00765F77" w:rsidP="00765F77">
      <w:pPr>
        <w:pStyle w:val="NormalnyWeb"/>
        <w:jc w:val="both"/>
        <w:rPr>
          <w:rFonts w:cs="Times New Roman"/>
        </w:rPr>
      </w:pPr>
      <w:r w:rsidRPr="00765F77">
        <w:t xml:space="preserve">Jeśli gmina ma więcej/lub mniej rolnictwa od średniej, wartość może wynosić od </w:t>
      </w:r>
      <w:r w:rsidRPr="00765F77">
        <w:rPr>
          <w:rStyle w:val="Pogrubienie"/>
          <w:rFonts w:eastAsiaTheme="majorEastAsia"/>
          <w:b w:val="0"/>
        </w:rPr>
        <w:t>0,8 do 2 mln m³/rok</w:t>
      </w:r>
      <w:r w:rsidRPr="00765F77">
        <w:rPr>
          <w:b/>
        </w:rPr>
        <w:t>.</w:t>
      </w:r>
      <w:r w:rsidRPr="00765F77">
        <w:rPr>
          <w:rFonts w:hAnsi="Symbol"/>
          <w:b/>
        </w:rPr>
        <w:t xml:space="preserve"> </w:t>
      </w:r>
      <w:r w:rsidRPr="00765F77">
        <w:rPr>
          <w:rFonts w:hAnsi="Symbol" w:cs="Times New Roman"/>
          <w:b/>
        </w:rPr>
        <w:tab/>
      </w:r>
      <w:r w:rsidRPr="00765F77">
        <w:rPr>
          <w:rFonts w:hAnsi="Symbol" w:cs="Times New Roman"/>
          <w:b/>
        </w:rPr>
        <w:tab/>
      </w:r>
      <w:r w:rsidRPr="00765F77">
        <w:rPr>
          <w:rFonts w:hAnsi="Symbol" w:cs="Times New Roman"/>
          <w:b/>
        </w:rPr>
        <w:tab/>
      </w:r>
      <w:r w:rsidRPr="00765F77">
        <w:rPr>
          <w:rFonts w:hAnsi="Symbol" w:cs="Times New Roman"/>
          <w:b/>
        </w:rPr>
        <w:tab/>
      </w:r>
      <w:r w:rsidRPr="00765F77">
        <w:rPr>
          <w:rFonts w:hAnsi="Symbol" w:cs="Times New Roman"/>
          <w:b/>
        </w:rPr>
        <w:tab/>
      </w:r>
      <w:r w:rsidRPr="00765F77">
        <w:rPr>
          <w:rFonts w:hAnsi="Symbol" w:cs="Times New Roman"/>
          <w:b/>
        </w:rPr>
        <w:tab/>
      </w:r>
      <w:r w:rsidRPr="00765F77">
        <w:rPr>
          <w:rFonts w:hAnsi="Symbol" w:cs="Times New Roman"/>
          <w:b/>
        </w:rPr>
        <w:tab/>
      </w:r>
      <w:r w:rsidRPr="00765F77">
        <w:rPr>
          <w:rFonts w:hAnsi="Symbol" w:cs="Times New Roman"/>
          <w:b/>
        </w:rPr>
        <w:tab/>
      </w:r>
      <w:r w:rsidRPr="00765F77">
        <w:rPr>
          <w:rFonts w:hAnsi="Symbol" w:cs="Times New Roman"/>
        </w:rPr>
        <w:tab/>
      </w:r>
      <w:r w:rsidRPr="00765F77">
        <w:rPr>
          <w:rFonts w:hAnsi="Symbol" w:cs="Times New Roman"/>
        </w:rPr>
        <w:tab/>
      </w:r>
      <w:r w:rsidRPr="00765F77">
        <w:rPr>
          <w:rFonts w:hAnsi="Symbol" w:cs="Times New Roman"/>
        </w:rPr>
        <w:tab/>
      </w:r>
      <w:r w:rsidRPr="00765F77">
        <w:rPr>
          <w:rFonts w:hAnsi="Symbol" w:cs="Times New Roman"/>
        </w:rPr>
        <w:tab/>
      </w:r>
      <w:r w:rsidRPr="00765F77">
        <w:rPr>
          <w:rFonts w:hAnsi="Symbol" w:cs="Times New Roman"/>
        </w:rPr>
        <w:tab/>
      </w:r>
      <w:r w:rsidRPr="00765F77">
        <w:rPr>
          <w:rFonts w:cs="Times New Roman"/>
        </w:rPr>
        <w:t xml:space="preserve">  Zgodnie z raportem NCBR, </w:t>
      </w:r>
      <w:r w:rsidRPr="00765F77">
        <w:rPr>
          <w:rFonts w:cs="Times New Roman"/>
          <w:bCs/>
        </w:rPr>
        <w:t>techniczny potencjał</w:t>
      </w:r>
      <w:r w:rsidRPr="00765F77">
        <w:rPr>
          <w:rFonts w:cs="Times New Roman"/>
        </w:rPr>
        <w:t xml:space="preserve"> produkcji biometanu z odnawialnych surowców w Polsce wynosi ok. </w:t>
      </w:r>
      <w:r w:rsidRPr="00765F77">
        <w:rPr>
          <w:rFonts w:cs="Times New Roman"/>
          <w:bCs/>
        </w:rPr>
        <w:t>8 mld m³/rok</w:t>
      </w:r>
      <w:r w:rsidRPr="00765F77">
        <w:rPr>
          <w:rFonts w:cs="Times New Roman"/>
        </w:rPr>
        <w:t xml:space="preserve">, z czego potencjał </w:t>
      </w:r>
      <w:r w:rsidRPr="00765F77">
        <w:rPr>
          <w:rFonts w:cs="Times New Roman"/>
          <w:bCs/>
        </w:rPr>
        <w:t>wdrożeniowy</w:t>
      </w:r>
      <w:r w:rsidRPr="00765F77">
        <w:rPr>
          <w:rFonts w:cs="Times New Roman"/>
        </w:rPr>
        <w:t xml:space="preserve"> (ekonomicznie dostępny) to </w:t>
      </w:r>
      <w:r w:rsidRPr="00765F77">
        <w:rPr>
          <w:rFonts w:cs="Times New Roman"/>
          <w:bCs/>
        </w:rPr>
        <w:t>5–6 mld m³</w:t>
      </w:r>
      <w:r w:rsidRPr="00765F77">
        <w:rPr>
          <w:rFonts w:cs="Times New Roman"/>
        </w:rPr>
        <w:t xml:space="preserve">; rzeczywisty możliwy do wykonania to ok. </w:t>
      </w:r>
      <w:r w:rsidRPr="00765F77">
        <w:rPr>
          <w:rFonts w:cs="Times New Roman"/>
          <w:bCs/>
        </w:rPr>
        <w:t>3,2 mld m³</w:t>
      </w:r>
      <w:r w:rsidRPr="00765F77">
        <w:rPr>
          <w:rFonts w:cs="Times New Roman"/>
        </w:rPr>
        <w:t xml:space="preserve"> </w:t>
      </w:r>
      <w:hyperlink r:id="rId52" w:tgtFrame="_blank" w:history="1">
        <w:r w:rsidRPr="00765F77">
          <w:rPr>
            <w:rFonts w:cs="Times New Roman"/>
            <w:color w:val="0000FF"/>
            <w:u w:val="single"/>
          </w:rPr>
          <w:t>GF24.pl+9PIGEOR+9Polski Portal Rolniczy i Konsumencki+9</w:t>
        </w:r>
      </w:hyperlink>
      <w:r w:rsidRPr="00765F77">
        <w:rPr>
          <w:rFonts w:cs="Times New Roman"/>
        </w:rPr>
        <w:t>.</w:t>
      </w:r>
    </w:p>
    <w:p w:rsidR="00765F77" w:rsidRDefault="00765F77" w:rsidP="00765F77">
      <w:pPr>
        <w:pStyle w:val="NormalnyWeb"/>
        <w:jc w:val="both"/>
        <w:rPr>
          <w:rFonts w:cs="Times New Roman"/>
        </w:rPr>
      </w:pPr>
    </w:p>
    <w:p w:rsidR="00765F77" w:rsidRPr="00765F77" w:rsidRDefault="00765F77" w:rsidP="00765F77">
      <w:pPr>
        <w:pStyle w:val="NormalnyWeb"/>
        <w:jc w:val="both"/>
        <w:rPr>
          <w:rFonts w:cs="Times New Roman"/>
        </w:rPr>
      </w:pPr>
    </w:p>
    <w:p w:rsidR="00762BF3" w:rsidRPr="00765F77" w:rsidRDefault="00765F77" w:rsidP="00765F77">
      <w:pPr>
        <w:spacing w:before="100" w:beforeAutospacing="1" w:after="100" w:afterAutospacing="1" w:line="240" w:lineRule="auto"/>
        <w:jc w:val="both"/>
        <w:rPr>
          <w:rFonts w:ascii="Times New Roman" w:eastAsia="Times New Roman" w:hAnsi="Times New Roman" w:cs="Times New Roman"/>
          <w:sz w:val="24"/>
          <w:szCs w:val="24"/>
        </w:rPr>
      </w:pPr>
      <w:r w:rsidRPr="00765F77">
        <w:rPr>
          <w:rFonts w:ascii="Times New Roman" w:eastAsia="Times New Roman" w:hAnsi="Symbol" w:cs="Times New Roman"/>
          <w:sz w:val="24"/>
          <w:szCs w:val="24"/>
        </w:rPr>
        <w:lastRenderedPageBreak/>
        <w:t></w:t>
      </w:r>
      <w:r w:rsidRPr="00765F77">
        <w:rPr>
          <w:rFonts w:ascii="Times New Roman" w:eastAsia="Times New Roman" w:hAnsi="Times New Roman" w:cs="Times New Roman"/>
          <w:sz w:val="24"/>
          <w:szCs w:val="24"/>
        </w:rPr>
        <w:t xml:space="preserve">  Głównymi substratami są obornik, gnojowica, odpady rolnicze i osady ściekowe</w:t>
      </w:r>
    </w:p>
    <w:p w:rsidR="00765F77" w:rsidRDefault="00762BF3" w:rsidP="00765F77">
      <w:pPr>
        <w:pStyle w:val="tekst"/>
      </w:pPr>
      <w:r w:rsidRPr="00194C4A">
        <w:rPr>
          <w:b/>
        </w:rPr>
        <w:t xml:space="preserve">-biomasa ze słomy. </w:t>
      </w:r>
      <w:r w:rsidRPr="00194C4A">
        <w:t>Wykorzystanie słomy do celów energetycznych jest jedną z możliwości do</w:t>
      </w:r>
      <w:r w:rsidR="00765F77">
        <w:t xml:space="preserve"> </w:t>
      </w:r>
      <w:r w:rsidRPr="00194C4A">
        <w:t>zagospodarowania jej nadwyżek pozostających w rolnictwie. Do spalania może być</w:t>
      </w:r>
      <w:r w:rsidR="00765F77">
        <w:t xml:space="preserve"> </w:t>
      </w:r>
      <w:r w:rsidRPr="00194C4A">
        <w:t>użyta słoma wszystkich rodzajów zbóż, rzepaku oraz gryki. Jednak ze względu na</w:t>
      </w:r>
      <w:r w:rsidR="00765F77">
        <w:t xml:space="preserve"> </w:t>
      </w:r>
      <w:r w:rsidRPr="00194C4A">
        <w:t>właściwości najbardziej przydatna jest słoma: żytnia, pszenna, rzepakowa i gryczana</w:t>
      </w:r>
      <w:r w:rsidR="00765F77">
        <w:t xml:space="preserve"> </w:t>
      </w:r>
      <w:r w:rsidRPr="00194C4A">
        <w:t>oraz słoma i osadki kukurydzy. Słoma owsiana ze względu na bardzo niską</w:t>
      </w:r>
      <w:r w:rsidR="00765F77">
        <w:t xml:space="preserve"> </w:t>
      </w:r>
      <w:r w:rsidRPr="00194C4A">
        <w:t>temperaturę topnienia popiołu nie jest zalecana jako paliwo. W porównaniu z</w:t>
      </w:r>
      <w:r w:rsidR="00765F77">
        <w:t xml:space="preserve"> </w:t>
      </w:r>
      <w:r w:rsidRPr="00194C4A">
        <w:t>innymi nośnikami energii, słoma jest bardziej uciążliwym materiałem</w:t>
      </w:r>
      <w:r w:rsidR="00765F77">
        <w:t xml:space="preserve"> </w:t>
      </w:r>
      <w:r w:rsidRPr="00194C4A">
        <w:t>energetycznym, gdyż stanowi materiał niejednorodny i posiada niższą wartość</w:t>
      </w:r>
      <w:r w:rsidR="00765F77">
        <w:t xml:space="preserve"> </w:t>
      </w:r>
      <w:r w:rsidRPr="00194C4A">
        <w:t xml:space="preserve">energetyczną, w odniesieniu do jednostki objętości. </w:t>
      </w:r>
      <w:r w:rsidR="00765F77">
        <w:t xml:space="preserve">W Polsce powstaje rocznie wspólnie ok. 8 mln ton słomy ze zbóż i rzepaku. Powierzchnia gruntów ornych w Polsce to około 10 mln ha, co daje średnio 0,8t słomy/ha zbóż. Na terenie Gminy Wieliczki powierzchnia orna wynosi 9165 ha a produkcja słomy wynosi 7332 ton słomy/rok. Przyjmuje się, że słoma ma wartość opałową ok. 15 MJ/kg=15GJ/t. przy konwersji: 1TJ= 1000GJ to 30 GWh/rok. </w:t>
      </w:r>
    </w:p>
    <w:p w:rsidR="00762BF3" w:rsidRPr="00130367" w:rsidRDefault="00762BF3" w:rsidP="00762BF3">
      <w:pPr>
        <w:pStyle w:val="tekst"/>
        <w:ind w:firstLine="0"/>
        <w:rPr>
          <w:i/>
        </w:rPr>
      </w:pPr>
    </w:p>
    <w:p w:rsidR="00762BF3" w:rsidRPr="00194C4A" w:rsidRDefault="00762BF3" w:rsidP="00762BF3">
      <w:pPr>
        <w:pStyle w:val="tekst"/>
      </w:pPr>
      <w:r w:rsidRPr="00194C4A">
        <w:rPr>
          <w:b/>
        </w:rPr>
        <w:t>-rośliny energetyczne</w:t>
      </w:r>
      <w:r w:rsidRPr="00194C4A">
        <w:t xml:space="preserve">. W chwili obecnej brak danych na temat upraw roślin energetycznych na terenie gminy </w:t>
      </w:r>
      <w:r w:rsidR="00765F77">
        <w:t>Wieliczki</w:t>
      </w:r>
      <w:r w:rsidRPr="00194C4A">
        <w:t>. Przeznaczenie gruntów na potrzeby upraw energetycznych jest jednak problematyczne ze względu na konkurencję z uprawami żywności.</w:t>
      </w:r>
    </w:p>
    <w:p w:rsidR="00762BF3" w:rsidRPr="00B941F4" w:rsidRDefault="00762BF3" w:rsidP="00762BF3">
      <w:pPr>
        <w:pStyle w:val="Nagwek3"/>
        <w:rPr>
          <w:rFonts w:ascii="Times New Roman" w:hAnsi="Times New Roman" w:cs="Times New Roman"/>
        </w:rPr>
      </w:pPr>
      <w:bookmarkStart w:id="79" w:name="_Toc77321952"/>
      <w:r w:rsidRPr="00B941F4">
        <w:rPr>
          <w:rFonts w:ascii="Times New Roman" w:hAnsi="Times New Roman" w:cs="Times New Roman"/>
        </w:rPr>
        <w:t>3.2.6 Kogeneracja</w:t>
      </w:r>
      <w:bookmarkEnd w:id="79"/>
    </w:p>
    <w:p w:rsidR="00762BF3" w:rsidRDefault="00762BF3" w:rsidP="00762BF3">
      <w:pPr>
        <w:pStyle w:val="tekst"/>
      </w:pPr>
      <w:r w:rsidRPr="00194C4A">
        <w:t>Kogeneracja (ang. CombinedHeat and Power – CHP) to wytwarzanie w jednym procesie energii elektrycznej i ciepła</w:t>
      </w:r>
      <w:r>
        <w:t xml:space="preserve"> (zob. rysunek poniżej)</w:t>
      </w:r>
      <w:r w:rsidRPr="00194C4A">
        <w:t>. Energia elektryczna i ciepło wytwarzane są tu w jednym cyklu technologicznym. Technologia ta daje możliwość uzyskania wysokiej (80-85%) sprawności wytwarzania (około dwukrotnie wyższej niż osiągana przez elektrownie konwencjonalne) i czyni procesy technologiczne bardziej proekologicznymi, przede wszystkim dzięki zmniejszeniu zużycia paliwa produkcyjnego oraz wynikającemu z niego znaczącemu obniżeniu emisji zanieczyszczeń. Nie zawsze kogeneracja używa jako paliwo bazowe energię odnawialną ale ze względu na wysoką sprawność i znaczenie dla systemu energetycznego jest bardzo ważnym rozwiązaniem. Najłatwiej kogenerację stosować w układach wykorzystujących gaz, w Polsce jednak stosowania jest głównie w układach węglowych. Rozwiązaniem, które mogłoby pomóc zbilansować nadmiar ciepła w okresie letnim mogłoby być wzbogacenie procesu o wytwarzanie chłodu (trigeneracja). Proces ten polega na tym, że odpadowe ciepło z produkcji energii elektrycznej stanowi energię napędową w absorpcyjnym procesie wytwarzania tzw. wody lodowej. Stwarza to latem szansę na zrekompensowanie (do pewnego stopnia) spadku zapotrzebowania na ciepło powodującego zmniejszenie produkcji energii elektrycznej w skojarzeniu.</w:t>
      </w:r>
    </w:p>
    <w:p w:rsidR="00932E8C" w:rsidRDefault="00932E8C" w:rsidP="00762BF3">
      <w:pPr>
        <w:pStyle w:val="tekst"/>
      </w:pPr>
    </w:p>
    <w:p w:rsidR="00BD0713" w:rsidRDefault="00BD0713" w:rsidP="00762BF3">
      <w:pPr>
        <w:pStyle w:val="tekst"/>
      </w:pPr>
    </w:p>
    <w:p w:rsidR="00932E8C" w:rsidRDefault="00932E8C" w:rsidP="00762BF3">
      <w:pPr>
        <w:pStyle w:val="tekst"/>
      </w:pPr>
    </w:p>
    <w:p w:rsidR="00ED14B3" w:rsidRDefault="00ED14B3" w:rsidP="00762BF3">
      <w:pPr>
        <w:pStyle w:val="tekst"/>
      </w:pPr>
    </w:p>
    <w:p w:rsidR="00762BF3" w:rsidRDefault="00762BF3" w:rsidP="00762BF3">
      <w:pPr>
        <w:pStyle w:val="tekst"/>
      </w:pPr>
    </w:p>
    <w:p w:rsidR="00762BF3" w:rsidRPr="003A425C" w:rsidRDefault="00762BF3" w:rsidP="00762BF3">
      <w:pPr>
        <w:pStyle w:val="Legenda"/>
        <w:rPr>
          <w:sz w:val="20"/>
        </w:rPr>
      </w:pPr>
      <w:bookmarkStart w:id="80" w:name="_Toc77321979"/>
      <w:r w:rsidRPr="003A425C">
        <w:rPr>
          <w:sz w:val="20"/>
        </w:rPr>
        <w:lastRenderedPageBreak/>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2</w:t>
      </w:r>
      <w:r w:rsidR="00A05E44" w:rsidRPr="003A425C">
        <w:rPr>
          <w:sz w:val="20"/>
        </w:rPr>
        <w:fldChar w:fldCharType="end"/>
      </w:r>
      <w:r w:rsidRPr="003A425C">
        <w:rPr>
          <w:sz w:val="20"/>
        </w:rPr>
        <w:t xml:space="preserve"> Schemat systemu </w:t>
      </w:r>
      <w:r>
        <w:rPr>
          <w:sz w:val="20"/>
        </w:rPr>
        <w:t>k</w:t>
      </w:r>
      <w:r w:rsidRPr="003A425C">
        <w:rPr>
          <w:sz w:val="20"/>
        </w:rPr>
        <w:t>ogeneracji</w:t>
      </w:r>
      <w:bookmarkEnd w:id="80"/>
    </w:p>
    <w:p w:rsidR="00762BF3" w:rsidRDefault="00762BF3" w:rsidP="00762BF3">
      <w:pPr>
        <w:pStyle w:val="Legenda"/>
        <w:rPr>
          <w:rStyle w:val="Hipercze"/>
          <w:rFonts w:ascii="Times New Roman" w:hAnsi="Times New Roman" w:cs="Times New Roman"/>
          <w:b w:val="0"/>
          <w:i/>
          <w:color w:val="auto"/>
          <w:sz w:val="22"/>
          <w:szCs w:val="22"/>
          <w:u w:val="none"/>
        </w:rPr>
      </w:pPr>
      <w:r w:rsidRPr="00194C4A">
        <w:rPr>
          <w:rFonts w:ascii="Times New Roman" w:hAnsi="Times New Roman" w:cs="Times New Roman"/>
          <w:noProof/>
          <w:sz w:val="22"/>
          <w:szCs w:val="22"/>
        </w:rPr>
        <w:drawing>
          <wp:inline distT="0" distB="0" distL="0" distR="0">
            <wp:extent cx="5760720" cy="3534410"/>
            <wp:effectExtent l="0" t="0" r="0" b="889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534410"/>
                    </a:xfrm>
                    <a:prstGeom prst="rect">
                      <a:avLst/>
                    </a:prstGeom>
                  </pic:spPr>
                </pic:pic>
              </a:graphicData>
            </a:graphic>
          </wp:inline>
        </w:drawing>
      </w:r>
      <w:r w:rsidRPr="00784A81">
        <w:rPr>
          <w:rFonts w:ascii="Times New Roman" w:hAnsi="Times New Roman" w:cs="Times New Roman"/>
          <w:b w:val="0"/>
          <w:i/>
          <w:color w:val="auto"/>
          <w:sz w:val="22"/>
          <w:szCs w:val="22"/>
        </w:rPr>
        <w:t xml:space="preserve">Źródło: </w:t>
      </w:r>
      <w:r w:rsidRPr="009A4E08">
        <w:rPr>
          <w:rStyle w:val="Hipercze"/>
          <w:rFonts w:ascii="Times New Roman" w:hAnsi="Times New Roman" w:cs="Times New Roman"/>
          <w:b w:val="0"/>
          <w:i/>
          <w:color w:val="auto"/>
          <w:sz w:val="22"/>
          <w:szCs w:val="22"/>
          <w:u w:val="none"/>
        </w:rPr>
        <w:t>https://www.ecpower.eu/pl/kogeneracja-w-porownaniu.html</w:t>
      </w:r>
      <w:r>
        <w:rPr>
          <w:rStyle w:val="Hipercze"/>
          <w:rFonts w:ascii="Times New Roman" w:hAnsi="Times New Roman" w:cs="Times New Roman"/>
          <w:b w:val="0"/>
          <w:i/>
          <w:color w:val="auto"/>
          <w:sz w:val="22"/>
          <w:szCs w:val="22"/>
          <w:u w:val="none"/>
        </w:rPr>
        <w:t>.</w:t>
      </w:r>
    </w:p>
    <w:p w:rsidR="00194C4A" w:rsidRPr="00B941F4" w:rsidRDefault="00784A81" w:rsidP="00784A81">
      <w:pPr>
        <w:pStyle w:val="Nagwek3"/>
        <w:rPr>
          <w:rFonts w:ascii="Times New Roman" w:hAnsi="Times New Roman" w:cs="Times New Roman"/>
        </w:rPr>
      </w:pPr>
      <w:bookmarkStart w:id="81" w:name="_Toc77321953"/>
      <w:r w:rsidRPr="00B941F4">
        <w:rPr>
          <w:rFonts w:ascii="Times New Roman" w:hAnsi="Times New Roman" w:cs="Times New Roman"/>
        </w:rPr>
        <w:t>3.</w:t>
      </w:r>
      <w:r w:rsidR="00D1122F" w:rsidRPr="00B941F4">
        <w:rPr>
          <w:rFonts w:ascii="Times New Roman" w:hAnsi="Times New Roman" w:cs="Times New Roman"/>
        </w:rPr>
        <w:t>2</w:t>
      </w:r>
      <w:r w:rsidRPr="00B941F4">
        <w:rPr>
          <w:rFonts w:ascii="Times New Roman" w:hAnsi="Times New Roman" w:cs="Times New Roman"/>
        </w:rPr>
        <w:t>.7 P</w:t>
      </w:r>
      <w:r w:rsidR="00194C4A" w:rsidRPr="00B941F4">
        <w:rPr>
          <w:rFonts w:ascii="Times New Roman" w:hAnsi="Times New Roman" w:cs="Times New Roman"/>
        </w:rPr>
        <w:t>odsumowanie</w:t>
      </w:r>
      <w:bookmarkEnd w:id="81"/>
    </w:p>
    <w:p w:rsidR="00194C4A" w:rsidRPr="00194C4A" w:rsidRDefault="00194C4A" w:rsidP="004663D7">
      <w:pPr>
        <w:pStyle w:val="tekst"/>
      </w:pPr>
      <w:r w:rsidRPr="00194C4A">
        <w:t xml:space="preserve">Jeśli chodzi o możliwości wykorzystania energii lokalnej wskazuje się na </w:t>
      </w:r>
      <w:r w:rsidR="003A6D9D">
        <w:t xml:space="preserve">istnienie znaczącego </w:t>
      </w:r>
      <w:r w:rsidRPr="00194C4A">
        <w:t>potencjał</w:t>
      </w:r>
      <w:r w:rsidR="003A6D9D">
        <w:t xml:space="preserve">u pod tym względem w gminie </w:t>
      </w:r>
      <w:r w:rsidR="00765F77">
        <w:t>Wieliczki</w:t>
      </w:r>
      <w:r w:rsidRPr="00194C4A">
        <w:t>. Przede wszystkim energia słoneczna</w:t>
      </w:r>
      <w:r w:rsidR="00267F83">
        <w:t xml:space="preserve"> i</w:t>
      </w:r>
      <w:r w:rsidRPr="00194C4A">
        <w:t xml:space="preserve"> biomasa są niedostatecznie wykorzystane. Pozostałe odnawialne źródła energii wymagają wysokich nakładów finansowych. Warto w tym miejscu wspomnieć </w:t>
      </w:r>
      <w:r w:rsidR="004663D7">
        <w:t>o</w:t>
      </w:r>
      <w:r w:rsidRPr="00194C4A">
        <w:t xml:space="preserve"> potencja</w:t>
      </w:r>
      <w:r w:rsidR="004663D7">
        <w:t>le</w:t>
      </w:r>
      <w:r w:rsidRPr="00194C4A">
        <w:t xml:space="preserve"> w kogeneracji dzięki dobremu zaopatrzeniu </w:t>
      </w:r>
      <w:r w:rsidR="009569BC">
        <w:t>g</w:t>
      </w:r>
      <w:r w:rsidR="009569BC" w:rsidRPr="00194C4A">
        <w:t xml:space="preserve">miny </w:t>
      </w:r>
      <w:r w:rsidRPr="00194C4A">
        <w:t>w gaz ziemny.</w:t>
      </w:r>
      <w:bookmarkEnd w:id="76"/>
    </w:p>
    <w:p w:rsidR="00194C4A" w:rsidRPr="00194C4A" w:rsidRDefault="00194C4A" w:rsidP="004663D7">
      <w:pPr>
        <w:pStyle w:val="tekst"/>
      </w:pPr>
      <w:r w:rsidRPr="00194C4A">
        <w:t xml:space="preserve">Potencjał energetyczny zasobów własnych </w:t>
      </w:r>
      <w:r w:rsidR="009A4E08">
        <w:t>g</w:t>
      </w:r>
      <w:r w:rsidRPr="00194C4A">
        <w:t>miny przedstawiono poniżej w tabeli uwzględniając biomasę i energię słoneczną</w:t>
      </w:r>
      <w:r w:rsidR="00B51ABF">
        <w:t>.</w:t>
      </w:r>
    </w:p>
    <w:p w:rsidR="00194C4A" w:rsidRDefault="00194C4A" w:rsidP="00194C4A">
      <w:pPr>
        <w:pStyle w:val="Akapitzlist"/>
        <w:spacing w:after="0"/>
        <w:ind w:left="0"/>
        <w:jc w:val="both"/>
        <w:rPr>
          <w:rFonts w:ascii="Times New Roman" w:hAnsi="Times New Roman" w:cs="Times New Roman"/>
          <w:color w:val="000000"/>
          <w:sz w:val="22"/>
          <w:szCs w:val="22"/>
        </w:rPr>
      </w:pPr>
    </w:p>
    <w:p w:rsidR="004663D7" w:rsidRPr="003A425C" w:rsidRDefault="004663D7" w:rsidP="004663D7">
      <w:pPr>
        <w:pStyle w:val="Legenda"/>
        <w:rPr>
          <w:rFonts w:ascii="Times New Roman" w:hAnsi="Times New Roman" w:cs="Times New Roman"/>
          <w:color w:val="000000"/>
          <w:sz w:val="28"/>
          <w:szCs w:val="22"/>
        </w:rPr>
      </w:pPr>
      <w:bookmarkStart w:id="82" w:name="_Toc77322005"/>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3</w:t>
      </w:r>
      <w:r w:rsidR="00A05E44" w:rsidRPr="003A425C">
        <w:rPr>
          <w:sz w:val="20"/>
        </w:rPr>
        <w:fldChar w:fldCharType="end"/>
      </w:r>
      <w:r w:rsidRPr="003A425C">
        <w:rPr>
          <w:sz w:val="20"/>
        </w:rPr>
        <w:t xml:space="preserve"> Potencjał energetyczny Gminy </w:t>
      </w:r>
      <w:r w:rsidR="00327190">
        <w:rPr>
          <w:sz w:val="20"/>
        </w:rPr>
        <w:t>Brodnica</w:t>
      </w:r>
      <w:bookmarkEnd w:id="82"/>
    </w:p>
    <w:tbl>
      <w:tblPr>
        <w:tblStyle w:val="Tabelasiatki1jasnaakcent11"/>
        <w:tblW w:w="0" w:type="auto"/>
        <w:tblLook w:val="04A0"/>
      </w:tblPr>
      <w:tblGrid>
        <w:gridCol w:w="562"/>
        <w:gridCol w:w="5452"/>
        <w:gridCol w:w="3008"/>
      </w:tblGrid>
      <w:tr w:rsidR="00194C4A" w:rsidRPr="00FB2AEF" w:rsidTr="003A425C">
        <w:trPr>
          <w:cnfStyle w:val="100000000000"/>
          <w:trHeight w:val="575"/>
        </w:trPr>
        <w:tc>
          <w:tcPr>
            <w:cnfStyle w:val="001000000000"/>
            <w:tcW w:w="562" w:type="dxa"/>
          </w:tcPr>
          <w:p w:rsidR="00194C4A" w:rsidRPr="00FB2AEF" w:rsidRDefault="00194C4A" w:rsidP="004447AC">
            <w:pPr>
              <w:pStyle w:val="Akapitzlist"/>
              <w:ind w:left="0"/>
              <w:jc w:val="both"/>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Lp.</w:t>
            </w:r>
          </w:p>
        </w:tc>
        <w:tc>
          <w:tcPr>
            <w:tcW w:w="5452" w:type="dxa"/>
          </w:tcPr>
          <w:p w:rsidR="00194C4A" w:rsidRPr="00FB2AEF" w:rsidRDefault="00194C4A" w:rsidP="004447AC">
            <w:pPr>
              <w:pStyle w:val="Akapitzlist"/>
              <w:ind w:left="0"/>
              <w:jc w:val="both"/>
              <w:cnfStyle w:val="100000000000"/>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Rodzaj energii odnawialnej</w:t>
            </w:r>
          </w:p>
        </w:tc>
        <w:tc>
          <w:tcPr>
            <w:tcW w:w="3008" w:type="dxa"/>
          </w:tcPr>
          <w:p w:rsidR="00194C4A" w:rsidRPr="00FB2AEF" w:rsidRDefault="00194C4A" w:rsidP="004447AC">
            <w:pPr>
              <w:pStyle w:val="Akapitzlist"/>
              <w:ind w:left="0"/>
              <w:jc w:val="both"/>
              <w:cnfStyle w:val="100000000000"/>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Produkcja roczna GWh</w:t>
            </w:r>
          </w:p>
        </w:tc>
      </w:tr>
      <w:tr w:rsidR="00194C4A" w:rsidRPr="00FB2AEF" w:rsidTr="003A425C">
        <w:trPr>
          <w:trHeight w:val="281"/>
        </w:trPr>
        <w:tc>
          <w:tcPr>
            <w:cnfStyle w:val="001000000000"/>
            <w:tcW w:w="562" w:type="dxa"/>
          </w:tcPr>
          <w:p w:rsidR="00194C4A" w:rsidRPr="00FB2AEF" w:rsidRDefault="00194C4A" w:rsidP="004447AC">
            <w:pPr>
              <w:pStyle w:val="Akapitzlist"/>
              <w:ind w:left="0"/>
              <w:jc w:val="both"/>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1</w:t>
            </w:r>
          </w:p>
        </w:tc>
        <w:tc>
          <w:tcPr>
            <w:tcW w:w="5452" w:type="dxa"/>
          </w:tcPr>
          <w:p w:rsidR="00194C4A" w:rsidRPr="00FB2AEF" w:rsidRDefault="00194C4A" w:rsidP="004447AC">
            <w:pPr>
              <w:pStyle w:val="Akapitzlist"/>
              <w:ind w:left="0"/>
              <w:jc w:val="both"/>
              <w:cnfStyle w:val="000000000000"/>
              <w:rPr>
                <w:rStyle w:val="Pogrubienie"/>
                <w:rFonts w:ascii="Times New Roman" w:hAnsi="Times New Roman" w:cs="Times New Roman"/>
                <w:b w:val="0"/>
                <w:sz w:val="22"/>
                <w:szCs w:val="22"/>
              </w:rPr>
            </w:pPr>
            <w:r w:rsidRPr="00FB2AEF">
              <w:rPr>
                <w:rStyle w:val="Pogrubienie"/>
                <w:rFonts w:ascii="Times New Roman" w:hAnsi="Times New Roman" w:cs="Times New Roman"/>
                <w:b w:val="0"/>
                <w:sz w:val="22"/>
                <w:szCs w:val="22"/>
              </w:rPr>
              <w:t>Energia słoneczna</w:t>
            </w:r>
          </w:p>
        </w:tc>
        <w:tc>
          <w:tcPr>
            <w:tcW w:w="3008" w:type="dxa"/>
          </w:tcPr>
          <w:p w:rsidR="00194C4A" w:rsidRPr="00FB2AEF" w:rsidRDefault="00ED14B3" w:rsidP="004447AC">
            <w:pPr>
              <w:pStyle w:val="Akapitzlist"/>
              <w:ind w:left="0"/>
              <w:jc w:val="both"/>
              <w:cnfStyle w:val="000000000000"/>
              <w:rPr>
                <w:rStyle w:val="Pogrubienie"/>
                <w:rFonts w:ascii="Times New Roman" w:hAnsi="Times New Roman" w:cs="Times New Roman"/>
                <w:b w:val="0"/>
                <w:sz w:val="22"/>
                <w:szCs w:val="22"/>
              </w:rPr>
            </w:pPr>
            <w:r>
              <w:rPr>
                <w:rStyle w:val="Pogrubienie"/>
                <w:rFonts w:ascii="Times New Roman" w:hAnsi="Times New Roman" w:cs="Times New Roman"/>
                <w:b w:val="0"/>
                <w:sz w:val="22"/>
                <w:szCs w:val="22"/>
              </w:rPr>
              <w:t>75</w:t>
            </w:r>
            <w:r w:rsidR="00194C4A" w:rsidRPr="00FB2AEF">
              <w:rPr>
                <w:rStyle w:val="Pogrubienie"/>
                <w:rFonts w:ascii="Times New Roman" w:hAnsi="Times New Roman" w:cs="Times New Roman"/>
                <w:b w:val="0"/>
                <w:sz w:val="22"/>
                <w:szCs w:val="22"/>
              </w:rPr>
              <w:t xml:space="preserve"> </w:t>
            </w:r>
          </w:p>
        </w:tc>
      </w:tr>
      <w:tr w:rsidR="00194C4A" w:rsidRPr="00FB2AEF" w:rsidTr="003A425C">
        <w:trPr>
          <w:trHeight w:val="281"/>
        </w:trPr>
        <w:tc>
          <w:tcPr>
            <w:cnfStyle w:val="001000000000"/>
            <w:tcW w:w="562" w:type="dxa"/>
          </w:tcPr>
          <w:p w:rsidR="00194C4A" w:rsidRPr="00FB2AEF" w:rsidRDefault="00194C4A" w:rsidP="004447AC">
            <w:pPr>
              <w:pStyle w:val="Akapitzlist"/>
              <w:ind w:left="0"/>
              <w:jc w:val="both"/>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2</w:t>
            </w:r>
          </w:p>
        </w:tc>
        <w:tc>
          <w:tcPr>
            <w:tcW w:w="5452" w:type="dxa"/>
          </w:tcPr>
          <w:p w:rsidR="00194C4A" w:rsidRPr="00FB2AEF" w:rsidRDefault="00ED14B3" w:rsidP="004447AC">
            <w:pPr>
              <w:pStyle w:val="Akapitzlist"/>
              <w:ind w:left="0"/>
              <w:jc w:val="both"/>
              <w:cnfStyle w:val="000000000000"/>
              <w:rPr>
                <w:rStyle w:val="Pogrubienie"/>
                <w:rFonts w:ascii="Times New Roman" w:hAnsi="Times New Roman" w:cs="Times New Roman"/>
                <w:b w:val="0"/>
                <w:sz w:val="22"/>
                <w:szCs w:val="22"/>
              </w:rPr>
            </w:pPr>
            <w:r>
              <w:rPr>
                <w:rStyle w:val="Pogrubienie"/>
                <w:rFonts w:ascii="Times New Roman" w:hAnsi="Times New Roman" w:cs="Times New Roman"/>
                <w:b w:val="0"/>
                <w:sz w:val="22"/>
                <w:szCs w:val="22"/>
              </w:rPr>
              <w:t>Energia wiatru</w:t>
            </w:r>
          </w:p>
        </w:tc>
        <w:tc>
          <w:tcPr>
            <w:tcW w:w="3008" w:type="dxa"/>
          </w:tcPr>
          <w:p w:rsidR="00194C4A" w:rsidRPr="00FB2AEF" w:rsidRDefault="00ED14B3" w:rsidP="004663D7">
            <w:pPr>
              <w:pStyle w:val="Akapitzlist"/>
              <w:ind w:left="0"/>
              <w:jc w:val="both"/>
              <w:cnfStyle w:val="000000000000"/>
              <w:rPr>
                <w:rStyle w:val="Pogrubienie"/>
                <w:rFonts w:ascii="Times New Roman" w:hAnsi="Times New Roman" w:cs="Times New Roman"/>
                <w:b w:val="0"/>
                <w:sz w:val="22"/>
                <w:szCs w:val="22"/>
              </w:rPr>
            </w:pPr>
            <w:r>
              <w:rPr>
                <w:rStyle w:val="Pogrubienie"/>
                <w:rFonts w:ascii="Times New Roman" w:hAnsi="Times New Roman" w:cs="Times New Roman"/>
                <w:b w:val="0"/>
                <w:sz w:val="22"/>
                <w:szCs w:val="22"/>
              </w:rPr>
              <w:t>12</w:t>
            </w:r>
          </w:p>
        </w:tc>
      </w:tr>
      <w:tr w:rsidR="00194C4A" w:rsidRPr="00FB2AEF" w:rsidTr="003A425C">
        <w:trPr>
          <w:trHeight w:val="281"/>
        </w:trPr>
        <w:tc>
          <w:tcPr>
            <w:cnfStyle w:val="001000000000"/>
            <w:tcW w:w="562" w:type="dxa"/>
          </w:tcPr>
          <w:p w:rsidR="00194C4A" w:rsidRPr="00FB2AEF" w:rsidRDefault="00194C4A" w:rsidP="004447AC">
            <w:pPr>
              <w:pStyle w:val="Akapitzlist"/>
              <w:ind w:left="0"/>
              <w:jc w:val="both"/>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3</w:t>
            </w:r>
          </w:p>
        </w:tc>
        <w:tc>
          <w:tcPr>
            <w:tcW w:w="5452" w:type="dxa"/>
          </w:tcPr>
          <w:p w:rsidR="00194C4A" w:rsidRPr="00FB2AEF" w:rsidRDefault="00194C4A" w:rsidP="004447AC">
            <w:pPr>
              <w:pStyle w:val="Akapitzlist"/>
              <w:ind w:left="0"/>
              <w:jc w:val="both"/>
              <w:cnfStyle w:val="000000000000"/>
              <w:rPr>
                <w:rStyle w:val="Pogrubienie"/>
                <w:rFonts w:ascii="Times New Roman" w:hAnsi="Times New Roman" w:cs="Times New Roman"/>
                <w:b w:val="0"/>
                <w:sz w:val="22"/>
                <w:szCs w:val="22"/>
              </w:rPr>
            </w:pPr>
            <w:r w:rsidRPr="00FB2AEF">
              <w:rPr>
                <w:rStyle w:val="Pogrubienie"/>
                <w:rFonts w:ascii="Times New Roman" w:hAnsi="Times New Roman" w:cs="Times New Roman"/>
                <w:b w:val="0"/>
                <w:sz w:val="22"/>
                <w:szCs w:val="22"/>
              </w:rPr>
              <w:t>Biomasa rolnicza</w:t>
            </w:r>
            <w:r w:rsidR="004663D7" w:rsidRPr="00FB2AEF">
              <w:rPr>
                <w:rStyle w:val="Pogrubienie"/>
                <w:rFonts w:ascii="Times New Roman" w:hAnsi="Times New Roman" w:cs="Times New Roman"/>
                <w:b w:val="0"/>
                <w:sz w:val="22"/>
                <w:szCs w:val="22"/>
              </w:rPr>
              <w:t xml:space="preserve"> (słoma)</w:t>
            </w:r>
          </w:p>
        </w:tc>
        <w:tc>
          <w:tcPr>
            <w:tcW w:w="3008" w:type="dxa"/>
          </w:tcPr>
          <w:p w:rsidR="00194C4A" w:rsidRPr="00FB2AEF" w:rsidRDefault="00ED14B3" w:rsidP="004447AC">
            <w:pPr>
              <w:pStyle w:val="Akapitzlist"/>
              <w:ind w:left="0"/>
              <w:jc w:val="both"/>
              <w:cnfStyle w:val="000000000000"/>
              <w:rPr>
                <w:rStyle w:val="Pogrubienie"/>
                <w:rFonts w:ascii="Times New Roman" w:hAnsi="Times New Roman" w:cs="Times New Roman"/>
                <w:b w:val="0"/>
                <w:sz w:val="22"/>
                <w:szCs w:val="22"/>
              </w:rPr>
            </w:pPr>
            <w:r>
              <w:rPr>
                <w:rStyle w:val="Pogrubienie"/>
                <w:rFonts w:ascii="Times New Roman" w:hAnsi="Times New Roman" w:cs="Times New Roman"/>
                <w:b w:val="0"/>
                <w:sz w:val="22"/>
                <w:szCs w:val="22"/>
              </w:rPr>
              <w:t>30,4</w:t>
            </w:r>
          </w:p>
        </w:tc>
      </w:tr>
      <w:tr w:rsidR="00194C4A" w:rsidRPr="00FB2AEF" w:rsidTr="003A425C">
        <w:trPr>
          <w:trHeight w:val="281"/>
        </w:trPr>
        <w:tc>
          <w:tcPr>
            <w:cnfStyle w:val="001000000000"/>
            <w:tcW w:w="562" w:type="dxa"/>
          </w:tcPr>
          <w:p w:rsidR="00194C4A" w:rsidRPr="00FB2AEF" w:rsidRDefault="00194C4A" w:rsidP="004447AC">
            <w:pPr>
              <w:pStyle w:val="Akapitzlist"/>
              <w:ind w:left="0"/>
              <w:jc w:val="both"/>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4</w:t>
            </w:r>
          </w:p>
        </w:tc>
        <w:tc>
          <w:tcPr>
            <w:tcW w:w="5452" w:type="dxa"/>
          </w:tcPr>
          <w:p w:rsidR="00194C4A" w:rsidRPr="00FB2AEF" w:rsidRDefault="00194C4A" w:rsidP="004447AC">
            <w:pPr>
              <w:pStyle w:val="Akapitzlist"/>
              <w:ind w:left="0"/>
              <w:jc w:val="both"/>
              <w:cnfStyle w:val="000000000000"/>
              <w:rPr>
                <w:rStyle w:val="Pogrubienie"/>
                <w:rFonts w:ascii="Times New Roman" w:hAnsi="Times New Roman" w:cs="Times New Roman"/>
                <w:b w:val="0"/>
                <w:sz w:val="22"/>
                <w:szCs w:val="22"/>
              </w:rPr>
            </w:pPr>
            <w:r w:rsidRPr="00FB2AEF">
              <w:rPr>
                <w:rStyle w:val="Pogrubienie"/>
                <w:rFonts w:ascii="Times New Roman" w:hAnsi="Times New Roman" w:cs="Times New Roman"/>
                <w:b w:val="0"/>
                <w:sz w:val="22"/>
                <w:szCs w:val="22"/>
              </w:rPr>
              <w:t>Biogaz</w:t>
            </w:r>
          </w:p>
        </w:tc>
        <w:tc>
          <w:tcPr>
            <w:tcW w:w="3008" w:type="dxa"/>
          </w:tcPr>
          <w:p w:rsidR="00194C4A" w:rsidRPr="00FB2AEF" w:rsidRDefault="00ED14B3" w:rsidP="004447AC">
            <w:pPr>
              <w:pStyle w:val="Akapitzlist"/>
              <w:ind w:left="0"/>
              <w:jc w:val="both"/>
              <w:cnfStyle w:val="000000000000"/>
              <w:rPr>
                <w:rStyle w:val="Pogrubienie"/>
                <w:rFonts w:ascii="Times New Roman" w:hAnsi="Times New Roman" w:cs="Times New Roman"/>
                <w:b w:val="0"/>
                <w:sz w:val="22"/>
                <w:szCs w:val="22"/>
              </w:rPr>
            </w:pPr>
            <w:r>
              <w:rPr>
                <w:rStyle w:val="Pogrubienie"/>
                <w:rFonts w:ascii="Times New Roman" w:hAnsi="Times New Roman" w:cs="Times New Roman"/>
                <w:b w:val="0"/>
                <w:sz w:val="22"/>
                <w:szCs w:val="22"/>
              </w:rPr>
              <w:t>20</w:t>
            </w:r>
          </w:p>
        </w:tc>
      </w:tr>
      <w:tr w:rsidR="00194C4A" w:rsidRPr="00FB2AEF" w:rsidTr="003A425C">
        <w:trPr>
          <w:trHeight w:val="281"/>
        </w:trPr>
        <w:tc>
          <w:tcPr>
            <w:cnfStyle w:val="001000000000"/>
            <w:tcW w:w="6014" w:type="dxa"/>
            <w:gridSpan w:val="2"/>
          </w:tcPr>
          <w:p w:rsidR="00194C4A" w:rsidRPr="00FB2AEF" w:rsidRDefault="00194C4A" w:rsidP="004447AC">
            <w:pPr>
              <w:pStyle w:val="Akapitzlist"/>
              <w:ind w:left="0"/>
              <w:jc w:val="both"/>
              <w:rPr>
                <w:rStyle w:val="Pogrubienie"/>
                <w:rFonts w:ascii="Times New Roman" w:hAnsi="Times New Roman" w:cs="Times New Roman"/>
                <w:b/>
                <w:sz w:val="22"/>
                <w:szCs w:val="22"/>
              </w:rPr>
            </w:pPr>
            <w:r w:rsidRPr="00FB2AEF">
              <w:rPr>
                <w:rStyle w:val="Pogrubienie"/>
                <w:rFonts w:ascii="Times New Roman" w:hAnsi="Times New Roman" w:cs="Times New Roman"/>
                <w:sz w:val="22"/>
                <w:szCs w:val="22"/>
              </w:rPr>
              <w:t>SUMA</w:t>
            </w:r>
          </w:p>
        </w:tc>
        <w:tc>
          <w:tcPr>
            <w:tcW w:w="3008" w:type="dxa"/>
          </w:tcPr>
          <w:p w:rsidR="00194C4A" w:rsidRPr="00FB2AEF" w:rsidRDefault="00ED14B3" w:rsidP="004447AC">
            <w:pPr>
              <w:jc w:val="both"/>
              <w:cnfStyle w:val="000000000000"/>
              <w:rPr>
                <w:rStyle w:val="Pogrubienie"/>
                <w:rFonts w:ascii="Times New Roman" w:hAnsi="Times New Roman" w:cs="Times New Roman"/>
                <w:b w:val="0"/>
                <w:bCs w:val="0"/>
                <w:color w:val="000000"/>
                <w:sz w:val="22"/>
                <w:szCs w:val="22"/>
              </w:rPr>
            </w:pPr>
            <w:r>
              <w:rPr>
                <w:rStyle w:val="Pogrubienie"/>
                <w:rFonts w:ascii="Times New Roman" w:hAnsi="Times New Roman" w:cs="Times New Roman"/>
                <w:b w:val="0"/>
                <w:bCs w:val="0"/>
                <w:color w:val="000000"/>
                <w:sz w:val="22"/>
                <w:szCs w:val="22"/>
              </w:rPr>
              <w:t>137,4</w:t>
            </w:r>
          </w:p>
        </w:tc>
      </w:tr>
      <w:tr w:rsidR="00194C4A" w:rsidRPr="00FB2AEF" w:rsidTr="003A425C">
        <w:trPr>
          <w:trHeight w:val="281"/>
        </w:trPr>
        <w:tc>
          <w:tcPr>
            <w:cnfStyle w:val="001000000000"/>
            <w:tcW w:w="6014" w:type="dxa"/>
            <w:gridSpan w:val="2"/>
          </w:tcPr>
          <w:p w:rsidR="00194C4A" w:rsidRPr="00FB2AEF" w:rsidRDefault="00194C4A" w:rsidP="004663D7">
            <w:pPr>
              <w:pStyle w:val="Akapitzlist"/>
              <w:ind w:left="0"/>
              <w:jc w:val="both"/>
              <w:rPr>
                <w:rStyle w:val="Pogrubienie"/>
                <w:rFonts w:ascii="Times New Roman" w:hAnsi="Times New Roman" w:cs="Times New Roman"/>
                <w:b/>
                <w:sz w:val="22"/>
                <w:szCs w:val="22"/>
              </w:rPr>
            </w:pPr>
          </w:p>
        </w:tc>
        <w:tc>
          <w:tcPr>
            <w:tcW w:w="3008" w:type="dxa"/>
          </w:tcPr>
          <w:p w:rsidR="00194C4A" w:rsidRPr="00FB2AEF" w:rsidRDefault="00194C4A" w:rsidP="004447AC">
            <w:pPr>
              <w:pStyle w:val="Akapitzlist"/>
              <w:ind w:left="0"/>
              <w:jc w:val="both"/>
              <w:cnfStyle w:val="000000000000"/>
              <w:rPr>
                <w:rStyle w:val="Pogrubienie"/>
                <w:rFonts w:ascii="Times New Roman" w:hAnsi="Times New Roman" w:cs="Times New Roman"/>
                <w:b w:val="0"/>
                <w:sz w:val="22"/>
                <w:szCs w:val="22"/>
              </w:rPr>
            </w:pPr>
          </w:p>
        </w:tc>
      </w:tr>
    </w:tbl>
    <w:p w:rsidR="00194C4A" w:rsidRDefault="004663D7" w:rsidP="00194C4A">
      <w:pPr>
        <w:pStyle w:val="Akapitzlist"/>
        <w:spacing w:after="0"/>
        <w:ind w:left="0"/>
        <w:jc w:val="both"/>
        <w:rPr>
          <w:rStyle w:val="Pogrubienie"/>
          <w:rFonts w:ascii="Times New Roman" w:hAnsi="Times New Roman" w:cs="Times New Roman"/>
          <w:b w:val="0"/>
          <w:i/>
          <w:sz w:val="22"/>
          <w:szCs w:val="22"/>
        </w:rPr>
      </w:pPr>
      <w:r w:rsidRPr="004663D7">
        <w:rPr>
          <w:rStyle w:val="Pogrubienie"/>
          <w:rFonts w:ascii="Times New Roman" w:hAnsi="Times New Roman" w:cs="Times New Roman"/>
          <w:b w:val="0"/>
          <w:i/>
          <w:sz w:val="22"/>
          <w:szCs w:val="22"/>
        </w:rPr>
        <w:t>Źródło: Opracowanie własne</w:t>
      </w:r>
      <w:r w:rsidR="00B51ABF">
        <w:rPr>
          <w:rStyle w:val="Pogrubienie"/>
          <w:rFonts w:ascii="Times New Roman" w:hAnsi="Times New Roman" w:cs="Times New Roman"/>
          <w:b w:val="0"/>
          <w:i/>
          <w:sz w:val="22"/>
          <w:szCs w:val="22"/>
        </w:rPr>
        <w:t>.</w:t>
      </w:r>
    </w:p>
    <w:p w:rsidR="004663D7" w:rsidRPr="004663D7" w:rsidRDefault="004663D7" w:rsidP="00194C4A">
      <w:pPr>
        <w:pStyle w:val="Akapitzlist"/>
        <w:spacing w:after="0"/>
        <w:ind w:left="0"/>
        <w:jc w:val="both"/>
        <w:rPr>
          <w:rStyle w:val="Pogrubienie"/>
          <w:rFonts w:ascii="Times New Roman" w:hAnsi="Times New Roman" w:cs="Times New Roman"/>
          <w:b w:val="0"/>
          <w:i/>
          <w:sz w:val="22"/>
          <w:szCs w:val="22"/>
        </w:rPr>
      </w:pPr>
    </w:p>
    <w:p w:rsidR="00194C4A" w:rsidRPr="00194C4A" w:rsidRDefault="00194C4A" w:rsidP="004663D7">
      <w:pPr>
        <w:pStyle w:val="tekst"/>
        <w:rPr>
          <w:rStyle w:val="Pogrubienie"/>
          <w:rFonts w:cs="Times New Roman"/>
          <w:b w:val="0"/>
          <w:sz w:val="22"/>
          <w:szCs w:val="22"/>
        </w:rPr>
      </w:pPr>
      <w:r w:rsidRPr="00194C4A">
        <w:rPr>
          <w:rStyle w:val="Pogrubienie"/>
          <w:rFonts w:cs="Times New Roman"/>
          <w:sz w:val="22"/>
          <w:szCs w:val="22"/>
        </w:rPr>
        <w:t>Z powyższej tabeli wynika</w:t>
      </w:r>
      <w:r w:rsidR="00B51ABF">
        <w:rPr>
          <w:rStyle w:val="Pogrubienie"/>
          <w:rFonts w:cs="Times New Roman"/>
          <w:sz w:val="22"/>
          <w:szCs w:val="22"/>
        </w:rPr>
        <w:t>,</w:t>
      </w:r>
      <w:r w:rsidRPr="00194C4A">
        <w:rPr>
          <w:rStyle w:val="Pogrubienie"/>
          <w:rFonts w:cs="Times New Roman"/>
          <w:sz w:val="22"/>
          <w:szCs w:val="22"/>
        </w:rPr>
        <w:t xml:space="preserve"> iż sama tylko energia słoneczna jest w stanie pokryć zapotrzebowanie Gminy. Ze względu jednak na brak możliwości jej magazynowania nie jest ona w stanie zaspokoić </w:t>
      </w:r>
      <w:r w:rsidR="004663D7">
        <w:rPr>
          <w:rStyle w:val="Pogrubienie"/>
          <w:rFonts w:cs="Times New Roman"/>
          <w:sz w:val="22"/>
          <w:szCs w:val="22"/>
        </w:rPr>
        <w:t>bezpieczeństwa</w:t>
      </w:r>
      <w:r w:rsidRPr="00194C4A">
        <w:rPr>
          <w:rStyle w:val="Pogrubienie"/>
          <w:rFonts w:cs="Times New Roman"/>
          <w:sz w:val="22"/>
          <w:szCs w:val="22"/>
        </w:rPr>
        <w:t xml:space="preserve"> energetyczn</w:t>
      </w:r>
      <w:r w:rsidR="004663D7">
        <w:rPr>
          <w:rStyle w:val="Pogrubienie"/>
          <w:rFonts w:cs="Times New Roman"/>
          <w:sz w:val="22"/>
          <w:szCs w:val="22"/>
        </w:rPr>
        <w:t>ego</w:t>
      </w:r>
      <w:r w:rsidRPr="00194C4A">
        <w:rPr>
          <w:rStyle w:val="Pogrubienie"/>
          <w:rFonts w:cs="Times New Roman"/>
          <w:sz w:val="22"/>
          <w:szCs w:val="22"/>
        </w:rPr>
        <w:t xml:space="preserve"> Gminy. </w:t>
      </w:r>
    </w:p>
    <w:p w:rsidR="00B40000" w:rsidRPr="00194C4A" w:rsidRDefault="009617B3" w:rsidP="005C7F45">
      <w:pPr>
        <w:pStyle w:val="Nagwek2"/>
        <w:rPr>
          <w:rFonts w:ascii="Times New Roman" w:hAnsi="Times New Roman" w:cs="Times New Roman"/>
        </w:rPr>
      </w:pPr>
      <w:bookmarkStart w:id="83" w:name="_Toc77321954"/>
      <w:r w:rsidRPr="00194C4A">
        <w:rPr>
          <w:rFonts w:ascii="Times New Roman" w:hAnsi="Times New Roman" w:cs="Times New Roman"/>
        </w:rPr>
        <w:lastRenderedPageBreak/>
        <w:t>3.</w:t>
      </w:r>
      <w:r w:rsidR="00D1122F">
        <w:rPr>
          <w:rFonts w:ascii="Times New Roman" w:hAnsi="Times New Roman" w:cs="Times New Roman"/>
        </w:rPr>
        <w:t>3</w:t>
      </w:r>
      <w:r w:rsidR="00B40000" w:rsidRPr="00194C4A">
        <w:rPr>
          <w:rFonts w:ascii="Times New Roman" w:hAnsi="Times New Roman" w:cs="Times New Roman"/>
        </w:rPr>
        <w:t>Ocena kosztów i porównanie sposobów pokrycia zapotrzebowania na energię</w:t>
      </w:r>
      <w:bookmarkEnd w:id="83"/>
    </w:p>
    <w:p w:rsidR="00B40000" w:rsidRPr="00194C4A" w:rsidRDefault="003A3E9C" w:rsidP="003A3E9C">
      <w:pPr>
        <w:pStyle w:val="Nagwek3"/>
        <w:ind w:left="720" w:hanging="720"/>
        <w:rPr>
          <w:rFonts w:ascii="Times New Roman" w:hAnsi="Times New Roman" w:cs="Times New Roman"/>
        </w:rPr>
      </w:pPr>
      <w:bookmarkStart w:id="84" w:name="_Toc487805722"/>
      <w:bookmarkStart w:id="85" w:name="_Toc77321955"/>
      <w:r w:rsidRPr="00194C4A">
        <w:rPr>
          <w:rFonts w:ascii="Times New Roman" w:hAnsi="Times New Roman" w:cs="Times New Roman"/>
        </w:rPr>
        <w:t>3.</w:t>
      </w:r>
      <w:r w:rsidR="005C7F45">
        <w:rPr>
          <w:rFonts w:ascii="Times New Roman" w:hAnsi="Times New Roman" w:cs="Times New Roman"/>
        </w:rPr>
        <w:t>3</w:t>
      </w:r>
      <w:r w:rsidRPr="00194C4A">
        <w:rPr>
          <w:rFonts w:ascii="Times New Roman" w:hAnsi="Times New Roman" w:cs="Times New Roman"/>
        </w:rPr>
        <w:t xml:space="preserve">.1 </w:t>
      </w:r>
      <w:r w:rsidR="00B40000" w:rsidRPr="00194C4A">
        <w:rPr>
          <w:rFonts w:ascii="Times New Roman" w:hAnsi="Times New Roman" w:cs="Times New Roman"/>
        </w:rPr>
        <w:t xml:space="preserve">Taryfa na </w:t>
      </w:r>
      <w:r w:rsidR="0098742D" w:rsidRPr="00194C4A">
        <w:rPr>
          <w:rFonts w:ascii="Times New Roman" w:hAnsi="Times New Roman" w:cs="Times New Roman"/>
        </w:rPr>
        <w:t>energi</w:t>
      </w:r>
      <w:r w:rsidR="0098742D">
        <w:rPr>
          <w:rFonts w:ascii="Times New Roman" w:hAnsi="Times New Roman" w:cs="Times New Roman"/>
        </w:rPr>
        <w:t>ę</w:t>
      </w:r>
      <w:r w:rsidR="00765F77">
        <w:rPr>
          <w:rFonts w:ascii="Times New Roman" w:hAnsi="Times New Roman" w:cs="Times New Roman"/>
        </w:rPr>
        <w:t xml:space="preserve"> </w:t>
      </w:r>
      <w:r w:rsidR="00B40000" w:rsidRPr="00194C4A">
        <w:rPr>
          <w:rFonts w:ascii="Times New Roman" w:hAnsi="Times New Roman" w:cs="Times New Roman"/>
        </w:rPr>
        <w:t>elektryczną</w:t>
      </w:r>
      <w:bookmarkEnd w:id="84"/>
      <w:bookmarkEnd w:id="85"/>
    </w:p>
    <w:p w:rsidR="00B25226" w:rsidRPr="00194C4A" w:rsidRDefault="00B25226" w:rsidP="00B25226">
      <w:pPr>
        <w:pStyle w:val="tekst"/>
        <w:rPr>
          <w:rFonts w:cs="Times New Roman"/>
        </w:rPr>
      </w:pPr>
      <w:r w:rsidRPr="00194C4A">
        <w:rPr>
          <w:rFonts w:cs="Times New Roman"/>
        </w:rPr>
        <w:t xml:space="preserve">Dystrybucją energii elektrycznej na terenie gminy </w:t>
      </w:r>
      <w:r w:rsidR="00ED14B3">
        <w:rPr>
          <w:rFonts w:cs="Times New Roman"/>
        </w:rPr>
        <w:t>Wieliczki</w:t>
      </w:r>
      <w:r w:rsidRPr="00194C4A">
        <w:rPr>
          <w:rFonts w:cs="Times New Roman"/>
        </w:rPr>
        <w:t xml:space="preserve"> zajmuje się </w:t>
      </w:r>
      <w:r w:rsidR="00ED14B3">
        <w:rPr>
          <w:rFonts w:cs="Times New Roman"/>
        </w:rPr>
        <w:t>PGE Dystrybucja</w:t>
      </w:r>
      <w:r w:rsidRPr="00194C4A">
        <w:rPr>
          <w:rFonts w:cs="Times New Roman"/>
        </w:rPr>
        <w:t xml:space="preserve"> Poniżej przedstawiono tabele stawek i kryteriów przyporządkowania do grup taryfowych w spółce dystrybucyjnej. </w:t>
      </w:r>
    </w:p>
    <w:p w:rsidR="00B25226" w:rsidRDefault="00B25226" w:rsidP="00B25226">
      <w:pPr>
        <w:pStyle w:val="tekst"/>
        <w:rPr>
          <w:rFonts w:cs="Times New Roman"/>
        </w:rPr>
      </w:pPr>
      <w:r w:rsidRPr="00194C4A">
        <w:rPr>
          <w:rFonts w:cs="Times New Roman"/>
        </w:rPr>
        <w:t xml:space="preserve">Na kształt taryfy dystrybucyjnej składa się: opłata za usługi dystrybucji, opłata przejściowa, opłata abonamentowa oraz opłata OZE. </w:t>
      </w:r>
      <w:r w:rsidR="004663D7">
        <w:rPr>
          <w:rFonts w:cs="Times New Roman"/>
        </w:rPr>
        <w:t>Opłaty te dotyczący wszystkich usług związanych z zaopatrzeniem gminy w energię tj. konserwacji linie, usuwania awarii, odczytów liczników, największy koszt</w:t>
      </w:r>
      <w:r w:rsidR="00080353">
        <w:rPr>
          <w:rFonts w:cs="Times New Roman"/>
        </w:rPr>
        <w:t xml:space="preserve">, tj. </w:t>
      </w:r>
      <w:r w:rsidR="004663D7">
        <w:rPr>
          <w:rFonts w:cs="Times New Roman"/>
        </w:rPr>
        <w:t>pokrycia strat spowodowanych przez przesył elektryczności na dalekie odległości.</w:t>
      </w:r>
    </w:p>
    <w:p w:rsidR="00F0767D" w:rsidRDefault="00F0767D" w:rsidP="00B25226">
      <w:pPr>
        <w:pStyle w:val="tekst"/>
        <w:rPr>
          <w:rFonts w:cs="Times New Roman"/>
        </w:rPr>
      </w:pPr>
      <w:r>
        <w:rPr>
          <w:rFonts w:cs="Times New Roman"/>
        </w:rPr>
        <w:t>Analizując taryfę operatora można dojść do wniosku</w:t>
      </w:r>
      <w:r w:rsidR="00D510E9">
        <w:rPr>
          <w:rFonts w:cs="Times New Roman"/>
        </w:rPr>
        <w:t>,</w:t>
      </w:r>
      <w:r>
        <w:rPr>
          <w:rFonts w:cs="Times New Roman"/>
        </w:rPr>
        <w:t xml:space="preserve"> iż premiuje on pobór energii poza strefami szczytowymi. Najniższe stawki za pobór energii zgodnie z taryfą s</w:t>
      </w:r>
      <w:r w:rsidR="00DF1185">
        <w:rPr>
          <w:rFonts w:cs="Times New Roman"/>
        </w:rPr>
        <w:t>ą</w:t>
      </w:r>
      <w:r>
        <w:rPr>
          <w:rFonts w:cs="Times New Roman"/>
        </w:rPr>
        <w:t xml:space="preserve"> w nocy, weekendy, święta oraz w </w:t>
      </w:r>
      <w:r w:rsidR="003A425C">
        <w:rPr>
          <w:rFonts w:cs="Times New Roman"/>
        </w:rPr>
        <w:t>tzw.</w:t>
      </w:r>
      <w:r>
        <w:rPr>
          <w:rFonts w:cs="Times New Roman"/>
        </w:rPr>
        <w:t xml:space="preserve"> dolinie energetycznej</w:t>
      </w:r>
      <w:r w:rsidR="00DF1185">
        <w:rPr>
          <w:rFonts w:cs="Times New Roman"/>
        </w:rPr>
        <w:t>,</w:t>
      </w:r>
      <w:r>
        <w:rPr>
          <w:rFonts w:cs="Times New Roman"/>
        </w:rPr>
        <w:t xml:space="preserve"> tj. między godziną 13 a 15.</w:t>
      </w:r>
    </w:p>
    <w:p w:rsidR="00F0767D" w:rsidRDefault="00F0767D" w:rsidP="00B25226">
      <w:pPr>
        <w:pStyle w:val="tekst"/>
        <w:rPr>
          <w:rFonts w:cs="Times New Roman"/>
        </w:rPr>
      </w:pPr>
      <w:r>
        <w:rPr>
          <w:rFonts w:cs="Times New Roman"/>
        </w:rPr>
        <w:t xml:space="preserve">Dzięki </w:t>
      </w:r>
      <w:r w:rsidR="003A425C">
        <w:rPr>
          <w:rFonts w:cs="Times New Roman"/>
        </w:rPr>
        <w:t>odpowiedniemu</w:t>
      </w:r>
      <w:r>
        <w:rPr>
          <w:rFonts w:cs="Times New Roman"/>
        </w:rPr>
        <w:t xml:space="preserve"> doborowi taryf można uzyskać wymierne korzyści</w:t>
      </w:r>
      <w:r w:rsidR="00B0442B">
        <w:rPr>
          <w:rFonts w:cs="Times New Roman"/>
        </w:rPr>
        <w:t>,</w:t>
      </w:r>
      <w:r>
        <w:rPr>
          <w:rFonts w:cs="Times New Roman"/>
        </w:rPr>
        <w:t xml:space="preserve"> które wynikają z odpowiedniego doboru stawek za dystrybucję energii.</w:t>
      </w:r>
    </w:p>
    <w:p w:rsidR="00F0767D" w:rsidRDefault="00F0767D" w:rsidP="00B25226">
      <w:pPr>
        <w:pStyle w:val="tekst"/>
        <w:rPr>
          <w:rFonts w:cs="Times New Roman"/>
        </w:rPr>
      </w:pPr>
      <w:r>
        <w:rPr>
          <w:rFonts w:cs="Times New Roman"/>
        </w:rPr>
        <w:t>Kolejna kwesti</w:t>
      </w:r>
      <w:r w:rsidR="00B0442B">
        <w:rPr>
          <w:rFonts w:cs="Times New Roman"/>
        </w:rPr>
        <w:t>a,</w:t>
      </w:r>
      <w:r>
        <w:rPr>
          <w:rFonts w:cs="Times New Roman"/>
        </w:rPr>
        <w:t xml:space="preserve"> która wpływ na koszt dystrybucji</w:t>
      </w:r>
      <w:r w:rsidR="00B0442B">
        <w:rPr>
          <w:rFonts w:cs="Times New Roman"/>
        </w:rPr>
        <w:t>,</w:t>
      </w:r>
      <w:r w:rsidR="00ED14B3">
        <w:rPr>
          <w:rFonts w:cs="Times New Roman"/>
        </w:rPr>
        <w:t xml:space="preserve"> </w:t>
      </w:r>
      <w:r w:rsidR="00B0442B">
        <w:rPr>
          <w:rFonts w:cs="Times New Roman"/>
        </w:rPr>
        <w:t xml:space="preserve">to </w:t>
      </w:r>
      <w:r>
        <w:rPr>
          <w:rFonts w:cs="Times New Roman"/>
        </w:rPr>
        <w:t>moc zamówiona. Jest to opłata za gotowość zakładu energetycznego do dostarczenia odpowiedniej wysokości (amperażu przy stałym napięciu) mocy. Warto brać pod uwagę ten składnik</w:t>
      </w:r>
      <w:r w:rsidR="00400F37">
        <w:rPr>
          <w:rFonts w:cs="Times New Roman"/>
        </w:rPr>
        <w:t>,</w:t>
      </w:r>
      <w:r w:rsidR="00ED14B3">
        <w:rPr>
          <w:rFonts w:cs="Times New Roman"/>
        </w:rPr>
        <w:t xml:space="preserve"> </w:t>
      </w:r>
      <w:r w:rsidR="00400F37">
        <w:rPr>
          <w:rFonts w:cs="Times New Roman"/>
        </w:rPr>
        <w:t>gdyż,</w:t>
      </w:r>
      <w:r>
        <w:rPr>
          <w:rFonts w:cs="Times New Roman"/>
        </w:rPr>
        <w:t xml:space="preserve"> o ile dla obi</w:t>
      </w:r>
      <w:r w:rsidR="00400F37">
        <w:rPr>
          <w:rFonts w:cs="Times New Roman"/>
        </w:rPr>
        <w:t>e</w:t>
      </w:r>
      <w:r>
        <w:rPr>
          <w:rFonts w:cs="Times New Roman"/>
        </w:rPr>
        <w:t>któw</w:t>
      </w:r>
      <w:r w:rsidR="00400F37">
        <w:rPr>
          <w:rFonts w:cs="Times New Roman"/>
        </w:rPr>
        <w:t>,</w:t>
      </w:r>
      <w:r>
        <w:rPr>
          <w:rFonts w:cs="Times New Roman"/>
        </w:rPr>
        <w:t xml:space="preserve"> których zapotrzebowanie na moc nie przekracza 40 kW</w:t>
      </w:r>
      <w:r w:rsidR="00400F37">
        <w:rPr>
          <w:rFonts w:cs="Times New Roman"/>
        </w:rPr>
        <w:t>,</w:t>
      </w:r>
      <w:r>
        <w:rPr>
          <w:rFonts w:cs="Times New Roman"/>
        </w:rPr>
        <w:t xml:space="preserve"> opłata ta jest nie wielka</w:t>
      </w:r>
      <w:r w:rsidR="00400F37">
        <w:rPr>
          <w:rFonts w:cs="Times New Roman"/>
        </w:rPr>
        <w:t>,</w:t>
      </w:r>
      <w:r w:rsidR="00ED14B3">
        <w:rPr>
          <w:rFonts w:cs="Times New Roman"/>
        </w:rPr>
        <w:t xml:space="preserve"> </w:t>
      </w:r>
      <w:r w:rsidR="00400F37">
        <w:rPr>
          <w:rFonts w:cs="Times New Roman"/>
        </w:rPr>
        <w:t xml:space="preserve">o </w:t>
      </w:r>
      <w:r>
        <w:rPr>
          <w:rFonts w:cs="Times New Roman"/>
        </w:rPr>
        <w:t>tyle</w:t>
      </w:r>
      <w:r w:rsidR="00400F37">
        <w:rPr>
          <w:rFonts w:cs="Times New Roman"/>
        </w:rPr>
        <w:t>,</w:t>
      </w:r>
      <w:r>
        <w:rPr>
          <w:rFonts w:cs="Times New Roman"/>
        </w:rPr>
        <w:t xml:space="preserve"> gdy tylko wysokość  mocy przekracza 40 kW</w:t>
      </w:r>
      <w:r w:rsidR="00400F37">
        <w:rPr>
          <w:rFonts w:cs="Times New Roman"/>
        </w:rPr>
        <w:t>,</w:t>
      </w:r>
      <w:r>
        <w:rPr>
          <w:rFonts w:cs="Times New Roman"/>
        </w:rPr>
        <w:t xml:space="preserve"> opłata wzrasta czterokrotnie.</w:t>
      </w:r>
    </w:p>
    <w:p w:rsidR="004663D7" w:rsidRDefault="004663D7" w:rsidP="00B25226">
      <w:pPr>
        <w:pStyle w:val="tekst"/>
        <w:rPr>
          <w:rFonts w:cs="Times New Roman"/>
        </w:rPr>
      </w:pPr>
      <w:r>
        <w:rPr>
          <w:rFonts w:cs="Times New Roman"/>
        </w:rPr>
        <w:t>Największy wpły</w:t>
      </w:r>
      <w:r w:rsidR="00F0767D">
        <w:rPr>
          <w:rFonts w:cs="Times New Roman"/>
        </w:rPr>
        <w:t>w</w:t>
      </w:r>
      <w:r>
        <w:rPr>
          <w:rFonts w:cs="Times New Roman"/>
        </w:rPr>
        <w:t xml:space="preserve"> na </w:t>
      </w:r>
      <w:r w:rsidR="00F0767D">
        <w:rPr>
          <w:rFonts w:cs="Times New Roman"/>
        </w:rPr>
        <w:t>kształt</w:t>
      </w:r>
      <w:r>
        <w:rPr>
          <w:rFonts w:cs="Times New Roman"/>
        </w:rPr>
        <w:t xml:space="preserve"> ceny za energię elektryczną ma oprócz taryfy koszt energii wytworzonej przez elektrownie oraz różne opłaty środowiskowe w tym za emisję CO2.</w:t>
      </w:r>
    </w:p>
    <w:p w:rsidR="00F0767D" w:rsidRDefault="00F0767D" w:rsidP="00B25226">
      <w:pPr>
        <w:pStyle w:val="tekst"/>
        <w:rPr>
          <w:rFonts w:cs="Times New Roman"/>
        </w:rPr>
      </w:pPr>
      <w:r>
        <w:rPr>
          <w:rFonts w:cs="Times New Roman"/>
        </w:rPr>
        <w:t>Koszt energii wytworzonej zależy od wielu czynników</w:t>
      </w:r>
      <w:r w:rsidR="00A57B76">
        <w:rPr>
          <w:rFonts w:cs="Times New Roman"/>
        </w:rPr>
        <w:t>,</w:t>
      </w:r>
      <w:r>
        <w:rPr>
          <w:rFonts w:cs="Times New Roman"/>
        </w:rPr>
        <w:t xml:space="preserve"> takich jak cena węgla, wietrzność, koszty pracy. Ceny na rynku energii można obserwować na stronie tge.pl</w:t>
      </w:r>
      <w:r w:rsidR="00A57B76">
        <w:rPr>
          <w:rFonts w:cs="Times New Roman"/>
        </w:rPr>
        <w:t>;</w:t>
      </w:r>
      <w:r>
        <w:rPr>
          <w:rFonts w:cs="Times New Roman"/>
        </w:rPr>
        <w:t xml:space="preserve"> jest to strona towarowej giełdy energii, na </w:t>
      </w:r>
      <w:r w:rsidR="00883685">
        <w:rPr>
          <w:rFonts w:cs="Times New Roman"/>
        </w:rPr>
        <w:t>której</w:t>
      </w:r>
      <w:r w:rsidR="00ED14B3">
        <w:rPr>
          <w:rFonts w:cs="Times New Roman"/>
        </w:rPr>
        <w:t xml:space="preserve"> </w:t>
      </w:r>
      <w:r w:rsidR="00883685">
        <w:rPr>
          <w:rFonts w:cs="Times New Roman"/>
        </w:rPr>
        <w:t>sprzedawca</w:t>
      </w:r>
      <w:r>
        <w:rPr>
          <w:rFonts w:cs="Times New Roman"/>
        </w:rPr>
        <w:t xml:space="preserve"> energii zawiera w imieniu odbiorcy kontrakty na dostawę prądu z elektrownią</w:t>
      </w:r>
      <w:r w:rsidR="002B21CF">
        <w:rPr>
          <w:rFonts w:cs="Times New Roman"/>
        </w:rPr>
        <w:t xml:space="preserve"> (zob. rysunek poniżej)</w:t>
      </w:r>
      <w:r>
        <w:rPr>
          <w:rFonts w:cs="Times New Roman"/>
        </w:rPr>
        <w:t>.</w:t>
      </w:r>
    </w:p>
    <w:p w:rsidR="00A57B76" w:rsidRDefault="00A57B76" w:rsidP="00B25226">
      <w:pPr>
        <w:pStyle w:val="tekst"/>
        <w:rPr>
          <w:rFonts w:cs="Times New Roman"/>
        </w:rPr>
      </w:pPr>
    </w:p>
    <w:p w:rsidR="00F0767D" w:rsidRPr="003A425C" w:rsidRDefault="00F0767D" w:rsidP="00F0767D">
      <w:pPr>
        <w:pStyle w:val="Legenda"/>
        <w:rPr>
          <w:rFonts w:cs="Times New Roman"/>
          <w:sz w:val="20"/>
        </w:rPr>
      </w:pPr>
      <w:bookmarkStart w:id="86" w:name="_Toc77321980"/>
      <w:r w:rsidRPr="003A425C">
        <w:rPr>
          <w:sz w:val="20"/>
        </w:rPr>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3</w:t>
      </w:r>
      <w:r w:rsidR="00A05E44" w:rsidRPr="003A425C">
        <w:rPr>
          <w:sz w:val="20"/>
        </w:rPr>
        <w:fldChar w:fldCharType="end"/>
      </w:r>
      <w:r w:rsidR="00ED14B3">
        <w:rPr>
          <w:sz w:val="20"/>
        </w:rPr>
        <w:t xml:space="preserve"> Ceny energii na rok 2024</w:t>
      </w:r>
      <w:r w:rsidRPr="003A425C">
        <w:rPr>
          <w:sz w:val="20"/>
        </w:rPr>
        <w:t xml:space="preserve"> w zależności od dnia</w:t>
      </w:r>
      <w:bookmarkEnd w:id="86"/>
    </w:p>
    <w:p w:rsidR="00F0767D" w:rsidRPr="00194C4A" w:rsidRDefault="00ED14B3" w:rsidP="00ED14B3">
      <w:pPr>
        <w:pStyle w:val="tekst"/>
        <w:jc w:val="left"/>
        <w:rPr>
          <w:rFonts w:cs="Times New Roman"/>
        </w:rPr>
      </w:pPr>
      <w:r>
        <w:rPr>
          <w:rFonts w:cs="Times New Roman"/>
          <w:noProof/>
        </w:rPr>
        <w:lastRenderedPageBreak/>
        <w:drawing>
          <wp:inline distT="0" distB="0" distL="0" distR="0">
            <wp:extent cx="5317111" cy="3057525"/>
            <wp:effectExtent l="19050" t="0" r="0" b="0"/>
            <wp:docPr id="1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5313803" cy="3055623"/>
                    </a:xfrm>
                    <a:prstGeom prst="rect">
                      <a:avLst/>
                    </a:prstGeom>
                    <a:noFill/>
                    <a:ln w="9525">
                      <a:noFill/>
                      <a:miter lim="800000"/>
                      <a:headEnd/>
                      <a:tailEnd/>
                    </a:ln>
                  </pic:spPr>
                </pic:pic>
              </a:graphicData>
            </a:graphic>
          </wp:inline>
        </w:drawing>
      </w:r>
    </w:p>
    <w:p w:rsidR="00B25226" w:rsidRDefault="00F0767D" w:rsidP="00B25226">
      <w:pPr>
        <w:spacing w:after="0" w:line="240" w:lineRule="auto"/>
        <w:rPr>
          <w:rFonts w:ascii="Times New Roman" w:hAnsi="Times New Roman" w:cs="Times New Roman"/>
          <w:bCs/>
          <w:i/>
          <w:sz w:val="22"/>
          <w:szCs w:val="22"/>
        </w:rPr>
      </w:pPr>
      <w:bookmarkStart w:id="87" w:name="_Toc487805770"/>
      <w:r w:rsidRPr="00F0767D">
        <w:rPr>
          <w:rFonts w:ascii="Times New Roman" w:hAnsi="Times New Roman" w:cs="Times New Roman"/>
          <w:bCs/>
          <w:i/>
          <w:sz w:val="22"/>
          <w:szCs w:val="22"/>
        </w:rPr>
        <w:t>Źródło: tge.pl</w:t>
      </w:r>
      <w:r w:rsidR="00C84ABC">
        <w:rPr>
          <w:rFonts w:ascii="Times New Roman" w:hAnsi="Times New Roman" w:cs="Times New Roman"/>
          <w:bCs/>
          <w:i/>
          <w:sz w:val="22"/>
          <w:szCs w:val="22"/>
        </w:rPr>
        <w:t>.</w:t>
      </w:r>
    </w:p>
    <w:p w:rsidR="004447AC" w:rsidRDefault="004447AC" w:rsidP="00B25226">
      <w:pPr>
        <w:spacing w:after="0" w:line="240" w:lineRule="auto"/>
        <w:rPr>
          <w:rFonts w:ascii="Times New Roman" w:hAnsi="Times New Roman" w:cs="Times New Roman"/>
          <w:bCs/>
          <w:i/>
          <w:sz w:val="22"/>
          <w:szCs w:val="22"/>
        </w:rPr>
      </w:pPr>
    </w:p>
    <w:p w:rsidR="006F3B80" w:rsidRDefault="006F3B80" w:rsidP="006F3B80">
      <w:pPr>
        <w:pStyle w:val="tekst"/>
      </w:pPr>
      <w:r>
        <w:t>W przypadku Polski bardzo duży wpływ na ceny energii elektrycznej dla klientów końcowych ma rynek uprawnień do emisji CO2. Z uwagi na to, iż większość energii elektrycznej w Polsce produkowana jest ze źródeł węglowych, cena uprawnień wpływa w znacznej mierze na ostateczną cenę za energię.</w:t>
      </w:r>
    </w:p>
    <w:p w:rsidR="006F3B80" w:rsidRDefault="00ED14B3" w:rsidP="006F3B80">
      <w:pPr>
        <w:pStyle w:val="tekst"/>
      </w:pPr>
      <w:r>
        <w:t>Od 2020</w:t>
      </w:r>
      <w:r w:rsidR="006F3B80">
        <w:t xml:space="preserve"> roku ceny uprawnień stale rosną i są jedną z przyczyn wzrostu cen energii w Polsce. Co więcej, nowa polityka Unii Europejskiej będzie powodowała, iż ceny te będą dodatkowo rosnąć w celu sfinansowania ambitnej polityki klimatycznej oraz aby dać impuls ekonomiczny do rozwoju OZE w państwach, które opierają swoją energetykę na źródłach kopalnych.</w:t>
      </w:r>
    </w:p>
    <w:p w:rsidR="006F3B80" w:rsidRPr="008F1728" w:rsidRDefault="006F3B80" w:rsidP="006F3B80">
      <w:pPr>
        <w:pStyle w:val="tekst"/>
      </w:pPr>
      <w:r w:rsidRPr="008F1728">
        <w:t>Poniżej zaprezentowano cenę uprawnień do emisji CO2.</w:t>
      </w:r>
      <w:r>
        <w:t xml:space="preserve"> Warto dodać iż w przeciągu roku cena tych uprawnień wzrosła o 100%. Przekładać się to będzie w pierwszej kolejności na ceny ciepła i energii elektrycznej, które czeka w najbliższym czasie </w:t>
      </w:r>
      <w:r w:rsidRPr="00372127">
        <w:rPr>
          <w:b/>
          <w:bCs/>
        </w:rPr>
        <w:t>wysoki wzrost.</w:t>
      </w:r>
    </w:p>
    <w:p w:rsidR="006F3B80" w:rsidRPr="008F1728" w:rsidRDefault="006F3B80" w:rsidP="006F3B80">
      <w:pPr>
        <w:pStyle w:val="tekst"/>
      </w:pPr>
    </w:p>
    <w:p w:rsidR="00ED14B3" w:rsidRDefault="00ED14B3" w:rsidP="006F3B80">
      <w:pPr>
        <w:pStyle w:val="Legenda"/>
        <w:rPr>
          <w:sz w:val="20"/>
        </w:rPr>
      </w:pPr>
      <w:bookmarkStart w:id="88" w:name="_Toc77321981"/>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ED14B3" w:rsidRDefault="00ED14B3" w:rsidP="006F3B80">
      <w:pPr>
        <w:pStyle w:val="Legenda"/>
        <w:rPr>
          <w:sz w:val="20"/>
        </w:rPr>
      </w:pPr>
    </w:p>
    <w:p w:rsidR="006F3B80" w:rsidRPr="003A425C" w:rsidRDefault="006F3B80" w:rsidP="006F3B80">
      <w:pPr>
        <w:pStyle w:val="Legenda"/>
        <w:rPr>
          <w:rFonts w:ascii="Times New Roman" w:hAnsi="Times New Roman" w:cs="Times New Roman"/>
          <w:bCs w:val="0"/>
          <w:sz w:val="28"/>
          <w:szCs w:val="22"/>
        </w:rPr>
      </w:pPr>
      <w:r w:rsidRPr="003A425C">
        <w:rPr>
          <w:sz w:val="20"/>
        </w:rPr>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4</w:t>
      </w:r>
      <w:r w:rsidR="00A05E44" w:rsidRPr="003A425C">
        <w:rPr>
          <w:sz w:val="20"/>
        </w:rPr>
        <w:fldChar w:fldCharType="end"/>
      </w:r>
      <w:r w:rsidRPr="003A425C">
        <w:rPr>
          <w:sz w:val="20"/>
        </w:rPr>
        <w:t xml:space="preserve"> Ceny uprawnień do emisji CO2</w:t>
      </w:r>
      <w:bookmarkEnd w:id="88"/>
    </w:p>
    <w:p w:rsidR="006F3B80" w:rsidRDefault="00ED14B3" w:rsidP="006F3B80">
      <w:pPr>
        <w:spacing w:after="0" w:line="240" w:lineRule="auto"/>
        <w:rPr>
          <w:noProof/>
        </w:rPr>
      </w:pPr>
      <w:r>
        <w:rPr>
          <w:noProof/>
        </w:rPr>
        <w:drawing>
          <wp:inline distT="0" distB="0" distL="0" distR="0">
            <wp:extent cx="6120765" cy="3044607"/>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srcRect/>
                    <a:stretch>
                      <a:fillRect/>
                    </a:stretch>
                  </pic:blipFill>
                  <pic:spPr bwMode="auto">
                    <a:xfrm>
                      <a:off x="0" y="0"/>
                      <a:ext cx="6120765" cy="3044607"/>
                    </a:xfrm>
                    <a:prstGeom prst="rect">
                      <a:avLst/>
                    </a:prstGeom>
                    <a:noFill/>
                    <a:ln w="9525">
                      <a:noFill/>
                      <a:miter lim="800000"/>
                      <a:headEnd/>
                      <a:tailEnd/>
                    </a:ln>
                  </pic:spPr>
                </pic:pic>
              </a:graphicData>
            </a:graphic>
          </wp:inline>
        </w:drawing>
      </w:r>
    </w:p>
    <w:p w:rsidR="006F3B80" w:rsidRDefault="006F3B80" w:rsidP="006F3B80">
      <w:pPr>
        <w:spacing w:after="0" w:line="240" w:lineRule="auto"/>
        <w:rPr>
          <w:rFonts w:ascii="Times New Roman" w:hAnsi="Times New Roman" w:cs="Times New Roman"/>
          <w:bCs/>
          <w:sz w:val="22"/>
          <w:szCs w:val="22"/>
        </w:rPr>
      </w:pPr>
    </w:p>
    <w:p w:rsidR="006F3B80" w:rsidRDefault="006F3B80" w:rsidP="006F3B80">
      <w:pPr>
        <w:spacing w:after="0" w:line="240" w:lineRule="auto"/>
        <w:rPr>
          <w:rFonts w:ascii="Times New Roman" w:hAnsi="Times New Roman" w:cs="Times New Roman"/>
          <w:bCs/>
          <w:sz w:val="22"/>
          <w:szCs w:val="22"/>
        </w:rPr>
      </w:pPr>
    </w:p>
    <w:p w:rsidR="006F3B80" w:rsidRDefault="006F3B80" w:rsidP="006F3B80">
      <w:pPr>
        <w:spacing w:after="0" w:line="240" w:lineRule="auto"/>
        <w:rPr>
          <w:rFonts w:ascii="Times New Roman" w:hAnsi="Times New Roman" w:cs="Times New Roman"/>
          <w:bCs/>
          <w:i/>
          <w:sz w:val="22"/>
          <w:szCs w:val="22"/>
        </w:rPr>
      </w:pPr>
      <w:r w:rsidRPr="004447AC">
        <w:rPr>
          <w:rFonts w:ascii="Times New Roman" w:hAnsi="Times New Roman" w:cs="Times New Roman"/>
          <w:bCs/>
          <w:i/>
          <w:sz w:val="22"/>
          <w:szCs w:val="22"/>
        </w:rPr>
        <w:t>Źródło: Investing.com</w:t>
      </w:r>
      <w:r>
        <w:rPr>
          <w:rFonts w:ascii="Times New Roman" w:hAnsi="Times New Roman" w:cs="Times New Roman"/>
          <w:bCs/>
          <w:i/>
          <w:sz w:val="22"/>
          <w:szCs w:val="22"/>
        </w:rPr>
        <w:t>.</w:t>
      </w:r>
    </w:p>
    <w:p w:rsidR="006F3B80" w:rsidRPr="004447AC" w:rsidRDefault="006F3B80" w:rsidP="006F3B80">
      <w:pPr>
        <w:spacing w:after="0" w:line="240" w:lineRule="auto"/>
        <w:rPr>
          <w:rFonts w:ascii="Times New Roman" w:hAnsi="Times New Roman" w:cs="Times New Roman"/>
          <w:bCs/>
          <w:i/>
          <w:sz w:val="22"/>
          <w:szCs w:val="22"/>
        </w:rPr>
      </w:pPr>
    </w:p>
    <w:p w:rsidR="00C84ABC" w:rsidRPr="004447AC" w:rsidRDefault="00C84ABC" w:rsidP="00B25226">
      <w:pPr>
        <w:spacing w:after="0" w:line="240" w:lineRule="auto"/>
        <w:rPr>
          <w:rFonts w:ascii="Times New Roman" w:hAnsi="Times New Roman" w:cs="Times New Roman"/>
          <w:bCs/>
          <w:i/>
          <w:sz w:val="22"/>
          <w:szCs w:val="22"/>
        </w:rPr>
      </w:pPr>
    </w:p>
    <w:p w:rsidR="00B40000" w:rsidRPr="00194C4A" w:rsidRDefault="003A3E9C" w:rsidP="003A3E9C">
      <w:pPr>
        <w:pStyle w:val="Nagwek3"/>
        <w:ind w:left="720" w:hanging="720"/>
        <w:rPr>
          <w:rFonts w:ascii="Times New Roman" w:hAnsi="Times New Roman" w:cs="Times New Roman"/>
        </w:rPr>
      </w:pPr>
      <w:bookmarkStart w:id="89" w:name="_Toc487805723"/>
      <w:bookmarkStart w:id="90" w:name="_Toc77321956"/>
      <w:bookmarkEnd w:id="87"/>
      <w:r w:rsidRPr="00194C4A">
        <w:rPr>
          <w:rFonts w:ascii="Times New Roman" w:hAnsi="Times New Roman" w:cs="Times New Roman"/>
        </w:rPr>
        <w:t>3.</w:t>
      </w:r>
      <w:r w:rsidR="005C7F45">
        <w:rPr>
          <w:rFonts w:ascii="Times New Roman" w:hAnsi="Times New Roman" w:cs="Times New Roman"/>
        </w:rPr>
        <w:t>3</w:t>
      </w:r>
      <w:r w:rsidRPr="00194C4A">
        <w:rPr>
          <w:rFonts w:ascii="Times New Roman" w:hAnsi="Times New Roman" w:cs="Times New Roman"/>
        </w:rPr>
        <w:t xml:space="preserve">.2 </w:t>
      </w:r>
      <w:r w:rsidR="00B40000" w:rsidRPr="00194C4A">
        <w:rPr>
          <w:rFonts w:ascii="Times New Roman" w:hAnsi="Times New Roman" w:cs="Times New Roman"/>
        </w:rPr>
        <w:t>Taryfa dla gazu ziemnego</w:t>
      </w:r>
      <w:bookmarkEnd w:id="89"/>
      <w:bookmarkEnd w:id="90"/>
    </w:p>
    <w:p w:rsidR="00B40000" w:rsidRDefault="00B40000" w:rsidP="004B2333">
      <w:pPr>
        <w:pStyle w:val="tekst"/>
        <w:spacing w:after="240"/>
        <w:rPr>
          <w:rFonts w:cs="Times New Roman"/>
        </w:rPr>
      </w:pPr>
      <w:r w:rsidRPr="00194C4A">
        <w:rPr>
          <w:rFonts w:cs="Times New Roman"/>
        </w:rPr>
        <w:t>Podobnie</w:t>
      </w:r>
      <w:r w:rsidR="0083645F">
        <w:rPr>
          <w:rFonts w:cs="Times New Roman"/>
        </w:rPr>
        <w:t>,</w:t>
      </w:r>
      <w:r w:rsidRPr="00194C4A">
        <w:rPr>
          <w:rFonts w:cs="Times New Roman"/>
        </w:rPr>
        <w:t xml:space="preserve"> jak w przypadku energii elektrycznej</w:t>
      </w:r>
      <w:r w:rsidR="0083645F">
        <w:rPr>
          <w:rFonts w:cs="Times New Roman"/>
        </w:rPr>
        <w:t>,</w:t>
      </w:r>
      <w:r w:rsidRPr="00194C4A">
        <w:rPr>
          <w:rFonts w:cs="Times New Roman"/>
        </w:rPr>
        <w:t xml:space="preserve"> usługa dystrybucji gazu oraz jego sprzedaży jest rozdzielona. Dystrybucją gazu </w:t>
      </w:r>
      <w:r w:rsidR="007D46F7" w:rsidRPr="00194C4A">
        <w:rPr>
          <w:rFonts w:cs="Times New Roman"/>
        </w:rPr>
        <w:t xml:space="preserve">na przeważającym obszarze </w:t>
      </w:r>
      <w:r w:rsidRPr="00194C4A">
        <w:rPr>
          <w:rFonts w:cs="Times New Roman"/>
        </w:rPr>
        <w:t xml:space="preserve">zajmuje się Polska Spółka Gazownictwa Sp. z o.o. Obowiązująca taryfa pochodzi z „Taryfa nr </w:t>
      </w:r>
      <w:r w:rsidR="006637DB" w:rsidRPr="00194C4A">
        <w:rPr>
          <w:rFonts w:cs="Times New Roman"/>
        </w:rPr>
        <w:t>6</w:t>
      </w:r>
      <w:r w:rsidRPr="00194C4A">
        <w:rPr>
          <w:rFonts w:cs="Times New Roman"/>
        </w:rPr>
        <w:t xml:space="preserve"> dla usług dystrybucji paliwa gazowych i usług regazyfikacji skroplonego gazu ziemnego, k</w:t>
      </w:r>
      <w:r w:rsidR="00ED14B3">
        <w:rPr>
          <w:rFonts w:cs="Times New Roman"/>
        </w:rPr>
        <w:t>tóra obowiązuje od 17 sierpnia</w:t>
      </w:r>
      <w:r w:rsidRPr="00194C4A">
        <w:rPr>
          <w:rFonts w:cs="Times New Roman"/>
        </w:rPr>
        <w:t xml:space="preserve"> 20</w:t>
      </w:r>
      <w:r w:rsidR="00ED14B3">
        <w:rPr>
          <w:rFonts w:cs="Times New Roman"/>
        </w:rPr>
        <w:t>22</w:t>
      </w:r>
      <w:r w:rsidRPr="00194C4A">
        <w:rPr>
          <w:rFonts w:cs="Times New Roman"/>
        </w:rPr>
        <w:t xml:space="preserve"> roku</w:t>
      </w:r>
      <w:r w:rsidR="006637DB" w:rsidRPr="00194C4A">
        <w:rPr>
          <w:rFonts w:cs="Times New Roman"/>
        </w:rPr>
        <w:t xml:space="preserve">, aktualna taryfa dostępna jest na stronie internetowej: </w:t>
      </w:r>
      <w:hyperlink r:id="rId56" w:history="1">
        <w:r w:rsidR="00F06E5D" w:rsidRPr="0041380D">
          <w:rPr>
            <w:rStyle w:val="Hipercze"/>
            <w:rFonts w:cs="Times New Roman"/>
          </w:rPr>
          <w:t>https://www.psgaz.pl/taryfa</w:t>
        </w:r>
      </w:hyperlink>
      <w:r w:rsidR="006637DB" w:rsidRPr="00194C4A">
        <w:rPr>
          <w:rFonts w:cs="Times New Roman"/>
        </w:rPr>
        <w:t>.</w:t>
      </w:r>
    </w:p>
    <w:p w:rsidR="00F06E5D" w:rsidRDefault="00F06E5D" w:rsidP="004B2333">
      <w:pPr>
        <w:pStyle w:val="tekst"/>
        <w:spacing w:after="240"/>
        <w:rPr>
          <w:rFonts w:cs="Times New Roman"/>
        </w:rPr>
      </w:pPr>
      <w:r>
        <w:rPr>
          <w:rFonts w:cs="Times New Roman"/>
        </w:rPr>
        <w:t>W taryfie określone są koszty związane z dostarczaniem paliwa gazowego. Cena za usług dystrybucji zależy przede wszystkim od ilości zużycia gazu rocznie oraz od wielkości mocy zamówionej która wyrażona jest w kWh/h. W taryfach wyższych dla większych odbiorców wpływ na koszty dystrybucji ma równomierności odbioru gazu. Opłata uzależniona jest wtedy od tego</w:t>
      </w:r>
      <w:r w:rsidR="007F7BBE">
        <w:rPr>
          <w:rFonts w:cs="Times New Roman"/>
        </w:rPr>
        <w:t>,</w:t>
      </w:r>
      <w:r>
        <w:rPr>
          <w:rFonts w:cs="Times New Roman"/>
        </w:rPr>
        <w:t xml:space="preserve"> jak bardzo średnio miesięcznie waha się zużycie gazu. Im wahania są </w:t>
      </w:r>
      <w:r w:rsidR="007F7BBE">
        <w:rPr>
          <w:rFonts w:cs="Times New Roman"/>
        </w:rPr>
        <w:t>większe,</w:t>
      </w:r>
      <w:r>
        <w:rPr>
          <w:rFonts w:cs="Times New Roman"/>
        </w:rPr>
        <w:t xml:space="preserve"> tym opłata za dystrybucj</w:t>
      </w:r>
      <w:r w:rsidR="007F7BBE">
        <w:rPr>
          <w:rFonts w:cs="Times New Roman"/>
        </w:rPr>
        <w:t>ę</w:t>
      </w:r>
      <w:r>
        <w:rPr>
          <w:rFonts w:cs="Times New Roman"/>
        </w:rPr>
        <w:t xml:space="preserve"> jest wyższa. </w:t>
      </w:r>
    </w:p>
    <w:p w:rsidR="00F06E5D" w:rsidRDefault="00F06E5D" w:rsidP="004B2333">
      <w:pPr>
        <w:pStyle w:val="tekst"/>
        <w:spacing w:after="240"/>
        <w:rPr>
          <w:rFonts w:cs="Times New Roman"/>
        </w:rPr>
      </w:pPr>
      <w:r>
        <w:rPr>
          <w:rFonts w:cs="Times New Roman"/>
        </w:rPr>
        <w:t>W przypadku gminy</w:t>
      </w:r>
      <w:r w:rsidR="008F2467">
        <w:rPr>
          <w:rFonts w:cs="Times New Roman"/>
        </w:rPr>
        <w:t xml:space="preserve"> </w:t>
      </w:r>
      <w:r w:rsidR="00ED14B3">
        <w:rPr>
          <w:rFonts w:cs="Times New Roman"/>
        </w:rPr>
        <w:t>Wieliczki</w:t>
      </w:r>
      <w:r>
        <w:rPr>
          <w:rFonts w:cs="Times New Roman"/>
        </w:rPr>
        <w:t xml:space="preserve"> wszystkie jednostki odbierają gaz w taryfach niskich tj</w:t>
      </w:r>
      <w:r w:rsidR="007F7BBE">
        <w:rPr>
          <w:rFonts w:cs="Times New Roman"/>
        </w:rPr>
        <w:t>.</w:t>
      </w:r>
      <w:r>
        <w:rPr>
          <w:rFonts w:cs="Times New Roman"/>
        </w:rPr>
        <w:t xml:space="preserve"> W</w:t>
      </w:r>
      <w:r w:rsidR="008F2467">
        <w:rPr>
          <w:rFonts w:cs="Times New Roman"/>
        </w:rPr>
        <w:t>3</w:t>
      </w:r>
      <w:r>
        <w:rPr>
          <w:rFonts w:cs="Times New Roman"/>
        </w:rPr>
        <w:t xml:space="preserve">. </w:t>
      </w:r>
    </w:p>
    <w:p w:rsidR="004447AC" w:rsidRDefault="00F06E5D" w:rsidP="004B2333">
      <w:pPr>
        <w:pStyle w:val="tekst"/>
        <w:spacing w:after="240"/>
        <w:rPr>
          <w:rFonts w:cs="Times New Roman"/>
        </w:rPr>
      </w:pPr>
      <w:r>
        <w:rPr>
          <w:rFonts w:cs="Times New Roman"/>
        </w:rPr>
        <w:t>W przeciwieństwie do usług związanych z dostarczaniem energii elektrycznej</w:t>
      </w:r>
      <w:r w:rsidR="00DA46AC">
        <w:rPr>
          <w:rFonts w:cs="Times New Roman"/>
        </w:rPr>
        <w:t>,</w:t>
      </w:r>
      <w:r>
        <w:rPr>
          <w:rFonts w:cs="Times New Roman"/>
        </w:rPr>
        <w:t xml:space="preserve"> proces zawierania kontraktu na zakup paliwa gazowego świadczony jest tylko i wyłącznie w oparciu o umowy kompleksowe. Cały handle gazem w Polsce odbywa się przez towarową giełdę energii.</w:t>
      </w:r>
    </w:p>
    <w:p w:rsidR="00F06E5D" w:rsidRPr="003A425C" w:rsidRDefault="00F06E5D" w:rsidP="00F06E5D">
      <w:pPr>
        <w:pStyle w:val="Legenda"/>
        <w:rPr>
          <w:rFonts w:cs="Times New Roman"/>
          <w:sz w:val="20"/>
        </w:rPr>
      </w:pPr>
      <w:bookmarkStart w:id="91" w:name="_Toc77321982"/>
      <w:r w:rsidRPr="003A425C">
        <w:rPr>
          <w:sz w:val="20"/>
        </w:rPr>
        <w:lastRenderedPageBreak/>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5</w:t>
      </w:r>
      <w:r w:rsidR="00A05E44" w:rsidRPr="003A425C">
        <w:rPr>
          <w:sz w:val="20"/>
        </w:rPr>
        <w:fldChar w:fldCharType="end"/>
      </w:r>
      <w:r w:rsidRPr="003A425C">
        <w:rPr>
          <w:sz w:val="20"/>
        </w:rPr>
        <w:t xml:space="preserve"> Cena gazu ziemnego w zależności od daty zakupu.</w:t>
      </w:r>
      <w:bookmarkEnd w:id="91"/>
    </w:p>
    <w:p w:rsidR="00F06E5D" w:rsidRDefault="00ED14B3" w:rsidP="00F06E5D">
      <w:pPr>
        <w:pStyle w:val="tekst"/>
        <w:spacing w:after="240"/>
        <w:ind w:firstLine="0"/>
        <w:rPr>
          <w:rFonts w:cs="Times New Roman"/>
        </w:rPr>
      </w:pPr>
      <w:r>
        <w:rPr>
          <w:rFonts w:cs="Times New Roman"/>
          <w:noProof/>
        </w:rPr>
        <w:drawing>
          <wp:inline distT="0" distB="0" distL="0" distR="0">
            <wp:extent cx="5886450" cy="2724150"/>
            <wp:effectExtent l="19050" t="0" r="0" b="0"/>
            <wp:docPr id="1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5886450" cy="2724150"/>
                    </a:xfrm>
                    <a:prstGeom prst="rect">
                      <a:avLst/>
                    </a:prstGeom>
                    <a:noFill/>
                    <a:ln w="9525">
                      <a:noFill/>
                      <a:miter lim="800000"/>
                      <a:headEnd/>
                      <a:tailEnd/>
                    </a:ln>
                  </pic:spPr>
                </pic:pic>
              </a:graphicData>
            </a:graphic>
          </wp:inline>
        </w:drawing>
      </w:r>
    </w:p>
    <w:p w:rsidR="00F06E5D" w:rsidRDefault="00F06E5D" w:rsidP="00F06E5D">
      <w:pPr>
        <w:spacing w:after="0" w:line="240" w:lineRule="auto"/>
        <w:rPr>
          <w:rFonts w:ascii="Times New Roman" w:hAnsi="Times New Roman" w:cs="Times New Roman"/>
          <w:bCs/>
          <w:i/>
          <w:sz w:val="22"/>
          <w:szCs w:val="22"/>
        </w:rPr>
      </w:pPr>
      <w:r w:rsidRPr="00F0767D">
        <w:rPr>
          <w:rFonts w:ascii="Times New Roman" w:hAnsi="Times New Roman" w:cs="Times New Roman"/>
          <w:bCs/>
          <w:i/>
          <w:sz w:val="22"/>
          <w:szCs w:val="22"/>
        </w:rPr>
        <w:t>Źródło: tge.pl</w:t>
      </w:r>
      <w:r w:rsidR="00DA46AC">
        <w:rPr>
          <w:rFonts w:ascii="Times New Roman" w:hAnsi="Times New Roman" w:cs="Times New Roman"/>
          <w:bCs/>
          <w:i/>
          <w:sz w:val="22"/>
          <w:szCs w:val="22"/>
        </w:rPr>
        <w:t>.</w:t>
      </w:r>
    </w:p>
    <w:p w:rsidR="00F06E5D" w:rsidRDefault="00F06E5D" w:rsidP="00F06E5D">
      <w:pPr>
        <w:pStyle w:val="tekst"/>
        <w:spacing w:after="240"/>
        <w:ind w:firstLine="0"/>
        <w:rPr>
          <w:rFonts w:cs="Times New Roman"/>
        </w:rPr>
      </w:pPr>
    </w:p>
    <w:p w:rsidR="00D513A3" w:rsidRDefault="00D513A3" w:rsidP="00D513A3">
      <w:pPr>
        <w:pStyle w:val="tekst"/>
        <w:spacing w:after="240"/>
        <w:ind w:firstLine="708"/>
        <w:rPr>
          <w:rFonts w:cs="Times New Roman"/>
        </w:rPr>
      </w:pPr>
      <w:r>
        <w:rPr>
          <w:rFonts w:cs="Times New Roman"/>
        </w:rPr>
        <w:t xml:space="preserve">Jak widać na </w:t>
      </w:r>
      <w:r w:rsidR="00580026">
        <w:rPr>
          <w:rFonts w:cs="Times New Roman"/>
        </w:rPr>
        <w:t xml:space="preserve">powyższym </w:t>
      </w:r>
      <w:r>
        <w:rPr>
          <w:rFonts w:cs="Times New Roman"/>
        </w:rPr>
        <w:t>wykresie</w:t>
      </w:r>
      <w:r w:rsidR="00580026">
        <w:rPr>
          <w:rFonts w:cs="Times New Roman"/>
        </w:rPr>
        <w:t>,</w:t>
      </w:r>
      <w:r>
        <w:rPr>
          <w:rFonts w:cs="Times New Roman"/>
        </w:rPr>
        <w:t xml:space="preserve"> cena gazu ziemnego kształtuje się na niskim poziomie w okolicach 70 zł/MWh. Warto dodać</w:t>
      </w:r>
      <w:r w:rsidR="00580026">
        <w:rPr>
          <w:rFonts w:cs="Times New Roman"/>
        </w:rPr>
        <w:t>,</w:t>
      </w:r>
      <w:r>
        <w:rPr>
          <w:rFonts w:cs="Times New Roman"/>
        </w:rPr>
        <w:t xml:space="preserve"> iż jeszcze kilka lat temu gaz ziemny na giełdzie kosztował w okolicach 100 zł/MWh. Oznacza to</w:t>
      </w:r>
      <w:r w:rsidR="00580026">
        <w:rPr>
          <w:rFonts w:cs="Times New Roman"/>
        </w:rPr>
        <w:t>,</w:t>
      </w:r>
      <w:r>
        <w:rPr>
          <w:rFonts w:cs="Times New Roman"/>
        </w:rPr>
        <w:t xml:space="preserve"> iż ceny tego paliwa stają się coraz bardziej konkurencyjne. Wpływ na to ma splot wielu czynników tj. rewolucja łupkowa w USA, wygrany proces arbitrażowy z Gazpromem, dywersyfikacja dostaw gazu ziemnego przez gazoport</w:t>
      </w:r>
      <w:r w:rsidR="00580026">
        <w:rPr>
          <w:rFonts w:cs="Times New Roman"/>
        </w:rPr>
        <w:t xml:space="preserve"> w Świnoujściu</w:t>
      </w:r>
      <w:r>
        <w:rPr>
          <w:rFonts w:cs="Times New Roman"/>
        </w:rPr>
        <w:t>.</w:t>
      </w:r>
    </w:p>
    <w:p w:rsidR="00D513A3" w:rsidRDefault="00D513A3" w:rsidP="00D513A3">
      <w:pPr>
        <w:pStyle w:val="tekst"/>
        <w:spacing w:after="240"/>
        <w:ind w:firstLine="708"/>
        <w:rPr>
          <w:rFonts w:cs="Times New Roman"/>
        </w:rPr>
      </w:pPr>
      <w:r>
        <w:rPr>
          <w:rFonts w:cs="Times New Roman"/>
        </w:rPr>
        <w:t>Wobec powyższe</w:t>
      </w:r>
      <w:r w:rsidR="00580026">
        <w:rPr>
          <w:rFonts w:cs="Times New Roman"/>
        </w:rPr>
        <w:t>go</w:t>
      </w:r>
      <w:r>
        <w:rPr>
          <w:rFonts w:cs="Times New Roman"/>
        </w:rPr>
        <w:t xml:space="preserve"> warto zastanowić się nad szerszym użyciem gazu ziemnego na terenie gminy. </w:t>
      </w:r>
      <w:r w:rsidR="00B615FC" w:rsidRPr="00194C4A">
        <w:rPr>
          <w:rFonts w:cs="Times New Roman"/>
        </w:rPr>
        <w:t>Przy realizacji inwestycji polegającej na przyłączeniu się do sieci gazowej niezbędn</w:t>
      </w:r>
      <w:r w:rsidR="00E4114B">
        <w:rPr>
          <w:rFonts w:cs="Times New Roman"/>
        </w:rPr>
        <w:t>a</w:t>
      </w:r>
      <w:r w:rsidR="00B615FC" w:rsidRPr="00194C4A">
        <w:rPr>
          <w:rFonts w:cs="Times New Roman"/>
        </w:rPr>
        <w:t xml:space="preserve"> jest budowa przyłącza gazowego</w:t>
      </w:r>
      <w:r w:rsidR="00E4114B">
        <w:rPr>
          <w:rFonts w:cs="Times New Roman"/>
        </w:rPr>
        <w:t>;</w:t>
      </w:r>
      <w:r w:rsidR="00B615FC" w:rsidRPr="00194C4A">
        <w:rPr>
          <w:rFonts w:cs="Times New Roman"/>
        </w:rPr>
        <w:t xml:space="preserve"> koszt budowy przyłącza gazowego zależn</w:t>
      </w:r>
      <w:r w:rsidR="00E4114B">
        <w:rPr>
          <w:rFonts w:cs="Times New Roman"/>
        </w:rPr>
        <w:t>y</w:t>
      </w:r>
      <w:r w:rsidR="00B615FC" w:rsidRPr="00194C4A">
        <w:rPr>
          <w:rFonts w:cs="Times New Roman"/>
        </w:rPr>
        <w:t xml:space="preserve"> jest od zaliczenia do grupy przyłączeniowej, mocy przyłączenio</w:t>
      </w:r>
      <w:r>
        <w:rPr>
          <w:rFonts w:cs="Times New Roman"/>
        </w:rPr>
        <w:t xml:space="preserve">wej oraz od długości przyłącza. </w:t>
      </w:r>
    </w:p>
    <w:p w:rsidR="001B6A22" w:rsidRDefault="001B6A22" w:rsidP="001B6A22">
      <w:pPr>
        <w:pStyle w:val="tekst"/>
        <w:rPr>
          <w:rFonts w:cs="Times New Roman"/>
        </w:rPr>
      </w:pPr>
      <w:r w:rsidRPr="00194C4A">
        <w:rPr>
          <w:rFonts w:cs="Times New Roman"/>
        </w:rPr>
        <w:t>W praktyce indywidualni odbiorcy gazu, wykorzystujący gaz na potrzeby ogrzewania pomieszczeń czy w celach socjalno-bytowych</w:t>
      </w:r>
      <w:r w:rsidR="009E48C7">
        <w:rPr>
          <w:rFonts w:cs="Times New Roman"/>
        </w:rPr>
        <w:t>,</w:t>
      </w:r>
      <w:r w:rsidRPr="00194C4A">
        <w:rPr>
          <w:rFonts w:cs="Times New Roman"/>
        </w:rPr>
        <w:t xml:space="preserve"> kwalifikują się do grupy przyłączeniowej B, podgrupy I czyli odbiorców, którzy pobierać będą gaz w ilości nieprzekraczającej 10 m</w:t>
      </w:r>
      <w:r w:rsidRPr="00194C4A">
        <w:rPr>
          <w:rFonts w:cs="Times New Roman"/>
          <w:vertAlign w:val="superscript"/>
        </w:rPr>
        <w:t>3</w:t>
      </w:r>
      <w:r w:rsidRPr="00194C4A">
        <w:rPr>
          <w:rFonts w:cs="Times New Roman"/>
        </w:rPr>
        <w:t xml:space="preserve">/h. Szacowany pobór gazu dla </w:t>
      </w:r>
      <w:r w:rsidR="0038203D" w:rsidRPr="00194C4A">
        <w:rPr>
          <w:rFonts w:cs="Times New Roman"/>
        </w:rPr>
        <w:t>instalacji, na którą składa się kocioł gazowy o mocy 25 kW</w:t>
      </w:r>
      <w:r w:rsidR="009E48C7">
        <w:rPr>
          <w:rFonts w:cs="Times New Roman"/>
        </w:rPr>
        <w:t>,</w:t>
      </w:r>
      <w:r w:rsidR="0038203D" w:rsidRPr="00194C4A">
        <w:rPr>
          <w:rFonts w:cs="Times New Roman"/>
        </w:rPr>
        <w:t xml:space="preserve"> to 2,9 m</w:t>
      </w:r>
      <w:r w:rsidR="0038203D" w:rsidRPr="00194C4A">
        <w:rPr>
          <w:rFonts w:cs="Times New Roman"/>
          <w:vertAlign w:val="superscript"/>
        </w:rPr>
        <w:t>3</w:t>
      </w:r>
      <w:r w:rsidR="0038203D" w:rsidRPr="00194C4A">
        <w:rPr>
          <w:rFonts w:cs="Times New Roman"/>
        </w:rPr>
        <w:t>/h. W takim przypadku koszt wykonania przyłącza dla odbiorcy indywidualnego wyniesie 1</w:t>
      </w:r>
      <w:r w:rsidR="00EE4F87" w:rsidRPr="00194C4A">
        <w:rPr>
          <w:rFonts w:cs="Times New Roman"/>
        </w:rPr>
        <w:t> 807,3</w:t>
      </w:r>
      <w:r w:rsidR="0038203D" w:rsidRPr="00194C4A">
        <w:rPr>
          <w:rFonts w:cs="Times New Roman"/>
        </w:rPr>
        <w:t xml:space="preserve"> zł plus </w:t>
      </w:r>
      <w:r w:rsidR="00EE4F87" w:rsidRPr="00194C4A">
        <w:rPr>
          <w:rFonts w:cs="Times New Roman"/>
        </w:rPr>
        <w:t>64,58</w:t>
      </w:r>
      <w:r w:rsidR="0038203D" w:rsidRPr="00194C4A">
        <w:rPr>
          <w:rFonts w:cs="Times New Roman"/>
        </w:rPr>
        <w:t xml:space="preserve"> zł za każdy kolejny metr przyłącza. Podane koszty są kwotami netto.</w:t>
      </w:r>
    </w:p>
    <w:p w:rsidR="00D163D4" w:rsidRPr="00B941F4" w:rsidRDefault="003A3E9C" w:rsidP="005C7F45">
      <w:pPr>
        <w:pStyle w:val="Nagwek3"/>
        <w:rPr>
          <w:rFonts w:ascii="Times New Roman" w:hAnsi="Times New Roman" w:cs="Times New Roman"/>
        </w:rPr>
      </w:pPr>
      <w:bookmarkStart w:id="92" w:name="_Toc77321957"/>
      <w:r w:rsidRPr="00B941F4">
        <w:rPr>
          <w:rFonts w:ascii="Times New Roman" w:hAnsi="Times New Roman" w:cs="Times New Roman"/>
        </w:rPr>
        <w:t>3.</w:t>
      </w:r>
      <w:r w:rsidR="005C7F45" w:rsidRPr="00B941F4">
        <w:rPr>
          <w:rFonts w:ascii="Times New Roman" w:hAnsi="Times New Roman" w:cs="Times New Roman"/>
        </w:rPr>
        <w:t>3.3</w:t>
      </w:r>
      <w:r w:rsidR="00D163D4" w:rsidRPr="00B941F4">
        <w:rPr>
          <w:rFonts w:ascii="Times New Roman" w:hAnsi="Times New Roman" w:cs="Times New Roman"/>
        </w:rPr>
        <w:t xml:space="preserve">Analiza konkurencyjności zaopatrzenia </w:t>
      </w:r>
      <w:r w:rsidR="0016359B" w:rsidRPr="00B941F4">
        <w:rPr>
          <w:rFonts w:ascii="Times New Roman" w:hAnsi="Times New Roman" w:cs="Times New Roman"/>
        </w:rPr>
        <w:t>w</w:t>
      </w:r>
      <w:r w:rsidR="00D163D4" w:rsidRPr="00B941F4">
        <w:rPr>
          <w:rFonts w:ascii="Times New Roman" w:hAnsi="Times New Roman" w:cs="Times New Roman"/>
        </w:rPr>
        <w:t xml:space="preserve"> ciepło</w:t>
      </w:r>
      <w:bookmarkEnd w:id="92"/>
    </w:p>
    <w:p w:rsidR="00D513A3" w:rsidRDefault="00D513A3" w:rsidP="004B2333">
      <w:pPr>
        <w:pStyle w:val="tekst"/>
        <w:spacing w:after="240"/>
        <w:rPr>
          <w:rFonts w:cs="Times New Roman"/>
        </w:rPr>
      </w:pPr>
    </w:p>
    <w:p w:rsidR="0038203D" w:rsidRPr="00194C4A" w:rsidRDefault="0039555C" w:rsidP="00D513A3">
      <w:pPr>
        <w:pStyle w:val="tekst"/>
        <w:spacing w:after="240"/>
        <w:rPr>
          <w:rFonts w:cs="Times New Roman"/>
        </w:rPr>
      </w:pPr>
      <w:r w:rsidRPr="00194C4A">
        <w:rPr>
          <w:rFonts w:cs="Times New Roman"/>
        </w:rPr>
        <w:t>W analizie przyjęto koszty poszczególnych nośników energii</w:t>
      </w:r>
      <w:r w:rsidR="004357EC" w:rsidRPr="00194C4A">
        <w:rPr>
          <w:rFonts w:cs="Times New Roman"/>
        </w:rPr>
        <w:t xml:space="preserve"> według stawek rynkowych w</w:t>
      </w:r>
      <w:r w:rsidR="00AA03D2" w:rsidRPr="00194C4A">
        <w:rPr>
          <w:rFonts w:cs="Times New Roman"/>
        </w:rPr>
        <w:t> </w:t>
      </w:r>
      <w:r w:rsidR="007B1B36">
        <w:rPr>
          <w:rFonts w:cs="Times New Roman"/>
        </w:rPr>
        <w:t>grudniu 2024</w:t>
      </w:r>
      <w:r w:rsidR="004357EC" w:rsidRPr="00194C4A">
        <w:rPr>
          <w:rFonts w:cs="Times New Roman"/>
        </w:rPr>
        <w:t xml:space="preserve"> roku. </w:t>
      </w:r>
      <w:r w:rsidR="00ED42F8" w:rsidRPr="00194C4A">
        <w:rPr>
          <w:rFonts w:cs="Times New Roman"/>
        </w:rPr>
        <w:t>W tabeli poniżej przedstawiono porównanie kosztów wytworzenia energii cieplnej z różnych nośników energii</w:t>
      </w:r>
      <w:r w:rsidR="00233297">
        <w:rPr>
          <w:rFonts w:cs="Times New Roman"/>
        </w:rPr>
        <w:t>;</w:t>
      </w:r>
      <w:r w:rsidR="00ED42F8" w:rsidRPr="00194C4A">
        <w:rPr>
          <w:rFonts w:cs="Times New Roman"/>
        </w:rPr>
        <w:t xml:space="preserve"> w analizie uwzględniono jedynie ceny nośników energii bez </w:t>
      </w:r>
      <w:r w:rsidR="00ED42F8" w:rsidRPr="00194C4A">
        <w:rPr>
          <w:rFonts w:cs="Times New Roman"/>
        </w:rPr>
        <w:lastRenderedPageBreak/>
        <w:t>kosztów pośrednich (inwestycyjnych, pracy własnej, kosztów ciągłych).</w:t>
      </w:r>
      <w:r w:rsidR="00915C37" w:rsidRPr="00194C4A">
        <w:rPr>
          <w:rFonts w:cs="Times New Roman"/>
        </w:rPr>
        <w:t xml:space="preserve"> Porównanie zakłada identyczny system dystrybucji ciepła w budynku.</w:t>
      </w:r>
    </w:p>
    <w:p w:rsidR="00915C37" w:rsidRPr="003A425C" w:rsidRDefault="00D1122F" w:rsidP="00D1122F">
      <w:pPr>
        <w:pStyle w:val="Legenda"/>
        <w:rPr>
          <w:rFonts w:cs="Times New Roman"/>
          <w:sz w:val="20"/>
        </w:rPr>
      </w:pPr>
      <w:bookmarkStart w:id="93" w:name="_Toc77322006"/>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4</w:t>
      </w:r>
      <w:r w:rsidR="00A05E44" w:rsidRPr="003A425C">
        <w:rPr>
          <w:sz w:val="20"/>
        </w:rPr>
        <w:fldChar w:fldCharType="end"/>
      </w:r>
      <w:r w:rsidR="00915C37" w:rsidRPr="003A425C">
        <w:rPr>
          <w:rFonts w:cs="Times New Roman"/>
          <w:sz w:val="20"/>
        </w:rPr>
        <w:t>Porównanie kosztów produkcji ciepła</w:t>
      </w:r>
      <w:bookmarkEnd w:id="93"/>
    </w:p>
    <w:tbl>
      <w:tblPr>
        <w:tblStyle w:val="Tabelasiatki1jasnaakcent11"/>
        <w:tblW w:w="9067" w:type="dxa"/>
        <w:tblLook w:val="04A0"/>
      </w:tblPr>
      <w:tblGrid>
        <w:gridCol w:w="1836"/>
        <w:gridCol w:w="567"/>
        <w:gridCol w:w="853"/>
        <w:gridCol w:w="567"/>
        <w:gridCol w:w="850"/>
        <w:gridCol w:w="1418"/>
        <w:gridCol w:w="1417"/>
        <w:gridCol w:w="1559"/>
      </w:tblGrid>
      <w:tr w:rsidR="00915C37" w:rsidRPr="00194C4A" w:rsidTr="00D1122F">
        <w:trPr>
          <w:cnfStyle w:val="100000000000"/>
          <w:trHeight w:val="454"/>
        </w:trPr>
        <w:tc>
          <w:tcPr>
            <w:cnfStyle w:val="001000000000"/>
            <w:tcW w:w="1836" w:type="dxa"/>
            <w:noWrap/>
            <w:hideMark/>
          </w:tcPr>
          <w:p w:rsidR="00ED42F8" w:rsidRPr="00194C4A" w:rsidRDefault="00ED42F8" w:rsidP="00915C37">
            <w:pPr>
              <w:jc w:val="center"/>
              <w:rPr>
                <w:rFonts w:ascii="Times New Roman" w:eastAsia="Times New Roman" w:hAnsi="Times New Roman" w:cs="Times New Roman"/>
                <w:sz w:val="20"/>
                <w:szCs w:val="20"/>
              </w:rPr>
            </w:pPr>
          </w:p>
        </w:tc>
        <w:tc>
          <w:tcPr>
            <w:tcW w:w="1420" w:type="dxa"/>
            <w:gridSpan w:val="2"/>
            <w:noWrap/>
            <w:hideMark/>
          </w:tcPr>
          <w:p w:rsidR="00ED42F8" w:rsidRPr="00194C4A" w:rsidRDefault="00ED42F8" w:rsidP="00915C37">
            <w:pPr>
              <w:jc w:val="center"/>
              <w:cnfStyle w:val="100000000000"/>
              <w:rPr>
                <w:rFonts w:ascii="Times New Roman" w:eastAsia="Times New Roman" w:hAnsi="Times New Roman" w:cs="Times New Roman"/>
                <w:color w:val="000000"/>
                <w:sz w:val="20"/>
                <w:szCs w:val="20"/>
              </w:rPr>
            </w:pPr>
            <w:r w:rsidRPr="00194C4A">
              <w:rPr>
                <w:rFonts w:ascii="Times New Roman" w:eastAsia="Times New Roman" w:hAnsi="Times New Roman" w:cs="Times New Roman"/>
                <w:color w:val="000000"/>
                <w:sz w:val="20"/>
                <w:szCs w:val="20"/>
              </w:rPr>
              <w:t>ceny paliw</w:t>
            </w:r>
          </w:p>
        </w:tc>
        <w:tc>
          <w:tcPr>
            <w:tcW w:w="1417" w:type="dxa"/>
            <w:gridSpan w:val="2"/>
            <w:noWrap/>
            <w:hideMark/>
          </w:tcPr>
          <w:p w:rsidR="00ED42F8" w:rsidRPr="00194C4A" w:rsidRDefault="00ED42F8" w:rsidP="00915C37">
            <w:pPr>
              <w:jc w:val="center"/>
              <w:cnfStyle w:val="100000000000"/>
              <w:rPr>
                <w:rFonts w:ascii="Times New Roman" w:eastAsia="Times New Roman" w:hAnsi="Times New Roman" w:cs="Times New Roman"/>
                <w:color w:val="000000"/>
                <w:sz w:val="20"/>
                <w:szCs w:val="20"/>
              </w:rPr>
            </w:pPr>
            <w:r w:rsidRPr="00194C4A">
              <w:rPr>
                <w:rFonts w:ascii="Times New Roman" w:eastAsia="Times New Roman" w:hAnsi="Times New Roman" w:cs="Times New Roman"/>
                <w:color w:val="000000"/>
                <w:sz w:val="20"/>
                <w:szCs w:val="20"/>
              </w:rPr>
              <w:t>wartość opałowa</w:t>
            </w:r>
          </w:p>
        </w:tc>
        <w:tc>
          <w:tcPr>
            <w:tcW w:w="1418" w:type="dxa"/>
            <w:noWrap/>
            <w:hideMark/>
          </w:tcPr>
          <w:p w:rsidR="00ED42F8" w:rsidRPr="00194C4A" w:rsidRDefault="00ED42F8" w:rsidP="00915C37">
            <w:pPr>
              <w:jc w:val="center"/>
              <w:cnfStyle w:val="100000000000"/>
              <w:rPr>
                <w:rFonts w:ascii="Times New Roman" w:eastAsia="Times New Roman" w:hAnsi="Times New Roman" w:cs="Times New Roman"/>
                <w:color w:val="000000"/>
                <w:sz w:val="20"/>
                <w:szCs w:val="20"/>
              </w:rPr>
            </w:pPr>
            <w:r w:rsidRPr="00194C4A">
              <w:rPr>
                <w:rFonts w:ascii="Times New Roman" w:eastAsia="Times New Roman" w:hAnsi="Times New Roman" w:cs="Times New Roman"/>
                <w:color w:val="000000"/>
                <w:sz w:val="20"/>
                <w:szCs w:val="20"/>
              </w:rPr>
              <w:t>cena nośnika energii [zł/kWh]</w:t>
            </w:r>
          </w:p>
        </w:tc>
        <w:tc>
          <w:tcPr>
            <w:tcW w:w="1417" w:type="dxa"/>
            <w:noWrap/>
            <w:hideMark/>
          </w:tcPr>
          <w:p w:rsidR="00ED42F8" w:rsidRPr="00194C4A" w:rsidRDefault="00ED42F8" w:rsidP="00915C37">
            <w:pPr>
              <w:jc w:val="center"/>
              <w:cnfStyle w:val="100000000000"/>
              <w:rPr>
                <w:rFonts w:ascii="Times New Roman" w:eastAsia="Times New Roman" w:hAnsi="Times New Roman" w:cs="Times New Roman"/>
                <w:color w:val="000000"/>
                <w:sz w:val="20"/>
                <w:szCs w:val="20"/>
              </w:rPr>
            </w:pPr>
            <w:r w:rsidRPr="00194C4A">
              <w:rPr>
                <w:rFonts w:ascii="Times New Roman" w:eastAsia="Times New Roman" w:hAnsi="Times New Roman" w:cs="Times New Roman"/>
                <w:color w:val="000000"/>
                <w:sz w:val="20"/>
                <w:szCs w:val="20"/>
              </w:rPr>
              <w:t>sprawność kotła</w:t>
            </w:r>
            <w:r w:rsidR="00915C37" w:rsidRPr="00194C4A">
              <w:rPr>
                <w:rFonts w:ascii="Times New Roman" w:eastAsia="Times New Roman" w:hAnsi="Times New Roman" w:cs="Times New Roman"/>
                <w:color w:val="000000"/>
                <w:sz w:val="20"/>
                <w:szCs w:val="20"/>
              </w:rPr>
              <w:t xml:space="preserve"> [%]</w:t>
            </w:r>
          </w:p>
        </w:tc>
        <w:tc>
          <w:tcPr>
            <w:tcW w:w="1559" w:type="dxa"/>
            <w:noWrap/>
            <w:hideMark/>
          </w:tcPr>
          <w:p w:rsidR="00ED42F8" w:rsidRPr="00194C4A" w:rsidRDefault="00ED42F8" w:rsidP="00915C37">
            <w:pPr>
              <w:jc w:val="center"/>
              <w:cnfStyle w:val="100000000000"/>
              <w:rPr>
                <w:rFonts w:ascii="Times New Roman" w:eastAsia="Times New Roman" w:hAnsi="Times New Roman" w:cs="Times New Roman"/>
                <w:color w:val="000000"/>
                <w:sz w:val="20"/>
                <w:szCs w:val="20"/>
              </w:rPr>
            </w:pPr>
            <w:r w:rsidRPr="00194C4A">
              <w:rPr>
                <w:rFonts w:ascii="Times New Roman" w:eastAsia="Times New Roman" w:hAnsi="Times New Roman" w:cs="Times New Roman"/>
                <w:color w:val="000000"/>
                <w:sz w:val="20"/>
                <w:szCs w:val="20"/>
              </w:rPr>
              <w:t xml:space="preserve">cena produkcji ciepła z nośnika </w:t>
            </w:r>
            <w:r w:rsidR="00915C37" w:rsidRPr="00194C4A">
              <w:rPr>
                <w:rFonts w:ascii="Times New Roman" w:eastAsia="Times New Roman" w:hAnsi="Times New Roman" w:cs="Times New Roman"/>
                <w:color w:val="000000"/>
                <w:sz w:val="20"/>
                <w:szCs w:val="20"/>
              </w:rPr>
              <w:t>[zł/kWh]</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Gaz ziemny typ E*</w:t>
            </w:r>
          </w:p>
        </w:tc>
        <w:tc>
          <w:tcPr>
            <w:tcW w:w="567"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w:t>
            </w:r>
            <w:r w:rsidR="00D513A3">
              <w:rPr>
                <w:rFonts w:ascii="Times New Roman" w:hAnsi="Times New Roman" w:cs="Times New Roman"/>
                <w:color w:val="000000"/>
                <w:sz w:val="20"/>
                <w:szCs w:val="20"/>
              </w:rPr>
              <w:t>19</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zł/kWh</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sz w:val="20"/>
                <w:szCs w:val="20"/>
              </w:rPr>
            </w:pPr>
          </w:p>
        </w:tc>
        <w:tc>
          <w:tcPr>
            <w:tcW w:w="1418"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w:t>
            </w:r>
            <w:r w:rsidR="00D513A3">
              <w:rPr>
                <w:rFonts w:ascii="Times New Roman" w:hAnsi="Times New Roman" w:cs="Times New Roman"/>
                <w:color w:val="000000"/>
                <w:sz w:val="20"/>
                <w:szCs w:val="20"/>
              </w:rPr>
              <w:t>19</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102</w:t>
            </w:r>
          </w:p>
        </w:tc>
        <w:tc>
          <w:tcPr>
            <w:tcW w:w="1559"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w:t>
            </w:r>
            <w:r w:rsidR="00D513A3">
              <w:rPr>
                <w:rFonts w:ascii="Times New Roman" w:hAnsi="Times New Roman" w:cs="Times New Roman"/>
                <w:color w:val="000000"/>
                <w:sz w:val="20"/>
                <w:szCs w:val="20"/>
              </w:rPr>
              <w:t>1862</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gaz propan-butan</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2</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zł/dm3</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47,3</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MJ/kg</w:t>
            </w: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0,304</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98</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0,311</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olej opałowy</w:t>
            </w:r>
          </w:p>
        </w:tc>
        <w:tc>
          <w:tcPr>
            <w:tcW w:w="567"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3,</w:t>
            </w:r>
            <w:r w:rsidR="00D513A3">
              <w:rPr>
                <w:rFonts w:ascii="Times New Roman" w:hAnsi="Times New Roman" w:cs="Times New Roman"/>
                <w:color w:val="000000"/>
                <w:sz w:val="20"/>
                <w:szCs w:val="20"/>
              </w:rPr>
              <w:t>20</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zł/dm3</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42,6</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MJ/kg</w:t>
            </w:r>
          </w:p>
        </w:tc>
        <w:tc>
          <w:tcPr>
            <w:tcW w:w="1418"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0,3</w:t>
            </w:r>
            <w:r w:rsidR="00D513A3">
              <w:rPr>
                <w:rFonts w:ascii="Times New Roman" w:hAnsi="Times New Roman" w:cs="Times New Roman"/>
                <w:color w:val="000000"/>
                <w:sz w:val="20"/>
                <w:szCs w:val="20"/>
              </w:rPr>
              <w:t>15</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95</w:t>
            </w:r>
          </w:p>
        </w:tc>
        <w:tc>
          <w:tcPr>
            <w:tcW w:w="1559"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0,3</w:t>
            </w:r>
            <w:r w:rsidR="00D513A3">
              <w:rPr>
                <w:rFonts w:ascii="Times New Roman" w:hAnsi="Times New Roman" w:cs="Times New Roman"/>
                <w:color w:val="000000"/>
                <w:sz w:val="20"/>
                <w:szCs w:val="20"/>
              </w:rPr>
              <w:t>31</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węgiel kamienny - miał</w:t>
            </w:r>
          </w:p>
        </w:tc>
        <w:tc>
          <w:tcPr>
            <w:tcW w:w="567" w:type="dxa"/>
            <w:noWrap/>
            <w:hideMark/>
          </w:tcPr>
          <w:p w:rsidR="00A74046" w:rsidRPr="00194C4A" w:rsidRDefault="00D513A3" w:rsidP="00A74046">
            <w:pPr>
              <w:jc w:val="center"/>
              <w:cnfStyle w:val="000000000000"/>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7</w:t>
            </w:r>
            <w:r w:rsidR="00A74046" w:rsidRPr="00194C4A">
              <w:rPr>
                <w:rFonts w:ascii="Times New Roman" w:hAnsi="Times New Roman" w:cs="Times New Roman"/>
                <w:color w:val="000000"/>
                <w:sz w:val="20"/>
                <w:szCs w:val="20"/>
              </w:rPr>
              <w:t>00</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zł/Mg</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22</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MJ/kg</w:t>
            </w:r>
          </w:p>
        </w:tc>
        <w:tc>
          <w:tcPr>
            <w:tcW w:w="1418"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w:t>
            </w:r>
            <w:r w:rsidR="00D513A3">
              <w:rPr>
                <w:rFonts w:ascii="Times New Roman" w:hAnsi="Times New Roman" w:cs="Times New Roman"/>
                <w:color w:val="000000"/>
                <w:sz w:val="20"/>
                <w:szCs w:val="20"/>
              </w:rPr>
              <w:t>113</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45</w:t>
            </w:r>
          </w:p>
        </w:tc>
        <w:tc>
          <w:tcPr>
            <w:tcW w:w="1559" w:type="dxa"/>
            <w:noWrap/>
            <w:hideMark/>
          </w:tcPr>
          <w:p w:rsidR="00A74046" w:rsidRPr="00194C4A" w:rsidRDefault="00A74046" w:rsidP="00D513A3">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0,2</w:t>
            </w:r>
            <w:r w:rsidR="00D513A3">
              <w:rPr>
                <w:rFonts w:ascii="Times New Roman" w:hAnsi="Times New Roman" w:cs="Times New Roman"/>
                <w:color w:val="000000"/>
                <w:sz w:val="20"/>
                <w:szCs w:val="20"/>
              </w:rPr>
              <w:t>51</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węgiel kamienny - ekogroszek</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900</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zł/Mg</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27</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MJ/kg</w:t>
            </w: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0,120</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75</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0,160</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węgiel kamienny - gruby</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900</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zł/Mg</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28</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kJ/kg</w:t>
            </w: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0,116</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55</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0,210</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drewno - sosna</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160</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zł/mp</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6,5</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GJ/mp</w:t>
            </w: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0,089</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45</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0,197</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pelet</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850</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zł/Mg</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18</w:t>
            </w: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MJ/kg</w:t>
            </w: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0,170</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78</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0,218</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energia elektryczna</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zł/kWh</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sz w:val="20"/>
                <w:szCs w:val="20"/>
              </w:rPr>
            </w:pP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0,550</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99</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0,556</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powietrzna pompa ciepła</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zł/kWh</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sz w:val="20"/>
                <w:szCs w:val="20"/>
              </w:rPr>
            </w:pP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0,550</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250</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0,220</w:t>
            </w:r>
          </w:p>
        </w:tc>
      </w:tr>
      <w:tr w:rsidR="00A74046" w:rsidRPr="00194C4A" w:rsidTr="00D1122F">
        <w:trPr>
          <w:trHeight w:val="454"/>
        </w:trPr>
        <w:tc>
          <w:tcPr>
            <w:cnfStyle w:val="001000000000"/>
            <w:tcW w:w="1836" w:type="dxa"/>
            <w:noWrap/>
            <w:hideMark/>
          </w:tcPr>
          <w:p w:rsidR="00A74046" w:rsidRPr="00194C4A" w:rsidRDefault="00A74046" w:rsidP="00A74046">
            <w:pPr>
              <w:jc w:val="center"/>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gruntowa pompa ciepła</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w:t>
            </w:r>
          </w:p>
        </w:tc>
        <w:tc>
          <w:tcPr>
            <w:tcW w:w="853"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zł/kWh</w:t>
            </w:r>
          </w:p>
        </w:tc>
        <w:tc>
          <w:tcPr>
            <w:tcW w:w="56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p>
        </w:tc>
        <w:tc>
          <w:tcPr>
            <w:tcW w:w="850" w:type="dxa"/>
            <w:noWrap/>
            <w:hideMark/>
          </w:tcPr>
          <w:p w:rsidR="00A74046" w:rsidRPr="00194C4A" w:rsidRDefault="00A74046" w:rsidP="00A74046">
            <w:pPr>
              <w:jc w:val="center"/>
              <w:cnfStyle w:val="000000000000"/>
              <w:rPr>
                <w:rFonts w:ascii="Times New Roman" w:eastAsia="Times New Roman" w:hAnsi="Times New Roman" w:cs="Times New Roman"/>
                <w:sz w:val="20"/>
                <w:szCs w:val="20"/>
              </w:rPr>
            </w:pPr>
          </w:p>
        </w:tc>
        <w:tc>
          <w:tcPr>
            <w:tcW w:w="1418"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0,550</w:t>
            </w:r>
          </w:p>
        </w:tc>
        <w:tc>
          <w:tcPr>
            <w:tcW w:w="1417"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350</w:t>
            </w:r>
          </w:p>
        </w:tc>
        <w:tc>
          <w:tcPr>
            <w:tcW w:w="1559" w:type="dxa"/>
            <w:noWrap/>
            <w:hideMark/>
          </w:tcPr>
          <w:p w:rsidR="00A74046" w:rsidRPr="00194C4A" w:rsidRDefault="00A74046" w:rsidP="00A74046">
            <w:pPr>
              <w:jc w:val="center"/>
              <w:cnfStyle w:val="000000000000"/>
              <w:rPr>
                <w:rFonts w:ascii="Times New Roman" w:eastAsia="Times New Roman" w:hAnsi="Times New Roman" w:cs="Times New Roman"/>
                <w:color w:val="000000"/>
                <w:sz w:val="20"/>
                <w:szCs w:val="20"/>
              </w:rPr>
            </w:pPr>
            <w:r w:rsidRPr="00194C4A">
              <w:rPr>
                <w:rFonts w:ascii="Times New Roman" w:hAnsi="Times New Roman" w:cs="Times New Roman"/>
                <w:color w:val="000000"/>
                <w:sz w:val="20"/>
                <w:szCs w:val="20"/>
              </w:rPr>
              <w:t>0,157</w:t>
            </w:r>
          </w:p>
        </w:tc>
      </w:tr>
    </w:tbl>
    <w:p w:rsidR="00ED42F8" w:rsidRDefault="00915C37" w:rsidP="004B2333">
      <w:pPr>
        <w:pStyle w:val="podpis"/>
        <w:spacing w:after="240"/>
        <w:rPr>
          <w:rFonts w:cs="Times New Roman"/>
        </w:rPr>
      </w:pPr>
      <w:r w:rsidRPr="00194C4A">
        <w:rPr>
          <w:rFonts w:cs="Times New Roman"/>
        </w:rPr>
        <w:t>*dla taryfy W3.6, dom wielkości 120 m</w:t>
      </w:r>
      <w:r w:rsidRPr="00194C4A">
        <w:rPr>
          <w:rFonts w:cs="Times New Roman"/>
          <w:vertAlign w:val="superscript"/>
        </w:rPr>
        <w:t>2</w:t>
      </w:r>
      <w:r w:rsidRPr="00194C4A">
        <w:rPr>
          <w:rFonts w:cs="Times New Roman"/>
        </w:rPr>
        <w:t>, zapotrzebowanie 120 kWh/m</w:t>
      </w:r>
      <w:r w:rsidRPr="00194C4A">
        <w:rPr>
          <w:rFonts w:cs="Times New Roman"/>
          <w:vertAlign w:val="superscript"/>
        </w:rPr>
        <w:t>2</w:t>
      </w:r>
      <w:r w:rsidRPr="00194C4A">
        <w:rPr>
          <w:rFonts w:cs="Times New Roman"/>
        </w:rPr>
        <w:t>/rok</w:t>
      </w:r>
    </w:p>
    <w:p w:rsidR="00D1122F" w:rsidRDefault="00D1122F" w:rsidP="004B2333">
      <w:pPr>
        <w:pStyle w:val="podpis"/>
        <w:spacing w:after="240"/>
        <w:rPr>
          <w:rFonts w:cs="Times New Roman"/>
          <w:b w:val="0"/>
          <w:i/>
          <w:sz w:val="22"/>
        </w:rPr>
      </w:pPr>
      <w:r w:rsidRPr="00D1122F">
        <w:rPr>
          <w:rFonts w:cs="Times New Roman"/>
          <w:b w:val="0"/>
          <w:i/>
          <w:sz w:val="22"/>
        </w:rPr>
        <w:t>Źródło: Obliczenia własne</w:t>
      </w:r>
      <w:r w:rsidR="00233297">
        <w:rPr>
          <w:rFonts w:cs="Times New Roman"/>
          <w:b w:val="0"/>
          <w:i/>
          <w:sz w:val="22"/>
        </w:rPr>
        <w:t>.</w:t>
      </w:r>
    </w:p>
    <w:p w:rsidR="00915C37" w:rsidRDefault="00915C37" w:rsidP="004B2333">
      <w:pPr>
        <w:pStyle w:val="tekst"/>
        <w:spacing w:after="240"/>
        <w:rPr>
          <w:rFonts w:cs="Times New Roman"/>
        </w:rPr>
      </w:pPr>
      <w:r w:rsidRPr="00194C4A">
        <w:rPr>
          <w:rFonts w:cs="Times New Roman"/>
        </w:rPr>
        <w:t xml:space="preserve">Z przeprowadzonej analizy wynika, że ceny nośników energii na rynku są bardzo zróżnicowane i trudno porównywalne. Po ujednoliceniu w oparciu o gęstość i wartość opałową najniższą ceną charakteryzuje się </w:t>
      </w:r>
      <w:r w:rsidR="00E51E40" w:rsidRPr="00194C4A">
        <w:rPr>
          <w:rFonts w:cs="Times New Roman"/>
        </w:rPr>
        <w:t xml:space="preserve">drewno opałowe (sosna), niewiele droższy jest miał węglowy oraz inne </w:t>
      </w:r>
      <w:r w:rsidR="00C2790D">
        <w:rPr>
          <w:rFonts w:cs="Times New Roman"/>
        </w:rPr>
        <w:t xml:space="preserve">rodzaje </w:t>
      </w:r>
      <w:r w:rsidR="00E51E40" w:rsidRPr="00194C4A">
        <w:rPr>
          <w:rFonts w:cs="Times New Roman"/>
        </w:rPr>
        <w:t>węgla kamiennego.</w:t>
      </w:r>
      <w:r w:rsidR="00D1122F">
        <w:rPr>
          <w:rFonts w:cs="Times New Roman"/>
        </w:rPr>
        <w:t xml:space="preserve"> Natomiast po obliczeniu zakładanej sprawności systemu grzewczego</w:t>
      </w:r>
      <w:r w:rsidR="00C2790D">
        <w:rPr>
          <w:rFonts w:cs="Times New Roman"/>
        </w:rPr>
        <w:t>,</w:t>
      </w:r>
      <w:r w:rsidR="00D1122F">
        <w:rPr>
          <w:rFonts w:cs="Times New Roman"/>
        </w:rPr>
        <w:t xml:space="preserve"> stawki za ogrzewanie wyglądają następująco:</w:t>
      </w:r>
    </w:p>
    <w:p w:rsidR="007B1B36" w:rsidRDefault="007B1B36" w:rsidP="004B2333">
      <w:pPr>
        <w:pStyle w:val="tekst"/>
        <w:spacing w:after="240"/>
        <w:rPr>
          <w:rFonts w:cs="Times New Roman"/>
        </w:rPr>
      </w:pPr>
    </w:p>
    <w:p w:rsidR="007B1B36" w:rsidRDefault="007B1B36" w:rsidP="004B2333">
      <w:pPr>
        <w:pStyle w:val="tekst"/>
        <w:spacing w:after="240"/>
        <w:rPr>
          <w:rFonts w:cs="Times New Roman"/>
        </w:rPr>
      </w:pPr>
    </w:p>
    <w:p w:rsidR="007B1B36" w:rsidRDefault="007B1B36" w:rsidP="004B2333">
      <w:pPr>
        <w:pStyle w:val="tekst"/>
        <w:spacing w:after="240"/>
        <w:rPr>
          <w:rFonts w:cs="Times New Roman"/>
        </w:rPr>
      </w:pPr>
    </w:p>
    <w:p w:rsidR="007B1B36" w:rsidRDefault="007B1B36" w:rsidP="004B2333">
      <w:pPr>
        <w:pStyle w:val="tekst"/>
        <w:spacing w:after="240"/>
        <w:rPr>
          <w:rFonts w:cs="Times New Roman"/>
        </w:rPr>
      </w:pPr>
    </w:p>
    <w:p w:rsidR="007B1B36" w:rsidRDefault="007B1B36" w:rsidP="004B2333">
      <w:pPr>
        <w:pStyle w:val="tekst"/>
        <w:spacing w:after="240"/>
        <w:rPr>
          <w:rFonts w:cs="Times New Roman"/>
        </w:rPr>
      </w:pPr>
    </w:p>
    <w:p w:rsidR="007B1B36" w:rsidRDefault="007B1B36" w:rsidP="004B2333">
      <w:pPr>
        <w:pStyle w:val="tekst"/>
        <w:spacing w:after="240"/>
        <w:rPr>
          <w:rFonts w:cs="Times New Roman"/>
        </w:rPr>
      </w:pPr>
    </w:p>
    <w:p w:rsidR="00D1122F" w:rsidRPr="003A425C" w:rsidRDefault="00D1122F" w:rsidP="00D1122F">
      <w:pPr>
        <w:pStyle w:val="Legenda"/>
        <w:rPr>
          <w:rFonts w:cs="Times New Roman"/>
          <w:sz w:val="20"/>
        </w:rPr>
      </w:pPr>
      <w:bookmarkStart w:id="94" w:name="_Toc77321983"/>
      <w:r w:rsidRPr="003A425C">
        <w:rPr>
          <w:sz w:val="20"/>
        </w:rPr>
        <w:lastRenderedPageBreak/>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6</w:t>
      </w:r>
      <w:r w:rsidR="00A05E44" w:rsidRPr="003A425C">
        <w:rPr>
          <w:sz w:val="20"/>
        </w:rPr>
        <w:fldChar w:fldCharType="end"/>
      </w:r>
      <w:r w:rsidRPr="003A425C">
        <w:rPr>
          <w:sz w:val="20"/>
        </w:rPr>
        <w:t xml:space="preserve"> Ceny za nośnik energii</w:t>
      </w:r>
      <w:bookmarkEnd w:id="94"/>
    </w:p>
    <w:p w:rsidR="00D1122F" w:rsidRDefault="00D1122F" w:rsidP="004B2333">
      <w:pPr>
        <w:pStyle w:val="tekst"/>
        <w:spacing w:after="240"/>
        <w:rPr>
          <w:rFonts w:cs="Times New Roman"/>
        </w:rPr>
      </w:pPr>
      <w:r>
        <w:rPr>
          <w:noProof/>
        </w:rPr>
        <w:drawing>
          <wp:inline distT="0" distB="0" distL="0" distR="0">
            <wp:extent cx="4572000" cy="2743200"/>
            <wp:effectExtent l="0" t="0" r="0" b="0"/>
            <wp:docPr id="45" name="Wykres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1122F" w:rsidRPr="00D1122F" w:rsidRDefault="00D1122F" w:rsidP="00D1122F">
      <w:pPr>
        <w:pStyle w:val="tekst"/>
        <w:spacing w:after="240"/>
        <w:ind w:firstLine="0"/>
        <w:rPr>
          <w:rFonts w:cs="Times New Roman"/>
          <w:i/>
        </w:rPr>
      </w:pPr>
      <w:r w:rsidRPr="00D1122F">
        <w:rPr>
          <w:rFonts w:cs="Times New Roman"/>
          <w:i/>
        </w:rPr>
        <w:t>Źródło: Obliczenia własne</w:t>
      </w:r>
    </w:p>
    <w:p w:rsidR="00A74046" w:rsidRPr="00194C4A" w:rsidRDefault="0016359B" w:rsidP="0016359B">
      <w:pPr>
        <w:pStyle w:val="tekst"/>
        <w:rPr>
          <w:rFonts w:cs="Times New Roman"/>
        </w:rPr>
      </w:pPr>
      <w:r w:rsidRPr="00194C4A">
        <w:rPr>
          <w:rFonts w:cs="Times New Roman"/>
        </w:rPr>
        <w:t>Porównanie kosztów produkcji ciepła nie jest miarodajne dla potencjalnych inwestorów z</w:t>
      </w:r>
      <w:r w:rsidR="004B2333" w:rsidRPr="00194C4A">
        <w:rPr>
          <w:rFonts w:cs="Times New Roman"/>
        </w:rPr>
        <w:t> </w:t>
      </w:r>
      <w:r w:rsidRPr="00194C4A">
        <w:rPr>
          <w:rFonts w:cs="Times New Roman"/>
        </w:rPr>
        <w:t>racji nieuwzględnienia szeregu czynników</w:t>
      </w:r>
      <w:r w:rsidR="00C2790D">
        <w:rPr>
          <w:rFonts w:cs="Times New Roman"/>
        </w:rPr>
        <w:t>,</w:t>
      </w:r>
      <w:r w:rsidRPr="00194C4A">
        <w:rPr>
          <w:rFonts w:cs="Times New Roman"/>
        </w:rPr>
        <w:t xml:space="preserve"> jakie niesie ze sobą ich wykorzystanie:</w:t>
      </w:r>
    </w:p>
    <w:p w:rsidR="0016359B" w:rsidRPr="00194C4A" w:rsidRDefault="0016359B" w:rsidP="008A40A2">
      <w:pPr>
        <w:pStyle w:val="tekst"/>
        <w:numPr>
          <w:ilvl w:val="0"/>
          <w:numId w:val="11"/>
        </w:numPr>
        <w:rPr>
          <w:rFonts w:cs="Times New Roman"/>
        </w:rPr>
      </w:pPr>
      <w:r w:rsidRPr="00194C4A">
        <w:rPr>
          <w:rFonts w:cs="Times New Roman"/>
        </w:rPr>
        <w:t>kosztów inwestycyjnych</w:t>
      </w:r>
      <w:r w:rsidR="00C2790D">
        <w:rPr>
          <w:rFonts w:cs="Times New Roman"/>
        </w:rPr>
        <w:t>,</w:t>
      </w:r>
      <w:r w:rsidRPr="00194C4A">
        <w:rPr>
          <w:rFonts w:cs="Times New Roman"/>
        </w:rPr>
        <w:t xml:space="preserve"> jakie należy ponieść,</w:t>
      </w:r>
    </w:p>
    <w:p w:rsidR="0016359B" w:rsidRPr="00194C4A" w:rsidRDefault="0016359B" w:rsidP="008A40A2">
      <w:pPr>
        <w:pStyle w:val="tekst"/>
        <w:numPr>
          <w:ilvl w:val="0"/>
          <w:numId w:val="11"/>
        </w:numPr>
        <w:rPr>
          <w:rFonts w:cs="Times New Roman"/>
        </w:rPr>
      </w:pPr>
      <w:r w:rsidRPr="00194C4A">
        <w:rPr>
          <w:rFonts w:cs="Times New Roman"/>
        </w:rPr>
        <w:t>kosztów eksploatacyjnych,</w:t>
      </w:r>
    </w:p>
    <w:p w:rsidR="0016359B" w:rsidRPr="00194C4A" w:rsidRDefault="0016359B" w:rsidP="008A40A2">
      <w:pPr>
        <w:pStyle w:val="tekst"/>
        <w:numPr>
          <w:ilvl w:val="0"/>
          <w:numId w:val="11"/>
        </w:numPr>
        <w:rPr>
          <w:rFonts w:cs="Times New Roman"/>
        </w:rPr>
      </w:pPr>
      <w:r w:rsidRPr="00194C4A">
        <w:rPr>
          <w:rFonts w:cs="Times New Roman"/>
        </w:rPr>
        <w:t>kosztów środowiskowych,</w:t>
      </w:r>
    </w:p>
    <w:p w:rsidR="0016359B" w:rsidRPr="00194C4A" w:rsidRDefault="0016359B" w:rsidP="008A40A2">
      <w:pPr>
        <w:pStyle w:val="tekst"/>
        <w:numPr>
          <w:ilvl w:val="0"/>
          <w:numId w:val="11"/>
        </w:numPr>
        <w:rPr>
          <w:rFonts w:cs="Times New Roman"/>
        </w:rPr>
      </w:pPr>
      <w:r w:rsidRPr="00194C4A">
        <w:rPr>
          <w:rFonts w:cs="Times New Roman"/>
        </w:rPr>
        <w:t>zmian obowiązującego prawa,</w:t>
      </w:r>
    </w:p>
    <w:p w:rsidR="0016359B" w:rsidRPr="00194C4A" w:rsidRDefault="0016359B" w:rsidP="008A40A2">
      <w:pPr>
        <w:pStyle w:val="tekst"/>
        <w:numPr>
          <w:ilvl w:val="0"/>
          <w:numId w:val="11"/>
        </w:numPr>
        <w:rPr>
          <w:rFonts w:cs="Times New Roman"/>
        </w:rPr>
      </w:pPr>
      <w:r w:rsidRPr="00194C4A">
        <w:rPr>
          <w:rFonts w:cs="Times New Roman"/>
        </w:rPr>
        <w:t>zmian w cenach nośników energii.</w:t>
      </w:r>
    </w:p>
    <w:p w:rsidR="0016359B" w:rsidRPr="00194C4A" w:rsidRDefault="0016359B" w:rsidP="0016359B">
      <w:pPr>
        <w:pStyle w:val="tekst"/>
        <w:rPr>
          <w:rFonts w:cs="Times New Roman"/>
        </w:rPr>
      </w:pPr>
      <w:r w:rsidRPr="00194C4A">
        <w:rPr>
          <w:rFonts w:cs="Times New Roman"/>
        </w:rPr>
        <w:t>Ponadto wpływ na wybór sposobu zaopatrzenia mają również preferencje użytkowników takie jak:</w:t>
      </w:r>
    </w:p>
    <w:p w:rsidR="0016359B" w:rsidRPr="00194C4A" w:rsidRDefault="0016359B" w:rsidP="008A40A2">
      <w:pPr>
        <w:pStyle w:val="tekst"/>
        <w:numPr>
          <w:ilvl w:val="0"/>
          <w:numId w:val="12"/>
        </w:numPr>
        <w:rPr>
          <w:rFonts w:cs="Times New Roman"/>
        </w:rPr>
      </w:pPr>
      <w:r w:rsidRPr="00194C4A">
        <w:rPr>
          <w:rFonts w:cs="Times New Roman"/>
        </w:rPr>
        <w:t>maksymalne obniżenie kosztów,</w:t>
      </w:r>
    </w:p>
    <w:p w:rsidR="0016359B" w:rsidRPr="00194C4A" w:rsidRDefault="0016359B" w:rsidP="008A40A2">
      <w:pPr>
        <w:pStyle w:val="tekst"/>
        <w:numPr>
          <w:ilvl w:val="0"/>
          <w:numId w:val="12"/>
        </w:numPr>
        <w:rPr>
          <w:rFonts w:cs="Times New Roman"/>
        </w:rPr>
      </w:pPr>
      <w:r w:rsidRPr="00194C4A">
        <w:rPr>
          <w:rFonts w:cs="Times New Roman"/>
        </w:rPr>
        <w:t>zwiększenie bezobsługowości i automatyzacja,</w:t>
      </w:r>
    </w:p>
    <w:p w:rsidR="0016359B" w:rsidRPr="00194C4A" w:rsidRDefault="0016359B" w:rsidP="008A40A2">
      <w:pPr>
        <w:pStyle w:val="tekst"/>
        <w:numPr>
          <w:ilvl w:val="0"/>
          <w:numId w:val="12"/>
        </w:numPr>
        <w:rPr>
          <w:rFonts w:cs="Times New Roman"/>
        </w:rPr>
      </w:pPr>
      <w:r w:rsidRPr="00194C4A">
        <w:rPr>
          <w:rFonts w:cs="Times New Roman"/>
        </w:rPr>
        <w:t>minimalizacji aspektów środowiskowych i zdrowotnych,</w:t>
      </w:r>
    </w:p>
    <w:p w:rsidR="0016359B" w:rsidRPr="00194C4A" w:rsidRDefault="0016359B" w:rsidP="008A40A2">
      <w:pPr>
        <w:pStyle w:val="tekst"/>
        <w:numPr>
          <w:ilvl w:val="0"/>
          <w:numId w:val="12"/>
        </w:numPr>
        <w:rPr>
          <w:rFonts w:cs="Times New Roman"/>
        </w:rPr>
      </w:pPr>
      <w:r w:rsidRPr="00194C4A">
        <w:rPr>
          <w:rFonts w:cs="Times New Roman"/>
        </w:rPr>
        <w:t>minimalizacji zapylenia i zabrudzenia,</w:t>
      </w:r>
    </w:p>
    <w:p w:rsidR="0016359B" w:rsidRPr="00194C4A" w:rsidRDefault="0016359B" w:rsidP="008A40A2">
      <w:pPr>
        <w:pStyle w:val="tekst"/>
        <w:numPr>
          <w:ilvl w:val="0"/>
          <w:numId w:val="12"/>
        </w:numPr>
        <w:rPr>
          <w:rFonts w:cs="Times New Roman"/>
        </w:rPr>
      </w:pPr>
      <w:r w:rsidRPr="00194C4A">
        <w:rPr>
          <w:rFonts w:cs="Times New Roman"/>
        </w:rPr>
        <w:t>łatwość w użytkowaniu i moderacji (np. uwzględnienia nastaw).</w:t>
      </w:r>
    </w:p>
    <w:p w:rsidR="0016359B" w:rsidRPr="00194C4A" w:rsidRDefault="0016359B" w:rsidP="0016359B">
      <w:pPr>
        <w:pStyle w:val="tekst"/>
        <w:rPr>
          <w:rFonts w:cs="Times New Roman"/>
        </w:rPr>
      </w:pPr>
      <w:r w:rsidRPr="00194C4A">
        <w:rPr>
          <w:rFonts w:cs="Times New Roman"/>
        </w:rPr>
        <w:t xml:space="preserve">W celu ułatwienia </w:t>
      </w:r>
      <w:r w:rsidR="004F6EBF" w:rsidRPr="00194C4A">
        <w:rPr>
          <w:rFonts w:cs="Times New Roman"/>
        </w:rPr>
        <w:t>wyboru sposobu zapotrzebowania przeprowadzono analizę kosztową dla trzech budynków referencyjnych:</w:t>
      </w:r>
    </w:p>
    <w:p w:rsidR="004F6EBF" w:rsidRPr="00194C4A" w:rsidRDefault="004F6EBF" w:rsidP="008A40A2">
      <w:pPr>
        <w:pStyle w:val="tekst"/>
        <w:numPr>
          <w:ilvl w:val="0"/>
          <w:numId w:val="13"/>
        </w:numPr>
        <w:rPr>
          <w:rFonts w:cs="Times New Roman"/>
        </w:rPr>
      </w:pPr>
      <w:r w:rsidRPr="00194C4A">
        <w:rPr>
          <w:rFonts w:cs="Times New Roman"/>
        </w:rPr>
        <w:t>budynek A – budynek nowy, powierzchnia użytkowa 120 m</w:t>
      </w:r>
      <w:r w:rsidRPr="00194C4A">
        <w:rPr>
          <w:rFonts w:cs="Times New Roman"/>
          <w:vertAlign w:val="superscript"/>
        </w:rPr>
        <w:t>2</w:t>
      </w:r>
      <w:r w:rsidRPr="00194C4A">
        <w:rPr>
          <w:rFonts w:cs="Times New Roman"/>
        </w:rPr>
        <w:t>, spełniający aktualne wymagania cieplne;</w:t>
      </w:r>
    </w:p>
    <w:p w:rsidR="004F6EBF" w:rsidRPr="00194C4A" w:rsidRDefault="004F6EBF" w:rsidP="008A40A2">
      <w:pPr>
        <w:pStyle w:val="tekst"/>
        <w:numPr>
          <w:ilvl w:val="0"/>
          <w:numId w:val="13"/>
        </w:numPr>
        <w:rPr>
          <w:rFonts w:cs="Times New Roman"/>
        </w:rPr>
      </w:pPr>
      <w:r w:rsidRPr="00194C4A">
        <w:rPr>
          <w:rFonts w:cs="Times New Roman"/>
        </w:rPr>
        <w:t xml:space="preserve">budynek B </w:t>
      </w:r>
      <w:r w:rsidR="00C2790D">
        <w:rPr>
          <w:rFonts w:cs="Times New Roman"/>
        </w:rPr>
        <w:t>–</w:t>
      </w:r>
      <w:r w:rsidRPr="00194C4A">
        <w:rPr>
          <w:rFonts w:cs="Times New Roman"/>
        </w:rPr>
        <w:t xml:space="preserve"> powierzchnia użytkowa 120 m</w:t>
      </w:r>
      <w:r w:rsidRPr="00194C4A">
        <w:rPr>
          <w:rFonts w:cs="Times New Roman"/>
          <w:vertAlign w:val="superscript"/>
        </w:rPr>
        <w:t>2</w:t>
      </w:r>
      <w:r w:rsidRPr="00194C4A">
        <w:rPr>
          <w:rFonts w:cs="Times New Roman"/>
        </w:rPr>
        <w:t>, wysoka izolacyjność cieplna – okna i drzwi PCV, ściany ocieplone styropianem o grubości 12 cm, dach ocieplony wełną mineralną o</w:t>
      </w:r>
      <w:r w:rsidR="004B2333" w:rsidRPr="00194C4A">
        <w:rPr>
          <w:rFonts w:cs="Times New Roman"/>
        </w:rPr>
        <w:t> </w:t>
      </w:r>
      <w:r w:rsidRPr="00194C4A">
        <w:rPr>
          <w:rFonts w:cs="Times New Roman"/>
        </w:rPr>
        <w:t xml:space="preserve">grubości 15 cm, podłoga na gruncie ocieplona lub piwnica nie ogrzewana ze stropem zaizolowanym, kocioł zasypowy w wieku </w:t>
      </w:r>
      <w:r w:rsidR="008958F9" w:rsidRPr="00194C4A">
        <w:rPr>
          <w:rFonts w:cs="Times New Roman"/>
        </w:rPr>
        <w:t>8</w:t>
      </w:r>
      <w:r w:rsidRPr="00194C4A">
        <w:rPr>
          <w:rFonts w:cs="Times New Roman"/>
        </w:rPr>
        <w:t xml:space="preserve"> lat, z częściową automatyką (dmuchawa, układ sterujący), z grzejnikami stalowymi płytowymi i zaworami </w:t>
      </w:r>
      <w:r w:rsidRPr="00194C4A">
        <w:rPr>
          <w:rFonts w:cs="Times New Roman"/>
        </w:rPr>
        <w:lastRenderedPageBreak/>
        <w:t>regulacy</w:t>
      </w:r>
      <w:r w:rsidR="00803B38" w:rsidRPr="00194C4A">
        <w:rPr>
          <w:rFonts w:cs="Times New Roman"/>
        </w:rPr>
        <w:t>jnymi, instalacja wodna z małym</w:t>
      </w:r>
      <w:r w:rsidRPr="00194C4A">
        <w:rPr>
          <w:rFonts w:cs="Times New Roman"/>
        </w:rPr>
        <w:t xml:space="preserve"> zwałem wodnym, budynek spełnia wymagania techniczne dla budynków wybudowanych w latach 2000-nych,</w:t>
      </w:r>
    </w:p>
    <w:p w:rsidR="004F6EBF" w:rsidRPr="00194C4A" w:rsidRDefault="004F6EBF" w:rsidP="008A40A2">
      <w:pPr>
        <w:pStyle w:val="tekst"/>
        <w:numPr>
          <w:ilvl w:val="0"/>
          <w:numId w:val="13"/>
        </w:numPr>
        <w:rPr>
          <w:rFonts w:cs="Times New Roman"/>
        </w:rPr>
      </w:pPr>
      <w:r w:rsidRPr="00194C4A">
        <w:rPr>
          <w:rFonts w:cs="Times New Roman"/>
        </w:rPr>
        <w:t xml:space="preserve">budynek C </w:t>
      </w:r>
      <w:r w:rsidR="00C2790D">
        <w:rPr>
          <w:rFonts w:cs="Times New Roman"/>
        </w:rPr>
        <w:t>–</w:t>
      </w:r>
      <w:r w:rsidRPr="00194C4A">
        <w:rPr>
          <w:rFonts w:cs="Times New Roman"/>
        </w:rPr>
        <w:t xml:space="preserve"> powierzchnia użytkowa 120 m</w:t>
      </w:r>
      <w:r w:rsidRPr="00194C4A">
        <w:rPr>
          <w:rFonts w:cs="Times New Roman"/>
          <w:vertAlign w:val="superscript"/>
        </w:rPr>
        <w:t>2</w:t>
      </w:r>
      <w:r w:rsidRPr="00194C4A">
        <w:rPr>
          <w:rFonts w:cs="Times New Roman"/>
        </w:rPr>
        <w:t xml:space="preserve">, niska izolacyjność cieplna – okna i drzwi PCV, ściany nieocieplone, dach ocieplony wełną mineralną o grubości 5 cm, podłoga na gruncie </w:t>
      </w:r>
      <w:r w:rsidR="00C73BAA" w:rsidRPr="00194C4A">
        <w:rPr>
          <w:rFonts w:cs="Times New Roman"/>
        </w:rPr>
        <w:t>nie</w:t>
      </w:r>
      <w:r w:rsidRPr="00194C4A">
        <w:rPr>
          <w:rFonts w:cs="Times New Roman"/>
        </w:rPr>
        <w:t xml:space="preserve">ocieplona lub piwnica nie ogrzewana ze stropem </w:t>
      </w:r>
      <w:r w:rsidR="00C73BAA" w:rsidRPr="00194C4A">
        <w:rPr>
          <w:rFonts w:cs="Times New Roman"/>
        </w:rPr>
        <w:t>niei</w:t>
      </w:r>
      <w:r w:rsidRPr="00194C4A">
        <w:rPr>
          <w:rFonts w:cs="Times New Roman"/>
        </w:rPr>
        <w:t xml:space="preserve">zolowanym, kocioł zasypowy w wieku </w:t>
      </w:r>
      <w:r w:rsidR="008958F9" w:rsidRPr="00194C4A">
        <w:rPr>
          <w:rFonts w:cs="Times New Roman"/>
        </w:rPr>
        <w:t>12</w:t>
      </w:r>
      <w:r w:rsidRPr="00194C4A">
        <w:rPr>
          <w:rFonts w:cs="Times New Roman"/>
        </w:rPr>
        <w:t xml:space="preserve"> lat, </w:t>
      </w:r>
      <w:r w:rsidR="00C73BAA" w:rsidRPr="00194C4A">
        <w:rPr>
          <w:rFonts w:cs="Times New Roman"/>
        </w:rPr>
        <w:t>bez automatyki</w:t>
      </w:r>
      <w:r w:rsidRPr="00194C4A">
        <w:rPr>
          <w:rFonts w:cs="Times New Roman"/>
        </w:rPr>
        <w:t xml:space="preserve">, z grzejnikami </w:t>
      </w:r>
      <w:r w:rsidR="00C73BAA" w:rsidRPr="00194C4A">
        <w:rPr>
          <w:rFonts w:cs="Times New Roman"/>
        </w:rPr>
        <w:t xml:space="preserve">żeliwnymi i bez zaworów </w:t>
      </w:r>
      <w:r w:rsidRPr="00194C4A">
        <w:rPr>
          <w:rFonts w:cs="Times New Roman"/>
        </w:rPr>
        <w:t>regulacyjn</w:t>
      </w:r>
      <w:r w:rsidR="00C73BAA" w:rsidRPr="00194C4A">
        <w:rPr>
          <w:rFonts w:cs="Times New Roman"/>
        </w:rPr>
        <w:t>ych</w:t>
      </w:r>
      <w:r w:rsidRPr="00194C4A">
        <w:rPr>
          <w:rFonts w:cs="Times New Roman"/>
        </w:rPr>
        <w:t xml:space="preserve">, instalacja wodna z </w:t>
      </w:r>
      <w:r w:rsidR="00C73BAA" w:rsidRPr="00194C4A">
        <w:rPr>
          <w:rFonts w:cs="Times New Roman"/>
        </w:rPr>
        <w:t xml:space="preserve">dużym </w:t>
      </w:r>
      <w:r w:rsidRPr="00194C4A">
        <w:rPr>
          <w:rFonts w:cs="Times New Roman"/>
        </w:rPr>
        <w:t xml:space="preserve">zwałem wodnym, budynek spełnia wymagania techniczne dla budynków wybudowanych w latach </w:t>
      </w:r>
      <w:r w:rsidR="00C73BAA" w:rsidRPr="00194C4A">
        <w:rPr>
          <w:rFonts w:cs="Times New Roman"/>
        </w:rPr>
        <w:t>80-tych.</w:t>
      </w:r>
    </w:p>
    <w:p w:rsidR="00230CBA" w:rsidRPr="00194C4A" w:rsidRDefault="00C73BAA" w:rsidP="00C73BAA">
      <w:pPr>
        <w:pStyle w:val="tekst"/>
        <w:rPr>
          <w:rFonts w:cs="Times New Roman"/>
        </w:rPr>
      </w:pPr>
      <w:r w:rsidRPr="00194C4A">
        <w:rPr>
          <w:rFonts w:cs="Times New Roman"/>
        </w:rPr>
        <w:t xml:space="preserve">Przy analizie wzięto pod uwagę okres 15 lat, który odpowiada żywotności większości kotłów eksploatowanych zgodnie z kartą producenta. </w:t>
      </w:r>
      <w:r w:rsidR="00C2790D">
        <w:rPr>
          <w:rFonts w:cs="Times New Roman"/>
        </w:rPr>
        <w:t xml:space="preserve">Uwzględniono też </w:t>
      </w:r>
      <w:r w:rsidR="00C2790D" w:rsidRPr="00C2790D">
        <w:rPr>
          <w:rFonts w:cs="Times New Roman"/>
        </w:rPr>
        <w:t xml:space="preserve">Rozporządzenie Ministra Rozwoju </w:t>
      </w:r>
      <w:r w:rsidR="00C2790D">
        <w:rPr>
          <w:rFonts w:cs="Times New Roman"/>
        </w:rPr>
        <w:t>i</w:t>
      </w:r>
      <w:r w:rsidR="00C2790D" w:rsidRPr="00C2790D">
        <w:rPr>
          <w:rFonts w:cs="Times New Roman"/>
        </w:rPr>
        <w:t xml:space="preserve"> Finansów </w:t>
      </w:r>
      <w:r w:rsidRPr="00194C4A">
        <w:rPr>
          <w:rFonts w:cs="Times New Roman"/>
        </w:rPr>
        <w:t>z dnia 1 sierpnia 2017 r. w sprawie wymagań dla kotłów na paliwo stałe (Dz. U. 2017 poz. 1690</w:t>
      </w:r>
      <w:r w:rsidR="00DA586A" w:rsidRPr="00194C4A">
        <w:rPr>
          <w:rFonts w:cs="Times New Roman"/>
        </w:rPr>
        <w:t xml:space="preserve"> z poźn. zm.</w:t>
      </w:r>
      <w:r w:rsidRPr="00194C4A">
        <w:rPr>
          <w:rFonts w:cs="Times New Roman"/>
        </w:rPr>
        <w:t>).</w:t>
      </w:r>
      <w:r w:rsidR="00230CBA" w:rsidRPr="00194C4A">
        <w:rPr>
          <w:rFonts w:cs="Times New Roman"/>
        </w:rPr>
        <w:t>Rozporządzenie określa wymagania dla wprowadzanych do obrotu i do użytkowania kotłów na paliwo stałe o znamionowej mocy cieplnej nie większej niż 500</w:t>
      </w:r>
      <w:r w:rsidR="00F6288B" w:rsidRPr="00194C4A">
        <w:rPr>
          <w:rFonts w:cs="Times New Roman"/>
        </w:rPr>
        <w:t> </w:t>
      </w:r>
      <w:r w:rsidR="00230CBA" w:rsidRPr="00194C4A">
        <w:rPr>
          <w:rFonts w:cs="Times New Roman"/>
        </w:rPr>
        <w:t>kW. Zgodnie z dokumentem od 1 lipca 2018 roku nie wolno wprowadzać do obrotu i</w:t>
      </w:r>
      <w:r w:rsidR="00F6288B" w:rsidRPr="00194C4A">
        <w:rPr>
          <w:rFonts w:cs="Times New Roman"/>
        </w:rPr>
        <w:t> </w:t>
      </w:r>
      <w:r w:rsidR="00230CBA" w:rsidRPr="00194C4A">
        <w:rPr>
          <w:rFonts w:cs="Times New Roman"/>
        </w:rPr>
        <w:t>użytkowania kotłów o emisji wyższej niż zapisano w rozporządzeniu. Natomiast w okresie przejściowym tj. od 1</w:t>
      </w:r>
      <w:r w:rsidR="004B2333" w:rsidRPr="00194C4A">
        <w:rPr>
          <w:rFonts w:cs="Times New Roman"/>
        </w:rPr>
        <w:t> </w:t>
      </w:r>
      <w:r w:rsidR="00230CBA" w:rsidRPr="00194C4A">
        <w:rPr>
          <w:rFonts w:cs="Times New Roman"/>
        </w:rPr>
        <w:t>października 2017 r. do 1 lipca 2018 roku wolno wprowadzać do obrotu i</w:t>
      </w:r>
      <w:r w:rsidR="00F6288B" w:rsidRPr="00194C4A">
        <w:rPr>
          <w:rFonts w:cs="Times New Roman"/>
        </w:rPr>
        <w:t> </w:t>
      </w:r>
      <w:r w:rsidR="00230CBA" w:rsidRPr="00194C4A">
        <w:rPr>
          <w:rFonts w:cs="Times New Roman"/>
        </w:rPr>
        <w:t>użytkowania kotł</w:t>
      </w:r>
      <w:r w:rsidR="009D2BFF" w:rsidRPr="00194C4A">
        <w:rPr>
          <w:rFonts w:cs="Times New Roman"/>
        </w:rPr>
        <w:t>y</w:t>
      </w:r>
      <w:r w:rsidR="00230CBA" w:rsidRPr="00194C4A">
        <w:rPr>
          <w:rFonts w:cs="Times New Roman"/>
        </w:rPr>
        <w:t xml:space="preserve"> niespełniające wymagania tylko w przypadku ich produkcji przed dniem 1</w:t>
      </w:r>
      <w:r w:rsidR="00F6288B" w:rsidRPr="00194C4A">
        <w:rPr>
          <w:rFonts w:cs="Times New Roman"/>
        </w:rPr>
        <w:t> </w:t>
      </w:r>
      <w:r w:rsidR="00230CBA" w:rsidRPr="00194C4A">
        <w:rPr>
          <w:rFonts w:cs="Times New Roman"/>
        </w:rPr>
        <w:t>października 2017 r.</w:t>
      </w:r>
    </w:p>
    <w:p w:rsidR="00230CBA" w:rsidRPr="00194C4A" w:rsidRDefault="00230CBA" w:rsidP="00C73BAA">
      <w:pPr>
        <w:pStyle w:val="tekst"/>
        <w:rPr>
          <w:rFonts w:cs="Times New Roman"/>
        </w:rPr>
      </w:pPr>
      <w:r w:rsidRPr="00194C4A">
        <w:rPr>
          <w:rFonts w:cs="Times New Roman"/>
        </w:rPr>
        <w:t>Warunki rozporządzenia spełniają kotły na paliwa stałe określane obecnie jako kotły klasy 5, najczęściej z automatycznymi podajnikami</w:t>
      </w:r>
      <w:r w:rsidR="00D208A4">
        <w:rPr>
          <w:rFonts w:cs="Times New Roman"/>
        </w:rPr>
        <w:t>. O</w:t>
      </w:r>
      <w:r w:rsidRPr="00194C4A">
        <w:rPr>
          <w:rFonts w:cs="Times New Roman"/>
        </w:rPr>
        <w:t>znacza to, że z obrotu muszą zostać wycofane najbardziej popularne obecnie kotły zasypowe.</w:t>
      </w:r>
      <w:r w:rsidR="00281C64" w:rsidRPr="00194C4A">
        <w:rPr>
          <w:rFonts w:cs="Times New Roman"/>
        </w:rPr>
        <w:t xml:space="preserve"> W związku z tym </w:t>
      </w:r>
      <w:r w:rsidR="0027096A" w:rsidRPr="00194C4A">
        <w:rPr>
          <w:rFonts w:cs="Times New Roman"/>
        </w:rPr>
        <w:t xml:space="preserve">w kolejnym okresie nie będzie możliwości wprowadzenia do użytkowania kotłów spalających miały węglowe i drewno w formie zasypowej (możliwe natomiast będzie np.  zgazowanie drewna). </w:t>
      </w:r>
    </w:p>
    <w:p w:rsidR="00692249" w:rsidRPr="00194C4A" w:rsidRDefault="00692249" w:rsidP="004B2333">
      <w:pPr>
        <w:pStyle w:val="tekst"/>
        <w:spacing w:after="240"/>
        <w:rPr>
          <w:rFonts w:cs="Times New Roman"/>
        </w:rPr>
      </w:pPr>
      <w:r w:rsidRPr="00194C4A">
        <w:rPr>
          <w:rFonts w:cs="Times New Roman"/>
        </w:rPr>
        <w:t>W</w:t>
      </w:r>
      <w:r w:rsidR="004B2333" w:rsidRPr="00194C4A">
        <w:rPr>
          <w:rFonts w:cs="Times New Roman"/>
        </w:rPr>
        <w:t xml:space="preserve"> tabeli</w:t>
      </w:r>
      <w:r w:rsidR="007B1B36">
        <w:rPr>
          <w:rFonts w:cs="Times New Roman"/>
        </w:rPr>
        <w:t xml:space="preserve"> </w:t>
      </w:r>
      <w:r w:rsidR="0063693D">
        <w:rPr>
          <w:rFonts w:cs="Times New Roman"/>
        </w:rPr>
        <w:t xml:space="preserve">poniżej </w:t>
      </w:r>
      <w:r w:rsidRPr="00194C4A">
        <w:rPr>
          <w:rFonts w:cs="Times New Roman"/>
        </w:rPr>
        <w:t>zaprezentowano założenia i wyniki analizy</w:t>
      </w:r>
      <w:r w:rsidR="004B2333" w:rsidRPr="00194C4A">
        <w:rPr>
          <w:rFonts w:cs="Times New Roman"/>
        </w:rPr>
        <w:t>.</w:t>
      </w:r>
    </w:p>
    <w:p w:rsidR="00930889" w:rsidRPr="003A425C" w:rsidRDefault="005C7F45" w:rsidP="005C7F45">
      <w:pPr>
        <w:pStyle w:val="Legenda"/>
        <w:keepNext/>
        <w:rPr>
          <w:rFonts w:cs="Times New Roman"/>
          <w:sz w:val="20"/>
        </w:rPr>
      </w:pPr>
      <w:bookmarkStart w:id="95" w:name="_Toc77322007"/>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5</w:t>
      </w:r>
      <w:r w:rsidR="00A05E44" w:rsidRPr="003A425C">
        <w:rPr>
          <w:sz w:val="20"/>
        </w:rPr>
        <w:fldChar w:fldCharType="end"/>
      </w:r>
      <w:r w:rsidR="00930889" w:rsidRPr="003A425C">
        <w:rPr>
          <w:rFonts w:cs="Times New Roman"/>
          <w:sz w:val="20"/>
        </w:rPr>
        <w:t xml:space="preserve"> Porównanie kosztów wieloletnich wykorzystania ogrzewania</w:t>
      </w:r>
      <w:r w:rsidR="004E6AB4" w:rsidRPr="003A425C">
        <w:rPr>
          <w:rFonts w:cs="Times New Roman"/>
          <w:sz w:val="20"/>
        </w:rPr>
        <w:t xml:space="preserve"> [zł]</w:t>
      </w:r>
      <w:bookmarkEnd w:id="95"/>
    </w:p>
    <w:tbl>
      <w:tblPr>
        <w:tblStyle w:val="Tabelasiatki1jasnaakcent11"/>
        <w:tblW w:w="8334" w:type="dxa"/>
        <w:tblLook w:val="04A0"/>
      </w:tblPr>
      <w:tblGrid>
        <w:gridCol w:w="5415"/>
        <w:gridCol w:w="979"/>
        <w:gridCol w:w="971"/>
        <w:gridCol w:w="969"/>
      </w:tblGrid>
      <w:tr w:rsidR="004E6AB4" w:rsidRPr="00194C4A" w:rsidTr="005C7F45">
        <w:trPr>
          <w:cnfStyle w:val="100000000000"/>
          <w:trHeight w:val="300"/>
        </w:trPr>
        <w:tc>
          <w:tcPr>
            <w:cnfStyle w:val="001000000000"/>
            <w:tcW w:w="8334" w:type="dxa"/>
            <w:gridSpan w:val="4"/>
            <w:noWrap/>
            <w:hideMark/>
          </w:tcPr>
          <w:p w:rsidR="004E6AB4" w:rsidRPr="00194C4A" w:rsidRDefault="007B1B36" w:rsidP="004E6AB4">
            <w:pPr>
              <w:pStyle w:val="tabela0"/>
              <w:spacing w:before="0" w:after="0"/>
              <w:rPr>
                <w:szCs w:val="20"/>
                <w:lang w:eastAsia="pl-PL"/>
              </w:rPr>
            </w:pPr>
            <w:r w:rsidRPr="00194C4A">
              <w:rPr>
                <w:szCs w:val="20"/>
              </w:rPr>
              <w:t>K</w:t>
            </w:r>
            <w:r w:rsidR="004E6AB4" w:rsidRPr="00194C4A">
              <w:rPr>
                <w:szCs w:val="20"/>
              </w:rPr>
              <w:t>ocioł</w:t>
            </w:r>
            <w:r>
              <w:rPr>
                <w:szCs w:val="20"/>
              </w:rPr>
              <w:t xml:space="preserve"> </w:t>
            </w:r>
            <w:r w:rsidR="004E6AB4" w:rsidRPr="00194C4A">
              <w:rPr>
                <w:szCs w:val="20"/>
              </w:rPr>
              <w:t>elektryczny - taryfa G11</w:t>
            </w:r>
          </w:p>
        </w:tc>
      </w:tr>
      <w:tr w:rsidR="00692249" w:rsidRPr="00194C4A" w:rsidTr="005C7F45">
        <w:trPr>
          <w:trHeight w:val="300"/>
        </w:trPr>
        <w:tc>
          <w:tcPr>
            <w:cnfStyle w:val="001000000000"/>
            <w:tcW w:w="5415" w:type="dxa"/>
            <w:noWrap/>
          </w:tcPr>
          <w:p w:rsidR="00692249" w:rsidRPr="00194C4A" w:rsidRDefault="00692249" w:rsidP="004E6AB4">
            <w:pPr>
              <w:pStyle w:val="tabela0"/>
              <w:spacing w:before="0" w:after="0"/>
              <w:rPr>
                <w:szCs w:val="20"/>
                <w:lang w:eastAsia="pl-PL"/>
              </w:rPr>
            </w:pPr>
          </w:p>
        </w:tc>
        <w:tc>
          <w:tcPr>
            <w:tcW w:w="979" w:type="dxa"/>
            <w:noWrap/>
          </w:tcPr>
          <w:p w:rsidR="00692249" w:rsidRPr="00194C4A" w:rsidRDefault="00692249"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692249" w:rsidRPr="00194C4A" w:rsidRDefault="00692249"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692249" w:rsidRPr="00194C4A" w:rsidRDefault="00692249"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inwestycyjne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46 000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44 000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44 000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budowa przyłącza lub wymiana przyłącza o potrzebnej mocy</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wykonanie elektrycznego ogrzewania podłogowego</w:t>
            </w:r>
          </w:p>
        </w:tc>
        <w:tc>
          <w:tcPr>
            <w:tcW w:w="979" w:type="dxa"/>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36 000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36 000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36 000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stałe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7 480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10 312</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14 560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eksploatacyjne - paliwo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7 080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9 912</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14 160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 serwisowania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cyklu 15 lat</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158 200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198 680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262 400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powietrzna pompa ciepła - taryfa G11</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inwestycyjne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54 000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57 000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66 000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pompy ciepła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12 000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15 000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24 000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ogrzewania podłogowego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stałe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3 184</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4 298</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5 968</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lastRenderedPageBreak/>
              <w:t>koszty eksploatacyjne - paliwo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2 784</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3 898</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5 568</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 serwisowania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cyklu 15 lat</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101 760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121 464</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155 520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gruntowa pompa ciepła - taryfa G11</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inwestycyjne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90 000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102 000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138 000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dolnego źródła ciepła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50 000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80 000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pompy ciepła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16 000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ogrzewania podłogowego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stałe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2 592</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3 389</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4 584</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eksploatacyjne - paliwo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1 992</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2 789</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3 984</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 serwisowania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cyklu 15 lat</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128 880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152 832</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206 760</w:t>
            </w:r>
          </w:p>
        </w:tc>
      </w:tr>
      <w:tr w:rsidR="004E6AB4" w:rsidRPr="00194C4A" w:rsidTr="005C7F45">
        <w:trPr>
          <w:trHeight w:val="300"/>
        </w:trPr>
        <w:tc>
          <w:tcPr>
            <w:cnfStyle w:val="001000000000"/>
            <w:tcW w:w="8334" w:type="dxa"/>
            <w:gridSpan w:val="4"/>
            <w:noWrap/>
            <w:hideMark/>
          </w:tcPr>
          <w:p w:rsidR="004E6AB4" w:rsidRPr="00194C4A" w:rsidRDefault="004E6AB4" w:rsidP="004E6AB4">
            <w:pPr>
              <w:pStyle w:val="tabela0"/>
              <w:spacing w:before="0" w:after="0"/>
              <w:rPr>
                <w:szCs w:val="20"/>
                <w:lang w:eastAsia="pl-PL"/>
              </w:rPr>
            </w:pPr>
            <w:r w:rsidRPr="00194C4A">
              <w:rPr>
                <w:szCs w:val="20"/>
              </w:rPr>
              <w:t>kociołelektryczny - taryfa G12as</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inwestycyjne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50 800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50 000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53 600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budowa przyłącza lub wymiana przyłącza o potrzebnej mocy</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wykonanie zbiornika buforowego</w:t>
            </w:r>
          </w:p>
        </w:tc>
        <w:tc>
          <w:tcPr>
            <w:tcW w:w="979" w:type="dxa"/>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4 800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9 600</w:t>
            </w:r>
          </w:p>
        </w:tc>
      </w:tr>
      <w:tr w:rsidR="004E6AB4" w:rsidRPr="00194C4A" w:rsidTr="005C7F45">
        <w:trPr>
          <w:trHeight w:val="300"/>
        </w:trPr>
        <w:tc>
          <w:tcPr>
            <w:cnfStyle w:val="001000000000"/>
            <w:tcW w:w="5415" w:type="dxa"/>
            <w:noWrap/>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wykonanie elektrycznego ogrzewania podłogowego</w:t>
            </w:r>
          </w:p>
        </w:tc>
        <w:tc>
          <w:tcPr>
            <w:tcW w:w="979" w:type="dxa"/>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36 000</w:t>
            </w:r>
          </w:p>
        </w:tc>
        <w:tc>
          <w:tcPr>
            <w:tcW w:w="971"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36 000</w:t>
            </w:r>
          </w:p>
        </w:tc>
        <w:tc>
          <w:tcPr>
            <w:tcW w:w="969"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36 000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stałe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3 040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4 096</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5 680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eksploatacyjne - paliwo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2 640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3 696</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5 280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 serwisowania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cyklu 15 lat</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96 400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111 440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138 800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powietrzna pompa ciepła - taryfa G12as</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inwestycyjne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58 800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63 000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75 600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pompy ciepła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12 000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15 000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24 000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wykonanie zbiornika buforowego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4 800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9 600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ogrzewania podłogowego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stałe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1 720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2 248</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3 040</w:t>
            </w:r>
          </w:p>
        </w:tc>
      </w:tr>
      <w:tr w:rsidR="004E6AB4" w:rsidRPr="00194C4A" w:rsidTr="005C7F45">
        <w:trPr>
          <w:trHeight w:val="300"/>
        </w:trPr>
        <w:tc>
          <w:tcPr>
            <w:cnfStyle w:val="001000000000"/>
            <w:tcW w:w="5415" w:type="dxa"/>
            <w:noWrap/>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eksploatacyjne - paliwo</w:t>
            </w:r>
          </w:p>
        </w:tc>
        <w:tc>
          <w:tcPr>
            <w:tcW w:w="979"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1 320</w:t>
            </w:r>
          </w:p>
        </w:tc>
        <w:tc>
          <w:tcPr>
            <w:tcW w:w="971"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1 848</w:t>
            </w:r>
          </w:p>
        </w:tc>
        <w:tc>
          <w:tcPr>
            <w:tcW w:w="969"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2 640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 serwisowania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cyklu 15 lat</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84 600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96 720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121 200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gruntowa pompa ciepła - taryfa G12as</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inwestycyjne</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94 800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108 000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147 600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dolnego źródła ciepła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40 000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50 000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80 000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pompy ciepła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10 000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16 000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wykonanie zbiornika buforowego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4 800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9 600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zabudowa ogrzewania podłogowego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42 000</w:t>
            </w:r>
          </w:p>
        </w:tc>
      </w:tr>
      <w:tr w:rsidR="004E6AB4" w:rsidRPr="00194C4A" w:rsidTr="005C7F45">
        <w:trPr>
          <w:trHeight w:val="300"/>
        </w:trPr>
        <w:tc>
          <w:tcPr>
            <w:cnfStyle w:val="001000000000"/>
            <w:tcW w:w="5415" w:type="dxa"/>
            <w:noWrap/>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stałe</w:t>
            </w:r>
          </w:p>
        </w:tc>
        <w:tc>
          <w:tcPr>
            <w:tcW w:w="979"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1 476</w:t>
            </w:r>
          </w:p>
        </w:tc>
        <w:tc>
          <w:tcPr>
            <w:tcW w:w="971"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1 826</w:t>
            </w:r>
          </w:p>
        </w:tc>
        <w:tc>
          <w:tcPr>
            <w:tcW w:w="969" w:type="dxa"/>
            <w:noWrap/>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2 352</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eksploatacyjne - paliwo</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876</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1 226</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1 752</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lastRenderedPageBreak/>
              <w:t>koszt serwisowania</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600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600</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600</w:t>
            </w:r>
          </w:p>
        </w:tc>
      </w:tr>
      <w:tr w:rsidR="004E6AB4" w:rsidRPr="00194C4A" w:rsidTr="005C7F45">
        <w:trPr>
          <w:trHeight w:val="300"/>
        </w:trPr>
        <w:tc>
          <w:tcPr>
            <w:cnfStyle w:val="001000000000"/>
            <w:tcW w:w="5415" w:type="dxa"/>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koszty cyklu 15 lat</w:t>
            </w:r>
          </w:p>
        </w:tc>
        <w:tc>
          <w:tcPr>
            <w:tcW w:w="97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116 940</w:t>
            </w:r>
          </w:p>
        </w:tc>
        <w:tc>
          <w:tcPr>
            <w:tcW w:w="971"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135 396</w:t>
            </w:r>
          </w:p>
        </w:tc>
        <w:tc>
          <w:tcPr>
            <w:tcW w:w="969" w:type="dxa"/>
            <w:noWrap/>
            <w:hideMark/>
          </w:tcPr>
          <w:p w:rsidR="004E6AB4" w:rsidRPr="00194C4A" w:rsidRDefault="004E6AB4" w:rsidP="004E6AB4">
            <w:pPr>
              <w:jc w:val="center"/>
              <w:cnfStyle w:val="000000000000"/>
              <w:rPr>
                <w:rFonts w:ascii="Times New Roman" w:hAnsi="Times New Roman" w:cs="Times New Roman"/>
                <w:color w:val="000000"/>
                <w:sz w:val="20"/>
                <w:szCs w:val="20"/>
              </w:rPr>
            </w:pPr>
            <w:r w:rsidRPr="00194C4A">
              <w:rPr>
                <w:rFonts w:ascii="Times New Roman" w:hAnsi="Times New Roman" w:cs="Times New Roman"/>
                <w:color w:val="000000"/>
                <w:sz w:val="20"/>
                <w:szCs w:val="20"/>
              </w:rPr>
              <w:t>182 880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kocioł automatyczny na pelet</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7B1B36"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inwestycyjne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12 200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11 500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16 900</w:t>
            </w:r>
          </w:p>
        </w:tc>
      </w:tr>
      <w:tr w:rsidR="004E6AB4" w:rsidRPr="00194C4A" w:rsidTr="005C7F45">
        <w:trPr>
          <w:trHeight w:val="300"/>
        </w:trPr>
        <w:tc>
          <w:tcPr>
            <w:cnfStyle w:val="001000000000"/>
            <w:tcW w:w="5415" w:type="dxa"/>
            <w:noWrap/>
            <w:hideMark/>
          </w:tcPr>
          <w:p w:rsidR="004E6AB4" w:rsidRPr="00194C4A" w:rsidRDefault="007B1B36" w:rsidP="004E6AB4">
            <w:pPr>
              <w:pStyle w:val="tabela0"/>
              <w:spacing w:before="0" w:after="0"/>
              <w:rPr>
                <w:szCs w:val="20"/>
                <w:lang w:eastAsia="pl-PL"/>
              </w:rPr>
            </w:pPr>
            <w:r w:rsidRPr="00194C4A">
              <w:rPr>
                <w:szCs w:val="20"/>
                <w:lang w:eastAsia="pl-PL"/>
              </w:rPr>
              <w:t>Z</w:t>
            </w:r>
            <w:r w:rsidR="004E6AB4" w:rsidRPr="00194C4A">
              <w:rPr>
                <w:szCs w:val="20"/>
                <w:lang w:eastAsia="pl-PL"/>
              </w:rPr>
              <w:t>abudowa</w:t>
            </w:r>
            <w:r>
              <w:rPr>
                <w:szCs w:val="20"/>
                <w:lang w:eastAsia="pl-PL"/>
              </w:rPr>
              <w:t xml:space="preserve"> </w:t>
            </w:r>
            <w:r w:rsidR="004E6AB4" w:rsidRPr="00194C4A">
              <w:rPr>
                <w:szCs w:val="20"/>
                <w:lang w:eastAsia="pl-PL"/>
              </w:rPr>
              <w:t>kotła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7 200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14 400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wykonanie komina lub zabudowa wkładki</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2 500</w:t>
            </w:r>
          </w:p>
        </w:tc>
      </w:tr>
      <w:tr w:rsidR="004E6AB4" w:rsidRPr="00194C4A" w:rsidTr="005C7F45">
        <w:trPr>
          <w:trHeight w:val="300"/>
        </w:trPr>
        <w:tc>
          <w:tcPr>
            <w:cnfStyle w:val="001000000000"/>
            <w:tcW w:w="5415" w:type="dxa"/>
            <w:noWrap/>
            <w:hideMark/>
          </w:tcPr>
          <w:p w:rsidR="004E6AB4" w:rsidRPr="00194C4A" w:rsidRDefault="007B1B36"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stałe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2 916</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3 962</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5 532</w:t>
            </w:r>
          </w:p>
        </w:tc>
      </w:tr>
      <w:tr w:rsidR="004E6AB4" w:rsidRPr="00194C4A" w:rsidTr="005C7F45">
        <w:trPr>
          <w:trHeight w:val="300"/>
        </w:trPr>
        <w:tc>
          <w:tcPr>
            <w:cnfStyle w:val="001000000000"/>
            <w:tcW w:w="5415" w:type="dxa"/>
            <w:noWrap/>
            <w:hideMark/>
          </w:tcPr>
          <w:p w:rsidR="004E6AB4" w:rsidRPr="00194C4A" w:rsidRDefault="007B1B36"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eksploatacyjne - paliwo</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2 616</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3 662</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5 232</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koszt serwisowania i czyszczenia komina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eastAsia="pl-PL"/>
              </w:rPr>
            </w:pPr>
            <w:r w:rsidRPr="00194C4A">
              <w:rPr>
                <w:szCs w:val="20"/>
                <w:lang w:eastAsia="pl-PL"/>
              </w:rPr>
              <w:t>kosztycyklu 15 lat</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55 940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70 936</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99 880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kocioł automatyczny na ekogroszek</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inwestycyjne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10 600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9 500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13 700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Z</w:t>
            </w:r>
            <w:r w:rsidR="004E6AB4" w:rsidRPr="00194C4A">
              <w:rPr>
                <w:szCs w:val="20"/>
                <w:lang w:eastAsia="pl-PL"/>
              </w:rPr>
              <w:t>abudowa</w:t>
            </w:r>
            <w:r>
              <w:rPr>
                <w:szCs w:val="20"/>
                <w:lang w:eastAsia="pl-PL"/>
              </w:rPr>
              <w:t xml:space="preserve"> </w:t>
            </w:r>
            <w:r w:rsidR="004E6AB4" w:rsidRPr="00194C4A">
              <w:rPr>
                <w:szCs w:val="20"/>
                <w:lang w:eastAsia="pl-PL"/>
              </w:rPr>
              <w:t>kotła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5 600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11 200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wykonanie komina lub zabudowa wkładki</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2 500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stałe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2 420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3 188</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4 340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eksploatacyjne - paliwo</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1 920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2 688</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3 840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koszt serwisowania i czyszczenia komina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cyklu 15 lat</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46 900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57 320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78 800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kocioł kondensacyjny na olej opałowy</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inwestycyjne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10 600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9 500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12 600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zabudowa kotła wraz ze zbiornikiem</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5 600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6 500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9 600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wykonanie komina lub zabudowa wkładki</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stałe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4 064</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5 610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7 928</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eksploatacyjne - paliwo</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3 864</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5 410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7 728</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koszt serwisowania i czyszczenia komina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cyklu 15 lat</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71 560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93 644</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131 520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kocioł kondensacyjny na gaz ciekły</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inwestycyjne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13 000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13 000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19 000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zabudowa kotła wraz ze zbiornikiem</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8 000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10 000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16 000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wykonanie komina lub zabudowa wkładki</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stałe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3 932</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5 425</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7 664</w:t>
            </w:r>
          </w:p>
        </w:tc>
      </w:tr>
      <w:tr w:rsidR="004E6AB4" w:rsidRPr="00194C4A" w:rsidTr="005C7F45">
        <w:trPr>
          <w:trHeight w:val="300"/>
        </w:trPr>
        <w:tc>
          <w:tcPr>
            <w:cnfStyle w:val="001000000000"/>
            <w:tcW w:w="5415" w:type="dxa"/>
            <w:noWrap/>
            <w:hideMark/>
          </w:tcPr>
          <w:p w:rsidR="004E6AB4" w:rsidRPr="00194C4A" w:rsidRDefault="005C5B3E" w:rsidP="005C5B3E">
            <w:pPr>
              <w:pStyle w:val="tabela0"/>
              <w:spacing w:before="0" w:after="0"/>
              <w:rPr>
                <w:szCs w:val="20"/>
                <w:lang w:eastAsia="pl-PL"/>
              </w:rPr>
            </w:pPr>
            <w:r w:rsidRPr="00194C4A">
              <w:rPr>
                <w:szCs w:val="20"/>
                <w:lang w:eastAsia="pl-PL"/>
              </w:rPr>
              <w:t>K</w:t>
            </w:r>
            <w:r w:rsidR="004E6AB4" w:rsidRPr="00194C4A">
              <w:rPr>
                <w:szCs w:val="20"/>
                <w:lang w:eastAsia="pl-PL"/>
              </w:rPr>
              <w:t>oszt</w:t>
            </w:r>
            <w:r>
              <w:rPr>
                <w:szCs w:val="20"/>
                <w:lang w:eastAsia="pl-PL"/>
              </w:rPr>
              <w:t xml:space="preserve">y </w:t>
            </w:r>
            <w:r w:rsidR="004E6AB4" w:rsidRPr="00194C4A">
              <w:rPr>
                <w:szCs w:val="20"/>
                <w:lang w:eastAsia="pl-PL"/>
              </w:rPr>
              <w:t>eksploatacyjne - paliwo</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3 732</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5 225</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7 464</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koszt serwisowania i czyszczenia komina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cyklu 15 lat</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71 980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94 372</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133 960</w:t>
            </w:r>
          </w:p>
        </w:tc>
      </w:tr>
      <w:tr w:rsidR="004E6AB4" w:rsidRPr="00194C4A" w:rsidTr="005C7F45">
        <w:trPr>
          <w:trHeight w:val="300"/>
        </w:trPr>
        <w:tc>
          <w:tcPr>
            <w:cnfStyle w:val="001000000000"/>
            <w:tcW w:w="8334" w:type="dxa"/>
            <w:gridSpan w:val="4"/>
            <w:noWrap/>
            <w:hideMark/>
          </w:tcPr>
          <w:p w:rsidR="004E6AB4" w:rsidRPr="00194C4A" w:rsidRDefault="004E6AB4" w:rsidP="004E6AB4">
            <w:pPr>
              <w:jc w:val="center"/>
              <w:rPr>
                <w:rFonts w:ascii="Times New Roman" w:hAnsi="Times New Roman" w:cs="Times New Roman"/>
                <w:color w:val="000000"/>
                <w:sz w:val="20"/>
                <w:szCs w:val="20"/>
              </w:rPr>
            </w:pPr>
            <w:r w:rsidRPr="00194C4A">
              <w:rPr>
                <w:rFonts w:ascii="Times New Roman" w:hAnsi="Times New Roman" w:cs="Times New Roman"/>
                <w:color w:val="000000"/>
                <w:sz w:val="20"/>
                <w:szCs w:val="20"/>
              </w:rPr>
              <w:t>kocioł kondensacyjny na gaz ziemny</w:t>
            </w:r>
          </w:p>
        </w:tc>
      </w:tr>
      <w:tr w:rsidR="004E6AB4" w:rsidRPr="00194C4A" w:rsidTr="005C7F45">
        <w:trPr>
          <w:trHeight w:val="300"/>
        </w:trPr>
        <w:tc>
          <w:tcPr>
            <w:cnfStyle w:val="001000000000"/>
            <w:tcW w:w="5415" w:type="dxa"/>
            <w:noWrap/>
          </w:tcPr>
          <w:p w:rsidR="004E6AB4" w:rsidRPr="00194C4A" w:rsidRDefault="004E6AB4" w:rsidP="004E6AB4">
            <w:pPr>
              <w:pStyle w:val="tabela0"/>
              <w:spacing w:before="0" w:after="0"/>
              <w:rPr>
                <w:szCs w:val="20"/>
                <w:lang w:val="pl-PL" w:eastAsia="pl-PL"/>
              </w:rPr>
            </w:pPr>
          </w:p>
        </w:tc>
        <w:tc>
          <w:tcPr>
            <w:tcW w:w="97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A</w:t>
            </w:r>
          </w:p>
        </w:tc>
        <w:tc>
          <w:tcPr>
            <w:tcW w:w="971"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B</w:t>
            </w:r>
          </w:p>
        </w:tc>
        <w:tc>
          <w:tcPr>
            <w:tcW w:w="969" w:type="dxa"/>
            <w:noWrap/>
          </w:tcPr>
          <w:p w:rsidR="004E6AB4" w:rsidRPr="00194C4A" w:rsidRDefault="004E6AB4" w:rsidP="004E6AB4">
            <w:pPr>
              <w:pStyle w:val="tabela0"/>
              <w:spacing w:before="0" w:after="0"/>
              <w:cnfStyle w:val="000000000000"/>
              <w:rPr>
                <w:szCs w:val="20"/>
                <w:lang w:eastAsia="pl-PL"/>
              </w:rPr>
            </w:pPr>
            <w:r w:rsidRPr="00194C4A">
              <w:rPr>
                <w:szCs w:val="20"/>
                <w:lang w:eastAsia="pl-PL"/>
              </w:rPr>
              <w:t>budynek C</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inwestycyjne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15 859</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14 859</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17 859</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Z</w:t>
            </w:r>
            <w:r w:rsidR="004E6AB4" w:rsidRPr="00194C4A">
              <w:rPr>
                <w:szCs w:val="20"/>
                <w:lang w:eastAsia="pl-PL"/>
              </w:rPr>
              <w:t>abudowa</w:t>
            </w:r>
            <w:r>
              <w:rPr>
                <w:szCs w:val="20"/>
                <w:lang w:eastAsia="pl-PL"/>
              </w:rPr>
              <w:t xml:space="preserve"> </w:t>
            </w:r>
            <w:r w:rsidR="004E6AB4" w:rsidRPr="00194C4A">
              <w:rPr>
                <w:szCs w:val="20"/>
                <w:lang w:eastAsia="pl-PL"/>
              </w:rPr>
              <w:t>kotła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4 000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8 000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lastRenderedPageBreak/>
              <w:t>W</w:t>
            </w:r>
            <w:r w:rsidR="004E6AB4" w:rsidRPr="00194C4A">
              <w:rPr>
                <w:szCs w:val="20"/>
                <w:lang w:eastAsia="pl-PL"/>
              </w:rPr>
              <w:t>ykonanie</w:t>
            </w:r>
            <w:r>
              <w:rPr>
                <w:szCs w:val="20"/>
                <w:lang w:eastAsia="pl-PL"/>
              </w:rPr>
              <w:t xml:space="preserve"> </w:t>
            </w:r>
            <w:r w:rsidR="004E6AB4" w:rsidRPr="00194C4A">
              <w:rPr>
                <w:szCs w:val="20"/>
                <w:lang w:eastAsia="pl-PL"/>
              </w:rPr>
              <w:t>przyłacza do budynku</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3 859</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3 859</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3 859</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wykonanie instalacji gazowej w domu</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wykonanie komina lub zabudowa wkładki</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5 000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3 000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stałe</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2 672</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3 661</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5 144</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eksploatacyjne - paliwo</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2 472</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3 461</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4 944</w:t>
            </w:r>
          </w:p>
        </w:tc>
      </w:tr>
      <w:tr w:rsidR="004E6AB4" w:rsidRPr="00194C4A" w:rsidTr="005C7F45">
        <w:trPr>
          <w:trHeight w:val="300"/>
        </w:trPr>
        <w:tc>
          <w:tcPr>
            <w:cnfStyle w:val="001000000000"/>
            <w:tcW w:w="5415" w:type="dxa"/>
            <w:noWrap/>
            <w:hideMark/>
          </w:tcPr>
          <w:p w:rsidR="004E6AB4" w:rsidRPr="00194C4A" w:rsidRDefault="004E6AB4" w:rsidP="004E6AB4">
            <w:pPr>
              <w:pStyle w:val="tabela0"/>
              <w:spacing w:before="0" w:after="0"/>
              <w:rPr>
                <w:szCs w:val="20"/>
                <w:lang w:val="pl-PL" w:eastAsia="pl-PL"/>
              </w:rPr>
            </w:pPr>
            <w:r w:rsidRPr="00194C4A">
              <w:rPr>
                <w:szCs w:val="20"/>
                <w:lang w:val="pl-PL" w:eastAsia="pl-PL"/>
              </w:rPr>
              <w:t>koszt serwisowania i czyszczenia komina</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200</w:t>
            </w:r>
          </w:p>
        </w:tc>
      </w:tr>
      <w:tr w:rsidR="004E6AB4" w:rsidRPr="00194C4A" w:rsidTr="005C7F45">
        <w:trPr>
          <w:trHeight w:val="300"/>
        </w:trPr>
        <w:tc>
          <w:tcPr>
            <w:cnfStyle w:val="001000000000"/>
            <w:tcW w:w="5415" w:type="dxa"/>
            <w:noWrap/>
            <w:hideMark/>
          </w:tcPr>
          <w:p w:rsidR="004E6AB4" w:rsidRPr="00194C4A" w:rsidRDefault="005C5B3E" w:rsidP="004E6AB4">
            <w:pPr>
              <w:pStyle w:val="tabela0"/>
              <w:spacing w:before="0" w:after="0"/>
              <w:rPr>
                <w:szCs w:val="20"/>
                <w:lang w:eastAsia="pl-PL"/>
              </w:rPr>
            </w:pPr>
            <w:r w:rsidRPr="00194C4A">
              <w:rPr>
                <w:szCs w:val="20"/>
                <w:lang w:eastAsia="pl-PL"/>
              </w:rPr>
              <w:t>K</w:t>
            </w:r>
            <w:r w:rsidR="004E6AB4" w:rsidRPr="00194C4A">
              <w:rPr>
                <w:szCs w:val="20"/>
                <w:lang w:eastAsia="pl-PL"/>
              </w:rPr>
              <w:t>oszty</w:t>
            </w:r>
            <w:r>
              <w:rPr>
                <w:szCs w:val="20"/>
                <w:lang w:eastAsia="pl-PL"/>
              </w:rPr>
              <w:t xml:space="preserve"> </w:t>
            </w:r>
            <w:r w:rsidR="004E6AB4" w:rsidRPr="00194C4A">
              <w:rPr>
                <w:szCs w:val="20"/>
                <w:lang w:eastAsia="pl-PL"/>
              </w:rPr>
              <w:t>cyklu 15 lat</w:t>
            </w:r>
          </w:p>
        </w:tc>
        <w:tc>
          <w:tcPr>
            <w:tcW w:w="97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55 939</w:t>
            </w:r>
          </w:p>
        </w:tc>
        <w:tc>
          <w:tcPr>
            <w:tcW w:w="971"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69 771</w:t>
            </w:r>
          </w:p>
        </w:tc>
        <w:tc>
          <w:tcPr>
            <w:tcW w:w="969" w:type="dxa"/>
            <w:noWrap/>
            <w:hideMark/>
          </w:tcPr>
          <w:p w:rsidR="004E6AB4" w:rsidRPr="00194C4A" w:rsidRDefault="004E6AB4" w:rsidP="004E6AB4">
            <w:pPr>
              <w:pStyle w:val="tabela0"/>
              <w:spacing w:before="0" w:after="0"/>
              <w:cnfStyle w:val="000000000000"/>
              <w:rPr>
                <w:szCs w:val="20"/>
                <w:lang w:eastAsia="pl-PL"/>
              </w:rPr>
            </w:pPr>
            <w:r w:rsidRPr="00194C4A">
              <w:rPr>
                <w:szCs w:val="20"/>
                <w:lang w:eastAsia="pl-PL"/>
              </w:rPr>
              <w:t>95 019</w:t>
            </w:r>
          </w:p>
        </w:tc>
      </w:tr>
    </w:tbl>
    <w:p w:rsidR="00692249" w:rsidRDefault="005C7F45" w:rsidP="005C7F45">
      <w:pPr>
        <w:pStyle w:val="tekst"/>
        <w:ind w:firstLine="0"/>
        <w:rPr>
          <w:rFonts w:cs="Times New Roman"/>
          <w:i/>
        </w:rPr>
      </w:pPr>
      <w:r w:rsidRPr="005C7F45">
        <w:rPr>
          <w:rFonts w:cs="Times New Roman"/>
          <w:i/>
        </w:rPr>
        <w:t>Źródło: Obliczenia własne</w:t>
      </w:r>
      <w:r w:rsidR="007B19C8">
        <w:rPr>
          <w:rFonts w:cs="Times New Roman"/>
          <w:i/>
        </w:rPr>
        <w:t>.</w:t>
      </w:r>
    </w:p>
    <w:p w:rsidR="005C7F45" w:rsidRPr="005C7F45" w:rsidRDefault="005C7F45" w:rsidP="005C7F45">
      <w:pPr>
        <w:pStyle w:val="tekst"/>
        <w:ind w:firstLine="0"/>
        <w:rPr>
          <w:rFonts w:cs="Times New Roman"/>
          <w:i/>
        </w:rPr>
      </w:pPr>
    </w:p>
    <w:p w:rsidR="0027096A" w:rsidRPr="00194C4A" w:rsidRDefault="00692249" w:rsidP="00C73BAA">
      <w:pPr>
        <w:pStyle w:val="tekst"/>
        <w:rPr>
          <w:rFonts w:cs="Times New Roman"/>
        </w:rPr>
      </w:pPr>
      <w:r w:rsidRPr="00194C4A">
        <w:rPr>
          <w:rFonts w:cs="Times New Roman"/>
        </w:rPr>
        <w:t>Przeprowadzona analiza wykazuje, że koszt ogrzewania budynku jest bardzo zróżnicowany w zależności od stanu technicznego budynku oraz od rodzaju ogrzewania.</w:t>
      </w:r>
      <w:r w:rsidR="00930889" w:rsidRPr="00194C4A">
        <w:rPr>
          <w:rFonts w:cs="Times New Roman"/>
        </w:rPr>
        <w:t xml:space="preserve"> Z przeprowadzonej analizy wynika</w:t>
      </w:r>
      <w:r w:rsidR="007B376C">
        <w:rPr>
          <w:rFonts w:cs="Times New Roman"/>
        </w:rPr>
        <w:t>, że</w:t>
      </w:r>
      <w:r w:rsidR="00930889" w:rsidRPr="00194C4A">
        <w:rPr>
          <w:rFonts w:cs="Times New Roman"/>
        </w:rPr>
        <w:t>:</w:t>
      </w:r>
    </w:p>
    <w:p w:rsidR="00930889" w:rsidRPr="00194C4A" w:rsidRDefault="00930889" w:rsidP="008A40A2">
      <w:pPr>
        <w:pStyle w:val="tekst"/>
        <w:numPr>
          <w:ilvl w:val="0"/>
          <w:numId w:val="18"/>
        </w:numPr>
        <w:rPr>
          <w:rFonts w:cs="Times New Roman"/>
        </w:rPr>
      </w:pPr>
      <w:r w:rsidRPr="00194C4A">
        <w:rPr>
          <w:rFonts w:cs="Times New Roman"/>
        </w:rPr>
        <w:t>koszt ogrzewania jest najniższy w przypadku ogrzewania ekogroszkiem – przy czym nie uwzględniono kosztów pracy – pozyskania paliwa, jego załadunku, etc.</w:t>
      </w:r>
      <w:r w:rsidR="00C05888">
        <w:rPr>
          <w:rFonts w:cs="Times New Roman"/>
        </w:rPr>
        <w:t>,</w:t>
      </w:r>
    </w:p>
    <w:p w:rsidR="00930889" w:rsidRPr="00194C4A" w:rsidRDefault="00930889" w:rsidP="008A40A2">
      <w:pPr>
        <w:pStyle w:val="tekst"/>
        <w:numPr>
          <w:ilvl w:val="0"/>
          <w:numId w:val="18"/>
        </w:numPr>
        <w:rPr>
          <w:rFonts w:cs="Times New Roman"/>
        </w:rPr>
      </w:pPr>
      <w:r w:rsidRPr="00194C4A">
        <w:rPr>
          <w:rFonts w:cs="Times New Roman"/>
        </w:rPr>
        <w:t xml:space="preserve">niewiele wyższym kosztem charakteryzuje się gaz ziemny i pellet, </w:t>
      </w:r>
    </w:p>
    <w:p w:rsidR="00930889" w:rsidRPr="00194C4A" w:rsidRDefault="00930889" w:rsidP="008A40A2">
      <w:pPr>
        <w:pStyle w:val="tekst"/>
        <w:numPr>
          <w:ilvl w:val="0"/>
          <w:numId w:val="18"/>
        </w:numPr>
        <w:rPr>
          <w:rFonts w:cs="Times New Roman"/>
        </w:rPr>
      </w:pPr>
      <w:r w:rsidRPr="00194C4A">
        <w:rPr>
          <w:rFonts w:cs="Times New Roman"/>
        </w:rPr>
        <w:t>najdroższe jest pozyskanie energii cieplnej bezpośrednio z energii elektrycznej z</w:t>
      </w:r>
      <w:r w:rsidR="0018465B" w:rsidRPr="00194C4A">
        <w:rPr>
          <w:rFonts w:cs="Times New Roman"/>
        </w:rPr>
        <w:t> </w:t>
      </w:r>
      <w:r w:rsidRPr="00194C4A">
        <w:rPr>
          <w:rFonts w:cs="Times New Roman"/>
        </w:rPr>
        <w:t>sieci, przy czym istnieje możliwość minimalizacji</w:t>
      </w:r>
      <w:r w:rsidR="00C05888">
        <w:rPr>
          <w:rFonts w:cs="Times New Roman"/>
        </w:rPr>
        <w:t xml:space="preserve"> kosztu</w:t>
      </w:r>
      <w:r w:rsidRPr="00194C4A">
        <w:rPr>
          <w:rFonts w:cs="Times New Roman"/>
        </w:rPr>
        <w:t xml:space="preserve"> przy zastosowaniu odpowiednich taryf bądź własnego źródła energii </w:t>
      </w:r>
    </w:p>
    <w:p w:rsidR="002F4EAD" w:rsidRPr="00194C4A" w:rsidRDefault="00883685" w:rsidP="00883685">
      <w:pPr>
        <w:pStyle w:val="Nagwek1"/>
        <w:rPr>
          <w:rFonts w:ascii="Times New Roman" w:hAnsi="Times New Roman" w:cs="Times New Roman"/>
        </w:rPr>
      </w:pPr>
      <w:bookmarkStart w:id="96" w:name="_Toc77321958"/>
      <w:r>
        <w:rPr>
          <w:rFonts w:ascii="Times New Roman" w:hAnsi="Times New Roman" w:cs="Times New Roman"/>
        </w:rPr>
        <w:t xml:space="preserve">4. </w:t>
      </w:r>
      <w:r w:rsidR="002F4EAD" w:rsidRPr="00194C4A">
        <w:rPr>
          <w:rFonts w:ascii="Times New Roman" w:hAnsi="Times New Roman" w:cs="Times New Roman"/>
        </w:rPr>
        <w:t xml:space="preserve">Prognoza zapotrzebowania na energię do roku </w:t>
      </w:r>
      <w:bookmarkEnd w:id="59"/>
      <w:r w:rsidR="00C4722A">
        <w:rPr>
          <w:rFonts w:ascii="Times New Roman" w:hAnsi="Times New Roman" w:cs="Times New Roman"/>
        </w:rPr>
        <w:t>203</w:t>
      </w:r>
      <w:bookmarkEnd w:id="96"/>
      <w:r w:rsidR="005C5B3E">
        <w:rPr>
          <w:rFonts w:ascii="Times New Roman" w:hAnsi="Times New Roman" w:cs="Times New Roman"/>
        </w:rPr>
        <w:t>5</w:t>
      </w:r>
    </w:p>
    <w:p w:rsidR="0069346B" w:rsidRDefault="0069346B" w:rsidP="0069346B">
      <w:pPr>
        <w:pStyle w:val="tekst"/>
        <w:rPr>
          <w:rFonts w:cs="Times New Roman"/>
        </w:rPr>
      </w:pPr>
      <w:r w:rsidRPr="00194C4A">
        <w:rPr>
          <w:rFonts w:cs="Times New Roman"/>
        </w:rPr>
        <w:t xml:space="preserve">Prognozę zapotrzebowania na energię do </w:t>
      </w:r>
      <w:r w:rsidR="005C5B3E">
        <w:rPr>
          <w:rFonts w:cs="Times New Roman"/>
        </w:rPr>
        <w:t>2035</w:t>
      </w:r>
      <w:r w:rsidRPr="00194C4A">
        <w:rPr>
          <w:rFonts w:cs="Times New Roman"/>
        </w:rPr>
        <w:t xml:space="preserve"> roku wykonano </w:t>
      </w:r>
      <w:r w:rsidR="005C7F45">
        <w:rPr>
          <w:rFonts w:cs="Times New Roman"/>
        </w:rPr>
        <w:t>biorąc pod uwagę następujące trendy, które będą wpływały na zapotrzebowanie na energię na terenie gminy</w:t>
      </w:r>
      <w:r w:rsidR="00B66434">
        <w:rPr>
          <w:rFonts w:cs="Times New Roman"/>
        </w:rPr>
        <w:t>:</w:t>
      </w:r>
    </w:p>
    <w:p w:rsidR="005C7F45" w:rsidRDefault="00B1324A" w:rsidP="008A40A2">
      <w:pPr>
        <w:pStyle w:val="tekst"/>
        <w:numPr>
          <w:ilvl w:val="0"/>
          <w:numId w:val="20"/>
        </w:numPr>
        <w:rPr>
          <w:rFonts w:cs="Times New Roman"/>
        </w:rPr>
      </w:pPr>
      <w:r>
        <w:rPr>
          <w:rFonts w:cs="Times New Roman"/>
        </w:rPr>
        <w:t>Wzrost</w:t>
      </w:r>
      <w:r w:rsidR="005C7F45">
        <w:rPr>
          <w:rFonts w:cs="Times New Roman"/>
        </w:rPr>
        <w:t xml:space="preserve"> liczby ludności – wpływał będzie na z</w:t>
      </w:r>
      <w:r>
        <w:rPr>
          <w:rFonts w:cs="Times New Roman"/>
        </w:rPr>
        <w:t>większenie</w:t>
      </w:r>
      <w:r w:rsidR="005C7F45">
        <w:rPr>
          <w:rFonts w:cs="Times New Roman"/>
        </w:rPr>
        <w:t xml:space="preserve"> zapotrzebowania na energię</w:t>
      </w:r>
      <w:r w:rsidR="00B66434">
        <w:rPr>
          <w:rFonts w:cs="Times New Roman"/>
        </w:rPr>
        <w:t>,</w:t>
      </w:r>
    </w:p>
    <w:p w:rsidR="005C7F45" w:rsidRDefault="005C7F45" w:rsidP="008A40A2">
      <w:pPr>
        <w:pStyle w:val="tekst"/>
        <w:numPr>
          <w:ilvl w:val="0"/>
          <w:numId w:val="20"/>
        </w:numPr>
        <w:rPr>
          <w:rFonts w:cs="Times New Roman"/>
        </w:rPr>
      </w:pPr>
      <w:r>
        <w:rPr>
          <w:rFonts w:cs="Times New Roman"/>
        </w:rPr>
        <w:t>Starzenie się społeczeństwa – będzie wpływało na potencjalny wzrost ubóstwa energetycznego</w:t>
      </w:r>
      <w:r w:rsidR="00D60961">
        <w:rPr>
          <w:rFonts w:cs="Times New Roman"/>
        </w:rPr>
        <w:t xml:space="preserve"> z uwagi na spadek dochodów na emeryturze</w:t>
      </w:r>
      <w:r w:rsidR="00B66434">
        <w:rPr>
          <w:rFonts w:cs="Times New Roman"/>
        </w:rPr>
        <w:t>,</w:t>
      </w:r>
    </w:p>
    <w:p w:rsidR="005C7F45" w:rsidRDefault="00D60961" w:rsidP="008A40A2">
      <w:pPr>
        <w:pStyle w:val="tekst"/>
        <w:numPr>
          <w:ilvl w:val="0"/>
          <w:numId w:val="20"/>
        </w:numPr>
        <w:rPr>
          <w:rFonts w:cs="Times New Roman"/>
        </w:rPr>
      </w:pPr>
      <w:r>
        <w:rPr>
          <w:rFonts w:cs="Times New Roman"/>
        </w:rPr>
        <w:t>Spadek cen technologii magazynowania i wytwarzania energii na własne potrzeby – będzie wpływał na zmianę struktury zapotrzebowania na energię</w:t>
      </w:r>
      <w:r w:rsidR="00B66434">
        <w:rPr>
          <w:rFonts w:cs="Times New Roman"/>
        </w:rPr>
        <w:t>,</w:t>
      </w:r>
    </w:p>
    <w:p w:rsidR="00D60961" w:rsidRDefault="00D60961" w:rsidP="008A40A2">
      <w:pPr>
        <w:pStyle w:val="tekst"/>
        <w:numPr>
          <w:ilvl w:val="0"/>
          <w:numId w:val="20"/>
        </w:numPr>
        <w:rPr>
          <w:rFonts w:cs="Times New Roman"/>
        </w:rPr>
      </w:pPr>
      <w:r>
        <w:rPr>
          <w:rFonts w:cs="Times New Roman"/>
        </w:rPr>
        <w:t>Rozwój elektromobliności – będzie wpływał na zwiększenie popytu na energię elektryczną</w:t>
      </w:r>
      <w:r w:rsidR="00B66434">
        <w:rPr>
          <w:rFonts w:cs="Times New Roman"/>
        </w:rPr>
        <w:t>,</w:t>
      </w:r>
    </w:p>
    <w:p w:rsidR="00D60961" w:rsidRDefault="00D60961" w:rsidP="008A40A2">
      <w:pPr>
        <w:pStyle w:val="tekst"/>
        <w:numPr>
          <w:ilvl w:val="0"/>
          <w:numId w:val="20"/>
        </w:numPr>
        <w:rPr>
          <w:rFonts w:cs="Times New Roman"/>
        </w:rPr>
      </w:pPr>
      <w:r>
        <w:rPr>
          <w:rFonts w:cs="Times New Roman"/>
        </w:rPr>
        <w:t>Dekarbonizacja gospodarki – będzie wiązała się ze zwiększeniem kosztów ogrzewania</w:t>
      </w:r>
      <w:r w:rsidR="00B66434">
        <w:rPr>
          <w:rFonts w:cs="Times New Roman"/>
        </w:rPr>
        <w:t>,</w:t>
      </w:r>
    </w:p>
    <w:p w:rsidR="00D60961" w:rsidRPr="00194C4A" w:rsidRDefault="00D60961" w:rsidP="008A40A2">
      <w:pPr>
        <w:pStyle w:val="tekst"/>
        <w:numPr>
          <w:ilvl w:val="0"/>
          <w:numId w:val="20"/>
        </w:numPr>
        <w:rPr>
          <w:rFonts w:cs="Times New Roman"/>
        </w:rPr>
      </w:pPr>
      <w:r>
        <w:rPr>
          <w:rFonts w:cs="Times New Roman"/>
        </w:rPr>
        <w:t>Programy rządowe wspierające OZE i termomodernizacj</w:t>
      </w:r>
      <w:r w:rsidR="00B66434">
        <w:rPr>
          <w:rFonts w:cs="Times New Roman"/>
        </w:rPr>
        <w:t>ę</w:t>
      </w:r>
      <w:r>
        <w:rPr>
          <w:rFonts w:cs="Times New Roman"/>
        </w:rPr>
        <w:t xml:space="preserve"> oraz walkę z zanieczyszczeniem powietrza</w:t>
      </w:r>
      <w:r w:rsidR="00150BFE">
        <w:rPr>
          <w:rFonts w:cs="Times New Roman"/>
        </w:rPr>
        <w:t xml:space="preserve"> – </w:t>
      </w:r>
      <w:r w:rsidR="003A425C">
        <w:rPr>
          <w:rFonts w:cs="Times New Roman"/>
        </w:rPr>
        <w:t>zmniejszenie</w:t>
      </w:r>
      <w:r w:rsidR="00150BFE">
        <w:rPr>
          <w:rFonts w:cs="Times New Roman"/>
        </w:rPr>
        <w:t xml:space="preserve"> energochłonności mieszkalnictwa</w:t>
      </w:r>
      <w:r w:rsidR="00B66434">
        <w:rPr>
          <w:rFonts w:cs="Times New Roman"/>
        </w:rPr>
        <w:t>.</w:t>
      </w:r>
    </w:p>
    <w:p w:rsidR="003D61A3" w:rsidRPr="00194C4A" w:rsidRDefault="00B941F4" w:rsidP="00B941F4">
      <w:pPr>
        <w:pStyle w:val="Nagwek2"/>
        <w:rPr>
          <w:rFonts w:ascii="Times New Roman" w:hAnsi="Times New Roman" w:cs="Times New Roman"/>
        </w:rPr>
      </w:pPr>
      <w:bookmarkStart w:id="97" w:name="_Toc77321959"/>
      <w:r>
        <w:rPr>
          <w:rFonts w:ascii="Times New Roman" w:hAnsi="Times New Roman" w:cs="Times New Roman"/>
        </w:rPr>
        <w:t xml:space="preserve">4.1 </w:t>
      </w:r>
      <w:r w:rsidR="003D61A3" w:rsidRPr="00194C4A">
        <w:rPr>
          <w:rFonts w:ascii="Times New Roman" w:hAnsi="Times New Roman" w:cs="Times New Roman"/>
        </w:rPr>
        <w:t xml:space="preserve">Zapotrzebowanie na </w:t>
      </w:r>
      <w:r w:rsidR="00DB19BF">
        <w:rPr>
          <w:rFonts w:ascii="Times New Roman" w:hAnsi="Times New Roman" w:cs="Times New Roman"/>
        </w:rPr>
        <w:t>ciepło energię elektryczną i paliwa gazowe</w:t>
      </w:r>
      <w:bookmarkEnd w:id="97"/>
    </w:p>
    <w:p w:rsidR="003D61A3" w:rsidRPr="00194C4A" w:rsidRDefault="003D61A3" w:rsidP="003D61A3">
      <w:pPr>
        <w:pStyle w:val="tekst"/>
        <w:rPr>
          <w:rFonts w:cs="Times New Roman"/>
        </w:rPr>
      </w:pPr>
      <w:r w:rsidRPr="00194C4A">
        <w:rPr>
          <w:rFonts w:cs="Times New Roman"/>
        </w:rPr>
        <w:t xml:space="preserve">Prognozowane zapotrzebowanie na ciepło na danym terenie zależy od liczby ludności oraz zmian z zakresie budownictwa, i to zarówno pod względem wielkości zasobów budowlanych, jak </w:t>
      </w:r>
      <w:r w:rsidRPr="00194C4A">
        <w:rPr>
          <w:rFonts w:cs="Times New Roman"/>
        </w:rPr>
        <w:lastRenderedPageBreak/>
        <w:t>i ich jakości energetycznej. Prognoza zapotrzebowania mocy i energii ma charakter szacunkowy i opiera się na danych statystycznych oraz wskaźnikach</w:t>
      </w:r>
      <w:r w:rsidR="00DB19BF">
        <w:rPr>
          <w:rFonts w:cs="Times New Roman"/>
        </w:rPr>
        <w:t>,</w:t>
      </w:r>
      <w:r w:rsidR="005C5B3E">
        <w:rPr>
          <w:rFonts w:cs="Times New Roman"/>
        </w:rPr>
        <w:t xml:space="preserve"> </w:t>
      </w:r>
      <w:r w:rsidR="00150BFE">
        <w:rPr>
          <w:rFonts w:cs="Times New Roman"/>
        </w:rPr>
        <w:t>o których mowa powyżej</w:t>
      </w:r>
      <w:r w:rsidRPr="00194C4A">
        <w:rPr>
          <w:rFonts w:cs="Times New Roman"/>
        </w:rPr>
        <w:t xml:space="preserve">. </w:t>
      </w:r>
    </w:p>
    <w:p w:rsidR="003D61A3" w:rsidRPr="00194C4A" w:rsidRDefault="008F311F" w:rsidP="008F311F">
      <w:pPr>
        <w:pStyle w:val="Nagwek3"/>
        <w:rPr>
          <w:rFonts w:ascii="Times New Roman" w:hAnsi="Times New Roman" w:cs="Times New Roman"/>
        </w:rPr>
      </w:pPr>
      <w:bookmarkStart w:id="98" w:name="_Toc321917725"/>
      <w:bookmarkStart w:id="99" w:name="_Toc406923810"/>
      <w:bookmarkStart w:id="100" w:name="_Toc77321960"/>
      <w:r>
        <w:rPr>
          <w:rFonts w:ascii="Times New Roman" w:hAnsi="Times New Roman" w:cs="Times New Roman"/>
        </w:rPr>
        <w:t xml:space="preserve">4.1.1 </w:t>
      </w:r>
      <w:r w:rsidR="003D61A3" w:rsidRPr="00194C4A">
        <w:rPr>
          <w:rFonts w:ascii="Times New Roman" w:hAnsi="Times New Roman" w:cs="Times New Roman"/>
        </w:rPr>
        <w:t>Założenia</w:t>
      </w:r>
      <w:bookmarkEnd w:id="98"/>
      <w:bookmarkEnd w:id="99"/>
      <w:r w:rsidR="005C5B3E">
        <w:rPr>
          <w:rFonts w:ascii="Times New Roman" w:hAnsi="Times New Roman" w:cs="Times New Roman"/>
        </w:rPr>
        <w:t xml:space="preserve"> </w:t>
      </w:r>
      <w:r w:rsidR="003D61A3" w:rsidRPr="00194C4A">
        <w:rPr>
          <w:rFonts w:ascii="Times New Roman" w:hAnsi="Times New Roman" w:cs="Times New Roman"/>
        </w:rPr>
        <w:t>do analizy</w:t>
      </w:r>
      <w:bookmarkEnd w:id="100"/>
    </w:p>
    <w:tbl>
      <w:tblPr>
        <w:tblW w:w="9229" w:type="dxa"/>
        <w:tblInd w:w="55" w:type="dxa"/>
        <w:tblCellMar>
          <w:left w:w="70" w:type="dxa"/>
          <w:right w:w="70" w:type="dxa"/>
        </w:tblCellMar>
        <w:tblLook w:val="04A0"/>
      </w:tblPr>
      <w:tblGrid>
        <w:gridCol w:w="7812"/>
        <w:gridCol w:w="1580"/>
      </w:tblGrid>
      <w:tr w:rsidR="003D61A3" w:rsidRPr="00C539FE" w:rsidTr="003D61A3">
        <w:trPr>
          <w:trHeight w:val="285"/>
        </w:trPr>
        <w:tc>
          <w:tcPr>
            <w:tcW w:w="7812" w:type="dxa"/>
            <w:tcBorders>
              <w:top w:val="nil"/>
              <w:left w:val="nil"/>
              <w:bottom w:val="nil"/>
              <w:right w:val="nil"/>
            </w:tcBorders>
            <w:shd w:val="clear" w:color="auto" w:fill="auto"/>
            <w:noWrap/>
            <w:vAlign w:val="bottom"/>
            <w:hideMark/>
          </w:tcPr>
          <w:p w:rsidR="003D61A3" w:rsidRPr="008F1728" w:rsidRDefault="003D61A3" w:rsidP="008A40A2">
            <w:pPr>
              <w:pStyle w:val="tabela0"/>
              <w:numPr>
                <w:ilvl w:val="0"/>
                <w:numId w:val="26"/>
              </w:numPr>
              <w:jc w:val="left"/>
              <w:rPr>
                <w:sz w:val="24"/>
                <w:szCs w:val="24"/>
                <w:lang w:val="pl-PL"/>
              </w:rPr>
            </w:pPr>
            <w:bookmarkStart w:id="101" w:name="_Toc406923811"/>
            <w:r w:rsidRPr="008F1728">
              <w:rPr>
                <w:sz w:val="24"/>
                <w:szCs w:val="24"/>
                <w:lang w:val="pl-PL"/>
              </w:rPr>
              <w:t xml:space="preserve">obecna liczba ludności </w:t>
            </w:r>
            <w:r w:rsidR="00B078AA" w:rsidRPr="008F1728">
              <w:rPr>
                <w:sz w:val="24"/>
                <w:szCs w:val="24"/>
                <w:lang w:val="pl-PL"/>
              </w:rPr>
              <w:t xml:space="preserve">(stan na </w:t>
            </w:r>
            <w:r w:rsidR="00856492">
              <w:rPr>
                <w:sz w:val="24"/>
                <w:szCs w:val="24"/>
                <w:lang w:val="pl-PL"/>
              </w:rPr>
              <w:t>31</w:t>
            </w:r>
            <w:r w:rsidR="00B078AA" w:rsidRPr="008F1728">
              <w:rPr>
                <w:sz w:val="24"/>
                <w:szCs w:val="24"/>
                <w:lang w:val="pl-PL"/>
              </w:rPr>
              <w:t>.</w:t>
            </w:r>
            <w:r w:rsidR="00856492">
              <w:rPr>
                <w:sz w:val="24"/>
                <w:szCs w:val="24"/>
                <w:lang w:val="pl-PL"/>
              </w:rPr>
              <w:t>12</w:t>
            </w:r>
            <w:r w:rsidR="00B078AA" w:rsidRPr="008F1728">
              <w:rPr>
                <w:sz w:val="24"/>
                <w:szCs w:val="24"/>
                <w:lang w:val="pl-PL"/>
              </w:rPr>
              <w:t>.20</w:t>
            </w:r>
            <w:r w:rsidR="00023172">
              <w:rPr>
                <w:sz w:val="24"/>
                <w:szCs w:val="24"/>
                <w:lang w:val="pl-PL"/>
              </w:rPr>
              <w:t>24</w:t>
            </w:r>
            <w:r w:rsidR="00B078AA" w:rsidRPr="008F1728">
              <w:rPr>
                <w:sz w:val="24"/>
                <w:szCs w:val="24"/>
                <w:lang w:val="pl-PL"/>
              </w:rPr>
              <w:t>)</w:t>
            </w:r>
          </w:p>
        </w:tc>
        <w:tc>
          <w:tcPr>
            <w:tcW w:w="1417" w:type="dxa"/>
            <w:tcBorders>
              <w:top w:val="nil"/>
              <w:left w:val="nil"/>
              <w:bottom w:val="nil"/>
              <w:right w:val="nil"/>
            </w:tcBorders>
            <w:shd w:val="clear" w:color="auto" w:fill="auto"/>
            <w:noWrap/>
            <w:vAlign w:val="bottom"/>
            <w:hideMark/>
          </w:tcPr>
          <w:p w:rsidR="003D61A3" w:rsidRPr="008F1728" w:rsidRDefault="00023172" w:rsidP="008F1728">
            <w:pPr>
              <w:pStyle w:val="tabela0"/>
              <w:jc w:val="right"/>
              <w:rPr>
                <w:sz w:val="24"/>
                <w:szCs w:val="24"/>
              </w:rPr>
            </w:pPr>
            <w:r>
              <w:rPr>
                <w:sz w:val="24"/>
                <w:szCs w:val="24"/>
              </w:rPr>
              <w:t>3 174</w:t>
            </w:r>
          </w:p>
        </w:tc>
      </w:tr>
      <w:tr w:rsidR="003D61A3" w:rsidRPr="00C539FE" w:rsidTr="003D61A3">
        <w:trPr>
          <w:trHeight w:val="285"/>
        </w:trPr>
        <w:tc>
          <w:tcPr>
            <w:tcW w:w="7812" w:type="dxa"/>
            <w:tcBorders>
              <w:top w:val="nil"/>
              <w:left w:val="nil"/>
              <w:bottom w:val="nil"/>
              <w:right w:val="nil"/>
            </w:tcBorders>
            <w:shd w:val="clear" w:color="auto" w:fill="auto"/>
            <w:noWrap/>
            <w:vAlign w:val="bottom"/>
            <w:hideMark/>
          </w:tcPr>
          <w:p w:rsidR="003D61A3" w:rsidRPr="008F1728" w:rsidRDefault="003D61A3" w:rsidP="008A40A2">
            <w:pPr>
              <w:pStyle w:val="tabela0"/>
              <w:numPr>
                <w:ilvl w:val="0"/>
                <w:numId w:val="26"/>
              </w:numPr>
              <w:jc w:val="left"/>
              <w:rPr>
                <w:sz w:val="24"/>
                <w:szCs w:val="24"/>
                <w:lang w:val="pl-PL"/>
              </w:rPr>
            </w:pPr>
            <w:r w:rsidRPr="008F1728">
              <w:rPr>
                <w:sz w:val="24"/>
                <w:szCs w:val="24"/>
                <w:lang w:val="pl-PL"/>
              </w:rPr>
              <w:t xml:space="preserve">szacowana liczba ludności </w:t>
            </w:r>
            <w:r w:rsidR="00856492">
              <w:rPr>
                <w:sz w:val="24"/>
                <w:szCs w:val="24"/>
                <w:lang w:val="pl-PL"/>
              </w:rPr>
              <w:t>na</w:t>
            </w:r>
            <w:r w:rsidRPr="008F1728">
              <w:rPr>
                <w:sz w:val="24"/>
                <w:szCs w:val="24"/>
                <w:lang w:val="pl-PL"/>
              </w:rPr>
              <w:t xml:space="preserve"> roku </w:t>
            </w:r>
            <w:r w:rsidR="005B61BE" w:rsidRPr="008F1728">
              <w:rPr>
                <w:sz w:val="24"/>
                <w:szCs w:val="24"/>
                <w:lang w:val="pl-PL"/>
              </w:rPr>
              <w:t>203</w:t>
            </w:r>
            <w:r w:rsidR="00856492">
              <w:rPr>
                <w:sz w:val="24"/>
                <w:szCs w:val="24"/>
                <w:lang w:val="pl-PL"/>
              </w:rPr>
              <w:t>6</w:t>
            </w:r>
            <w:r w:rsidR="00D64BB1" w:rsidRPr="008F1728">
              <w:rPr>
                <w:sz w:val="24"/>
                <w:szCs w:val="24"/>
                <w:lang w:val="pl-PL"/>
              </w:rPr>
              <w:t xml:space="preserve"> według prognozy GUS</w:t>
            </w:r>
          </w:p>
        </w:tc>
        <w:tc>
          <w:tcPr>
            <w:tcW w:w="1417" w:type="dxa"/>
            <w:tcBorders>
              <w:top w:val="nil"/>
              <w:left w:val="nil"/>
              <w:bottom w:val="nil"/>
              <w:right w:val="nil"/>
            </w:tcBorders>
            <w:shd w:val="clear" w:color="auto" w:fill="auto"/>
            <w:noWrap/>
            <w:vAlign w:val="bottom"/>
            <w:hideMark/>
          </w:tcPr>
          <w:p w:rsidR="003D61A3" w:rsidRPr="008F1728" w:rsidRDefault="00023172" w:rsidP="008F1728">
            <w:pPr>
              <w:pStyle w:val="tabela0"/>
              <w:jc w:val="right"/>
              <w:rPr>
                <w:sz w:val="24"/>
                <w:szCs w:val="24"/>
              </w:rPr>
            </w:pPr>
            <w:r>
              <w:rPr>
                <w:sz w:val="24"/>
                <w:szCs w:val="24"/>
              </w:rPr>
              <w:t>3 875</w:t>
            </w:r>
          </w:p>
        </w:tc>
      </w:tr>
      <w:tr w:rsidR="003D61A3" w:rsidRPr="00C539FE" w:rsidTr="003D61A3">
        <w:trPr>
          <w:trHeight w:val="300"/>
        </w:trPr>
        <w:tc>
          <w:tcPr>
            <w:tcW w:w="7812" w:type="dxa"/>
            <w:tcBorders>
              <w:top w:val="nil"/>
              <w:left w:val="nil"/>
              <w:bottom w:val="nil"/>
              <w:right w:val="nil"/>
            </w:tcBorders>
            <w:shd w:val="clear" w:color="auto" w:fill="auto"/>
            <w:noWrap/>
            <w:vAlign w:val="bottom"/>
            <w:hideMark/>
          </w:tcPr>
          <w:p w:rsidR="003D61A3" w:rsidRPr="008F1728" w:rsidRDefault="003D61A3" w:rsidP="008A40A2">
            <w:pPr>
              <w:pStyle w:val="tabela0"/>
              <w:numPr>
                <w:ilvl w:val="0"/>
                <w:numId w:val="26"/>
              </w:numPr>
              <w:jc w:val="left"/>
              <w:rPr>
                <w:sz w:val="24"/>
                <w:szCs w:val="24"/>
              </w:rPr>
            </w:pPr>
            <w:r w:rsidRPr="008F1728">
              <w:rPr>
                <w:sz w:val="24"/>
                <w:szCs w:val="24"/>
              </w:rPr>
              <w:t>obecna</w:t>
            </w:r>
            <w:r w:rsidR="00023172">
              <w:rPr>
                <w:sz w:val="24"/>
                <w:szCs w:val="24"/>
              </w:rPr>
              <w:t xml:space="preserve"> </w:t>
            </w:r>
            <w:r w:rsidRPr="008F1728">
              <w:rPr>
                <w:sz w:val="24"/>
                <w:szCs w:val="24"/>
              </w:rPr>
              <w:t>powierzchnia</w:t>
            </w:r>
            <w:r w:rsidR="00023172">
              <w:rPr>
                <w:sz w:val="24"/>
                <w:szCs w:val="24"/>
              </w:rPr>
              <w:t xml:space="preserve"> </w:t>
            </w:r>
            <w:r w:rsidRPr="008F1728">
              <w:rPr>
                <w:sz w:val="24"/>
                <w:szCs w:val="24"/>
              </w:rPr>
              <w:t>mieszkalna</w:t>
            </w:r>
            <w:r w:rsidR="00023172">
              <w:rPr>
                <w:sz w:val="24"/>
                <w:szCs w:val="24"/>
              </w:rPr>
              <w:t xml:space="preserve"> </w:t>
            </w:r>
            <w:r w:rsidR="00B078AA" w:rsidRPr="008F1728">
              <w:rPr>
                <w:sz w:val="24"/>
                <w:szCs w:val="24"/>
              </w:rPr>
              <w:t>[m</w:t>
            </w:r>
            <w:r w:rsidR="00B078AA" w:rsidRPr="00023172">
              <w:rPr>
                <w:sz w:val="24"/>
                <w:szCs w:val="24"/>
                <w:vertAlign w:val="superscript"/>
              </w:rPr>
              <w:t>2</w:t>
            </w:r>
            <w:r w:rsidR="00B078AA" w:rsidRPr="008F1728">
              <w:rPr>
                <w:sz w:val="24"/>
                <w:szCs w:val="24"/>
              </w:rPr>
              <w:t>]</w:t>
            </w:r>
          </w:p>
        </w:tc>
        <w:tc>
          <w:tcPr>
            <w:tcW w:w="1417" w:type="dxa"/>
            <w:tcBorders>
              <w:top w:val="nil"/>
              <w:left w:val="nil"/>
              <w:bottom w:val="nil"/>
              <w:right w:val="nil"/>
            </w:tcBorders>
            <w:shd w:val="clear" w:color="auto" w:fill="auto"/>
            <w:noWrap/>
            <w:vAlign w:val="bottom"/>
            <w:hideMark/>
          </w:tcPr>
          <w:p w:rsidR="003D61A3" w:rsidRPr="008F1728" w:rsidRDefault="00023172" w:rsidP="008F1728">
            <w:pPr>
              <w:pStyle w:val="tabela0"/>
              <w:jc w:val="right"/>
              <w:rPr>
                <w:sz w:val="24"/>
                <w:szCs w:val="24"/>
              </w:rPr>
            </w:pPr>
            <w:r>
              <w:rPr>
                <w:sz w:val="24"/>
                <w:szCs w:val="24"/>
              </w:rPr>
              <w:t>87 000</w:t>
            </w:r>
          </w:p>
        </w:tc>
      </w:tr>
      <w:tr w:rsidR="003D61A3" w:rsidRPr="00C539FE" w:rsidTr="003D61A3">
        <w:trPr>
          <w:trHeight w:val="285"/>
        </w:trPr>
        <w:tc>
          <w:tcPr>
            <w:tcW w:w="7812" w:type="dxa"/>
            <w:tcBorders>
              <w:top w:val="nil"/>
              <w:left w:val="nil"/>
              <w:bottom w:val="nil"/>
              <w:right w:val="nil"/>
            </w:tcBorders>
            <w:shd w:val="clear" w:color="auto" w:fill="auto"/>
            <w:noWrap/>
            <w:vAlign w:val="bottom"/>
            <w:hideMark/>
          </w:tcPr>
          <w:p w:rsidR="003D61A3" w:rsidRPr="008F1728" w:rsidRDefault="003D61A3" w:rsidP="008A40A2">
            <w:pPr>
              <w:pStyle w:val="tabela0"/>
              <w:numPr>
                <w:ilvl w:val="0"/>
                <w:numId w:val="26"/>
              </w:numPr>
              <w:jc w:val="left"/>
              <w:rPr>
                <w:sz w:val="24"/>
                <w:szCs w:val="24"/>
                <w:lang w:val="pl-PL"/>
              </w:rPr>
            </w:pPr>
            <w:r w:rsidRPr="008F1728">
              <w:rPr>
                <w:sz w:val="24"/>
                <w:szCs w:val="24"/>
                <w:lang w:val="pl-PL"/>
              </w:rPr>
              <w:t>średnia powierzchnia mieszkalna przypadająca na jedna osobą [m2]</w:t>
            </w:r>
          </w:p>
        </w:tc>
        <w:tc>
          <w:tcPr>
            <w:tcW w:w="1417" w:type="dxa"/>
            <w:tcBorders>
              <w:top w:val="nil"/>
              <w:left w:val="nil"/>
              <w:bottom w:val="nil"/>
              <w:right w:val="nil"/>
            </w:tcBorders>
            <w:shd w:val="clear" w:color="auto" w:fill="auto"/>
            <w:noWrap/>
            <w:vAlign w:val="bottom"/>
            <w:hideMark/>
          </w:tcPr>
          <w:p w:rsidR="003D61A3" w:rsidRPr="008F1728" w:rsidRDefault="00023172" w:rsidP="008F1728">
            <w:pPr>
              <w:pStyle w:val="tabela0"/>
              <w:jc w:val="right"/>
              <w:rPr>
                <w:sz w:val="24"/>
                <w:szCs w:val="24"/>
              </w:rPr>
            </w:pPr>
            <w:r>
              <w:rPr>
                <w:sz w:val="24"/>
                <w:szCs w:val="24"/>
              </w:rPr>
              <w:t>36</w:t>
            </w:r>
          </w:p>
        </w:tc>
      </w:tr>
      <w:tr w:rsidR="003D61A3" w:rsidRPr="00C539FE" w:rsidTr="003D61A3">
        <w:trPr>
          <w:trHeight w:val="285"/>
        </w:trPr>
        <w:tc>
          <w:tcPr>
            <w:tcW w:w="7812" w:type="dxa"/>
            <w:tcBorders>
              <w:top w:val="nil"/>
              <w:left w:val="nil"/>
              <w:bottom w:val="nil"/>
              <w:right w:val="nil"/>
            </w:tcBorders>
            <w:shd w:val="clear" w:color="auto" w:fill="auto"/>
            <w:noWrap/>
            <w:vAlign w:val="bottom"/>
            <w:hideMark/>
          </w:tcPr>
          <w:p w:rsidR="003D61A3" w:rsidRPr="008F1728" w:rsidRDefault="003D61A3" w:rsidP="008A40A2">
            <w:pPr>
              <w:pStyle w:val="tabela0"/>
              <w:numPr>
                <w:ilvl w:val="0"/>
                <w:numId w:val="26"/>
              </w:numPr>
              <w:jc w:val="left"/>
              <w:rPr>
                <w:sz w:val="24"/>
                <w:szCs w:val="24"/>
                <w:lang w:val="pl-PL"/>
              </w:rPr>
            </w:pPr>
            <w:r w:rsidRPr="008F1728">
              <w:rPr>
                <w:sz w:val="24"/>
                <w:szCs w:val="24"/>
                <w:lang w:val="pl-PL"/>
              </w:rPr>
              <w:t xml:space="preserve">szacowana średnia powierzchnia mieszkalna na jedną osobę w </w:t>
            </w:r>
            <w:r w:rsidR="00C4722A">
              <w:rPr>
                <w:sz w:val="24"/>
                <w:szCs w:val="24"/>
                <w:lang w:val="pl-PL"/>
              </w:rPr>
              <w:t>2036</w:t>
            </w:r>
            <w:r w:rsidRPr="008F1728">
              <w:rPr>
                <w:sz w:val="24"/>
                <w:szCs w:val="24"/>
                <w:lang w:val="pl-PL"/>
              </w:rPr>
              <w:t xml:space="preserve"> roku [m2]</w:t>
            </w:r>
          </w:p>
        </w:tc>
        <w:tc>
          <w:tcPr>
            <w:tcW w:w="1417" w:type="dxa"/>
            <w:tcBorders>
              <w:top w:val="nil"/>
              <w:left w:val="nil"/>
              <w:bottom w:val="nil"/>
              <w:right w:val="nil"/>
            </w:tcBorders>
            <w:shd w:val="clear" w:color="auto" w:fill="auto"/>
            <w:noWrap/>
            <w:vAlign w:val="bottom"/>
            <w:hideMark/>
          </w:tcPr>
          <w:p w:rsidR="003D61A3" w:rsidRPr="008F1728" w:rsidRDefault="00023172" w:rsidP="008F1728">
            <w:pPr>
              <w:pStyle w:val="tabela0"/>
              <w:jc w:val="right"/>
              <w:rPr>
                <w:sz w:val="24"/>
                <w:szCs w:val="24"/>
              </w:rPr>
            </w:pPr>
            <w:r>
              <w:rPr>
                <w:sz w:val="24"/>
                <w:szCs w:val="24"/>
              </w:rPr>
              <w:t>49</w:t>
            </w:r>
          </w:p>
        </w:tc>
      </w:tr>
      <w:tr w:rsidR="003D61A3" w:rsidRPr="00B1324A" w:rsidTr="003D61A3">
        <w:trPr>
          <w:trHeight w:val="285"/>
        </w:trPr>
        <w:tc>
          <w:tcPr>
            <w:tcW w:w="7812" w:type="dxa"/>
            <w:tcBorders>
              <w:top w:val="nil"/>
              <w:left w:val="nil"/>
              <w:bottom w:val="nil"/>
              <w:right w:val="nil"/>
            </w:tcBorders>
            <w:shd w:val="clear" w:color="auto" w:fill="auto"/>
            <w:noWrap/>
            <w:vAlign w:val="bottom"/>
            <w:hideMark/>
          </w:tcPr>
          <w:p w:rsidR="003D61A3" w:rsidRPr="00B1324A" w:rsidRDefault="003D61A3" w:rsidP="008A40A2">
            <w:pPr>
              <w:pStyle w:val="tabela0"/>
              <w:numPr>
                <w:ilvl w:val="0"/>
                <w:numId w:val="26"/>
              </w:numPr>
              <w:jc w:val="left"/>
              <w:rPr>
                <w:b/>
                <w:bCs/>
                <w:sz w:val="24"/>
                <w:szCs w:val="24"/>
                <w:lang w:val="pl-PL"/>
              </w:rPr>
            </w:pPr>
            <w:r w:rsidRPr="00B1324A">
              <w:rPr>
                <w:b/>
                <w:bCs/>
                <w:sz w:val="24"/>
                <w:szCs w:val="24"/>
                <w:lang w:val="pl-PL"/>
              </w:rPr>
              <w:t>szacowana powierzchnia mieszkalna w 203</w:t>
            </w:r>
            <w:r w:rsidR="00531A2E">
              <w:rPr>
                <w:b/>
                <w:bCs/>
                <w:sz w:val="24"/>
                <w:szCs w:val="24"/>
                <w:lang w:val="pl-PL"/>
              </w:rPr>
              <w:t>6</w:t>
            </w:r>
            <w:r w:rsidRPr="00B1324A">
              <w:rPr>
                <w:b/>
                <w:bCs/>
                <w:sz w:val="24"/>
                <w:szCs w:val="24"/>
                <w:lang w:val="pl-PL"/>
              </w:rPr>
              <w:t xml:space="preserve"> [m2]</w:t>
            </w:r>
          </w:p>
        </w:tc>
        <w:tc>
          <w:tcPr>
            <w:tcW w:w="1417" w:type="dxa"/>
            <w:tcBorders>
              <w:top w:val="nil"/>
              <w:left w:val="nil"/>
              <w:bottom w:val="nil"/>
              <w:right w:val="nil"/>
            </w:tcBorders>
            <w:shd w:val="clear" w:color="auto" w:fill="auto"/>
            <w:noWrap/>
            <w:vAlign w:val="bottom"/>
            <w:hideMark/>
          </w:tcPr>
          <w:p w:rsidR="003D61A3" w:rsidRPr="00B1324A" w:rsidRDefault="00B1324A" w:rsidP="008A40A2">
            <w:pPr>
              <w:pStyle w:val="tabela0"/>
              <w:numPr>
                <w:ilvl w:val="0"/>
                <w:numId w:val="28"/>
              </w:numPr>
              <w:jc w:val="right"/>
              <w:rPr>
                <w:b/>
                <w:bCs/>
                <w:sz w:val="24"/>
                <w:szCs w:val="24"/>
              </w:rPr>
            </w:pPr>
            <w:r w:rsidRPr="00B1324A">
              <w:rPr>
                <w:b/>
                <w:bCs/>
                <w:sz w:val="24"/>
                <w:szCs w:val="24"/>
              </w:rPr>
              <w:t>300</w:t>
            </w:r>
          </w:p>
        </w:tc>
      </w:tr>
    </w:tbl>
    <w:p w:rsidR="003D61A3" w:rsidRPr="00194C4A" w:rsidRDefault="008F311F" w:rsidP="008F311F">
      <w:pPr>
        <w:pStyle w:val="Nagwek3"/>
        <w:rPr>
          <w:rFonts w:ascii="Times New Roman" w:hAnsi="Times New Roman" w:cs="Times New Roman"/>
        </w:rPr>
      </w:pPr>
      <w:bookmarkStart w:id="102" w:name="_Toc77321961"/>
      <w:r>
        <w:rPr>
          <w:rFonts w:ascii="Times New Roman" w:hAnsi="Times New Roman" w:cs="Times New Roman"/>
        </w:rPr>
        <w:t xml:space="preserve">4.1.2 </w:t>
      </w:r>
      <w:r w:rsidR="003D61A3" w:rsidRPr="00194C4A">
        <w:rPr>
          <w:rFonts w:ascii="Times New Roman" w:hAnsi="Times New Roman" w:cs="Times New Roman"/>
        </w:rPr>
        <w:t>Wymagania dotyczące oszczędności energii w budynkach</w:t>
      </w:r>
      <w:bookmarkEnd w:id="101"/>
      <w:bookmarkEnd w:id="102"/>
    </w:p>
    <w:p w:rsidR="003D61A3" w:rsidRPr="00194C4A" w:rsidRDefault="003D61A3" w:rsidP="00156322">
      <w:pPr>
        <w:pStyle w:val="tekst"/>
        <w:spacing w:after="240"/>
        <w:rPr>
          <w:rFonts w:cs="Times New Roman"/>
        </w:rPr>
      </w:pPr>
      <w:r w:rsidRPr="00194C4A">
        <w:rPr>
          <w:rFonts w:cs="Times New Roman"/>
        </w:rPr>
        <w:t xml:space="preserve">Wymagania dotyczące oszczędności energii w budynkach określone są w Rozporządzeniu Ministra Transportu, Budownictwa i Gospodarki Morskiej z dnia </w:t>
      </w:r>
      <w:r w:rsidR="00C21F14" w:rsidRPr="00194C4A">
        <w:rPr>
          <w:rFonts w:cs="Times New Roman"/>
        </w:rPr>
        <w:t>14</w:t>
      </w:r>
      <w:r w:rsidRPr="00194C4A">
        <w:rPr>
          <w:rFonts w:cs="Times New Roman"/>
        </w:rPr>
        <w:t xml:space="preserve"> li</w:t>
      </w:r>
      <w:r w:rsidR="00C21F14" w:rsidRPr="00194C4A">
        <w:rPr>
          <w:rFonts w:cs="Times New Roman"/>
        </w:rPr>
        <w:t>stopada</w:t>
      </w:r>
      <w:r w:rsidRPr="00194C4A">
        <w:rPr>
          <w:rFonts w:cs="Times New Roman"/>
        </w:rPr>
        <w:t xml:space="preserve"> 201</w:t>
      </w:r>
      <w:r w:rsidR="00C21F14" w:rsidRPr="00194C4A">
        <w:rPr>
          <w:rFonts w:cs="Times New Roman"/>
        </w:rPr>
        <w:t>7</w:t>
      </w:r>
      <w:r w:rsidRPr="00194C4A">
        <w:rPr>
          <w:rFonts w:cs="Times New Roman"/>
        </w:rPr>
        <w:t xml:space="preserve"> r. zmieniającym rozporządzenie w sprawie warunków technicznych</w:t>
      </w:r>
      <w:r w:rsidR="00C539FE">
        <w:rPr>
          <w:rFonts w:cs="Times New Roman"/>
        </w:rPr>
        <w:t>,</w:t>
      </w:r>
      <w:r w:rsidRPr="00194C4A">
        <w:rPr>
          <w:rFonts w:cs="Times New Roman"/>
        </w:rPr>
        <w:t xml:space="preserve"> jakim powinny odpowiadać budynki i ich usytuowanie (Dz.U. z 201</w:t>
      </w:r>
      <w:r w:rsidR="00C21F14" w:rsidRPr="00194C4A">
        <w:rPr>
          <w:rFonts w:cs="Times New Roman"/>
        </w:rPr>
        <w:t>7</w:t>
      </w:r>
      <w:r w:rsidRPr="00194C4A">
        <w:rPr>
          <w:rFonts w:cs="Times New Roman"/>
        </w:rPr>
        <w:t xml:space="preserve"> r. poz. 22</w:t>
      </w:r>
      <w:r w:rsidR="00C21F14" w:rsidRPr="00194C4A">
        <w:rPr>
          <w:rFonts w:cs="Times New Roman"/>
        </w:rPr>
        <w:t>85</w:t>
      </w:r>
      <w:r w:rsidRPr="00194C4A">
        <w:rPr>
          <w:rFonts w:cs="Times New Roman"/>
        </w:rPr>
        <w:t>). Poniżej przedstawiono wymagania odnośnie granicznych wartości wskaźnika jednostkowego zapotrzebowania energii pierwotnej oraz maksymalnych wartości współczynników przenikania ciepła przegród.</w:t>
      </w:r>
    </w:p>
    <w:p w:rsidR="00640B15" w:rsidRPr="003A425C" w:rsidRDefault="00640B15" w:rsidP="00640B15">
      <w:pPr>
        <w:pStyle w:val="Legenda"/>
        <w:keepNext/>
        <w:rPr>
          <w:sz w:val="20"/>
        </w:rPr>
      </w:pPr>
      <w:bookmarkStart w:id="103" w:name="_Toc77322008"/>
      <w:bookmarkStart w:id="104" w:name="_Ref444524123"/>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6</w:t>
      </w:r>
      <w:r w:rsidR="00A05E44" w:rsidRPr="003A425C">
        <w:rPr>
          <w:sz w:val="20"/>
        </w:rPr>
        <w:fldChar w:fldCharType="end"/>
      </w:r>
      <w:r w:rsidRPr="003A425C">
        <w:rPr>
          <w:sz w:val="20"/>
        </w:rPr>
        <w:t xml:space="preserve"> Wartości energii pierwotnej</w:t>
      </w:r>
      <w:bookmarkEnd w:id="103"/>
    </w:p>
    <w:tbl>
      <w:tblPr>
        <w:tblStyle w:val="Tabelasiatki1jasnaakcent11"/>
        <w:tblW w:w="9171" w:type="dxa"/>
        <w:tblLayout w:type="fixed"/>
        <w:tblLook w:val="0000"/>
      </w:tblPr>
      <w:tblGrid>
        <w:gridCol w:w="4282"/>
        <w:gridCol w:w="2288"/>
        <w:gridCol w:w="2601"/>
      </w:tblGrid>
      <w:tr w:rsidR="00C21F14" w:rsidRPr="00194C4A" w:rsidTr="00640B15">
        <w:trPr>
          <w:trHeight w:val="312"/>
        </w:trPr>
        <w:tc>
          <w:tcPr>
            <w:tcW w:w="4282" w:type="dxa"/>
            <w:vMerge w:val="restart"/>
          </w:tcPr>
          <w:bookmarkEnd w:id="104"/>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Rodzaj budynku</w:t>
            </w:r>
          </w:p>
        </w:tc>
        <w:tc>
          <w:tcPr>
            <w:tcW w:w="4889" w:type="dxa"/>
            <w:gridSpan w:val="2"/>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Cząstkowe wartości wskaźnika EP na potrzeby ogrzewania, wentylacji i przygotowania ciepłej wody EP</w:t>
            </w:r>
            <w:r w:rsidRPr="00194C4A">
              <w:rPr>
                <w:rFonts w:ascii="Times New Roman" w:hAnsi="Times New Roman" w:cs="Times New Roman"/>
                <w:sz w:val="16"/>
                <w:szCs w:val="16"/>
                <w:vertAlign w:val="subscript"/>
              </w:rPr>
              <w:t xml:space="preserve">H+W </w:t>
            </w:r>
            <w:r w:rsidRPr="00194C4A">
              <w:rPr>
                <w:rFonts w:ascii="Times New Roman" w:hAnsi="Times New Roman" w:cs="Times New Roman"/>
                <w:sz w:val="16"/>
                <w:szCs w:val="16"/>
              </w:rPr>
              <w:t>[kWh/(m</w:t>
            </w:r>
            <w:r w:rsidRPr="00194C4A">
              <w:rPr>
                <w:rFonts w:ascii="Times New Roman" w:hAnsi="Times New Roman" w:cs="Times New Roman"/>
                <w:sz w:val="16"/>
                <w:szCs w:val="16"/>
                <w:vertAlign w:val="superscript"/>
              </w:rPr>
              <w:t>2</w:t>
            </w:r>
            <w:r w:rsidRPr="00194C4A">
              <w:rPr>
                <w:rFonts w:ascii="Times New Roman" w:hAnsi="Times New Roman" w:cs="Times New Roman"/>
                <w:sz w:val="16"/>
                <w:szCs w:val="16"/>
              </w:rPr>
              <w:t>·rok)]</w:t>
            </w:r>
          </w:p>
        </w:tc>
      </w:tr>
      <w:tr w:rsidR="00C21F14" w:rsidRPr="00194C4A" w:rsidTr="00640B15">
        <w:trPr>
          <w:trHeight w:val="312"/>
        </w:trPr>
        <w:tc>
          <w:tcPr>
            <w:tcW w:w="4282" w:type="dxa"/>
            <w:vMerge/>
          </w:tcPr>
          <w:p w:rsidR="00C21F14" w:rsidRPr="00194C4A" w:rsidRDefault="00C21F14" w:rsidP="00AE5716">
            <w:pPr>
              <w:jc w:val="center"/>
              <w:rPr>
                <w:rFonts w:ascii="Times New Roman" w:hAnsi="Times New Roman" w:cs="Times New Roman"/>
                <w:sz w:val="16"/>
                <w:szCs w:val="16"/>
              </w:rPr>
            </w:pP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od 1 stycznia 2017 r.</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od 31 grudnia 2020 r.*)</w:t>
            </w:r>
          </w:p>
        </w:tc>
      </w:tr>
      <w:tr w:rsidR="00C21F14" w:rsidRPr="00194C4A" w:rsidTr="00640B15">
        <w:trPr>
          <w:trHeight w:val="312"/>
        </w:trPr>
        <w:tc>
          <w:tcPr>
            <w:tcW w:w="4282" w:type="dxa"/>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Budynki mieszkalne jednorodzinne</w:t>
            </w: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95</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70</w:t>
            </w:r>
          </w:p>
        </w:tc>
      </w:tr>
      <w:tr w:rsidR="00C21F14" w:rsidRPr="00194C4A" w:rsidTr="00640B15">
        <w:trPr>
          <w:trHeight w:val="312"/>
        </w:trPr>
        <w:tc>
          <w:tcPr>
            <w:tcW w:w="4282" w:type="dxa"/>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Budynki mieszkalny wielorodzinne</w:t>
            </w: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85</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65</w:t>
            </w:r>
          </w:p>
        </w:tc>
      </w:tr>
      <w:tr w:rsidR="00C21F14" w:rsidRPr="00194C4A" w:rsidTr="00640B15">
        <w:trPr>
          <w:trHeight w:val="312"/>
        </w:trPr>
        <w:tc>
          <w:tcPr>
            <w:tcW w:w="4282" w:type="dxa"/>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Budynki zamieszkania zbiorowego</w:t>
            </w: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85</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75</w:t>
            </w:r>
          </w:p>
        </w:tc>
      </w:tr>
      <w:tr w:rsidR="00C21F14" w:rsidRPr="00194C4A" w:rsidTr="00640B15">
        <w:trPr>
          <w:trHeight w:val="312"/>
        </w:trPr>
        <w:tc>
          <w:tcPr>
            <w:tcW w:w="4282" w:type="dxa"/>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Budynki opieki zdrowotnej</w:t>
            </w: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290</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190</w:t>
            </w:r>
          </w:p>
        </w:tc>
      </w:tr>
      <w:tr w:rsidR="00C21F14" w:rsidRPr="00194C4A" w:rsidTr="00640B15">
        <w:trPr>
          <w:trHeight w:val="312"/>
        </w:trPr>
        <w:tc>
          <w:tcPr>
            <w:tcW w:w="4282" w:type="dxa"/>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Budynki użyteczności publicznej pozostałe</w:t>
            </w: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60</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45</w:t>
            </w:r>
          </w:p>
        </w:tc>
      </w:tr>
      <w:tr w:rsidR="00C21F14" w:rsidRPr="00194C4A" w:rsidTr="00640B15">
        <w:trPr>
          <w:trHeight w:val="312"/>
        </w:trPr>
        <w:tc>
          <w:tcPr>
            <w:tcW w:w="4282" w:type="dxa"/>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Budynki gospodarcze, magazynowe i produkcyjne</w:t>
            </w:r>
          </w:p>
        </w:tc>
        <w:tc>
          <w:tcPr>
            <w:tcW w:w="2288"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90</w:t>
            </w:r>
          </w:p>
        </w:tc>
        <w:tc>
          <w:tcPr>
            <w:tcW w:w="2601" w:type="dxa"/>
          </w:tcPr>
          <w:p w:rsidR="00C21F14" w:rsidRPr="00194C4A" w:rsidRDefault="00C21F14" w:rsidP="00AE5716">
            <w:pPr>
              <w:jc w:val="center"/>
              <w:rPr>
                <w:rFonts w:ascii="Times New Roman" w:hAnsi="Times New Roman" w:cs="Times New Roman"/>
                <w:sz w:val="16"/>
                <w:szCs w:val="16"/>
              </w:rPr>
            </w:pPr>
            <w:r w:rsidRPr="00194C4A">
              <w:rPr>
                <w:rFonts w:ascii="Times New Roman" w:hAnsi="Times New Roman" w:cs="Times New Roman"/>
                <w:sz w:val="16"/>
                <w:szCs w:val="16"/>
              </w:rPr>
              <w:t>70</w:t>
            </w:r>
          </w:p>
        </w:tc>
      </w:tr>
      <w:tr w:rsidR="00C21F14" w:rsidRPr="00194C4A" w:rsidTr="00640B15">
        <w:trPr>
          <w:trHeight w:val="312"/>
        </w:trPr>
        <w:tc>
          <w:tcPr>
            <w:tcW w:w="9171" w:type="dxa"/>
            <w:gridSpan w:val="3"/>
          </w:tcPr>
          <w:p w:rsidR="00C21F14" w:rsidRPr="00194C4A" w:rsidRDefault="00C21F14" w:rsidP="00AE5716">
            <w:pPr>
              <w:rPr>
                <w:rFonts w:ascii="Times New Roman" w:hAnsi="Times New Roman" w:cs="Times New Roman"/>
                <w:sz w:val="16"/>
                <w:szCs w:val="16"/>
              </w:rPr>
            </w:pPr>
            <w:r w:rsidRPr="00194C4A">
              <w:rPr>
                <w:rFonts w:ascii="Times New Roman" w:hAnsi="Times New Roman" w:cs="Times New Roman"/>
                <w:sz w:val="16"/>
                <w:szCs w:val="16"/>
              </w:rPr>
              <w:t>*) Od 1 stycznia 2019 r. − w przypadku budynku zajmowanego przez organ wymiaru sprawiedliwości, prokuraturę lub organ administracji publicznej i będącego jego własnością.</w:t>
            </w:r>
          </w:p>
        </w:tc>
      </w:tr>
    </w:tbl>
    <w:p w:rsidR="003D61A3" w:rsidRPr="00640B15" w:rsidRDefault="00640B15" w:rsidP="00156322">
      <w:pPr>
        <w:pStyle w:val="tekst"/>
        <w:ind w:firstLine="0"/>
        <w:rPr>
          <w:rFonts w:cs="Times New Roman"/>
          <w:i/>
          <w:sz w:val="22"/>
          <w:szCs w:val="22"/>
        </w:rPr>
      </w:pPr>
      <w:r w:rsidRPr="00640B15">
        <w:rPr>
          <w:rFonts w:cs="Times New Roman"/>
          <w:i/>
          <w:sz w:val="22"/>
          <w:szCs w:val="22"/>
        </w:rPr>
        <w:t>Źródło: Rozporządzenie w sprawie warunków technicznych</w:t>
      </w:r>
      <w:r w:rsidR="00365E20">
        <w:rPr>
          <w:rFonts w:cs="Times New Roman"/>
          <w:i/>
          <w:sz w:val="22"/>
          <w:szCs w:val="22"/>
        </w:rPr>
        <w:t>.</w:t>
      </w:r>
    </w:p>
    <w:p w:rsidR="00F6288B" w:rsidRPr="00194C4A" w:rsidRDefault="00F6288B" w:rsidP="00156322">
      <w:pPr>
        <w:pStyle w:val="podpis"/>
        <w:spacing w:after="240"/>
        <w:rPr>
          <w:rFonts w:cs="Times New Roman"/>
        </w:rPr>
      </w:pPr>
      <w:bookmarkStart w:id="105" w:name="_Ref444524125"/>
    </w:p>
    <w:p w:rsidR="003D61A3" w:rsidRPr="003A425C" w:rsidRDefault="00640B15" w:rsidP="00640B15">
      <w:pPr>
        <w:pStyle w:val="Legenda"/>
        <w:rPr>
          <w:rFonts w:cs="Times New Roman"/>
          <w:sz w:val="20"/>
        </w:rPr>
      </w:pPr>
      <w:bookmarkStart w:id="106" w:name="_Toc77322009"/>
      <w:bookmarkEnd w:id="105"/>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7</w:t>
      </w:r>
      <w:r w:rsidR="00A05E44" w:rsidRPr="003A425C">
        <w:rPr>
          <w:sz w:val="20"/>
        </w:rPr>
        <w:fldChar w:fldCharType="end"/>
      </w:r>
      <w:r w:rsidRPr="003A425C">
        <w:rPr>
          <w:sz w:val="20"/>
        </w:rPr>
        <w:t xml:space="preserve"> Wartości dot. przenikalności cieplnej przegród budowlanych</w:t>
      </w:r>
      <w:bookmarkEnd w:id="106"/>
    </w:p>
    <w:tbl>
      <w:tblPr>
        <w:tblStyle w:val="Tabelasiatki1jasnaakcent11"/>
        <w:tblW w:w="9072" w:type="dxa"/>
        <w:tblLayout w:type="fixed"/>
        <w:tblLook w:val="0000"/>
      </w:tblPr>
      <w:tblGrid>
        <w:gridCol w:w="5027"/>
        <w:gridCol w:w="2061"/>
        <w:gridCol w:w="1984"/>
      </w:tblGrid>
      <w:tr w:rsidR="003D61A3" w:rsidRPr="00194C4A" w:rsidTr="00640B15">
        <w:trPr>
          <w:trHeight w:val="284"/>
        </w:trPr>
        <w:tc>
          <w:tcPr>
            <w:tcW w:w="5027" w:type="dxa"/>
            <w:vMerge w:val="restart"/>
          </w:tcPr>
          <w:p w:rsidR="003D61A3" w:rsidRPr="00194C4A" w:rsidRDefault="003D61A3" w:rsidP="003D61A3">
            <w:pPr>
              <w:jc w:val="center"/>
              <w:rPr>
                <w:rFonts w:ascii="Times New Roman" w:hAnsi="Times New Roman" w:cs="Times New Roman"/>
                <w:sz w:val="16"/>
                <w:szCs w:val="16"/>
              </w:rPr>
            </w:pPr>
            <w:r w:rsidRPr="00194C4A">
              <w:rPr>
                <w:rFonts w:ascii="Times New Roman" w:hAnsi="Times New Roman" w:cs="Times New Roman"/>
                <w:sz w:val="16"/>
                <w:szCs w:val="16"/>
              </w:rPr>
              <w:t>Rodzaj przegrody i temperatura w pomieszczeniu</w:t>
            </w:r>
          </w:p>
        </w:tc>
        <w:tc>
          <w:tcPr>
            <w:tcW w:w="4045" w:type="dxa"/>
            <w:gridSpan w:val="2"/>
          </w:tcPr>
          <w:p w:rsidR="003D61A3" w:rsidRPr="00194C4A" w:rsidRDefault="003D61A3" w:rsidP="003D61A3">
            <w:pPr>
              <w:jc w:val="center"/>
              <w:rPr>
                <w:rFonts w:ascii="Times New Roman" w:hAnsi="Times New Roman" w:cs="Times New Roman"/>
                <w:sz w:val="16"/>
                <w:szCs w:val="16"/>
              </w:rPr>
            </w:pPr>
            <w:r w:rsidRPr="00194C4A">
              <w:rPr>
                <w:rFonts w:ascii="Times New Roman" w:hAnsi="Times New Roman" w:cs="Times New Roman"/>
                <w:sz w:val="16"/>
                <w:szCs w:val="16"/>
              </w:rPr>
              <w:t>U</w:t>
            </w:r>
            <w:r w:rsidRPr="00194C4A">
              <w:rPr>
                <w:rFonts w:ascii="Times New Roman" w:hAnsi="Times New Roman" w:cs="Times New Roman"/>
                <w:sz w:val="16"/>
                <w:szCs w:val="16"/>
                <w:vertAlign w:val="subscript"/>
              </w:rPr>
              <w:t>C(max)</w:t>
            </w:r>
            <w:r w:rsidRPr="00194C4A">
              <w:rPr>
                <w:rFonts w:ascii="Times New Roman" w:hAnsi="Times New Roman" w:cs="Times New Roman"/>
                <w:sz w:val="16"/>
                <w:szCs w:val="16"/>
              </w:rPr>
              <w:t xml:space="preserve"> [W/(m</w:t>
            </w:r>
            <w:r w:rsidRPr="00194C4A">
              <w:rPr>
                <w:rFonts w:ascii="Times New Roman" w:hAnsi="Times New Roman" w:cs="Times New Roman"/>
                <w:sz w:val="16"/>
                <w:szCs w:val="16"/>
                <w:vertAlign w:val="superscript"/>
              </w:rPr>
              <w:t>2</w:t>
            </w:r>
            <w:r w:rsidRPr="00194C4A">
              <w:rPr>
                <w:rFonts w:ascii="Times New Roman" w:hAnsi="Times New Roman" w:cs="Times New Roman"/>
                <w:sz w:val="16"/>
                <w:szCs w:val="16"/>
              </w:rPr>
              <w:t>K)]</w:t>
            </w:r>
          </w:p>
        </w:tc>
      </w:tr>
      <w:tr w:rsidR="00952F52" w:rsidRPr="00194C4A" w:rsidTr="00640B15">
        <w:trPr>
          <w:trHeight w:val="284"/>
        </w:trPr>
        <w:tc>
          <w:tcPr>
            <w:tcW w:w="5027" w:type="dxa"/>
            <w:vMerge/>
          </w:tcPr>
          <w:p w:rsidR="00952F52" w:rsidRPr="00194C4A" w:rsidRDefault="00952F52" w:rsidP="00952F52">
            <w:pPr>
              <w:jc w:val="center"/>
              <w:rPr>
                <w:rFonts w:ascii="Times New Roman" w:hAnsi="Times New Roman" w:cs="Times New Roman"/>
                <w:sz w:val="16"/>
                <w:szCs w:val="16"/>
              </w:rPr>
            </w:pPr>
          </w:p>
        </w:tc>
        <w:tc>
          <w:tcPr>
            <w:tcW w:w="2061" w:type="dxa"/>
          </w:tcPr>
          <w:p w:rsidR="00952F52" w:rsidRPr="00194C4A" w:rsidRDefault="00952F52" w:rsidP="00952F52">
            <w:pPr>
              <w:jc w:val="center"/>
              <w:rPr>
                <w:rFonts w:ascii="Times New Roman" w:hAnsi="Times New Roman" w:cs="Times New Roman"/>
                <w:sz w:val="16"/>
                <w:szCs w:val="16"/>
              </w:rPr>
            </w:pPr>
            <w:r w:rsidRPr="00194C4A">
              <w:rPr>
                <w:rFonts w:ascii="Times New Roman" w:hAnsi="Times New Roman" w:cs="Times New Roman"/>
                <w:sz w:val="16"/>
                <w:szCs w:val="16"/>
              </w:rPr>
              <w:t>od 1 stycznia 2017 r.</w:t>
            </w:r>
          </w:p>
        </w:tc>
        <w:tc>
          <w:tcPr>
            <w:tcW w:w="1984" w:type="dxa"/>
          </w:tcPr>
          <w:p w:rsidR="00952F52" w:rsidRPr="00194C4A" w:rsidRDefault="00952F52" w:rsidP="00952F52">
            <w:pPr>
              <w:jc w:val="center"/>
              <w:rPr>
                <w:rFonts w:ascii="Times New Roman" w:hAnsi="Times New Roman" w:cs="Times New Roman"/>
                <w:sz w:val="16"/>
                <w:szCs w:val="16"/>
              </w:rPr>
            </w:pPr>
            <w:r w:rsidRPr="00194C4A">
              <w:rPr>
                <w:rFonts w:ascii="Times New Roman" w:hAnsi="Times New Roman" w:cs="Times New Roman"/>
                <w:sz w:val="16"/>
                <w:szCs w:val="16"/>
              </w:rPr>
              <w:t>od 31 grudnia 2020 r.*)</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Ściany zewnętrzne</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0.23</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0.20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r w:rsidRPr="00194C4A">
              <w:rPr>
                <w:rFonts w:ascii="Times New Roman" w:hAnsi="Times New Roman" w:cs="Times New Roman"/>
                <w:sz w:val="16"/>
                <w:szCs w:val="16"/>
              </w:rPr>
              <w:sym w:font="Symbol" w:char="F0A3"/>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0.45</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0.45</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0.90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0.90</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Ściany wewnętrzne</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r w:rsidRPr="00194C4A">
              <w:rPr>
                <w:rFonts w:ascii="Times New Roman" w:hAnsi="Times New Roman" w:cs="Times New Roman"/>
                <w:sz w:val="16"/>
                <w:szCs w:val="16"/>
              </w:rPr>
              <w:sym w:font="Symbol" w:char="F044"/>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r w:rsidRPr="00194C4A">
              <w:rPr>
                <w:rFonts w:ascii="Times New Roman" w:hAnsi="Times New Roman" w:cs="Times New Roman"/>
                <w:sz w:val="16"/>
                <w:szCs w:val="16"/>
              </w:rPr>
              <w:t xml:space="preserve"> oraz oddzielające pomieszczenia ogrzewane od klatek schodowych i korytarzy</w:t>
            </w:r>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lastRenderedPageBreak/>
              <w:t xml:space="preserve">przy </w:t>
            </w:r>
            <w:r w:rsidRPr="00194C4A">
              <w:rPr>
                <w:rFonts w:ascii="Times New Roman" w:hAnsi="Times New Roman" w:cs="Times New Roman"/>
                <w:sz w:val="16"/>
                <w:szCs w:val="16"/>
              </w:rPr>
              <w:sym w:font="Symbol" w:char="F044"/>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oddzielające pomieszczenie ogrzewane od nieogrzewanego</w:t>
            </w:r>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Ściany przyległe do szczelin dylatacyjnych o szerokości</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do </w:t>
            </w:r>
            <w:smartTag w:uri="urn:schemas-microsoft-com:office:smarttags" w:element="metricconverter">
              <w:smartTagPr>
                <w:attr w:name="ProductID" w:val="5 cm"/>
              </w:smartTagPr>
              <w:r w:rsidRPr="00194C4A">
                <w:rPr>
                  <w:rFonts w:ascii="Times New Roman" w:hAnsi="Times New Roman" w:cs="Times New Roman"/>
                  <w:sz w:val="16"/>
                  <w:szCs w:val="16"/>
                </w:rPr>
                <w:t>5 cm</w:t>
              </w:r>
            </w:smartTag>
            <w:r w:rsidRPr="00194C4A">
              <w:rPr>
                <w:rFonts w:ascii="Times New Roman" w:hAnsi="Times New Roman" w:cs="Times New Roman"/>
                <w:sz w:val="16"/>
                <w:szCs w:val="16"/>
              </w:rPr>
              <w:t xml:space="preserve">, trwale zamkniętych i wypełnionych izolacją cieplną na głębokości co najmniej </w:t>
            </w:r>
            <w:smartTag w:uri="urn:schemas-microsoft-com:office:smarttags" w:element="metricconverter">
              <w:smartTagPr>
                <w:attr w:name="ProductID" w:val="20 cm"/>
              </w:smartTagPr>
              <w:r w:rsidRPr="00194C4A">
                <w:rPr>
                  <w:rFonts w:ascii="Times New Roman" w:hAnsi="Times New Roman" w:cs="Times New Roman"/>
                  <w:sz w:val="16"/>
                  <w:szCs w:val="16"/>
                </w:rPr>
                <w:t>20 cm</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powyżej </w:t>
            </w:r>
            <w:smartTag w:uri="urn:schemas-microsoft-com:office:smarttags" w:element="metricconverter">
              <w:smartTagPr>
                <w:attr w:name="ProductID" w:val="5 cm"/>
              </w:smartTagPr>
              <w:r w:rsidRPr="00194C4A">
                <w:rPr>
                  <w:rFonts w:ascii="Times New Roman" w:hAnsi="Times New Roman" w:cs="Times New Roman"/>
                  <w:sz w:val="16"/>
                  <w:szCs w:val="16"/>
                </w:rPr>
                <w:t>5 cm</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0.70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0.70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Ściany nieogrzewanych kondygnacji podziemnych</w:t>
            </w:r>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Dachy, stropodachy i stropy pod nieogrzewanym poddaszami lub nad przejazdami</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0.18</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0.15</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r w:rsidRPr="00194C4A">
              <w:rPr>
                <w:rFonts w:ascii="Times New Roman" w:hAnsi="Times New Roman" w:cs="Times New Roman"/>
                <w:sz w:val="16"/>
                <w:szCs w:val="16"/>
              </w:rPr>
              <w:sym w:font="Symbol" w:char="F0A3"/>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0.70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0.70</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Podłogi na gruncie</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r w:rsidRPr="00194C4A">
              <w:rPr>
                <w:rFonts w:ascii="Times New Roman" w:hAnsi="Times New Roman" w:cs="Times New Roman"/>
                <w:sz w:val="16"/>
                <w:szCs w:val="16"/>
              </w:rPr>
              <w:sym w:font="Symbol" w:char="F0A3"/>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1.20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1.20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1.50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1.50</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Stropy nad pomieszczeniami nieogrzewanym i zamkniętymi przestrzeniami podpodłogowymi</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0.25</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0.25</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r w:rsidRPr="00194C4A">
              <w:rPr>
                <w:rFonts w:ascii="Times New Roman" w:hAnsi="Times New Roman" w:cs="Times New Roman"/>
                <w:sz w:val="16"/>
                <w:szCs w:val="16"/>
              </w:rPr>
              <w:sym w:font="Symbol" w:char="F0A3"/>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0.30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r>
      <w:tr w:rsidR="003D61A3" w:rsidRPr="00194C4A" w:rsidTr="00640B15">
        <w:trPr>
          <w:trHeight w:val="284"/>
        </w:trPr>
        <w:tc>
          <w:tcPr>
            <w:tcW w:w="9072" w:type="dxa"/>
            <w:gridSpan w:val="3"/>
          </w:tcPr>
          <w:p w:rsidR="003D61A3" w:rsidRPr="00194C4A" w:rsidRDefault="003D61A3" w:rsidP="003D61A3">
            <w:pPr>
              <w:jc w:val="center"/>
              <w:rPr>
                <w:rFonts w:ascii="Times New Roman" w:hAnsi="Times New Roman" w:cs="Times New Roman"/>
                <w:b/>
                <w:sz w:val="16"/>
                <w:szCs w:val="16"/>
              </w:rPr>
            </w:pPr>
            <w:r w:rsidRPr="00194C4A">
              <w:rPr>
                <w:rFonts w:ascii="Times New Roman" w:hAnsi="Times New Roman" w:cs="Times New Roman"/>
                <w:b/>
                <w:sz w:val="16"/>
                <w:szCs w:val="16"/>
              </w:rPr>
              <w:t>Stropy nad ogrzewanymi kondygnacjami podziemnymi i międzykondygnacyjne</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r w:rsidRPr="00194C4A">
              <w:rPr>
                <w:rFonts w:ascii="Times New Roman" w:hAnsi="Times New Roman" w:cs="Times New Roman"/>
                <w:sz w:val="16"/>
                <w:szCs w:val="16"/>
              </w:rPr>
              <w:sym w:font="Symbol" w:char="F044"/>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r w:rsidRPr="00194C4A">
              <w:rPr>
                <w:rFonts w:ascii="Times New Roman" w:hAnsi="Times New Roman" w:cs="Times New Roman"/>
                <w:sz w:val="16"/>
                <w:szCs w:val="16"/>
              </w:rPr>
              <w:t xml:space="preserve"> oraz oddzielające pomieszczenia ogrzewane od klatek schodowych i korytarzy</w:t>
            </w:r>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1.00</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 xml:space="preserve">przy </w:t>
            </w:r>
            <w:r w:rsidRPr="00194C4A">
              <w:rPr>
                <w:rFonts w:ascii="Times New Roman" w:hAnsi="Times New Roman" w:cs="Times New Roman"/>
                <w:sz w:val="16"/>
                <w:szCs w:val="16"/>
              </w:rPr>
              <w:sym w:font="Symbol" w:char="F044"/>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r>
      <w:tr w:rsidR="00952F52" w:rsidRPr="00194C4A" w:rsidTr="00640B15">
        <w:trPr>
          <w:trHeight w:val="284"/>
        </w:trPr>
        <w:tc>
          <w:tcPr>
            <w:tcW w:w="5027" w:type="dxa"/>
          </w:tcPr>
          <w:p w:rsidR="00952F52" w:rsidRPr="00194C4A" w:rsidRDefault="00952F52" w:rsidP="003D61A3">
            <w:pPr>
              <w:rPr>
                <w:rFonts w:ascii="Times New Roman" w:hAnsi="Times New Roman" w:cs="Times New Roman"/>
                <w:sz w:val="16"/>
                <w:szCs w:val="16"/>
              </w:rPr>
            </w:pPr>
            <w:r w:rsidRPr="00194C4A">
              <w:rPr>
                <w:rFonts w:ascii="Times New Roman" w:hAnsi="Times New Roman" w:cs="Times New Roman"/>
                <w:sz w:val="16"/>
                <w:szCs w:val="16"/>
              </w:rPr>
              <w:t>oddzielające pomieszczenie ogrzewane od nieogrzewanego</w:t>
            </w:r>
          </w:p>
        </w:tc>
        <w:tc>
          <w:tcPr>
            <w:tcW w:w="2061"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0.25</w:t>
            </w:r>
          </w:p>
        </w:tc>
        <w:tc>
          <w:tcPr>
            <w:tcW w:w="1984" w:type="dxa"/>
          </w:tcPr>
          <w:p w:rsidR="00952F52" w:rsidRPr="00194C4A" w:rsidRDefault="00952F52" w:rsidP="003D61A3">
            <w:pPr>
              <w:jc w:val="center"/>
              <w:rPr>
                <w:rFonts w:ascii="Times New Roman" w:hAnsi="Times New Roman" w:cs="Times New Roman"/>
                <w:sz w:val="16"/>
                <w:szCs w:val="16"/>
              </w:rPr>
            </w:pPr>
            <w:r w:rsidRPr="00194C4A">
              <w:rPr>
                <w:rFonts w:ascii="Times New Roman" w:hAnsi="Times New Roman" w:cs="Times New Roman"/>
                <w:sz w:val="16"/>
                <w:szCs w:val="16"/>
              </w:rPr>
              <w:t>0.25</w:t>
            </w:r>
          </w:p>
        </w:tc>
      </w:tr>
      <w:tr w:rsidR="003D61A3" w:rsidRPr="00194C4A" w:rsidTr="00640B15">
        <w:trPr>
          <w:trHeight w:val="284"/>
        </w:trPr>
        <w:tc>
          <w:tcPr>
            <w:tcW w:w="9072" w:type="dxa"/>
            <w:gridSpan w:val="3"/>
          </w:tcPr>
          <w:p w:rsidR="00952F52" w:rsidRPr="00194C4A" w:rsidRDefault="00952F52" w:rsidP="00952F52">
            <w:pPr>
              <w:spacing w:before="40"/>
              <w:rPr>
                <w:rFonts w:ascii="Times New Roman" w:hAnsi="Times New Roman" w:cs="Times New Roman"/>
                <w:sz w:val="16"/>
                <w:szCs w:val="16"/>
              </w:rPr>
            </w:pPr>
            <w:r w:rsidRPr="00194C4A">
              <w:rPr>
                <w:rFonts w:ascii="Times New Roman" w:hAnsi="Times New Roman" w:cs="Times New Roman"/>
                <w:sz w:val="16"/>
                <w:szCs w:val="16"/>
              </w:rPr>
              <w:t xml:space="preserve">Pomieszczenie ogrzewane – pomieszczenie, w którym na skutek działania systemu ogrzewania lub w wyniku bilansu strat i zysków ciepła utrzymywana jest temperatura, której wartość została określona w § 134 ust. 2 rozporządzenia. </w:t>
            </w:r>
          </w:p>
          <w:p w:rsidR="00952F52" w:rsidRPr="00194C4A" w:rsidRDefault="00952F52" w:rsidP="00952F52">
            <w:pPr>
              <w:spacing w:before="40"/>
              <w:rPr>
                <w:rFonts w:ascii="Times New Roman" w:hAnsi="Times New Roman" w:cs="Times New Roman"/>
                <w:sz w:val="16"/>
                <w:szCs w:val="16"/>
              </w:rPr>
            </w:pP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 xml:space="preserve"> – temperatura pomieszczenia ogrzewanego zgodnie z § 134 ust. 2 rozporządzenia. </w:t>
            </w:r>
          </w:p>
          <w:p w:rsidR="003D61A3" w:rsidRPr="00194C4A" w:rsidRDefault="00952F52" w:rsidP="00952F52">
            <w:pPr>
              <w:rPr>
                <w:rFonts w:ascii="Times New Roman" w:hAnsi="Times New Roman" w:cs="Times New Roman"/>
                <w:sz w:val="16"/>
                <w:szCs w:val="16"/>
              </w:rPr>
            </w:pPr>
            <w:r w:rsidRPr="00194C4A">
              <w:rPr>
                <w:rFonts w:ascii="Times New Roman" w:hAnsi="Times New Roman" w:cs="Times New Roman"/>
                <w:sz w:val="16"/>
                <w:szCs w:val="16"/>
              </w:rPr>
              <w:t>*) Od 1 stycznia 2019 r. – w przypadku budynku zajmowanego przez organ wymiaru sprawiedliwości, prokuraturę lub organ administracji publicznej i będącego jego własnością.</w:t>
            </w:r>
          </w:p>
        </w:tc>
      </w:tr>
    </w:tbl>
    <w:p w:rsidR="00640B15" w:rsidRPr="00640B15" w:rsidRDefault="00640B15" w:rsidP="00640B15">
      <w:pPr>
        <w:pStyle w:val="tekst"/>
        <w:ind w:firstLine="0"/>
        <w:rPr>
          <w:rFonts w:cs="Times New Roman"/>
          <w:i/>
          <w:sz w:val="22"/>
          <w:szCs w:val="22"/>
        </w:rPr>
      </w:pPr>
      <w:bookmarkStart w:id="107" w:name="_Ref367625636"/>
      <w:r w:rsidRPr="00640B15">
        <w:rPr>
          <w:rFonts w:cs="Times New Roman"/>
          <w:i/>
          <w:sz w:val="22"/>
          <w:szCs w:val="22"/>
        </w:rPr>
        <w:t>Źródło: Rozporządzenie w sprawie warunków technicznych</w:t>
      </w:r>
      <w:r w:rsidR="00277851">
        <w:rPr>
          <w:rFonts w:cs="Times New Roman"/>
          <w:i/>
          <w:sz w:val="22"/>
          <w:szCs w:val="22"/>
        </w:rPr>
        <w:t>.</w:t>
      </w:r>
    </w:p>
    <w:p w:rsidR="003D61A3" w:rsidRPr="00194C4A" w:rsidRDefault="003D61A3" w:rsidP="003D61A3">
      <w:pPr>
        <w:pStyle w:val="tekst"/>
        <w:rPr>
          <w:rFonts w:cs="Times New Roman"/>
        </w:rPr>
      </w:pPr>
    </w:p>
    <w:p w:rsidR="00640B15" w:rsidRPr="003A425C" w:rsidRDefault="00640B15" w:rsidP="00640B15">
      <w:pPr>
        <w:pStyle w:val="Legenda"/>
        <w:keepNext/>
        <w:rPr>
          <w:sz w:val="20"/>
        </w:rPr>
      </w:pPr>
      <w:bookmarkStart w:id="108" w:name="_Toc77322010"/>
      <w:bookmarkStart w:id="109" w:name="_Ref444524160"/>
      <w:bookmarkEnd w:id="107"/>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8</w:t>
      </w:r>
      <w:r w:rsidR="00A05E44" w:rsidRPr="003A425C">
        <w:rPr>
          <w:sz w:val="20"/>
        </w:rPr>
        <w:fldChar w:fldCharType="end"/>
      </w:r>
      <w:r w:rsidRPr="003A425C">
        <w:rPr>
          <w:sz w:val="20"/>
        </w:rPr>
        <w:t xml:space="preserve"> Wartości dla przenikania ciepła dla okien i drzwi</w:t>
      </w:r>
      <w:bookmarkEnd w:id="108"/>
    </w:p>
    <w:tbl>
      <w:tblPr>
        <w:tblStyle w:val="Tabelasiatki1jasnaakcent11"/>
        <w:tblW w:w="9072" w:type="dxa"/>
        <w:tblLayout w:type="fixed"/>
        <w:tblLook w:val="0000"/>
      </w:tblPr>
      <w:tblGrid>
        <w:gridCol w:w="4479"/>
        <w:gridCol w:w="2326"/>
        <w:gridCol w:w="2267"/>
      </w:tblGrid>
      <w:tr w:rsidR="003D61A3" w:rsidRPr="00194C4A" w:rsidTr="00640B15">
        <w:trPr>
          <w:trHeight w:val="284"/>
        </w:trPr>
        <w:tc>
          <w:tcPr>
            <w:tcW w:w="4479" w:type="dxa"/>
            <w:vMerge w:val="restart"/>
          </w:tcPr>
          <w:bookmarkEnd w:id="109"/>
          <w:p w:rsidR="003D61A3" w:rsidRPr="00194C4A" w:rsidRDefault="003D61A3"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Okna, drzwi balkonowe i drzwi zewnętrzne</w:t>
            </w:r>
          </w:p>
        </w:tc>
        <w:tc>
          <w:tcPr>
            <w:tcW w:w="4593" w:type="dxa"/>
            <w:gridSpan w:val="2"/>
          </w:tcPr>
          <w:p w:rsidR="003D61A3" w:rsidRPr="00194C4A" w:rsidRDefault="003D61A3"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Współczynnik przenikania ciepła U</w:t>
            </w:r>
            <w:r w:rsidRPr="00194C4A">
              <w:rPr>
                <w:rFonts w:ascii="Times New Roman" w:hAnsi="Times New Roman" w:cs="Times New Roman"/>
                <w:sz w:val="16"/>
                <w:szCs w:val="16"/>
                <w:vertAlign w:val="subscript"/>
              </w:rPr>
              <w:t>(max)</w:t>
            </w:r>
            <w:r w:rsidRPr="00194C4A">
              <w:rPr>
                <w:rFonts w:ascii="Times New Roman" w:hAnsi="Times New Roman" w:cs="Times New Roman"/>
                <w:sz w:val="16"/>
                <w:szCs w:val="16"/>
              </w:rPr>
              <w:t xml:space="preserve"> [W/(m</w:t>
            </w:r>
            <w:r w:rsidRPr="00194C4A">
              <w:rPr>
                <w:rFonts w:ascii="Times New Roman" w:hAnsi="Times New Roman" w:cs="Times New Roman"/>
                <w:sz w:val="16"/>
                <w:szCs w:val="16"/>
                <w:vertAlign w:val="superscript"/>
              </w:rPr>
              <w:t>2</w:t>
            </w:r>
            <w:r w:rsidRPr="00194C4A">
              <w:rPr>
                <w:rFonts w:ascii="Times New Roman" w:hAnsi="Times New Roman" w:cs="Times New Roman"/>
                <w:sz w:val="16"/>
                <w:szCs w:val="16"/>
              </w:rPr>
              <w:t>K)]</w:t>
            </w:r>
          </w:p>
        </w:tc>
      </w:tr>
      <w:tr w:rsidR="00952F52" w:rsidRPr="00194C4A" w:rsidTr="00640B15">
        <w:trPr>
          <w:trHeight w:val="284"/>
        </w:trPr>
        <w:tc>
          <w:tcPr>
            <w:tcW w:w="4479" w:type="dxa"/>
            <w:vMerge/>
          </w:tcPr>
          <w:p w:rsidR="00952F52" w:rsidRPr="00194C4A" w:rsidRDefault="00952F52" w:rsidP="00952F52">
            <w:pPr>
              <w:spacing w:before="40"/>
              <w:jc w:val="center"/>
              <w:rPr>
                <w:rFonts w:ascii="Times New Roman" w:hAnsi="Times New Roman" w:cs="Times New Roman"/>
                <w:sz w:val="16"/>
                <w:szCs w:val="16"/>
              </w:rPr>
            </w:pPr>
          </w:p>
        </w:tc>
        <w:tc>
          <w:tcPr>
            <w:tcW w:w="2326" w:type="dxa"/>
          </w:tcPr>
          <w:p w:rsidR="00952F52" w:rsidRPr="00194C4A" w:rsidRDefault="00952F52" w:rsidP="00952F52">
            <w:pPr>
              <w:jc w:val="center"/>
              <w:rPr>
                <w:rFonts w:ascii="Times New Roman" w:hAnsi="Times New Roman" w:cs="Times New Roman"/>
                <w:sz w:val="16"/>
                <w:szCs w:val="16"/>
              </w:rPr>
            </w:pPr>
            <w:r w:rsidRPr="00194C4A">
              <w:rPr>
                <w:rFonts w:ascii="Times New Roman" w:hAnsi="Times New Roman" w:cs="Times New Roman"/>
                <w:sz w:val="16"/>
                <w:szCs w:val="16"/>
              </w:rPr>
              <w:t>od 1 stycznia 2017 r.</w:t>
            </w:r>
          </w:p>
        </w:tc>
        <w:tc>
          <w:tcPr>
            <w:tcW w:w="2267" w:type="dxa"/>
          </w:tcPr>
          <w:p w:rsidR="00952F52" w:rsidRPr="00194C4A" w:rsidRDefault="00952F52" w:rsidP="00952F52">
            <w:pPr>
              <w:jc w:val="center"/>
              <w:rPr>
                <w:rFonts w:ascii="Times New Roman" w:hAnsi="Times New Roman" w:cs="Times New Roman"/>
                <w:sz w:val="16"/>
                <w:szCs w:val="16"/>
              </w:rPr>
            </w:pPr>
            <w:r w:rsidRPr="00194C4A">
              <w:rPr>
                <w:rFonts w:ascii="Times New Roman" w:hAnsi="Times New Roman" w:cs="Times New Roman"/>
                <w:sz w:val="16"/>
                <w:szCs w:val="16"/>
              </w:rPr>
              <w:t>od 31 grudnia 2020 r.*)</w:t>
            </w:r>
          </w:p>
        </w:tc>
      </w:tr>
      <w:tr w:rsidR="003D61A3" w:rsidRPr="00194C4A" w:rsidTr="00640B15">
        <w:trPr>
          <w:trHeight w:val="284"/>
        </w:trPr>
        <w:tc>
          <w:tcPr>
            <w:tcW w:w="9072" w:type="dxa"/>
            <w:gridSpan w:val="3"/>
          </w:tcPr>
          <w:p w:rsidR="003D61A3" w:rsidRPr="00194C4A" w:rsidRDefault="003D61A3" w:rsidP="003D61A3">
            <w:pPr>
              <w:spacing w:before="40"/>
              <w:jc w:val="center"/>
              <w:rPr>
                <w:rFonts w:ascii="Times New Roman" w:hAnsi="Times New Roman" w:cs="Times New Roman"/>
                <w:b/>
                <w:sz w:val="16"/>
                <w:szCs w:val="16"/>
              </w:rPr>
            </w:pPr>
            <w:r w:rsidRPr="00194C4A">
              <w:rPr>
                <w:rFonts w:ascii="Times New Roman" w:hAnsi="Times New Roman" w:cs="Times New Roman"/>
                <w:b/>
                <w:sz w:val="16"/>
                <w:szCs w:val="16"/>
              </w:rPr>
              <w:t>Okna (za wyjątkiem okien połaciowych), drzwi balkonowe i powierzchnie przezroczyste nieotwieralne</w:t>
            </w:r>
          </w:p>
        </w:tc>
      </w:tr>
      <w:tr w:rsidR="00952F52" w:rsidRPr="00194C4A" w:rsidTr="00640B15">
        <w:trPr>
          <w:trHeight w:val="284"/>
        </w:trPr>
        <w:tc>
          <w:tcPr>
            <w:tcW w:w="4479" w:type="dxa"/>
          </w:tcPr>
          <w:p w:rsidR="00952F52" w:rsidRPr="00194C4A" w:rsidRDefault="00952F52" w:rsidP="003D61A3">
            <w:pPr>
              <w:spacing w:before="40"/>
              <w:ind w:left="1440" w:hanging="1440"/>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326" w:type="dxa"/>
          </w:tcPr>
          <w:p w:rsidR="00952F52" w:rsidRPr="00194C4A" w:rsidRDefault="00952F52" w:rsidP="003D61A3">
            <w:pPr>
              <w:spacing w:before="40"/>
              <w:ind w:left="1440" w:hanging="1440"/>
              <w:jc w:val="center"/>
              <w:rPr>
                <w:rFonts w:ascii="Times New Roman" w:hAnsi="Times New Roman" w:cs="Times New Roman"/>
                <w:sz w:val="16"/>
                <w:szCs w:val="16"/>
              </w:rPr>
            </w:pPr>
            <w:r w:rsidRPr="00194C4A">
              <w:rPr>
                <w:rFonts w:ascii="Times New Roman" w:hAnsi="Times New Roman" w:cs="Times New Roman"/>
                <w:sz w:val="16"/>
                <w:szCs w:val="16"/>
              </w:rPr>
              <w:t>1.1</w:t>
            </w:r>
          </w:p>
        </w:tc>
        <w:tc>
          <w:tcPr>
            <w:tcW w:w="2267" w:type="dxa"/>
          </w:tcPr>
          <w:p w:rsidR="00952F52" w:rsidRPr="00194C4A" w:rsidRDefault="00952F52" w:rsidP="003D61A3">
            <w:pPr>
              <w:spacing w:before="40"/>
              <w:ind w:left="1440" w:hanging="1440"/>
              <w:jc w:val="center"/>
              <w:rPr>
                <w:rFonts w:ascii="Times New Roman" w:hAnsi="Times New Roman" w:cs="Times New Roman"/>
                <w:sz w:val="16"/>
                <w:szCs w:val="16"/>
              </w:rPr>
            </w:pPr>
            <w:r w:rsidRPr="00194C4A">
              <w:rPr>
                <w:rFonts w:ascii="Times New Roman" w:hAnsi="Times New Roman" w:cs="Times New Roman"/>
                <w:sz w:val="16"/>
                <w:szCs w:val="16"/>
              </w:rPr>
              <w:t>0.9</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1.6</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1.4</w:t>
            </w:r>
          </w:p>
        </w:tc>
      </w:tr>
      <w:tr w:rsidR="003D61A3" w:rsidRPr="00194C4A" w:rsidTr="00640B15">
        <w:trPr>
          <w:trHeight w:val="284"/>
        </w:trPr>
        <w:tc>
          <w:tcPr>
            <w:tcW w:w="9072" w:type="dxa"/>
            <w:gridSpan w:val="3"/>
          </w:tcPr>
          <w:p w:rsidR="003D61A3" w:rsidRPr="00194C4A" w:rsidRDefault="003D61A3" w:rsidP="003D61A3">
            <w:pPr>
              <w:spacing w:before="40"/>
              <w:jc w:val="center"/>
              <w:rPr>
                <w:rFonts w:ascii="Times New Roman" w:hAnsi="Times New Roman" w:cs="Times New Roman"/>
                <w:b/>
                <w:sz w:val="16"/>
                <w:szCs w:val="16"/>
              </w:rPr>
            </w:pPr>
            <w:r w:rsidRPr="00194C4A">
              <w:rPr>
                <w:rFonts w:ascii="Times New Roman" w:hAnsi="Times New Roman" w:cs="Times New Roman"/>
                <w:b/>
                <w:sz w:val="16"/>
                <w:szCs w:val="16"/>
              </w:rPr>
              <w:t>Okna połaciowe</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1.3</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1.1</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przy 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16ﾰC"/>
              </w:smartTagPr>
              <w:r w:rsidRPr="00194C4A">
                <w:rPr>
                  <w:rFonts w:ascii="Times New Roman" w:hAnsi="Times New Roman" w:cs="Times New Roman"/>
                  <w:sz w:val="16"/>
                  <w:szCs w:val="16"/>
                </w:rPr>
                <w:t>16°C</w:t>
              </w:r>
            </w:smartTag>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1.6</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1.4</w:t>
            </w:r>
          </w:p>
        </w:tc>
      </w:tr>
      <w:tr w:rsidR="003D61A3" w:rsidRPr="00194C4A" w:rsidTr="00640B15">
        <w:trPr>
          <w:trHeight w:val="284"/>
        </w:trPr>
        <w:tc>
          <w:tcPr>
            <w:tcW w:w="9072" w:type="dxa"/>
            <w:gridSpan w:val="3"/>
          </w:tcPr>
          <w:p w:rsidR="003D61A3" w:rsidRPr="00194C4A" w:rsidRDefault="003D61A3" w:rsidP="003D61A3">
            <w:pPr>
              <w:spacing w:before="40"/>
              <w:jc w:val="center"/>
              <w:rPr>
                <w:rFonts w:ascii="Times New Roman" w:hAnsi="Times New Roman" w:cs="Times New Roman"/>
                <w:b/>
                <w:sz w:val="16"/>
                <w:szCs w:val="16"/>
              </w:rPr>
            </w:pPr>
            <w:r w:rsidRPr="00194C4A">
              <w:rPr>
                <w:rFonts w:ascii="Times New Roman" w:hAnsi="Times New Roman" w:cs="Times New Roman"/>
                <w:b/>
                <w:sz w:val="16"/>
                <w:szCs w:val="16"/>
              </w:rPr>
              <w:t>Okna w ścianach wewnętrznych</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 xml:space="preserve">przy </w:t>
            </w:r>
            <w:r w:rsidRPr="00194C4A">
              <w:rPr>
                <w:rFonts w:ascii="Times New Roman" w:hAnsi="Times New Roman" w:cs="Times New Roman"/>
                <w:sz w:val="16"/>
                <w:szCs w:val="16"/>
              </w:rPr>
              <w:sym w:font="Symbol" w:char="F044"/>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sym w:font="Symbol" w:char="F0B3"/>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1.3</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1.1</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 xml:space="preserve">przy </w:t>
            </w:r>
            <w:r w:rsidRPr="00194C4A">
              <w:rPr>
                <w:rFonts w:ascii="Times New Roman" w:hAnsi="Times New Roman" w:cs="Times New Roman"/>
                <w:sz w:val="16"/>
                <w:szCs w:val="16"/>
              </w:rPr>
              <w:sym w:font="Symbol" w:char="F044"/>
            </w: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&lt;</w:t>
            </w:r>
            <w:smartTag w:uri="urn:schemas-microsoft-com:office:smarttags" w:element="metricconverter">
              <w:smartTagPr>
                <w:attr w:name="ProductID" w:val="8ﾰC"/>
              </w:smartTagPr>
              <w:r w:rsidRPr="00194C4A">
                <w:rPr>
                  <w:rFonts w:ascii="Times New Roman" w:hAnsi="Times New Roman" w:cs="Times New Roman"/>
                  <w:sz w:val="16"/>
                  <w:szCs w:val="16"/>
                </w:rPr>
                <w:t>8°C</w:t>
              </w:r>
            </w:smartTag>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oddzielające pomieszczenie ogrzewane od nieogrzewanego</w:t>
            </w:r>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1.3</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1.1</w:t>
            </w:r>
          </w:p>
        </w:tc>
      </w:tr>
      <w:tr w:rsidR="003D61A3" w:rsidRPr="00194C4A" w:rsidTr="00640B15">
        <w:trPr>
          <w:trHeight w:val="284"/>
        </w:trPr>
        <w:tc>
          <w:tcPr>
            <w:tcW w:w="9072" w:type="dxa"/>
            <w:gridSpan w:val="3"/>
          </w:tcPr>
          <w:p w:rsidR="003D61A3" w:rsidRPr="00194C4A" w:rsidRDefault="003D61A3" w:rsidP="003D61A3">
            <w:pPr>
              <w:spacing w:before="40"/>
              <w:jc w:val="center"/>
              <w:rPr>
                <w:rFonts w:ascii="Times New Roman" w:hAnsi="Times New Roman" w:cs="Times New Roman"/>
                <w:b/>
                <w:sz w:val="16"/>
                <w:szCs w:val="16"/>
              </w:rPr>
            </w:pPr>
            <w:r w:rsidRPr="00194C4A">
              <w:rPr>
                <w:rFonts w:ascii="Times New Roman" w:hAnsi="Times New Roman" w:cs="Times New Roman"/>
                <w:b/>
                <w:sz w:val="16"/>
                <w:szCs w:val="16"/>
              </w:rPr>
              <w:t>Drzwi</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Drzwi w przegrodach zewnętrznych lub w przegrodach miedzy pomieszczeniami ogrzewanymi i nieogrzewanymi</w:t>
            </w:r>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1.5</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1.3</w:t>
            </w:r>
          </w:p>
        </w:tc>
      </w:tr>
      <w:tr w:rsidR="003D61A3" w:rsidRPr="00194C4A" w:rsidTr="00640B15">
        <w:trPr>
          <w:trHeight w:val="284"/>
        </w:trPr>
        <w:tc>
          <w:tcPr>
            <w:tcW w:w="9072" w:type="dxa"/>
            <w:gridSpan w:val="3"/>
          </w:tcPr>
          <w:p w:rsidR="003D61A3" w:rsidRPr="00194C4A" w:rsidRDefault="003D61A3" w:rsidP="003D61A3">
            <w:pPr>
              <w:spacing w:before="40"/>
              <w:jc w:val="center"/>
              <w:rPr>
                <w:rFonts w:ascii="Times New Roman" w:hAnsi="Times New Roman" w:cs="Times New Roman"/>
                <w:b/>
                <w:sz w:val="16"/>
                <w:szCs w:val="16"/>
              </w:rPr>
            </w:pPr>
            <w:r w:rsidRPr="00194C4A">
              <w:rPr>
                <w:rFonts w:ascii="Times New Roman" w:hAnsi="Times New Roman" w:cs="Times New Roman"/>
                <w:b/>
                <w:sz w:val="16"/>
                <w:szCs w:val="16"/>
              </w:rPr>
              <w:t>Okna i drzwi pomieszczeń nieogrzewanych</w:t>
            </w:r>
          </w:p>
        </w:tc>
      </w:tr>
      <w:tr w:rsidR="00952F52" w:rsidRPr="00194C4A" w:rsidTr="00640B15">
        <w:trPr>
          <w:trHeight w:val="284"/>
        </w:trPr>
        <w:tc>
          <w:tcPr>
            <w:tcW w:w="4479" w:type="dxa"/>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Okna i drzwi zewnętrzne w przegrodach zewnętrznych pomieszczeń nieogrzewanych</w:t>
            </w:r>
          </w:p>
        </w:tc>
        <w:tc>
          <w:tcPr>
            <w:tcW w:w="2326"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c>
          <w:tcPr>
            <w:tcW w:w="2267" w:type="dxa"/>
          </w:tcPr>
          <w:p w:rsidR="00952F52" w:rsidRPr="00194C4A" w:rsidRDefault="00952F52" w:rsidP="003D61A3">
            <w:pPr>
              <w:spacing w:before="40"/>
              <w:jc w:val="center"/>
              <w:rPr>
                <w:rFonts w:ascii="Times New Roman" w:hAnsi="Times New Roman" w:cs="Times New Roman"/>
                <w:sz w:val="16"/>
                <w:szCs w:val="16"/>
              </w:rPr>
            </w:pPr>
            <w:r w:rsidRPr="00194C4A">
              <w:rPr>
                <w:rFonts w:ascii="Times New Roman" w:hAnsi="Times New Roman" w:cs="Times New Roman"/>
                <w:sz w:val="16"/>
                <w:szCs w:val="16"/>
              </w:rPr>
              <w:t>bez wymagań</w:t>
            </w:r>
          </w:p>
        </w:tc>
      </w:tr>
      <w:tr w:rsidR="003D61A3" w:rsidRPr="00194C4A" w:rsidTr="00640B15">
        <w:trPr>
          <w:trHeight w:val="284"/>
        </w:trPr>
        <w:tc>
          <w:tcPr>
            <w:tcW w:w="9072" w:type="dxa"/>
            <w:gridSpan w:val="3"/>
          </w:tcPr>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 xml:space="preserve">Pomieszczenie ogrzewane – pomieszczenie, w którym na skutek działania systemu ogrzewania lub w wyniku bilansu strat i zysków </w:t>
            </w:r>
            <w:r w:rsidRPr="00194C4A">
              <w:rPr>
                <w:rFonts w:ascii="Times New Roman" w:hAnsi="Times New Roman" w:cs="Times New Roman"/>
                <w:sz w:val="16"/>
                <w:szCs w:val="16"/>
              </w:rPr>
              <w:lastRenderedPageBreak/>
              <w:t xml:space="preserve">ciepła utrzymywana jest temperatura, której wartość została określona w § 134 ust. 2 rozporządzenia. </w:t>
            </w:r>
          </w:p>
          <w:p w:rsidR="00952F52"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t</w:t>
            </w:r>
            <w:r w:rsidRPr="00194C4A">
              <w:rPr>
                <w:rFonts w:ascii="Times New Roman" w:hAnsi="Times New Roman" w:cs="Times New Roman"/>
                <w:sz w:val="16"/>
                <w:szCs w:val="16"/>
                <w:vertAlign w:val="subscript"/>
              </w:rPr>
              <w:t>i</w:t>
            </w:r>
            <w:r w:rsidRPr="00194C4A">
              <w:rPr>
                <w:rFonts w:ascii="Times New Roman" w:hAnsi="Times New Roman" w:cs="Times New Roman"/>
                <w:sz w:val="16"/>
                <w:szCs w:val="16"/>
              </w:rPr>
              <w:t xml:space="preserve"> – temperatura pomieszczenia ogrzewanego zgodnie z § 134 ust. 2 rozporządzenia. </w:t>
            </w:r>
          </w:p>
          <w:p w:rsidR="003D61A3" w:rsidRPr="00194C4A" w:rsidRDefault="00952F52" w:rsidP="003D61A3">
            <w:pPr>
              <w:spacing w:before="40"/>
              <w:rPr>
                <w:rFonts w:ascii="Times New Roman" w:hAnsi="Times New Roman" w:cs="Times New Roman"/>
                <w:sz w:val="16"/>
                <w:szCs w:val="16"/>
              </w:rPr>
            </w:pPr>
            <w:r w:rsidRPr="00194C4A">
              <w:rPr>
                <w:rFonts w:ascii="Times New Roman" w:hAnsi="Times New Roman" w:cs="Times New Roman"/>
                <w:sz w:val="16"/>
                <w:szCs w:val="16"/>
              </w:rPr>
              <w:t>*) Od 1 stycznia 2019 r. – w przypadku budynku zajmowanego przez organ wymiaru sprawiedliwości, prokuraturę lub organ administracji publicznej i będącego jego własnością.</w:t>
            </w:r>
          </w:p>
        </w:tc>
      </w:tr>
    </w:tbl>
    <w:p w:rsidR="00640B15" w:rsidRDefault="00640B15" w:rsidP="00640B15">
      <w:pPr>
        <w:pStyle w:val="tekst"/>
        <w:ind w:firstLine="0"/>
        <w:rPr>
          <w:rFonts w:cs="Times New Roman"/>
          <w:i/>
          <w:sz w:val="22"/>
          <w:szCs w:val="22"/>
        </w:rPr>
      </w:pPr>
      <w:r w:rsidRPr="00640B15">
        <w:rPr>
          <w:rFonts w:cs="Times New Roman"/>
          <w:i/>
          <w:sz w:val="22"/>
          <w:szCs w:val="22"/>
        </w:rPr>
        <w:lastRenderedPageBreak/>
        <w:t>Źródło: Rozporządzenie w sprawie warunków technicznych</w:t>
      </w:r>
      <w:r w:rsidR="006C1155">
        <w:rPr>
          <w:rFonts w:cs="Times New Roman"/>
          <w:i/>
          <w:sz w:val="22"/>
          <w:szCs w:val="22"/>
        </w:rPr>
        <w:t>.</w:t>
      </w:r>
    </w:p>
    <w:p w:rsidR="003A425C" w:rsidRPr="00640B15" w:rsidRDefault="003A425C" w:rsidP="00640B15">
      <w:pPr>
        <w:pStyle w:val="tekst"/>
        <w:ind w:firstLine="0"/>
        <w:rPr>
          <w:rFonts w:cs="Times New Roman"/>
          <w:i/>
          <w:sz w:val="22"/>
          <w:szCs w:val="22"/>
        </w:rPr>
      </w:pPr>
    </w:p>
    <w:p w:rsidR="003D61A3" w:rsidRDefault="008F311F" w:rsidP="008F311F">
      <w:pPr>
        <w:pStyle w:val="Nagwek3"/>
        <w:rPr>
          <w:rFonts w:ascii="Times New Roman" w:hAnsi="Times New Roman" w:cs="Times New Roman"/>
        </w:rPr>
      </w:pPr>
      <w:bookmarkStart w:id="110" w:name="_Toc77321962"/>
      <w:r>
        <w:rPr>
          <w:rFonts w:ascii="Times New Roman" w:hAnsi="Times New Roman" w:cs="Times New Roman"/>
        </w:rPr>
        <w:t>4.1.</w:t>
      </w:r>
      <w:r w:rsidR="00B941F4">
        <w:rPr>
          <w:rFonts w:ascii="Times New Roman" w:hAnsi="Times New Roman" w:cs="Times New Roman"/>
        </w:rPr>
        <w:t>3</w:t>
      </w:r>
      <w:r w:rsidR="003D61A3" w:rsidRPr="00194C4A">
        <w:rPr>
          <w:rFonts w:ascii="Times New Roman" w:hAnsi="Times New Roman" w:cs="Times New Roman"/>
        </w:rPr>
        <w:t>Prognoza zapotrzebowania na ciepło</w:t>
      </w:r>
      <w:bookmarkEnd w:id="110"/>
    </w:p>
    <w:p w:rsidR="009D279A" w:rsidRDefault="009D279A" w:rsidP="009D279A"/>
    <w:p w:rsidR="009D279A" w:rsidRDefault="009D279A" w:rsidP="009B3CC4">
      <w:pPr>
        <w:pStyle w:val="tekst"/>
        <w:rPr>
          <w:i/>
        </w:rPr>
      </w:pPr>
      <w:r>
        <w:t>Dla oceny zapotrzebowania na energię w 203</w:t>
      </w:r>
      <w:r w:rsidR="00023172">
        <w:t>5</w:t>
      </w:r>
      <w:r>
        <w:t xml:space="preserve"> roku zaproponowano trzy scenariusze rozwoju sytuacji gminy. Pierwszy z nich zakłada zwiększenie konsumpcji energii. W tym scenariuszu zakłada się brak istotnych inwestycji w termomodernizację oraz nowe źródła </w:t>
      </w:r>
      <w:r w:rsidR="009B7212">
        <w:t xml:space="preserve">OZE </w:t>
      </w:r>
      <w:r>
        <w:t xml:space="preserve">na potrzeby własne przedsiębiorców i </w:t>
      </w:r>
      <w:r w:rsidR="009B3CC4">
        <w:t>osób</w:t>
      </w:r>
      <w:r>
        <w:t xml:space="preserve"> fizycznych. Ten scenariusz otrzymał nazwę </w:t>
      </w:r>
      <w:r w:rsidRPr="009D279A">
        <w:rPr>
          <w:i/>
        </w:rPr>
        <w:t>Wzrost konsumpcji energii</w:t>
      </w:r>
      <w:r>
        <w:rPr>
          <w:i/>
        </w:rPr>
        <w:t>.</w:t>
      </w:r>
    </w:p>
    <w:p w:rsidR="009D279A" w:rsidRDefault="009D279A" w:rsidP="009B3CC4">
      <w:pPr>
        <w:pStyle w:val="tekst"/>
        <w:rPr>
          <w:i/>
        </w:rPr>
      </w:pPr>
      <w:r>
        <w:t>Kolejny scenariusz zakłada</w:t>
      </w:r>
      <w:r w:rsidR="00AE02BC">
        <w:t>,</w:t>
      </w:r>
      <w:r>
        <w:t xml:space="preserve"> iż koszty energii będą rosnąć</w:t>
      </w:r>
      <w:r w:rsidR="00AE02BC">
        <w:t>. C</w:t>
      </w:r>
      <w:r>
        <w:t>oraz bardziej i naturalnym krokiem wielu mieszkańców i przedsiębiorców będzie inwestycja w efektywność energetyczną oraz rozwój własnych źródeł energii.</w:t>
      </w:r>
      <w:r w:rsidR="009B3CC4">
        <w:t xml:space="preserve"> Dodatkowymi czynnikami </w:t>
      </w:r>
      <w:r w:rsidR="00AE02BC">
        <w:t xml:space="preserve">będą: </w:t>
      </w:r>
      <w:r w:rsidR="009B3CC4">
        <w:t>dostęp do funduszy zewnętrznych, polityka klimatyczna UE</w:t>
      </w:r>
      <w:r w:rsidR="001716A5">
        <w:t xml:space="preserve"> oraz aktywna polityka gminy</w:t>
      </w:r>
      <w:r w:rsidR="009B3CC4">
        <w:t xml:space="preserve">. Scenariusz ten otrzymał nazwę </w:t>
      </w:r>
      <w:r w:rsidR="009B3CC4" w:rsidRPr="009B3CC4">
        <w:rPr>
          <w:i/>
        </w:rPr>
        <w:t>Kierunek ekologi</w:t>
      </w:r>
      <w:r w:rsidR="001716A5">
        <w:rPr>
          <w:i/>
        </w:rPr>
        <w:t>a</w:t>
      </w:r>
      <w:r w:rsidR="009B3CC4">
        <w:rPr>
          <w:i/>
        </w:rPr>
        <w:t>.</w:t>
      </w:r>
    </w:p>
    <w:p w:rsidR="009B3CC4" w:rsidRPr="009B3CC4" w:rsidRDefault="009B3CC4" w:rsidP="009B3CC4">
      <w:pPr>
        <w:pStyle w:val="tekst"/>
      </w:pPr>
      <w:r>
        <w:t xml:space="preserve">Ostatni z przeanalizowanych scenariuszy zakłada wzrost cen energii i zmniejszone inwestycje z uwagi na zjawisko ubóstwa energetycznego oraz mniejsze zapasy gotówki w przedsiębiorstwach.  Dodatkowymi czynnikami zmniejszającymi chęć do konsumpcji energii będzie spowolnienie gospodarcze. Scenariusz ten nazwano </w:t>
      </w:r>
      <w:r w:rsidRPr="009B3CC4">
        <w:rPr>
          <w:i/>
        </w:rPr>
        <w:t>Powolna stagnacja</w:t>
      </w:r>
      <w:r w:rsidR="00AE02BC" w:rsidRPr="008F1728">
        <w:rPr>
          <w:iCs/>
        </w:rPr>
        <w:t>(zob. tabele poniżej).</w:t>
      </w:r>
    </w:p>
    <w:p w:rsidR="003D61A3" w:rsidRDefault="003D61A3" w:rsidP="008A40A2">
      <w:pPr>
        <w:pStyle w:val="Nagwek4"/>
        <w:numPr>
          <w:ilvl w:val="3"/>
          <w:numId w:val="24"/>
        </w:numPr>
        <w:rPr>
          <w:rFonts w:ascii="Times New Roman" w:hAnsi="Times New Roman" w:cs="Times New Roman"/>
        </w:rPr>
      </w:pPr>
      <w:r w:rsidRPr="00194C4A">
        <w:rPr>
          <w:rFonts w:ascii="Times New Roman" w:hAnsi="Times New Roman" w:cs="Times New Roman"/>
        </w:rPr>
        <w:t>Scenariusz nr1:</w:t>
      </w:r>
      <w:r w:rsidR="009D279A">
        <w:rPr>
          <w:rFonts w:ascii="Times New Roman" w:hAnsi="Times New Roman" w:cs="Times New Roman"/>
        </w:rPr>
        <w:t xml:space="preserve">Wzrost </w:t>
      </w:r>
      <w:r w:rsidR="009B3CC4">
        <w:rPr>
          <w:rFonts w:ascii="Times New Roman" w:hAnsi="Times New Roman" w:cs="Times New Roman"/>
        </w:rPr>
        <w:t>konsumpcji</w:t>
      </w:r>
      <w:r w:rsidR="009D279A">
        <w:rPr>
          <w:rFonts w:ascii="Times New Roman" w:hAnsi="Times New Roman" w:cs="Times New Roman"/>
        </w:rPr>
        <w:t xml:space="preserve"> energii</w:t>
      </w:r>
    </w:p>
    <w:p w:rsidR="009D279A" w:rsidRPr="009D279A" w:rsidRDefault="009D279A" w:rsidP="009D279A"/>
    <w:tbl>
      <w:tblPr>
        <w:tblStyle w:val="Tabelasiatki1jasnaakcent11"/>
        <w:tblW w:w="0" w:type="auto"/>
        <w:tblLook w:val="04A0"/>
      </w:tblPr>
      <w:tblGrid>
        <w:gridCol w:w="2613"/>
        <w:gridCol w:w="3942"/>
        <w:gridCol w:w="3074"/>
      </w:tblGrid>
      <w:tr w:rsidR="003D61A3" w:rsidRPr="00194C4A" w:rsidTr="00531A2E">
        <w:trPr>
          <w:cnfStyle w:val="100000000000"/>
        </w:trPr>
        <w:tc>
          <w:tcPr>
            <w:cnfStyle w:val="001000000000"/>
            <w:tcW w:w="2613" w:type="dxa"/>
          </w:tcPr>
          <w:p w:rsidR="003D61A3" w:rsidRPr="00194C4A" w:rsidRDefault="003D61A3" w:rsidP="001A0A4A">
            <w:pPr>
              <w:pStyle w:val="tabela0"/>
            </w:pPr>
            <w:r w:rsidRPr="00194C4A">
              <w:t>sektor</w:t>
            </w:r>
          </w:p>
        </w:tc>
        <w:tc>
          <w:tcPr>
            <w:tcW w:w="3942" w:type="dxa"/>
          </w:tcPr>
          <w:p w:rsidR="003D61A3" w:rsidRPr="00194C4A" w:rsidRDefault="003D61A3" w:rsidP="001A0A4A">
            <w:pPr>
              <w:pStyle w:val="tabela0"/>
              <w:cnfStyle w:val="100000000000"/>
            </w:pPr>
            <w:r w:rsidRPr="00194C4A">
              <w:t>założenia</w:t>
            </w:r>
          </w:p>
        </w:tc>
        <w:tc>
          <w:tcPr>
            <w:tcW w:w="3074" w:type="dxa"/>
          </w:tcPr>
          <w:p w:rsidR="003D61A3" w:rsidRPr="00194C4A" w:rsidRDefault="003D61A3" w:rsidP="001A0A4A">
            <w:pPr>
              <w:pStyle w:val="tabela0"/>
              <w:cnfStyle w:val="100000000000"/>
            </w:pPr>
            <w:r w:rsidRPr="00194C4A">
              <w:t>rezultat</w:t>
            </w:r>
          </w:p>
        </w:tc>
      </w:tr>
      <w:tr w:rsidR="00772FF3" w:rsidRPr="00194C4A" w:rsidTr="00531A2E">
        <w:tc>
          <w:tcPr>
            <w:cnfStyle w:val="001000000000"/>
            <w:tcW w:w="2613" w:type="dxa"/>
          </w:tcPr>
          <w:p w:rsidR="00772FF3" w:rsidRPr="00194C4A" w:rsidRDefault="009A4E08" w:rsidP="00640B15">
            <w:pPr>
              <w:pStyle w:val="tabela0"/>
            </w:pPr>
            <w:r>
              <w:t>mieszkalnictwo</w:t>
            </w:r>
          </w:p>
        </w:tc>
        <w:tc>
          <w:tcPr>
            <w:tcW w:w="3942" w:type="dxa"/>
          </w:tcPr>
          <w:p w:rsidR="00772FF3" w:rsidRPr="00194C4A" w:rsidRDefault="00772FF3" w:rsidP="00772FF3">
            <w:pPr>
              <w:pStyle w:val="tabela0"/>
              <w:cnfStyle w:val="000000000000"/>
              <w:rPr>
                <w:lang w:val="pl-PL"/>
              </w:rPr>
            </w:pPr>
            <w:r w:rsidRPr="00194C4A">
              <w:rPr>
                <w:lang w:val="pl-PL"/>
              </w:rPr>
              <w:t>rozwój mieszkalnictwa przy braku modernizacji obecnie istniejących budynków oraz zabudowie nowych budynków zgodnie z obowiązującymi przepisami</w:t>
            </w:r>
          </w:p>
        </w:tc>
        <w:tc>
          <w:tcPr>
            <w:tcW w:w="3074" w:type="dxa"/>
          </w:tcPr>
          <w:p w:rsidR="00772FF3" w:rsidRPr="00194C4A" w:rsidRDefault="00023172" w:rsidP="00772FF3">
            <w:pPr>
              <w:pStyle w:val="tabela0"/>
              <w:cnfStyle w:val="000000000000"/>
            </w:pPr>
            <w:r w:rsidRPr="00194C4A">
              <w:t>W</w:t>
            </w:r>
            <w:r w:rsidR="00772FF3" w:rsidRPr="00194C4A">
              <w:t>zrost</w:t>
            </w:r>
            <w:r>
              <w:t xml:space="preserve"> </w:t>
            </w:r>
            <w:r w:rsidR="00772FF3" w:rsidRPr="00194C4A">
              <w:t xml:space="preserve">zapotrzebowania o </w:t>
            </w:r>
            <w:r w:rsidR="00531A2E">
              <w:t xml:space="preserve">17,74 </w:t>
            </w:r>
            <w:r w:rsidR="00772FF3" w:rsidRPr="00194C4A">
              <w:t xml:space="preserve">% </w:t>
            </w:r>
          </w:p>
        </w:tc>
      </w:tr>
      <w:tr w:rsidR="00772FF3" w:rsidRPr="00194C4A" w:rsidTr="00531A2E">
        <w:tc>
          <w:tcPr>
            <w:cnfStyle w:val="001000000000"/>
            <w:tcW w:w="2613" w:type="dxa"/>
          </w:tcPr>
          <w:p w:rsidR="00772FF3" w:rsidRPr="00194C4A" w:rsidRDefault="00640B15" w:rsidP="00640B15">
            <w:pPr>
              <w:pStyle w:val="tabela0"/>
              <w:rPr>
                <w:lang w:val="pl-PL"/>
              </w:rPr>
            </w:pPr>
            <w:r>
              <w:rPr>
                <w:lang w:val="pl-PL"/>
              </w:rPr>
              <w:t>przedsiębiorstwa produkcyjne</w:t>
            </w:r>
            <w:r w:rsidR="00531A2E">
              <w:rPr>
                <w:lang w:val="pl-PL"/>
              </w:rPr>
              <w:t xml:space="preserve"> i usługi</w:t>
            </w:r>
          </w:p>
        </w:tc>
        <w:tc>
          <w:tcPr>
            <w:tcW w:w="3942" w:type="dxa"/>
          </w:tcPr>
          <w:p w:rsidR="00772FF3" w:rsidRPr="00640B15" w:rsidRDefault="005D3DDE" w:rsidP="00772FF3">
            <w:pPr>
              <w:pStyle w:val="tabela0"/>
              <w:cnfStyle w:val="000000000000"/>
              <w:rPr>
                <w:lang w:val="pl-PL"/>
              </w:rPr>
            </w:pPr>
            <w:r>
              <w:rPr>
                <w:lang w:val="pl-PL"/>
              </w:rPr>
              <w:t>Rozbudowa</w:t>
            </w:r>
            <w:r w:rsidR="00640B15" w:rsidRPr="00640B15">
              <w:rPr>
                <w:lang w:val="pl-PL"/>
              </w:rPr>
              <w:t xml:space="preserve"> istniejących zakładów, zwiększanie bazy klientów, rozbudowa mocy produkcyjnych</w:t>
            </w:r>
          </w:p>
        </w:tc>
        <w:tc>
          <w:tcPr>
            <w:tcW w:w="3074" w:type="dxa"/>
          </w:tcPr>
          <w:p w:rsidR="00772FF3" w:rsidRPr="00194C4A" w:rsidRDefault="00023172" w:rsidP="00640B15">
            <w:pPr>
              <w:pStyle w:val="tabela0"/>
              <w:cnfStyle w:val="000000000000"/>
            </w:pPr>
            <w:r w:rsidRPr="00194C4A">
              <w:t>W</w:t>
            </w:r>
            <w:r w:rsidR="00772FF3" w:rsidRPr="00194C4A">
              <w:t>zrost</w:t>
            </w:r>
            <w:r>
              <w:t xml:space="preserve"> </w:t>
            </w:r>
            <w:r w:rsidR="00772FF3" w:rsidRPr="00194C4A">
              <w:t xml:space="preserve">zapotrzebowania o </w:t>
            </w:r>
            <w:r w:rsidR="00531A2E">
              <w:t>5,1</w:t>
            </w:r>
            <w:r w:rsidR="00772FF3" w:rsidRPr="00194C4A">
              <w:t>%</w:t>
            </w:r>
          </w:p>
        </w:tc>
      </w:tr>
      <w:tr w:rsidR="00640B15" w:rsidRPr="00194C4A" w:rsidTr="00531A2E">
        <w:tc>
          <w:tcPr>
            <w:cnfStyle w:val="001000000000"/>
            <w:tcW w:w="2613" w:type="dxa"/>
          </w:tcPr>
          <w:p w:rsidR="00640B15" w:rsidRPr="005D3DDE" w:rsidRDefault="009B3CC4" w:rsidP="009A4E08">
            <w:pPr>
              <w:pStyle w:val="tabela0"/>
              <w:rPr>
                <w:lang w:val="pl-PL"/>
              </w:rPr>
            </w:pPr>
            <w:r w:rsidRPr="005D3DDE">
              <w:rPr>
                <w:lang w:val="pl-PL"/>
              </w:rPr>
              <w:t>a</w:t>
            </w:r>
            <w:r w:rsidR="00640B15" w:rsidRPr="005D3DDE">
              <w:rPr>
                <w:lang w:val="pl-PL"/>
              </w:rPr>
              <w:t>dministracja publiczna</w:t>
            </w:r>
            <w:r w:rsidR="005D3DDE" w:rsidRPr="005D3DDE">
              <w:t xml:space="preserve">- </w:t>
            </w:r>
            <w:r w:rsidR="009A4E08">
              <w:t>g</w:t>
            </w:r>
            <w:r w:rsidR="005D3DDE" w:rsidRPr="005D3DDE">
              <w:t>mina</w:t>
            </w:r>
          </w:p>
        </w:tc>
        <w:tc>
          <w:tcPr>
            <w:tcW w:w="3942" w:type="dxa"/>
          </w:tcPr>
          <w:p w:rsidR="00640B15" w:rsidRPr="00640B15" w:rsidRDefault="001716A5" w:rsidP="00772FF3">
            <w:pPr>
              <w:pStyle w:val="tabela0"/>
              <w:cnfStyle w:val="000000000000"/>
              <w:rPr>
                <w:lang w:val="pl-PL"/>
              </w:rPr>
            </w:pPr>
            <w:r>
              <w:rPr>
                <w:lang w:val="pl-PL"/>
              </w:rPr>
              <w:t>Brak dodatkowych inwestycji w efektywność energetyczną i OŹE</w:t>
            </w:r>
          </w:p>
        </w:tc>
        <w:tc>
          <w:tcPr>
            <w:tcW w:w="3074" w:type="dxa"/>
          </w:tcPr>
          <w:p w:rsidR="00640B15" w:rsidRPr="00640B15" w:rsidRDefault="001716A5" w:rsidP="00772FF3">
            <w:pPr>
              <w:pStyle w:val="tabela0"/>
              <w:cnfStyle w:val="000000000000"/>
              <w:rPr>
                <w:lang w:val="pl-PL"/>
              </w:rPr>
            </w:pPr>
            <w:r>
              <w:rPr>
                <w:lang w:val="pl-PL"/>
              </w:rPr>
              <w:t>bez zmian</w:t>
            </w:r>
          </w:p>
        </w:tc>
      </w:tr>
    </w:tbl>
    <w:p w:rsidR="009D279A" w:rsidRPr="009A4E08" w:rsidRDefault="00AE02BC" w:rsidP="003D61A3">
      <w:pPr>
        <w:pStyle w:val="podpis"/>
        <w:rPr>
          <w:rFonts w:cs="Times New Roman"/>
          <w:b w:val="0"/>
          <w:bCs w:val="0"/>
          <w:i/>
          <w:iCs/>
          <w:sz w:val="24"/>
          <w:szCs w:val="20"/>
        </w:rPr>
      </w:pPr>
      <w:r w:rsidRPr="009A4E08">
        <w:rPr>
          <w:rFonts w:cs="Times New Roman"/>
          <w:b w:val="0"/>
          <w:bCs w:val="0"/>
          <w:i/>
          <w:iCs/>
          <w:sz w:val="24"/>
          <w:szCs w:val="20"/>
        </w:rPr>
        <w:t>Źródło</w:t>
      </w:r>
      <w:r>
        <w:rPr>
          <w:rFonts w:cs="Times New Roman"/>
          <w:b w:val="0"/>
          <w:bCs w:val="0"/>
          <w:i/>
          <w:iCs/>
          <w:sz w:val="24"/>
          <w:szCs w:val="20"/>
        </w:rPr>
        <w:t>: Opracowanie</w:t>
      </w:r>
      <w:r w:rsidRPr="009A4E08">
        <w:rPr>
          <w:rFonts w:cs="Times New Roman"/>
          <w:b w:val="0"/>
          <w:bCs w:val="0"/>
          <w:i/>
          <w:iCs/>
          <w:sz w:val="24"/>
          <w:szCs w:val="20"/>
        </w:rPr>
        <w:t xml:space="preserve"> własne.</w:t>
      </w:r>
    </w:p>
    <w:p w:rsidR="009D279A" w:rsidRDefault="009D279A" w:rsidP="003D61A3">
      <w:pPr>
        <w:pStyle w:val="podpis"/>
        <w:rPr>
          <w:rFonts w:cs="Times New Roman"/>
        </w:rPr>
      </w:pPr>
    </w:p>
    <w:p w:rsidR="009D279A" w:rsidRDefault="009D279A" w:rsidP="003D61A3">
      <w:pPr>
        <w:pStyle w:val="podpis"/>
        <w:rPr>
          <w:rFonts w:cs="Times New Roman"/>
        </w:rPr>
      </w:pPr>
    </w:p>
    <w:p w:rsidR="003D61A3" w:rsidRDefault="005D3DDE" w:rsidP="005D3DDE">
      <w:pPr>
        <w:pStyle w:val="Legenda"/>
        <w:rPr>
          <w:sz w:val="20"/>
        </w:rPr>
      </w:pPr>
      <w:bookmarkStart w:id="111" w:name="_Toc77322011"/>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9</w:t>
      </w:r>
      <w:r w:rsidR="00A05E44" w:rsidRPr="003A425C">
        <w:rPr>
          <w:sz w:val="20"/>
        </w:rPr>
        <w:fldChar w:fldCharType="end"/>
      </w:r>
      <w:r w:rsidRPr="003A425C">
        <w:rPr>
          <w:sz w:val="20"/>
        </w:rPr>
        <w:t xml:space="preserve"> Zaopatrzenie w energię cieplną</w:t>
      </w:r>
      <w:r w:rsidR="00FB7FDD" w:rsidRPr="003A425C">
        <w:rPr>
          <w:sz w:val="20"/>
        </w:rPr>
        <w:t xml:space="preserve"> scenariusz pierwszy</w:t>
      </w:r>
      <w:bookmarkEnd w:id="111"/>
    </w:p>
    <w:tbl>
      <w:tblPr>
        <w:tblStyle w:val="Tabelasiatki1jasnaakcent11"/>
        <w:tblW w:w="9629" w:type="dxa"/>
        <w:tblLook w:val="04A0"/>
      </w:tblPr>
      <w:tblGrid>
        <w:gridCol w:w="3380"/>
        <w:gridCol w:w="1009"/>
        <w:gridCol w:w="1048"/>
        <w:gridCol w:w="1048"/>
        <w:gridCol w:w="1048"/>
        <w:gridCol w:w="1048"/>
        <w:gridCol w:w="1048"/>
      </w:tblGrid>
      <w:tr w:rsidR="00531A2E" w:rsidRPr="00932E8C" w:rsidTr="00D74DC4">
        <w:trPr>
          <w:cnfStyle w:val="100000000000"/>
          <w:trHeight w:val="300"/>
        </w:trPr>
        <w:tc>
          <w:tcPr>
            <w:cnfStyle w:val="001000000000"/>
            <w:tcW w:w="3380" w:type="dxa"/>
            <w:noWrap/>
            <w:hideMark/>
          </w:tcPr>
          <w:p w:rsidR="00531A2E" w:rsidRPr="00932E8C" w:rsidRDefault="00531A2E" w:rsidP="00531A2E">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1009" w:type="dxa"/>
            <w:noWrap/>
            <w:hideMark/>
          </w:tcPr>
          <w:p w:rsidR="00531A2E" w:rsidRPr="00932E8C" w:rsidRDefault="00531A2E" w:rsidP="00531A2E">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1048" w:type="dxa"/>
            <w:noWrap/>
            <w:hideMark/>
          </w:tcPr>
          <w:p w:rsidR="00531A2E" w:rsidRPr="00932E8C" w:rsidRDefault="00531A2E" w:rsidP="00531A2E">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1048" w:type="dxa"/>
            <w:noWrap/>
            <w:hideMark/>
          </w:tcPr>
          <w:p w:rsidR="00531A2E" w:rsidRPr="00932E8C" w:rsidRDefault="00531A2E" w:rsidP="00531A2E">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1048" w:type="dxa"/>
            <w:noWrap/>
            <w:hideMark/>
          </w:tcPr>
          <w:p w:rsidR="00531A2E" w:rsidRPr="00932E8C" w:rsidRDefault="00531A2E" w:rsidP="00531A2E">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1048" w:type="dxa"/>
            <w:noWrap/>
            <w:hideMark/>
          </w:tcPr>
          <w:p w:rsidR="00531A2E" w:rsidRPr="00932E8C" w:rsidRDefault="00531A2E" w:rsidP="00531A2E">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1048" w:type="dxa"/>
            <w:noWrap/>
            <w:hideMark/>
          </w:tcPr>
          <w:p w:rsidR="00531A2E" w:rsidRPr="00932E8C" w:rsidRDefault="00531A2E" w:rsidP="00531A2E">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budynki użyteczności publicznej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Mieszkalnictwo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48839,5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50463,22</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52136,87</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53861,97</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55640,07</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57472,78</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przemysł i usługi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6125,8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6187,058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6248,929</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6311,418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6374,532</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6438,277</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Suma</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56165,78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57850,75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59586,28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61373,86</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63215,08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65111,53</w:t>
            </w:r>
          </w:p>
        </w:tc>
      </w:tr>
    </w:tbl>
    <w:p w:rsidR="00531A2E" w:rsidRPr="00531A2E" w:rsidRDefault="00531A2E" w:rsidP="00531A2E"/>
    <w:p w:rsidR="003D61A3" w:rsidRDefault="005D3DDE" w:rsidP="003D61A3">
      <w:pPr>
        <w:rPr>
          <w:rFonts w:ascii="Times New Roman" w:hAnsi="Times New Roman" w:cs="Times New Roman"/>
          <w:i/>
          <w:sz w:val="22"/>
          <w:szCs w:val="22"/>
        </w:rPr>
      </w:pPr>
      <w:r w:rsidRPr="005D3DDE">
        <w:rPr>
          <w:rFonts w:ascii="Times New Roman" w:hAnsi="Times New Roman" w:cs="Times New Roman"/>
          <w:i/>
          <w:sz w:val="22"/>
          <w:szCs w:val="22"/>
        </w:rPr>
        <w:lastRenderedPageBreak/>
        <w:t xml:space="preserve">Źródło: Obliczenia </w:t>
      </w:r>
      <w:r w:rsidR="00AE02BC">
        <w:rPr>
          <w:rFonts w:ascii="Times New Roman" w:hAnsi="Times New Roman" w:cs="Times New Roman"/>
          <w:i/>
          <w:sz w:val="22"/>
          <w:szCs w:val="22"/>
        </w:rPr>
        <w:t>w</w:t>
      </w:r>
      <w:r w:rsidR="00AE02BC" w:rsidRPr="005D3DDE">
        <w:rPr>
          <w:rFonts w:ascii="Times New Roman" w:hAnsi="Times New Roman" w:cs="Times New Roman"/>
          <w:i/>
          <w:sz w:val="22"/>
          <w:szCs w:val="22"/>
        </w:rPr>
        <w:t>łasne</w:t>
      </w:r>
      <w:r w:rsidR="00AE02BC">
        <w:rPr>
          <w:rFonts w:ascii="Times New Roman" w:hAnsi="Times New Roman" w:cs="Times New Roman"/>
          <w:i/>
          <w:sz w:val="22"/>
          <w:szCs w:val="22"/>
        </w:rPr>
        <w:t>.</w:t>
      </w:r>
    </w:p>
    <w:p w:rsidR="003D61A3" w:rsidRDefault="003D61A3" w:rsidP="008A40A2">
      <w:pPr>
        <w:pStyle w:val="Nagwek4"/>
        <w:numPr>
          <w:ilvl w:val="3"/>
          <w:numId w:val="24"/>
        </w:numPr>
        <w:ind w:left="993"/>
        <w:rPr>
          <w:rFonts w:ascii="Times New Roman" w:hAnsi="Times New Roman" w:cs="Times New Roman"/>
        </w:rPr>
      </w:pPr>
      <w:r w:rsidRPr="00194C4A">
        <w:rPr>
          <w:rFonts w:ascii="Times New Roman" w:hAnsi="Times New Roman" w:cs="Times New Roman"/>
        </w:rPr>
        <w:t xml:space="preserve">Scenariusz nr 2 </w:t>
      </w:r>
      <w:r w:rsidR="001716A5" w:rsidRPr="001716A5">
        <w:rPr>
          <w:rFonts w:ascii="Times New Roman" w:hAnsi="Times New Roman" w:cs="Times New Roman"/>
        </w:rPr>
        <w:t>Kierunek ekologi</w:t>
      </w:r>
      <w:r w:rsidR="001716A5">
        <w:rPr>
          <w:rFonts w:ascii="Times New Roman" w:hAnsi="Times New Roman" w:cs="Times New Roman"/>
        </w:rPr>
        <w:t>a</w:t>
      </w:r>
    </w:p>
    <w:p w:rsidR="000F2810" w:rsidRPr="000F2810" w:rsidRDefault="000F2810" w:rsidP="000F2810"/>
    <w:tbl>
      <w:tblPr>
        <w:tblStyle w:val="Tabelasiatki1jasnaakcent11"/>
        <w:tblW w:w="0" w:type="auto"/>
        <w:tblLook w:val="04A0"/>
      </w:tblPr>
      <w:tblGrid>
        <w:gridCol w:w="2609"/>
        <w:gridCol w:w="4687"/>
        <w:gridCol w:w="2333"/>
      </w:tblGrid>
      <w:tr w:rsidR="00772FF3" w:rsidRPr="00194C4A" w:rsidTr="000F2810">
        <w:trPr>
          <w:cnfStyle w:val="100000000000"/>
        </w:trPr>
        <w:tc>
          <w:tcPr>
            <w:cnfStyle w:val="001000000000"/>
            <w:tcW w:w="2609" w:type="dxa"/>
          </w:tcPr>
          <w:p w:rsidR="00772FF3" w:rsidRPr="00194C4A" w:rsidRDefault="00772FF3" w:rsidP="00CF157F">
            <w:pPr>
              <w:pStyle w:val="tabela0"/>
            </w:pPr>
            <w:r w:rsidRPr="00194C4A">
              <w:t>sektor</w:t>
            </w:r>
          </w:p>
        </w:tc>
        <w:tc>
          <w:tcPr>
            <w:tcW w:w="4687" w:type="dxa"/>
          </w:tcPr>
          <w:p w:rsidR="00772FF3" w:rsidRPr="00194C4A" w:rsidRDefault="00772FF3" w:rsidP="00CF157F">
            <w:pPr>
              <w:pStyle w:val="tabela0"/>
              <w:cnfStyle w:val="100000000000"/>
            </w:pPr>
            <w:r w:rsidRPr="00194C4A">
              <w:t>założenia</w:t>
            </w:r>
          </w:p>
        </w:tc>
        <w:tc>
          <w:tcPr>
            <w:tcW w:w="2333" w:type="dxa"/>
          </w:tcPr>
          <w:p w:rsidR="00772FF3" w:rsidRPr="00194C4A" w:rsidRDefault="00772FF3" w:rsidP="00CF157F">
            <w:pPr>
              <w:pStyle w:val="tabela0"/>
              <w:cnfStyle w:val="100000000000"/>
            </w:pPr>
            <w:r w:rsidRPr="00194C4A">
              <w:t>rezultat</w:t>
            </w:r>
          </w:p>
        </w:tc>
      </w:tr>
      <w:tr w:rsidR="00772FF3" w:rsidRPr="00194C4A" w:rsidTr="000F2810">
        <w:tc>
          <w:tcPr>
            <w:cnfStyle w:val="001000000000"/>
            <w:tcW w:w="2609" w:type="dxa"/>
          </w:tcPr>
          <w:p w:rsidR="00772FF3" w:rsidRPr="00194C4A" w:rsidRDefault="009A4E08" w:rsidP="009A4E08">
            <w:pPr>
              <w:pStyle w:val="tabela0"/>
            </w:pPr>
            <w:r>
              <w:t>m</w:t>
            </w:r>
            <w:r w:rsidR="005D3DDE" w:rsidRPr="00194C4A">
              <w:t>ieszkalnictw</w:t>
            </w:r>
            <w:r>
              <w:t>o</w:t>
            </w:r>
          </w:p>
        </w:tc>
        <w:tc>
          <w:tcPr>
            <w:tcW w:w="4687" w:type="dxa"/>
          </w:tcPr>
          <w:p w:rsidR="00772FF3" w:rsidRPr="00194C4A" w:rsidRDefault="00772FF3" w:rsidP="00CF157F">
            <w:pPr>
              <w:pStyle w:val="tabela0"/>
              <w:cnfStyle w:val="000000000000"/>
              <w:rPr>
                <w:lang w:val="pl-PL"/>
              </w:rPr>
            </w:pPr>
            <w:r w:rsidRPr="00194C4A">
              <w:rPr>
                <w:lang w:val="pl-PL"/>
              </w:rPr>
              <w:t>rozwój mieszkalnictwa przy modernizacji obecnie istniejących budynków oraz zabudowie nowych budynków zgodnie z obowiązującymi przepisami</w:t>
            </w:r>
            <w:r w:rsidR="005D3DDE">
              <w:rPr>
                <w:szCs w:val="20"/>
                <w:lang w:val="pl-PL"/>
              </w:rPr>
              <w:t>, wsparcie gminy dla mieszkańców w zakresie udzielania informacji i promocji ekologicznych rozwiązań</w:t>
            </w:r>
          </w:p>
        </w:tc>
        <w:tc>
          <w:tcPr>
            <w:tcW w:w="2333" w:type="dxa"/>
          </w:tcPr>
          <w:p w:rsidR="00772FF3" w:rsidRPr="00194C4A" w:rsidRDefault="00023172" w:rsidP="00CF157F">
            <w:pPr>
              <w:pStyle w:val="tabela0"/>
              <w:cnfStyle w:val="000000000000"/>
            </w:pPr>
            <w:r>
              <w:t>W</w:t>
            </w:r>
            <w:r w:rsidR="00531A2E">
              <w:t>zrost</w:t>
            </w:r>
            <w:r>
              <w:t xml:space="preserve"> </w:t>
            </w:r>
            <w:r w:rsidR="00772FF3" w:rsidRPr="00194C4A">
              <w:t xml:space="preserve">zapotrzebowania o </w:t>
            </w:r>
            <w:r w:rsidR="0097604B">
              <w:t>10,4</w:t>
            </w:r>
            <w:r w:rsidR="00772FF3" w:rsidRPr="00194C4A">
              <w:t xml:space="preserve">% </w:t>
            </w:r>
          </w:p>
        </w:tc>
      </w:tr>
      <w:tr w:rsidR="00CF157F" w:rsidRPr="00194C4A" w:rsidTr="000F2810">
        <w:tc>
          <w:tcPr>
            <w:cnfStyle w:val="001000000000"/>
            <w:tcW w:w="2609" w:type="dxa"/>
          </w:tcPr>
          <w:p w:rsidR="00CF157F" w:rsidRPr="00194C4A" w:rsidRDefault="005D3DDE" w:rsidP="00CF157F">
            <w:pPr>
              <w:pStyle w:val="tabela0"/>
              <w:rPr>
                <w:lang w:val="pl-PL"/>
              </w:rPr>
            </w:pPr>
            <w:r>
              <w:rPr>
                <w:lang w:val="pl-PL"/>
              </w:rPr>
              <w:t>przedsiębiorstwa produkcyjne</w:t>
            </w:r>
            <w:r w:rsidR="0097604B">
              <w:rPr>
                <w:lang w:val="pl-PL"/>
              </w:rPr>
              <w:t xml:space="preserve"> oraz usługi</w:t>
            </w:r>
          </w:p>
        </w:tc>
        <w:tc>
          <w:tcPr>
            <w:tcW w:w="4687" w:type="dxa"/>
          </w:tcPr>
          <w:p w:rsidR="00CF157F" w:rsidRPr="005D3DDE" w:rsidRDefault="005D3DDE" w:rsidP="00CF157F">
            <w:pPr>
              <w:pStyle w:val="tabela0"/>
              <w:cnfStyle w:val="000000000000"/>
              <w:rPr>
                <w:lang w:val="pl-PL"/>
              </w:rPr>
            </w:pPr>
            <w:r>
              <w:rPr>
                <w:lang w:val="pl-PL"/>
              </w:rPr>
              <w:t>Rozbudowa</w:t>
            </w:r>
            <w:r w:rsidRPr="00640B15">
              <w:rPr>
                <w:lang w:val="pl-PL"/>
              </w:rPr>
              <w:t xml:space="preserve"> istniejących zakładów, zwiększanie bazy klientów, rozbudowa mocy produkcyjnych</w:t>
            </w:r>
            <w:r>
              <w:rPr>
                <w:lang w:val="pl-PL"/>
              </w:rPr>
              <w:t>, część zakumulowanych środków przeznaczona na efektywność energetyczną</w:t>
            </w:r>
          </w:p>
        </w:tc>
        <w:tc>
          <w:tcPr>
            <w:tcW w:w="2333" w:type="dxa"/>
          </w:tcPr>
          <w:p w:rsidR="00CF157F" w:rsidRPr="00194C4A" w:rsidRDefault="00023172" w:rsidP="005D3DDE">
            <w:pPr>
              <w:pStyle w:val="tabela0"/>
              <w:cnfStyle w:val="000000000000"/>
            </w:pPr>
            <w:r w:rsidRPr="00194C4A">
              <w:t>W</w:t>
            </w:r>
            <w:r w:rsidR="00CF157F" w:rsidRPr="00194C4A">
              <w:t>zrost</w:t>
            </w:r>
            <w:r>
              <w:t xml:space="preserve"> </w:t>
            </w:r>
            <w:r w:rsidR="00CF157F" w:rsidRPr="00194C4A">
              <w:t xml:space="preserve">zapotrzebowania o </w:t>
            </w:r>
            <w:r w:rsidR="005D3DDE">
              <w:t>5</w:t>
            </w:r>
            <w:r w:rsidR="00CF157F" w:rsidRPr="00194C4A">
              <w:t>,</w:t>
            </w:r>
            <w:r w:rsidR="0097604B">
              <w:t>1</w:t>
            </w:r>
            <w:r w:rsidR="00CF157F" w:rsidRPr="00194C4A">
              <w:t>%</w:t>
            </w:r>
          </w:p>
        </w:tc>
      </w:tr>
      <w:tr w:rsidR="005D3DDE" w:rsidRPr="00194C4A" w:rsidTr="000F2810">
        <w:tc>
          <w:tcPr>
            <w:cnfStyle w:val="001000000000"/>
            <w:tcW w:w="2609" w:type="dxa"/>
          </w:tcPr>
          <w:p w:rsidR="005D3DDE" w:rsidRDefault="005D3DDE" w:rsidP="005D3DDE">
            <w:pPr>
              <w:pStyle w:val="tabela0"/>
              <w:rPr>
                <w:lang w:val="pl-PL"/>
              </w:rPr>
            </w:pPr>
            <w:r>
              <w:rPr>
                <w:lang w:val="pl-PL"/>
              </w:rPr>
              <w:t xml:space="preserve">administracja publiczna </w:t>
            </w:r>
            <w:r w:rsidRPr="005D3DDE">
              <w:rPr>
                <w:b w:val="0"/>
              </w:rPr>
              <w:t>- Gmina</w:t>
            </w:r>
          </w:p>
        </w:tc>
        <w:tc>
          <w:tcPr>
            <w:tcW w:w="4687" w:type="dxa"/>
          </w:tcPr>
          <w:p w:rsidR="005D3DDE" w:rsidRPr="005D3DDE" w:rsidRDefault="005D3DDE" w:rsidP="005D3DDE">
            <w:pPr>
              <w:pStyle w:val="tabela0"/>
              <w:cnfStyle w:val="000000000000"/>
              <w:rPr>
                <w:lang w:val="pl-PL"/>
              </w:rPr>
            </w:pPr>
            <w:r>
              <w:rPr>
                <w:lang w:val="pl-PL"/>
              </w:rPr>
              <w:t>Dodatkowe inwestycje w efektywność energetyczną i OŹE</w:t>
            </w:r>
          </w:p>
        </w:tc>
        <w:tc>
          <w:tcPr>
            <w:tcW w:w="2333" w:type="dxa"/>
          </w:tcPr>
          <w:p w:rsidR="005D3DDE" w:rsidRPr="005D3DDE" w:rsidRDefault="00FB7FDD" w:rsidP="005D3DDE">
            <w:pPr>
              <w:pStyle w:val="tabela0"/>
              <w:cnfStyle w:val="000000000000"/>
              <w:rPr>
                <w:lang w:val="pl-PL"/>
              </w:rPr>
            </w:pPr>
            <w:r>
              <w:rPr>
                <w:lang w:val="pl-PL"/>
              </w:rPr>
              <w:t>s</w:t>
            </w:r>
            <w:r w:rsidR="005D3DDE">
              <w:rPr>
                <w:lang w:val="pl-PL"/>
              </w:rPr>
              <w:t xml:space="preserve">padek zapotrzebowania o </w:t>
            </w:r>
            <w:r w:rsidR="0097604B">
              <w:rPr>
                <w:lang w:val="pl-PL"/>
              </w:rPr>
              <w:t>5</w:t>
            </w:r>
            <w:r w:rsidR="005D3DDE">
              <w:rPr>
                <w:lang w:val="pl-PL"/>
              </w:rPr>
              <w:t>%</w:t>
            </w:r>
          </w:p>
        </w:tc>
      </w:tr>
    </w:tbl>
    <w:p w:rsidR="00AE02BC" w:rsidRPr="003B15A2" w:rsidRDefault="00AE02BC" w:rsidP="00AE02BC">
      <w:pPr>
        <w:pStyle w:val="podpis"/>
        <w:rPr>
          <w:rFonts w:cs="Times New Roman"/>
          <w:b w:val="0"/>
          <w:bCs w:val="0"/>
          <w:i/>
          <w:iCs/>
          <w:sz w:val="24"/>
          <w:szCs w:val="20"/>
        </w:rPr>
      </w:pPr>
      <w:r w:rsidRPr="003B15A2">
        <w:rPr>
          <w:rFonts w:cs="Times New Roman"/>
          <w:b w:val="0"/>
          <w:bCs w:val="0"/>
          <w:i/>
          <w:iCs/>
          <w:sz w:val="24"/>
          <w:szCs w:val="20"/>
        </w:rPr>
        <w:t xml:space="preserve">Źródło: </w:t>
      </w:r>
      <w:r>
        <w:rPr>
          <w:rFonts w:cs="Times New Roman"/>
          <w:b w:val="0"/>
          <w:bCs w:val="0"/>
          <w:i/>
          <w:iCs/>
          <w:sz w:val="24"/>
          <w:szCs w:val="20"/>
        </w:rPr>
        <w:t>O</w:t>
      </w:r>
      <w:r w:rsidRPr="003B15A2">
        <w:rPr>
          <w:rFonts w:cs="Times New Roman"/>
          <w:b w:val="0"/>
          <w:bCs w:val="0"/>
          <w:i/>
          <w:iCs/>
          <w:sz w:val="24"/>
          <w:szCs w:val="20"/>
        </w:rPr>
        <w:t>pracowanie własne.</w:t>
      </w:r>
    </w:p>
    <w:p w:rsidR="003D61A3" w:rsidRPr="00194C4A" w:rsidRDefault="003D61A3" w:rsidP="003D61A3">
      <w:pPr>
        <w:spacing w:after="0" w:line="240" w:lineRule="auto"/>
        <w:rPr>
          <w:rFonts w:ascii="Times New Roman" w:hAnsi="Times New Roman" w:cs="Times New Roman"/>
          <w:b/>
          <w:bCs/>
          <w:sz w:val="20"/>
          <w:szCs w:val="18"/>
        </w:rPr>
      </w:pPr>
    </w:p>
    <w:p w:rsidR="003A425C" w:rsidRDefault="003A425C" w:rsidP="003D61A3">
      <w:pPr>
        <w:pStyle w:val="podpis"/>
        <w:rPr>
          <w:rFonts w:cs="Times New Roman"/>
        </w:rPr>
      </w:pPr>
    </w:p>
    <w:p w:rsidR="00FB7FDD" w:rsidRPr="003A425C" w:rsidRDefault="00FB7FDD" w:rsidP="00FB7FDD">
      <w:pPr>
        <w:pStyle w:val="Legenda"/>
        <w:rPr>
          <w:rFonts w:cs="Times New Roman"/>
          <w:sz w:val="20"/>
        </w:rPr>
      </w:pPr>
      <w:bookmarkStart w:id="112" w:name="_Toc77322012"/>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10</w:t>
      </w:r>
      <w:r w:rsidR="00A05E44" w:rsidRPr="003A425C">
        <w:rPr>
          <w:sz w:val="20"/>
        </w:rPr>
        <w:fldChar w:fldCharType="end"/>
      </w:r>
      <w:r w:rsidRPr="003A425C">
        <w:rPr>
          <w:sz w:val="20"/>
        </w:rPr>
        <w:t xml:space="preserve"> Zaopatrzenie w energię cieplną scenariusz drugi</w:t>
      </w:r>
      <w:bookmarkEnd w:id="112"/>
    </w:p>
    <w:tbl>
      <w:tblPr>
        <w:tblStyle w:val="Tabelasiatki1jasnaakcent11"/>
        <w:tblW w:w="9629" w:type="dxa"/>
        <w:tblLook w:val="04A0"/>
      </w:tblPr>
      <w:tblGrid>
        <w:gridCol w:w="3380"/>
        <w:gridCol w:w="1009"/>
        <w:gridCol w:w="1048"/>
        <w:gridCol w:w="1048"/>
        <w:gridCol w:w="1048"/>
        <w:gridCol w:w="1048"/>
        <w:gridCol w:w="1048"/>
      </w:tblGrid>
      <w:tr w:rsidR="0097604B" w:rsidRPr="00932E8C" w:rsidTr="00D74DC4">
        <w:trPr>
          <w:cnfStyle w:val="100000000000"/>
          <w:trHeight w:val="300"/>
        </w:trPr>
        <w:tc>
          <w:tcPr>
            <w:cnfStyle w:val="001000000000"/>
            <w:tcW w:w="3380" w:type="dxa"/>
            <w:noWrap/>
            <w:hideMark/>
          </w:tcPr>
          <w:p w:rsidR="0097604B" w:rsidRPr="00932E8C" w:rsidRDefault="0097604B" w:rsidP="0097604B">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1009"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budynki użyteczności publicznej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1188,475</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1176,59</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1164,825</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1153,176</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1141,645</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Mieszkalnictwo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48839,5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49913,56</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51009,36</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52127,33</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53267,94</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54431,64</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przemysł i usługi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6125,8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6187,058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6248,929</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6311,418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6374,532</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6438,277</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Suma</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56165,78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57289,1</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58434,88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59603,58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60795,65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62011,56</w:t>
            </w:r>
          </w:p>
        </w:tc>
      </w:tr>
    </w:tbl>
    <w:p w:rsidR="0097604B" w:rsidRDefault="0097604B" w:rsidP="00FB7FDD">
      <w:pPr>
        <w:rPr>
          <w:rFonts w:ascii="Times New Roman" w:hAnsi="Times New Roman" w:cs="Times New Roman"/>
          <w:i/>
          <w:sz w:val="22"/>
          <w:szCs w:val="22"/>
        </w:rPr>
      </w:pPr>
    </w:p>
    <w:p w:rsidR="00FB7FDD" w:rsidRDefault="00FB7FDD" w:rsidP="00FB7FDD">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AE02BC">
        <w:rPr>
          <w:rFonts w:ascii="Times New Roman" w:hAnsi="Times New Roman" w:cs="Times New Roman"/>
          <w:i/>
          <w:sz w:val="22"/>
          <w:szCs w:val="22"/>
        </w:rPr>
        <w:t>w</w:t>
      </w:r>
      <w:r w:rsidR="00AE02BC" w:rsidRPr="005D3DDE">
        <w:rPr>
          <w:rFonts w:ascii="Times New Roman" w:hAnsi="Times New Roman" w:cs="Times New Roman"/>
          <w:i/>
          <w:sz w:val="22"/>
          <w:szCs w:val="22"/>
        </w:rPr>
        <w:t>łasne</w:t>
      </w:r>
    </w:p>
    <w:p w:rsidR="003D61A3" w:rsidRDefault="003D61A3" w:rsidP="008A40A2">
      <w:pPr>
        <w:pStyle w:val="Nagwek4"/>
        <w:numPr>
          <w:ilvl w:val="3"/>
          <w:numId w:val="24"/>
        </w:numPr>
        <w:rPr>
          <w:rFonts w:ascii="Times New Roman" w:hAnsi="Times New Roman" w:cs="Times New Roman"/>
        </w:rPr>
      </w:pPr>
      <w:r w:rsidRPr="00194C4A">
        <w:rPr>
          <w:rFonts w:ascii="Times New Roman" w:hAnsi="Times New Roman" w:cs="Times New Roman"/>
        </w:rPr>
        <w:t xml:space="preserve">Scenariusz nr 3 </w:t>
      </w:r>
      <w:r w:rsidR="00EE2CFC">
        <w:rPr>
          <w:rFonts w:ascii="Times New Roman" w:hAnsi="Times New Roman" w:cs="Times New Roman"/>
        </w:rPr>
        <w:t>Powolna stagnacja</w:t>
      </w:r>
    </w:p>
    <w:p w:rsidR="000F2810" w:rsidRPr="000F2810" w:rsidRDefault="000F2810" w:rsidP="000F2810">
      <w:pPr>
        <w:pStyle w:val="Legenda"/>
      </w:pPr>
    </w:p>
    <w:tbl>
      <w:tblPr>
        <w:tblStyle w:val="Tabelasiatki1jasnaakcent11"/>
        <w:tblW w:w="0" w:type="auto"/>
        <w:tblLook w:val="04A0"/>
      </w:tblPr>
      <w:tblGrid>
        <w:gridCol w:w="2612"/>
        <w:gridCol w:w="4567"/>
        <w:gridCol w:w="2450"/>
      </w:tblGrid>
      <w:tr w:rsidR="003D61A3" w:rsidRPr="00194C4A" w:rsidTr="000F2810">
        <w:trPr>
          <w:cnfStyle w:val="100000000000"/>
        </w:trPr>
        <w:tc>
          <w:tcPr>
            <w:cnfStyle w:val="001000000000"/>
            <w:tcW w:w="2612" w:type="dxa"/>
          </w:tcPr>
          <w:p w:rsidR="003D61A3" w:rsidRPr="00194C4A" w:rsidRDefault="003D61A3" w:rsidP="0060785E">
            <w:pPr>
              <w:pStyle w:val="tabela0"/>
              <w:rPr>
                <w:szCs w:val="20"/>
              </w:rPr>
            </w:pPr>
            <w:r w:rsidRPr="00194C4A">
              <w:rPr>
                <w:szCs w:val="20"/>
              </w:rPr>
              <w:t>sektor</w:t>
            </w:r>
          </w:p>
        </w:tc>
        <w:tc>
          <w:tcPr>
            <w:tcW w:w="4567" w:type="dxa"/>
          </w:tcPr>
          <w:p w:rsidR="003D61A3" w:rsidRPr="00194C4A" w:rsidRDefault="003D61A3" w:rsidP="0060785E">
            <w:pPr>
              <w:pStyle w:val="tabela0"/>
              <w:cnfStyle w:val="100000000000"/>
              <w:rPr>
                <w:szCs w:val="20"/>
              </w:rPr>
            </w:pPr>
            <w:r w:rsidRPr="00194C4A">
              <w:rPr>
                <w:szCs w:val="20"/>
              </w:rPr>
              <w:t>założenia</w:t>
            </w:r>
          </w:p>
        </w:tc>
        <w:tc>
          <w:tcPr>
            <w:tcW w:w="2450" w:type="dxa"/>
          </w:tcPr>
          <w:p w:rsidR="003D61A3" w:rsidRPr="00194C4A" w:rsidRDefault="003D61A3" w:rsidP="0060785E">
            <w:pPr>
              <w:pStyle w:val="tabela0"/>
              <w:cnfStyle w:val="100000000000"/>
              <w:rPr>
                <w:szCs w:val="20"/>
              </w:rPr>
            </w:pPr>
            <w:r w:rsidRPr="00194C4A">
              <w:rPr>
                <w:szCs w:val="20"/>
              </w:rPr>
              <w:t>rezultat</w:t>
            </w:r>
          </w:p>
        </w:tc>
      </w:tr>
      <w:tr w:rsidR="00FB7FDD" w:rsidRPr="00194C4A" w:rsidTr="000F2810">
        <w:tc>
          <w:tcPr>
            <w:cnfStyle w:val="001000000000"/>
            <w:tcW w:w="2612" w:type="dxa"/>
          </w:tcPr>
          <w:p w:rsidR="00FB7FDD" w:rsidRPr="00194C4A" w:rsidRDefault="00FB7FDD" w:rsidP="009A4E08">
            <w:pPr>
              <w:pStyle w:val="tabela0"/>
            </w:pPr>
            <w:r w:rsidRPr="00194C4A">
              <w:t>mieszkalnictw</w:t>
            </w:r>
            <w:r w:rsidR="009A4E08">
              <w:t>o</w:t>
            </w:r>
            <w:r w:rsidR="0097604B">
              <w:t>–</w:t>
            </w:r>
            <w:r>
              <w:t>domy</w:t>
            </w:r>
            <w:r w:rsidR="00023172">
              <w:t xml:space="preserve"> </w:t>
            </w:r>
            <w:r>
              <w:t>jednorodzinne</w:t>
            </w:r>
          </w:p>
        </w:tc>
        <w:tc>
          <w:tcPr>
            <w:tcW w:w="4567" w:type="dxa"/>
          </w:tcPr>
          <w:p w:rsidR="00FB7FDD" w:rsidRPr="00194C4A" w:rsidRDefault="00DE29B6" w:rsidP="00FB7FDD">
            <w:pPr>
              <w:pStyle w:val="tabela0"/>
              <w:cnfStyle w:val="000000000000"/>
              <w:rPr>
                <w:lang w:val="pl-PL"/>
              </w:rPr>
            </w:pPr>
            <w:r>
              <w:rPr>
                <w:lang w:val="pl-PL"/>
              </w:rPr>
              <w:t>Mniejsze tempo osadnictwa, mniej budynków o niskim zużyciu energii, brak odpowiedniej ilości inwestycji w istniejącą tkanką mieszkalną</w:t>
            </w:r>
          </w:p>
        </w:tc>
        <w:tc>
          <w:tcPr>
            <w:tcW w:w="2450" w:type="dxa"/>
          </w:tcPr>
          <w:p w:rsidR="00FB7FDD" w:rsidRPr="00194C4A" w:rsidRDefault="00023172" w:rsidP="00FB7FDD">
            <w:pPr>
              <w:pStyle w:val="tabela0"/>
              <w:cnfStyle w:val="000000000000"/>
            </w:pPr>
            <w:r w:rsidRPr="00194C4A">
              <w:t>S</w:t>
            </w:r>
            <w:r w:rsidR="00FB7FDD" w:rsidRPr="00194C4A">
              <w:t>padek</w:t>
            </w:r>
            <w:r>
              <w:t xml:space="preserve"> </w:t>
            </w:r>
            <w:r w:rsidR="00FB7FDD" w:rsidRPr="00194C4A">
              <w:t xml:space="preserve">zapotrzebowania o </w:t>
            </w:r>
            <w:r w:rsidR="0097604B">
              <w:t>6,23</w:t>
            </w:r>
            <w:r w:rsidR="00FB7FDD" w:rsidRPr="00194C4A">
              <w:t xml:space="preserve">% </w:t>
            </w:r>
          </w:p>
        </w:tc>
      </w:tr>
      <w:tr w:rsidR="00FB7FDD" w:rsidRPr="00194C4A" w:rsidTr="000F2810">
        <w:tc>
          <w:tcPr>
            <w:cnfStyle w:val="001000000000"/>
            <w:tcW w:w="2612" w:type="dxa"/>
          </w:tcPr>
          <w:p w:rsidR="00FB7FDD" w:rsidRPr="00194C4A" w:rsidRDefault="00FB7FDD" w:rsidP="00FB7FDD">
            <w:pPr>
              <w:pStyle w:val="tabela0"/>
              <w:rPr>
                <w:lang w:val="pl-PL"/>
              </w:rPr>
            </w:pPr>
            <w:r>
              <w:rPr>
                <w:lang w:val="pl-PL"/>
              </w:rPr>
              <w:t>przedsiębiorstwa produkcyjne</w:t>
            </w:r>
          </w:p>
        </w:tc>
        <w:tc>
          <w:tcPr>
            <w:tcW w:w="4567" w:type="dxa"/>
          </w:tcPr>
          <w:p w:rsidR="00FB7FDD" w:rsidRPr="00194C4A" w:rsidRDefault="00023172" w:rsidP="00FB7FDD">
            <w:pPr>
              <w:pStyle w:val="tabela0"/>
              <w:cnfStyle w:val="000000000000"/>
            </w:pPr>
            <w:r w:rsidRPr="00194C4A">
              <w:t>N</w:t>
            </w:r>
            <w:r w:rsidR="00FB7FDD" w:rsidRPr="00194C4A">
              <w:t>ieznaczny</w:t>
            </w:r>
            <w:r>
              <w:t xml:space="preserve"> </w:t>
            </w:r>
            <w:r w:rsidR="00FB7FDD" w:rsidRPr="00194C4A">
              <w:t>rozwój</w:t>
            </w:r>
          </w:p>
        </w:tc>
        <w:tc>
          <w:tcPr>
            <w:tcW w:w="2450" w:type="dxa"/>
          </w:tcPr>
          <w:p w:rsidR="00FB7FDD" w:rsidRPr="00194C4A" w:rsidRDefault="00023172" w:rsidP="00FB7FDD">
            <w:pPr>
              <w:pStyle w:val="tabela0"/>
              <w:cnfStyle w:val="000000000000"/>
            </w:pPr>
            <w:r w:rsidRPr="00194C4A">
              <w:t>W</w:t>
            </w:r>
            <w:r w:rsidR="00FB7FDD" w:rsidRPr="00194C4A">
              <w:t>zrost</w:t>
            </w:r>
            <w:r>
              <w:t xml:space="preserve"> </w:t>
            </w:r>
            <w:r w:rsidR="00FB7FDD" w:rsidRPr="00194C4A">
              <w:t xml:space="preserve">zapotrzebowania o </w:t>
            </w:r>
            <w:r w:rsidR="0097604B">
              <w:t>4,58</w:t>
            </w:r>
            <w:r w:rsidR="00FB7FDD" w:rsidRPr="00194C4A">
              <w:t>%</w:t>
            </w:r>
          </w:p>
        </w:tc>
      </w:tr>
      <w:tr w:rsidR="00FB7FDD" w:rsidRPr="00194C4A" w:rsidTr="000F2810">
        <w:tc>
          <w:tcPr>
            <w:cnfStyle w:val="001000000000"/>
            <w:tcW w:w="2612" w:type="dxa"/>
          </w:tcPr>
          <w:p w:rsidR="00FB7FDD" w:rsidRPr="00194C4A" w:rsidRDefault="00FB7FDD" w:rsidP="00FB7FDD">
            <w:pPr>
              <w:pStyle w:val="tabela0"/>
              <w:rPr>
                <w:lang w:val="pl-PL"/>
              </w:rPr>
            </w:pPr>
            <w:r>
              <w:rPr>
                <w:lang w:val="pl-PL"/>
              </w:rPr>
              <w:t xml:space="preserve">administracja publiczna </w:t>
            </w:r>
            <w:r w:rsidR="0097604B">
              <w:rPr>
                <w:b w:val="0"/>
              </w:rPr>
              <w:t>–</w:t>
            </w:r>
            <w:r w:rsidRPr="009A4E08">
              <w:t>Gmina</w:t>
            </w:r>
          </w:p>
        </w:tc>
        <w:tc>
          <w:tcPr>
            <w:tcW w:w="4567" w:type="dxa"/>
          </w:tcPr>
          <w:p w:rsidR="00FB7FDD" w:rsidRPr="00194C4A" w:rsidRDefault="00DE29B6" w:rsidP="00FB7FDD">
            <w:pPr>
              <w:pStyle w:val="tabela0"/>
              <w:cnfStyle w:val="000000000000"/>
            </w:pPr>
            <w:r>
              <w:t>Brak</w:t>
            </w:r>
            <w:r w:rsidR="00023172">
              <w:t xml:space="preserve"> </w:t>
            </w:r>
            <w:r>
              <w:t>działań</w:t>
            </w:r>
          </w:p>
        </w:tc>
        <w:tc>
          <w:tcPr>
            <w:tcW w:w="2450" w:type="dxa"/>
          </w:tcPr>
          <w:p w:rsidR="00FB7FDD" w:rsidRPr="00194C4A" w:rsidRDefault="00023172" w:rsidP="00FB7FDD">
            <w:pPr>
              <w:pStyle w:val="tabela0"/>
              <w:cnfStyle w:val="000000000000"/>
            </w:pPr>
            <w:r w:rsidRPr="00194C4A">
              <w:t>B</w:t>
            </w:r>
            <w:r w:rsidR="00DE29B6" w:rsidRPr="00194C4A">
              <w:t>rak</w:t>
            </w:r>
            <w:r>
              <w:t xml:space="preserve"> </w:t>
            </w:r>
            <w:r w:rsidR="00DE29B6" w:rsidRPr="00194C4A">
              <w:t>efektu</w:t>
            </w:r>
          </w:p>
        </w:tc>
      </w:tr>
    </w:tbl>
    <w:p w:rsidR="00AE02BC" w:rsidRPr="003B15A2" w:rsidRDefault="00AE02BC" w:rsidP="00AE02BC">
      <w:pPr>
        <w:pStyle w:val="podpis"/>
        <w:rPr>
          <w:rFonts w:cs="Times New Roman"/>
          <w:b w:val="0"/>
          <w:bCs w:val="0"/>
          <w:i/>
          <w:iCs/>
          <w:sz w:val="24"/>
          <w:szCs w:val="20"/>
        </w:rPr>
      </w:pPr>
      <w:r w:rsidRPr="003B15A2">
        <w:rPr>
          <w:rFonts w:cs="Times New Roman"/>
          <w:b w:val="0"/>
          <w:bCs w:val="0"/>
          <w:i/>
          <w:iCs/>
          <w:sz w:val="24"/>
          <w:szCs w:val="20"/>
        </w:rPr>
        <w:t xml:space="preserve">Źródło: </w:t>
      </w:r>
      <w:r>
        <w:rPr>
          <w:rFonts w:cs="Times New Roman"/>
          <w:b w:val="0"/>
          <w:bCs w:val="0"/>
          <w:i/>
          <w:iCs/>
          <w:sz w:val="24"/>
          <w:szCs w:val="20"/>
        </w:rPr>
        <w:t>O</w:t>
      </w:r>
      <w:r w:rsidRPr="003B15A2">
        <w:rPr>
          <w:rFonts w:cs="Times New Roman"/>
          <w:b w:val="0"/>
          <w:bCs w:val="0"/>
          <w:i/>
          <w:iCs/>
          <w:sz w:val="24"/>
          <w:szCs w:val="20"/>
        </w:rPr>
        <w:t>pracowanie własne.</w:t>
      </w:r>
    </w:p>
    <w:p w:rsidR="000F2810" w:rsidRDefault="000F2810" w:rsidP="003D61A3">
      <w:pPr>
        <w:pStyle w:val="podpis"/>
        <w:rPr>
          <w:rFonts w:cs="Times New Roman"/>
        </w:rPr>
      </w:pPr>
    </w:p>
    <w:p w:rsidR="000F2810" w:rsidRDefault="000F2810" w:rsidP="003D61A3">
      <w:pPr>
        <w:pStyle w:val="podpis"/>
        <w:rPr>
          <w:rFonts w:cs="Times New Roman"/>
        </w:rPr>
      </w:pPr>
    </w:p>
    <w:p w:rsidR="003D61A3" w:rsidRDefault="000F2810" w:rsidP="000F2810">
      <w:pPr>
        <w:pStyle w:val="Legenda"/>
        <w:rPr>
          <w:sz w:val="20"/>
        </w:rPr>
      </w:pPr>
      <w:bookmarkStart w:id="113" w:name="_Toc77322013"/>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11</w:t>
      </w:r>
      <w:r w:rsidR="00A05E44" w:rsidRPr="003A425C">
        <w:rPr>
          <w:sz w:val="20"/>
        </w:rPr>
        <w:fldChar w:fldCharType="end"/>
      </w:r>
      <w:r w:rsidRPr="003A425C">
        <w:rPr>
          <w:sz w:val="20"/>
        </w:rPr>
        <w:t xml:space="preserve"> Zaopatrzenie w energię cieplną scenariusz trzeci</w:t>
      </w:r>
      <w:bookmarkEnd w:id="113"/>
    </w:p>
    <w:tbl>
      <w:tblPr>
        <w:tblStyle w:val="Tabelasiatki1jasnaakcent11"/>
        <w:tblW w:w="9629" w:type="dxa"/>
        <w:tblLook w:val="04A0"/>
      </w:tblPr>
      <w:tblGrid>
        <w:gridCol w:w="3380"/>
        <w:gridCol w:w="1009"/>
        <w:gridCol w:w="1048"/>
        <w:gridCol w:w="1048"/>
        <w:gridCol w:w="1048"/>
        <w:gridCol w:w="1048"/>
        <w:gridCol w:w="1048"/>
      </w:tblGrid>
      <w:tr w:rsidR="0097604B" w:rsidRPr="00932E8C" w:rsidTr="00D74DC4">
        <w:trPr>
          <w:cnfStyle w:val="100000000000"/>
          <w:trHeight w:val="300"/>
        </w:trPr>
        <w:tc>
          <w:tcPr>
            <w:cnfStyle w:val="001000000000"/>
            <w:tcW w:w="3380" w:type="dxa"/>
            <w:noWrap/>
            <w:hideMark/>
          </w:tcPr>
          <w:p w:rsidR="0097604B" w:rsidRPr="00932E8C" w:rsidRDefault="0097604B" w:rsidP="0097604B">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1009"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1048" w:type="dxa"/>
            <w:noWrap/>
            <w:hideMark/>
          </w:tcPr>
          <w:p w:rsidR="0097604B" w:rsidRPr="00932E8C" w:rsidRDefault="0097604B" w:rsidP="0097604B">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budynki użyteczności publicznej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c>
          <w:tcPr>
            <w:tcW w:w="1048"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1200,48</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Mieszkalnictwo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48839,5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48247,21</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47629,61</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47016,95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46409,17</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45806,21</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przemysł i usługi [MWh]</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6125,8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6156,429</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6217,993</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6280,173</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6342,975</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6406,405</w:t>
            </w:r>
          </w:p>
        </w:tc>
      </w:tr>
      <w:tr w:rsidR="00D74DC4" w:rsidRPr="00932E8C" w:rsidTr="00D74DC4">
        <w:trPr>
          <w:trHeight w:val="300"/>
        </w:trPr>
        <w:tc>
          <w:tcPr>
            <w:cnfStyle w:val="001000000000"/>
            <w:tcW w:w="3380" w:type="dxa"/>
            <w:noWrap/>
            <w:hideMark/>
          </w:tcPr>
          <w:p w:rsidR="00D74DC4" w:rsidRPr="00932E8C" w:rsidRDefault="00D74DC4" w:rsidP="00D74DC4">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lastRenderedPageBreak/>
              <w:t>Suma</w:t>
            </w:r>
          </w:p>
        </w:tc>
        <w:tc>
          <w:tcPr>
            <w:tcW w:w="1009" w:type="dxa"/>
            <w:noWrap/>
            <w:vAlign w:val="center"/>
            <w:hideMark/>
          </w:tcPr>
          <w:p w:rsidR="00D74DC4" w:rsidRPr="00932E8C" w:rsidRDefault="00D74DC4" w:rsidP="00D74DC4">
            <w:pPr>
              <w:jc w:val="right"/>
              <w:cnfStyle w:val="000000000000"/>
              <w:rPr>
                <w:rFonts w:ascii="Times New Roman" w:eastAsia="Times New Roman" w:hAnsi="Times New Roman" w:cs="Times New Roman"/>
                <w:color w:val="000000"/>
              </w:rPr>
            </w:pPr>
            <w:r w:rsidRPr="00932E8C">
              <w:rPr>
                <w:rFonts w:ascii="Times New Roman" w:hAnsi="Times New Roman" w:cs="Times New Roman"/>
                <w:color w:val="000000"/>
              </w:rPr>
              <w:t>56165,78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55604,12</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55048,08</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54497,6</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53952,62</w:t>
            </w:r>
          </w:p>
        </w:tc>
        <w:tc>
          <w:tcPr>
            <w:tcW w:w="1048" w:type="dxa"/>
            <w:noWrap/>
            <w:vAlign w:val="bottom"/>
            <w:hideMark/>
          </w:tcPr>
          <w:p w:rsidR="00D74DC4" w:rsidRPr="00932E8C" w:rsidRDefault="00D74DC4" w:rsidP="00D74DC4">
            <w:pPr>
              <w:jc w:val="right"/>
              <w:cnfStyle w:val="000000000000"/>
              <w:rPr>
                <w:rFonts w:ascii="Times New Roman" w:eastAsia="Times New Roman" w:hAnsi="Times New Roman" w:cs="Times New Roman"/>
                <w:color w:val="000000"/>
                <w:sz w:val="22"/>
                <w:szCs w:val="22"/>
              </w:rPr>
            </w:pPr>
            <w:r w:rsidRPr="00932E8C">
              <w:rPr>
                <w:rFonts w:ascii="Times New Roman" w:hAnsi="Times New Roman" w:cs="Times New Roman"/>
                <w:color w:val="000000"/>
                <w:sz w:val="22"/>
                <w:szCs w:val="22"/>
              </w:rPr>
              <w:t>53413,1</w:t>
            </w:r>
          </w:p>
        </w:tc>
      </w:tr>
    </w:tbl>
    <w:p w:rsidR="0097604B" w:rsidRDefault="0097604B" w:rsidP="00EE2CFC">
      <w:pPr>
        <w:rPr>
          <w:rFonts w:ascii="Times New Roman" w:hAnsi="Times New Roman" w:cs="Times New Roman"/>
          <w:i/>
          <w:sz w:val="22"/>
          <w:szCs w:val="22"/>
        </w:rPr>
      </w:pPr>
    </w:p>
    <w:p w:rsidR="00EE2CFC" w:rsidRDefault="00EE2CFC" w:rsidP="00EE2CFC">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AE02BC">
        <w:rPr>
          <w:rFonts w:ascii="Times New Roman" w:hAnsi="Times New Roman" w:cs="Times New Roman"/>
          <w:i/>
          <w:sz w:val="22"/>
          <w:szCs w:val="22"/>
        </w:rPr>
        <w:t>w</w:t>
      </w:r>
      <w:r w:rsidR="00AE02BC" w:rsidRPr="005D3DDE">
        <w:rPr>
          <w:rFonts w:ascii="Times New Roman" w:hAnsi="Times New Roman" w:cs="Times New Roman"/>
          <w:i/>
          <w:sz w:val="22"/>
          <w:szCs w:val="22"/>
        </w:rPr>
        <w:t>łasne</w:t>
      </w:r>
      <w:r w:rsidR="00AE02BC">
        <w:rPr>
          <w:rFonts w:ascii="Times New Roman" w:hAnsi="Times New Roman" w:cs="Times New Roman"/>
          <w:i/>
          <w:sz w:val="22"/>
          <w:szCs w:val="22"/>
        </w:rPr>
        <w:t>.</w:t>
      </w:r>
    </w:p>
    <w:p w:rsidR="001B492E" w:rsidRPr="00194C4A" w:rsidRDefault="001B492E" w:rsidP="008A40A2">
      <w:pPr>
        <w:pStyle w:val="Nagwek4"/>
        <w:numPr>
          <w:ilvl w:val="3"/>
          <w:numId w:val="24"/>
        </w:numPr>
        <w:ind w:left="284"/>
        <w:rPr>
          <w:rFonts w:ascii="Times New Roman" w:hAnsi="Times New Roman" w:cs="Times New Roman"/>
        </w:rPr>
      </w:pPr>
      <w:r w:rsidRPr="00194C4A">
        <w:rPr>
          <w:rFonts w:ascii="Times New Roman" w:hAnsi="Times New Roman" w:cs="Times New Roman"/>
        </w:rPr>
        <w:t>Wybór wariantu</w:t>
      </w:r>
    </w:p>
    <w:p w:rsidR="003D61A3" w:rsidRDefault="003D61A3" w:rsidP="003D61A3">
      <w:pPr>
        <w:pStyle w:val="tekst"/>
        <w:rPr>
          <w:rFonts w:cs="Times New Roman"/>
        </w:rPr>
      </w:pPr>
      <w:r w:rsidRPr="00194C4A">
        <w:rPr>
          <w:rFonts w:cs="Times New Roman"/>
        </w:rPr>
        <w:t xml:space="preserve">Wariantem optymalnym dla rozwoju gminy </w:t>
      </w:r>
      <w:r w:rsidR="00023172">
        <w:rPr>
          <w:rFonts w:cs="Times New Roman"/>
        </w:rPr>
        <w:t xml:space="preserve">Wieliczju </w:t>
      </w:r>
      <w:r w:rsidRPr="00194C4A">
        <w:rPr>
          <w:rFonts w:cs="Times New Roman"/>
        </w:rPr>
        <w:t xml:space="preserve">jest scenariusz nr 2: </w:t>
      </w:r>
      <w:r w:rsidR="00EE2CFC" w:rsidRPr="00EE2CFC">
        <w:rPr>
          <w:rFonts w:cs="Times New Roman"/>
          <w:i/>
        </w:rPr>
        <w:t>Kierunek ekologia</w:t>
      </w:r>
      <w:r w:rsidRPr="00194C4A">
        <w:rPr>
          <w:rFonts w:cs="Times New Roman"/>
        </w:rPr>
        <w:t xml:space="preserve">, w ramach którego zapotrzebowanie na ciepło </w:t>
      </w:r>
      <w:r w:rsidR="00D71233" w:rsidRPr="00194C4A">
        <w:rPr>
          <w:rFonts w:cs="Times New Roman"/>
        </w:rPr>
        <w:t xml:space="preserve">w postaci energii finalnej </w:t>
      </w:r>
      <w:r w:rsidRPr="00194C4A">
        <w:rPr>
          <w:rFonts w:cs="Times New Roman"/>
        </w:rPr>
        <w:t>ma szans</w:t>
      </w:r>
      <w:r w:rsidR="000E5D73">
        <w:rPr>
          <w:rFonts w:cs="Times New Roman"/>
        </w:rPr>
        <w:t>ę</w:t>
      </w:r>
      <w:r w:rsidRPr="00194C4A">
        <w:rPr>
          <w:rFonts w:cs="Times New Roman"/>
        </w:rPr>
        <w:t xml:space="preserve"> spaść o </w:t>
      </w:r>
      <w:r w:rsidR="00EE2CFC">
        <w:rPr>
          <w:rFonts w:cs="Times New Roman"/>
        </w:rPr>
        <w:t>9</w:t>
      </w:r>
      <w:r w:rsidR="00142329" w:rsidRPr="00194C4A">
        <w:rPr>
          <w:rFonts w:cs="Times New Roman"/>
        </w:rPr>
        <w:t>,</w:t>
      </w:r>
      <w:r w:rsidR="00EE2CFC">
        <w:rPr>
          <w:rFonts w:cs="Times New Roman"/>
        </w:rPr>
        <w:t>73</w:t>
      </w:r>
      <w:r w:rsidRPr="00194C4A">
        <w:rPr>
          <w:rFonts w:cs="Times New Roman"/>
        </w:rPr>
        <w:t>% do 203</w:t>
      </w:r>
      <w:r w:rsidR="00023172">
        <w:rPr>
          <w:rFonts w:cs="Times New Roman"/>
        </w:rPr>
        <w:t>5</w:t>
      </w:r>
      <w:r w:rsidRPr="00194C4A">
        <w:rPr>
          <w:rFonts w:cs="Times New Roman"/>
        </w:rPr>
        <w:t xml:space="preserve"> roku. Wariant ten wymaga wykonania </w:t>
      </w:r>
      <w:r w:rsidR="0097604B">
        <w:rPr>
          <w:rFonts w:cs="Times New Roman"/>
        </w:rPr>
        <w:t>wsparcia postaw proekologicznych</w:t>
      </w:r>
      <w:r w:rsidRPr="00194C4A">
        <w:rPr>
          <w:rFonts w:cs="Times New Roman"/>
        </w:rPr>
        <w:t xml:space="preserve"> oraz </w:t>
      </w:r>
      <w:r w:rsidR="0097604B">
        <w:rPr>
          <w:rFonts w:cs="Times New Roman"/>
        </w:rPr>
        <w:t>kontynuacji polityki gminy względem budynków użyteczności publicznej</w:t>
      </w:r>
      <w:r w:rsidR="000E5D73">
        <w:rPr>
          <w:rFonts w:cs="Times New Roman"/>
        </w:rPr>
        <w:t>;</w:t>
      </w:r>
      <w:r w:rsidR="00D71233" w:rsidRPr="00194C4A">
        <w:rPr>
          <w:rFonts w:cs="Times New Roman"/>
        </w:rPr>
        <w:t xml:space="preserve"> ponadto realizacja zadanego wariantu jest możliwa tylko w przypadku systemowej wymiany kotłów cieplnych w indywidualnych gospodarstwach na kotły nowe i wyższej sprawności, w tym kotły gazowe.</w:t>
      </w:r>
      <w:r w:rsidR="00023172">
        <w:rPr>
          <w:rFonts w:cs="Times New Roman"/>
        </w:rPr>
        <w:t xml:space="preserve"> </w:t>
      </w:r>
      <w:r w:rsidR="000E5D73">
        <w:rPr>
          <w:rFonts w:cs="Times New Roman"/>
        </w:rPr>
        <w:t xml:space="preserve">Konieczne jest też </w:t>
      </w:r>
      <w:r w:rsidR="00EE2CFC">
        <w:rPr>
          <w:rFonts w:cs="Times New Roman"/>
        </w:rPr>
        <w:t>wsparcie dla termomodernizacji budynków jednorodzinnych</w:t>
      </w:r>
      <w:r w:rsidR="000E5D73">
        <w:rPr>
          <w:rFonts w:cs="Times New Roman"/>
        </w:rPr>
        <w:t xml:space="preserve"> (zob. rysunek poniżej)</w:t>
      </w:r>
      <w:r w:rsidR="003A425C">
        <w:rPr>
          <w:rFonts w:cs="Times New Roman"/>
        </w:rPr>
        <w:t>.</w:t>
      </w:r>
    </w:p>
    <w:p w:rsidR="00EE2CFC" w:rsidRPr="003A425C" w:rsidRDefault="00EE2CFC" w:rsidP="00EE2CFC">
      <w:pPr>
        <w:pStyle w:val="Legenda"/>
        <w:rPr>
          <w:rFonts w:cs="Times New Roman"/>
          <w:sz w:val="20"/>
        </w:rPr>
      </w:pPr>
      <w:bookmarkStart w:id="114" w:name="_Toc77321984"/>
      <w:r w:rsidRPr="003A425C">
        <w:rPr>
          <w:sz w:val="20"/>
        </w:rPr>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7</w:t>
      </w:r>
      <w:r w:rsidR="00A05E44" w:rsidRPr="003A425C">
        <w:rPr>
          <w:sz w:val="20"/>
        </w:rPr>
        <w:fldChar w:fldCharType="end"/>
      </w:r>
      <w:r w:rsidRPr="003A425C">
        <w:rPr>
          <w:sz w:val="20"/>
        </w:rPr>
        <w:t xml:space="preserve"> Zapotrzebowanie na energię w czasie wg scenariuszy</w:t>
      </w:r>
      <w:bookmarkEnd w:id="114"/>
    </w:p>
    <w:p w:rsidR="00EE2CFC" w:rsidRPr="00194C4A" w:rsidRDefault="00D74DC4" w:rsidP="00EE2CFC">
      <w:pPr>
        <w:pStyle w:val="tekst"/>
        <w:ind w:firstLine="0"/>
        <w:jc w:val="center"/>
        <w:rPr>
          <w:rFonts w:cs="Times New Roman"/>
        </w:rPr>
      </w:pPr>
      <w:r>
        <w:rPr>
          <w:noProof/>
        </w:rPr>
        <w:drawing>
          <wp:inline distT="0" distB="0" distL="0" distR="0">
            <wp:extent cx="4572000" cy="2743200"/>
            <wp:effectExtent l="0" t="0" r="0" b="0"/>
            <wp:docPr id="3" name="Wykres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BFE185D6-8CF7-4575-9816-EEF8F17C1B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E2CFC" w:rsidRDefault="00EE2CFC" w:rsidP="00EE2CFC">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0E5D73">
        <w:rPr>
          <w:rFonts w:ascii="Times New Roman" w:hAnsi="Times New Roman" w:cs="Times New Roman"/>
          <w:i/>
          <w:sz w:val="22"/>
          <w:szCs w:val="22"/>
        </w:rPr>
        <w:t>w</w:t>
      </w:r>
      <w:r w:rsidR="000E5D73" w:rsidRPr="005D3DDE">
        <w:rPr>
          <w:rFonts w:ascii="Times New Roman" w:hAnsi="Times New Roman" w:cs="Times New Roman"/>
          <w:i/>
          <w:sz w:val="22"/>
          <w:szCs w:val="22"/>
        </w:rPr>
        <w:t>łasne</w:t>
      </w:r>
      <w:r w:rsidR="000E5D73">
        <w:rPr>
          <w:rFonts w:ascii="Times New Roman" w:hAnsi="Times New Roman" w:cs="Times New Roman"/>
          <w:i/>
          <w:sz w:val="22"/>
          <w:szCs w:val="22"/>
        </w:rPr>
        <w:t>.</w:t>
      </w:r>
    </w:p>
    <w:p w:rsidR="00D71233" w:rsidRPr="00B941F4" w:rsidRDefault="00B941F4" w:rsidP="00B941F4">
      <w:pPr>
        <w:pStyle w:val="Nagwek3"/>
        <w:ind w:left="-86"/>
        <w:rPr>
          <w:rFonts w:ascii="Times New Roman" w:hAnsi="Times New Roman" w:cs="Times New Roman"/>
        </w:rPr>
      </w:pPr>
      <w:bookmarkStart w:id="115" w:name="_Toc77321963"/>
      <w:r w:rsidRPr="00B941F4">
        <w:rPr>
          <w:rFonts w:ascii="Times New Roman" w:hAnsi="Times New Roman" w:cs="Times New Roman"/>
        </w:rPr>
        <w:t xml:space="preserve">4.1.4 </w:t>
      </w:r>
      <w:r w:rsidR="00D71233" w:rsidRPr="00B941F4">
        <w:rPr>
          <w:rFonts w:ascii="Times New Roman" w:hAnsi="Times New Roman" w:cs="Times New Roman"/>
        </w:rPr>
        <w:t>Zapotrzebowanie na energię elektryczną</w:t>
      </w:r>
      <w:bookmarkEnd w:id="115"/>
    </w:p>
    <w:p w:rsidR="00D71233" w:rsidRPr="00194C4A" w:rsidRDefault="00D71233" w:rsidP="00577486">
      <w:pPr>
        <w:pStyle w:val="tekst"/>
        <w:rPr>
          <w:rFonts w:cs="Times New Roman"/>
        </w:rPr>
      </w:pPr>
      <w:r w:rsidRPr="00194C4A">
        <w:rPr>
          <w:rFonts w:cs="Times New Roman"/>
        </w:rPr>
        <w:t>Wpływ na zapotrzebowanie na energię elektryczną ma kilka czynników:</w:t>
      </w:r>
    </w:p>
    <w:p w:rsidR="00D71233" w:rsidRPr="00194C4A" w:rsidRDefault="00D71233" w:rsidP="008A40A2">
      <w:pPr>
        <w:pStyle w:val="tekst"/>
        <w:numPr>
          <w:ilvl w:val="0"/>
          <w:numId w:val="17"/>
        </w:numPr>
        <w:rPr>
          <w:rFonts w:cs="Times New Roman"/>
        </w:rPr>
      </w:pPr>
      <w:r w:rsidRPr="00194C4A">
        <w:rPr>
          <w:rFonts w:cs="Times New Roman"/>
        </w:rPr>
        <w:t>w sektorze produkcji – rozwój produkcji oraz powstawanie nowych zakładów,</w:t>
      </w:r>
      <w:r w:rsidR="00EE2CFC">
        <w:rPr>
          <w:rFonts w:cs="Times New Roman"/>
        </w:rPr>
        <w:t xml:space="preserve"> nieznaczny wpływ ma inwest</w:t>
      </w:r>
      <w:r w:rsidR="00023172">
        <w:rPr>
          <w:rFonts w:cs="Times New Roman"/>
        </w:rPr>
        <w:t>owanie</w:t>
      </w:r>
      <w:r w:rsidR="00EE2CFC">
        <w:rPr>
          <w:rFonts w:cs="Times New Roman"/>
        </w:rPr>
        <w:t xml:space="preserve"> w efektywność energetyczną</w:t>
      </w:r>
      <w:r w:rsidR="00F415CF">
        <w:rPr>
          <w:rFonts w:cs="Times New Roman"/>
        </w:rPr>
        <w:t>,</w:t>
      </w:r>
    </w:p>
    <w:p w:rsidR="00D71233" w:rsidRPr="00194C4A" w:rsidRDefault="00D71233" w:rsidP="008A40A2">
      <w:pPr>
        <w:pStyle w:val="tekst"/>
        <w:numPr>
          <w:ilvl w:val="0"/>
          <w:numId w:val="17"/>
        </w:numPr>
        <w:rPr>
          <w:rFonts w:cs="Times New Roman"/>
        </w:rPr>
      </w:pPr>
      <w:r w:rsidRPr="00194C4A">
        <w:rPr>
          <w:rFonts w:cs="Times New Roman"/>
        </w:rPr>
        <w:t>w sektorze użyteczności publicznej – wymiana obecnie użytkowanych urządzeń i</w:t>
      </w:r>
      <w:r w:rsidR="00AA03D2" w:rsidRPr="00194C4A">
        <w:rPr>
          <w:rFonts w:cs="Times New Roman"/>
        </w:rPr>
        <w:t> </w:t>
      </w:r>
      <w:r w:rsidRPr="00194C4A">
        <w:rPr>
          <w:rFonts w:cs="Times New Roman"/>
        </w:rPr>
        <w:t>oświetlenia na nowe – bardziej energooszczędne,</w:t>
      </w:r>
    </w:p>
    <w:p w:rsidR="00D71233" w:rsidRPr="00194C4A" w:rsidRDefault="00D71233" w:rsidP="008A40A2">
      <w:pPr>
        <w:pStyle w:val="tekst"/>
        <w:numPr>
          <w:ilvl w:val="0"/>
          <w:numId w:val="17"/>
        </w:numPr>
        <w:rPr>
          <w:rFonts w:cs="Times New Roman"/>
        </w:rPr>
      </w:pPr>
      <w:r w:rsidRPr="00194C4A">
        <w:rPr>
          <w:rFonts w:cs="Times New Roman"/>
        </w:rPr>
        <w:t>w sektorze usługowym – rozwój usług, nowe potrzeby chłodnicz</w:t>
      </w:r>
      <w:r w:rsidR="00E47523" w:rsidRPr="00194C4A">
        <w:rPr>
          <w:rFonts w:cs="Times New Roman"/>
        </w:rPr>
        <w:t>e – klimatyzacja pomieszczeń</w:t>
      </w:r>
      <w:r w:rsidR="00F6288B" w:rsidRPr="00194C4A">
        <w:rPr>
          <w:rFonts w:cs="Times New Roman"/>
        </w:rPr>
        <w:t>,</w:t>
      </w:r>
    </w:p>
    <w:p w:rsidR="00E47523" w:rsidRDefault="00E47523" w:rsidP="008A40A2">
      <w:pPr>
        <w:pStyle w:val="tekst"/>
        <w:numPr>
          <w:ilvl w:val="0"/>
          <w:numId w:val="17"/>
        </w:numPr>
        <w:rPr>
          <w:rFonts w:cs="Times New Roman"/>
        </w:rPr>
      </w:pPr>
      <w:r w:rsidRPr="00194C4A">
        <w:rPr>
          <w:rFonts w:cs="Times New Roman"/>
        </w:rPr>
        <w:t xml:space="preserve">w sektorze mieszkalnym – wzrost zamożności mieszkańców, wykorzystanie energii elektrycznej do ogrzewania pomieszczeń – bezpośrednio lub przy użyciu pomp ciepła, rozwój elektromobilności, zwiększenie ceny energii elektrycznej pobieranej z sieci oraz </w:t>
      </w:r>
      <w:r w:rsidRPr="00194C4A">
        <w:rPr>
          <w:rFonts w:cs="Times New Roman"/>
        </w:rPr>
        <w:lastRenderedPageBreak/>
        <w:t>zmniejszenie kosztów wytwarzania energii we własnym zakresie, działania w zakresie efektywności energetycznej</w:t>
      </w:r>
      <w:r w:rsidR="00C44D37">
        <w:rPr>
          <w:rFonts w:cs="Times New Roman"/>
        </w:rPr>
        <w:t>,</w:t>
      </w:r>
    </w:p>
    <w:p w:rsidR="00EE2CFC" w:rsidRDefault="00EE2CFC" w:rsidP="008A40A2">
      <w:pPr>
        <w:pStyle w:val="tekst"/>
        <w:numPr>
          <w:ilvl w:val="0"/>
          <w:numId w:val="17"/>
        </w:numPr>
        <w:rPr>
          <w:rFonts w:cs="Times New Roman"/>
        </w:rPr>
      </w:pPr>
      <w:r>
        <w:rPr>
          <w:rFonts w:cs="Times New Roman"/>
        </w:rPr>
        <w:t xml:space="preserve">w każdym z w/w sektorów </w:t>
      </w:r>
      <w:r w:rsidR="00C44D37">
        <w:rPr>
          <w:rFonts w:cs="Times New Roman"/>
        </w:rPr>
        <w:t xml:space="preserve">– </w:t>
      </w:r>
      <w:r>
        <w:rPr>
          <w:rFonts w:cs="Times New Roman"/>
        </w:rPr>
        <w:t>inwestycje w odnawialne źródła energii oraz magazynowanie energii z uwagi na spadające koszty tych technologii</w:t>
      </w:r>
      <w:r w:rsidR="00C44D37">
        <w:rPr>
          <w:rFonts w:cs="Times New Roman"/>
        </w:rPr>
        <w:t>,</w:t>
      </w:r>
    </w:p>
    <w:p w:rsidR="002F56F3" w:rsidRDefault="002F56F3" w:rsidP="008A40A2">
      <w:pPr>
        <w:pStyle w:val="tekst"/>
        <w:numPr>
          <w:ilvl w:val="0"/>
          <w:numId w:val="17"/>
        </w:numPr>
        <w:rPr>
          <w:rFonts w:cs="Times New Roman"/>
        </w:rPr>
      </w:pPr>
      <w:r>
        <w:rPr>
          <w:rFonts w:cs="Times New Roman"/>
        </w:rPr>
        <w:t>trendem powodującym zmianę zapotrzebowania na energi</w:t>
      </w:r>
      <w:r w:rsidR="00C44D37">
        <w:rPr>
          <w:rFonts w:cs="Times New Roman"/>
        </w:rPr>
        <w:t>ę</w:t>
      </w:r>
      <w:r>
        <w:rPr>
          <w:rFonts w:cs="Times New Roman"/>
        </w:rPr>
        <w:t xml:space="preserve"> elektryczną jest elektromobilność. </w:t>
      </w:r>
    </w:p>
    <w:p w:rsidR="003A425C" w:rsidRPr="00194C4A" w:rsidRDefault="003A425C" w:rsidP="003A425C">
      <w:pPr>
        <w:pStyle w:val="tekst"/>
        <w:ind w:left="928" w:firstLine="0"/>
        <w:rPr>
          <w:rFonts w:cs="Times New Roman"/>
        </w:rPr>
      </w:pPr>
    </w:p>
    <w:p w:rsidR="00EE2CFC" w:rsidRDefault="00A26EC0" w:rsidP="00A26EC0">
      <w:pPr>
        <w:pStyle w:val="Nagwek4"/>
        <w:ind w:left="360"/>
        <w:rPr>
          <w:rFonts w:ascii="Times New Roman" w:hAnsi="Times New Roman" w:cs="Times New Roman"/>
        </w:rPr>
      </w:pPr>
      <w:bookmarkStart w:id="116" w:name="_Toc489967626"/>
      <w:r>
        <w:rPr>
          <w:rFonts w:ascii="Times New Roman" w:hAnsi="Times New Roman" w:cs="Times New Roman"/>
        </w:rPr>
        <w:t xml:space="preserve">4.1.4.1 </w:t>
      </w:r>
      <w:r w:rsidR="00EE2CFC" w:rsidRPr="00194C4A">
        <w:rPr>
          <w:rFonts w:ascii="Times New Roman" w:hAnsi="Times New Roman" w:cs="Times New Roman"/>
        </w:rPr>
        <w:t xml:space="preserve">Scenariusz nr1 </w:t>
      </w:r>
      <w:r w:rsidR="00EE2CFC">
        <w:rPr>
          <w:rFonts w:ascii="Times New Roman" w:hAnsi="Times New Roman" w:cs="Times New Roman"/>
        </w:rPr>
        <w:t>Wzrost konsumpcji energii</w:t>
      </w:r>
    </w:p>
    <w:p w:rsidR="009E1C01" w:rsidRDefault="009E1C01" w:rsidP="009E1C01">
      <w:pPr>
        <w:pStyle w:val="tekst"/>
      </w:pPr>
    </w:p>
    <w:p w:rsidR="009E1C01" w:rsidRDefault="009E1C01" w:rsidP="009E1C01">
      <w:pPr>
        <w:pStyle w:val="tekst"/>
      </w:pPr>
      <w:r w:rsidRPr="00194C4A">
        <w:t>W danym scenariuszu następuje wzrost zapotrzebowania</w:t>
      </w:r>
      <w:r>
        <w:t xml:space="preserve"> na energię elektryczną poprzez rozwój usług</w:t>
      </w:r>
      <w:r w:rsidR="0015350F">
        <w:t xml:space="preserve"> i produkcji</w:t>
      </w:r>
      <w:r>
        <w:t xml:space="preserve">. Nieznaczne inwestycje w odnawialne źródła energii nie mają większego wpływu na </w:t>
      </w:r>
      <w:r w:rsidR="0015350F">
        <w:t>konsumpcję energii. W budynkach użyteczności publicznej wykonuje się dalsze inwestycję mające na celu ograniczenie zużycia energii</w:t>
      </w:r>
      <w:r w:rsidR="00DE129F">
        <w:t xml:space="preserve"> (zob. tabela poniżej)</w:t>
      </w:r>
      <w:r w:rsidR="0015350F">
        <w:t>.</w:t>
      </w:r>
    </w:p>
    <w:p w:rsidR="003A425C" w:rsidRDefault="003A425C" w:rsidP="009E1C01">
      <w:pPr>
        <w:pStyle w:val="tekst"/>
      </w:pPr>
    </w:p>
    <w:p w:rsidR="009F69DD" w:rsidRPr="003A425C" w:rsidRDefault="009E1C01" w:rsidP="009E1C01">
      <w:pPr>
        <w:pStyle w:val="Legenda"/>
        <w:rPr>
          <w:rFonts w:cs="Times New Roman"/>
          <w:sz w:val="20"/>
        </w:rPr>
      </w:pPr>
      <w:bookmarkStart w:id="117" w:name="_Toc77322014"/>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12</w:t>
      </w:r>
      <w:r w:rsidR="00A05E44" w:rsidRPr="003A425C">
        <w:rPr>
          <w:sz w:val="20"/>
        </w:rPr>
        <w:fldChar w:fldCharType="end"/>
      </w:r>
      <w:r w:rsidR="009F69DD" w:rsidRPr="003A425C">
        <w:rPr>
          <w:rFonts w:cs="Times New Roman"/>
          <w:sz w:val="20"/>
        </w:rPr>
        <w:t xml:space="preserve">Zapotrzebowanie na energię elektryczną </w:t>
      </w:r>
      <w:bookmarkEnd w:id="116"/>
      <w:r w:rsidR="00ED0B16" w:rsidRPr="003A425C">
        <w:rPr>
          <w:rFonts w:cs="Times New Roman"/>
          <w:sz w:val="20"/>
        </w:rPr>
        <w:t xml:space="preserve">według scenariusza </w:t>
      </w:r>
      <w:r w:rsidR="00126581" w:rsidRPr="003A425C">
        <w:rPr>
          <w:rFonts w:cs="Times New Roman"/>
          <w:sz w:val="20"/>
        </w:rPr>
        <w:t>1</w:t>
      </w:r>
      <w:bookmarkEnd w:id="117"/>
    </w:p>
    <w:tbl>
      <w:tblPr>
        <w:tblStyle w:val="Tabelasiatki1jasnaakcent11"/>
        <w:tblW w:w="8638" w:type="dxa"/>
        <w:tblLook w:val="04A0"/>
      </w:tblPr>
      <w:tblGrid>
        <w:gridCol w:w="2878"/>
        <w:gridCol w:w="1041"/>
        <w:gridCol w:w="1041"/>
        <w:gridCol w:w="1041"/>
        <w:gridCol w:w="1041"/>
        <w:gridCol w:w="1041"/>
        <w:gridCol w:w="1041"/>
      </w:tblGrid>
      <w:tr w:rsidR="006B2756" w:rsidRPr="00932E8C" w:rsidTr="00C4722A">
        <w:trPr>
          <w:cnfStyle w:val="100000000000"/>
          <w:trHeight w:val="288"/>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mieszkalnictwo</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8260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9086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9994,6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10994,06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12093,47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13302,81</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usługi</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1361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1401,83</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1443,885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1487,201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1531,817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1577,772</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produkcyjne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340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357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374,85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393,5925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413,2721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433,9357</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inwentarskie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310,2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341,22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375,342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412,8762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454,1638</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pozostałe budynki</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530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1884,209</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2906,753</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3853,402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4714,879</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5480,967</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oświetlenie uliczne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523,2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264,216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266,8582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269,5267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272,222</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użyteczności publicznej</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SUMA</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11408,84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13413,48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15438,16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17483,1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19548,48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21634,51</w:t>
            </w:r>
          </w:p>
        </w:tc>
      </w:tr>
    </w:tbl>
    <w:p w:rsidR="006B2756" w:rsidRDefault="006B2756" w:rsidP="009E1C01">
      <w:pPr>
        <w:rPr>
          <w:rFonts w:ascii="Times New Roman" w:hAnsi="Times New Roman" w:cs="Times New Roman"/>
          <w:i/>
          <w:sz w:val="22"/>
          <w:szCs w:val="22"/>
        </w:rPr>
      </w:pPr>
    </w:p>
    <w:p w:rsidR="009E1C01" w:rsidRDefault="009E1C01" w:rsidP="009E1C01">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FC2FBA">
        <w:rPr>
          <w:rFonts w:ascii="Times New Roman" w:hAnsi="Times New Roman" w:cs="Times New Roman"/>
          <w:i/>
          <w:sz w:val="22"/>
          <w:szCs w:val="22"/>
        </w:rPr>
        <w:t>w</w:t>
      </w:r>
      <w:r w:rsidR="00FC2FBA" w:rsidRPr="005D3DDE">
        <w:rPr>
          <w:rFonts w:ascii="Times New Roman" w:hAnsi="Times New Roman" w:cs="Times New Roman"/>
          <w:i/>
          <w:sz w:val="22"/>
          <w:szCs w:val="22"/>
        </w:rPr>
        <w:t>łasne</w:t>
      </w:r>
      <w:r w:rsidR="00FC2FBA">
        <w:rPr>
          <w:rFonts w:ascii="Times New Roman" w:hAnsi="Times New Roman" w:cs="Times New Roman"/>
          <w:i/>
          <w:sz w:val="22"/>
          <w:szCs w:val="22"/>
        </w:rPr>
        <w:t>.</w:t>
      </w:r>
    </w:p>
    <w:p w:rsidR="009E1C01" w:rsidRPr="00194C4A" w:rsidRDefault="009E1C01" w:rsidP="009F69DD">
      <w:pPr>
        <w:pStyle w:val="podpis"/>
        <w:rPr>
          <w:rFonts w:cs="Times New Roman"/>
        </w:rPr>
      </w:pPr>
    </w:p>
    <w:p w:rsidR="00EE2CFC" w:rsidRDefault="00A26EC0" w:rsidP="00A26EC0">
      <w:pPr>
        <w:pStyle w:val="Nagwek4"/>
        <w:ind w:left="-87"/>
        <w:rPr>
          <w:rFonts w:ascii="Times New Roman" w:hAnsi="Times New Roman" w:cs="Times New Roman"/>
        </w:rPr>
      </w:pPr>
      <w:r>
        <w:rPr>
          <w:rFonts w:ascii="Times New Roman" w:hAnsi="Times New Roman" w:cs="Times New Roman"/>
        </w:rPr>
        <w:t xml:space="preserve">4.1.4.2 </w:t>
      </w:r>
      <w:r w:rsidR="00EE2CFC" w:rsidRPr="00194C4A">
        <w:rPr>
          <w:rFonts w:ascii="Times New Roman" w:hAnsi="Times New Roman" w:cs="Times New Roman"/>
        </w:rPr>
        <w:t xml:space="preserve">Scenariusz nr 2 </w:t>
      </w:r>
      <w:r w:rsidR="00EE2CFC" w:rsidRPr="001716A5">
        <w:rPr>
          <w:rFonts w:ascii="Times New Roman" w:hAnsi="Times New Roman" w:cs="Times New Roman"/>
        </w:rPr>
        <w:t>Kierunek ekologi</w:t>
      </w:r>
      <w:r w:rsidR="00EE2CFC">
        <w:rPr>
          <w:rFonts w:ascii="Times New Roman" w:hAnsi="Times New Roman" w:cs="Times New Roman"/>
        </w:rPr>
        <w:t>a</w:t>
      </w:r>
    </w:p>
    <w:p w:rsidR="00156322" w:rsidRDefault="009F69DD" w:rsidP="00156322">
      <w:pPr>
        <w:pStyle w:val="tekst"/>
        <w:spacing w:after="240"/>
        <w:rPr>
          <w:rFonts w:cs="Times New Roman"/>
        </w:rPr>
      </w:pPr>
      <w:r w:rsidRPr="00194C4A">
        <w:rPr>
          <w:rFonts w:cs="Times New Roman"/>
        </w:rPr>
        <w:t>W danym scenariuszu następuje balansowanie pomiędzy wzrostem zapotrzebowania poprzez rozwój usług i zwiększenie wykorzystania energii przez gospodarstwa domowe a zwiększaniem efektywności energetycznej i wzrostem cen.</w:t>
      </w:r>
      <w:r w:rsidR="009E1C01">
        <w:rPr>
          <w:rFonts w:cs="Times New Roman"/>
        </w:rPr>
        <w:t xml:space="preserve"> Rozwój odnawialnych źródeł energii powoduje wzrost konsumpcji energii elektrycznej i przechodzenie coraz większej ilości mieszkańców i przedsiębiorców na urządzenia zasilane elektrycznie. </w:t>
      </w:r>
      <w:r w:rsidRPr="00194C4A">
        <w:rPr>
          <w:rFonts w:cs="Times New Roman"/>
        </w:rPr>
        <w:t>W perspektywie po 202</w:t>
      </w:r>
      <w:r w:rsidR="009E1C01">
        <w:rPr>
          <w:rFonts w:cs="Times New Roman"/>
        </w:rPr>
        <w:t>3</w:t>
      </w:r>
      <w:r w:rsidRPr="00194C4A">
        <w:rPr>
          <w:rFonts w:cs="Times New Roman"/>
        </w:rPr>
        <w:t xml:space="preserve"> roku pojawiają się pierwsze pojazdy elektryczne, których rozwój będzie zintensyfikowany po 202</w:t>
      </w:r>
      <w:r w:rsidR="009E1C01">
        <w:rPr>
          <w:rFonts w:cs="Times New Roman"/>
        </w:rPr>
        <w:t>7</w:t>
      </w:r>
      <w:r w:rsidRPr="00194C4A">
        <w:rPr>
          <w:rFonts w:cs="Times New Roman"/>
        </w:rPr>
        <w:t xml:space="preserve"> roku.</w:t>
      </w:r>
      <w:r w:rsidR="009F6BCA">
        <w:rPr>
          <w:rFonts w:cs="Times New Roman"/>
        </w:rPr>
        <w:t xml:space="preserve"> </w:t>
      </w:r>
      <w:r w:rsidR="009E1C01">
        <w:rPr>
          <w:rFonts w:cs="Times New Roman"/>
        </w:rPr>
        <w:t>W przypadku administracji rozwój elektromobilności będzie równoważony działaniami na rzecz efektywnego wykorzystania energii</w:t>
      </w:r>
      <w:r w:rsidR="00BC4C6F">
        <w:rPr>
          <w:rFonts w:cs="Times New Roman"/>
        </w:rPr>
        <w:t xml:space="preserve"> (zob. tabela poniżej)</w:t>
      </w:r>
      <w:r w:rsidR="009E1C01">
        <w:rPr>
          <w:rFonts w:cs="Times New Roman"/>
        </w:rPr>
        <w:t>.</w:t>
      </w:r>
    </w:p>
    <w:p w:rsidR="00023172" w:rsidRDefault="00023172" w:rsidP="00156322">
      <w:pPr>
        <w:pStyle w:val="tekst"/>
        <w:spacing w:after="240"/>
        <w:rPr>
          <w:rFonts w:cs="Times New Roman"/>
        </w:rPr>
      </w:pPr>
    </w:p>
    <w:p w:rsidR="00023172" w:rsidRDefault="00023172" w:rsidP="00156322">
      <w:pPr>
        <w:pStyle w:val="tekst"/>
        <w:spacing w:after="240"/>
        <w:rPr>
          <w:rFonts w:cs="Times New Roman"/>
        </w:rPr>
      </w:pPr>
    </w:p>
    <w:p w:rsidR="00126581" w:rsidRPr="003A425C" w:rsidRDefault="00126581" w:rsidP="00126581">
      <w:pPr>
        <w:pStyle w:val="Legenda"/>
        <w:rPr>
          <w:rFonts w:cs="Times New Roman"/>
          <w:sz w:val="20"/>
        </w:rPr>
      </w:pPr>
      <w:bookmarkStart w:id="118" w:name="_Toc77322015"/>
      <w:r w:rsidRPr="003A425C">
        <w:rPr>
          <w:sz w:val="20"/>
        </w:rPr>
        <w:lastRenderedPageBreak/>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13</w:t>
      </w:r>
      <w:r w:rsidR="00A05E44" w:rsidRPr="003A425C">
        <w:rPr>
          <w:sz w:val="20"/>
        </w:rPr>
        <w:fldChar w:fldCharType="end"/>
      </w:r>
      <w:r w:rsidRPr="003A425C">
        <w:rPr>
          <w:sz w:val="20"/>
        </w:rPr>
        <w:t xml:space="preserve"> Zapotrzebowanie na energię elektryczną scenariusz 2</w:t>
      </w:r>
      <w:bookmarkEnd w:id="118"/>
    </w:p>
    <w:tbl>
      <w:tblPr>
        <w:tblStyle w:val="Tabelasiatki1jasnaakcent11"/>
        <w:tblW w:w="8638" w:type="dxa"/>
        <w:tblLook w:val="04A0"/>
      </w:tblPr>
      <w:tblGrid>
        <w:gridCol w:w="2878"/>
        <w:gridCol w:w="1041"/>
        <w:gridCol w:w="1041"/>
        <w:gridCol w:w="1041"/>
        <w:gridCol w:w="1041"/>
        <w:gridCol w:w="1041"/>
        <w:gridCol w:w="1041"/>
      </w:tblGrid>
      <w:tr w:rsidR="006B2756" w:rsidRPr="00932E8C" w:rsidTr="00C4722A">
        <w:trPr>
          <w:cnfStyle w:val="100000000000"/>
          <w:trHeight w:val="288"/>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mieszkalnictwo</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8260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14824,42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20267,91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24728,21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33826,74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32408,47</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usługi</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1361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1633,2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1959,84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2351,808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2822,17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3386,604</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produkcyjne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340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408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489,6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587,52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705,024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846,0288</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inwentarskie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284,82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287,6682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290,5449</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293,4503</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296,3848</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pozostałe budynki</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530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1060</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oświetlenie uliczne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523,2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264,216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266,8582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269,5267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272,222</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użyteczności publicznej</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SUMA</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11408,84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18584,68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24441,87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29397,58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39089,55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38382,35</w:t>
            </w:r>
          </w:p>
        </w:tc>
      </w:tr>
    </w:tbl>
    <w:p w:rsidR="006B2756" w:rsidRDefault="006B2756" w:rsidP="009E1C01">
      <w:pPr>
        <w:rPr>
          <w:rFonts w:ascii="Times New Roman" w:hAnsi="Times New Roman" w:cs="Times New Roman"/>
          <w:i/>
          <w:sz w:val="22"/>
          <w:szCs w:val="22"/>
        </w:rPr>
      </w:pPr>
    </w:p>
    <w:p w:rsidR="009E1C01" w:rsidRDefault="009E1C01" w:rsidP="009E1C01">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3C4DEF">
        <w:rPr>
          <w:rFonts w:ascii="Times New Roman" w:hAnsi="Times New Roman" w:cs="Times New Roman"/>
          <w:i/>
          <w:sz w:val="22"/>
          <w:szCs w:val="22"/>
        </w:rPr>
        <w:t>w</w:t>
      </w:r>
      <w:r w:rsidR="003C4DEF" w:rsidRPr="005D3DDE">
        <w:rPr>
          <w:rFonts w:ascii="Times New Roman" w:hAnsi="Times New Roman" w:cs="Times New Roman"/>
          <w:i/>
          <w:sz w:val="22"/>
          <w:szCs w:val="22"/>
        </w:rPr>
        <w:t>łasne</w:t>
      </w:r>
      <w:r w:rsidR="003C4DEF">
        <w:rPr>
          <w:rFonts w:ascii="Times New Roman" w:hAnsi="Times New Roman" w:cs="Times New Roman"/>
          <w:i/>
          <w:sz w:val="22"/>
          <w:szCs w:val="22"/>
        </w:rPr>
        <w:t>.</w:t>
      </w:r>
    </w:p>
    <w:p w:rsidR="00EE2CFC" w:rsidRDefault="00A26EC0" w:rsidP="00A26EC0">
      <w:pPr>
        <w:pStyle w:val="Nagwek4"/>
      </w:pPr>
      <w:r>
        <w:t xml:space="preserve">4.1.4.3 </w:t>
      </w:r>
      <w:r w:rsidR="00EE2CFC" w:rsidRPr="00194C4A">
        <w:t xml:space="preserve">Scenariusz nr 3 </w:t>
      </w:r>
      <w:r w:rsidR="00EE2CFC">
        <w:t>Powolna stagnacja</w:t>
      </w:r>
    </w:p>
    <w:p w:rsidR="0015350F" w:rsidRPr="0015350F" w:rsidRDefault="0015350F" w:rsidP="0015350F">
      <w:pPr>
        <w:pStyle w:val="Akapitzlist"/>
        <w:ind w:left="1134"/>
      </w:pPr>
    </w:p>
    <w:p w:rsidR="009F69DD" w:rsidRDefault="009F69DD" w:rsidP="009F69DD">
      <w:pPr>
        <w:pStyle w:val="tekst"/>
        <w:rPr>
          <w:rFonts w:cs="Times New Roman"/>
        </w:rPr>
      </w:pPr>
      <w:r w:rsidRPr="00194C4A">
        <w:rPr>
          <w:rFonts w:cs="Times New Roman"/>
        </w:rPr>
        <w:t xml:space="preserve">Scenariusz ten zakłada </w:t>
      </w:r>
      <w:r w:rsidR="0015350F">
        <w:rPr>
          <w:rFonts w:cs="Times New Roman"/>
        </w:rPr>
        <w:t>nieznaczny</w:t>
      </w:r>
      <w:r w:rsidRPr="00194C4A">
        <w:rPr>
          <w:rFonts w:cs="Times New Roman"/>
        </w:rPr>
        <w:t xml:space="preserve"> wzrost zapotrzebowania na energię elektryczną</w:t>
      </w:r>
      <w:r w:rsidR="00743287" w:rsidRPr="00194C4A">
        <w:rPr>
          <w:rFonts w:cs="Times New Roman"/>
        </w:rPr>
        <w:t xml:space="preserve"> związany z</w:t>
      </w:r>
      <w:r w:rsidR="00156322" w:rsidRPr="00194C4A">
        <w:rPr>
          <w:rFonts w:cs="Times New Roman"/>
        </w:rPr>
        <w:t> </w:t>
      </w:r>
      <w:r w:rsidR="00743287" w:rsidRPr="00194C4A">
        <w:rPr>
          <w:rFonts w:cs="Times New Roman"/>
        </w:rPr>
        <w:t>przyrostem ludności</w:t>
      </w:r>
      <w:r w:rsidR="00023172">
        <w:rPr>
          <w:rFonts w:cs="Times New Roman"/>
        </w:rPr>
        <w:t xml:space="preserve">: </w:t>
      </w:r>
      <w:r w:rsidR="00767A82" w:rsidRPr="00194C4A">
        <w:rPr>
          <w:rFonts w:cs="Times New Roman"/>
        </w:rPr>
        <w:t>realizacja zamierzeń przedsiębiorców nie będzie możliwa na skutek problemów z dostępem do sieci</w:t>
      </w:r>
      <w:r w:rsidR="0020665B">
        <w:rPr>
          <w:rFonts w:cs="Times New Roman"/>
        </w:rPr>
        <w:t xml:space="preserve"> (zob. tabela poniżej)</w:t>
      </w:r>
      <w:r w:rsidR="00767A82" w:rsidRPr="00194C4A">
        <w:rPr>
          <w:rFonts w:cs="Times New Roman"/>
        </w:rPr>
        <w:t>.</w:t>
      </w:r>
    </w:p>
    <w:p w:rsidR="003A425C" w:rsidRDefault="003A425C" w:rsidP="009F69DD">
      <w:pPr>
        <w:pStyle w:val="tekst"/>
        <w:rPr>
          <w:rFonts w:cs="Times New Roman"/>
        </w:rPr>
      </w:pPr>
    </w:p>
    <w:p w:rsidR="00126581" w:rsidRPr="003A425C" w:rsidRDefault="00126581" w:rsidP="00126581">
      <w:pPr>
        <w:pStyle w:val="Legenda"/>
        <w:rPr>
          <w:rFonts w:cs="Times New Roman"/>
          <w:sz w:val="20"/>
        </w:rPr>
      </w:pPr>
      <w:bookmarkStart w:id="119" w:name="_Toc77322016"/>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14</w:t>
      </w:r>
      <w:r w:rsidR="00A05E44" w:rsidRPr="003A425C">
        <w:rPr>
          <w:sz w:val="20"/>
        </w:rPr>
        <w:fldChar w:fldCharType="end"/>
      </w:r>
      <w:r w:rsidRPr="003A425C">
        <w:rPr>
          <w:sz w:val="20"/>
        </w:rPr>
        <w:t xml:space="preserve"> Zapotrzebowanie na energię elektryczną scenariusz 3</w:t>
      </w:r>
      <w:bookmarkEnd w:id="119"/>
    </w:p>
    <w:tbl>
      <w:tblPr>
        <w:tblStyle w:val="Tabelasiatki1jasnaakcent11"/>
        <w:tblW w:w="8638" w:type="dxa"/>
        <w:tblLook w:val="04A0"/>
      </w:tblPr>
      <w:tblGrid>
        <w:gridCol w:w="2878"/>
        <w:gridCol w:w="1041"/>
        <w:gridCol w:w="1041"/>
        <w:gridCol w:w="1041"/>
        <w:gridCol w:w="1041"/>
        <w:gridCol w:w="1041"/>
        <w:gridCol w:w="1041"/>
      </w:tblGrid>
      <w:tr w:rsidR="006B2756" w:rsidRPr="00932E8C" w:rsidTr="00C4722A">
        <w:trPr>
          <w:cnfStyle w:val="100000000000"/>
          <w:trHeight w:val="288"/>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960" w:type="dxa"/>
            <w:noWrap/>
            <w:hideMark/>
          </w:tcPr>
          <w:p w:rsidR="006B2756" w:rsidRPr="00932E8C" w:rsidRDefault="006B2756" w:rsidP="006B2756">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mieszkalnictwo</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8260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9086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9994,6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10994,06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12093,47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13302,81</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usługi</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1361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1401,83</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1443,885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1487,201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1531,817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1577,772</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produkcyjne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340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357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374,85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393,5925</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413,2721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433,9357</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inwentarskie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310,2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341,22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375,342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412,8762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454,1638</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pozostałe budynki</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530</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1884,209</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2906,753</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3853,402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4714,879</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5480,967</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oświetlenie uliczne</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523,2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264,216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266,8582</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269,5267</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272,222</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Budynki użyteczności publicznej</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112,64</w:t>
            </w:r>
          </w:p>
        </w:tc>
      </w:tr>
      <w:tr w:rsidR="006B2756" w:rsidRPr="00932E8C" w:rsidTr="00C4722A">
        <w:trPr>
          <w:trHeight w:val="300"/>
        </w:trPr>
        <w:tc>
          <w:tcPr>
            <w:cnfStyle w:val="001000000000"/>
            <w:tcW w:w="2878" w:type="dxa"/>
            <w:noWrap/>
            <w:hideMark/>
          </w:tcPr>
          <w:p w:rsidR="006B2756" w:rsidRPr="00932E8C" w:rsidRDefault="006B2756" w:rsidP="006B2756">
            <w:pPr>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SUMA</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11408,84</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13413,48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15438,16</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17483,1</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19548,48</w:t>
            </w:r>
          </w:p>
        </w:tc>
        <w:tc>
          <w:tcPr>
            <w:tcW w:w="960" w:type="dxa"/>
            <w:noWrap/>
            <w:hideMark/>
          </w:tcPr>
          <w:p w:rsidR="006B2756" w:rsidRPr="00932E8C" w:rsidRDefault="006B2756" w:rsidP="006B2756">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21634,51</w:t>
            </w:r>
          </w:p>
        </w:tc>
      </w:tr>
    </w:tbl>
    <w:p w:rsidR="006B2756" w:rsidRDefault="006B2756" w:rsidP="0015350F">
      <w:pPr>
        <w:rPr>
          <w:rFonts w:ascii="Times New Roman" w:hAnsi="Times New Roman" w:cs="Times New Roman"/>
          <w:i/>
          <w:sz w:val="22"/>
          <w:szCs w:val="22"/>
        </w:rPr>
      </w:pPr>
    </w:p>
    <w:p w:rsidR="0015350F" w:rsidRDefault="0015350F" w:rsidP="0015350F">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9E0F35">
        <w:rPr>
          <w:rFonts w:ascii="Times New Roman" w:hAnsi="Times New Roman" w:cs="Times New Roman"/>
          <w:i/>
          <w:sz w:val="22"/>
          <w:szCs w:val="22"/>
        </w:rPr>
        <w:t>w</w:t>
      </w:r>
      <w:r w:rsidR="009E0F35" w:rsidRPr="005D3DDE">
        <w:rPr>
          <w:rFonts w:ascii="Times New Roman" w:hAnsi="Times New Roman" w:cs="Times New Roman"/>
          <w:i/>
          <w:sz w:val="22"/>
          <w:szCs w:val="22"/>
        </w:rPr>
        <w:t>łasne</w:t>
      </w:r>
      <w:r w:rsidR="009E0F35">
        <w:rPr>
          <w:rFonts w:ascii="Times New Roman" w:hAnsi="Times New Roman" w:cs="Times New Roman"/>
          <w:i/>
          <w:sz w:val="22"/>
          <w:szCs w:val="22"/>
        </w:rPr>
        <w:t>.</w:t>
      </w:r>
    </w:p>
    <w:p w:rsidR="009F69DD" w:rsidRPr="00194C4A" w:rsidRDefault="00A26EC0" w:rsidP="00A26EC0">
      <w:pPr>
        <w:pStyle w:val="Nagwek4"/>
        <w:rPr>
          <w:rFonts w:ascii="Times New Roman" w:hAnsi="Times New Roman" w:cs="Times New Roman"/>
        </w:rPr>
      </w:pPr>
      <w:r>
        <w:rPr>
          <w:rFonts w:ascii="Times New Roman" w:hAnsi="Times New Roman" w:cs="Times New Roman"/>
        </w:rPr>
        <w:t xml:space="preserve">4.1.4.4 </w:t>
      </w:r>
      <w:r w:rsidR="009F69DD" w:rsidRPr="00194C4A">
        <w:rPr>
          <w:rFonts w:ascii="Times New Roman" w:hAnsi="Times New Roman" w:cs="Times New Roman"/>
        </w:rPr>
        <w:t>Wybór wariantu</w:t>
      </w:r>
    </w:p>
    <w:p w:rsidR="009F69DD" w:rsidRDefault="009F69DD" w:rsidP="009F69DD">
      <w:pPr>
        <w:pStyle w:val="tekst"/>
        <w:rPr>
          <w:rFonts w:cs="Times New Roman"/>
        </w:rPr>
      </w:pPr>
      <w:r w:rsidRPr="00194C4A">
        <w:rPr>
          <w:rFonts w:cs="Times New Roman"/>
        </w:rPr>
        <w:t xml:space="preserve">Za najbardziej realny przewiduje się scenariusz </w:t>
      </w:r>
      <w:r w:rsidR="0015350F">
        <w:rPr>
          <w:rFonts w:cs="Times New Roman"/>
        </w:rPr>
        <w:t>drugi</w:t>
      </w:r>
      <w:r w:rsidRPr="00194C4A">
        <w:rPr>
          <w:rFonts w:cs="Times New Roman"/>
        </w:rPr>
        <w:t xml:space="preserve">, który zakłada m.in. wzrost zapotrzebowania </w:t>
      </w:r>
      <w:r w:rsidR="009E0F35">
        <w:rPr>
          <w:rFonts w:cs="Times New Roman"/>
        </w:rPr>
        <w:t xml:space="preserve">na energię </w:t>
      </w:r>
      <w:r w:rsidRPr="00194C4A">
        <w:rPr>
          <w:rFonts w:cs="Times New Roman"/>
        </w:rPr>
        <w:t xml:space="preserve">o </w:t>
      </w:r>
      <w:r w:rsidR="0015350F">
        <w:rPr>
          <w:rFonts w:cs="Times New Roman"/>
        </w:rPr>
        <w:t>14,54</w:t>
      </w:r>
      <w:r w:rsidRPr="00194C4A">
        <w:rPr>
          <w:rFonts w:cs="Times New Roman"/>
        </w:rPr>
        <w:t xml:space="preserve">% do </w:t>
      </w:r>
      <w:r w:rsidR="00023172">
        <w:rPr>
          <w:rFonts w:cs="Times New Roman"/>
        </w:rPr>
        <w:t>2035</w:t>
      </w:r>
      <w:r w:rsidRPr="00194C4A">
        <w:rPr>
          <w:rFonts w:cs="Times New Roman"/>
        </w:rPr>
        <w:t xml:space="preserve"> roku</w:t>
      </w:r>
      <w:r w:rsidR="009E0F35">
        <w:rPr>
          <w:rFonts w:cs="Times New Roman"/>
        </w:rPr>
        <w:t xml:space="preserve"> (zob. rysunek poniżej)</w:t>
      </w:r>
      <w:r w:rsidRPr="00194C4A">
        <w:rPr>
          <w:rFonts w:cs="Times New Roman"/>
        </w:rPr>
        <w:t>.</w:t>
      </w:r>
    </w:p>
    <w:p w:rsidR="003A425C" w:rsidRDefault="003A425C" w:rsidP="009F69DD">
      <w:pPr>
        <w:pStyle w:val="tekst"/>
        <w:rPr>
          <w:rFonts w:cs="Times New Roman"/>
        </w:rPr>
      </w:pPr>
    </w:p>
    <w:p w:rsidR="00E94188" w:rsidRDefault="00E94188" w:rsidP="009F69DD">
      <w:pPr>
        <w:pStyle w:val="tekst"/>
        <w:rPr>
          <w:rFonts w:cs="Times New Roman"/>
        </w:rPr>
      </w:pPr>
    </w:p>
    <w:p w:rsidR="00E94188" w:rsidRDefault="00E94188" w:rsidP="009F69DD">
      <w:pPr>
        <w:pStyle w:val="tekst"/>
        <w:rPr>
          <w:rFonts w:cs="Times New Roman"/>
        </w:rPr>
      </w:pPr>
    </w:p>
    <w:p w:rsidR="0015350F" w:rsidRPr="003A425C" w:rsidRDefault="0015350F" w:rsidP="0015350F">
      <w:pPr>
        <w:pStyle w:val="Legenda"/>
        <w:rPr>
          <w:rFonts w:cs="Times New Roman"/>
          <w:sz w:val="20"/>
        </w:rPr>
      </w:pPr>
      <w:bookmarkStart w:id="120" w:name="_Toc77321985"/>
      <w:r w:rsidRPr="003A425C">
        <w:rPr>
          <w:sz w:val="20"/>
        </w:rPr>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8</w:t>
      </w:r>
      <w:r w:rsidR="00A05E44" w:rsidRPr="003A425C">
        <w:rPr>
          <w:sz w:val="20"/>
        </w:rPr>
        <w:fldChar w:fldCharType="end"/>
      </w:r>
      <w:r w:rsidRPr="003A425C">
        <w:rPr>
          <w:sz w:val="20"/>
        </w:rPr>
        <w:t xml:space="preserve"> Scenariusze zaopatrzenia w energię elektryczną</w:t>
      </w:r>
      <w:bookmarkEnd w:id="120"/>
    </w:p>
    <w:p w:rsidR="009F69DD" w:rsidRPr="00194C4A" w:rsidRDefault="006B2756" w:rsidP="0015350F">
      <w:pPr>
        <w:pStyle w:val="tekst"/>
        <w:keepNext/>
        <w:ind w:firstLine="0"/>
        <w:jc w:val="center"/>
        <w:rPr>
          <w:rFonts w:cs="Times New Roman"/>
        </w:rPr>
      </w:pPr>
      <w:r>
        <w:rPr>
          <w:noProof/>
        </w:rPr>
        <w:lastRenderedPageBreak/>
        <w:drawing>
          <wp:inline distT="0" distB="0" distL="0" distR="0">
            <wp:extent cx="4572000" cy="2743200"/>
            <wp:effectExtent l="0" t="0" r="0" b="0"/>
            <wp:docPr id="8" name="Wykres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91811680-1267-4F6D-96FE-E8CC7CC7A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350F" w:rsidRDefault="0015350F" w:rsidP="0015350F">
      <w:pPr>
        <w:rPr>
          <w:rFonts w:ascii="Times New Roman" w:hAnsi="Times New Roman" w:cs="Times New Roman"/>
          <w:i/>
          <w:sz w:val="22"/>
          <w:szCs w:val="22"/>
        </w:rPr>
      </w:pPr>
      <w:r w:rsidRPr="005D3DDE">
        <w:rPr>
          <w:rFonts w:ascii="Times New Roman" w:hAnsi="Times New Roman" w:cs="Times New Roman"/>
          <w:i/>
          <w:sz w:val="22"/>
          <w:szCs w:val="22"/>
        </w:rPr>
        <w:t xml:space="preserve">Źródło: Obliczenia </w:t>
      </w:r>
      <w:r w:rsidR="00C715E3">
        <w:rPr>
          <w:rFonts w:ascii="Times New Roman" w:hAnsi="Times New Roman" w:cs="Times New Roman"/>
          <w:i/>
          <w:sz w:val="22"/>
          <w:szCs w:val="22"/>
        </w:rPr>
        <w:t>w</w:t>
      </w:r>
      <w:r w:rsidR="00C715E3" w:rsidRPr="005D3DDE">
        <w:rPr>
          <w:rFonts w:ascii="Times New Roman" w:hAnsi="Times New Roman" w:cs="Times New Roman"/>
          <w:i/>
          <w:sz w:val="22"/>
          <w:szCs w:val="22"/>
        </w:rPr>
        <w:t>łasne</w:t>
      </w:r>
      <w:r w:rsidR="00C715E3">
        <w:rPr>
          <w:rFonts w:ascii="Times New Roman" w:hAnsi="Times New Roman" w:cs="Times New Roman"/>
          <w:i/>
          <w:sz w:val="22"/>
          <w:szCs w:val="22"/>
        </w:rPr>
        <w:t>.</w:t>
      </w:r>
    </w:p>
    <w:p w:rsidR="009F69DD" w:rsidRPr="00194C4A" w:rsidRDefault="009F69DD" w:rsidP="009F69DD">
      <w:pPr>
        <w:pStyle w:val="podpis"/>
        <w:rPr>
          <w:rFonts w:cs="Times New Roman"/>
        </w:rPr>
      </w:pPr>
    </w:p>
    <w:p w:rsidR="0050181C" w:rsidRPr="00B941F4" w:rsidRDefault="00A26EC0" w:rsidP="00A26EC0">
      <w:pPr>
        <w:pStyle w:val="Nagwek3"/>
        <w:rPr>
          <w:rFonts w:ascii="Times New Roman" w:hAnsi="Times New Roman" w:cs="Times New Roman"/>
        </w:rPr>
      </w:pPr>
      <w:bookmarkStart w:id="121" w:name="_Toc77321964"/>
      <w:r w:rsidRPr="00B941F4">
        <w:rPr>
          <w:rFonts w:ascii="Times New Roman" w:hAnsi="Times New Roman" w:cs="Times New Roman"/>
        </w:rPr>
        <w:t xml:space="preserve">4.1.5 </w:t>
      </w:r>
      <w:r w:rsidR="0050181C" w:rsidRPr="00B941F4">
        <w:rPr>
          <w:rFonts w:ascii="Times New Roman" w:hAnsi="Times New Roman" w:cs="Times New Roman"/>
        </w:rPr>
        <w:t>Zapotrzebowanie na gaz ziemny</w:t>
      </w:r>
      <w:bookmarkEnd w:id="121"/>
    </w:p>
    <w:p w:rsidR="0050181C" w:rsidRDefault="0050181C" w:rsidP="0050181C">
      <w:pPr>
        <w:pStyle w:val="tekst"/>
        <w:rPr>
          <w:rFonts w:cs="Times New Roman"/>
        </w:rPr>
      </w:pPr>
      <w:r w:rsidRPr="00194C4A">
        <w:rPr>
          <w:rFonts w:cs="Times New Roman"/>
        </w:rPr>
        <w:t xml:space="preserve">Zapotrzebowanie na gaz ziemny jest ściśle uzależnione przede wszystkim </w:t>
      </w:r>
      <w:r w:rsidR="0015350F">
        <w:rPr>
          <w:rFonts w:cs="Times New Roman"/>
        </w:rPr>
        <w:t>od możliwości dostarczenia gazu. Warto zaznaczyć</w:t>
      </w:r>
      <w:r w:rsidR="0063002C">
        <w:rPr>
          <w:rFonts w:cs="Times New Roman"/>
        </w:rPr>
        <w:t>,</w:t>
      </w:r>
      <w:r w:rsidR="0015350F">
        <w:rPr>
          <w:rFonts w:cs="Times New Roman"/>
        </w:rPr>
        <w:t xml:space="preserve"> iż większość gazu ziemnego </w:t>
      </w:r>
      <w:r w:rsidR="003E1172">
        <w:rPr>
          <w:rFonts w:cs="Times New Roman"/>
        </w:rPr>
        <w:t>wykorzystywana jest w Gminie na potrzeby ogrzewania, przygotowania posiłków oraz zapewniani</w:t>
      </w:r>
      <w:r w:rsidR="0063002C">
        <w:rPr>
          <w:rFonts w:cs="Times New Roman"/>
        </w:rPr>
        <w:t>e</w:t>
      </w:r>
      <w:r w:rsidR="003E1172">
        <w:rPr>
          <w:rFonts w:cs="Times New Roman"/>
        </w:rPr>
        <w:t xml:space="preserve"> ciepłej wody użytkowej. Zatem rozwój scenariuszy będzie podobny</w:t>
      </w:r>
      <w:r w:rsidR="003B3B12">
        <w:rPr>
          <w:rFonts w:cs="Times New Roman"/>
        </w:rPr>
        <w:t>,</w:t>
      </w:r>
      <w:r w:rsidR="003E1172">
        <w:rPr>
          <w:rFonts w:cs="Times New Roman"/>
        </w:rPr>
        <w:t xml:space="preserve"> jak tych opracowanych dla zapotrzebowania w ciepło. </w:t>
      </w:r>
    </w:p>
    <w:p w:rsidR="003A425C" w:rsidRPr="00194C4A" w:rsidRDefault="003A425C" w:rsidP="0050181C">
      <w:pPr>
        <w:pStyle w:val="tekst"/>
        <w:rPr>
          <w:rFonts w:cs="Times New Roman"/>
        </w:rPr>
      </w:pPr>
    </w:p>
    <w:p w:rsidR="002A697C" w:rsidRPr="00194C4A" w:rsidRDefault="00A26EC0" w:rsidP="00A26EC0">
      <w:pPr>
        <w:pStyle w:val="Nagwek4"/>
        <w:rPr>
          <w:rFonts w:ascii="Times New Roman" w:hAnsi="Times New Roman" w:cs="Times New Roman"/>
        </w:rPr>
      </w:pPr>
      <w:r>
        <w:rPr>
          <w:rFonts w:ascii="Times New Roman" w:hAnsi="Times New Roman" w:cs="Times New Roman"/>
        </w:rPr>
        <w:t xml:space="preserve">4.1.5.1 </w:t>
      </w:r>
      <w:r w:rsidRPr="00A26EC0">
        <w:rPr>
          <w:rFonts w:ascii="Times New Roman" w:hAnsi="Times New Roman" w:cs="Times New Roman"/>
        </w:rPr>
        <w:t>Scenariusz nr 1 Wzrost konsumpcji energii</w:t>
      </w:r>
    </w:p>
    <w:p w:rsidR="002A697C" w:rsidRPr="00194C4A" w:rsidRDefault="002A697C" w:rsidP="00156322">
      <w:pPr>
        <w:pStyle w:val="tekst"/>
        <w:spacing w:after="240"/>
        <w:rPr>
          <w:rFonts w:cs="Times New Roman"/>
        </w:rPr>
      </w:pPr>
      <w:r w:rsidRPr="00194C4A">
        <w:rPr>
          <w:rFonts w:cs="Times New Roman"/>
        </w:rPr>
        <w:t xml:space="preserve">Scenariusz zakłada </w:t>
      </w:r>
      <w:r w:rsidR="00E658DC" w:rsidRPr="00194C4A">
        <w:rPr>
          <w:rFonts w:cs="Times New Roman"/>
        </w:rPr>
        <w:t xml:space="preserve">wykorzystanie gazu na obecnym poziomie, przyłączenie w najbliższych latach nowych odbiorców, a następnie </w:t>
      </w:r>
      <w:r w:rsidR="00CA7538" w:rsidRPr="00194C4A">
        <w:rPr>
          <w:rFonts w:cs="Times New Roman"/>
        </w:rPr>
        <w:t>zmniejszenie zapotrzebowania na gaz na wskutek działań modernizacyjnych i oszczędnościowych</w:t>
      </w:r>
      <w:r w:rsidR="003B3B12">
        <w:rPr>
          <w:rFonts w:cs="Times New Roman"/>
        </w:rPr>
        <w:t xml:space="preserve"> (zob. tabela poniżej)</w:t>
      </w:r>
      <w:r w:rsidR="0006332D" w:rsidRPr="00194C4A">
        <w:rPr>
          <w:rFonts w:cs="Times New Roman"/>
        </w:rPr>
        <w:t>.</w:t>
      </w:r>
    </w:p>
    <w:p w:rsidR="0056029E" w:rsidRDefault="00DB3B7C" w:rsidP="00DB3B7C">
      <w:pPr>
        <w:pStyle w:val="Legenda"/>
        <w:rPr>
          <w:sz w:val="20"/>
        </w:rPr>
      </w:pPr>
      <w:bookmarkStart w:id="122" w:name="_Toc77322017"/>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15</w:t>
      </w:r>
      <w:r w:rsidR="00A05E44" w:rsidRPr="003A425C">
        <w:rPr>
          <w:sz w:val="20"/>
        </w:rPr>
        <w:fldChar w:fldCharType="end"/>
      </w:r>
      <w:r w:rsidRPr="003A425C">
        <w:rPr>
          <w:sz w:val="20"/>
        </w:rPr>
        <w:t xml:space="preserve"> Zapotrzebowanie na gaz ziemny [MWh]</w:t>
      </w:r>
      <w:r w:rsidR="00FD6ACF" w:rsidRPr="003A425C">
        <w:rPr>
          <w:sz w:val="20"/>
        </w:rPr>
        <w:t xml:space="preserve"> scenariusz 1</w:t>
      </w:r>
      <w:bookmarkEnd w:id="122"/>
    </w:p>
    <w:tbl>
      <w:tblPr>
        <w:tblStyle w:val="Tabelasiatki1jasnaakcent11"/>
        <w:tblW w:w="9158" w:type="dxa"/>
        <w:tblLook w:val="04A0"/>
      </w:tblPr>
      <w:tblGrid>
        <w:gridCol w:w="3398"/>
        <w:gridCol w:w="960"/>
        <w:gridCol w:w="960"/>
        <w:gridCol w:w="960"/>
        <w:gridCol w:w="960"/>
        <w:gridCol w:w="960"/>
        <w:gridCol w:w="1041"/>
      </w:tblGrid>
      <w:tr w:rsidR="0058074F" w:rsidRPr="00932E8C" w:rsidTr="00C4722A">
        <w:trPr>
          <w:cnfStyle w:val="100000000000"/>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budynki użyteczności publicznej [MWh]</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Mieszkalnictwo [MWh]</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394,43</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788,86</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1577,72</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3155,44</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6310,88</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12621,76</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przemysł i usługi [MWh]</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87,33</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120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250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380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383,8</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Suma</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481,76</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1488,86</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2297,72</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4005,44</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7290,88</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13605,56</w:t>
            </w:r>
          </w:p>
        </w:tc>
      </w:tr>
    </w:tbl>
    <w:p w:rsidR="0058074F" w:rsidRPr="0058074F" w:rsidRDefault="0058074F" w:rsidP="0058074F"/>
    <w:p w:rsidR="0006332D" w:rsidRDefault="00DB3B7C" w:rsidP="00DB3B7C">
      <w:pPr>
        <w:pStyle w:val="tekst"/>
        <w:ind w:firstLine="0"/>
        <w:rPr>
          <w:rFonts w:cs="Times New Roman"/>
          <w:i/>
        </w:rPr>
      </w:pPr>
      <w:r w:rsidRPr="00DB3B7C">
        <w:rPr>
          <w:rFonts w:cs="Times New Roman"/>
          <w:i/>
        </w:rPr>
        <w:t>Źródło: Obliczenia własne</w:t>
      </w:r>
      <w:r w:rsidR="005C0B03">
        <w:rPr>
          <w:rFonts w:cs="Times New Roman"/>
          <w:i/>
        </w:rPr>
        <w:t>.</w:t>
      </w:r>
    </w:p>
    <w:p w:rsidR="005C0B03" w:rsidRPr="00DB3B7C" w:rsidRDefault="005C0B03" w:rsidP="00DB3B7C">
      <w:pPr>
        <w:pStyle w:val="tekst"/>
        <w:ind w:firstLine="0"/>
        <w:rPr>
          <w:rFonts w:cs="Times New Roman"/>
          <w:i/>
        </w:rPr>
      </w:pPr>
    </w:p>
    <w:p w:rsidR="002A697C" w:rsidRPr="00A26EC0" w:rsidRDefault="00A26EC0" w:rsidP="00A26EC0">
      <w:pPr>
        <w:pStyle w:val="Nagwek4"/>
        <w:rPr>
          <w:rStyle w:val="Nagwek3Znak"/>
          <w:color w:val="6A2C0B" w:themeColor="accent2" w:themeShade="80"/>
          <w:sz w:val="28"/>
          <w:szCs w:val="28"/>
        </w:rPr>
      </w:pPr>
      <w:r>
        <w:t xml:space="preserve">4.1.5.2 </w:t>
      </w:r>
      <w:r w:rsidRPr="00194C4A">
        <w:rPr>
          <w:rFonts w:ascii="Times New Roman" w:hAnsi="Times New Roman" w:cs="Times New Roman"/>
        </w:rPr>
        <w:t xml:space="preserve">Scenariusz nr 2 </w:t>
      </w:r>
      <w:r w:rsidRPr="001716A5">
        <w:rPr>
          <w:rFonts w:ascii="Times New Roman" w:hAnsi="Times New Roman" w:cs="Times New Roman"/>
        </w:rPr>
        <w:t>Kierunek ekologi</w:t>
      </w:r>
      <w:r>
        <w:rPr>
          <w:rFonts w:ascii="Times New Roman" w:hAnsi="Times New Roman" w:cs="Times New Roman"/>
        </w:rPr>
        <w:t>a</w:t>
      </w:r>
    </w:p>
    <w:p w:rsidR="0006332D" w:rsidRDefault="0006332D" w:rsidP="00AB6510">
      <w:pPr>
        <w:pStyle w:val="tekst"/>
        <w:spacing w:after="240"/>
        <w:rPr>
          <w:rFonts w:cs="Times New Roman"/>
        </w:rPr>
      </w:pPr>
      <w:r w:rsidRPr="00194C4A">
        <w:rPr>
          <w:rFonts w:cs="Times New Roman"/>
        </w:rPr>
        <w:t xml:space="preserve">Scenariusz zakłada </w:t>
      </w:r>
      <w:r w:rsidR="00CA7538" w:rsidRPr="00194C4A">
        <w:rPr>
          <w:rFonts w:cs="Times New Roman"/>
        </w:rPr>
        <w:t>rozbudowę sieci gazociągowej</w:t>
      </w:r>
      <w:r w:rsidRPr="00194C4A">
        <w:rPr>
          <w:rFonts w:cs="Times New Roman"/>
        </w:rPr>
        <w:t xml:space="preserve"> w perspektywie 3 lat oraz przyłączenie </w:t>
      </w:r>
      <w:r w:rsidR="00CA7538" w:rsidRPr="00194C4A">
        <w:rPr>
          <w:rFonts w:cs="Times New Roman"/>
        </w:rPr>
        <w:t>nowych budynków</w:t>
      </w:r>
      <w:r w:rsidR="0006241F">
        <w:rPr>
          <w:rFonts w:cs="Times New Roman"/>
        </w:rPr>
        <w:t>,</w:t>
      </w:r>
      <w:r w:rsidR="00CA7538" w:rsidRPr="00194C4A">
        <w:rPr>
          <w:rFonts w:cs="Times New Roman"/>
        </w:rPr>
        <w:t xml:space="preserve"> jak i wzrost wykorzystania gazu przez osoby prywatne (zmiana systemu ogrzewania na gaz) oraz przez usługi i przemysł</w:t>
      </w:r>
      <w:r w:rsidRPr="00194C4A">
        <w:rPr>
          <w:rFonts w:cs="Times New Roman"/>
        </w:rPr>
        <w:t xml:space="preserve">. </w:t>
      </w:r>
      <w:r w:rsidR="002B1EC6">
        <w:rPr>
          <w:rFonts w:cs="Times New Roman"/>
        </w:rPr>
        <w:t xml:space="preserve">W administracji zostały poczynione nowe </w:t>
      </w:r>
      <w:r w:rsidR="002B1EC6">
        <w:rPr>
          <w:rFonts w:cs="Times New Roman"/>
        </w:rPr>
        <w:lastRenderedPageBreak/>
        <w:t>inwestycje oszczędnościowe, które prowadzą do zmniejszenia konsumpcji gazu</w:t>
      </w:r>
      <w:r w:rsidR="0013156A">
        <w:rPr>
          <w:rFonts w:cs="Times New Roman"/>
        </w:rPr>
        <w:t xml:space="preserve"> (zob. tabela poniżej)</w:t>
      </w:r>
      <w:r w:rsidR="002B1EC6">
        <w:rPr>
          <w:rFonts w:cs="Times New Roman"/>
        </w:rPr>
        <w:t>.</w:t>
      </w:r>
    </w:p>
    <w:p w:rsidR="00FD6ACF" w:rsidRPr="003A425C" w:rsidRDefault="00FD6ACF" w:rsidP="00FD6ACF">
      <w:pPr>
        <w:pStyle w:val="Legenda"/>
        <w:rPr>
          <w:rFonts w:cs="Times New Roman"/>
          <w:sz w:val="20"/>
        </w:rPr>
      </w:pPr>
      <w:bookmarkStart w:id="123" w:name="_Toc77322018"/>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16</w:t>
      </w:r>
      <w:r w:rsidR="00A05E44" w:rsidRPr="003A425C">
        <w:rPr>
          <w:sz w:val="20"/>
        </w:rPr>
        <w:fldChar w:fldCharType="end"/>
      </w:r>
      <w:r w:rsidRPr="003A425C">
        <w:rPr>
          <w:sz w:val="20"/>
        </w:rPr>
        <w:t xml:space="preserve"> Zapotrzebowanie na gaz ziemny [MWh] scenariusz 2</w:t>
      </w:r>
      <w:bookmarkEnd w:id="123"/>
    </w:p>
    <w:tbl>
      <w:tblPr>
        <w:tblStyle w:val="Tabelasiatki1jasnaakcent11"/>
        <w:tblW w:w="9158" w:type="dxa"/>
        <w:tblLook w:val="04A0"/>
      </w:tblPr>
      <w:tblGrid>
        <w:gridCol w:w="3398"/>
        <w:gridCol w:w="960"/>
        <w:gridCol w:w="960"/>
        <w:gridCol w:w="960"/>
        <w:gridCol w:w="960"/>
        <w:gridCol w:w="960"/>
        <w:gridCol w:w="1041"/>
      </w:tblGrid>
      <w:tr w:rsidR="0058074F" w:rsidRPr="00932E8C" w:rsidTr="00C4722A">
        <w:trPr>
          <w:cnfStyle w:val="100000000000"/>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budynki użyteczności publicznej [MWh]</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600</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Mieszkalnictwo [MWh]</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394,43</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722,64</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1083,96</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1625,94</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2438,91</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3658,365</w:t>
            </w:r>
          </w:p>
        </w:tc>
      </w:tr>
      <w:tr w:rsidR="0058074F" w:rsidRPr="00932E8C" w:rsidTr="00C4722A">
        <w:trPr>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przemysł i usługi [MWh]</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87,33</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250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400</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500</w:t>
            </w:r>
          </w:p>
        </w:tc>
      </w:tr>
      <w:tr w:rsidR="0058074F" w:rsidRPr="00932E8C" w:rsidTr="00C4722A">
        <w:trPr>
          <w:trHeight w:val="300"/>
        </w:trPr>
        <w:tc>
          <w:tcPr>
            <w:cnfStyle w:val="001000000000"/>
            <w:tcW w:w="3398" w:type="dxa"/>
            <w:noWrap/>
            <w:hideMark/>
          </w:tcPr>
          <w:p w:rsidR="0058074F" w:rsidRPr="00932E8C" w:rsidRDefault="0058074F" w:rsidP="0058074F">
            <w:pPr>
              <w:jc w:val="right"/>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SUMA</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rPr>
            </w:pPr>
            <w:r w:rsidRPr="00932E8C">
              <w:rPr>
                <w:rFonts w:ascii="Times New Roman" w:eastAsia="Times New Roman" w:hAnsi="Times New Roman" w:cs="Times New Roman"/>
                <w:color w:val="000000"/>
              </w:rPr>
              <w:t>481,76</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1522,64</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1933,96</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2525,94</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3438,91</w:t>
            </w:r>
          </w:p>
        </w:tc>
        <w:tc>
          <w:tcPr>
            <w:tcW w:w="960" w:type="dxa"/>
            <w:noWrap/>
            <w:hideMark/>
          </w:tcPr>
          <w:p w:rsidR="0058074F" w:rsidRPr="00932E8C" w:rsidRDefault="0058074F" w:rsidP="0058074F">
            <w:pPr>
              <w:jc w:val="right"/>
              <w:cnfStyle w:val="0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4758,365</w:t>
            </w:r>
          </w:p>
        </w:tc>
      </w:tr>
    </w:tbl>
    <w:p w:rsidR="0058074F" w:rsidRDefault="0058074F" w:rsidP="00FD6ACF">
      <w:pPr>
        <w:pStyle w:val="tekst"/>
        <w:ind w:firstLine="0"/>
        <w:rPr>
          <w:rFonts w:cs="Times New Roman"/>
          <w:i/>
        </w:rPr>
      </w:pPr>
    </w:p>
    <w:p w:rsidR="00FD6ACF" w:rsidRPr="00DB3B7C" w:rsidRDefault="00FD6ACF" w:rsidP="00FD6ACF">
      <w:pPr>
        <w:pStyle w:val="tekst"/>
        <w:ind w:firstLine="0"/>
        <w:rPr>
          <w:rFonts w:cs="Times New Roman"/>
          <w:i/>
        </w:rPr>
      </w:pPr>
      <w:r w:rsidRPr="00DB3B7C">
        <w:rPr>
          <w:rFonts w:cs="Times New Roman"/>
          <w:i/>
        </w:rPr>
        <w:t>Źródło: Obliczenia własne</w:t>
      </w:r>
      <w:r w:rsidR="00120948">
        <w:rPr>
          <w:rFonts w:cs="Times New Roman"/>
          <w:i/>
        </w:rPr>
        <w:t>.</w:t>
      </w:r>
    </w:p>
    <w:p w:rsidR="00CA7538" w:rsidRPr="00194C4A" w:rsidRDefault="00CA7538" w:rsidP="001E70DC">
      <w:pPr>
        <w:pStyle w:val="podpis"/>
        <w:rPr>
          <w:rFonts w:cs="Times New Roman"/>
        </w:rPr>
      </w:pPr>
    </w:p>
    <w:p w:rsidR="00E47523" w:rsidRPr="00194C4A" w:rsidRDefault="00A26EC0" w:rsidP="00A26EC0">
      <w:pPr>
        <w:pStyle w:val="Nagwek4"/>
      </w:pPr>
      <w:r>
        <w:t xml:space="preserve">4.1.5.3 </w:t>
      </w:r>
      <w:r w:rsidRPr="00A26EC0">
        <w:t>Scenariusz nr 3 Powolna stagnacja</w:t>
      </w:r>
    </w:p>
    <w:p w:rsidR="0006332D" w:rsidRPr="00194C4A" w:rsidRDefault="0006332D" w:rsidP="00AB6510">
      <w:pPr>
        <w:pStyle w:val="tekst"/>
        <w:spacing w:after="240"/>
        <w:rPr>
          <w:rFonts w:cs="Times New Roman"/>
        </w:rPr>
      </w:pPr>
      <w:r w:rsidRPr="00194C4A">
        <w:rPr>
          <w:rFonts w:cs="Times New Roman"/>
        </w:rPr>
        <w:t xml:space="preserve">Scenariusz zakłada </w:t>
      </w:r>
      <w:r w:rsidR="00CA7538" w:rsidRPr="00194C4A">
        <w:rPr>
          <w:rFonts w:cs="Times New Roman"/>
        </w:rPr>
        <w:t>sukcesywną</w:t>
      </w:r>
      <w:r w:rsidR="0036322F">
        <w:rPr>
          <w:rFonts w:cs="Times New Roman"/>
        </w:rPr>
        <w:t>,</w:t>
      </w:r>
      <w:r w:rsidR="00023172">
        <w:rPr>
          <w:rFonts w:cs="Times New Roman"/>
        </w:rPr>
        <w:t xml:space="preserve"> </w:t>
      </w:r>
      <w:r w:rsidR="002B1EC6">
        <w:rPr>
          <w:rFonts w:cs="Times New Roman"/>
        </w:rPr>
        <w:t>powolną rozbudowę sieci gazowej. Zakłada niski stopień inwestycji w efektywnoś</w:t>
      </w:r>
      <w:r w:rsidR="0036322F">
        <w:rPr>
          <w:rFonts w:cs="Times New Roman"/>
        </w:rPr>
        <w:t>ć</w:t>
      </w:r>
      <w:r w:rsidR="002B1EC6">
        <w:rPr>
          <w:rFonts w:cs="Times New Roman"/>
        </w:rPr>
        <w:t xml:space="preserve"> energetyczną oraz niski stopień wymiany źródeł ciepła</w:t>
      </w:r>
      <w:r w:rsidR="0036322F">
        <w:rPr>
          <w:rFonts w:cs="Times New Roman"/>
        </w:rPr>
        <w:t xml:space="preserve"> (zob. tabela poniżej)</w:t>
      </w:r>
      <w:r w:rsidR="002B1EC6">
        <w:rPr>
          <w:rFonts w:cs="Times New Roman"/>
        </w:rPr>
        <w:t>.</w:t>
      </w:r>
    </w:p>
    <w:p w:rsidR="002B1EC6" w:rsidRPr="003A425C" w:rsidRDefault="00FD6ACF" w:rsidP="00FD6ACF">
      <w:pPr>
        <w:pStyle w:val="Legenda"/>
        <w:rPr>
          <w:sz w:val="20"/>
        </w:rPr>
      </w:pPr>
      <w:bookmarkStart w:id="124" w:name="_Toc77322019"/>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17</w:t>
      </w:r>
      <w:r w:rsidR="00A05E44" w:rsidRPr="003A425C">
        <w:rPr>
          <w:sz w:val="20"/>
        </w:rPr>
        <w:fldChar w:fldCharType="end"/>
      </w:r>
      <w:r w:rsidRPr="003A425C">
        <w:rPr>
          <w:sz w:val="20"/>
        </w:rPr>
        <w:t xml:space="preserve"> Zapotrzebowanie na gaz ziemny [MWh] scenariusz 3</w:t>
      </w:r>
      <w:bookmarkEnd w:id="124"/>
      <w:r w:rsidR="00A05E44" w:rsidRPr="00A05E44">
        <w:rPr>
          <w:rFonts w:cs="Times New Roman"/>
        </w:rPr>
        <w:fldChar w:fldCharType="begin"/>
      </w:r>
      <w:r w:rsidR="002B1EC6">
        <w:rPr>
          <w:rFonts w:cs="Times New Roman"/>
        </w:rPr>
        <w:instrText xml:space="preserve"> LINK Excel.Sheet.12 "C:\\Users\\PC\\Desktop\\PZy\\prognoza.xlsx" "Arkusz1!W82K1:W87K7" \a \f 5 \h  \* MERGEFORMAT </w:instrText>
      </w:r>
      <w:r w:rsidR="00A05E44" w:rsidRPr="00A05E44">
        <w:rPr>
          <w:rFonts w:cs="Times New Roman"/>
        </w:rPr>
        <w:fldChar w:fldCharType="separate"/>
      </w:r>
    </w:p>
    <w:p w:rsidR="0058074F" w:rsidRPr="00194C4A" w:rsidRDefault="00A05E44" w:rsidP="001E70DC">
      <w:pPr>
        <w:pStyle w:val="podpis"/>
        <w:rPr>
          <w:rFonts w:cs="Times New Roman"/>
        </w:rPr>
      </w:pPr>
      <w:r>
        <w:rPr>
          <w:rFonts w:cs="Times New Roman"/>
        </w:rPr>
        <w:fldChar w:fldCharType="end"/>
      </w:r>
    </w:p>
    <w:tbl>
      <w:tblPr>
        <w:tblStyle w:val="Tabelasiatki1jasnaakcent11"/>
        <w:tblW w:w="9563" w:type="dxa"/>
        <w:tblLook w:val="04A0"/>
      </w:tblPr>
      <w:tblGrid>
        <w:gridCol w:w="3398"/>
        <w:gridCol w:w="960"/>
        <w:gridCol w:w="1041"/>
        <w:gridCol w:w="1041"/>
        <w:gridCol w:w="1041"/>
        <w:gridCol w:w="1041"/>
        <w:gridCol w:w="1041"/>
      </w:tblGrid>
      <w:tr w:rsidR="0058074F" w:rsidRPr="00932E8C" w:rsidTr="008C5891">
        <w:trPr>
          <w:cnfStyle w:val="100000000000"/>
          <w:trHeight w:val="300"/>
        </w:trPr>
        <w:tc>
          <w:tcPr>
            <w:cnfStyle w:val="001000000000"/>
            <w:tcW w:w="3398" w:type="dxa"/>
            <w:noWrap/>
            <w:hideMark/>
          </w:tcPr>
          <w:p w:rsidR="0058074F" w:rsidRPr="00932E8C" w:rsidRDefault="0058074F" w:rsidP="0058074F">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sektor gospodarki</w:t>
            </w:r>
          </w:p>
        </w:tc>
        <w:tc>
          <w:tcPr>
            <w:tcW w:w="960"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2020</w:t>
            </w:r>
          </w:p>
        </w:tc>
        <w:tc>
          <w:tcPr>
            <w:tcW w:w="1041"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2023</w:t>
            </w:r>
          </w:p>
        </w:tc>
        <w:tc>
          <w:tcPr>
            <w:tcW w:w="1041"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2026</w:t>
            </w:r>
          </w:p>
        </w:tc>
        <w:tc>
          <w:tcPr>
            <w:tcW w:w="1041"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2029</w:t>
            </w:r>
          </w:p>
        </w:tc>
        <w:tc>
          <w:tcPr>
            <w:tcW w:w="1041"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2033</w:t>
            </w:r>
          </w:p>
        </w:tc>
        <w:tc>
          <w:tcPr>
            <w:tcW w:w="1041" w:type="dxa"/>
            <w:noWrap/>
            <w:hideMark/>
          </w:tcPr>
          <w:p w:rsidR="0058074F" w:rsidRPr="00932E8C" w:rsidRDefault="0058074F" w:rsidP="0058074F">
            <w:pPr>
              <w:jc w:val="right"/>
              <w:cnfStyle w:val="100000000000"/>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2036</w:t>
            </w:r>
          </w:p>
        </w:tc>
      </w:tr>
      <w:tr w:rsidR="008C5891" w:rsidRPr="00932E8C" w:rsidTr="008C5891">
        <w:trPr>
          <w:trHeight w:val="300"/>
        </w:trPr>
        <w:tc>
          <w:tcPr>
            <w:cnfStyle w:val="001000000000"/>
            <w:tcW w:w="3398" w:type="dxa"/>
            <w:noWrap/>
            <w:hideMark/>
          </w:tcPr>
          <w:p w:rsidR="008C5891" w:rsidRPr="00932E8C" w:rsidRDefault="008C5891" w:rsidP="008C5891">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budynki użyteczności publicznej [MWh]</w:t>
            </w:r>
          </w:p>
        </w:tc>
        <w:tc>
          <w:tcPr>
            <w:tcW w:w="960"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600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600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600</w:t>
            </w:r>
          </w:p>
        </w:tc>
      </w:tr>
      <w:tr w:rsidR="008C5891" w:rsidRPr="00932E8C" w:rsidTr="008C5891">
        <w:trPr>
          <w:trHeight w:val="300"/>
        </w:trPr>
        <w:tc>
          <w:tcPr>
            <w:cnfStyle w:val="001000000000"/>
            <w:tcW w:w="3398" w:type="dxa"/>
            <w:noWrap/>
            <w:hideMark/>
          </w:tcPr>
          <w:p w:rsidR="008C5891" w:rsidRPr="00932E8C" w:rsidRDefault="008C5891" w:rsidP="008C5891">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Mieszkalnictwo [MWh]</w:t>
            </w:r>
          </w:p>
        </w:tc>
        <w:tc>
          <w:tcPr>
            <w:tcW w:w="960" w:type="dxa"/>
            <w:noWrap/>
            <w:hideMark/>
          </w:tcPr>
          <w:p w:rsidR="008C5891" w:rsidRPr="00932E8C" w:rsidRDefault="008C5891" w:rsidP="008C5891">
            <w:pPr>
              <w:jc w:val="right"/>
              <w:cnfStyle w:val="000000000000"/>
              <w:rPr>
                <w:rFonts w:ascii="Times New Roman" w:eastAsia="Times New Roman" w:hAnsi="Times New Roman" w:cs="Times New Roman"/>
                <w:color w:val="000000"/>
              </w:rPr>
            </w:pPr>
            <w:r w:rsidRPr="002673A7">
              <w:t>394,43</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398,37</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402,3</w:t>
            </w:r>
            <w:r>
              <w:t>6</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406,38</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410,4</w:t>
            </w:r>
            <w:r>
              <w:t>5</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414,5</w:t>
            </w:r>
            <w:r>
              <w:t>5</w:t>
            </w:r>
          </w:p>
        </w:tc>
      </w:tr>
      <w:tr w:rsidR="008C5891" w:rsidRPr="00932E8C" w:rsidTr="008C5891">
        <w:trPr>
          <w:trHeight w:val="300"/>
        </w:trPr>
        <w:tc>
          <w:tcPr>
            <w:cnfStyle w:val="001000000000"/>
            <w:tcW w:w="3398" w:type="dxa"/>
            <w:noWrap/>
            <w:hideMark/>
          </w:tcPr>
          <w:p w:rsidR="008C5891" w:rsidRPr="00932E8C" w:rsidRDefault="008C5891" w:rsidP="008C5891">
            <w:pPr>
              <w:rPr>
                <w:rFonts w:ascii="Times New Roman" w:eastAsia="Times New Roman" w:hAnsi="Times New Roman" w:cs="Times New Roman"/>
                <w:color w:val="000000"/>
              </w:rPr>
            </w:pPr>
            <w:r w:rsidRPr="00932E8C">
              <w:rPr>
                <w:rFonts w:ascii="Times New Roman" w:eastAsia="Times New Roman" w:hAnsi="Times New Roman" w:cs="Times New Roman"/>
                <w:color w:val="000000"/>
              </w:rPr>
              <w:t>przemysł i usługi [MWh]</w:t>
            </w:r>
          </w:p>
        </w:tc>
        <w:tc>
          <w:tcPr>
            <w:tcW w:w="960"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87,33</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90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95</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100</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105</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110</w:t>
            </w:r>
          </w:p>
        </w:tc>
      </w:tr>
      <w:tr w:rsidR="008C5891" w:rsidRPr="00932E8C" w:rsidTr="008C5891">
        <w:trPr>
          <w:trHeight w:val="300"/>
        </w:trPr>
        <w:tc>
          <w:tcPr>
            <w:cnfStyle w:val="001000000000"/>
            <w:tcW w:w="3398" w:type="dxa"/>
            <w:noWrap/>
            <w:hideMark/>
          </w:tcPr>
          <w:p w:rsidR="008C5891" w:rsidRPr="00932E8C" w:rsidRDefault="008C5891" w:rsidP="008C5891">
            <w:pPr>
              <w:jc w:val="right"/>
              <w:rPr>
                <w:rFonts w:ascii="Times New Roman" w:eastAsia="Times New Roman" w:hAnsi="Times New Roman" w:cs="Times New Roman"/>
                <w:color w:val="000000"/>
                <w:sz w:val="22"/>
                <w:szCs w:val="22"/>
              </w:rPr>
            </w:pPr>
            <w:r w:rsidRPr="00932E8C">
              <w:rPr>
                <w:rFonts w:ascii="Times New Roman" w:eastAsia="Times New Roman" w:hAnsi="Times New Roman" w:cs="Times New Roman"/>
                <w:color w:val="000000"/>
                <w:sz w:val="22"/>
                <w:szCs w:val="22"/>
              </w:rPr>
              <w:t>SUMA</w:t>
            </w:r>
          </w:p>
        </w:tc>
        <w:tc>
          <w:tcPr>
            <w:tcW w:w="960"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481,76</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488,37</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497,3</w:t>
            </w:r>
            <w:r>
              <w:t>6</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1106,38</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1115,4</w:t>
            </w:r>
            <w:r>
              <w:t>5</w:t>
            </w:r>
          </w:p>
        </w:tc>
        <w:tc>
          <w:tcPr>
            <w:tcW w:w="1041" w:type="dxa"/>
            <w:noWrap/>
            <w:hideMark/>
          </w:tcPr>
          <w:p w:rsidR="008C5891" w:rsidRPr="00932E8C" w:rsidRDefault="008C5891" w:rsidP="008C5891">
            <w:pPr>
              <w:jc w:val="right"/>
              <w:cnfStyle w:val="000000000000"/>
              <w:rPr>
                <w:rFonts w:ascii="Times New Roman" w:eastAsia="Times New Roman" w:hAnsi="Times New Roman" w:cs="Times New Roman"/>
                <w:color w:val="000000"/>
                <w:sz w:val="22"/>
                <w:szCs w:val="22"/>
              </w:rPr>
            </w:pPr>
            <w:r w:rsidRPr="002673A7">
              <w:t>1124,5</w:t>
            </w:r>
            <w:r>
              <w:t>5</w:t>
            </w:r>
          </w:p>
        </w:tc>
      </w:tr>
    </w:tbl>
    <w:p w:rsidR="001E70DC" w:rsidRPr="00194C4A" w:rsidRDefault="001E70DC" w:rsidP="001E70DC">
      <w:pPr>
        <w:pStyle w:val="podpis"/>
        <w:rPr>
          <w:rFonts w:cs="Times New Roman"/>
        </w:rPr>
      </w:pPr>
    </w:p>
    <w:p w:rsidR="00FD6ACF" w:rsidRPr="00DB3B7C" w:rsidRDefault="00FD6ACF" w:rsidP="00FD6ACF">
      <w:pPr>
        <w:pStyle w:val="tekst"/>
        <w:ind w:firstLine="0"/>
        <w:rPr>
          <w:rFonts w:cs="Times New Roman"/>
          <w:i/>
        </w:rPr>
      </w:pPr>
      <w:r w:rsidRPr="00DB3B7C">
        <w:rPr>
          <w:rFonts w:cs="Times New Roman"/>
          <w:i/>
        </w:rPr>
        <w:t>Źródło: Obliczenia własne</w:t>
      </w:r>
      <w:r w:rsidR="0036322F">
        <w:rPr>
          <w:rFonts w:cs="Times New Roman"/>
          <w:i/>
        </w:rPr>
        <w:t>.</w:t>
      </w:r>
    </w:p>
    <w:p w:rsidR="00CA7538" w:rsidRPr="00194C4A" w:rsidRDefault="002B1EC6" w:rsidP="002B1EC6">
      <w:pPr>
        <w:pStyle w:val="podpis"/>
        <w:tabs>
          <w:tab w:val="left" w:pos="6720"/>
        </w:tabs>
        <w:rPr>
          <w:rFonts w:cs="Times New Roman"/>
        </w:rPr>
      </w:pPr>
      <w:r>
        <w:rPr>
          <w:rFonts w:cs="Times New Roman"/>
        </w:rPr>
        <w:tab/>
      </w:r>
    </w:p>
    <w:p w:rsidR="001E70DC" w:rsidRPr="00194C4A" w:rsidRDefault="001E70DC" w:rsidP="008A40A2">
      <w:pPr>
        <w:pStyle w:val="Nagwek4"/>
        <w:numPr>
          <w:ilvl w:val="3"/>
          <w:numId w:val="24"/>
        </w:numPr>
        <w:ind w:left="426"/>
        <w:rPr>
          <w:rFonts w:ascii="Times New Roman" w:hAnsi="Times New Roman" w:cs="Times New Roman"/>
        </w:rPr>
      </w:pPr>
      <w:r w:rsidRPr="00194C4A">
        <w:rPr>
          <w:rFonts w:ascii="Times New Roman" w:hAnsi="Times New Roman" w:cs="Times New Roman"/>
        </w:rPr>
        <w:t>Wybór wariantu</w:t>
      </w:r>
    </w:p>
    <w:p w:rsidR="001E70DC" w:rsidRDefault="001E70DC" w:rsidP="00AB6510">
      <w:pPr>
        <w:pStyle w:val="tekst"/>
        <w:spacing w:after="240"/>
        <w:rPr>
          <w:rFonts w:cs="Times New Roman"/>
        </w:rPr>
      </w:pPr>
      <w:r w:rsidRPr="00194C4A">
        <w:rPr>
          <w:rFonts w:cs="Times New Roman"/>
        </w:rPr>
        <w:t xml:space="preserve">Wariantem optymalnym z punktu widzenia zaopatrzenia gminy wydaje się być scenariusz </w:t>
      </w:r>
      <w:r w:rsidR="00FD6ACF">
        <w:rPr>
          <w:rFonts w:cs="Times New Roman"/>
        </w:rPr>
        <w:t>drugi</w:t>
      </w:r>
      <w:r w:rsidR="00706686">
        <w:rPr>
          <w:rFonts w:cs="Times New Roman"/>
        </w:rPr>
        <w:t>,</w:t>
      </w:r>
      <w:r w:rsidRPr="00194C4A">
        <w:rPr>
          <w:rFonts w:cs="Times New Roman"/>
        </w:rPr>
        <w:t xml:space="preserve"> zakładający zapotrzebowanie na gaz ziemny na poziomie </w:t>
      </w:r>
      <w:r w:rsidR="0058074F">
        <w:rPr>
          <w:rFonts w:cs="Times New Roman"/>
        </w:rPr>
        <w:t>4758</w:t>
      </w:r>
      <w:r w:rsidRPr="00194C4A">
        <w:rPr>
          <w:rFonts w:cs="Times New Roman"/>
        </w:rPr>
        <w:t>MWh</w:t>
      </w:r>
      <w:r w:rsidR="00FD6ACF">
        <w:rPr>
          <w:rFonts w:cs="Times New Roman"/>
        </w:rPr>
        <w:t>. Zakłada się wysoką presję na dekarbonizację gospodarki, wzrost inwestycji w efektywność energetyczną</w:t>
      </w:r>
      <w:r w:rsidR="00706686">
        <w:rPr>
          <w:rFonts w:cs="Times New Roman"/>
        </w:rPr>
        <w:t xml:space="preserve"> (zob. rysunek poniżej)</w:t>
      </w:r>
      <w:r w:rsidR="00FD6ACF">
        <w:rPr>
          <w:rFonts w:cs="Times New Roman"/>
        </w:rPr>
        <w:t>.</w:t>
      </w:r>
    </w:p>
    <w:p w:rsidR="00706686" w:rsidRPr="00706686" w:rsidRDefault="00706686" w:rsidP="008F1728"/>
    <w:p w:rsidR="00E94188" w:rsidRDefault="00E94188" w:rsidP="00FD6ACF">
      <w:pPr>
        <w:pStyle w:val="Legenda"/>
        <w:rPr>
          <w:sz w:val="20"/>
        </w:rPr>
      </w:pPr>
      <w:bookmarkStart w:id="125" w:name="_Toc77321986"/>
    </w:p>
    <w:p w:rsidR="00E94188" w:rsidRDefault="00E94188" w:rsidP="00FD6ACF">
      <w:pPr>
        <w:pStyle w:val="Legenda"/>
        <w:rPr>
          <w:sz w:val="20"/>
        </w:rPr>
      </w:pPr>
    </w:p>
    <w:p w:rsidR="00E94188" w:rsidRDefault="00E94188" w:rsidP="00FD6ACF">
      <w:pPr>
        <w:pStyle w:val="Legenda"/>
        <w:rPr>
          <w:sz w:val="20"/>
        </w:rPr>
      </w:pPr>
    </w:p>
    <w:p w:rsidR="00E94188" w:rsidRDefault="00E94188" w:rsidP="00FD6ACF">
      <w:pPr>
        <w:pStyle w:val="Legenda"/>
        <w:rPr>
          <w:sz w:val="20"/>
        </w:rPr>
      </w:pPr>
    </w:p>
    <w:p w:rsidR="00E94188" w:rsidRDefault="00E94188" w:rsidP="00FD6ACF">
      <w:pPr>
        <w:pStyle w:val="Legenda"/>
        <w:rPr>
          <w:sz w:val="20"/>
        </w:rPr>
      </w:pPr>
    </w:p>
    <w:p w:rsidR="00E94188" w:rsidRDefault="00E94188" w:rsidP="00FD6ACF">
      <w:pPr>
        <w:pStyle w:val="Legenda"/>
        <w:rPr>
          <w:sz w:val="20"/>
        </w:rPr>
      </w:pPr>
    </w:p>
    <w:p w:rsidR="00FD6ACF" w:rsidRPr="003A425C" w:rsidRDefault="00FD6ACF" w:rsidP="00FD6ACF">
      <w:pPr>
        <w:pStyle w:val="Legenda"/>
        <w:rPr>
          <w:rFonts w:cs="Times New Roman"/>
          <w:sz w:val="20"/>
        </w:rPr>
      </w:pPr>
      <w:r w:rsidRPr="003A425C">
        <w:rPr>
          <w:sz w:val="20"/>
        </w:rPr>
        <w:lastRenderedPageBreak/>
        <w:t xml:space="preserve">Rysunek </w:t>
      </w:r>
      <w:r w:rsidR="00A05E44" w:rsidRPr="003A425C">
        <w:rPr>
          <w:sz w:val="20"/>
        </w:rPr>
        <w:fldChar w:fldCharType="begin"/>
      </w:r>
      <w:r w:rsidRPr="003A425C">
        <w:rPr>
          <w:sz w:val="20"/>
        </w:rPr>
        <w:instrText xml:space="preserve"> SEQ Rysunek \* ARABIC </w:instrText>
      </w:r>
      <w:r w:rsidR="00A05E44" w:rsidRPr="003A425C">
        <w:rPr>
          <w:sz w:val="20"/>
        </w:rPr>
        <w:fldChar w:fldCharType="separate"/>
      </w:r>
      <w:r w:rsidR="00F20FF3">
        <w:rPr>
          <w:noProof/>
          <w:sz w:val="20"/>
        </w:rPr>
        <w:t>9</w:t>
      </w:r>
      <w:r w:rsidR="00A05E44" w:rsidRPr="003A425C">
        <w:rPr>
          <w:sz w:val="20"/>
        </w:rPr>
        <w:fldChar w:fldCharType="end"/>
      </w:r>
      <w:r w:rsidRPr="003A425C">
        <w:rPr>
          <w:sz w:val="20"/>
        </w:rPr>
        <w:t xml:space="preserve"> Zestawienie wariantów zapotrzebowania na gaz ziemny</w:t>
      </w:r>
      <w:bookmarkEnd w:id="125"/>
    </w:p>
    <w:p w:rsidR="009165F5" w:rsidRDefault="0058074F" w:rsidP="009165F5">
      <w:pPr>
        <w:pStyle w:val="tekst"/>
        <w:keepNext/>
        <w:rPr>
          <w:rFonts w:cs="Times New Roman"/>
        </w:rPr>
      </w:pPr>
      <w:r>
        <w:rPr>
          <w:noProof/>
        </w:rPr>
        <w:drawing>
          <wp:inline distT="0" distB="0" distL="0" distR="0">
            <wp:extent cx="4572000" cy="2743200"/>
            <wp:effectExtent l="0" t="0" r="0" b="0"/>
            <wp:docPr id="16" name="Wykres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5A59BAE7-B3AC-4757-8883-923A7D2A3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D6ACF" w:rsidRPr="00DB3B7C" w:rsidRDefault="00FD6ACF" w:rsidP="00FD6ACF">
      <w:pPr>
        <w:pStyle w:val="tekst"/>
        <w:ind w:firstLine="0"/>
        <w:rPr>
          <w:rFonts w:cs="Times New Roman"/>
          <w:i/>
        </w:rPr>
      </w:pPr>
      <w:r w:rsidRPr="00DB3B7C">
        <w:rPr>
          <w:rFonts w:cs="Times New Roman"/>
          <w:i/>
        </w:rPr>
        <w:t>Źródło: Obliczenia własne</w:t>
      </w:r>
      <w:r w:rsidR="006F29E9">
        <w:rPr>
          <w:rFonts w:cs="Times New Roman"/>
          <w:i/>
        </w:rPr>
        <w:t>.</w:t>
      </w:r>
    </w:p>
    <w:p w:rsidR="00FD6ACF" w:rsidRPr="00194C4A" w:rsidRDefault="00FD6ACF" w:rsidP="009165F5">
      <w:pPr>
        <w:pStyle w:val="tekst"/>
        <w:keepNext/>
        <w:rPr>
          <w:rFonts w:cs="Times New Roman"/>
        </w:rPr>
      </w:pPr>
    </w:p>
    <w:p w:rsidR="002F4EAD" w:rsidRPr="00194C4A" w:rsidRDefault="00A26EC0" w:rsidP="00A26EC0">
      <w:pPr>
        <w:pStyle w:val="Nagwek2"/>
      </w:pPr>
      <w:bookmarkStart w:id="126" w:name="_Toc440631602"/>
      <w:bookmarkStart w:id="127" w:name="_Toc77321965"/>
      <w:r>
        <w:t xml:space="preserve">4.2 </w:t>
      </w:r>
      <w:r w:rsidR="002F4EAD" w:rsidRPr="00194C4A">
        <w:t xml:space="preserve">Zapotrzebowanie na energię </w:t>
      </w:r>
      <w:bookmarkEnd w:id="126"/>
      <w:r w:rsidR="0011086C" w:rsidRPr="00194C4A">
        <w:t>końcową</w:t>
      </w:r>
      <w:r w:rsidR="0006332D" w:rsidRPr="00194C4A">
        <w:t xml:space="preserve"> w nośnikach</w:t>
      </w:r>
      <w:r w:rsidR="001E70DC" w:rsidRPr="00194C4A">
        <w:t xml:space="preserve"> energii</w:t>
      </w:r>
      <w:bookmarkEnd w:id="127"/>
    </w:p>
    <w:p w:rsidR="00AB6510" w:rsidRDefault="003F0E0C" w:rsidP="00F6288B">
      <w:pPr>
        <w:pStyle w:val="tekst"/>
        <w:spacing w:after="240"/>
        <w:rPr>
          <w:rFonts w:cs="Times New Roman"/>
        </w:rPr>
      </w:pPr>
      <w:r>
        <w:rPr>
          <w:rFonts w:cs="Times New Roman"/>
        </w:rPr>
        <w:t>Powyższa analiza została uszczegółowiona zestawieniem według źródeł energii. Energia końcowa została zaprezentowana w formie tabelarycznej z przewidywaniem zużycia energii do 203</w:t>
      </w:r>
      <w:r w:rsidR="00C06D26">
        <w:rPr>
          <w:rFonts w:cs="Times New Roman"/>
        </w:rPr>
        <w:t>6</w:t>
      </w:r>
      <w:r>
        <w:rPr>
          <w:rFonts w:cs="Times New Roman"/>
        </w:rPr>
        <w:t xml:space="preserve"> roku</w:t>
      </w:r>
      <w:r w:rsidR="00006CA2">
        <w:rPr>
          <w:rFonts w:cs="Times New Roman"/>
        </w:rPr>
        <w:t>:</w:t>
      </w:r>
    </w:p>
    <w:p w:rsidR="00D01598" w:rsidRPr="003A425C" w:rsidRDefault="003F0E0C" w:rsidP="003F0E0C">
      <w:pPr>
        <w:pStyle w:val="Legenda"/>
        <w:rPr>
          <w:rFonts w:cs="Times New Roman"/>
          <w:sz w:val="20"/>
        </w:rPr>
      </w:pPr>
      <w:bookmarkStart w:id="128" w:name="_Toc77322020"/>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18</w:t>
      </w:r>
      <w:r w:rsidR="00A05E44" w:rsidRPr="003A425C">
        <w:rPr>
          <w:sz w:val="20"/>
        </w:rPr>
        <w:fldChar w:fldCharType="end"/>
      </w:r>
      <w:r w:rsidRPr="003A425C">
        <w:rPr>
          <w:sz w:val="20"/>
        </w:rPr>
        <w:t xml:space="preserve"> Energia końcowa w gminie w podziale na nośniki</w:t>
      </w:r>
      <w:bookmarkEnd w:id="128"/>
    </w:p>
    <w:tbl>
      <w:tblPr>
        <w:tblStyle w:val="Tabelasiatki1jasnaakcent11"/>
        <w:tblW w:w="9629" w:type="dxa"/>
        <w:tblLook w:val="04A0"/>
      </w:tblPr>
      <w:tblGrid>
        <w:gridCol w:w="1850"/>
        <w:gridCol w:w="1241"/>
        <w:gridCol w:w="1032"/>
        <w:gridCol w:w="1032"/>
        <w:gridCol w:w="1032"/>
        <w:gridCol w:w="1032"/>
        <w:gridCol w:w="1057"/>
        <w:gridCol w:w="1494"/>
      </w:tblGrid>
      <w:tr w:rsidR="00D44AB6" w:rsidRPr="00D44AB6" w:rsidTr="00D44AB6">
        <w:trPr>
          <w:cnfStyle w:val="100000000000"/>
          <w:trHeight w:val="300"/>
        </w:trPr>
        <w:tc>
          <w:tcPr>
            <w:cnfStyle w:val="001000000000"/>
            <w:tcW w:w="1709" w:type="dxa"/>
            <w:noWrap/>
            <w:hideMark/>
          </w:tcPr>
          <w:p w:rsidR="00C06D26" w:rsidRPr="00D44AB6" w:rsidRDefault="00C06D26" w:rsidP="00C06D26">
            <w:pPr>
              <w:rPr>
                <w:rFonts w:ascii="Times New Roman" w:eastAsia="Times New Roman" w:hAnsi="Times New Roman" w:cs="Times New Roman"/>
                <w:sz w:val="20"/>
                <w:szCs w:val="20"/>
              </w:rPr>
            </w:pPr>
          </w:p>
        </w:tc>
        <w:tc>
          <w:tcPr>
            <w:tcW w:w="12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2020</w:t>
            </w:r>
          </w:p>
        </w:tc>
        <w:tc>
          <w:tcPr>
            <w:tcW w:w="1032"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2023</w:t>
            </w:r>
          </w:p>
        </w:tc>
        <w:tc>
          <w:tcPr>
            <w:tcW w:w="1032"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2026</w:t>
            </w:r>
          </w:p>
        </w:tc>
        <w:tc>
          <w:tcPr>
            <w:tcW w:w="1032"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2029</w:t>
            </w:r>
          </w:p>
        </w:tc>
        <w:tc>
          <w:tcPr>
            <w:tcW w:w="1032"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2033</w:t>
            </w:r>
          </w:p>
        </w:tc>
        <w:tc>
          <w:tcPr>
            <w:tcW w:w="1057"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2036</w:t>
            </w:r>
          </w:p>
        </w:tc>
        <w:tc>
          <w:tcPr>
            <w:tcW w:w="1494" w:type="dxa"/>
            <w:noWrap/>
            <w:hideMark/>
          </w:tcPr>
          <w:p w:rsidR="00C06D26" w:rsidRPr="00D44AB6" w:rsidRDefault="008C5891" w:rsidP="00C06D26">
            <w:pPr>
              <w:jc w:val="right"/>
              <w:cnfStyle w:val="1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Wzrost/spadek</w:t>
            </w:r>
          </w:p>
        </w:tc>
      </w:tr>
      <w:tr w:rsidR="00D44AB6" w:rsidRPr="00D44AB6" w:rsidTr="00D44AB6">
        <w:trPr>
          <w:trHeight w:val="300"/>
        </w:trPr>
        <w:tc>
          <w:tcPr>
            <w:cnfStyle w:val="001000000000"/>
            <w:tcW w:w="1709" w:type="dxa"/>
            <w:noWrap/>
            <w:hideMark/>
          </w:tcPr>
          <w:p w:rsidR="00C06D26" w:rsidRPr="00D44AB6" w:rsidRDefault="00C06D26" w:rsidP="00C06D2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Źródło energii</w:t>
            </w:r>
          </w:p>
        </w:tc>
        <w:tc>
          <w:tcPr>
            <w:tcW w:w="1241" w:type="dxa"/>
            <w:noWrap/>
            <w:hideMark/>
          </w:tcPr>
          <w:p w:rsidR="00C06D26" w:rsidRPr="00D44AB6" w:rsidRDefault="00C06D26" w:rsidP="00C06D26">
            <w:pPr>
              <w:cnfStyle w:val="000000000000"/>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Razem [MWh]</w:t>
            </w:r>
          </w:p>
        </w:tc>
        <w:tc>
          <w:tcPr>
            <w:tcW w:w="1032" w:type="dxa"/>
            <w:noWrap/>
            <w:hideMark/>
          </w:tcPr>
          <w:p w:rsidR="00C06D26" w:rsidRPr="00D44AB6" w:rsidRDefault="00C06D26" w:rsidP="00C06D26">
            <w:pPr>
              <w:cnfStyle w:val="000000000000"/>
              <w:rPr>
                <w:rFonts w:ascii="Times New Roman" w:eastAsia="Times New Roman" w:hAnsi="Times New Roman" w:cs="Times New Roman"/>
                <w:color w:val="000000"/>
                <w:sz w:val="20"/>
                <w:szCs w:val="20"/>
              </w:rPr>
            </w:pPr>
          </w:p>
        </w:tc>
        <w:tc>
          <w:tcPr>
            <w:tcW w:w="1032" w:type="dxa"/>
            <w:noWrap/>
            <w:hideMark/>
          </w:tcPr>
          <w:p w:rsidR="00C06D26" w:rsidRPr="00D44AB6" w:rsidRDefault="00C06D26" w:rsidP="00C06D26">
            <w:pPr>
              <w:cnfStyle w:val="000000000000"/>
              <w:rPr>
                <w:rFonts w:ascii="Times New Roman" w:eastAsia="Times New Roman" w:hAnsi="Times New Roman" w:cs="Times New Roman"/>
                <w:sz w:val="20"/>
                <w:szCs w:val="20"/>
              </w:rPr>
            </w:pPr>
          </w:p>
        </w:tc>
        <w:tc>
          <w:tcPr>
            <w:tcW w:w="1032" w:type="dxa"/>
            <w:noWrap/>
            <w:hideMark/>
          </w:tcPr>
          <w:p w:rsidR="00C06D26" w:rsidRPr="00D44AB6" w:rsidRDefault="00C06D26" w:rsidP="00C06D26">
            <w:pPr>
              <w:cnfStyle w:val="000000000000"/>
              <w:rPr>
                <w:rFonts w:ascii="Times New Roman" w:eastAsia="Times New Roman" w:hAnsi="Times New Roman" w:cs="Times New Roman"/>
                <w:sz w:val="20"/>
                <w:szCs w:val="20"/>
              </w:rPr>
            </w:pPr>
          </w:p>
        </w:tc>
        <w:tc>
          <w:tcPr>
            <w:tcW w:w="1032" w:type="dxa"/>
            <w:noWrap/>
            <w:hideMark/>
          </w:tcPr>
          <w:p w:rsidR="00C06D26" w:rsidRPr="00D44AB6" w:rsidRDefault="00C06D26" w:rsidP="00C06D26">
            <w:pPr>
              <w:cnfStyle w:val="000000000000"/>
              <w:rPr>
                <w:rFonts w:ascii="Times New Roman" w:eastAsia="Times New Roman" w:hAnsi="Times New Roman" w:cs="Times New Roman"/>
                <w:sz w:val="20"/>
                <w:szCs w:val="20"/>
              </w:rPr>
            </w:pPr>
          </w:p>
        </w:tc>
        <w:tc>
          <w:tcPr>
            <w:tcW w:w="1057" w:type="dxa"/>
            <w:noWrap/>
            <w:hideMark/>
          </w:tcPr>
          <w:p w:rsidR="00C06D26" w:rsidRPr="00D44AB6" w:rsidRDefault="00C06D26" w:rsidP="00C06D26">
            <w:pPr>
              <w:cnfStyle w:val="000000000000"/>
              <w:rPr>
                <w:rFonts w:ascii="Times New Roman" w:eastAsia="Times New Roman" w:hAnsi="Times New Roman" w:cs="Times New Roman"/>
                <w:sz w:val="20"/>
                <w:szCs w:val="20"/>
              </w:rPr>
            </w:pPr>
          </w:p>
        </w:tc>
        <w:tc>
          <w:tcPr>
            <w:tcW w:w="1494" w:type="dxa"/>
            <w:noWrap/>
            <w:hideMark/>
          </w:tcPr>
          <w:p w:rsidR="00C06D26" w:rsidRPr="00D44AB6" w:rsidRDefault="00C06D26" w:rsidP="00C06D26">
            <w:pPr>
              <w:cnfStyle w:val="000000000000"/>
              <w:rPr>
                <w:rFonts w:ascii="Times New Roman" w:eastAsia="Times New Roman" w:hAnsi="Times New Roman" w:cs="Times New Roman"/>
                <w:sz w:val="20"/>
                <w:szCs w:val="20"/>
              </w:rPr>
            </w:pP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ciepło sieciowe</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315,88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315,88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315,88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315,88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315,88</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315,88</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olej opałowy</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1445,49</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728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-100%</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węgiel</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24991,41</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20000</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15000</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10000</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0</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-100%</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drewno i biomasa</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23672,83</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24264,65</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24871,26</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25493,05</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26130,37</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26783,63</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13,14%</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gaz ziemny</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481,76</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1522,64</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1933,96</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2525,94</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3438,91</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4758,37</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887,70%</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rPr>
              <w:t>gaz płynny</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2769,996</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2797,70</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2825,67</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2853,93</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2882,47</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2911,29</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5,10%</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lang w:val="en-US"/>
              </w:rPr>
              <w:t>energiaelektryczna</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2041,754</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18584,68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24441,87</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29397,58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39089,55</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38382,35</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1779,87%</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lang w:val="en-US"/>
              </w:rPr>
              <w:t>kolektorysłoneczne</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446,67</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453,37</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460,17</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467,07</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474,08</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481,19</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7,73%</w:t>
            </w:r>
          </w:p>
        </w:tc>
      </w:tr>
      <w:tr w:rsidR="00D44AB6" w:rsidRPr="00D44AB6" w:rsidTr="00D44AB6">
        <w:trPr>
          <w:trHeight w:val="300"/>
        </w:trPr>
        <w:tc>
          <w:tcPr>
            <w:cnfStyle w:val="001000000000"/>
            <w:tcW w:w="1709" w:type="dxa"/>
            <w:noWrap/>
            <w:hideMark/>
          </w:tcPr>
          <w:p w:rsidR="00D44AB6" w:rsidRPr="00D44AB6" w:rsidRDefault="00D44AB6" w:rsidP="00D44AB6">
            <w:pPr>
              <w:rPr>
                <w:rFonts w:ascii="Times New Roman" w:eastAsia="Times New Roman" w:hAnsi="Times New Roman" w:cs="Times New Roman"/>
                <w:color w:val="000000"/>
                <w:sz w:val="20"/>
                <w:szCs w:val="20"/>
              </w:rPr>
            </w:pPr>
            <w:r w:rsidRPr="00D44AB6">
              <w:rPr>
                <w:rFonts w:ascii="Times New Roman" w:eastAsia="Times New Roman" w:hAnsi="Times New Roman" w:cs="Times New Roman"/>
                <w:color w:val="000000"/>
                <w:sz w:val="20"/>
                <w:szCs w:val="20"/>
                <w:lang w:val="en-US"/>
              </w:rPr>
              <w:t>Razem [MWh]</w:t>
            </w:r>
          </w:p>
        </w:tc>
        <w:tc>
          <w:tcPr>
            <w:tcW w:w="12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color w:val="000000"/>
              </w:rPr>
              <w:t>56165,78</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68666,92</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69848,83</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71053,45</w:t>
            </w:r>
          </w:p>
        </w:tc>
        <w:tc>
          <w:tcPr>
            <w:tcW w:w="1032"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72331,26</w:t>
            </w:r>
          </w:p>
        </w:tc>
        <w:tc>
          <w:tcPr>
            <w:tcW w:w="1057"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73632,72</w:t>
            </w:r>
          </w:p>
        </w:tc>
        <w:tc>
          <w:tcPr>
            <w:tcW w:w="1494"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0"/>
                <w:szCs w:val="20"/>
              </w:rPr>
            </w:pPr>
            <w:r w:rsidRPr="00D44AB6">
              <w:rPr>
                <w:rFonts w:ascii="Times New Roman" w:hAnsi="Times New Roman" w:cs="Times New Roman"/>
              </w:rPr>
              <w:t>31,10%</w:t>
            </w:r>
          </w:p>
        </w:tc>
      </w:tr>
    </w:tbl>
    <w:p w:rsidR="00C06D26" w:rsidRDefault="00C06D26" w:rsidP="003F0E0C">
      <w:pPr>
        <w:pStyle w:val="podpis"/>
        <w:rPr>
          <w:rFonts w:cs="Times New Roman"/>
          <w:b w:val="0"/>
          <w:i/>
          <w:sz w:val="22"/>
          <w:szCs w:val="22"/>
        </w:rPr>
      </w:pPr>
    </w:p>
    <w:p w:rsidR="003F0E0C" w:rsidRPr="003F0E0C" w:rsidRDefault="003F0E0C" w:rsidP="003F0E0C">
      <w:pPr>
        <w:pStyle w:val="podpis"/>
        <w:rPr>
          <w:rFonts w:cs="Times New Roman"/>
          <w:b w:val="0"/>
          <w:i/>
          <w:sz w:val="22"/>
          <w:szCs w:val="22"/>
        </w:rPr>
      </w:pPr>
      <w:r w:rsidRPr="003F0E0C">
        <w:rPr>
          <w:rFonts w:cs="Times New Roman"/>
          <w:b w:val="0"/>
          <w:i/>
          <w:sz w:val="22"/>
          <w:szCs w:val="22"/>
        </w:rPr>
        <w:t>Źródło: Obliczenia własne</w:t>
      </w:r>
      <w:r w:rsidR="00006CA2">
        <w:rPr>
          <w:rFonts w:cs="Times New Roman"/>
          <w:b w:val="0"/>
          <w:i/>
          <w:sz w:val="22"/>
          <w:szCs w:val="22"/>
        </w:rPr>
        <w:t>.</w:t>
      </w:r>
    </w:p>
    <w:p w:rsidR="0011086C" w:rsidRPr="00194C4A" w:rsidRDefault="00D01598" w:rsidP="00AB6510">
      <w:pPr>
        <w:pStyle w:val="tekst"/>
        <w:spacing w:before="240" w:after="240"/>
        <w:rPr>
          <w:rFonts w:cs="Times New Roman"/>
        </w:rPr>
      </w:pPr>
      <w:r w:rsidRPr="00194C4A">
        <w:rPr>
          <w:rFonts w:cs="Times New Roman"/>
        </w:rPr>
        <w:t>Scenariusz</w:t>
      </w:r>
      <w:r w:rsidR="003F0E0C">
        <w:rPr>
          <w:rFonts w:cs="Times New Roman"/>
        </w:rPr>
        <w:t>e</w:t>
      </w:r>
      <w:r w:rsidR="001562F9">
        <w:rPr>
          <w:rFonts w:cs="Times New Roman"/>
        </w:rPr>
        <w:t>,</w:t>
      </w:r>
      <w:r w:rsidRPr="00194C4A">
        <w:rPr>
          <w:rFonts w:cs="Times New Roman"/>
        </w:rPr>
        <w:t xml:space="preserve"> jaki</w:t>
      </w:r>
      <w:r w:rsidR="003F0E0C">
        <w:rPr>
          <w:rFonts w:cs="Times New Roman"/>
        </w:rPr>
        <w:t>e</w:t>
      </w:r>
      <w:r w:rsidRPr="00194C4A">
        <w:rPr>
          <w:rFonts w:cs="Times New Roman"/>
        </w:rPr>
        <w:t xml:space="preserve"> został</w:t>
      </w:r>
      <w:r w:rsidR="003F0E0C">
        <w:rPr>
          <w:rFonts w:cs="Times New Roman"/>
        </w:rPr>
        <w:t>y</w:t>
      </w:r>
      <w:r w:rsidRPr="00194C4A">
        <w:rPr>
          <w:rFonts w:cs="Times New Roman"/>
        </w:rPr>
        <w:t xml:space="preserve"> wybran</w:t>
      </w:r>
      <w:r w:rsidR="003F0E0C">
        <w:rPr>
          <w:rFonts w:cs="Times New Roman"/>
        </w:rPr>
        <w:t>e</w:t>
      </w:r>
      <w:r w:rsidRPr="00194C4A">
        <w:rPr>
          <w:rFonts w:cs="Times New Roman"/>
        </w:rPr>
        <w:t xml:space="preserve"> jako najbardziej realn</w:t>
      </w:r>
      <w:r w:rsidR="003F0E0C">
        <w:rPr>
          <w:rFonts w:cs="Times New Roman"/>
        </w:rPr>
        <w:t>e</w:t>
      </w:r>
      <w:r w:rsidR="001562F9">
        <w:rPr>
          <w:rFonts w:cs="Times New Roman"/>
        </w:rPr>
        <w:t>,</w:t>
      </w:r>
      <w:r w:rsidRPr="00194C4A">
        <w:rPr>
          <w:rFonts w:cs="Times New Roman"/>
        </w:rPr>
        <w:t xml:space="preserve"> oznacza</w:t>
      </w:r>
      <w:r w:rsidR="003F0E0C">
        <w:rPr>
          <w:rFonts w:cs="Times New Roman"/>
        </w:rPr>
        <w:t>ją</w:t>
      </w:r>
      <w:r w:rsidR="00C06D26">
        <w:rPr>
          <w:rFonts w:cs="Times New Roman"/>
        </w:rPr>
        <w:t>wzrost</w:t>
      </w:r>
      <w:r w:rsidRPr="00194C4A">
        <w:rPr>
          <w:rFonts w:cs="Times New Roman"/>
        </w:rPr>
        <w:t xml:space="preserve"> do </w:t>
      </w:r>
      <w:r w:rsidR="00C4722A">
        <w:rPr>
          <w:rFonts w:cs="Times New Roman"/>
        </w:rPr>
        <w:t>2036</w:t>
      </w:r>
      <w:r w:rsidRPr="00194C4A">
        <w:rPr>
          <w:rFonts w:cs="Times New Roman"/>
        </w:rPr>
        <w:t xml:space="preserve"> roku zapotr</w:t>
      </w:r>
      <w:r w:rsidR="00650108" w:rsidRPr="00194C4A">
        <w:rPr>
          <w:rFonts w:cs="Times New Roman"/>
        </w:rPr>
        <w:t xml:space="preserve">zebowania na energię końcowa o </w:t>
      </w:r>
      <w:r w:rsidR="00C06D26">
        <w:rPr>
          <w:rFonts w:cs="Times New Roman"/>
        </w:rPr>
        <w:t>3</w:t>
      </w:r>
      <w:r w:rsidR="00D44AB6">
        <w:rPr>
          <w:rFonts w:cs="Times New Roman"/>
        </w:rPr>
        <w:t>1</w:t>
      </w:r>
      <w:r w:rsidR="00C06D26">
        <w:rPr>
          <w:rFonts w:cs="Times New Roman"/>
        </w:rPr>
        <w:t>,</w:t>
      </w:r>
      <w:r w:rsidR="00D44AB6">
        <w:rPr>
          <w:rFonts w:cs="Times New Roman"/>
        </w:rPr>
        <w:t>10</w:t>
      </w:r>
      <w:r w:rsidRPr="00194C4A">
        <w:rPr>
          <w:rFonts w:cs="Times New Roman"/>
        </w:rPr>
        <w:t>% w stosunku do roku 20</w:t>
      </w:r>
      <w:r w:rsidR="00C06D26">
        <w:rPr>
          <w:rFonts w:cs="Times New Roman"/>
        </w:rPr>
        <w:t>20</w:t>
      </w:r>
      <w:r w:rsidRPr="00194C4A">
        <w:rPr>
          <w:rFonts w:cs="Times New Roman"/>
        </w:rPr>
        <w:t>.</w:t>
      </w:r>
    </w:p>
    <w:p w:rsidR="002F4EAD" w:rsidRPr="00194C4A" w:rsidRDefault="00A26EC0" w:rsidP="00A26EC0">
      <w:pPr>
        <w:pStyle w:val="Nagwek2"/>
        <w:ind w:left="-144"/>
        <w:rPr>
          <w:rFonts w:ascii="Times New Roman" w:hAnsi="Times New Roman" w:cs="Times New Roman"/>
        </w:rPr>
      </w:pPr>
      <w:bookmarkStart w:id="129" w:name="_Toc440631603"/>
      <w:bookmarkStart w:id="130" w:name="_Toc77321966"/>
      <w:r>
        <w:rPr>
          <w:rFonts w:ascii="Times New Roman" w:hAnsi="Times New Roman" w:cs="Times New Roman"/>
        </w:rPr>
        <w:lastRenderedPageBreak/>
        <w:t xml:space="preserve">4.3 </w:t>
      </w:r>
      <w:r w:rsidR="002F4EAD" w:rsidRPr="00194C4A">
        <w:rPr>
          <w:rFonts w:ascii="Times New Roman" w:hAnsi="Times New Roman" w:cs="Times New Roman"/>
        </w:rPr>
        <w:t>Zapotrzebowanie na energię pierwotną</w:t>
      </w:r>
      <w:bookmarkEnd w:id="129"/>
      <w:bookmarkEnd w:id="130"/>
    </w:p>
    <w:p w:rsidR="003F0E0C" w:rsidRDefault="00813678" w:rsidP="003F0E0C">
      <w:pPr>
        <w:pStyle w:val="tekst"/>
        <w:rPr>
          <w:rFonts w:cs="Times New Roman"/>
        </w:rPr>
      </w:pPr>
      <w:r w:rsidRPr="00194C4A">
        <w:rPr>
          <w:rFonts w:cs="Times New Roman"/>
        </w:rPr>
        <w:t>Przy wyznaczeniu zapotrzebowania gminy na energię pierwotną posłużono się współczynnikami nakładu nieodnawialnej energii pierwotnej na wytworzenie i dostarczenie nośnika energii lub energii dla systemów technicznych zawarte w Rozporząd</w:t>
      </w:r>
      <w:r w:rsidR="00376AEA" w:rsidRPr="00194C4A">
        <w:rPr>
          <w:rFonts w:cs="Times New Roman"/>
        </w:rPr>
        <w:t>zeniu Ministra Infrastruktury i </w:t>
      </w:r>
      <w:r w:rsidRPr="00194C4A">
        <w:rPr>
          <w:rFonts w:cs="Times New Roman"/>
        </w:rPr>
        <w:t>Rozwoju z dnia 27 lutego 2015 r. w sprawie metodologii wyznaczania charakterystyki energetycznej budynku lub części budynku oraz świadectw charakterystyki energetycznej</w:t>
      </w:r>
      <w:r w:rsidR="00376AEA" w:rsidRPr="00194C4A">
        <w:rPr>
          <w:rFonts w:cs="Times New Roman"/>
        </w:rPr>
        <w:t xml:space="preserve"> (Dz.U. </w:t>
      </w:r>
      <w:r w:rsidRPr="00194C4A">
        <w:rPr>
          <w:rFonts w:cs="Times New Roman"/>
        </w:rPr>
        <w:t>2015 poz. 376</w:t>
      </w:r>
      <w:r w:rsidR="00DA586A" w:rsidRPr="00194C4A">
        <w:rPr>
          <w:rFonts w:cs="Times New Roman"/>
        </w:rPr>
        <w:t xml:space="preserve"> z poźn. </w:t>
      </w:r>
      <w:r w:rsidR="00C06D26" w:rsidRPr="00194C4A">
        <w:rPr>
          <w:rFonts w:cs="Times New Roman"/>
        </w:rPr>
        <w:t>Z</w:t>
      </w:r>
      <w:r w:rsidR="00DA586A" w:rsidRPr="00194C4A">
        <w:rPr>
          <w:rFonts w:cs="Times New Roman"/>
        </w:rPr>
        <w:t>m.</w:t>
      </w:r>
      <w:r w:rsidRPr="00194C4A">
        <w:rPr>
          <w:rFonts w:cs="Times New Roman"/>
        </w:rPr>
        <w:t>).</w:t>
      </w:r>
      <w:r w:rsidR="003F0E0C">
        <w:rPr>
          <w:rFonts w:cs="Times New Roman"/>
        </w:rPr>
        <w:t xml:space="preserve"> Energia pierwotna jest to energia uwięziona w paliwie. Poniżej przedstawiono obliczenia dla energii pierwotnej.</w:t>
      </w:r>
    </w:p>
    <w:p w:rsidR="00813678" w:rsidRDefault="00813678" w:rsidP="003F0E0C">
      <w:pPr>
        <w:pStyle w:val="tekst"/>
        <w:rPr>
          <w:rFonts w:cs="Times New Roman"/>
        </w:rPr>
      </w:pPr>
      <w:r w:rsidRPr="00194C4A">
        <w:rPr>
          <w:rFonts w:cs="Times New Roman"/>
        </w:rPr>
        <w:t xml:space="preserve">Zapotrzebowanie na energię pierwotną w gminie </w:t>
      </w:r>
      <w:r w:rsidR="00327190">
        <w:rPr>
          <w:rFonts w:cs="Times New Roman"/>
        </w:rPr>
        <w:t>Brodnica</w:t>
      </w:r>
      <w:r w:rsidR="001B492E" w:rsidRPr="00194C4A">
        <w:rPr>
          <w:rFonts w:cs="Times New Roman"/>
        </w:rPr>
        <w:t xml:space="preserve"> spadnie</w:t>
      </w:r>
      <w:r w:rsidR="00023172">
        <w:rPr>
          <w:rFonts w:cs="Times New Roman"/>
        </w:rPr>
        <w:t xml:space="preserve"> </w:t>
      </w:r>
      <w:r w:rsidRPr="00194C4A">
        <w:rPr>
          <w:rFonts w:cs="Times New Roman"/>
        </w:rPr>
        <w:t xml:space="preserve">do </w:t>
      </w:r>
      <w:r w:rsidR="00C4722A">
        <w:rPr>
          <w:rFonts w:cs="Times New Roman"/>
        </w:rPr>
        <w:t>2036</w:t>
      </w:r>
      <w:r w:rsidRPr="00194C4A">
        <w:rPr>
          <w:rFonts w:cs="Times New Roman"/>
        </w:rPr>
        <w:t xml:space="preserve"> roku</w:t>
      </w:r>
      <w:r w:rsidR="00354185" w:rsidRPr="00194C4A">
        <w:rPr>
          <w:rFonts w:cs="Times New Roman"/>
        </w:rPr>
        <w:t xml:space="preserve"> o </w:t>
      </w:r>
      <w:r w:rsidR="003F0E0C">
        <w:rPr>
          <w:rFonts w:cs="Times New Roman"/>
        </w:rPr>
        <w:t>1</w:t>
      </w:r>
      <w:r w:rsidR="00A36DF8">
        <w:rPr>
          <w:rFonts w:cs="Times New Roman"/>
        </w:rPr>
        <w:t>8,66</w:t>
      </w:r>
      <w:r w:rsidR="00354185" w:rsidRPr="00194C4A">
        <w:rPr>
          <w:rFonts w:cs="Times New Roman"/>
        </w:rPr>
        <w:t>%</w:t>
      </w:r>
      <w:r w:rsidR="006E5D43" w:rsidRPr="00194C4A">
        <w:rPr>
          <w:rFonts w:cs="Times New Roman"/>
        </w:rPr>
        <w:t xml:space="preserve">, co będzie spowodowane głównie </w:t>
      </w:r>
      <w:r w:rsidR="001B492E" w:rsidRPr="00194C4A">
        <w:rPr>
          <w:rFonts w:cs="Times New Roman"/>
        </w:rPr>
        <w:t>ogólnym spadkiem zapotrzebowania na energię oraz rozwojem źródeł odnawialnych</w:t>
      </w:r>
      <w:r w:rsidRPr="00194C4A">
        <w:rPr>
          <w:rFonts w:cs="Times New Roman"/>
        </w:rPr>
        <w:t xml:space="preserve">. Prognozę zapotrzebowania na energię pierwotną przedstawiono w tabeli poniżej. </w:t>
      </w:r>
    </w:p>
    <w:p w:rsidR="003A425C" w:rsidRDefault="003A425C" w:rsidP="003F0E0C">
      <w:pPr>
        <w:pStyle w:val="tekst"/>
        <w:rPr>
          <w:rFonts w:cs="Times New Roman"/>
        </w:rPr>
      </w:pPr>
    </w:p>
    <w:p w:rsidR="003A425C" w:rsidRPr="003A425C" w:rsidRDefault="003A425C" w:rsidP="003A425C">
      <w:pPr>
        <w:pStyle w:val="Legenda"/>
        <w:rPr>
          <w:rFonts w:cs="Times New Roman"/>
          <w:sz w:val="20"/>
        </w:rPr>
      </w:pPr>
      <w:bookmarkStart w:id="131" w:name="_Toc77322021"/>
      <w:r w:rsidRPr="003A425C">
        <w:rPr>
          <w:sz w:val="20"/>
        </w:rPr>
        <w:t xml:space="preserve">Tabela </w:t>
      </w:r>
      <w:r w:rsidR="00A05E44" w:rsidRPr="003A425C">
        <w:rPr>
          <w:sz w:val="20"/>
        </w:rPr>
        <w:fldChar w:fldCharType="begin"/>
      </w:r>
      <w:r w:rsidRPr="003A425C">
        <w:rPr>
          <w:sz w:val="20"/>
        </w:rPr>
        <w:instrText xml:space="preserve"> SEQ Tabela \* ARABIC </w:instrText>
      </w:r>
      <w:r w:rsidR="00A05E44" w:rsidRPr="003A425C">
        <w:rPr>
          <w:sz w:val="20"/>
        </w:rPr>
        <w:fldChar w:fldCharType="separate"/>
      </w:r>
      <w:r w:rsidR="00F20FF3">
        <w:rPr>
          <w:noProof/>
          <w:sz w:val="20"/>
        </w:rPr>
        <w:t>19</w:t>
      </w:r>
      <w:r w:rsidR="00A05E44" w:rsidRPr="003A425C">
        <w:rPr>
          <w:sz w:val="20"/>
        </w:rPr>
        <w:fldChar w:fldCharType="end"/>
      </w:r>
      <w:r w:rsidRPr="003A425C">
        <w:rPr>
          <w:sz w:val="20"/>
        </w:rPr>
        <w:t xml:space="preserve"> Energia pierwotna w gminie w podziale na nośniki</w:t>
      </w:r>
      <w:bookmarkEnd w:id="131"/>
    </w:p>
    <w:tbl>
      <w:tblPr>
        <w:tblStyle w:val="Tabelasiatki1jasnaakcent11"/>
        <w:tblW w:w="8934" w:type="dxa"/>
        <w:tblLook w:val="04A0"/>
      </w:tblPr>
      <w:tblGrid>
        <w:gridCol w:w="1931"/>
        <w:gridCol w:w="960"/>
        <w:gridCol w:w="1041"/>
        <w:gridCol w:w="1041"/>
        <w:gridCol w:w="1041"/>
        <w:gridCol w:w="1041"/>
        <w:gridCol w:w="1109"/>
        <w:gridCol w:w="1041"/>
      </w:tblGrid>
      <w:tr w:rsidR="00C06D26" w:rsidRPr="00D44AB6" w:rsidTr="00D44AB6">
        <w:trPr>
          <w:cnfStyle w:val="100000000000"/>
          <w:trHeight w:val="300"/>
        </w:trPr>
        <w:tc>
          <w:tcPr>
            <w:cnfStyle w:val="001000000000"/>
            <w:tcW w:w="1728" w:type="dxa"/>
            <w:noWrap/>
            <w:hideMark/>
          </w:tcPr>
          <w:p w:rsidR="00C06D26" w:rsidRPr="00D44AB6" w:rsidRDefault="00C06D26" w:rsidP="00C06D2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Źródło energii</w:t>
            </w:r>
          </w:p>
        </w:tc>
        <w:tc>
          <w:tcPr>
            <w:tcW w:w="960" w:type="dxa"/>
            <w:noWrap/>
            <w:hideMark/>
          </w:tcPr>
          <w:p w:rsidR="00C06D26" w:rsidRPr="00D44AB6" w:rsidRDefault="00C06D26" w:rsidP="00C06D26">
            <w:pPr>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Wi*</w:t>
            </w:r>
          </w:p>
        </w:tc>
        <w:tc>
          <w:tcPr>
            <w:tcW w:w="10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2020</w:t>
            </w:r>
          </w:p>
        </w:tc>
        <w:tc>
          <w:tcPr>
            <w:tcW w:w="10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2023</w:t>
            </w:r>
          </w:p>
        </w:tc>
        <w:tc>
          <w:tcPr>
            <w:tcW w:w="10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2026</w:t>
            </w:r>
          </w:p>
        </w:tc>
        <w:tc>
          <w:tcPr>
            <w:tcW w:w="10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2029</w:t>
            </w:r>
          </w:p>
        </w:tc>
        <w:tc>
          <w:tcPr>
            <w:tcW w:w="10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2033</w:t>
            </w:r>
          </w:p>
        </w:tc>
        <w:tc>
          <w:tcPr>
            <w:tcW w:w="1041" w:type="dxa"/>
            <w:noWrap/>
            <w:hideMark/>
          </w:tcPr>
          <w:p w:rsidR="00C06D26" w:rsidRPr="00D44AB6" w:rsidRDefault="00C06D26" w:rsidP="00C06D26">
            <w:pPr>
              <w:jc w:val="right"/>
              <w:cnfStyle w:val="1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2036</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ciepło sieciowe</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1,1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347,47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347,47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347,47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347,47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347,47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347,47</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olej opałowy</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1,1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1590,04</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800,8</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węgiel</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1,1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27490,55</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22000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16500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11000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drewno i biomasa</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0,2</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4734,57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4852,93</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4974,25</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5098,61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5226,07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5356,73</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gaz ziemny</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1,1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529,94</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1674,9</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2127,36</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2778,53</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3782,8</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5234,2</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rPr>
              <w:t>gaz płynny</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1,1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3047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3077,47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3108,24</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3139,32</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3170,72</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3202,42</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lang w:val="en-US"/>
              </w:rPr>
              <w:t>energiaelektryczna</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2,5</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5104,39</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46461,71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61104,69</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73493,95</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97723,87</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95955,88</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lang w:val="en-US"/>
              </w:rPr>
              <w:t>kolektorysłoneczne</w:t>
            </w:r>
          </w:p>
        </w:tc>
        <w:tc>
          <w:tcPr>
            <w:tcW w:w="960"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eastAsia="Times New Roman" w:hAnsi="Times New Roman" w:cs="Times New Roman"/>
                <w:color w:val="000000"/>
                <w:sz w:val="22"/>
                <w:szCs w:val="22"/>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0</w:t>
            </w:r>
          </w:p>
        </w:tc>
      </w:tr>
      <w:tr w:rsidR="00D44AB6" w:rsidRPr="00D44AB6" w:rsidTr="00D44AB6">
        <w:trPr>
          <w:trHeight w:val="300"/>
        </w:trPr>
        <w:tc>
          <w:tcPr>
            <w:cnfStyle w:val="001000000000"/>
            <w:tcW w:w="1728" w:type="dxa"/>
            <w:noWrap/>
            <w:hideMark/>
          </w:tcPr>
          <w:p w:rsidR="00D44AB6" w:rsidRPr="00D44AB6" w:rsidRDefault="00D44AB6" w:rsidP="00D44AB6">
            <w:pPr>
              <w:rPr>
                <w:rFonts w:ascii="Times New Roman" w:eastAsia="Times New Roman" w:hAnsi="Times New Roman" w:cs="Times New Roman"/>
                <w:color w:val="000000"/>
              </w:rPr>
            </w:pPr>
            <w:r w:rsidRPr="00D44AB6">
              <w:rPr>
                <w:rFonts w:ascii="Times New Roman" w:eastAsia="Times New Roman" w:hAnsi="Times New Roman" w:cs="Times New Roman"/>
                <w:color w:val="000000"/>
                <w:lang w:val="en-US"/>
              </w:rPr>
              <w:t>Razem [MWh]</w:t>
            </w:r>
          </w:p>
        </w:tc>
        <w:tc>
          <w:tcPr>
            <w:tcW w:w="960" w:type="dxa"/>
            <w:noWrap/>
            <w:hideMark/>
          </w:tcPr>
          <w:p w:rsidR="00D44AB6" w:rsidRPr="00D44AB6" w:rsidRDefault="00D44AB6" w:rsidP="00D44AB6">
            <w:pPr>
              <w:cnfStyle w:val="000000000000"/>
              <w:rPr>
                <w:rFonts w:ascii="Times New Roman" w:eastAsia="Times New Roman" w:hAnsi="Times New Roman" w:cs="Times New Roman"/>
                <w:color w:val="000000"/>
              </w:rPr>
            </w:pP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42843,96</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79215,28</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88162,01</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95857,88</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110250,93</w:t>
            </w:r>
          </w:p>
        </w:tc>
        <w:tc>
          <w:tcPr>
            <w:tcW w:w="1041" w:type="dxa"/>
            <w:noWrap/>
            <w:hideMark/>
          </w:tcPr>
          <w:p w:rsidR="00D44AB6" w:rsidRPr="00D44AB6" w:rsidRDefault="00D44AB6" w:rsidP="00D44AB6">
            <w:pPr>
              <w:jc w:val="right"/>
              <w:cnfStyle w:val="000000000000"/>
              <w:rPr>
                <w:rFonts w:ascii="Times New Roman" w:eastAsia="Times New Roman" w:hAnsi="Times New Roman" w:cs="Times New Roman"/>
                <w:color w:val="000000"/>
                <w:sz w:val="22"/>
                <w:szCs w:val="22"/>
              </w:rPr>
            </w:pPr>
            <w:r w:rsidRPr="00D44AB6">
              <w:rPr>
                <w:rFonts w:ascii="Times New Roman" w:hAnsi="Times New Roman" w:cs="Times New Roman"/>
              </w:rPr>
              <w:t>110096,7</w:t>
            </w:r>
          </w:p>
        </w:tc>
      </w:tr>
    </w:tbl>
    <w:p w:rsidR="00C06D26" w:rsidRDefault="00C06D26" w:rsidP="003A425C">
      <w:pPr>
        <w:pStyle w:val="podpis"/>
        <w:rPr>
          <w:rFonts w:cs="Times New Roman"/>
          <w:sz w:val="22"/>
        </w:rPr>
      </w:pPr>
    </w:p>
    <w:p w:rsidR="003A425C" w:rsidRPr="003A425C" w:rsidRDefault="003A425C" w:rsidP="003A425C">
      <w:pPr>
        <w:pStyle w:val="podpis"/>
        <w:rPr>
          <w:rFonts w:cs="Times New Roman"/>
          <w:sz w:val="22"/>
        </w:rPr>
      </w:pPr>
      <w:r w:rsidRPr="003A425C">
        <w:rPr>
          <w:rFonts w:cs="Times New Roman"/>
          <w:sz w:val="22"/>
        </w:rPr>
        <w:t>*współczynnik określający ilość energii pierwotnej w stosunku do końcowej</w:t>
      </w:r>
    </w:p>
    <w:p w:rsidR="00813678" w:rsidRPr="003F0E0C" w:rsidRDefault="00813678" w:rsidP="00813678">
      <w:pPr>
        <w:pStyle w:val="podpis"/>
        <w:rPr>
          <w:rFonts w:cs="Times New Roman"/>
          <w:b w:val="0"/>
          <w:i/>
          <w:sz w:val="22"/>
        </w:rPr>
      </w:pPr>
      <w:r w:rsidRPr="003F0E0C">
        <w:rPr>
          <w:rFonts w:cs="Times New Roman"/>
          <w:b w:val="0"/>
          <w:i/>
          <w:sz w:val="22"/>
        </w:rPr>
        <w:t>Źródło: Opracowanie własne</w:t>
      </w:r>
      <w:r w:rsidR="00F710FF">
        <w:rPr>
          <w:rFonts w:cs="Times New Roman"/>
          <w:b w:val="0"/>
          <w:i/>
          <w:sz w:val="22"/>
        </w:rPr>
        <w:t>.</w:t>
      </w:r>
    </w:p>
    <w:p w:rsidR="00813678" w:rsidRPr="00194C4A" w:rsidRDefault="00813678" w:rsidP="00813678">
      <w:pPr>
        <w:rPr>
          <w:rFonts w:ascii="Times New Roman" w:hAnsi="Times New Roman" w:cs="Times New Roman"/>
          <w:highlight w:val="yellow"/>
        </w:rPr>
      </w:pPr>
    </w:p>
    <w:p w:rsidR="00535A7E" w:rsidRPr="00194C4A" w:rsidRDefault="00A36DF8" w:rsidP="003A425C">
      <w:pPr>
        <w:pStyle w:val="tekst"/>
        <w:ind w:firstLine="360"/>
        <w:rPr>
          <w:rFonts w:eastAsia="Times New Roman" w:cs="Times New Roman"/>
          <w:b/>
          <w:bCs/>
          <w:color w:val="000000"/>
          <w:sz w:val="32"/>
          <w:szCs w:val="26"/>
          <w:highlight w:val="yellow"/>
        </w:rPr>
      </w:pPr>
      <w:r>
        <w:rPr>
          <w:rFonts w:cs="Times New Roman"/>
        </w:rPr>
        <w:t>Warto zaznaczyć</w:t>
      </w:r>
      <w:r w:rsidR="00F710FF">
        <w:rPr>
          <w:rFonts w:cs="Times New Roman"/>
        </w:rPr>
        <w:t>,</w:t>
      </w:r>
      <w:r>
        <w:rPr>
          <w:rFonts w:cs="Times New Roman"/>
        </w:rPr>
        <w:t xml:space="preserve"> iż ostatnie trzy pozycje </w:t>
      </w:r>
      <w:r w:rsidR="00F710FF">
        <w:rPr>
          <w:rFonts w:cs="Times New Roman"/>
        </w:rPr>
        <w:t xml:space="preserve">w tabeli </w:t>
      </w:r>
      <w:r>
        <w:rPr>
          <w:rFonts w:cs="Times New Roman"/>
        </w:rPr>
        <w:t>zostały ujęte z przeciwnym znakiem. Oznacza to</w:t>
      </w:r>
      <w:r w:rsidR="00F710FF">
        <w:rPr>
          <w:rFonts w:cs="Times New Roman"/>
        </w:rPr>
        <w:t>,</w:t>
      </w:r>
      <w:r>
        <w:rPr>
          <w:rFonts w:cs="Times New Roman"/>
        </w:rPr>
        <w:t xml:space="preserve"> iż poprawiają one bilans zapotrzebowania na energię  w gminie. Wyższy spadek zapotrzebowania na energię pierwotną niż końcową wiąże się również z prognozowanym wyższym udziałem biomasy w prezentowanej prognozie. Współczynnik energii pierwotnej dla biomasy jest równy 0,2 co za tym idzie zwiększony udział biomasy w lokalnym miksie energetycznym powoduje iż energii pierwotnej ze źródeł nieodnawialnych w gminie potrzeba mniej.</w:t>
      </w:r>
    </w:p>
    <w:p w:rsidR="0037670E" w:rsidRPr="00194C4A" w:rsidRDefault="008F311F" w:rsidP="008F311F">
      <w:pPr>
        <w:pStyle w:val="Nagwek1"/>
        <w:rPr>
          <w:rFonts w:ascii="Times New Roman" w:hAnsi="Times New Roman" w:cs="Times New Roman"/>
        </w:rPr>
      </w:pPr>
      <w:bookmarkStart w:id="132" w:name="_Toc77321967"/>
      <w:r>
        <w:rPr>
          <w:rFonts w:ascii="Times New Roman" w:hAnsi="Times New Roman" w:cs="Times New Roman"/>
        </w:rPr>
        <w:t xml:space="preserve">5. </w:t>
      </w:r>
      <w:r w:rsidR="0037670E" w:rsidRPr="00194C4A">
        <w:rPr>
          <w:rFonts w:ascii="Times New Roman" w:hAnsi="Times New Roman" w:cs="Times New Roman"/>
        </w:rPr>
        <w:t>Współpraca z innymi gminami</w:t>
      </w:r>
      <w:bookmarkEnd w:id="132"/>
    </w:p>
    <w:p w:rsidR="006253F0" w:rsidRDefault="00327190" w:rsidP="006253F0">
      <w:pPr>
        <w:pStyle w:val="tekst"/>
      </w:pPr>
      <w:bookmarkStart w:id="133" w:name="_Toc419273671"/>
      <w:bookmarkStart w:id="134" w:name="_Ref422211462"/>
      <w:r>
        <w:rPr>
          <w:rFonts w:cs="Times New Roman"/>
        </w:rPr>
        <w:t xml:space="preserve"> </w:t>
      </w:r>
    </w:p>
    <w:p w:rsidR="006253F0" w:rsidRDefault="006253F0" w:rsidP="006253F0">
      <w:pPr>
        <w:pStyle w:val="tekst"/>
      </w:pPr>
      <w:r>
        <w:t xml:space="preserve">Gmina </w:t>
      </w:r>
      <w:r w:rsidR="001D24CB">
        <w:t>Wieliczki</w:t>
      </w:r>
      <w:r>
        <w:t xml:space="preserve"> może również podjąć głębszą współpracę ze swoimi sąsiadami w zakresie gospodarki energetycznej. Ustawa o odnawialnych źródłach energii daje możliwość powołania do życia klastra energetycznego lub spółdzielni energetycznej.</w:t>
      </w:r>
      <w:r w:rsidR="00327190">
        <w:t xml:space="preserve"> </w:t>
      </w:r>
    </w:p>
    <w:p w:rsidR="006253F0" w:rsidRDefault="006253F0" w:rsidP="006253F0">
      <w:pPr>
        <w:pStyle w:val="Nagwek4"/>
        <w:rPr>
          <w:b/>
          <w:color w:val="000000"/>
        </w:rPr>
      </w:pPr>
      <w:r w:rsidRPr="006253F0">
        <w:lastRenderedPageBreak/>
        <w:t>Klastry</w:t>
      </w:r>
      <w:r w:rsidR="00023172">
        <w:t xml:space="preserve"> </w:t>
      </w:r>
      <w:r w:rsidRPr="006253F0">
        <w:t>energii</w:t>
      </w:r>
      <w:r w:rsidRPr="006253F0">
        <w:rPr>
          <w:rStyle w:val="Nagwek4Znak"/>
        </w:rPr>
        <w:t>.</w:t>
      </w:r>
    </w:p>
    <w:p w:rsidR="006253F0" w:rsidRPr="00FD7053" w:rsidRDefault="006253F0" w:rsidP="006253F0">
      <w:pPr>
        <w:pStyle w:val="tekst"/>
      </w:pPr>
      <w:r w:rsidRPr="00FD7053">
        <w:t>Klaster energii można opisać jako porozumienie działających lokalnie podmiotów zajmujących się wytwarzaniem, konsumpcją, magazynowaniem i sprzedażą: energii elektrycznej, ciepła, chłodu, energii elektrycznej w transporcie oraz paliw.</w:t>
      </w:r>
    </w:p>
    <w:p w:rsidR="006253F0" w:rsidRPr="00FD7053" w:rsidRDefault="006253F0" w:rsidP="006253F0">
      <w:pPr>
        <w:pStyle w:val="tekst"/>
        <w:rPr>
          <w:rFonts w:eastAsia="Times New Roman"/>
        </w:rPr>
      </w:pPr>
      <w:r w:rsidRPr="00FD7053">
        <w:rPr>
          <w:rFonts w:eastAsia="Times New Roman"/>
        </w:rPr>
        <w:t>Formuła klastra jest na tyle elastyczna, że pozwala uczestnikom budować zindywidualizowany model biznesowy działania klastra oraz optymalnie dobrać formę praw</w:t>
      </w:r>
      <w:r w:rsidRPr="00FD7053">
        <w:rPr>
          <w:rFonts w:eastAsia="Times New Roman"/>
        </w:rPr>
        <w:softHyphen/>
        <w:t>ną jego działalności. Członkowie klastra nie muszą rezygnować z dotychczas pro</w:t>
      </w:r>
      <w:r w:rsidRPr="00FD7053">
        <w:rPr>
          <w:rFonts w:eastAsia="Times New Roman"/>
        </w:rPr>
        <w:softHyphen/>
        <w:t>wadzonej działalności, lecz poprzez współpracę – wszędzie tam, gdzie przynosi to im i pozostałym uczestnikom klastra korzyści, generują wartość dodaną dla lokalnej społeczności. Przyłączanie się lub odłączanie od klastra może, ale nie musi ważąco wpływać na działalność pozostałych członków.</w:t>
      </w:r>
    </w:p>
    <w:p w:rsidR="006253F0" w:rsidRPr="00FD7053" w:rsidRDefault="006253F0" w:rsidP="006253F0">
      <w:pPr>
        <w:pStyle w:val="tekst"/>
        <w:rPr>
          <w:rFonts w:eastAsia="Times New Roman"/>
        </w:rPr>
      </w:pPr>
      <w:r w:rsidRPr="00FD7053">
        <w:rPr>
          <w:rFonts w:eastAsia="Times New Roman"/>
        </w:rPr>
        <w:t xml:space="preserve">Definicja klastra energii wprowadzona została do polskiego porządku prawnego ustawą z dnia 22 czerwca 2016 r. o zmianie ustawy o odnawialnych źródłach energii oraz niektórych innych ustaw (Dz. U. </w:t>
      </w:r>
      <w:r w:rsidR="001D24CB">
        <w:rPr>
          <w:rFonts w:eastAsia="Times New Roman"/>
        </w:rPr>
        <w:t xml:space="preserve">2025 </w:t>
      </w:r>
      <w:r w:rsidRPr="00FD7053">
        <w:rPr>
          <w:rFonts w:eastAsia="Times New Roman"/>
        </w:rPr>
        <w:t xml:space="preserve">poz. </w:t>
      </w:r>
      <w:r w:rsidR="001D24CB">
        <w:rPr>
          <w:rFonts w:eastAsia="Times New Roman"/>
        </w:rPr>
        <w:t>204 ze zm.</w:t>
      </w:r>
      <w:r w:rsidRPr="00FD7053">
        <w:rPr>
          <w:rFonts w:eastAsia="Times New Roman"/>
        </w:rPr>
        <w:t>). Formalnie klastrem energii określamy cywilnoprawne porozumienie, czyli zawartą przez uczestników umowę. Umowę mogą zawrzeć osoby fizyczne, osoby prawne, jednostki naukowe, instytuty badawcze, a także jednostki samorządu terytorialnego. Jej przedmiotem jest wytwarzanie i równoważenie zapotrzebowania, dystrybucja, obrót energią (w tym z odnawialnych źródeł) lub wybrane przez członków klastra poszczególne elementy. Działalność klastra mieści się w ramach sie</w:t>
      </w:r>
      <w:r w:rsidRPr="00FD7053">
        <w:rPr>
          <w:rFonts w:eastAsia="Times New Roman"/>
        </w:rPr>
        <w:softHyphen/>
        <w:t>ci dystrybucyjnej o napięciu znamionowym niższym niż 110 kV. Obszar działania klastra nie powinien przekraczać granic obszaru gospodarczego, którym w Polsce najczęściej jest powiat. Klaster energii reprezentuje koordynator. Jest to dowolny członek klastra energii lub specjalnie powołana w tym celu spółdzielnia, stowarzyszenie, fundacja itp.</w:t>
      </w:r>
    </w:p>
    <w:p w:rsidR="006253F0" w:rsidRPr="00FD7053" w:rsidRDefault="006253F0" w:rsidP="006253F0">
      <w:pPr>
        <w:pStyle w:val="tekst"/>
        <w:rPr>
          <w:rFonts w:eastAsia="Times New Roman"/>
        </w:rPr>
      </w:pPr>
      <w:r w:rsidRPr="00FD7053">
        <w:rPr>
          <w:rFonts w:eastAsia="Times New Roman"/>
        </w:rPr>
        <w:t>Celem klastrów energii jest rozwój energetyki rozproszonej. Służą one poprawie lokalnego bezpieczeństwa energetycznego w sposób zapewniający uzyskanie efektywności ekonomicznej, w sposób przyjazny dla środowiska zapewniając optymalne warunki organizacyjne, prawne i finansowe. Klastry energii umożliwiają wykorzystanie miejscowych zasobów i potencjału energetyki krajowej. Sprzyjają wdrażaniu najnowszych technologii tam, gdzie są one użyteczne i opłacalne.</w:t>
      </w:r>
    </w:p>
    <w:p w:rsidR="006253F0" w:rsidRDefault="006253F0" w:rsidP="006253F0">
      <w:pPr>
        <w:pStyle w:val="tekst"/>
        <w:rPr>
          <w:rFonts w:eastAsia="Times New Roman"/>
        </w:rPr>
      </w:pPr>
      <w:r w:rsidRPr="00FD7053">
        <w:rPr>
          <w:rFonts w:eastAsia="Times New Roman"/>
          <w:color w:val="1B1B1B"/>
        </w:rPr>
        <w:t xml:space="preserve">Skuteczność klastrów energii zależy od racjonalnego i efektywnego wykorzystania potencjału: lokalnie </w:t>
      </w:r>
      <w:r w:rsidRPr="00FD7053">
        <w:rPr>
          <w:rFonts w:eastAsia="Times New Roman"/>
        </w:rPr>
        <w:t xml:space="preserve">dostępnych </w:t>
      </w:r>
      <w:r w:rsidRPr="006253F0">
        <w:t>surowców</w:t>
      </w:r>
      <w:r w:rsidRPr="00FD7053">
        <w:rPr>
          <w:rFonts w:eastAsia="Times New Roman"/>
        </w:rPr>
        <w:t xml:space="preserve"> energetycznych, odnawialnych źródeł energii, innowacji, przedsiębiorczości w obszarze wytwarzania, przesyłu, dystrybucji, a także zarządzania odbiorem energii</w:t>
      </w:r>
      <w:r>
        <w:rPr>
          <w:rFonts w:eastAsia="Times New Roman"/>
        </w:rPr>
        <w:t>.</w:t>
      </w:r>
    </w:p>
    <w:p w:rsidR="006253F0" w:rsidRDefault="006253F0" w:rsidP="006253F0">
      <w:pPr>
        <w:pStyle w:val="Nagwek4"/>
        <w:rPr>
          <w:rFonts w:eastAsiaTheme="minorEastAsia"/>
        </w:rPr>
      </w:pPr>
      <w:r>
        <w:rPr>
          <w:rFonts w:eastAsiaTheme="minorEastAsia"/>
        </w:rPr>
        <w:t>Spółdzielnia energetyczna.</w:t>
      </w:r>
    </w:p>
    <w:p w:rsidR="006253F0" w:rsidRDefault="006253F0" w:rsidP="006253F0">
      <w:pPr>
        <w:pStyle w:val="tekst"/>
        <w:rPr>
          <w:shd w:val="clear" w:color="auto" w:fill="FFFFFF"/>
        </w:rPr>
      </w:pPr>
      <w:r>
        <w:rPr>
          <w:shd w:val="clear" w:color="auto" w:fill="FFFFFF"/>
        </w:rPr>
        <w:t>Zgodnie z art. 38f ustawy z dnia 20 lutego 2015 r. o odnawialnych</w:t>
      </w:r>
      <w:r w:rsidR="001D24CB">
        <w:rPr>
          <w:shd w:val="clear" w:color="auto" w:fill="FFFFFF"/>
        </w:rPr>
        <w:t xml:space="preserve"> źródłach energii (Dz. U. z 2025 r. poz. 204</w:t>
      </w:r>
      <w:r>
        <w:rPr>
          <w:shd w:val="clear" w:color="auto" w:fill="FFFFFF"/>
        </w:rPr>
        <w:t>, z późn. zm.), spółdzielnia energetyczna może podjąć działalność w zakresie wytwarzania energii elektrycznej lub biogazu, lub ciepła, w instalacjach odnawialnego źródła energii, stanowiących własność spółdzielni energetycznej lub jej członków, po zamieszczeniu jej danych w wykazie spółdzielni energetycznych, prowadzonym przez Dyrektora Generalnego KOWR.</w:t>
      </w:r>
    </w:p>
    <w:p w:rsidR="006253F0" w:rsidRDefault="006253F0" w:rsidP="006253F0">
      <w:pPr>
        <w:pStyle w:val="tekst"/>
      </w:pPr>
      <w:r>
        <w:t>Spółdzielnie energetyczne mogą powstawać na</w:t>
      </w:r>
      <w:r w:rsidR="001D24CB">
        <w:t xml:space="preserve"> </w:t>
      </w:r>
      <w:r>
        <w:t>obszarze gminy wiejskiej lub miejsko</w:t>
      </w:r>
      <w:r w:rsidR="00AC0536">
        <w:t>-</w:t>
      </w:r>
      <w:r>
        <w:t xml:space="preserve">wiejskiej w rozumieniu przepisów o statystyce publicznej lub na obszarze nie więcej niż </w:t>
      </w:r>
      <w:r w:rsidR="00AC0536">
        <w:t>trzy</w:t>
      </w:r>
      <w:r>
        <w:t xml:space="preserve"> tego </w:t>
      </w:r>
      <w:r>
        <w:lastRenderedPageBreak/>
        <w:t>rodzaju gminy bezpośrednio sąsiadujące ze sobą</w:t>
      </w:r>
      <w:r w:rsidR="00DB19BF">
        <w:t xml:space="preserve">. Członkowie spółdzielni są </w:t>
      </w:r>
      <w:r w:rsidR="00891319">
        <w:t xml:space="preserve">zlokalizowani </w:t>
      </w:r>
      <w:r w:rsidR="00DB19BF">
        <w:t>na terenie</w:t>
      </w:r>
      <w:r>
        <w:t xml:space="preserve"> jednego operatora systemu dystrybucyjnego elektroenergetycznego lub sieci dystrybucyjnej gazowej lub ciepłowniczej, zaopatrujących w energię elektryczną, biogaz lub ciepło wytwórców i odbiorców będących członkami tej spółdzielni, których instalacje są przyłączone do sieci danego operatora lub do danej sieci ciepłowniczej</w:t>
      </w:r>
      <w:r w:rsidR="00DB19BF">
        <w:t>. O</w:t>
      </w:r>
      <w:r>
        <w:t>bszar działania spółdzielni energetycznej ustala się na podstawie miejsc przyłączenia wytwórców i odbiorców będących członkami tej spółdzielni do sieci dystrybucyjnej elektroenergetycznej lub sieci dystrybucyjnej gazowej lub sieci ciepłowniczej.</w:t>
      </w:r>
    </w:p>
    <w:p w:rsidR="00DB19BF" w:rsidRPr="00DB19BF" w:rsidRDefault="00DB19BF" w:rsidP="00DB19BF">
      <w:pPr>
        <w:pStyle w:val="tekst"/>
      </w:pPr>
      <w:r w:rsidRPr="00DB19BF">
        <w:t>W ramach preferencji, spółdzielnie energetyczne rozliczają się ze sprzedawcą energii w systemie </w:t>
      </w:r>
      <w:hyperlink r:id="rId62" w:history="1">
        <w:r w:rsidRPr="00DB19BF">
          <w:rPr>
            <w:rStyle w:val="Hipercze"/>
            <w:color w:val="auto"/>
            <w:u w:val="none"/>
          </w:rPr>
          <w:t>prosumenckim</w:t>
        </w:r>
      </w:hyperlink>
      <w:r w:rsidRPr="00DB19BF">
        <w:t>, na podstawie </w:t>
      </w:r>
      <w:r w:rsidRPr="00DB19BF">
        <w:rPr>
          <w:rStyle w:val="Pogrubienie"/>
          <w:b w:val="0"/>
          <w:bCs w:val="0"/>
        </w:rPr>
        <w:t>opustów</w:t>
      </w:r>
      <w:r w:rsidRPr="00DB19BF">
        <w:t>. Sprzedawca energii elektrycznej dokonuje rozliczenia energii, wprowadzonej i pobranej do sieci elektroenergetycznej, ze spółdzielni</w:t>
      </w:r>
      <w:r w:rsidR="00D35200">
        <w:t>ą</w:t>
      </w:r>
      <w:r w:rsidRPr="00DB19BF">
        <w:t xml:space="preserve"> energetyczną na podstawie danych pomiarowych pobranych przez OSD </w:t>
      </w:r>
      <w:r w:rsidRPr="00DB19BF">
        <w:rPr>
          <w:rStyle w:val="Pogrubienie"/>
          <w:b w:val="0"/>
          <w:bCs w:val="0"/>
        </w:rPr>
        <w:t>od wszystkich wytwórców i odbiorców energii elektrycznej zrzeszonych w spółdzielni elektrycznej</w:t>
      </w:r>
      <w:r w:rsidRPr="00DB19BF">
        <w:t>. Rozliczenie odbywa si</w:t>
      </w:r>
      <w:r w:rsidR="00D35200">
        <w:t>ę</w:t>
      </w:r>
      <w:r w:rsidRPr="00DB19BF">
        <w:t xml:space="preserve"> w </w:t>
      </w:r>
      <w:r w:rsidRPr="00DB19BF">
        <w:rPr>
          <w:rStyle w:val="Pogrubienie"/>
          <w:b w:val="0"/>
          <w:bCs w:val="0"/>
        </w:rPr>
        <w:t>stosunku ilościowym 1 do 0,6</w:t>
      </w:r>
      <w:r w:rsidRPr="00DB19BF">
        <w:t>.</w:t>
      </w:r>
    </w:p>
    <w:p w:rsidR="00336374" w:rsidRPr="00194C4A" w:rsidRDefault="008F311F" w:rsidP="008F311F">
      <w:pPr>
        <w:pStyle w:val="Nagwek1"/>
        <w:rPr>
          <w:rFonts w:ascii="Times New Roman" w:hAnsi="Times New Roman" w:cs="Times New Roman"/>
          <w:sz w:val="32"/>
          <w:szCs w:val="26"/>
        </w:rPr>
      </w:pPr>
      <w:bookmarkStart w:id="135" w:name="_Toc77321968"/>
      <w:r>
        <w:rPr>
          <w:rFonts w:ascii="Times New Roman" w:hAnsi="Times New Roman" w:cs="Times New Roman"/>
        </w:rPr>
        <w:t xml:space="preserve">6. </w:t>
      </w:r>
      <w:r w:rsidR="00336374" w:rsidRPr="00194C4A">
        <w:rPr>
          <w:rFonts w:ascii="Times New Roman" w:hAnsi="Times New Roman" w:cs="Times New Roman"/>
        </w:rPr>
        <w:t xml:space="preserve">Ocena zaopatrzenia gminy </w:t>
      </w:r>
      <w:r w:rsidR="001D24CB">
        <w:rPr>
          <w:rFonts w:ascii="Times New Roman" w:hAnsi="Times New Roman" w:cs="Times New Roman"/>
        </w:rPr>
        <w:t>Wieliczki</w:t>
      </w:r>
      <w:r w:rsidR="00336374" w:rsidRPr="00194C4A">
        <w:rPr>
          <w:rFonts w:ascii="Times New Roman" w:hAnsi="Times New Roman" w:cs="Times New Roman"/>
        </w:rPr>
        <w:t xml:space="preserve"> w ciepło, energię elektryczną i paliwa gazowe oraz kierunki polityki energetycznej gminy</w:t>
      </w:r>
      <w:bookmarkEnd w:id="135"/>
    </w:p>
    <w:p w:rsidR="00336374" w:rsidRPr="00194C4A" w:rsidRDefault="008F311F" w:rsidP="008F311F">
      <w:pPr>
        <w:pStyle w:val="Nagwek2"/>
        <w:rPr>
          <w:rFonts w:ascii="Times New Roman" w:hAnsi="Times New Roman" w:cs="Times New Roman"/>
        </w:rPr>
      </w:pPr>
      <w:bookmarkStart w:id="136" w:name="_Toc77321969"/>
      <w:r>
        <w:rPr>
          <w:rFonts w:ascii="Times New Roman" w:hAnsi="Times New Roman" w:cs="Times New Roman"/>
        </w:rPr>
        <w:t xml:space="preserve">6.1 </w:t>
      </w:r>
      <w:r w:rsidR="00336374" w:rsidRPr="00194C4A">
        <w:rPr>
          <w:rFonts w:ascii="Times New Roman" w:hAnsi="Times New Roman" w:cs="Times New Roman"/>
        </w:rPr>
        <w:t>Ocena stanu zaopatrzenia</w:t>
      </w:r>
      <w:bookmarkEnd w:id="136"/>
    </w:p>
    <w:p w:rsidR="00E55108" w:rsidRPr="00194C4A" w:rsidRDefault="00E55108" w:rsidP="00E55108">
      <w:pPr>
        <w:pStyle w:val="tekst"/>
        <w:rPr>
          <w:rFonts w:cs="Times New Roman"/>
        </w:rPr>
      </w:pPr>
      <w:r w:rsidRPr="00194C4A">
        <w:rPr>
          <w:rFonts w:cs="Times New Roman"/>
        </w:rPr>
        <w:t>Stan zaopatrzenia gminy jest stabilny, a zapotrzebowanie na ciepło i energię elektryczną jest zaspokajane. Istnieją jednakże bariery związane z zaopatrzeniem warunkujące planowany rozwój gminy. Bariery te dotyczą możliwości zastąpienia wysokoemisyjnych źródeł ciepła poprzez źródła niskoemisyjne.</w:t>
      </w:r>
    </w:p>
    <w:p w:rsidR="00E55108" w:rsidRPr="00194C4A" w:rsidRDefault="00E55108" w:rsidP="00E55108">
      <w:pPr>
        <w:pStyle w:val="tekst"/>
        <w:rPr>
          <w:rFonts w:cs="Times New Roman"/>
        </w:rPr>
      </w:pPr>
      <w:r w:rsidRPr="00194C4A">
        <w:rPr>
          <w:rFonts w:cs="Times New Roman"/>
        </w:rPr>
        <w:t xml:space="preserve">Na terenie gminy </w:t>
      </w:r>
      <w:r w:rsidR="001D24CB">
        <w:rPr>
          <w:rFonts w:cs="Times New Roman"/>
        </w:rPr>
        <w:t>Wieliczki</w:t>
      </w:r>
      <w:r w:rsidRPr="00194C4A">
        <w:rPr>
          <w:rFonts w:cs="Times New Roman"/>
        </w:rPr>
        <w:t xml:space="preserve"> istnieje szczątkowy system zaopatrzenia w</w:t>
      </w:r>
      <w:r w:rsidR="0018465B" w:rsidRPr="00194C4A">
        <w:rPr>
          <w:rFonts w:cs="Times New Roman"/>
        </w:rPr>
        <w:t> </w:t>
      </w:r>
      <w:r w:rsidRPr="00194C4A">
        <w:rPr>
          <w:rFonts w:cs="Times New Roman"/>
        </w:rPr>
        <w:t>ciepło</w:t>
      </w:r>
      <w:r w:rsidR="00396CC1">
        <w:rPr>
          <w:rFonts w:cs="Times New Roman"/>
        </w:rPr>
        <w:t xml:space="preserve"> w </w:t>
      </w:r>
      <w:r w:rsidR="00954B30">
        <w:rPr>
          <w:rFonts w:cs="Times New Roman"/>
        </w:rPr>
        <w:t>Wieliczkach</w:t>
      </w:r>
      <w:r w:rsidRPr="00194C4A">
        <w:rPr>
          <w:rFonts w:cs="Times New Roman"/>
        </w:rPr>
        <w:t xml:space="preserve">. </w:t>
      </w:r>
      <w:r w:rsidR="00396CC1">
        <w:rPr>
          <w:rFonts w:cs="Times New Roman"/>
        </w:rPr>
        <w:t>W niewielkim procencie na terenie gminy dostępny jest gaz ziemny. Z</w:t>
      </w:r>
      <w:r w:rsidRPr="00194C4A">
        <w:rPr>
          <w:rFonts w:cs="Times New Roman"/>
        </w:rPr>
        <w:t>aopatrzenie</w:t>
      </w:r>
      <w:r w:rsidR="00396CC1">
        <w:rPr>
          <w:rFonts w:cs="Times New Roman"/>
        </w:rPr>
        <w:t xml:space="preserve"> w ciepło</w:t>
      </w:r>
      <w:r w:rsidRPr="00194C4A">
        <w:rPr>
          <w:rFonts w:cs="Times New Roman"/>
        </w:rPr>
        <w:t xml:space="preserve"> odbywa się w oparciu o</w:t>
      </w:r>
      <w:r w:rsidR="0018465B" w:rsidRPr="00194C4A">
        <w:rPr>
          <w:rFonts w:cs="Times New Roman"/>
        </w:rPr>
        <w:t> </w:t>
      </w:r>
      <w:r w:rsidRPr="00194C4A">
        <w:rPr>
          <w:rFonts w:cs="Times New Roman"/>
        </w:rPr>
        <w:t>źródła indywidualne – najczęściej zasypowe kotły węglowe, co wiąże się z wysoką emisją zanieczyszczeń do powietrza. Stan budynków indywidualnych oraz publicznych ulega stałej poprawie i obecnie można uznać je za dostateczny, jednakże ciągle istnieje możliwość znacznej poprawy. Obecny stan zaopatrzenia w ciepło niesie za sobą wysoki stopień odziaływania na środowisko poprzez emisję zanieczyszczeń pyłowych i gazów cieplarnianych, a ponadto niską efektywność energetyczną spowodowaną stosowaniem mało efektywnych źródeł ciepła oraz niedostateczną termomodernizacją budynków. Efektem końcowym są zagrożenia dotykające gminę</w:t>
      </w:r>
      <w:r w:rsidR="005161CD">
        <w:rPr>
          <w:rFonts w:cs="Times New Roman"/>
        </w:rPr>
        <w:t>,</w:t>
      </w:r>
      <w:r w:rsidRPr="00194C4A">
        <w:rPr>
          <w:rFonts w:cs="Times New Roman"/>
        </w:rPr>
        <w:t xml:space="preserve"> takie jak np. zjawisko „ubóstwa energetycznego”, które dotyka część mieszkańców i</w:t>
      </w:r>
      <w:r w:rsidR="0018465B" w:rsidRPr="00194C4A">
        <w:rPr>
          <w:rFonts w:cs="Times New Roman"/>
        </w:rPr>
        <w:t> </w:t>
      </w:r>
      <w:r w:rsidRPr="00194C4A">
        <w:rPr>
          <w:rFonts w:cs="Times New Roman"/>
        </w:rPr>
        <w:t>sprowadza się do niemożności ogrzania powierzchni użytkowej do temperatury komfortu cieplnego (zakładanego jako 20 ºC). Taki stan rzeczy jest spowodowany nie tyle ubóstwem majątkowym</w:t>
      </w:r>
      <w:r w:rsidR="00663C26">
        <w:rPr>
          <w:rFonts w:cs="Times New Roman"/>
        </w:rPr>
        <w:t>,</w:t>
      </w:r>
      <w:r w:rsidRPr="00194C4A">
        <w:rPr>
          <w:rFonts w:cs="Times New Roman"/>
        </w:rPr>
        <w:t xml:space="preserve"> co względnie dużą powierzchnią budynków (zwłaszcza jednorodzinnych) przy jednocześnie dużych potrzebach energetycznych spowodowanych brakiem termoizolacji czy niską sprawnością urządzeń grzewczych. Problem ubóstwa może być pogłębiany wraz z prognozowanym wzrostem cen nośników energetycznych oraz podniesieniem wymagań w stosunku </w:t>
      </w:r>
      <w:r w:rsidRPr="00194C4A">
        <w:rPr>
          <w:rFonts w:cs="Times New Roman"/>
        </w:rPr>
        <w:lastRenderedPageBreak/>
        <w:t>do urządzeń grzewczych. Konieczne przeciwdziałania to przede wszystkim zmniejszenie zapotrzebowania na energię oraz stosowanie ekonomicznych i czystych nośników energii.</w:t>
      </w:r>
    </w:p>
    <w:p w:rsidR="009B7248" w:rsidRPr="00194C4A" w:rsidRDefault="00831905" w:rsidP="00336374">
      <w:pPr>
        <w:pStyle w:val="tekst"/>
        <w:rPr>
          <w:rFonts w:cs="Times New Roman"/>
        </w:rPr>
      </w:pPr>
      <w:r w:rsidRPr="00194C4A">
        <w:rPr>
          <w:rFonts w:cs="Times New Roman"/>
        </w:rPr>
        <w:t>Zaopatrzenie w energię elektryczną na terenie gminy odbywa się poprzez sieć elektroenergetyczną średniego i niskiego napięcia wyprowadzon</w:t>
      </w:r>
      <w:r w:rsidR="009C1C4D" w:rsidRPr="00194C4A">
        <w:rPr>
          <w:rFonts w:cs="Times New Roman"/>
        </w:rPr>
        <w:t xml:space="preserve">ą z </w:t>
      </w:r>
      <w:r w:rsidR="009F50AE" w:rsidRPr="00194C4A">
        <w:rPr>
          <w:rFonts w:cs="Times New Roman"/>
        </w:rPr>
        <w:t xml:space="preserve">2 </w:t>
      </w:r>
      <w:r w:rsidR="009C1C4D" w:rsidRPr="00194C4A">
        <w:rPr>
          <w:rFonts w:cs="Times New Roman"/>
        </w:rPr>
        <w:t>główn</w:t>
      </w:r>
      <w:r w:rsidR="00DA586A" w:rsidRPr="00194C4A">
        <w:rPr>
          <w:rFonts w:cs="Times New Roman"/>
        </w:rPr>
        <w:t>ych</w:t>
      </w:r>
      <w:r w:rsidR="009C1C4D" w:rsidRPr="00194C4A">
        <w:rPr>
          <w:rFonts w:cs="Times New Roman"/>
        </w:rPr>
        <w:t xml:space="preserve"> punkt</w:t>
      </w:r>
      <w:r w:rsidR="00DA586A" w:rsidRPr="00194C4A">
        <w:rPr>
          <w:rFonts w:cs="Times New Roman"/>
        </w:rPr>
        <w:t>ów</w:t>
      </w:r>
      <w:r w:rsidR="009C1C4D" w:rsidRPr="00194C4A">
        <w:rPr>
          <w:rFonts w:cs="Times New Roman"/>
        </w:rPr>
        <w:t xml:space="preserve"> zasilania </w:t>
      </w:r>
      <w:r w:rsidR="00DA586A" w:rsidRPr="00194C4A">
        <w:rPr>
          <w:rFonts w:cs="Times New Roman"/>
        </w:rPr>
        <w:t xml:space="preserve">zlokalizowanych w miejscowości </w:t>
      </w:r>
      <w:r w:rsidR="00954B30">
        <w:rPr>
          <w:rFonts w:cs="Times New Roman"/>
        </w:rPr>
        <w:t xml:space="preserve">Wieliczki </w:t>
      </w:r>
      <w:r w:rsidRPr="00194C4A">
        <w:rPr>
          <w:rFonts w:cs="Times New Roman"/>
        </w:rPr>
        <w:t>(GPZ).</w:t>
      </w:r>
      <w:r w:rsidR="009B7248" w:rsidRPr="00194C4A">
        <w:rPr>
          <w:rFonts w:cs="Times New Roman"/>
        </w:rPr>
        <w:t xml:space="preserve"> Stan sieci elektroenergetycznej </w:t>
      </w:r>
      <w:r w:rsidR="00E55108" w:rsidRPr="00194C4A">
        <w:rPr>
          <w:rFonts w:cs="Times New Roman"/>
        </w:rPr>
        <w:t>na terenie gminy można uznać za zadowalający. Z</w:t>
      </w:r>
      <w:r w:rsidR="009B7248" w:rsidRPr="00194C4A">
        <w:rPr>
          <w:rFonts w:cs="Times New Roman"/>
        </w:rPr>
        <w:t>akłada się wzrost zapotrzebowania na energię elektryczną w gminie w sektorze produkcyjnym.</w:t>
      </w:r>
    </w:p>
    <w:p w:rsidR="00EB371C" w:rsidRPr="00194C4A" w:rsidRDefault="00E55108" w:rsidP="00336374">
      <w:pPr>
        <w:pStyle w:val="tekst"/>
        <w:rPr>
          <w:rFonts w:cs="Times New Roman"/>
        </w:rPr>
      </w:pPr>
      <w:r w:rsidRPr="00194C4A">
        <w:rPr>
          <w:rFonts w:cs="Times New Roman"/>
        </w:rPr>
        <w:t>W odniesieniu do sieci gazowej istnieją znaczne rezerwy przepustowości gazociągów i</w:t>
      </w:r>
      <w:r w:rsidR="0018465B" w:rsidRPr="00194C4A">
        <w:rPr>
          <w:rFonts w:cs="Times New Roman"/>
        </w:rPr>
        <w:t> </w:t>
      </w:r>
      <w:r w:rsidRPr="00194C4A">
        <w:rPr>
          <w:rFonts w:cs="Times New Roman"/>
        </w:rPr>
        <w:t>możliwość ich rozbudowy.</w:t>
      </w:r>
    </w:p>
    <w:p w:rsidR="009A45AB" w:rsidRPr="00194C4A" w:rsidRDefault="008F311F" w:rsidP="008F311F">
      <w:pPr>
        <w:pStyle w:val="Nagwek2"/>
        <w:rPr>
          <w:rFonts w:ascii="Times New Roman" w:hAnsi="Times New Roman" w:cs="Times New Roman"/>
        </w:rPr>
      </w:pPr>
      <w:bookmarkStart w:id="137" w:name="_Toc419273679"/>
      <w:bookmarkStart w:id="138" w:name="_Toc77321970"/>
      <w:bookmarkEnd w:id="133"/>
      <w:bookmarkEnd w:id="134"/>
      <w:r>
        <w:rPr>
          <w:rFonts w:ascii="Times New Roman" w:hAnsi="Times New Roman" w:cs="Times New Roman"/>
        </w:rPr>
        <w:t xml:space="preserve">6.2 </w:t>
      </w:r>
      <w:r w:rsidR="009A45AB" w:rsidRPr="00194C4A">
        <w:rPr>
          <w:rFonts w:ascii="Times New Roman" w:hAnsi="Times New Roman" w:cs="Times New Roman"/>
        </w:rPr>
        <w:t xml:space="preserve">Kierunki polityki energetycznej </w:t>
      </w:r>
      <w:bookmarkEnd w:id="137"/>
      <w:r w:rsidR="00D0422C" w:rsidRPr="00194C4A">
        <w:rPr>
          <w:rFonts w:ascii="Times New Roman" w:hAnsi="Times New Roman" w:cs="Times New Roman"/>
        </w:rPr>
        <w:t>gminy</w:t>
      </w:r>
      <w:r w:rsidR="00954B30">
        <w:rPr>
          <w:rFonts w:ascii="Times New Roman" w:hAnsi="Times New Roman" w:cs="Times New Roman"/>
        </w:rPr>
        <w:t xml:space="preserve"> </w:t>
      </w:r>
      <w:bookmarkEnd w:id="138"/>
      <w:r w:rsidR="00954B30">
        <w:rPr>
          <w:rFonts w:ascii="Times New Roman" w:hAnsi="Times New Roman" w:cs="Times New Roman"/>
        </w:rPr>
        <w:t>Wieliczki</w:t>
      </w:r>
    </w:p>
    <w:p w:rsidR="00BD314A" w:rsidRPr="00194C4A" w:rsidRDefault="00D0422C" w:rsidP="00BD314A">
      <w:pPr>
        <w:pStyle w:val="tekst"/>
        <w:rPr>
          <w:rFonts w:cs="Times New Roman"/>
        </w:rPr>
      </w:pPr>
      <w:r w:rsidRPr="00194C4A">
        <w:rPr>
          <w:rFonts w:cs="Times New Roman"/>
        </w:rPr>
        <w:t>Gmina</w:t>
      </w:r>
      <w:r w:rsidR="00954B30">
        <w:rPr>
          <w:rFonts w:cs="Times New Roman"/>
        </w:rPr>
        <w:t xml:space="preserve"> Wieliczki</w:t>
      </w:r>
      <w:r w:rsidR="00BD314A" w:rsidRPr="00194C4A">
        <w:rPr>
          <w:rFonts w:cs="Times New Roman"/>
        </w:rPr>
        <w:t xml:space="preserve"> zamierza dążyć do wykorzystania ciepła, energii elektrycznej i paliw gazowych w sposób zrównoważony i racjonalny oraz do zabezpieczenia potrzeb mieszkańców na energię. Cel ten zostanie osiągnięty poprzez:</w:t>
      </w:r>
    </w:p>
    <w:p w:rsidR="00BD314A" w:rsidRPr="00194C4A" w:rsidRDefault="00376AEA" w:rsidP="00902E94">
      <w:pPr>
        <w:pStyle w:val="tekst"/>
        <w:numPr>
          <w:ilvl w:val="0"/>
          <w:numId w:val="3"/>
        </w:numPr>
        <w:ind w:left="709"/>
        <w:rPr>
          <w:rFonts w:cs="Times New Roman"/>
        </w:rPr>
      </w:pPr>
      <w:r w:rsidRPr="00194C4A">
        <w:rPr>
          <w:rFonts w:cs="Times New Roman"/>
        </w:rPr>
        <w:t>p</w:t>
      </w:r>
      <w:r w:rsidR="00BD314A" w:rsidRPr="00194C4A">
        <w:rPr>
          <w:rFonts w:cs="Times New Roman"/>
        </w:rPr>
        <w:t>odjęcie działań na rzecz termomodernizacji budynków we własności osób prywa</w:t>
      </w:r>
      <w:r w:rsidR="00EB371C" w:rsidRPr="00194C4A">
        <w:rPr>
          <w:rFonts w:cs="Times New Roman"/>
        </w:rPr>
        <w:t xml:space="preserve">tnych </w:t>
      </w:r>
      <w:r w:rsidR="00BD314A" w:rsidRPr="00194C4A">
        <w:rPr>
          <w:rFonts w:cs="Times New Roman"/>
        </w:rPr>
        <w:t>oraz budyn</w:t>
      </w:r>
      <w:r w:rsidR="00954B30">
        <w:rPr>
          <w:rFonts w:cs="Times New Roman"/>
        </w:rPr>
        <w:t>ków publicznych, dostosowanej</w:t>
      </w:r>
      <w:r w:rsidR="001B4F39" w:rsidRPr="00194C4A">
        <w:rPr>
          <w:rFonts w:cs="Times New Roman"/>
        </w:rPr>
        <w:t> </w:t>
      </w:r>
      <w:r w:rsidR="00BD314A" w:rsidRPr="00194C4A">
        <w:rPr>
          <w:rFonts w:cs="Times New Roman"/>
        </w:rPr>
        <w:t>modernizację źródeł wytwarzania ciepła do aktualnej sytuacji w zakresie zapotrzebowania na energię cieplną i wykorzys</w:t>
      </w:r>
      <w:r w:rsidRPr="00194C4A">
        <w:rPr>
          <w:rFonts w:cs="Times New Roman"/>
        </w:rPr>
        <w:t>tanie lokalnych zasobów energii,</w:t>
      </w:r>
    </w:p>
    <w:p w:rsidR="00BD314A" w:rsidRPr="00194C4A" w:rsidRDefault="00376AEA" w:rsidP="00902E94">
      <w:pPr>
        <w:pStyle w:val="tekst"/>
        <w:numPr>
          <w:ilvl w:val="0"/>
          <w:numId w:val="3"/>
        </w:numPr>
        <w:rPr>
          <w:rFonts w:cs="Times New Roman"/>
        </w:rPr>
      </w:pPr>
      <w:r w:rsidRPr="00194C4A">
        <w:rPr>
          <w:rFonts w:cs="Times New Roman"/>
        </w:rPr>
        <w:t>n</w:t>
      </w:r>
      <w:r w:rsidR="00BD314A" w:rsidRPr="00194C4A">
        <w:rPr>
          <w:rFonts w:cs="Times New Roman"/>
        </w:rPr>
        <w:t xml:space="preserve">owe budynki oraz inwestycje w </w:t>
      </w:r>
      <w:r w:rsidR="00354185" w:rsidRPr="00194C4A">
        <w:rPr>
          <w:rFonts w:cs="Times New Roman"/>
        </w:rPr>
        <w:t>gminie</w:t>
      </w:r>
      <w:r w:rsidR="00BD314A" w:rsidRPr="00194C4A">
        <w:rPr>
          <w:rFonts w:cs="Times New Roman"/>
        </w:rPr>
        <w:t xml:space="preserve"> będą spełniały</w:t>
      </w:r>
      <w:r w:rsidR="001B4F39" w:rsidRPr="00194C4A">
        <w:rPr>
          <w:rFonts w:cs="Times New Roman"/>
        </w:rPr>
        <w:t xml:space="preserve"> aktualnie obowiązujące normy w </w:t>
      </w:r>
      <w:r w:rsidR="00BD314A" w:rsidRPr="00194C4A">
        <w:rPr>
          <w:rFonts w:cs="Times New Roman"/>
        </w:rPr>
        <w:t xml:space="preserve">zakresie wykorzystania energii, promowane będą budynki niskoenergetyczne oraz montaż urządzeń </w:t>
      </w:r>
      <w:r w:rsidRPr="00194C4A">
        <w:rPr>
          <w:rFonts w:cs="Times New Roman"/>
        </w:rPr>
        <w:t>wysokoefektywnych energetycznie,</w:t>
      </w:r>
    </w:p>
    <w:p w:rsidR="00BD314A" w:rsidRPr="00194C4A" w:rsidRDefault="00376AEA" w:rsidP="00902E94">
      <w:pPr>
        <w:pStyle w:val="tekst"/>
        <w:numPr>
          <w:ilvl w:val="0"/>
          <w:numId w:val="3"/>
        </w:numPr>
        <w:rPr>
          <w:rFonts w:cs="Times New Roman"/>
        </w:rPr>
      </w:pPr>
      <w:r w:rsidRPr="00194C4A">
        <w:rPr>
          <w:rFonts w:cs="Times New Roman"/>
        </w:rPr>
        <w:t>e</w:t>
      </w:r>
      <w:r w:rsidR="00BD314A" w:rsidRPr="00194C4A">
        <w:rPr>
          <w:rFonts w:cs="Times New Roman"/>
        </w:rPr>
        <w:t xml:space="preserve">nergia elektryczna będzie użytkowana w sposób efektywny, proces wymiany bądź zakupu nowych urządzeń będzie uwzględniał cykl życia urządzenia, premiowane będą urządzenia </w:t>
      </w:r>
      <w:r w:rsidR="001B4F39" w:rsidRPr="00194C4A">
        <w:rPr>
          <w:rFonts w:cs="Times New Roman"/>
        </w:rPr>
        <w:t>o </w:t>
      </w:r>
      <w:r w:rsidR="00BD314A" w:rsidRPr="00194C4A">
        <w:rPr>
          <w:rFonts w:cs="Times New Roman"/>
        </w:rPr>
        <w:t>niskim zużyciu energii elektryczn</w:t>
      </w:r>
      <w:r w:rsidRPr="00194C4A">
        <w:rPr>
          <w:rFonts w:cs="Times New Roman"/>
        </w:rPr>
        <w:t>ej,</w:t>
      </w:r>
    </w:p>
    <w:p w:rsidR="00BD314A" w:rsidRPr="00194C4A" w:rsidRDefault="00376AEA" w:rsidP="00902E94">
      <w:pPr>
        <w:pStyle w:val="tekst"/>
        <w:numPr>
          <w:ilvl w:val="0"/>
          <w:numId w:val="3"/>
        </w:numPr>
        <w:rPr>
          <w:rFonts w:cs="Times New Roman"/>
        </w:rPr>
      </w:pPr>
      <w:r w:rsidRPr="00194C4A">
        <w:rPr>
          <w:rFonts w:cs="Times New Roman"/>
        </w:rPr>
        <w:t>o</w:t>
      </w:r>
      <w:r w:rsidR="00BD314A" w:rsidRPr="00194C4A">
        <w:rPr>
          <w:rFonts w:cs="Times New Roman"/>
        </w:rPr>
        <w:t>świetlenie ulic i placów będzie prowadzony w sposób ekonomiczny, zakłada się stopniową wymianę</w:t>
      </w:r>
      <w:r w:rsidRPr="00194C4A">
        <w:rPr>
          <w:rFonts w:cs="Times New Roman"/>
        </w:rPr>
        <w:t xml:space="preserve"> oświetlenia na energooszczędne,</w:t>
      </w:r>
    </w:p>
    <w:p w:rsidR="009B7248" w:rsidRPr="00194C4A" w:rsidRDefault="009B7248" w:rsidP="00902E94">
      <w:pPr>
        <w:pStyle w:val="tekst"/>
        <w:numPr>
          <w:ilvl w:val="0"/>
          <w:numId w:val="3"/>
        </w:numPr>
        <w:rPr>
          <w:rFonts w:cs="Times New Roman"/>
        </w:rPr>
      </w:pPr>
      <w:r w:rsidRPr="00194C4A">
        <w:rPr>
          <w:rFonts w:cs="Times New Roman"/>
        </w:rPr>
        <w:t xml:space="preserve">wsparcie dla </w:t>
      </w:r>
      <w:r w:rsidR="001B492E" w:rsidRPr="00194C4A">
        <w:rPr>
          <w:rFonts w:cs="Times New Roman"/>
        </w:rPr>
        <w:t xml:space="preserve">rozwoju </w:t>
      </w:r>
      <w:r w:rsidRPr="00194C4A">
        <w:rPr>
          <w:rFonts w:cs="Times New Roman"/>
        </w:rPr>
        <w:t xml:space="preserve">gazyfikacji gminy </w:t>
      </w:r>
      <w:r w:rsidR="00954B30">
        <w:rPr>
          <w:rFonts w:cs="Times New Roman"/>
        </w:rPr>
        <w:t>Wieliczki</w:t>
      </w:r>
      <w:r w:rsidRPr="00194C4A">
        <w:rPr>
          <w:rFonts w:cs="Times New Roman"/>
        </w:rPr>
        <w:t>,</w:t>
      </w:r>
    </w:p>
    <w:p w:rsidR="001002E5" w:rsidRPr="00194C4A" w:rsidRDefault="001002E5" w:rsidP="00902E94">
      <w:pPr>
        <w:pStyle w:val="tekst"/>
        <w:numPr>
          <w:ilvl w:val="0"/>
          <w:numId w:val="3"/>
        </w:numPr>
        <w:rPr>
          <w:rFonts w:cs="Times New Roman"/>
        </w:rPr>
      </w:pPr>
      <w:r w:rsidRPr="00194C4A">
        <w:rPr>
          <w:rFonts w:cs="Times New Roman"/>
        </w:rPr>
        <w:t>wykorzystanie energii geotermalnej do ogrzewania budynków</w:t>
      </w:r>
      <w:r w:rsidR="008A3540">
        <w:rPr>
          <w:rFonts w:cs="Times New Roman"/>
        </w:rPr>
        <w:t>,</w:t>
      </w:r>
    </w:p>
    <w:p w:rsidR="00BD314A" w:rsidRPr="00194C4A" w:rsidRDefault="00376AEA" w:rsidP="00902E94">
      <w:pPr>
        <w:pStyle w:val="tekst"/>
        <w:numPr>
          <w:ilvl w:val="0"/>
          <w:numId w:val="3"/>
        </w:numPr>
        <w:rPr>
          <w:rFonts w:cs="Times New Roman"/>
        </w:rPr>
      </w:pPr>
      <w:r w:rsidRPr="00194C4A">
        <w:rPr>
          <w:rFonts w:cs="Times New Roman"/>
        </w:rPr>
        <w:t>p</w:t>
      </w:r>
      <w:r w:rsidR="00BD314A" w:rsidRPr="00194C4A">
        <w:rPr>
          <w:rFonts w:cs="Times New Roman"/>
        </w:rPr>
        <w:t>romowanie wykorzystania nośników energii o niskim współczynniku emisyjności</w:t>
      </w:r>
      <w:r w:rsidR="00C97739">
        <w:rPr>
          <w:rFonts w:cs="Times New Roman"/>
        </w:rPr>
        <w:t>,</w:t>
      </w:r>
      <w:r w:rsidR="00BD314A" w:rsidRPr="00194C4A">
        <w:rPr>
          <w:rFonts w:cs="Times New Roman"/>
        </w:rPr>
        <w:t xml:space="preserve"> jak energia elektryczna i gaz ziemny, a tym sa</w:t>
      </w:r>
      <w:r w:rsidRPr="00194C4A">
        <w:rPr>
          <w:rFonts w:cs="Times New Roman"/>
        </w:rPr>
        <w:t>mym ochrona środowiska w gminie,</w:t>
      </w:r>
    </w:p>
    <w:p w:rsidR="001E0D41" w:rsidRPr="00194C4A" w:rsidRDefault="00376AEA" w:rsidP="00902E94">
      <w:pPr>
        <w:pStyle w:val="tekst"/>
        <w:numPr>
          <w:ilvl w:val="0"/>
          <w:numId w:val="3"/>
        </w:numPr>
        <w:rPr>
          <w:rFonts w:cs="Times New Roman"/>
        </w:rPr>
      </w:pPr>
      <w:r w:rsidRPr="00194C4A">
        <w:rPr>
          <w:rFonts w:cs="Times New Roman"/>
        </w:rPr>
        <w:t>g</w:t>
      </w:r>
      <w:r w:rsidR="001E0D41" w:rsidRPr="00194C4A">
        <w:rPr>
          <w:rFonts w:cs="Times New Roman"/>
        </w:rPr>
        <w:t xml:space="preserve">mina będzie dążyła do rozbudowy infrastruktury gazowej </w:t>
      </w:r>
      <w:r w:rsidR="00EB371C" w:rsidRPr="00194C4A">
        <w:rPr>
          <w:rFonts w:cs="Times New Roman"/>
        </w:rPr>
        <w:t xml:space="preserve">i elektrycznej </w:t>
      </w:r>
      <w:r w:rsidR="001E0D41" w:rsidRPr="00194C4A">
        <w:rPr>
          <w:rFonts w:cs="Times New Roman"/>
        </w:rPr>
        <w:t>na terenie gminy</w:t>
      </w:r>
      <w:r w:rsidRPr="00194C4A">
        <w:rPr>
          <w:rFonts w:cs="Times New Roman"/>
        </w:rPr>
        <w:t>,</w:t>
      </w:r>
    </w:p>
    <w:p w:rsidR="00BD314A" w:rsidRPr="00194C4A" w:rsidRDefault="00376AEA" w:rsidP="00902E94">
      <w:pPr>
        <w:pStyle w:val="tekst"/>
        <w:numPr>
          <w:ilvl w:val="0"/>
          <w:numId w:val="3"/>
        </w:numPr>
        <w:rPr>
          <w:rFonts w:cs="Times New Roman"/>
        </w:rPr>
      </w:pPr>
      <w:r w:rsidRPr="00194C4A">
        <w:rPr>
          <w:rFonts w:cs="Times New Roman"/>
        </w:rPr>
        <w:t>w</w:t>
      </w:r>
      <w:r w:rsidR="00BD314A" w:rsidRPr="00194C4A">
        <w:rPr>
          <w:rFonts w:cs="Times New Roman"/>
        </w:rPr>
        <w:t xml:space="preserve">sparcie i promocja małych źródeł wytwarzania energii z wiatru oraz promieniowania </w:t>
      </w:r>
      <w:r w:rsidRPr="00194C4A">
        <w:rPr>
          <w:rFonts w:cs="Times New Roman"/>
        </w:rPr>
        <w:t>słonecznego,</w:t>
      </w:r>
    </w:p>
    <w:p w:rsidR="00BD314A" w:rsidRPr="00194C4A" w:rsidRDefault="00376AEA" w:rsidP="00902E94">
      <w:pPr>
        <w:pStyle w:val="tekst"/>
        <w:numPr>
          <w:ilvl w:val="0"/>
          <w:numId w:val="3"/>
        </w:numPr>
        <w:rPr>
          <w:rFonts w:cs="Times New Roman"/>
        </w:rPr>
      </w:pPr>
      <w:r w:rsidRPr="00194C4A">
        <w:rPr>
          <w:rFonts w:cs="Times New Roman"/>
        </w:rPr>
        <w:t>r</w:t>
      </w:r>
      <w:r w:rsidR="00BD314A" w:rsidRPr="00194C4A">
        <w:rPr>
          <w:rFonts w:cs="Times New Roman"/>
        </w:rPr>
        <w:t>ozwijanie świadomości ekologicznej oraz energetycznej mieszkańców poprzez prowadzenie zajęć w szkołach o tematyce racjonalnego użytkowania energii i jej produkcji oraz organizacja wystaw, przygotowywanie informacji w formie pisemnej, akcja ed</w:t>
      </w:r>
      <w:r w:rsidRPr="00194C4A">
        <w:rPr>
          <w:rFonts w:cs="Times New Roman"/>
        </w:rPr>
        <w:t>ukacyjna społeczeństwa,</w:t>
      </w:r>
    </w:p>
    <w:p w:rsidR="001E0D41" w:rsidRPr="00194C4A" w:rsidRDefault="00376AEA" w:rsidP="00902E94">
      <w:pPr>
        <w:pStyle w:val="tekst"/>
        <w:numPr>
          <w:ilvl w:val="0"/>
          <w:numId w:val="3"/>
        </w:numPr>
        <w:rPr>
          <w:rFonts w:cs="Times New Roman"/>
        </w:rPr>
      </w:pPr>
      <w:r w:rsidRPr="00194C4A">
        <w:rPr>
          <w:rFonts w:cs="Times New Roman"/>
        </w:rPr>
        <w:t>r</w:t>
      </w:r>
      <w:r w:rsidR="001E0D41" w:rsidRPr="00194C4A">
        <w:rPr>
          <w:rFonts w:cs="Times New Roman"/>
        </w:rPr>
        <w:t>ealizację zadań zapisanych w „Pl</w:t>
      </w:r>
      <w:r w:rsidRPr="00194C4A">
        <w:rPr>
          <w:rFonts w:cs="Times New Roman"/>
        </w:rPr>
        <w:t>anie gospodarki niskoemisyjnej”,</w:t>
      </w:r>
    </w:p>
    <w:p w:rsidR="00BD314A" w:rsidRPr="00194C4A" w:rsidRDefault="00376AEA" w:rsidP="00902E94">
      <w:pPr>
        <w:pStyle w:val="tekst"/>
        <w:numPr>
          <w:ilvl w:val="0"/>
          <w:numId w:val="3"/>
        </w:numPr>
        <w:rPr>
          <w:rFonts w:cs="Times New Roman"/>
        </w:rPr>
      </w:pPr>
      <w:r w:rsidRPr="00194C4A">
        <w:rPr>
          <w:rFonts w:cs="Times New Roman"/>
        </w:rPr>
        <w:t>p</w:t>
      </w:r>
      <w:r w:rsidR="00BD314A" w:rsidRPr="00194C4A">
        <w:rPr>
          <w:rFonts w:cs="Times New Roman"/>
        </w:rPr>
        <w:t xml:space="preserve">rojekt założeń do planu zaopatrzenia w ciepło, energię elektryczną i paliwa gazowe dla </w:t>
      </w:r>
      <w:r w:rsidR="00D0422C" w:rsidRPr="00194C4A">
        <w:rPr>
          <w:rFonts w:cs="Times New Roman"/>
        </w:rPr>
        <w:t>gminy</w:t>
      </w:r>
      <w:r w:rsidR="00954B30">
        <w:rPr>
          <w:rFonts w:cs="Times New Roman"/>
        </w:rPr>
        <w:t xml:space="preserve"> Wieliczki</w:t>
      </w:r>
      <w:r w:rsidR="00BD314A" w:rsidRPr="00194C4A">
        <w:rPr>
          <w:rFonts w:cs="Times New Roman"/>
        </w:rPr>
        <w:t xml:space="preserve"> prognozuje niewielki spadek zapotrzebowania na ciepło </w:t>
      </w:r>
      <w:r w:rsidR="00354185" w:rsidRPr="00194C4A">
        <w:rPr>
          <w:rFonts w:cs="Times New Roman"/>
        </w:rPr>
        <w:t xml:space="preserve">oraz wzrost </w:t>
      </w:r>
      <w:r w:rsidR="00BD314A" w:rsidRPr="00194C4A">
        <w:rPr>
          <w:rFonts w:cs="Times New Roman"/>
        </w:rPr>
        <w:t>zapotrzebowania na energię elektryczną</w:t>
      </w:r>
      <w:r w:rsidR="00354185" w:rsidRPr="00194C4A">
        <w:rPr>
          <w:rFonts w:cs="Times New Roman"/>
        </w:rPr>
        <w:t xml:space="preserve"> i paliwa gazowe</w:t>
      </w:r>
      <w:r w:rsidR="00BD314A" w:rsidRPr="00194C4A">
        <w:rPr>
          <w:rFonts w:cs="Times New Roman"/>
        </w:rPr>
        <w:t xml:space="preserve">. Rzeczywiste zapotrzebowanie </w:t>
      </w:r>
      <w:r w:rsidR="00BD314A" w:rsidRPr="00194C4A">
        <w:rPr>
          <w:rFonts w:cs="Times New Roman"/>
        </w:rPr>
        <w:lastRenderedPageBreak/>
        <w:t>powinno być monitorowane, a prognozy aktualizowane w odstępie maksimum 3 lat od daty wykonania tych założeń lub ich kolejnych aktualizacji.</w:t>
      </w:r>
    </w:p>
    <w:p w:rsidR="007433F7" w:rsidRPr="00194C4A" w:rsidRDefault="007433F7">
      <w:pPr>
        <w:rPr>
          <w:rFonts w:ascii="Times New Roman" w:eastAsia="Times New Roman" w:hAnsi="Times New Roman" w:cs="Times New Roman"/>
          <w:b/>
          <w:bCs/>
          <w:color w:val="000000"/>
          <w:sz w:val="40"/>
          <w:szCs w:val="28"/>
        </w:rPr>
      </w:pPr>
      <w:r w:rsidRPr="00194C4A">
        <w:rPr>
          <w:rFonts w:ascii="Times New Roman" w:hAnsi="Times New Roman" w:cs="Times New Roman"/>
        </w:rPr>
        <w:br w:type="page"/>
      </w:r>
    </w:p>
    <w:p w:rsidR="008F0B8D" w:rsidRDefault="008F0B8D" w:rsidP="006D3BD5">
      <w:pPr>
        <w:pStyle w:val="Spisilustracji"/>
        <w:tabs>
          <w:tab w:val="right" w:leader="dot" w:pos="9629"/>
        </w:tabs>
        <w:rPr>
          <w:rFonts w:cs="Times New Roman"/>
        </w:rPr>
      </w:pPr>
    </w:p>
    <w:p w:rsidR="00422799" w:rsidRPr="00422799" w:rsidRDefault="00422799" w:rsidP="00422799"/>
    <w:sectPr w:rsidR="00422799" w:rsidRPr="00422799" w:rsidSect="00BD314A">
      <w:footerReference w:type="default" r:id="rId63"/>
      <w:pgSz w:w="11906" w:h="16838"/>
      <w:pgMar w:top="1418" w:right="849"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264E" w:rsidRPr="00AC0D4C" w:rsidRDefault="005E264E" w:rsidP="00AC0D4C">
      <w:pPr>
        <w:spacing w:after="0" w:line="240" w:lineRule="auto"/>
      </w:pPr>
      <w:r>
        <w:separator/>
      </w:r>
    </w:p>
  </w:endnote>
  <w:endnote w:type="continuationSeparator" w:id="1">
    <w:p w:rsidR="005E264E" w:rsidRPr="00AC0D4C" w:rsidRDefault="005E264E" w:rsidP="00AC0D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Lucida Casual CE">
    <w:altName w:val="Courier New"/>
    <w:panose1 w:val="00000000000000000000"/>
    <w:charset w:val="00"/>
    <w:family w:val="script"/>
    <w:notTrueType/>
    <w:pitch w:val="default"/>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5" w:usb1="08070000" w:usb2="00000010" w:usb3="00000000" w:csb0="00020002" w:csb1="00000000"/>
  </w:font>
  <w:font w:name="OpenSymbol">
    <w:altName w:val="Cambria"/>
    <w:charset w:val="00"/>
    <w:family w:val="auto"/>
    <w:pitch w:val="variable"/>
    <w:sig w:usb0="800000AF" w:usb1="1001ECE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228920"/>
      <w:docPartObj>
        <w:docPartGallery w:val="Page Numbers (Bottom of Page)"/>
        <w:docPartUnique/>
      </w:docPartObj>
    </w:sdtPr>
    <w:sdtContent>
      <w:p w:rsidR="00C42D8C" w:rsidRPr="00294B6C" w:rsidRDefault="00A05E44" w:rsidP="0031028F">
        <w:pPr>
          <w:pStyle w:val="Stopka"/>
          <w:jc w:val="right"/>
        </w:pPr>
        <w:r w:rsidRPr="00383228">
          <w:rPr>
            <w:rFonts w:ascii="Times New Roman" w:hAnsi="Times New Roman" w:cs="Times New Roman"/>
            <w:b/>
            <w:bCs/>
          </w:rPr>
          <w:fldChar w:fldCharType="begin"/>
        </w:r>
        <w:r w:rsidR="00C42D8C" w:rsidRPr="00383228">
          <w:rPr>
            <w:rFonts w:ascii="Times New Roman" w:hAnsi="Times New Roman" w:cs="Times New Roman"/>
            <w:b/>
            <w:bCs/>
          </w:rPr>
          <w:instrText>PAGE   \* MERGEFORMAT</w:instrText>
        </w:r>
        <w:r w:rsidRPr="00383228">
          <w:rPr>
            <w:rFonts w:ascii="Times New Roman" w:hAnsi="Times New Roman" w:cs="Times New Roman"/>
            <w:b/>
            <w:bCs/>
          </w:rPr>
          <w:fldChar w:fldCharType="separate"/>
        </w:r>
        <w:r w:rsidR="00C42D8C">
          <w:rPr>
            <w:rFonts w:ascii="Times New Roman" w:hAnsi="Times New Roman" w:cs="Times New Roman"/>
            <w:b/>
            <w:bCs/>
            <w:noProof/>
          </w:rPr>
          <w:t>2</w:t>
        </w:r>
        <w:r w:rsidRPr="00383228">
          <w:rPr>
            <w:rFonts w:ascii="Times New Roman" w:hAnsi="Times New Roman" w:cs="Times New Roman"/>
            <w:b/>
            <w:bCs/>
          </w:rPr>
          <w:fldChar w:fldCharType="end"/>
        </w:r>
        <w:r w:rsidR="00C42D8C" w:rsidRPr="00294B6C">
          <w:rPr>
            <w:rFonts w:ascii="Times New Roman" w:hAnsi="Times New Roman" w:cs="Times New Roman"/>
          </w:rPr>
          <w:t xml:space="preserve"> | </w:t>
        </w:r>
        <w:r w:rsidR="00C42D8C" w:rsidRPr="00383228">
          <w:rPr>
            <w:rFonts w:ascii="Times New Roman" w:hAnsi="Times New Roman" w:cs="Times New Roman"/>
            <w:color w:val="7F7F7F" w:themeColor="text1" w:themeTint="80"/>
          </w:rPr>
          <w:t>Strona</w:t>
        </w:r>
      </w:p>
    </w:sdtContent>
  </w:sdt>
  <w:p w:rsidR="00C42D8C" w:rsidRDefault="00C42D8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D8C" w:rsidRDefault="00A05E44">
    <w:pPr>
      <w:pStyle w:val="Stopka"/>
      <w:jc w:val="right"/>
    </w:pPr>
    <w:fldSimple w:instr="PAGE   \* MERGEFORMAT">
      <w:r w:rsidR="00F152D1">
        <w:rPr>
          <w:noProof/>
        </w:rPr>
        <w:t>88</w:t>
      </w:r>
    </w:fldSimple>
  </w:p>
  <w:p w:rsidR="00C42D8C" w:rsidRDefault="00C42D8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264E" w:rsidRPr="00AC0D4C" w:rsidRDefault="005E264E" w:rsidP="00AC0D4C">
      <w:pPr>
        <w:spacing w:after="0" w:line="240" w:lineRule="auto"/>
      </w:pPr>
      <w:bookmarkStart w:id="0" w:name="_Hlk77322251"/>
      <w:bookmarkEnd w:id="0"/>
      <w:r>
        <w:separator/>
      </w:r>
    </w:p>
  </w:footnote>
  <w:footnote w:type="continuationSeparator" w:id="1">
    <w:p w:rsidR="005E264E" w:rsidRPr="00AC0D4C" w:rsidRDefault="005E264E" w:rsidP="00AC0D4C">
      <w:pPr>
        <w:spacing w:after="0" w:line="240" w:lineRule="auto"/>
      </w:pPr>
      <w:r>
        <w:continuationSeparator/>
      </w:r>
    </w:p>
  </w:footnote>
  <w:footnote w:id="2">
    <w:p w:rsidR="00C42D8C" w:rsidRDefault="00C42D8C" w:rsidP="00194C4A">
      <w:pPr>
        <w:pStyle w:val="Tekstprzypisudolnego"/>
      </w:pPr>
      <w:r>
        <w:rPr>
          <w:rStyle w:val="Odwoanieprzypisudolnego"/>
        </w:rPr>
        <w:footnoteRef/>
      </w:r>
      <w:hyperlink r:id="rId1" w:history="1">
        <w:r>
          <w:rPr>
            <w:rStyle w:val="Hipercze"/>
          </w:rPr>
          <w:t>https://pl.wikipedia.org/wiki/Energia_geotermalna</w:t>
        </w:r>
      </w:hyperlink>
    </w:p>
  </w:footnote>
  <w:footnote w:id="3">
    <w:p w:rsidR="00C42D8C" w:rsidRDefault="00C42D8C" w:rsidP="00762BF3">
      <w:pPr>
        <w:pStyle w:val="Tekstprzypisudolnego"/>
      </w:pPr>
      <w:r>
        <w:rPr>
          <w:rStyle w:val="Odwoanieprzypisudolnego"/>
        </w:rPr>
        <w:footnoteRef/>
      </w:r>
      <w:hyperlink r:id="rId2" w:history="1">
        <w:r>
          <w:rPr>
            <w:rStyle w:val="Hipercze"/>
          </w:rPr>
          <w:t>https://pl.wikipedia.org/wiki/Biomasa</w:t>
        </w:r>
      </w:hyperlink>
    </w:p>
  </w:footnote>
  <w:footnote w:id="4">
    <w:p w:rsidR="00C42D8C" w:rsidRPr="00765F77" w:rsidRDefault="00C42D8C" w:rsidP="00762BF3">
      <w:pPr>
        <w:pStyle w:val="Tekstprzypisudolnego"/>
        <w:rPr>
          <w:rFonts w:ascii="Times New Roman" w:hAnsi="Times New Roman" w:cs="Times New Roman"/>
        </w:rPr>
      </w:pPr>
      <w:r w:rsidRPr="00765F77">
        <w:rPr>
          <w:rStyle w:val="Odwoanieprzypisudolnego"/>
          <w:rFonts w:ascii="Times New Roman" w:hAnsi="Times New Roman" w:cs="Times New Roman"/>
        </w:rPr>
        <w:footnoteRef/>
      </w:r>
      <w:r w:rsidRPr="00765F77">
        <w:rPr>
          <w:rFonts w:ascii="Times New Roman" w:hAnsi="Times New Roman" w:cs="Times New Roman"/>
        </w:rPr>
        <w:t xml:space="preserve"> Ustawa o odnawialnych źródłach energii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D8C" w:rsidRPr="00294B6C" w:rsidRDefault="00A05E44">
    <w:pPr>
      <w:pStyle w:val="Nagwek"/>
      <w:rPr>
        <w:rFonts w:ascii="Times New Roman" w:hAnsi="Times New Roman" w:cs="Times New Roman"/>
        <w:sz w:val="20"/>
        <w:szCs w:val="20"/>
      </w:rPr>
    </w:pPr>
    <w:r w:rsidRPr="00A05E44">
      <w:rPr>
        <w:noProof/>
      </w:rPr>
      <w:pict>
        <v:rect id="Prostokąt 22" o:spid="_x0000_s4098" style="position:absolute;margin-left:441.5pt;margin-top:.5pt;width:12pt;height:24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" fillcolor="red" strokecolor="white [3212]" strokeweight="2pt"/>
      </w:pict>
    </w:r>
    <w:r w:rsidRPr="00A05E44">
      <w:rPr>
        <w:noProof/>
      </w:rPr>
      <w:pict>
        <v:rect id="Prostokąt 21" o:spid="_x0000_s4097" style="position:absolute;margin-left:448.1pt;margin-top:5.95pt;width:12pt;height:24pt;z-index:251657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" fillcolor="#a5300f [3204]" strokecolor="white [3212]" strokeweight="2pt"/>
      </w:pict>
    </w:r>
    <w:r w:rsidR="00C42D8C" w:rsidRPr="00294B6C">
      <w:rPr>
        <w:rFonts w:ascii="Times New Roman" w:hAnsi="Times New Roman" w:cs="Times New Roman"/>
        <w:sz w:val="20"/>
        <w:szCs w:val="20"/>
      </w:rPr>
      <w:tab/>
    </w:r>
    <w:r w:rsidR="00C42D8C" w:rsidRPr="00EE7C08">
      <w:rPr>
        <w:rFonts w:ascii="Times New Roman" w:hAnsi="Times New Roman" w:cs="Times New Roman"/>
        <w:b/>
        <w:sz w:val="18"/>
        <w:szCs w:val="20"/>
      </w:rPr>
      <w:t xml:space="preserve">Projekt zaopatrzenia w ciepło, energię elektryczną i paliwa gazowe dla Gminy </w:t>
    </w:r>
    <w:r w:rsidR="00C42D8C">
      <w:rPr>
        <w:rFonts w:ascii="Times New Roman" w:hAnsi="Times New Roman" w:cs="Times New Roman"/>
        <w:b/>
        <w:sz w:val="18"/>
        <w:szCs w:val="20"/>
      </w:rPr>
      <w:t>Wieliczki na lata 2025-2035</w:t>
    </w:r>
    <w:r w:rsidR="00C42D8C">
      <w:rPr>
        <w:rFonts w:ascii="Times New Roman" w:hAnsi="Times New Roman" w:cs="Times New Roman"/>
        <w:sz w:val="20"/>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b w:val="0"/>
        <w:bCs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A81703"/>
    <w:multiLevelType w:val="hybridMultilevel"/>
    <w:tmpl w:val="08FABA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1F22A4"/>
    <w:multiLevelType w:val="hybridMultilevel"/>
    <w:tmpl w:val="36C24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F380773"/>
    <w:multiLevelType w:val="hybridMultilevel"/>
    <w:tmpl w:val="08FE6C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332EEE"/>
    <w:multiLevelType w:val="hybridMultilevel"/>
    <w:tmpl w:val="322AF5E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
    <w:nsid w:val="1B3D293D"/>
    <w:multiLevelType w:val="hybridMultilevel"/>
    <w:tmpl w:val="207CB60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6">
    <w:nsid w:val="1F663277"/>
    <w:multiLevelType w:val="hybridMultilevel"/>
    <w:tmpl w:val="7F844FA6"/>
    <w:lvl w:ilvl="0" w:tplc="E3446E68">
      <w:start w:val="1"/>
      <w:numFmt w:val="bullet"/>
      <w:lvlText w:val="-"/>
      <w:lvlJc w:val="left"/>
      <w:pPr>
        <w:ind w:left="786"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nsid w:val="256675BA"/>
    <w:multiLevelType w:val="hybridMultilevel"/>
    <w:tmpl w:val="5076312A"/>
    <w:lvl w:ilvl="0" w:tplc="5970A34E">
      <w:start w:val="21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BE119F5"/>
    <w:multiLevelType w:val="hybridMultilevel"/>
    <w:tmpl w:val="211CAE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nsid w:val="2ECA2C0C"/>
    <w:multiLevelType w:val="multilevel"/>
    <w:tmpl w:val="E7D8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E65905"/>
    <w:multiLevelType w:val="hybridMultilevel"/>
    <w:tmpl w:val="9AF89420"/>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nsid w:val="30950882"/>
    <w:multiLevelType w:val="hybridMultilevel"/>
    <w:tmpl w:val="9A86931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0CF3816"/>
    <w:multiLevelType w:val="hybridMultilevel"/>
    <w:tmpl w:val="AF1666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1304BC9"/>
    <w:multiLevelType w:val="multilevel"/>
    <w:tmpl w:val="4AA0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BF70B3"/>
    <w:multiLevelType w:val="hybridMultilevel"/>
    <w:tmpl w:val="9884804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
    <w:nsid w:val="3A1F7D61"/>
    <w:multiLevelType w:val="hybridMultilevel"/>
    <w:tmpl w:val="6964A37E"/>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6">
    <w:nsid w:val="3A2277B8"/>
    <w:multiLevelType w:val="hybridMultilevel"/>
    <w:tmpl w:val="0442B798"/>
    <w:lvl w:ilvl="0" w:tplc="F318655C">
      <w:start w:val="1"/>
      <w:numFmt w:val="bullet"/>
      <w:pStyle w:val="WykropP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C4566B5"/>
    <w:multiLevelType w:val="multilevel"/>
    <w:tmpl w:val="F386E5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39C6D99"/>
    <w:multiLevelType w:val="hybridMultilevel"/>
    <w:tmpl w:val="F816E920"/>
    <w:lvl w:ilvl="0" w:tplc="8B5E204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6B553E3"/>
    <w:multiLevelType w:val="hybridMultilevel"/>
    <w:tmpl w:val="ECD066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nsid w:val="4B6054C9"/>
    <w:multiLevelType w:val="hybridMultilevel"/>
    <w:tmpl w:val="F2DC80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nsid w:val="4D212837"/>
    <w:multiLevelType w:val="hybridMultilevel"/>
    <w:tmpl w:val="E18A2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0035062"/>
    <w:multiLevelType w:val="hybridMultilevel"/>
    <w:tmpl w:val="2D940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13B06C3"/>
    <w:multiLevelType w:val="hybridMultilevel"/>
    <w:tmpl w:val="BB9868E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nsid w:val="52A96751"/>
    <w:multiLevelType w:val="hybridMultilevel"/>
    <w:tmpl w:val="DE40D53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nsid w:val="53274B43"/>
    <w:multiLevelType w:val="multilevel"/>
    <w:tmpl w:val="F726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BE61C0"/>
    <w:multiLevelType w:val="hybridMultilevel"/>
    <w:tmpl w:val="7A9E7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58877B66"/>
    <w:multiLevelType w:val="hybridMultilevel"/>
    <w:tmpl w:val="95C403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nsid w:val="60590A79"/>
    <w:multiLevelType w:val="multilevel"/>
    <w:tmpl w:val="0EC8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AE3B43"/>
    <w:multiLevelType w:val="multilevel"/>
    <w:tmpl w:val="51B28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C50697"/>
    <w:multiLevelType w:val="hybridMultilevel"/>
    <w:tmpl w:val="221862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6A080230"/>
    <w:multiLevelType w:val="hybridMultilevel"/>
    <w:tmpl w:val="0FD8226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nsid w:val="6EFE43BE"/>
    <w:multiLevelType w:val="hybridMultilevel"/>
    <w:tmpl w:val="237002D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700959B0"/>
    <w:multiLevelType w:val="hybridMultilevel"/>
    <w:tmpl w:val="FD322BD2"/>
    <w:lvl w:ilvl="0" w:tplc="F86C0A00">
      <w:start w:val="52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32D5738"/>
    <w:multiLevelType w:val="hybridMultilevel"/>
    <w:tmpl w:val="0E505A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5">
    <w:nsid w:val="7C005897"/>
    <w:multiLevelType w:val="multilevel"/>
    <w:tmpl w:val="CF046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C03614A"/>
    <w:multiLevelType w:val="hybridMultilevel"/>
    <w:tmpl w:val="4216B2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7CE6679E"/>
    <w:multiLevelType w:val="hybridMultilevel"/>
    <w:tmpl w:val="2B1C35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nsid w:val="7D1E451B"/>
    <w:multiLevelType w:val="hybridMultilevel"/>
    <w:tmpl w:val="C3E2427E"/>
    <w:lvl w:ilvl="0" w:tplc="E3446E68">
      <w:start w:val="1"/>
      <w:numFmt w:val="bullet"/>
      <w:lvlText w:val="-"/>
      <w:lvlJc w:val="left"/>
      <w:pPr>
        <w:ind w:left="1070"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nsid w:val="7FBF1B0B"/>
    <w:multiLevelType w:val="hybridMultilevel"/>
    <w:tmpl w:val="F1A01A5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15"/>
  </w:num>
  <w:num w:numId="2">
    <w:abstractNumId w:val="14"/>
  </w:num>
  <w:num w:numId="3">
    <w:abstractNumId w:val="18"/>
  </w:num>
  <w:num w:numId="4">
    <w:abstractNumId w:val="5"/>
  </w:num>
  <w:num w:numId="5">
    <w:abstractNumId w:val="38"/>
  </w:num>
  <w:num w:numId="6">
    <w:abstractNumId w:val="4"/>
  </w:num>
  <w:num w:numId="7">
    <w:abstractNumId w:val="16"/>
  </w:num>
  <w:num w:numId="8">
    <w:abstractNumId w:val="37"/>
  </w:num>
  <w:num w:numId="9">
    <w:abstractNumId w:val="32"/>
  </w:num>
  <w:num w:numId="10">
    <w:abstractNumId w:val="31"/>
  </w:num>
  <w:num w:numId="11">
    <w:abstractNumId w:val="27"/>
  </w:num>
  <w:num w:numId="12">
    <w:abstractNumId w:val="20"/>
  </w:num>
  <w:num w:numId="13">
    <w:abstractNumId w:val="10"/>
  </w:num>
  <w:num w:numId="14">
    <w:abstractNumId w:val="26"/>
  </w:num>
  <w:num w:numId="15">
    <w:abstractNumId w:val="22"/>
  </w:num>
  <w:num w:numId="16">
    <w:abstractNumId w:val="6"/>
  </w:num>
  <w:num w:numId="17">
    <w:abstractNumId w:val="39"/>
  </w:num>
  <w:num w:numId="18">
    <w:abstractNumId w:val="8"/>
  </w:num>
  <w:num w:numId="19">
    <w:abstractNumId w:val="30"/>
  </w:num>
  <w:num w:numId="20">
    <w:abstractNumId w:val="19"/>
  </w:num>
  <w:num w:numId="21">
    <w:abstractNumId w:val="24"/>
  </w:num>
  <w:num w:numId="22">
    <w:abstractNumId w:val="34"/>
  </w:num>
  <w:num w:numId="23">
    <w:abstractNumId w:val="23"/>
  </w:num>
  <w:num w:numId="24">
    <w:abstractNumId w:val="7"/>
  </w:num>
  <w:num w:numId="25">
    <w:abstractNumId w:val="36"/>
  </w:num>
  <w:num w:numId="26">
    <w:abstractNumId w:val="2"/>
  </w:num>
  <w:num w:numId="27">
    <w:abstractNumId w:val="12"/>
  </w:num>
  <w:num w:numId="28">
    <w:abstractNumId w:val="33"/>
  </w:num>
  <w:num w:numId="29">
    <w:abstractNumId w:val="1"/>
  </w:num>
  <w:num w:numId="30">
    <w:abstractNumId w:val="3"/>
  </w:num>
  <w:num w:numId="31">
    <w:abstractNumId w:val="25"/>
  </w:num>
  <w:num w:numId="32">
    <w:abstractNumId w:val="13"/>
  </w:num>
  <w:num w:numId="33">
    <w:abstractNumId w:val="28"/>
  </w:num>
  <w:num w:numId="34">
    <w:abstractNumId w:val="21"/>
  </w:num>
  <w:num w:numId="35">
    <w:abstractNumId w:val="11"/>
  </w:num>
  <w:num w:numId="36">
    <w:abstractNumId w:val="29"/>
  </w:num>
  <w:num w:numId="37">
    <w:abstractNumId w:val="17"/>
  </w:num>
  <w:num w:numId="38">
    <w:abstractNumId w:val="9"/>
  </w:num>
  <w:num w:numId="39">
    <w:abstractNumId w:val="35"/>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useFELayout/>
  </w:compat>
  <w:rsids>
    <w:rsidRoot w:val="00B822AE"/>
    <w:rsid w:val="0000043D"/>
    <w:rsid w:val="00000DFE"/>
    <w:rsid w:val="000029F5"/>
    <w:rsid w:val="00003F28"/>
    <w:rsid w:val="0000426C"/>
    <w:rsid w:val="00006CA2"/>
    <w:rsid w:val="00013A51"/>
    <w:rsid w:val="00016243"/>
    <w:rsid w:val="00023172"/>
    <w:rsid w:val="000235FE"/>
    <w:rsid w:val="000239F8"/>
    <w:rsid w:val="00023FC3"/>
    <w:rsid w:val="000265F2"/>
    <w:rsid w:val="0002763C"/>
    <w:rsid w:val="0002790C"/>
    <w:rsid w:val="00027B55"/>
    <w:rsid w:val="00030276"/>
    <w:rsid w:val="00030D25"/>
    <w:rsid w:val="000322CC"/>
    <w:rsid w:val="00032C88"/>
    <w:rsid w:val="00033474"/>
    <w:rsid w:val="00037E53"/>
    <w:rsid w:val="00041B99"/>
    <w:rsid w:val="00043DFF"/>
    <w:rsid w:val="00043F22"/>
    <w:rsid w:val="00050513"/>
    <w:rsid w:val="00050973"/>
    <w:rsid w:val="000509D6"/>
    <w:rsid w:val="0005111F"/>
    <w:rsid w:val="000518E6"/>
    <w:rsid w:val="00052942"/>
    <w:rsid w:val="00052980"/>
    <w:rsid w:val="00053688"/>
    <w:rsid w:val="00054C00"/>
    <w:rsid w:val="00056744"/>
    <w:rsid w:val="00056B96"/>
    <w:rsid w:val="0005766E"/>
    <w:rsid w:val="00057EB4"/>
    <w:rsid w:val="000605AE"/>
    <w:rsid w:val="0006063A"/>
    <w:rsid w:val="00060807"/>
    <w:rsid w:val="0006241F"/>
    <w:rsid w:val="0006332D"/>
    <w:rsid w:val="000656C9"/>
    <w:rsid w:val="00066A0F"/>
    <w:rsid w:val="0007109B"/>
    <w:rsid w:val="000720FA"/>
    <w:rsid w:val="00072FEF"/>
    <w:rsid w:val="00073A99"/>
    <w:rsid w:val="00074537"/>
    <w:rsid w:val="000749E7"/>
    <w:rsid w:val="00076738"/>
    <w:rsid w:val="00080353"/>
    <w:rsid w:val="000811D4"/>
    <w:rsid w:val="000813A0"/>
    <w:rsid w:val="00083709"/>
    <w:rsid w:val="00087F47"/>
    <w:rsid w:val="0009069B"/>
    <w:rsid w:val="00090D7F"/>
    <w:rsid w:val="0009145F"/>
    <w:rsid w:val="000935BF"/>
    <w:rsid w:val="00093614"/>
    <w:rsid w:val="00095A29"/>
    <w:rsid w:val="00095CEE"/>
    <w:rsid w:val="00095DB8"/>
    <w:rsid w:val="000960E9"/>
    <w:rsid w:val="00096490"/>
    <w:rsid w:val="000966FF"/>
    <w:rsid w:val="00097905"/>
    <w:rsid w:val="000A0505"/>
    <w:rsid w:val="000A0813"/>
    <w:rsid w:val="000A1366"/>
    <w:rsid w:val="000A1D02"/>
    <w:rsid w:val="000A33BC"/>
    <w:rsid w:val="000A5388"/>
    <w:rsid w:val="000A5FCE"/>
    <w:rsid w:val="000A6A30"/>
    <w:rsid w:val="000A716E"/>
    <w:rsid w:val="000A7440"/>
    <w:rsid w:val="000A7661"/>
    <w:rsid w:val="000A79D4"/>
    <w:rsid w:val="000B0E09"/>
    <w:rsid w:val="000B0E68"/>
    <w:rsid w:val="000B1ECA"/>
    <w:rsid w:val="000B21B1"/>
    <w:rsid w:val="000B36F8"/>
    <w:rsid w:val="000B50C3"/>
    <w:rsid w:val="000C066C"/>
    <w:rsid w:val="000C25FC"/>
    <w:rsid w:val="000C428F"/>
    <w:rsid w:val="000C42BD"/>
    <w:rsid w:val="000C4CF6"/>
    <w:rsid w:val="000C4DDE"/>
    <w:rsid w:val="000C50D9"/>
    <w:rsid w:val="000C5BFA"/>
    <w:rsid w:val="000D0CC8"/>
    <w:rsid w:val="000D262D"/>
    <w:rsid w:val="000D3F9D"/>
    <w:rsid w:val="000D5E9E"/>
    <w:rsid w:val="000D7A2A"/>
    <w:rsid w:val="000D7E7B"/>
    <w:rsid w:val="000E0267"/>
    <w:rsid w:val="000E1241"/>
    <w:rsid w:val="000E4F01"/>
    <w:rsid w:val="000E4FF0"/>
    <w:rsid w:val="000E5335"/>
    <w:rsid w:val="000E543E"/>
    <w:rsid w:val="000E5C26"/>
    <w:rsid w:val="000E5D73"/>
    <w:rsid w:val="000E5E41"/>
    <w:rsid w:val="000E6DE0"/>
    <w:rsid w:val="000E6EF7"/>
    <w:rsid w:val="000E70AD"/>
    <w:rsid w:val="000E7B6A"/>
    <w:rsid w:val="000F24D9"/>
    <w:rsid w:val="000F2810"/>
    <w:rsid w:val="000F2991"/>
    <w:rsid w:val="000F48AD"/>
    <w:rsid w:val="000F4AA1"/>
    <w:rsid w:val="000F68B5"/>
    <w:rsid w:val="000F7539"/>
    <w:rsid w:val="001002E5"/>
    <w:rsid w:val="0010076B"/>
    <w:rsid w:val="001007DF"/>
    <w:rsid w:val="00100866"/>
    <w:rsid w:val="00100A72"/>
    <w:rsid w:val="001011EF"/>
    <w:rsid w:val="001013A9"/>
    <w:rsid w:val="001016B2"/>
    <w:rsid w:val="0010251E"/>
    <w:rsid w:val="0010603D"/>
    <w:rsid w:val="001069B5"/>
    <w:rsid w:val="00107A02"/>
    <w:rsid w:val="0011086C"/>
    <w:rsid w:val="00110E26"/>
    <w:rsid w:val="001113F1"/>
    <w:rsid w:val="00112C59"/>
    <w:rsid w:val="001151D1"/>
    <w:rsid w:val="00116E97"/>
    <w:rsid w:val="00117B2F"/>
    <w:rsid w:val="00120948"/>
    <w:rsid w:val="00122E3C"/>
    <w:rsid w:val="00123D4F"/>
    <w:rsid w:val="001241DC"/>
    <w:rsid w:val="00124487"/>
    <w:rsid w:val="00124846"/>
    <w:rsid w:val="001251DF"/>
    <w:rsid w:val="00126581"/>
    <w:rsid w:val="001275AD"/>
    <w:rsid w:val="00130367"/>
    <w:rsid w:val="0013156A"/>
    <w:rsid w:val="0013307F"/>
    <w:rsid w:val="00135FCF"/>
    <w:rsid w:val="001372FF"/>
    <w:rsid w:val="001374FB"/>
    <w:rsid w:val="00137527"/>
    <w:rsid w:val="00140133"/>
    <w:rsid w:val="00140E91"/>
    <w:rsid w:val="00142329"/>
    <w:rsid w:val="0014246D"/>
    <w:rsid w:val="00145BDB"/>
    <w:rsid w:val="001502A4"/>
    <w:rsid w:val="00150829"/>
    <w:rsid w:val="00150BFE"/>
    <w:rsid w:val="00150C8B"/>
    <w:rsid w:val="00150D8D"/>
    <w:rsid w:val="00152C44"/>
    <w:rsid w:val="0015350F"/>
    <w:rsid w:val="0015504B"/>
    <w:rsid w:val="001561B7"/>
    <w:rsid w:val="001562F9"/>
    <w:rsid w:val="00156322"/>
    <w:rsid w:val="00160808"/>
    <w:rsid w:val="0016229B"/>
    <w:rsid w:val="00163041"/>
    <w:rsid w:val="0016359B"/>
    <w:rsid w:val="00163F85"/>
    <w:rsid w:val="00164204"/>
    <w:rsid w:val="00166525"/>
    <w:rsid w:val="001678E1"/>
    <w:rsid w:val="001702F1"/>
    <w:rsid w:val="001716A5"/>
    <w:rsid w:val="001718C6"/>
    <w:rsid w:val="00172082"/>
    <w:rsid w:val="00172D31"/>
    <w:rsid w:val="001730CE"/>
    <w:rsid w:val="001744F9"/>
    <w:rsid w:val="00176B4A"/>
    <w:rsid w:val="00176D59"/>
    <w:rsid w:val="00180F27"/>
    <w:rsid w:val="00181692"/>
    <w:rsid w:val="00181834"/>
    <w:rsid w:val="00182C85"/>
    <w:rsid w:val="00183F2A"/>
    <w:rsid w:val="0018438E"/>
    <w:rsid w:val="0018465B"/>
    <w:rsid w:val="001857BF"/>
    <w:rsid w:val="00194C4A"/>
    <w:rsid w:val="00195848"/>
    <w:rsid w:val="001969F4"/>
    <w:rsid w:val="00197FA5"/>
    <w:rsid w:val="001A0A4A"/>
    <w:rsid w:val="001A2289"/>
    <w:rsid w:val="001A2AF4"/>
    <w:rsid w:val="001A4B92"/>
    <w:rsid w:val="001A4BA6"/>
    <w:rsid w:val="001B141C"/>
    <w:rsid w:val="001B3412"/>
    <w:rsid w:val="001B433D"/>
    <w:rsid w:val="001B435E"/>
    <w:rsid w:val="001B492E"/>
    <w:rsid w:val="001B49E0"/>
    <w:rsid w:val="001B4F39"/>
    <w:rsid w:val="001B5B58"/>
    <w:rsid w:val="001B6A22"/>
    <w:rsid w:val="001C0D19"/>
    <w:rsid w:val="001C2D43"/>
    <w:rsid w:val="001C4062"/>
    <w:rsid w:val="001C6837"/>
    <w:rsid w:val="001D0878"/>
    <w:rsid w:val="001D24CB"/>
    <w:rsid w:val="001D3F0A"/>
    <w:rsid w:val="001D3FE7"/>
    <w:rsid w:val="001D4FE3"/>
    <w:rsid w:val="001D5FAA"/>
    <w:rsid w:val="001D61A6"/>
    <w:rsid w:val="001D6580"/>
    <w:rsid w:val="001E0D41"/>
    <w:rsid w:val="001E1D4B"/>
    <w:rsid w:val="001E5241"/>
    <w:rsid w:val="001E5AD4"/>
    <w:rsid w:val="001E70DC"/>
    <w:rsid w:val="001F266D"/>
    <w:rsid w:val="001F2973"/>
    <w:rsid w:val="001F609D"/>
    <w:rsid w:val="001F6AFE"/>
    <w:rsid w:val="001F6EE2"/>
    <w:rsid w:val="001F7A1B"/>
    <w:rsid w:val="00201216"/>
    <w:rsid w:val="00201789"/>
    <w:rsid w:val="00201D3E"/>
    <w:rsid w:val="0020222B"/>
    <w:rsid w:val="00204632"/>
    <w:rsid w:val="00205275"/>
    <w:rsid w:val="00206188"/>
    <w:rsid w:val="002064BE"/>
    <w:rsid w:val="0020665B"/>
    <w:rsid w:val="002078D9"/>
    <w:rsid w:val="00211744"/>
    <w:rsid w:val="00212679"/>
    <w:rsid w:val="00213D95"/>
    <w:rsid w:val="0021741F"/>
    <w:rsid w:val="00220BC0"/>
    <w:rsid w:val="00221294"/>
    <w:rsid w:val="002228CE"/>
    <w:rsid w:val="002230E5"/>
    <w:rsid w:val="0022339C"/>
    <w:rsid w:val="00224B54"/>
    <w:rsid w:val="00227213"/>
    <w:rsid w:val="00230886"/>
    <w:rsid w:val="00230CBA"/>
    <w:rsid w:val="002322F8"/>
    <w:rsid w:val="00232E7D"/>
    <w:rsid w:val="00233297"/>
    <w:rsid w:val="0023344C"/>
    <w:rsid w:val="00233471"/>
    <w:rsid w:val="00235460"/>
    <w:rsid w:val="002406D7"/>
    <w:rsid w:val="00240AB6"/>
    <w:rsid w:val="00240D5A"/>
    <w:rsid w:val="002433F9"/>
    <w:rsid w:val="0024421D"/>
    <w:rsid w:val="00245F54"/>
    <w:rsid w:val="00247A48"/>
    <w:rsid w:val="00250170"/>
    <w:rsid w:val="0025215D"/>
    <w:rsid w:val="0025229B"/>
    <w:rsid w:val="002529FC"/>
    <w:rsid w:val="00252BE8"/>
    <w:rsid w:val="002578AE"/>
    <w:rsid w:val="00257E46"/>
    <w:rsid w:val="00260DB3"/>
    <w:rsid w:val="002620A3"/>
    <w:rsid w:val="00262D67"/>
    <w:rsid w:val="0026316A"/>
    <w:rsid w:val="00263B43"/>
    <w:rsid w:val="00265DE6"/>
    <w:rsid w:val="00267F83"/>
    <w:rsid w:val="002707CE"/>
    <w:rsid w:val="0027096A"/>
    <w:rsid w:val="00271B27"/>
    <w:rsid w:val="00273B23"/>
    <w:rsid w:val="00274662"/>
    <w:rsid w:val="00274AB8"/>
    <w:rsid w:val="00275267"/>
    <w:rsid w:val="00275640"/>
    <w:rsid w:val="002758D9"/>
    <w:rsid w:val="00275C89"/>
    <w:rsid w:val="00275D37"/>
    <w:rsid w:val="00277851"/>
    <w:rsid w:val="002812C9"/>
    <w:rsid w:val="002819C3"/>
    <w:rsid w:val="00281C64"/>
    <w:rsid w:val="00285E0A"/>
    <w:rsid w:val="002864BF"/>
    <w:rsid w:val="002872A1"/>
    <w:rsid w:val="002878D4"/>
    <w:rsid w:val="00287C29"/>
    <w:rsid w:val="00294D8D"/>
    <w:rsid w:val="00294DCA"/>
    <w:rsid w:val="002950AE"/>
    <w:rsid w:val="0029595D"/>
    <w:rsid w:val="00297A5F"/>
    <w:rsid w:val="00297C81"/>
    <w:rsid w:val="002A0661"/>
    <w:rsid w:val="002A2493"/>
    <w:rsid w:val="002A2ED0"/>
    <w:rsid w:val="002A2FFB"/>
    <w:rsid w:val="002A3E38"/>
    <w:rsid w:val="002A5803"/>
    <w:rsid w:val="002A697C"/>
    <w:rsid w:val="002B150B"/>
    <w:rsid w:val="002B1EC6"/>
    <w:rsid w:val="002B21CF"/>
    <w:rsid w:val="002B578F"/>
    <w:rsid w:val="002B7D91"/>
    <w:rsid w:val="002C0B8C"/>
    <w:rsid w:val="002C0E79"/>
    <w:rsid w:val="002C13D6"/>
    <w:rsid w:val="002C40C1"/>
    <w:rsid w:val="002C4934"/>
    <w:rsid w:val="002C5F43"/>
    <w:rsid w:val="002C6163"/>
    <w:rsid w:val="002C6D6A"/>
    <w:rsid w:val="002C726B"/>
    <w:rsid w:val="002D0E6E"/>
    <w:rsid w:val="002D2CA5"/>
    <w:rsid w:val="002D356A"/>
    <w:rsid w:val="002D4758"/>
    <w:rsid w:val="002D4E4B"/>
    <w:rsid w:val="002D5347"/>
    <w:rsid w:val="002D5514"/>
    <w:rsid w:val="002D66D2"/>
    <w:rsid w:val="002E2478"/>
    <w:rsid w:val="002E60B0"/>
    <w:rsid w:val="002E634D"/>
    <w:rsid w:val="002F24E1"/>
    <w:rsid w:val="002F465C"/>
    <w:rsid w:val="002F4EAD"/>
    <w:rsid w:val="002F56F3"/>
    <w:rsid w:val="002F720A"/>
    <w:rsid w:val="0030018D"/>
    <w:rsid w:val="003007C0"/>
    <w:rsid w:val="0030111F"/>
    <w:rsid w:val="00302E51"/>
    <w:rsid w:val="003035FC"/>
    <w:rsid w:val="00304647"/>
    <w:rsid w:val="00304CC8"/>
    <w:rsid w:val="003064A2"/>
    <w:rsid w:val="003066FD"/>
    <w:rsid w:val="0031028F"/>
    <w:rsid w:val="003136F0"/>
    <w:rsid w:val="00313DE0"/>
    <w:rsid w:val="00314F36"/>
    <w:rsid w:val="00315C5D"/>
    <w:rsid w:val="00316C56"/>
    <w:rsid w:val="003179DE"/>
    <w:rsid w:val="00325767"/>
    <w:rsid w:val="00325D82"/>
    <w:rsid w:val="00326A3F"/>
    <w:rsid w:val="00326D5E"/>
    <w:rsid w:val="00327190"/>
    <w:rsid w:val="00330DA7"/>
    <w:rsid w:val="0033255F"/>
    <w:rsid w:val="003339BF"/>
    <w:rsid w:val="00334257"/>
    <w:rsid w:val="003358BC"/>
    <w:rsid w:val="00336374"/>
    <w:rsid w:val="00336A9C"/>
    <w:rsid w:val="00337177"/>
    <w:rsid w:val="00337FD1"/>
    <w:rsid w:val="00343E6A"/>
    <w:rsid w:val="0034517D"/>
    <w:rsid w:val="00345B72"/>
    <w:rsid w:val="00345F53"/>
    <w:rsid w:val="00346B88"/>
    <w:rsid w:val="00347356"/>
    <w:rsid w:val="00353CF3"/>
    <w:rsid w:val="00354185"/>
    <w:rsid w:val="0035429D"/>
    <w:rsid w:val="00356457"/>
    <w:rsid w:val="00356F77"/>
    <w:rsid w:val="00357AB4"/>
    <w:rsid w:val="00360B90"/>
    <w:rsid w:val="0036322F"/>
    <w:rsid w:val="0036449A"/>
    <w:rsid w:val="003654F7"/>
    <w:rsid w:val="00365629"/>
    <w:rsid w:val="00365DB0"/>
    <w:rsid w:val="00365E20"/>
    <w:rsid w:val="00366711"/>
    <w:rsid w:val="00366853"/>
    <w:rsid w:val="00367221"/>
    <w:rsid w:val="003708B1"/>
    <w:rsid w:val="0037150E"/>
    <w:rsid w:val="00371E88"/>
    <w:rsid w:val="003725EF"/>
    <w:rsid w:val="00373469"/>
    <w:rsid w:val="00373CB7"/>
    <w:rsid w:val="0037670E"/>
    <w:rsid w:val="003769A0"/>
    <w:rsid w:val="00376AEA"/>
    <w:rsid w:val="003803EA"/>
    <w:rsid w:val="003811F4"/>
    <w:rsid w:val="0038203D"/>
    <w:rsid w:val="003822DA"/>
    <w:rsid w:val="00382E22"/>
    <w:rsid w:val="00385EF2"/>
    <w:rsid w:val="00391510"/>
    <w:rsid w:val="00392682"/>
    <w:rsid w:val="003929AF"/>
    <w:rsid w:val="00393779"/>
    <w:rsid w:val="00393ADF"/>
    <w:rsid w:val="0039555C"/>
    <w:rsid w:val="0039603B"/>
    <w:rsid w:val="003967CD"/>
    <w:rsid w:val="00396C1F"/>
    <w:rsid w:val="00396CC1"/>
    <w:rsid w:val="003A1BD9"/>
    <w:rsid w:val="003A278F"/>
    <w:rsid w:val="003A3E9C"/>
    <w:rsid w:val="003A425C"/>
    <w:rsid w:val="003A64F3"/>
    <w:rsid w:val="003A6D9D"/>
    <w:rsid w:val="003A7518"/>
    <w:rsid w:val="003A7D75"/>
    <w:rsid w:val="003A7F8C"/>
    <w:rsid w:val="003B0069"/>
    <w:rsid w:val="003B3B12"/>
    <w:rsid w:val="003B46E2"/>
    <w:rsid w:val="003B564F"/>
    <w:rsid w:val="003B59C2"/>
    <w:rsid w:val="003B67DB"/>
    <w:rsid w:val="003C0C29"/>
    <w:rsid w:val="003C1CE3"/>
    <w:rsid w:val="003C4333"/>
    <w:rsid w:val="003C44EC"/>
    <w:rsid w:val="003C4D00"/>
    <w:rsid w:val="003C4DEF"/>
    <w:rsid w:val="003C5079"/>
    <w:rsid w:val="003C5756"/>
    <w:rsid w:val="003C6639"/>
    <w:rsid w:val="003C79CC"/>
    <w:rsid w:val="003C7B80"/>
    <w:rsid w:val="003D034E"/>
    <w:rsid w:val="003D3240"/>
    <w:rsid w:val="003D3A46"/>
    <w:rsid w:val="003D4C3F"/>
    <w:rsid w:val="003D61A3"/>
    <w:rsid w:val="003D630B"/>
    <w:rsid w:val="003D7D2D"/>
    <w:rsid w:val="003E0BD1"/>
    <w:rsid w:val="003E1172"/>
    <w:rsid w:val="003E1A6A"/>
    <w:rsid w:val="003E4885"/>
    <w:rsid w:val="003E6385"/>
    <w:rsid w:val="003E63BF"/>
    <w:rsid w:val="003E7EB1"/>
    <w:rsid w:val="003F05A0"/>
    <w:rsid w:val="003F0E0C"/>
    <w:rsid w:val="003F14D8"/>
    <w:rsid w:val="003F233A"/>
    <w:rsid w:val="003F36BF"/>
    <w:rsid w:val="003F4201"/>
    <w:rsid w:val="003F4605"/>
    <w:rsid w:val="003F5BA6"/>
    <w:rsid w:val="003F5BFD"/>
    <w:rsid w:val="003F5D2C"/>
    <w:rsid w:val="003F772B"/>
    <w:rsid w:val="00400F37"/>
    <w:rsid w:val="00401B40"/>
    <w:rsid w:val="00403A36"/>
    <w:rsid w:val="00405AF2"/>
    <w:rsid w:val="00405CB1"/>
    <w:rsid w:val="0040640A"/>
    <w:rsid w:val="00410144"/>
    <w:rsid w:val="004119F9"/>
    <w:rsid w:val="00411E57"/>
    <w:rsid w:val="0041210C"/>
    <w:rsid w:val="0041407F"/>
    <w:rsid w:val="0041467C"/>
    <w:rsid w:val="004156BE"/>
    <w:rsid w:val="004203B5"/>
    <w:rsid w:val="00421909"/>
    <w:rsid w:val="004220E8"/>
    <w:rsid w:val="00422799"/>
    <w:rsid w:val="00422CC1"/>
    <w:rsid w:val="00422CD3"/>
    <w:rsid w:val="004231B1"/>
    <w:rsid w:val="00423C76"/>
    <w:rsid w:val="00424497"/>
    <w:rsid w:val="00427583"/>
    <w:rsid w:val="00430272"/>
    <w:rsid w:val="00430EEF"/>
    <w:rsid w:val="0043415B"/>
    <w:rsid w:val="004357EC"/>
    <w:rsid w:val="00436BE0"/>
    <w:rsid w:val="00437F01"/>
    <w:rsid w:val="004406D3"/>
    <w:rsid w:val="00440E4F"/>
    <w:rsid w:val="0044118A"/>
    <w:rsid w:val="004430FD"/>
    <w:rsid w:val="004447AC"/>
    <w:rsid w:val="004460CA"/>
    <w:rsid w:val="004476CF"/>
    <w:rsid w:val="0045028A"/>
    <w:rsid w:val="00450884"/>
    <w:rsid w:val="004511B9"/>
    <w:rsid w:val="0045286E"/>
    <w:rsid w:val="004565E3"/>
    <w:rsid w:val="00456717"/>
    <w:rsid w:val="0045734E"/>
    <w:rsid w:val="00457A2E"/>
    <w:rsid w:val="00457FD6"/>
    <w:rsid w:val="004607D4"/>
    <w:rsid w:val="00460830"/>
    <w:rsid w:val="00461F58"/>
    <w:rsid w:val="00462E2F"/>
    <w:rsid w:val="00463D99"/>
    <w:rsid w:val="0046594F"/>
    <w:rsid w:val="004663D7"/>
    <w:rsid w:val="0046681B"/>
    <w:rsid w:val="00467482"/>
    <w:rsid w:val="004677F3"/>
    <w:rsid w:val="00467F92"/>
    <w:rsid w:val="00472075"/>
    <w:rsid w:val="00472A0E"/>
    <w:rsid w:val="00472D67"/>
    <w:rsid w:val="00474038"/>
    <w:rsid w:val="00474495"/>
    <w:rsid w:val="0047545B"/>
    <w:rsid w:val="0047737A"/>
    <w:rsid w:val="0048001E"/>
    <w:rsid w:val="0048006B"/>
    <w:rsid w:val="004808E3"/>
    <w:rsid w:val="00481ED7"/>
    <w:rsid w:val="00484DC6"/>
    <w:rsid w:val="0048508A"/>
    <w:rsid w:val="00485EAD"/>
    <w:rsid w:val="00486116"/>
    <w:rsid w:val="0048699E"/>
    <w:rsid w:val="00486F0F"/>
    <w:rsid w:val="00486F44"/>
    <w:rsid w:val="00487D07"/>
    <w:rsid w:val="00491B48"/>
    <w:rsid w:val="00491C9E"/>
    <w:rsid w:val="00492336"/>
    <w:rsid w:val="00492EAA"/>
    <w:rsid w:val="0049622D"/>
    <w:rsid w:val="0049780D"/>
    <w:rsid w:val="004A0AFF"/>
    <w:rsid w:val="004A1337"/>
    <w:rsid w:val="004A2059"/>
    <w:rsid w:val="004A2E41"/>
    <w:rsid w:val="004A2F39"/>
    <w:rsid w:val="004A3164"/>
    <w:rsid w:val="004A38A4"/>
    <w:rsid w:val="004A3969"/>
    <w:rsid w:val="004A41BA"/>
    <w:rsid w:val="004A576F"/>
    <w:rsid w:val="004B0256"/>
    <w:rsid w:val="004B1E14"/>
    <w:rsid w:val="004B2333"/>
    <w:rsid w:val="004B501C"/>
    <w:rsid w:val="004B5028"/>
    <w:rsid w:val="004B602A"/>
    <w:rsid w:val="004B65EA"/>
    <w:rsid w:val="004C0064"/>
    <w:rsid w:val="004C02D2"/>
    <w:rsid w:val="004C0E9C"/>
    <w:rsid w:val="004C11D6"/>
    <w:rsid w:val="004C3BCF"/>
    <w:rsid w:val="004C4560"/>
    <w:rsid w:val="004C553A"/>
    <w:rsid w:val="004C5A2D"/>
    <w:rsid w:val="004C5E93"/>
    <w:rsid w:val="004C683D"/>
    <w:rsid w:val="004C7280"/>
    <w:rsid w:val="004D1CDD"/>
    <w:rsid w:val="004D2B3F"/>
    <w:rsid w:val="004D459C"/>
    <w:rsid w:val="004D4952"/>
    <w:rsid w:val="004D565D"/>
    <w:rsid w:val="004D6E31"/>
    <w:rsid w:val="004E2407"/>
    <w:rsid w:val="004E380A"/>
    <w:rsid w:val="004E3CC8"/>
    <w:rsid w:val="004E4A07"/>
    <w:rsid w:val="004E5A13"/>
    <w:rsid w:val="004E6180"/>
    <w:rsid w:val="004E6AB4"/>
    <w:rsid w:val="004E7072"/>
    <w:rsid w:val="004F02E6"/>
    <w:rsid w:val="004F0715"/>
    <w:rsid w:val="004F28D9"/>
    <w:rsid w:val="004F62AB"/>
    <w:rsid w:val="004F6878"/>
    <w:rsid w:val="004F6EBF"/>
    <w:rsid w:val="004F7AEB"/>
    <w:rsid w:val="005000F2"/>
    <w:rsid w:val="0050180F"/>
    <w:rsid w:val="0050181C"/>
    <w:rsid w:val="00501B69"/>
    <w:rsid w:val="00502A90"/>
    <w:rsid w:val="00503C84"/>
    <w:rsid w:val="005046A6"/>
    <w:rsid w:val="00504A89"/>
    <w:rsid w:val="00506001"/>
    <w:rsid w:val="0050695B"/>
    <w:rsid w:val="00510322"/>
    <w:rsid w:val="00510C4E"/>
    <w:rsid w:val="00511E03"/>
    <w:rsid w:val="005134EA"/>
    <w:rsid w:val="005136C8"/>
    <w:rsid w:val="00513F54"/>
    <w:rsid w:val="005147C8"/>
    <w:rsid w:val="005149DE"/>
    <w:rsid w:val="005156C9"/>
    <w:rsid w:val="00515E7B"/>
    <w:rsid w:val="005161CD"/>
    <w:rsid w:val="00517096"/>
    <w:rsid w:val="0052077F"/>
    <w:rsid w:val="00520A90"/>
    <w:rsid w:val="00521780"/>
    <w:rsid w:val="00521A7A"/>
    <w:rsid w:val="005225FA"/>
    <w:rsid w:val="00522925"/>
    <w:rsid w:val="0052313B"/>
    <w:rsid w:val="00524174"/>
    <w:rsid w:val="005250A0"/>
    <w:rsid w:val="00527B77"/>
    <w:rsid w:val="00531A2E"/>
    <w:rsid w:val="0053510F"/>
    <w:rsid w:val="00535A7E"/>
    <w:rsid w:val="00536EAA"/>
    <w:rsid w:val="00537933"/>
    <w:rsid w:val="00541D3B"/>
    <w:rsid w:val="005422B9"/>
    <w:rsid w:val="00543543"/>
    <w:rsid w:val="00543E75"/>
    <w:rsid w:val="005444BC"/>
    <w:rsid w:val="0054614F"/>
    <w:rsid w:val="005511D8"/>
    <w:rsid w:val="0055269D"/>
    <w:rsid w:val="00552EB1"/>
    <w:rsid w:val="0055304F"/>
    <w:rsid w:val="00553B73"/>
    <w:rsid w:val="00556303"/>
    <w:rsid w:val="00560129"/>
    <w:rsid w:val="0056029E"/>
    <w:rsid w:val="00565200"/>
    <w:rsid w:val="0057044A"/>
    <w:rsid w:val="00570FDE"/>
    <w:rsid w:val="0057177C"/>
    <w:rsid w:val="00573C9E"/>
    <w:rsid w:val="0057746D"/>
    <w:rsid w:val="00577486"/>
    <w:rsid w:val="00580026"/>
    <w:rsid w:val="0058074F"/>
    <w:rsid w:val="005812D7"/>
    <w:rsid w:val="005820BB"/>
    <w:rsid w:val="00582D08"/>
    <w:rsid w:val="0058425A"/>
    <w:rsid w:val="00585064"/>
    <w:rsid w:val="0058529D"/>
    <w:rsid w:val="00585421"/>
    <w:rsid w:val="00586B4B"/>
    <w:rsid w:val="00587757"/>
    <w:rsid w:val="0059111C"/>
    <w:rsid w:val="005926D0"/>
    <w:rsid w:val="00592E71"/>
    <w:rsid w:val="00594484"/>
    <w:rsid w:val="005944B3"/>
    <w:rsid w:val="005959F9"/>
    <w:rsid w:val="00596138"/>
    <w:rsid w:val="00596A01"/>
    <w:rsid w:val="00596B63"/>
    <w:rsid w:val="00596FFF"/>
    <w:rsid w:val="005A4724"/>
    <w:rsid w:val="005A4F90"/>
    <w:rsid w:val="005A5540"/>
    <w:rsid w:val="005A594A"/>
    <w:rsid w:val="005A6134"/>
    <w:rsid w:val="005A708F"/>
    <w:rsid w:val="005B0902"/>
    <w:rsid w:val="005B26CF"/>
    <w:rsid w:val="005B2F3E"/>
    <w:rsid w:val="005B349C"/>
    <w:rsid w:val="005B40B4"/>
    <w:rsid w:val="005B4458"/>
    <w:rsid w:val="005B4EB5"/>
    <w:rsid w:val="005B5FB6"/>
    <w:rsid w:val="005B61BE"/>
    <w:rsid w:val="005B6338"/>
    <w:rsid w:val="005B71A4"/>
    <w:rsid w:val="005B7606"/>
    <w:rsid w:val="005C0B03"/>
    <w:rsid w:val="005C11B7"/>
    <w:rsid w:val="005C18B3"/>
    <w:rsid w:val="005C2692"/>
    <w:rsid w:val="005C3518"/>
    <w:rsid w:val="005C38E1"/>
    <w:rsid w:val="005C4356"/>
    <w:rsid w:val="005C5B3E"/>
    <w:rsid w:val="005C667B"/>
    <w:rsid w:val="005C774B"/>
    <w:rsid w:val="005C7EFD"/>
    <w:rsid w:val="005C7F45"/>
    <w:rsid w:val="005D133E"/>
    <w:rsid w:val="005D349F"/>
    <w:rsid w:val="005D384C"/>
    <w:rsid w:val="005D3DDE"/>
    <w:rsid w:val="005D4BB1"/>
    <w:rsid w:val="005D5C08"/>
    <w:rsid w:val="005D6654"/>
    <w:rsid w:val="005D7021"/>
    <w:rsid w:val="005E02CA"/>
    <w:rsid w:val="005E0C21"/>
    <w:rsid w:val="005E264E"/>
    <w:rsid w:val="005E3D04"/>
    <w:rsid w:val="005E7F42"/>
    <w:rsid w:val="005F0C34"/>
    <w:rsid w:val="005F20AA"/>
    <w:rsid w:val="005F2EF5"/>
    <w:rsid w:val="005F393C"/>
    <w:rsid w:val="005F4F0E"/>
    <w:rsid w:val="005F5BF3"/>
    <w:rsid w:val="00600ED9"/>
    <w:rsid w:val="006013F5"/>
    <w:rsid w:val="00601C15"/>
    <w:rsid w:val="0060305D"/>
    <w:rsid w:val="006046B9"/>
    <w:rsid w:val="00604F86"/>
    <w:rsid w:val="006054D9"/>
    <w:rsid w:val="00605F33"/>
    <w:rsid w:val="0060760B"/>
    <w:rsid w:val="0060785E"/>
    <w:rsid w:val="0061031A"/>
    <w:rsid w:val="00611069"/>
    <w:rsid w:val="00611DD6"/>
    <w:rsid w:val="00613278"/>
    <w:rsid w:val="00613568"/>
    <w:rsid w:val="0061427E"/>
    <w:rsid w:val="006150BC"/>
    <w:rsid w:val="00615211"/>
    <w:rsid w:val="00615341"/>
    <w:rsid w:val="00616C3D"/>
    <w:rsid w:val="006203FF"/>
    <w:rsid w:val="00622F53"/>
    <w:rsid w:val="006236FC"/>
    <w:rsid w:val="00623854"/>
    <w:rsid w:val="006253F0"/>
    <w:rsid w:val="0062557B"/>
    <w:rsid w:val="0063002C"/>
    <w:rsid w:val="00630A60"/>
    <w:rsid w:val="0063158E"/>
    <w:rsid w:val="00632FC8"/>
    <w:rsid w:val="00634112"/>
    <w:rsid w:val="006343F3"/>
    <w:rsid w:val="00634CD2"/>
    <w:rsid w:val="006361C6"/>
    <w:rsid w:val="00636242"/>
    <w:rsid w:val="006364D0"/>
    <w:rsid w:val="0063693D"/>
    <w:rsid w:val="006378CE"/>
    <w:rsid w:val="00637A2E"/>
    <w:rsid w:val="00637D1E"/>
    <w:rsid w:val="00640B15"/>
    <w:rsid w:val="00644401"/>
    <w:rsid w:val="0064655B"/>
    <w:rsid w:val="006476A2"/>
    <w:rsid w:val="00647915"/>
    <w:rsid w:val="00650108"/>
    <w:rsid w:val="0065144F"/>
    <w:rsid w:val="00651474"/>
    <w:rsid w:val="0065587A"/>
    <w:rsid w:val="00657180"/>
    <w:rsid w:val="00661E40"/>
    <w:rsid w:val="006637DB"/>
    <w:rsid w:val="00663C26"/>
    <w:rsid w:val="00664DF5"/>
    <w:rsid w:val="006671F3"/>
    <w:rsid w:val="00667557"/>
    <w:rsid w:val="00667A02"/>
    <w:rsid w:val="00667F49"/>
    <w:rsid w:val="006701E6"/>
    <w:rsid w:val="00670FF4"/>
    <w:rsid w:val="00671464"/>
    <w:rsid w:val="006720CF"/>
    <w:rsid w:val="006723B7"/>
    <w:rsid w:val="00672765"/>
    <w:rsid w:val="0067399B"/>
    <w:rsid w:val="00674224"/>
    <w:rsid w:val="00674EEA"/>
    <w:rsid w:val="0067631F"/>
    <w:rsid w:val="00676BCE"/>
    <w:rsid w:val="00676E36"/>
    <w:rsid w:val="00681B3B"/>
    <w:rsid w:val="00681C40"/>
    <w:rsid w:val="00682544"/>
    <w:rsid w:val="006830A3"/>
    <w:rsid w:val="0068400D"/>
    <w:rsid w:val="00685A8E"/>
    <w:rsid w:val="00686574"/>
    <w:rsid w:val="00687CA2"/>
    <w:rsid w:val="0069121B"/>
    <w:rsid w:val="00692249"/>
    <w:rsid w:val="00692FCD"/>
    <w:rsid w:val="006932B0"/>
    <w:rsid w:val="0069346B"/>
    <w:rsid w:val="00694E4B"/>
    <w:rsid w:val="00694E72"/>
    <w:rsid w:val="00695422"/>
    <w:rsid w:val="00695DCA"/>
    <w:rsid w:val="00697035"/>
    <w:rsid w:val="006A0863"/>
    <w:rsid w:val="006A1434"/>
    <w:rsid w:val="006A2C36"/>
    <w:rsid w:val="006A366A"/>
    <w:rsid w:val="006A3DFB"/>
    <w:rsid w:val="006A46C7"/>
    <w:rsid w:val="006A4B17"/>
    <w:rsid w:val="006A54D4"/>
    <w:rsid w:val="006A5629"/>
    <w:rsid w:val="006A690E"/>
    <w:rsid w:val="006A711F"/>
    <w:rsid w:val="006B2756"/>
    <w:rsid w:val="006B33A6"/>
    <w:rsid w:val="006B7AAB"/>
    <w:rsid w:val="006C1155"/>
    <w:rsid w:val="006C148E"/>
    <w:rsid w:val="006C16A0"/>
    <w:rsid w:val="006C1CD1"/>
    <w:rsid w:val="006C1EA0"/>
    <w:rsid w:val="006C27A4"/>
    <w:rsid w:val="006C6C7B"/>
    <w:rsid w:val="006C75C5"/>
    <w:rsid w:val="006D3318"/>
    <w:rsid w:val="006D393C"/>
    <w:rsid w:val="006D3BD5"/>
    <w:rsid w:val="006D4128"/>
    <w:rsid w:val="006D41BA"/>
    <w:rsid w:val="006D424A"/>
    <w:rsid w:val="006D5372"/>
    <w:rsid w:val="006D7497"/>
    <w:rsid w:val="006D75FC"/>
    <w:rsid w:val="006E0236"/>
    <w:rsid w:val="006E128F"/>
    <w:rsid w:val="006E1D09"/>
    <w:rsid w:val="006E3B9B"/>
    <w:rsid w:val="006E461A"/>
    <w:rsid w:val="006E5D43"/>
    <w:rsid w:val="006E6EF8"/>
    <w:rsid w:val="006E7982"/>
    <w:rsid w:val="006F13AF"/>
    <w:rsid w:val="006F1DE7"/>
    <w:rsid w:val="006F29E9"/>
    <w:rsid w:val="006F2E71"/>
    <w:rsid w:val="006F305A"/>
    <w:rsid w:val="006F3B80"/>
    <w:rsid w:val="006F3C0D"/>
    <w:rsid w:val="006F53AB"/>
    <w:rsid w:val="006F733F"/>
    <w:rsid w:val="006F7666"/>
    <w:rsid w:val="00701AF1"/>
    <w:rsid w:val="0070226D"/>
    <w:rsid w:val="0070264D"/>
    <w:rsid w:val="00702F0B"/>
    <w:rsid w:val="00705BDC"/>
    <w:rsid w:val="00706200"/>
    <w:rsid w:val="00706686"/>
    <w:rsid w:val="00706943"/>
    <w:rsid w:val="00707388"/>
    <w:rsid w:val="00710852"/>
    <w:rsid w:val="00710FA8"/>
    <w:rsid w:val="00711A64"/>
    <w:rsid w:val="00712131"/>
    <w:rsid w:val="0071268E"/>
    <w:rsid w:val="00712A3A"/>
    <w:rsid w:val="00713780"/>
    <w:rsid w:val="0071517F"/>
    <w:rsid w:val="00715711"/>
    <w:rsid w:val="00716E3C"/>
    <w:rsid w:val="00721DC1"/>
    <w:rsid w:val="00722C65"/>
    <w:rsid w:val="0072455D"/>
    <w:rsid w:val="00724DEB"/>
    <w:rsid w:val="00726E7B"/>
    <w:rsid w:val="00726FE3"/>
    <w:rsid w:val="007275D6"/>
    <w:rsid w:val="00727BC5"/>
    <w:rsid w:val="00732292"/>
    <w:rsid w:val="00733AE2"/>
    <w:rsid w:val="00734384"/>
    <w:rsid w:val="00734734"/>
    <w:rsid w:val="007348D4"/>
    <w:rsid w:val="0074029A"/>
    <w:rsid w:val="007404C3"/>
    <w:rsid w:val="007405E1"/>
    <w:rsid w:val="00741356"/>
    <w:rsid w:val="007421A0"/>
    <w:rsid w:val="00743287"/>
    <w:rsid w:val="007433F7"/>
    <w:rsid w:val="007434B7"/>
    <w:rsid w:val="007443BA"/>
    <w:rsid w:val="007457D9"/>
    <w:rsid w:val="0075095A"/>
    <w:rsid w:val="00751049"/>
    <w:rsid w:val="00751199"/>
    <w:rsid w:val="0075239D"/>
    <w:rsid w:val="0075241B"/>
    <w:rsid w:val="007556BD"/>
    <w:rsid w:val="00755F76"/>
    <w:rsid w:val="007574D9"/>
    <w:rsid w:val="007577A0"/>
    <w:rsid w:val="00761029"/>
    <w:rsid w:val="00761CD3"/>
    <w:rsid w:val="00762B94"/>
    <w:rsid w:val="00762BF3"/>
    <w:rsid w:val="00762EF1"/>
    <w:rsid w:val="00764BED"/>
    <w:rsid w:val="00764ED4"/>
    <w:rsid w:val="007653A8"/>
    <w:rsid w:val="00765F77"/>
    <w:rsid w:val="00766D46"/>
    <w:rsid w:val="00767A82"/>
    <w:rsid w:val="00771AFC"/>
    <w:rsid w:val="00772E96"/>
    <w:rsid w:val="00772FF3"/>
    <w:rsid w:val="00774B58"/>
    <w:rsid w:val="00775933"/>
    <w:rsid w:val="00776147"/>
    <w:rsid w:val="0078213F"/>
    <w:rsid w:val="00782F25"/>
    <w:rsid w:val="00784A81"/>
    <w:rsid w:val="007866B6"/>
    <w:rsid w:val="00787A9F"/>
    <w:rsid w:val="00792F4C"/>
    <w:rsid w:val="0079418C"/>
    <w:rsid w:val="007976CA"/>
    <w:rsid w:val="0079793A"/>
    <w:rsid w:val="00797B5F"/>
    <w:rsid w:val="00797FA1"/>
    <w:rsid w:val="007A0A70"/>
    <w:rsid w:val="007A1917"/>
    <w:rsid w:val="007A1D04"/>
    <w:rsid w:val="007A24B0"/>
    <w:rsid w:val="007A30A9"/>
    <w:rsid w:val="007B19C8"/>
    <w:rsid w:val="007B1B36"/>
    <w:rsid w:val="007B376C"/>
    <w:rsid w:val="007B517D"/>
    <w:rsid w:val="007B5347"/>
    <w:rsid w:val="007B7414"/>
    <w:rsid w:val="007B74CC"/>
    <w:rsid w:val="007C028E"/>
    <w:rsid w:val="007C3BBA"/>
    <w:rsid w:val="007C3CA1"/>
    <w:rsid w:val="007C6923"/>
    <w:rsid w:val="007C6D42"/>
    <w:rsid w:val="007C7127"/>
    <w:rsid w:val="007C74C8"/>
    <w:rsid w:val="007D05FF"/>
    <w:rsid w:val="007D07FB"/>
    <w:rsid w:val="007D1045"/>
    <w:rsid w:val="007D1789"/>
    <w:rsid w:val="007D2CCA"/>
    <w:rsid w:val="007D2F67"/>
    <w:rsid w:val="007D348D"/>
    <w:rsid w:val="007D46F7"/>
    <w:rsid w:val="007D5781"/>
    <w:rsid w:val="007D5B5C"/>
    <w:rsid w:val="007D5CBB"/>
    <w:rsid w:val="007D76A9"/>
    <w:rsid w:val="007D7F2C"/>
    <w:rsid w:val="007E1688"/>
    <w:rsid w:val="007E2228"/>
    <w:rsid w:val="007E2980"/>
    <w:rsid w:val="007E51BD"/>
    <w:rsid w:val="007E5660"/>
    <w:rsid w:val="007E615C"/>
    <w:rsid w:val="007E7381"/>
    <w:rsid w:val="007E7C88"/>
    <w:rsid w:val="007F0204"/>
    <w:rsid w:val="007F117F"/>
    <w:rsid w:val="007F16BA"/>
    <w:rsid w:val="007F259D"/>
    <w:rsid w:val="007F2B2A"/>
    <w:rsid w:val="007F3030"/>
    <w:rsid w:val="007F381E"/>
    <w:rsid w:val="007F3BB6"/>
    <w:rsid w:val="007F5182"/>
    <w:rsid w:val="007F58C5"/>
    <w:rsid w:val="007F6827"/>
    <w:rsid w:val="007F7BBE"/>
    <w:rsid w:val="00803185"/>
    <w:rsid w:val="008034BC"/>
    <w:rsid w:val="00803944"/>
    <w:rsid w:val="00803B38"/>
    <w:rsid w:val="00803C7F"/>
    <w:rsid w:val="00805D27"/>
    <w:rsid w:val="00806595"/>
    <w:rsid w:val="008068F0"/>
    <w:rsid w:val="00810F61"/>
    <w:rsid w:val="00813678"/>
    <w:rsid w:val="00813CC3"/>
    <w:rsid w:val="00813D76"/>
    <w:rsid w:val="00817FF8"/>
    <w:rsid w:val="00820BAD"/>
    <w:rsid w:val="00820EB0"/>
    <w:rsid w:val="00821127"/>
    <w:rsid w:val="00822CEA"/>
    <w:rsid w:val="008247EC"/>
    <w:rsid w:val="008261C5"/>
    <w:rsid w:val="00830096"/>
    <w:rsid w:val="00831491"/>
    <w:rsid w:val="00831905"/>
    <w:rsid w:val="008322E9"/>
    <w:rsid w:val="00834739"/>
    <w:rsid w:val="0083549F"/>
    <w:rsid w:val="0083645F"/>
    <w:rsid w:val="00836D71"/>
    <w:rsid w:val="008371F8"/>
    <w:rsid w:val="00840530"/>
    <w:rsid w:val="00840F1D"/>
    <w:rsid w:val="00841040"/>
    <w:rsid w:val="008422FF"/>
    <w:rsid w:val="008430D4"/>
    <w:rsid w:val="00843290"/>
    <w:rsid w:val="008439B8"/>
    <w:rsid w:val="0084527E"/>
    <w:rsid w:val="00852873"/>
    <w:rsid w:val="00853FA9"/>
    <w:rsid w:val="00856492"/>
    <w:rsid w:val="00856657"/>
    <w:rsid w:val="00856905"/>
    <w:rsid w:val="008574CD"/>
    <w:rsid w:val="00860B86"/>
    <w:rsid w:val="008612F9"/>
    <w:rsid w:val="00861657"/>
    <w:rsid w:val="00861915"/>
    <w:rsid w:val="00862CFB"/>
    <w:rsid w:val="00864B1F"/>
    <w:rsid w:val="00865E43"/>
    <w:rsid w:val="008671B0"/>
    <w:rsid w:val="00867A8D"/>
    <w:rsid w:val="0087101A"/>
    <w:rsid w:val="008722A9"/>
    <w:rsid w:val="00872E44"/>
    <w:rsid w:val="00872F4B"/>
    <w:rsid w:val="008731BC"/>
    <w:rsid w:val="008752F7"/>
    <w:rsid w:val="00875B6B"/>
    <w:rsid w:val="00875F98"/>
    <w:rsid w:val="00880568"/>
    <w:rsid w:val="0088209B"/>
    <w:rsid w:val="008828DC"/>
    <w:rsid w:val="00882E8B"/>
    <w:rsid w:val="00883685"/>
    <w:rsid w:val="0088422C"/>
    <w:rsid w:val="008863D3"/>
    <w:rsid w:val="0088670B"/>
    <w:rsid w:val="0088682D"/>
    <w:rsid w:val="008876E4"/>
    <w:rsid w:val="00891041"/>
    <w:rsid w:val="00891319"/>
    <w:rsid w:val="00893CBC"/>
    <w:rsid w:val="0089527A"/>
    <w:rsid w:val="008958F9"/>
    <w:rsid w:val="00895BF9"/>
    <w:rsid w:val="008A14C1"/>
    <w:rsid w:val="008A2EE8"/>
    <w:rsid w:val="008A3540"/>
    <w:rsid w:val="008A40A2"/>
    <w:rsid w:val="008A46E5"/>
    <w:rsid w:val="008A5C2D"/>
    <w:rsid w:val="008A6AD5"/>
    <w:rsid w:val="008B0DA2"/>
    <w:rsid w:val="008B2FEC"/>
    <w:rsid w:val="008B57EC"/>
    <w:rsid w:val="008B64A8"/>
    <w:rsid w:val="008B6E9F"/>
    <w:rsid w:val="008C1BA2"/>
    <w:rsid w:val="008C5891"/>
    <w:rsid w:val="008C6C36"/>
    <w:rsid w:val="008C7C61"/>
    <w:rsid w:val="008D046D"/>
    <w:rsid w:val="008D1036"/>
    <w:rsid w:val="008D2BC4"/>
    <w:rsid w:val="008D412A"/>
    <w:rsid w:val="008D4EEA"/>
    <w:rsid w:val="008E0661"/>
    <w:rsid w:val="008E200C"/>
    <w:rsid w:val="008E2B99"/>
    <w:rsid w:val="008E2ED1"/>
    <w:rsid w:val="008E2FF9"/>
    <w:rsid w:val="008E394F"/>
    <w:rsid w:val="008E3F6F"/>
    <w:rsid w:val="008E4D4D"/>
    <w:rsid w:val="008E6221"/>
    <w:rsid w:val="008E69DE"/>
    <w:rsid w:val="008F0A1A"/>
    <w:rsid w:val="008F0B8D"/>
    <w:rsid w:val="008F1728"/>
    <w:rsid w:val="008F1A19"/>
    <w:rsid w:val="008F2467"/>
    <w:rsid w:val="008F2F7F"/>
    <w:rsid w:val="008F311F"/>
    <w:rsid w:val="008F43CB"/>
    <w:rsid w:val="008F4C67"/>
    <w:rsid w:val="008F61EF"/>
    <w:rsid w:val="00900E48"/>
    <w:rsid w:val="00901A39"/>
    <w:rsid w:val="00902850"/>
    <w:rsid w:val="00902E94"/>
    <w:rsid w:val="009040E9"/>
    <w:rsid w:val="009045F4"/>
    <w:rsid w:val="00904D5D"/>
    <w:rsid w:val="00904DA2"/>
    <w:rsid w:val="009064AF"/>
    <w:rsid w:val="00906F60"/>
    <w:rsid w:val="00907C57"/>
    <w:rsid w:val="009130E5"/>
    <w:rsid w:val="00914BBD"/>
    <w:rsid w:val="00915C37"/>
    <w:rsid w:val="009165F5"/>
    <w:rsid w:val="00917A63"/>
    <w:rsid w:val="00921B7C"/>
    <w:rsid w:val="00923E58"/>
    <w:rsid w:val="00924E31"/>
    <w:rsid w:val="009255AE"/>
    <w:rsid w:val="00926F1C"/>
    <w:rsid w:val="00927915"/>
    <w:rsid w:val="00927A90"/>
    <w:rsid w:val="0093034C"/>
    <w:rsid w:val="00930889"/>
    <w:rsid w:val="009309E5"/>
    <w:rsid w:val="00931FE2"/>
    <w:rsid w:val="0093297E"/>
    <w:rsid w:val="00932E8C"/>
    <w:rsid w:val="00933B7F"/>
    <w:rsid w:val="009344DA"/>
    <w:rsid w:val="00935084"/>
    <w:rsid w:val="00937ABD"/>
    <w:rsid w:val="00940717"/>
    <w:rsid w:val="0094155E"/>
    <w:rsid w:val="009417E0"/>
    <w:rsid w:val="00942232"/>
    <w:rsid w:val="009423A3"/>
    <w:rsid w:val="00942678"/>
    <w:rsid w:val="00943CF7"/>
    <w:rsid w:val="009462DF"/>
    <w:rsid w:val="00946FDE"/>
    <w:rsid w:val="00947203"/>
    <w:rsid w:val="0094722D"/>
    <w:rsid w:val="00947BF2"/>
    <w:rsid w:val="00951F8D"/>
    <w:rsid w:val="00952F52"/>
    <w:rsid w:val="00954AAD"/>
    <w:rsid w:val="00954B30"/>
    <w:rsid w:val="00955971"/>
    <w:rsid w:val="00956489"/>
    <w:rsid w:val="00956560"/>
    <w:rsid w:val="009569BC"/>
    <w:rsid w:val="00956F4D"/>
    <w:rsid w:val="0095735F"/>
    <w:rsid w:val="00957DD3"/>
    <w:rsid w:val="009608A1"/>
    <w:rsid w:val="00961416"/>
    <w:rsid w:val="009617B3"/>
    <w:rsid w:val="00963922"/>
    <w:rsid w:val="00963DFA"/>
    <w:rsid w:val="00965245"/>
    <w:rsid w:val="00965742"/>
    <w:rsid w:val="00966883"/>
    <w:rsid w:val="009668C5"/>
    <w:rsid w:val="00970041"/>
    <w:rsid w:val="009710C0"/>
    <w:rsid w:val="00972B38"/>
    <w:rsid w:val="0097471A"/>
    <w:rsid w:val="0097604B"/>
    <w:rsid w:val="00980674"/>
    <w:rsid w:val="0098742D"/>
    <w:rsid w:val="009874DA"/>
    <w:rsid w:val="00991A0D"/>
    <w:rsid w:val="00991E03"/>
    <w:rsid w:val="00993D45"/>
    <w:rsid w:val="00997C96"/>
    <w:rsid w:val="009A0FE1"/>
    <w:rsid w:val="009A22C2"/>
    <w:rsid w:val="009A44C6"/>
    <w:rsid w:val="009A45AB"/>
    <w:rsid w:val="009A4E08"/>
    <w:rsid w:val="009A6CA6"/>
    <w:rsid w:val="009A799F"/>
    <w:rsid w:val="009B2192"/>
    <w:rsid w:val="009B27C7"/>
    <w:rsid w:val="009B3CC4"/>
    <w:rsid w:val="009B5B04"/>
    <w:rsid w:val="009B679E"/>
    <w:rsid w:val="009B7212"/>
    <w:rsid w:val="009B7248"/>
    <w:rsid w:val="009B7462"/>
    <w:rsid w:val="009B7B71"/>
    <w:rsid w:val="009C1C4D"/>
    <w:rsid w:val="009C1E0B"/>
    <w:rsid w:val="009C3054"/>
    <w:rsid w:val="009C38EB"/>
    <w:rsid w:val="009C6F73"/>
    <w:rsid w:val="009D1362"/>
    <w:rsid w:val="009D1486"/>
    <w:rsid w:val="009D14D5"/>
    <w:rsid w:val="009D1C8E"/>
    <w:rsid w:val="009D279A"/>
    <w:rsid w:val="009D2BFF"/>
    <w:rsid w:val="009D4F10"/>
    <w:rsid w:val="009D6278"/>
    <w:rsid w:val="009D6FC4"/>
    <w:rsid w:val="009D7437"/>
    <w:rsid w:val="009D75CA"/>
    <w:rsid w:val="009E0B24"/>
    <w:rsid w:val="009E0BF5"/>
    <w:rsid w:val="009E0F0C"/>
    <w:rsid w:val="009E0F35"/>
    <w:rsid w:val="009E1C01"/>
    <w:rsid w:val="009E3444"/>
    <w:rsid w:val="009E3C1D"/>
    <w:rsid w:val="009E45F5"/>
    <w:rsid w:val="009E488B"/>
    <w:rsid w:val="009E48C7"/>
    <w:rsid w:val="009E5DEB"/>
    <w:rsid w:val="009E5E23"/>
    <w:rsid w:val="009E73A6"/>
    <w:rsid w:val="009E7733"/>
    <w:rsid w:val="009E7783"/>
    <w:rsid w:val="009F0002"/>
    <w:rsid w:val="009F268A"/>
    <w:rsid w:val="009F470C"/>
    <w:rsid w:val="009F4E2D"/>
    <w:rsid w:val="009F4F9C"/>
    <w:rsid w:val="009F50AE"/>
    <w:rsid w:val="009F5970"/>
    <w:rsid w:val="009F69DD"/>
    <w:rsid w:val="009F6BCA"/>
    <w:rsid w:val="009F6CCF"/>
    <w:rsid w:val="00A00082"/>
    <w:rsid w:val="00A03E68"/>
    <w:rsid w:val="00A0433E"/>
    <w:rsid w:val="00A05E44"/>
    <w:rsid w:val="00A07501"/>
    <w:rsid w:val="00A076E8"/>
    <w:rsid w:val="00A106BD"/>
    <w:rsid w:val="00A108EB"/>
    <w:rsid w:val="00A113BD"/>
    <w:rsid w:val="00A11E36"/>
    <w:rsid w:val="00A120D7"/>
    <w:rsid w:val="00A128D0"/>
    <w:rsid w:val="00A141E5"/>
    <w:rsid w:val="00A149C2"/>
    <w:rsid w:val="00A154A3"/>
    <w:rsid w:val="00A16D7D"/>
    <w:rsid w:val="00A16E39"/>
    <w:rsid w:val="00A16F22"/>
    <w:rsid w:val="00A20B7E"/>
    <w:rsid w:val="00A20F95"/>
    <w:rsid w:val="00A24234"/>
    <w:rsid w:val="00A24F49"/>
    <w:rsid w:val="00A26EC0"/>
    <w:rsid w:val="00A27072"/>
    <w:rsid w:val="00A31461"/>
    <w:rsid w:val="00A33511"/>
    <w:rsid w:val="00A34F61"/>
    <w:rsid w:val="00A368A5"/>
    <w:rsid w:val="00A36B66"/>
    <w:rsid w:val="00A36DF8"/>
    <w:rsid w:val="00A409DA"/>
    <w:rsid w:val="00A41BB8"/>
    <w:rsid w:val="00A43CCC"/>
    <w:rsid w:val="00A46CEF"/>
    <w:rsid w:val="00A47C16"/>
    <w:rsid w:val="00A52BAF"/>
    <w:rsid w:val="00A55967"/>
    <w:rsid w:val="00A57B76"/>
    <w:rsid w:val="00A63FCD"/>
    <w:rsid w:val="00A651DE"/>
    <w:rsid w:val="00A656C2"/>
    <w:rsid w:val="00A66F95"/>
    <w:rsid w:val="00A67A90"/>
    <w:rsid w:val="00A706AD"/>
    <w:rsid w:val="00A712F0"/>
    <w:rsid w:val="00A72947"/>
    <w:rsid w:val="00A72E8D"/>
    <w:rsid w:val="00A7329C"/>
    <w:rsid w:val="00A73E9C"/>
    <w:rsid w:val="00A74046"/>
    <w:rsid w:val="00A74EC8"/>
    <w:rsid w:val="00A74F1E"/>
    <w:rsid w:val="00A766A3"/>
    <w:rsid w:val="00A76FC4"/>
    <w:rsid w:val="00A77AE1"/>
    <w:rsid w:val="00A77B35"/>
    <w:rsid w:val="00A801B7"/>
    <w:rsid w:val="00A801D7"/>
    <w:rsid w:val="00A82149"/>
    <w:rsid w:val="00A83241"/>
    <w:rsid w:val="00A84CF4"/>
    <w:rsid w:val="00A85F7F"/>
    <w:rsid w:val="00A92C17"/>
    <w:rsid w:val="00A92D37"/>
    <w:rsid w:val="00A9495D"/>
    <w:rsid w:val="00A94A4C"/>
    <w:rsid w:val="00A952CC"/>
    <w:rsid w:val="00A95620"/>
    <w:rsid w:val="00A95E64"/>
    <w:rsid w:val="00A9630A"/>
    <w:rsid w:val="00AA03D2"/>
    <w:rsid w:val="00AA19FC"/>
    <w:rsid w:val="00AA232A"/>
    <w:rsid w:val="00AA2C1B"/>
    <w:rsid w:val="00AA415D"/>
    <w:rsid w:val="00AA4DE1"/>
    <w:rsid w:val="00AA786C"/>
    <w:rsid w:val="00AA78D0"/>
    <w:rsid w:val="00AA7928"/>
    <w:rsid w:val="00AB04D5"/>
    <w:rsid w:val="00AB068B"/>
    <w:rsid w:val="00AB088E"/>
    <w:rsid w:val="00AB1431"/>
    <w:rsid w:val="00AB295B"/>
    <w:rsid w:val="00AB2E21"/>
    <w:rsid w:val="00AB3A94"/>
    <w:rsid w:val="00AB3C05"/>
    <w:rsid w:val="00AB57BD"/>
    <w:rsid w:val="00AB6510"/>
    <w:rsid w:val="00AB788A"/>
    <w:rsid w:val="00AC01B7"/>
    <w:rsid w:val="00AC0536"/>
    <w:rsid w:val="00AC0D4C"/>
    <w:rsid w:val="00AC0DDE"/>
    <w:rsid w:val="00AC1F9E"/>
    <w:rsid w:val="00AC2F36"/>
    <w:rsid w:val="00AC39BA"/>
    <w:rsid w:val="00AC75A9"/>
    <w:rsid w:val="00AD0714"/>
    <w:rsid w:val="00AD47D6"/>
    <w:rsid w:val="00AD4F64"/>
    <w:rsid w:val="00AD52B2"/>
    <w:rsid w:val="00AD6BDA"/>
    <w:rsid w:val="00AD7B73"/>
    <w:rsid w:val="00AE02BC"/>
    <w:rsid w:val="00AE10CD"/>
    <w:rsid w:val="00AE146C"/>
    <w:rsid w:val="00AE2980"/>
    <w:rsid w:val="00AE5716"/>
    <w:rsid w:val="00AF0F4D"/>
    <w:rsid w:val="00AF3006"/>
    <w:rsid w:val="00AF3912"/>
    <w:rsid w:val="00AF5FEB"/>
    <w:rsid w:val="00AF65C6"/>
    <w:rsid w:val="00AF664F"/>
    <w:rsid w:val="00AF72BA"/>
    <w:rsid w:val="00B019F0"/>
    <w:rsid w:val="00B024C4"/>
    <w:rsid w:val="00B04360"/>
    <w:rsid w:val="00B043D5"/>
    <w:rsid w:val="00B0442B"/>
    <w:rsid w:val="00B04926"/>
    <w:rsid w:val="00B0536A"/>
    <w:rsid w:val="00B05813"/>
    <w:rsid w:val="00B05F1E"/>
    <w:rsid w:val="00B06317"/>
    <w:rsid w:val="00B078AA"/>
    <w:rsid w:val="00B10B58"/>
    <w:rsid w:val="00B11559"/>
    <w:rsid w:val="00B1167B"/>
    <w:rsid w:val="00B1324A"/>
    <w:rsid w:val="00B14619"/>
    <w:rsid w:val="00B153EC"/>
    <w:rsid w:val="00B155B3"/>
    <w:rsid w:val="00B16BFB"/>
    <w:rsid w:val="00B17434"/>
    <w:rsid w:val="00B17ED9"/>
    <w:rsid w:val="00B2071C"/>
    <w:rsid w:val="00B214A8"/>
    <w:rsid w:val="00B21FC7"/>
    <w:rsid w:val="00B2281B"/>
    <w:rsid w:val="00B2321D"/>
    <w:rsid w:val="00B243F2"/>
    <w:rsid w:val="00B25014"/>
    <w:rsid w:val="00B25226"/>
    <w:rsid w:val="00B2581A"/>
    <w:rsid w:val="00B26264"/>
    <w:rsid w:val="00B269DF"/>
    <w:rsid w:val="00B30136"/>
    <w:rsid w:val="00B309C5"/>
    <w:rsid w:val="00B31741"/>
    <w:rsid w:val="00B34752"/>
    <w:rsid w:val="00B34E59"/>
    <w:rsid w:val="00B362E4"/>
    <w:rsid w:val="00B374C7"/>
    <w:rsid w:val="00B40000"/>
    <w:rsid w:val="00B41966"/>
    <w:rsid w:val="00B444D2"/>
    <w:rsid w:val="00B44A4C"/>
    <w:rsid w:val="00B458CE"/>
    <w:rsid w:val="00B4671C"/>
    <w:rsid w:val="00B51ABF"/>
    <w:rsid w:val="00B5383F"/>
    <w:rsid w:val="00B54FE7"/>
    <w:rsid w:val="00B55481"/>
    <w:rsid w:val="00B5631B"/>
    <w:rsid w:val="00B56A0C"/>
    <w:rsid w:val="00B56CB1"/>
    <w:rsid w:val="00B56F71"/>
    <w:rsid w:val="00B615FC"/>
    <w:rsid w:val="00B646A4"/>
    <w:rsid w:val="00B64869"/>
    <w:rsid w:val="00B656D3"/>
    <w:rsid w:val="00B66434"/>
    <w:rsid w:val="00B671DB"/>
    <w:rsid w:val="00B6738F"/>
    <w:rsid w:val="00B67975"/>
    <w:rsid w:val="00B72542"/>
    <w:rsid w:val="00B73310"/>
    <w:rsid w:val="00B7344B"/>
    <w:rsid w:val="00B74925"/>
    <w:rsid w:val="00B767A3"/>
    <w:rsid w:val="00B77697"/>
    <w:rsid w:val="00B77C71"/>
    <w:rsid w:val="00B808D7"/>
    <w:rsid w:val="00B822AE"/>
    <w:rsid w:val="00B83759"/>
    <w:rsid w:val="00B84889"/>
    <w:rsid w:val="00B85207"/>
    <w:rsid w:val="00B859A7"/>
    <w:rsid w:val="00B86B45"/>
    <w:rsid w:val="00B9074C"/>
    <w:rsid w:val="00B90E0A"/>
    <w:rsid w:val="00B941F4"/>
    <w:rsid w:val="00B96CCA"/>
    <w:rsid w:val="00BA0CF2"/>
    <w:rsid w:val="00BA16F9"/>
    <w:rsid w:val="00BA17A4"/>
    <w:rsid w:val="00BA1905"/>
    <w:rsid w:val="00BA2714"/>
    <w:rsid w:val="00BA3258"/>
    <w:rsid w:val="00BA36DE"/>
    <w:rsid w:val="00BA3FEF"/>
    <w:rsid w:val="00BA4B8C"/>
    <w:rsid w:val="00BA4E48"/>
    <w:rsid w:val="00BA5CF6"/>
    <w:rsid w:val="00BA7453"/>
    <w:rsid w:val="00BA74D0"/>
    <w:rsid w:val="00BB062F"/>
    <w:rsid w:val="00BB1ADB"/>
    <w:rsid w:val="00BB31F1"/>
    <w:rsid w:val="00BB3689"/>
    <w:rsid w:val="00BB4404"/>
    <w:rsid w:val="00BB5991"/>
    <w:rsid w:val="00BB5DE3"/>
    <w:rsid w:val="00BC0949"/>
    <w:rsid w:val="00BC0EBA"/>
    <w:rsid w:val="00BC1D34"/>
    <w:rsid w:val="00BC294B"/>
    <w:rsid w:val="00BC4C6F"/>
    <w:rsid w:val="00BC673A"/>
    <w:rsid w:val="00BD0713"/>
    <w:rsid w:val="00BD0C4C"/>
    <w:rsid w:val="00BD21EE"/>
    <w:rsid w:val="00BD2DB3"/>
    <w:rsid w:val="00BD314A"/>
    <w:rsid w:val="00BD3324"/>
    <w:rsid w:val="00BD3D43"/>
    <w:rsid w:val="00BD40AE"/>
    <w:rsid w:val="00BD45FB"/>
    <w:rsid w:val="00BD62EC"/>
    <w:rsid w:val="00BD66C1"/>
    <w:rsid w:val="00BD6B0B"/>
    <w:rsid w:val="00BD6CA8"/>
    <w:rsid w:val="00BD737E"/>
    <w:rsid w:val="00BD7704"/>
    <w:rsid w:val="00BD7B3A"/>
    <w:rsid w:val="00BE1029"/>
    <w:rsid w:val="00BE1AE8"/>
    <w:rsid w:val="00BE2B76"/>
    <w:rsid w:val="00BE2D36"/>
    <w:rsid w:val="00BE36A0"/>
    <w:rsid w:val="00BE387A"/>
    <w:rsid w:val="00BE3E54"/>
    <w:rsid w:val="00BE48A0"/>
    <w:rsid w:val="00BE70B3"/>
    <w:rsid w:val="00BF002D"/>
    <w:rsid w:val="00BF0A2A"/>
    <w:rsid w:val="00BF1CB7"/>
    <w:rsid w:val="00BF46F2"/>
    <w:rsid w:val="00BF5036"/>
    <w:rsid w:val="00BF6009"/>
    <w:rsid w:val="00BF620B"/>
    <w:rsid w:val="00BF6785"/>
    <w:rsid w:val="00C02235"/>
    <w:rsid w:val="00C0239D"/>
    <w:rsid w:val="00C02552"/>
    <w:rsid w:val="00C02C39"/>
    <w:rsid w:val="00C02D38"/>
    <w:rsid w:val="00C03A77"/>
    <w:rsid w:val="00C04675"/>
    <w:rsid w:val="00C04992"/>
    <w:rsid w:val="00C049F5"/>
    <w:rsid w:val="00C05888"/>
    <w:rsid w:val="00C064A7"/>
    <w:rsid w:val="00C06D26"/>
    <w:rsid w:val="00C075DA"/>
    <w:rsid w:val="00C119C0"/>
    <w:rsid w:val="00C1342A"/>
    <w:rsid w:val="00C13750"/>
    <w:rsid w:val="00C1390A"/>
    <w:rsid w:val="00C2192A"/>
    <w:rsid w:val="00C21F14"/>
    <w:rsid w:val="00C22195"/>
    <w:rsid w:val="00C223D8"/>
    <w:rsid w:val="00C22BC6"/>
    <w:rsid w:val="00C2373E"/>
    <w:rsid w:val="00C2568A"/>
    <w:rsid w:val="00C26C34"/>
    <w:rsid w:val="00C26CA9"/>
    <w:rsid w:val="00C2790D"/>
    <w:rsid w:val="00C31091"/>
    <w:rsid w:val="00C32794"/>
    <w:rsid w:val="00C353CF"/>
    <w:rsid w:val="00C35435"/>
    <w:rsid w:val="00C37DC1"/>
    <w:rsid w:val="00C415C9"/>
    <w:rsid w:val="00C4164F"/>
    <w:rsid w:val="00C42D8C"/>
    <w:rsid w:val="00C44D37"/>
    <w:rsid w:val="00C45B8F"/>
    <w:rsid w:val="00C4622F"/>
    <w:rsid w:val="00C46792"/>
    <w:rsid w:val="00C46A92"/>
    <w:rsid w:val="00C471A4"/>
    <w:rsid w:val="00C4722A"/>
    <w:rsid w:val="00C474E5"/>
    <w:rsid w:val="00C47653"/>
    <w:rsid w:val="00C52518"/>
    <w:rsid w:val="00C539FE"/>
    <w:rsid w:val="00C554F9"/>
    <w:rsid w:val="00C56144"/>
    <w:rsid w:val="00C57C11"/>
    <w:rsid w:val="00C6061A"/>
    <w:rsid w:val="00C610EC"/>
    <w:rsid w:val="00C61CBC"/>
    <w:rsid w:val="00C626A6"/>
    <w:rsid w:val="00C639BB"/>
    <w:rsid w:val="00C64963"/>
    <w:rsid w:val="00C658B4"/>
    <w:rsid w:val="00C65E2B"/>
    <w:rsid w:val="00C65EE8"/>
    <w:rsid w:val="00C664A1"/>
    <w:rsid w:val="00C66F93"/>
    <w:rsid w:val="00C670EC"/>
    <w:rsid w:val="00C67313"/>
    <w:rsid w:val="00C70054"/>
    <w:rsid w:val="00C702F3"/>
    <w:rsid w:val="00C70DAD"/>
    <w:rsid w:val="00C715E3"/>
    <w:rsid w:val="00C71F9E"/>
    <w:rsid w:val="00C73398"/>
    <w:rsid w:val="00C73B38"/>
    <w:rsid w:val="00C73BAA"/>
    <w:rsid w:val="00C73C2D"/>
    <w:rsid w:val="00C76349"/>
    <w:rsid w:val="00C77A03"/>
    <w:rsid w:val="00C80273"/>
    <w:rsid w:val="00C815F1"/>
    <w:rsid w:val="00C81E4E"/>
    <w:rsid w:val="00C82057"/>
    <w:rsid w:val="00C82765"/>
    <w:rsid w:val="00C84ABC"/>
    <w:rsid w:val="00C84F82"/>
    <w:rsid w:val="00C86B7F"/>
    <w:rsid w:val="00C90C39"/>
    <w:rsid w:val="00C912E8"/>
    <w:rsid w:val="00C91B97"/>
    <w:rsid w:val="00C9201D"/>
    <w:rsid w:val="00C93561"/>
    <w:rsid w:val="00C93E53"/>
    <w:rsid w:val="00C951FB"/>
    <w:rsid w:val="00C96062"/>
    <w:rsid w:val="00C9664C"/>
    <w:rsid w:val="00C97739"/>
    <w:rsid w:val="00C9798E"/>
    <w:rsid w:val="00C97BDF"/>
    <w:rsid w:val="00CA0218"/>
    <w:rsid w:val="00CA23EC"/>
    <w:rsid w:val="00CA2960"/>
    <w:rsid w:val="00CA47C4"/>
    <w:rsid w:val="00CA7538"/>
    <w:rsid w:val="00CA75C1"/>
    <w:rsid w:val="00CA7D30"/>
    <w:rsid w:val="00CB2F65"/>
    <w:rsid w:val="00CB329D"/>
    <w:rsid w:val="00CB396F"/>
    <w:rsid w:val="00CB3BAC"/>
    <w:rsid w:val="00CB3C0B"/>
    <w:rsid w:val="00CB3FBF"/>
    <w:rsid w:val="00CB6421"/>
    <w:rsid w:val="00CB6CD8"/>
    <w:rsid w:val="00CB7C50"/>
    <w:rsid w:val="00CC3FE5"/>
    <w:rsid w:val="00CC4A96"/>
    <w:rsid w:val="00CC5758"/>
    <w:rsid w:val="00CC5817"/>
    <w:rsid w:val="00CC7F7B"/>
    <w:rsid w:val="00CD3077"/>
    <w:rsid w:val="00CD5196"/>
    <w:rsid w:val="00CE08D5"/>
    <w:rsid w:val="00CE204D"/>
    <w:rsid w:val="00CE20E9"/>
    <w:rsid w:val="00CE4776"/>
    <w:rsid w:val="00CE6C85"/>
    <w:rsid w:val="00CE79B2"/>
    <w:rsid w:val="00CE7AAC"/>
    <w:rsid w:val="00CE7B96"/>
    <w:rsid w:val="00CF0445"/>
    <w:rsid w:val="00CF0C10"/>
    <w:rsid w:val="00CF11C7"/>
    <w:rsid w:val="00CF157F"/>
    <w:rsid w:val="00CF1A68"/>
    <w:rsid w:val="00CF2511"/>
    <w:rsid w:val="00CF3852"/>
    <w:rsid w:val="00CF6AE4"/>
    <w:rsid w:val="00D0118F"/>
    <w:rsid w:val="00D01250"/>
    <w:rsid w:val="00D01598"/>
    <w:rsid w:val="00D0422C"/>
    <w:rsid w:val="00D05F4A"/>
    <w:rsid w:val="00D0751D"/>
    <w:rsid w:val="00D0791D"/>
    <w:rsid w:val="00D07BE5"/>
    <w:rsid w:val="00D10746"/>
    <w:rsid w:val="00D1087C"/>
    <w:rsid w:val="00D1122F"/>
    <w:rsid w:val="00D11364"/>
    <w:rsid w:val="00D11F1D"/>
    <w:rsid w:val="00D126AC"/>
    <w:rsid w:val="00D163D4"/>
    <w:rsid w:val="00D16E6B"/>
    <w:rsid w:val="00D17133"/>
    <w:rsid w:val="00D173E0"/>
    <w:rsid w:val="00D208A4"/>
    <w:rsid w:val="00D219E8"/>
    <w:rsid w:val="00D23C69"/>
    <w:rsid w:val="00D23EF2"/>
    <w:rsid w:val="00D2713F"/>
    <w:rsid w:val="00D307C8"/>
    <w:rsid w:val="00D33070"/>
    <w:rsid w:val="00D3364A"/>
    <w:rsid w:val="00D33851"/>
    <w:rsid w:val="00D35200"/>
    <w:rsid w:val="00D36727"/>
    <w:rsid w:val="00D379F5"/>
    <w:rsid w:val="00D4021E"/>
    <w:rsid w:val="00D40389"/>
    <w:rsid w:val="00D4195A"/>
    <w:rsid w:val="00D44AB6"/>
    <w:rsid w:val="00D44B34"/>
    <w:rsid w:val="00D44DE5"/>
    <w:rsid w:val="00D45EF1"/>
    <w:rsid w:val="00D4687E"/>
    <w:rsid w:val="00D46CCB"/>
    <w:rsid w:val="00D47D0F"/>
    <w:rsid w:val="00D510E9"/>
    <w:rsid w:val="00D513A3"/>
    <w:rsid w:val="00D51E0F"/>
    <w:rsid w:val="00D52DF8"/>
    <w:rsid w:val="00D53E5D"/>
    <w:rsid w:val="00D54787"/>
    <w:rsid w:val="00D55A64"/>
    <w:rsid w:val="00D560EA"/>
    <w:rsid w:val="00D60961"/>
    <w:rsid w:val="00D6153D"/>
    <w:rsid w:val="00D62315"/>
    <w:rsid w:val="00D63AB3"/>
    <w:rsid w:val="00D63E7C"/>
    <w:rsid w:val="00D64546"/>
    <w:rsid w:val="00D64BB1"/>
    <w:rsid w:val="00D6799D"/>
    <w:rsid w:val="00D70B96"/>
    <w:rsid w:val="00D71233"/>
    <w:rsid w:val="00D7160F"/>
    <w:rsid w:val="00D724BC"/>
    <w:rsid w:val="00D7382F"/>
    <w:rsid w:val="00D74DC4"/>
    <w:rsid w:val="00D7583B"/>
    <w:rsid w:val="00D75A23"/>
    <w:rsid w:val="00D76041"/>
    <w:rsid w:val="00D770ED"/>
    <w:rsid w:val="00D779CE"/>
    <w:rsid w:val="00D8250F"/>
    <w:rsid w:val="00D840EB"/>
    <w:rsid w:val="00D847F4"/>
    <w:rsid w:val="00D84C14"/>
    <w:rsid w:val="00D8638D"/>
    <w:rsid w:val="00D87901"/>
    <w:rsid w:val="00D90B14"/>
    <w:rsid w:val="00D926CE"/>
    <w:rsid w:val="00D949DA"/>
    <w:rsid w:val="00D95FEE"/>
    <w:rsid w:val="00D965E4"/>
    <w:rsid w:val="00D96A5C"/>
    <w:rsid w:val="00D97F4C"/>
    <w:rsid w:val="00DA38E1"/>
    <w:rsid w:val="00DA46AC"/>
    <w:rsid w:val="00DA4F38"/>
    <w:rsid w:val="00DA573D"/>
    <w:rsid w:val="00DA586A"/>
    <w:rsid w:val="00DA7ED0"/>
    <w:rsid w:val="00DB0193"/>
    <w:rsid w:val="00DB0D49"/>
    <w:rsid w:val="00DB19BF"/>
    <w:rsid w:val="00DB1BEB"/>
    <w:rsid w:val="00DB1DF3"/>
    <w:rsid w:val="00DB282A"/>
    <w:rsid w:val="00DB3B7C"/>
    <w:rsid w:val="00DB3DB3"/>
    <w:rsid w:val="00DB43A0"/>
    <w:rsid w:val="00DB4A6F"/>
    <w:rsid w:val="00DB4BAA"/>
    <w:rsid w:val="00DB54CB"/>
    <w:rsid w:val="00DB6216"/>
    <w:rsid w:val="00DB72A4"/>
    <w:rsid w:val="00DB7A26"/>
    <w:rsid w:val="00DC1EA4"/>
    <w:rsid w:val="00DC32B8"/>
    <w:rsid w:val="00DC3748"/>
    <w:rsid w:val="00DC6782"/>
    <w:rsid w:val="00DD40DA"/>
    <w:rsid w:val="00DD60E0"/>
    <w:rsid w:val="00DD6FEF"/>
    <w:rsid w:val="00DE0DE0"/>
    <w:rsid w:val="00DE129F"/>
    <w:rsid w:val="00DE29B6"/>
    <w:rsid w:val="00DE3E5D"/>
    <w:rsid w:val="00DE6E12"/>
    <w:rsid w:val="00DE796D"/>
    <w:rsid w:val="00DF0108"/>
    <w:rsid w:val="00DF04B4"/>
    <w:rsid w:val="00DF0743"/>
    <w:rsid w:val="00DF1185"/>
    <w:rsid w:val="00DF1F02"/>
    <w:rsid w:val="00DF229E"/>
    <w:rsid w:val="00DF258D"/>
    <w:rsid w:val="00DF4F46"/>
    <w:rsid w:val="00DF5A36"/>
    <w:rsid w:val="00DF7366"/>
    <w:rsid w:val="00E01927"/>
    <w:rsid w:val="00E02695"/>
    <w:rsid w:val="00E04CFA"/>
    <w:rsid w:val="00E06858"/>
    <w:rsid w:val="00E114D8"/>
    <w:rsid w:val="00E13D8C"/>
    <w:rsid w:val="00E13ED4"/>
    <w:rsid w:val="00E13F53"/>
    <w:rsid w:val="00E14DF1"/>
    <w:rsid w:val="00E17572"/>
    <w:rsid w:val="00E21911"/>
    <w:rsid w:val="00E22380"/>
    <w:rsid w:val="00E225A3"/>
    <w:rsid w:val="00E22BDA"/>
    <w:rsid w:val="00E237AA"/>
    <w:rsid w:val="00E2421A"/>
    <w:rsid w:val="00E252DB"/>
    <w:rsid w:val="00E26379"/>
    <w:rsid w:val="00E26423"/>
    <w:rsid w:val="00E27F6F"/>
    <w:rsid w:val="00E316B9"/>
    <w:rsid w:val="00E34ED5"/>
    <w:rsid w:val="00E35C58"/>
    <w:rsid w:val="00E35CB0"/>
    <w:rsid w:val="00E4114B"/>
    <w:rsid w:val="00E414C4"/>
    <w:rsid w:val="00E4158F"/>
    <w:rsid w:val="00E41888"/>
    <w:rsid w:val="00E423D7"/>
    <w:rsid w:val="00E43ABC"/>
    <w:rsid w:val="00E4424E"/>
    <w:rsid w:val="00E4534D"/>
    <w:rsid w:val="00E46252"/>
    <w:rsid w:val="00E46472"/>
    <w:rsid w:val="00E468B2"/>
    <w:rsid w:val="00E47523"/>
    <w:rsid w:val="00E51E40"/>
    <w:rsid w:val="00E521C9"/>
    <w:rsid w:val="00E52AED"/>
    <w:rsid w:val="00E53431"/>
    <w:rsid w:val="00E55108"/>
    <w:rsid w:val="00E552C4"/>
    <w:rsid w:val="00E55A27"/>
    <w:rsid w:val="00E56850"/>
    <w:rsid w:val="00E576A2"/>
    <w:rsid w:val="00E57CD3"/>
    <w:rsid w:val="00E60A13"/>
    <w:rsid w:val="00E60E71"/>
    <w:rsid w:val="00E614B8"/>
    <w:rsid w:val="00E61B96"/>
    <w:rsid w:val="00E6368E"/>
    <w:rsid w:val="00E64C12"/>
    <w:rsid w:val="00E64DB1"/>
    <w:rsid w:val="00E658DC"/>
    <w:rsid w:val="00E6708B"/>
    <w:rsid w:val="00E67427"/>
    <w:rsid w:val="00E67446"/>
    <w:rsid w:val="00E67A7E"/>
    <w:rsid w:val="00E71367"/>
    <w:rsid w:val="00E71649"/>
    <w:rsid w:val="00E72F26"/>
    <w:rsid w:val="00E74177"/>
    <w:rsid w:val="00E81180"/>
    <w:rsid w:val="00E82118"/>
    <w:rsid w:val="00E823BD"/>
    <w:rsid w:val="00E83662"/>
    <w:rsid w:val="00E84609"/>
    <w:rsid w:val="00E853FF"/>
    <w:rsid w:val="00E85A8C"/>
    <w:rsid w:val="00E9311E"/>
    <w:rsid w:val="00E94188"/>
    <w:rsid w:val="00E945EF"/>
    <w:rsid w:val="00E94BDB"/>
    <w:rsid w:val="00E958FD"/>
    <w:rsid w:val="00EA0A80"/>
    <w:rsid w:val="00EA46AB"/>
    <w:rsid w:val="00EA5AAA"/>
    <w:rsid w:val="00EA5AED"/>
    <w:rsid w:val="00EA6E26"/>
    <w:rsid w:val="00EB1AEB"/>
    <w:rsid w:val="00EB1E45"/>
    <w:rsid w:val="00EB233B"/>
    <w:rsid w:val="00EB34A1"/>
    <w:rsid w:val="00EB371C"/>
    <w:rsid w:val="00EB52C8"/>
    <w:rsid w:val="00EB5F5B"/>
    <w:rsid w:val="00EB620A"/>
    <w:rsid w:val="00EB68DA"/>
    <w:rsid w:val="00EB6B98"/>
    <w:rsid w:val="00EB716F"/>
    <w:rsid w:val="00EB7A86"/>
    <w:rsid w:val="00EB7CB8"/>
    <w:rsid w:val="00EC08B7"/>
    <w:rsid w:val="00EC5137"/>
    <w:rsid w:val="00EC583D"/>
    <w:rsid w:val="00EC6156"/>
    <w:rsid w:val="00EC68C7"/>
    <w:rsid w:val="00EC75C2"/>
    <w:rsid w:val="00ED0B16"/>
    <w:rsid w:val="00ED1342"/>
    <w:rsid w:val="00ED1445"/>
    <w:rsid w:val="00ED14B3"/>
    <w:rsid w:val="00ED2659"/>
    <w:rsid w:val="00ED340F"/>
    <w:rsid w:val="00ED42F8"/>
    <w:rsid w:val="00ED4A24"/>
    <w:rsid w:val="00ED4DB1"/>
    <w:rsid w:val="00ED61DA"/>
    <w:rsid w:val="00EE04CE"/>
    <w:rsid w:val="00EE0DE1"/>
    <w:rsid w:val="00EE2CFC"/>
    <w:rsid w:val="00EE36FD"/>
    <w:rsid w:val="00EE4F87"/>
    <w:rsid w:val="00EE5B0A"/>
    <w:rsid w:val="00EE7C08"/>
    <w:rsid w:val="00EE7CF7"/>
    <w:rsid w:val="00EF1EC2"/>
    <w:rsid w:val="00EF28B0"/>
    <w:rsid w:val="00EF4496"/>
    <w:rsid w:val="00EF56E7"/>
    <w:rsid w:val="00EF5BFD"/>
    <w:rsid w:val="00EF7AC9"/>
    <w:rsid w:val="00F0075A"/>
    <w:rsid w:val="00F02ED0"/>
    <w:rsid w:val="00F03141"/>
    <w:rsid w:val="00F05DF6"/>
    <w:rsid w:val="00F0634D"/>
    <w:rsid w:val="00F065F7"/>
    <w:rsid w:val="00F06E5D"/>
    <w:rsid w:val="00F0767D"/>
    <w:rsid w:val="00F0783C"/>
    <w:rsid w:val="00F10A1D"/>
    <w:rsid w:val="00F118E4"/>
    <w:rsid w:val="00F11931"/>
    <w:rsid w:val="00F1341B"/>
    <w:rsid w:val="00F152D1"/>
    <w:rsid w:val="00F2094B"/>
    <w:rsid w:val="00F20FF3"/>
    <w:rsid w:val="00F2188E"/>
    <w:rsid w:val="00F233E0"/>
    <w:rsid w:val="00F25DC3"/>
    <w:rsid w:val="00F2624B"/>
    <w:rsid w:val="00F309E0"/>
    <w:rsid w:val="00F3304E"/>
    <w:rsid w:val="00F36D67"/>
    <w:rsid w:val="00F372A5"/>
    <w:rsid w:val="00F4033B"/>
    <w:rsid w:val="00F415CF"/>
    <w:rsid w:val="00F41BAB"/>
    <w:rsid w:val="00F4219F"/>
    <w:rsid w:val="00F436CC"/>
    <w:rsid w:val="00F4441F"/>
    <w:rsid w:val="00F47ACB"/>
    <w:rsid w:val="00F526DB"/>
    <w:rsid w:val="00F560C7"/>
    <w:rsid w:val="00F56881"/>
    <w:rsid w:val="00F57DA6"/>
    <w:rsid w:val="00F605CA"/>
    <w:rsid w:val="00F6062A"/>
    <w:rsid w:val="00F6288B"/>
    <w:rsid w:val="00F628B7"/>
    <w:rsid w:val="00F65A6F"/>
    <w:rsid w:val="00F710FF"/>
    <w:rsid w:val="00F731DC"/>
    <w:rsid w:val="00F73C1F"/>
    <w:rsid w:val="00F7427E"/>
    <w:rsid w:val="00F74AB9"/>
    <w:rsid w:val="00F75A5F"/>
    <w:rsid w:val="00F76F2B"/>
    <w:rsid w:val="00F76FAC"/>
    <w:rsid w:val="00F81032"/>
    <w:rsid w:val="00F81BDE"/>
    <w:rsid w:val="00F8320E"/>
    <w:rsid w:val="00F83C1A"/>
    <w:rsid w:val="00F84575"/>
    <w:rsid w:val="00F8468A"/>
    <w:rsid w:val="00F8564D"/>
    <w:rsid w:val="00F8650C"/>
    <w:rsid w:val="00F87007"/>
    <w:rsid w:val="00F87A3A"/>
    <w:rsid w:val="00F90929"/>
    <w:rsid w:val="00F91175"/>
    <w:rsid w:val="00F93B0A"/>
    <w:rsid w:val="00F93E8F"/>
    <w:rsid w:val="00F952E5"/>
    <w:rsid w:val="00F95DB4"/>
    <w:rsid w:val="00F96D41"/>
    <w:rsid w:val="00FA00F9"/>
    <w:rsid w:val="00FA13C8"/>
    <w:rsid w:val="00FA5A45"/>
    <w:rsid w:val="00FA6533"/>
    <w:rsid w:val="00FA7CB8"/>
    <w:rsid w:val="00FB0420"/>
    <w:rsid w:val="00FB0598"/>
    <w:rsid w:val="00FB2AEF"/>
    <w:rsid w:val="00FB51F9"/>
    <w:rsid w:val="00FB5242"/>
    <w:rsid w:val="00FB5858"/>
    <w:rsid w:val="00FB5BF6"/>
    <w:rsid w:val="00FB5DA7"/>
    <w:rsid w:val="00FB6127"/>
    <w:rsid w:val="00FB65F4"/>
    <w:rsid w:val="00FB6698"/>
    <w:rsid w:val="00FB69C2"/>
    <w:rsid w:val="00FB7E6F"/>
    <w:rsid w:val="00FB7FDD"/>
    <w:rsid w:val="00FC0977"/>
    <w:rsid w:val="00FC0BD0"/>
    <w:rsid w:val="00FC1391"/>
    <w:rsid w:val="00FC1DDC"/>
    <w:rsid w:val="00FC2FBA"/>
    <w:rsid w:val="00FC43FE"/>
    <w:rsid w:val="00FC455E"/>
    <w:rsid w:val="00FC5404"/>
    <w:rsid w:val="00FC5736"/>
    <w:rsid w:val="00FC6C17"/>
    <w:rsid w:val="00FD2E11"/>
    <w:rsid w:val="00FD4C60"/>
    <w:rsid w:val="00FD4D3C"/>
    <w:rsid w:val="00FD511A"/>
    <w:rsid w:val="00FD6ACF"/>
    <w:rsid w:val="00FD7EDF"/>
    <w:rsid w:val="00FE0017"/>
    <w:rsid w:val="00FE1485"/>
    <w:rsid w:val="00FE1D3D"/>
    <w:rsid w:val="00FE1F32"/>
    <w:rsid w:val="00FE2E99"/>
    <w:rsid w:val="00FE4484"/>
    <w:rsid w:val="00FE541C"/>
    <w:rsid w:val="00FE7876"/>
    <w:rsid w:val="00FF0FCA"/>
    <w:rsid w:val="00FF137E"/>
    <w:rsid w:val="00FF1C5F"/>
    <w:rsid w:val="00FF56F2"/>
    <w:rsid w:val="00FF6FD8"/>
    <w:rsid w:val="00FF7B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pl-PL" w:eastAsia="pl-PL"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028F"/>
  </w:style>
  <w:style w:type="paragraph" w:styleId="Nagwek1">
    <w:name w:val="heading 1"/>
    <w:basedOn w:val="Normalny"/>
    <w:next w:val="Normalny"/>
    <w:link w:val="Nagwek1Znak"/>
    <w:uiPriority w:val="9"/>
    <w:qFormat/>
    <w:rsid w:val="0031028F"/>
    <w:pPr>
      <w:keepNext/>
      <w:keepLines/>
      <w:pBdr>
        <w:bottom w:val="single" w:sz="4" w:space="2" w:color="D5581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gwek2">
    <w:name w:val="heading 2"/>
    <w:basedOn w:val="Normalny"/>
    <w:next w:val="Normalny"/>
    <w:link w:val="Nagwek2Znak"/>
    <w:uiPriority w:val="9"/>
    <w:unhideWhenUsed/>
    <w:qFormat/>
    <w:rsid w:val="0031028F"/>
    <w:pPr>
      <w:keepNext/>
      <w:keepLines/>
      <w:spacing w:before="120" w:after="0" w:line="240" w:lineRule="auto"/>
      <w:outlineLvl w:val="1"/>
    </w:pPr>
    <w:rPr>
      <w:rFonts w:asciiTheme="majorHAnsi" w:eastAsiaTheme="majorEastAsia" w:hAnsiTheme="majorHAnsi" w:cstheme="majorBidi"/>
      <w:color w:val="D55816" w:themeColor="accent2"/>
      <w:sz w:val="36"/>
      <w:szCs w:val="36"/>
    </w:rPr>
  </w:style>
  <w:style w:type="paragraph" w:styleId="Nagwek3">
    <w:name w:val="heading 3"/>
    <w:basedOn w:val="Normalny"/>
    <w:next w:val="Normalny"/>
    <w:link w:val="Nagwek3Znak"/>
    <w:uiPriority w:val="9"/>
    <w:unhideWhenUsed/>
    <w:qFormat/>
    <w:rsid w:val="0031028F"/>
    <w:pPr>
      <w:keepNext/>
      <w:keepLines/>
      <w:spacing w:before="80" w:after="0" w:line="240" w:lineRule="auto"/>
      <w:outlineLvl w:val="2"/>
    </w:pPr>
    <w:rPr>
      <w:rFonts w:asciiTheme="majorHAnsi" w:eastAsiaTheme="majorEastAsia" w:hAnsiTheme="majorHAnsi" w:cstheme="majorBidi"/>
      <w:color w:val="9F4110" w:themeColor="accent2" w:themeShade="BF"/>
      <w:sz w:val="32"/>
      <w:szCs w:val="32"/>
    </w:rPr>
  </w:style>
  <w:style w:type="paragraph" w:styleId="Nagwek4">
    <w:name w:val="heading 4"/>
    <w:basedOn w:val="Normalny"/>
    <w:next w:val="Normalny"/>
    <w:link w:val="Nagwek4Znak"/>
    <w:uiPriority w:val="9"/>
    <w:unhideWhenUsed/>
    <w:qFormat/>
    <w:rsid w:val="0031028F"/>
    <w:pPr>
      <w:keepNext/>
      <w:keepLines/>
      <w:spacing w:before="80" w:after="0" w:line="240" w:lineRule="auto"/>
      <w:outlineLvl w:val="3"/>
    </w:pPr>
    <w:rPr>
      <w:rFonts w:asciiTheme="majorHAnsi" w:eastAsiaTheme="majorEastAsia" w:hAnsiTheme="majorHAnsi" w:cstheme="majorBidi"/>
      <w:i/>
      <w:iCs/>
      <w:color w:val="6A2C0B" w:themeColor="accent2" w:themeShade="80"/>
      <w:sz w:val="28"/>
      <w:szCs w:val="28"/>
    </w:rPr>
  </w:style>
  <w:style w:type="paragraph" w:styleId="Nagwek5">
    <w:name w:val="heading 5"/>
    <w:basedOn w:val="Normalny"/>
    <w:next w:val="Normalny"/>
    <w:link w:val="Nagwek5Znak"/>
    <w:uiPriority w:val="9"/>
    <w:unhideWhenUsed/>
    <w:qFormat/>
    <w:rsid w:val="0031028F"/>
    <w:pPr>
      <w:keepNext/>
      <w:keepLines/>
      <w:spacing w:before="80" w:after="0" w:line="240" w:lineRule="auto"/>
      <w:outlineLvl w:val="4"/>
    </w:pPr>
    <w:rPr>
      <w:rFonts w:asciiTheme="majorHAnsi" w:eastAsiaTheme="majorEastAsia" w:hAnsiTheme="majorHAnsi" w:cstheme="majorBidi"/>
      <w:color w:val="9F4110" w:themeColor="accent2" w:themeShade="BF"/>
      <w:sz w:val="24"/>
      <w:szCs w:val="24"/>
    </w:rPr>
  </w:style>
  <w:style w:type="paragraph" w:styleId="Nagwek6">
    <w:name w:val="heading 6"/>
    <w:basedOn w:val="Normalny"/>
    <w:next w:val="Normalny"/>
    <w:link w:val="Nagwek6Znak"/>
    <w:uiPriority w:val="9"/>
    <w:unhideWhenUsed/>
    <w:qFormat/>
    <w:rsid w:val="0031028F"/>
    <w:pPr>
      <w:keepNext/>
      <w:keepLines/>
      <w:spacing w:before="80" w:after="0" w:line="240" w:lineRule="auto"/>
      <w:outlineLvl w:val="5"/>
    </w:pPr>
    <w:rPr>
      <w:rFonts w:asciiTheme="majorHAnsi" w:eastAsiaTheme="majorEastAsia" w:hAnsiTheme="majorHAnsi" w:cstheme="majorBidi"/>
      <w:i/>
      <w:iCs/>
      <w:color w:val="6A2C0B" w:themeColor="accent2" w:themeShade="80"/>
      <w:sz w:val="24"/>
      <w:szCs w:val="24"/>
    </w:rPr>
  </w:style>
  <w:style w:type="paragraph" w:styleId="Nagwek7">
    <w:name w:val="heading 7"/>
    <w:basedOn w:val="Normalny"/>
    <w:next w:val="Normalny"/>
    <w:link w:val="Nagwek7Znak"/>
    <w:uiPriority w:val="9"/>
    <w:unhideWhenUsed/>
    <w:qFormat/>
    <w:rsid w:val="0031028F"/>
    <w:pPr>
      <w:keepNext/>
      <w:keepLines/>
      <w:spacing w:before="80" w:after="0" w:line="240" w:lineRule="auto"/>
      <w:outlineLvl w:val="6"/>
    </w:pPr>
    <w:rPr>
      <w:rFonts w:asciiTheme="majorHAnsi" w:eastAsiaTheme="majorEastAsia" w:hAnsiTheme="majorHAnsi" w:cstheme="majorBidi"/>
      <w:b/>
      <w:bCs/>
      <w:color w:val="6A2C0B" w:themeColor="accent2" w:themeShade="80"/>
      <w:sz w:val="22"/>
      <w:szCs w:val="22"/>
    </w:rPr>
  </w:style>
  <w:style w:type="paragraph" w:styleId="Nagwek8">
    <w:name w:val="heading 8"/>
    <w:basedOn w:val="Normalny"/>
    <w:next w:val="Normalny"/>
    <w:link w:val="Nagwek8Znak"/>
    <w:uiPriority w:val="9"/>
    <w:unhideWhenUsed/>
    <w:qFormat/>
    <w:rsid w:val="0031028F"/>
    <w:pPr>
      <w:keepNext/>
      <w:keepLines/>
      <w:spacing w:before="80" w:after="0" w:line="240" w:lineRule="auto"/>
      <w:outlineLvl w:val="7"/>
    </w:pPr>
    <w:rPr>
      <w:rFonts w:asciiTheme="majorHAnsi" w:eastAsiaTheme="majorEastAsia" w:hAnsiTheme="majorHAnsi" w:cstheme="majorBidi"/>
      <w:color w:val="6A2C0B" w:themeColor="accent2" w:themeShade="80"/>
      <w:sz w:val="22"/>
      <w:szCs w:val="22"/>
    </w:rPr>
  </w:style>
  <w:style w:type="paragraph" w:styleId="Nagwek9">
    <w:name w:val="heading 9"/>
    <w:basedOn w:val="Normalny"/>
    <w:next w:val="Normalny"/>
    <w:link w:val="Nagwek9Znak"/>
    <w:uiPriority w:val="9"/>
    <w:unhideWhenUsed/>
    <w:qFormat/>
    <w:rsid w:val="0031028F"/>
    <w:pPr>
      <w:keepNext/>
      <w:keepLines/>
      <w:spacing w:before="80" w:after="0" w:line="240" w:lineRule="auto"/>
      <w:outlineLvl w:val="8"/>
    </w:pPr>
    <w:rPr>
      <w:rFonts w:asciiTheme="majorHAnsi" w:eastAsiaTheme="majorEastAsia" w:hAnsiTheme="majorHAnsi" w:cstheme="majorBidi"/>
      <w:i/>
      <w:iCs/>
      <w:color w:val="6A2C0B" w:themeColor="accent2" w:themeShade="8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1028F"/>
    <w:rPr>
      <w:rFonts w:asciiTheme="majorHAnsi" w:eastAsiaTheme="majorEastAsia" w:hAnsiTheme="majorHAnsi" w:cstheme="majorBidi"/>
      <w:color w:val="262626" w:themeColor="text1" w:themeTint="D9"/>
      <w:sz w:val="40"/>
      <w:szCs w:val="40"/>
    </w:rPr>
  </w:style>
  <w:style w:type="character" w:customStyle="1" w:styleId="Nagwek2Znak">
    <w:name w:val="Nagłówek 2 Znak"/>
    <w:basedOn w:val="Domylnaczcionkaakapitu"/>
    <w:link w:val="Nagwek2"/>
    <w:uiPriority w:val="9"/>
    <w:rsid w:val="0031028F"/>
    <w:rPr>
      <w:rFonts w:asciiTheme="majorHAnsi" w:eastAsiaTheme="majorEastAsia" w:hAnsiTheme="majorHAnsi" w:cstheme="majorBidi"/>
      <w:color w:val="D55816" w:themeColor="accent2"/>
      <w:sz w:val="36"/>
      <w:szCs w:val="36"/>
    </w:rPr>
  </w:style>
  <w:style w:type="character" w:customStyle="1" w:styleId="Nagwek3Znak">
    <w:name w:val="Nagłówek 3 Znak"/>
    <w:basedOn w:val="Domylnaczcionkaakapitu"/>
    <w:link w:val="Nagwek3"/>
    <w:uiPriority w:val="9"/>
    <w:rsid w:val="0031028F"/>
    <w:rPr>
      <w:rFonts w:asciiTheme="majorHAnsi" w:eastAsiaTheme="majorEastAsia" w:hAnsiTheme="majorHAnsi" w:cstheme="majorBidi"/>
      <w:color w:val="9F4110" w:themeColor="accent2" w:themeShade="BF"/>
      <w:sz w:val="32"/>
      <w:szCs w:val="32"/>
    </w:rPr>
  </w:style>
  <w:style w:type="character" w:customStyle="1" w:styleId="Nagwek4Znak">
    <w:name w:val="Nagłówek 4 Znak"/>
    <w:basedOn w:val="Domylnaczcionkaakapitu"/>
    <w:link w:val="Nagwek4"/>
    <w:uiPriority w:val="9"/>
    <w:rsid w:val="0031028F"/>
    <w:rPr>
      <w:rFonts w:asciiTheme="majorHAnsi" w:eastAsiaTheme="majorEastAsia" w:hAnsiTheme="majorHAnsi" w:cstheme="majorBidi"/>
      <w:i/>
      <w:iCs/>
      <w:color w:val="6A2C0B" w:themeColor="accent2" w:themeShade="80"/>
      <w:sz w:val="28"/>
      <w:szCs w:val="28"/>
    </w:rPr>
  </w:style>
  <w:style w:type="character" w:customStyle="1" w:styleId="Nagwek5Znak">
    <w:name w:val="Nagłówek 5 Znak"/>
    <w:basedOn w:val="Domylnaczcionkaakapitu"/>
    <w:link w:val="Nagwek5"/>
    <w:uiPriority w:val="9"/>
    <w:rsid w:val="0031028F"/>
    <w:rPr>
      <w:rFonts w:asciiTheme="majorHAnsi" w:eastAsiaTheme="majorEastAsia" w:hAnsiTheme="majorHAnsi" w:cstheme="majorBidi"/>
      <w:color w:val="9F4110" w:themeColor="accent2" w:themeShade="BF"/>
      <w:sz w:val="24"/>
      <w:szCs w:val="24"/>
    </w:rPr>
  </w:style>
  <w:style w:type="character" w:customStyle="1" w:styleId="Nagwek6Znak">
    <w:name w:val="Nagłówek 6 Znak"/>
    <w:basedOn w:val="Domylnaczcionkaakapitu"/>
    <w:link w:val="Nagwek6"/>
    <w:uiPriority w:val="9"/>
    <w:rsid w:val="0031028F"/>
    <w:rPr>
      <w:rFonts w:asciiTheme="majorHAnsi" w:eastAsiaTheme="majorEastAsia" w:hAnsiTheme="majorHAnsi" w:cstheme="majorBidi"/>
      <w:i/>
      <w:iCs/>
      <w:color w:val="6A2C0B" w:themeColor="accent2" w:themeShade="80"/>
      <w:sz w:val="24"/>
      <w:szCs w:val="24"/>
    </w:rPr>
  </w:style>
  <w:style w:type="character" w:customStyle="1" w:styleId="Nagwek7Znak">
    <w:name w:val="Nagłówek 7 Znak"/>
    <w:basedOn w:val="Domylnaczcionkaakapitu"/>
    <w:link w:val="Nagwek7"/>
    <w:uiPriority w:val="9"/>
    <w:rsid w:val="0031028F"/>
    <w:rPr>
      <w:rFonts w:asciiTheme="majorHAnsi" w:eastAsiaTheme="majorEastAsia" w:hAnsiTheme="majorHAnsi" w:cstheme="majorBidi"/>
      <w:b/>
      <w:bCs/>
      <w:color w:val="6A2C0B" w:themeColor="accent2" w:themeShade="80"/>
      <w:sz w:val="22"/>
      <w:szCs w:val="22"/>
    </w:rPr>
  </w:style>
  <w:style w:type="character" w:customStyle="1" w:styleId="Nagwek8Znak">
    <w:name w:val="Nagłówek 8 Znak"/>
    <w:basedOn w:val="Domylnaczcionkaakapitu"/>
    <w:link w:val="Nagwek8"/>
    <w:uiPriority w:val="9"/>
    <w:rsid w:val="0031028F"/>
    <w:rPr>
      <w:rFonts w:asciiTheme="majorHAnsi" w:eastAsiaTheme="majorEastAsia" w:hAnsiTheme="majorHAnsi" w:cstheme="majorBidi"/>
      <w:color w:val="6A2C0B" w:themeColor="accent2" w:themeShade="80"/>
      <w:sz w:val="22"/>
      <w:szCs w:val="22"/>
    </w:rPr>
  </w:style>
  <w:style w:type="character" w:customStyle="1" w:styleId="Nagwek9Znak">
    <w:name w:val="Nagłówek 9 Znak"/>
    <w:basedOn w:val="Domylnaczcionkaakapitu"/>
    <w:link w:val="Nagwek9"/>
    <w:uiPriority w:val="9"/>
    <w:rsid w:val="0031028F"/>
    <w:rPr>
      <w:rFonts w:asciiTheme="majorHAnsi" w:eastAsiaTheme="majorEastAsia" w:hAnsiTheme="majorHAnsi" w:cstheme="majorBidi"/>
      <w:i/>
      <w:iCs/>
      <w:color w:val="6A2C0B" w:themeColor="accent2" w:themeShade="80"/>
      <w:sz w:val="22"/>
      <w:szCs w:val="22"/>
    </w:rPr>
  </w:style>
  <w:style w:type="paragraph" w:customStyle="1" w:styleId="tekst">
    <w:name w:val="tekst"/>
    <w:basedOn w:val="Normalny"/>
    <w:link w:val="tekstZnak"/>
    <w:qFormat/>
    <w:rsid w:val="00030276"/>
    <w:pPr>
      <w:spacing w:after="0" w:line="300" w:lineRule="auto"/>
      <w:ind w:firstLine="709"/>
      <w:jc w:val="both"/>
    </w:pPr>
    <w:rPr>
      <w:rFonts w:ascii="Times New Roman" w:hAnsi="Times New Roman"/>
      <w:sz w:val="24"/>
      <w:szCs w:val="20"/>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iPriority w:val="35"/>
    <w:unhideWhenUsed/>
    <w:qFormat/>
    <w:rsid w:val="0031028F"/>
    <w:pPr>
      <w:spacing w:line="240" w:lineRule="auto"/>
    </w:pPr>
    <w:rPr>
      <w:b/>
      <w:bCs/>
      <w:color w:val="404040" w:themeColor="text1" w:themeTint="BF"/>
      <w:sz w:val="16"/>
      <w:szCs w:val="16"/>
    </w:rPr>
  </w:style>
  <w:style w:type="character" w:customStyle="1" w:styleId="LegendaZnak">
    <w:name w:val="Legenda Znak"/>
    <w:link w:val="Legenda"/>
    <w:uiPriority w:val="35"/>
    <w:rsid w:val="005D7021"/>
    <w:rPr>
      <w:b/>
      <w:bCs/>
      <w:color w:val="404040" w:themeColor="text1" w:themeTint="BF"/>
      <w:sz w:val="16"/>
      <w:szCs w:val="16"/>
    </w:rPr>
  </w:style>
  <w:style w:type="paragraph" w:customStyle="1" w:styleId="podpis">
    <w:name w:val="podpis"/>
    <w:basedOn w:val="Legenda"/>
    <w:link w:val="podpisZnak"/>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59"/>
    <w:rsid w:val="008E2E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semiHidden/>
    <w:unhideWhenUsed/>
    <w:rsid w:val="00AC0D4C"/>
    <w:pPr>
      <w:spacing w:after="0" w:line="240" w:lineRule="auto"/>
    </w:pPr>
    <w:rPr>
      <w:sz w:val="20"/>
      <w:szCs w:val="20"/>
    </w:r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iPriority w:val="99"/>
    <w:unhideWhenUsed/>
    <w:rsid w:val="000A0505"/>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basedOn w:val="Domylnaczcionkaakapitu"/>
    <w:uiPriority w:val="22"/>
    <w:qFormat/>
    <w:rsid w:val="0031028F"/>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uiPriority w:val="99"/>
    <w:semiHidden/>
    <w:unhideWhenUsed/>
    <w:rsid w:val="00622F53"/>
    <w:pPr>
      <w:spacing w:after="0" w:line="240" w:lineRule="auto"/>
    </w:pPr>
    <w:rPr>
      <w:sz w:val="20"/>
      <w:szCs w:val="20"/>
    </w:r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uiPriority w:val="10"/>
    <w:qFormat/>
    <w:rsid w:val="0031028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ytuZnak">
    <w:name w:val="Tytuł Znak"/>
    <w:basedOn w:val="Domylnaczcionkaakapitu"/>
    <w:link w:val="Tytu"/>
    <w:uiPriority w:val="10"/>
    <w:rsid w:val="0031028F"/>
    <w:rPr>
      <w:rFonts w:asciiTheme="majorHAnsi" w:eastAsiaTheme="majorEastAsia" w:hAnsiTheme="majorHAnsi" w:cstheme="majorBidi"/>
      <w:color w:val="262626" w:themeColor="text1" w:themeTint="D9"/>
      <w:sz w:val="96"/>
      <w:szCs w:val="96"/>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sz w:val="20"/>
      <w:szCs w:val="20"/>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622F53"/>
    <w:pPr>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622F53"/>
    <w:pPr>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31028F"/>
    <w:pPr>
      <w:outlineLvl w:val="9"/>
    </w:p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before="100" w:after="150" w:line="240" w:lineRule="auto"/>
      <w:ind w:left="100" w:right="100"/>
    </w:pPr>
    <w:rPr>
      <w:rFonts w:ascii="Tahoma" w:eastAsia="Times New Roman" w:hAnsi="Tahoma" w:cs="Tahoma"/>
      <w:sz w:val="12"/>
      <w:szCs w:val="12"/>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basedOn w:val="Domylnaczcionkaakapitu"/>
    <w:uiPriority w:val="20"/>
    <w:qFormat/>
    <w:rsid w:val="0031028F"/>
    <w:rPr>
      <w:i/>
      <w:iCs/>
      <w:color w:val="000000" w:themeColor="text1"/>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sz w:val="20"/>
      <w:szCs w:val="20"/>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rPr>
      <w:sz w:val="20"/>
      <w:szCs w:val="20"/>
    </w:r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100" w:beforeAutospacing="1" w:after="100" w:afterAutospacing="1" w:line="240" w:lineRule="auto"/>
    </w:pPr>
    <w:rPr>
      <w:rFonts w:ascii="Verdana" w:eastAsia="Times New Roman" w:hAnsi="Verdana"/>
      <w:color w:val="003366"/>
      <w:sz w:val="16"/>
      <w:szCs w:val="16"/>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rPr>
  </w:style>
  <w:style w:type="paragraph" w:customStyle="1" w:styleId="s12bold">
    <w:name w:val="s12bold"/>
    <w:basedOn w:val="Normalny"/>
    <w:rsid w:val="00BF6009"/>
    <w:pPr>
      <w:spacing w:before="100" w:beforeAutospacing="1" w:after="100" w:afterAutospacing="1" w:line="240" w:lineRule="auto"/>
    </w:pPr>
    <w:rPr>
      <w:rFonts w:ascii="Verdana" w:eastAsia="Times New Roman" w:hAnsi="Verdana"/>
      <w:b/>
      <w:bCs/>
      <w:color w:val="000000"/>
      <w:sz w:val="11"/>
      <w:szCs w:val="11"/>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uiPriority w:val="99"/>
    <w:semiHidden/>
    <w:rsid w:val="00BF6009"/>
    <w:rPr>
      <w:vertAlign w:val="superscript"/>
    </w:rPr>
  </w:style>
  <w:style w:type="paragraph" w:customStyle="1" w:styleId="firstp3">
    <w:name w:val="firstp3"/>
    <w:basedOn w:val="Normalny"/>
    <w:rsid w:val="00BF6009"/>
    <w:pPr>
      <w:spacing w:before="100" w:beforeAutospacing="1" w:after="100" w:line="240" w:lineRule="auto"/>
    </w:pPr>
    <w:rPr>
      <w:rFonts w:ascii="Times New Roman" w:eastAsia="Times New Roman" w:hAnsi="Times New Roman"/>
      <w:sz w:val="24"/>
      <w:szCs w:val="24"/>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100" w:beforeAutospacing="1" w:after="100" w:afterAutospacing="1" w:line="260" w:lineRule="atLeast"/>
      <w:ind w:firstLine="300"/>
      <w:jc w:val="both"/>
    </w:pPr>
    <w:rPr>
      <w:rFonts w:ascii="Arial" w:eastAsia="Times New Roman" w:hAnsi="Arial" w:cs="Arial"/>
      <w:color w:val="000000"/>
      <w:sz w:val="20"/>
      <w:szCs w:val="20"/>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txt01">
    <w:name w:val="txt01"/>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szCs w:val="20"/>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bcparagraph2bcparagraph8">
    <w:name w:val="_bc_paragraph_2 _bc_paragraph_8"/>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zwyklytekst">
    <w:name w:val="zwyklytekst"/>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icon-phone">
    <w:name w:val="icon-phone"/>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margintop10">
    <w:name w:val="margintop10"/>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adress">
    <w:name w:val="adress"/>
    <w:basedOn w:val="Domylnaczcionkaakapitu"/>
    <w:rsid w:val="00BF6009"/>
  </w:style>
  <w:style w:type="paragraph" w:customStyle="1" w:styleId="nag">
    <w:name w:val="nag"/>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sz w:val="20"/>
      <w:szCs w:val="20"/>
      <w:lang w:eastAsia="ar-SA"/>
    </w:rPr>
  </w:style>
  <w:style w:type="paragraph" w:styleId="Plandokumentu">
    <w:name w:val="Document Map"/>
    <w:basedOn w:val="Normalny"/>
    <w:link w:val="PlandokumentuZnak"/>
    <w:semiHidden/>
    <w:rsid w:val="00BF6009"/>
    <w:pPr>
      <w:shd w:val="clear" w:color="auto" w:fill="000080"/>
      <w:spacing w:after="0" w:line="240" w:lineRule="auto"/>
    </w:pPr>
    <w:rPr>
      <w:rFonts w:ascii="Tahoma" w:eastAsia="Times New Roman" w:hAnsi="Tahoma" w:cs="Tahoma"/>
      <w:sz w:val="20"/>
      <w:szCs w:val="20"/>
    </w:rPr>
  </w:style>
  <w:style w:type="character" w:customStyle="1" w:styleId="PlandokumentuZnak">
    <w:name w:val="Plan dokumentu Znak"/>
    <w:basedOn w:val="Domylnaczcionkaakapitu"/>
    <w:link w:val="Plan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rsid w:val="004E7072"/>
    <w:pPr>
      <w:spacing w:after="0" w:line="240" w:lineRule="auto"/>
      <w:jc w:val="center"/>
    </w:pPr>
    <w:rPr>
      <w:rFonts w:eastAsia="Times New Roman"/>
      <w:bCs/>
      <w:i/>
      <w:color w:val="000000"/>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100" w:beforeAutospacing="1" w:after="100" w:afterAutospacing="1" w:line="240" w:lineRule="auto"/>
    </w:pPr>
    <w:rPr>
      <w:rFonts w:ascii="Times New Roman" w:eastAsia="Times New Roman" w:hAnsi="Times New Roman"/>
      <w:sz w:val="24"/>
      <w:szCs w:val="24"/>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rsid w:val="00A84CF4"/>
    <w:pPr>
      <w:numPr>
        <w:numId w:val="7"/>
      </w:numPr>
      <w:autoSpaceDE w:val="0"/>
      <w:autoSpaceDN w:val="0"/>
      <w:adjustRightInd w:val="0"/>
      <w:spacing w:after="0"/>
      <w:contextualSpacing/>
      <w:jc w:val="both"/>
    </w:pPr>
    <w:rPr>
      <w:rFonts w:ascii="Arial" w:eastAsia="Times New Roman" w:hAnsi="Arial" w:cs="Arial"/>
      <w:bCs/>
      <w:sz w:val="24"/>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rPr>
  </w:style>
  <w:style w:type="paragraph" w:styleId="Bezodstpw">
    <w:name w:val="No Spacing"/>
    <w:link w:val="BezodstpwZnak"/>
    <w:uiPriority w:val="1"/>
    <w:qFormat/>
    <w:rsid w:val="0031028F"/>
    <w:pPr>
      <w:spacing w:after="0" w:line="240" w:lineRule="auto"/>
    </w:p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szCs w:val="20"/>
    </w:rPr>
  </w:style>
  <w:style w:type="character" w:customStyle="1" w:styleId="ListParagraphChar1">
    <w:name w:val="List Paragraph Char1"/>
    <w:link w:val="Akapitzlist1"/>
    <w:locked/>
    <w:rsid w:val="00112C59"/>
    <w:rPr>
      <w:rFonts w:eastAsia="Times New Roman"/>
      <w:sz w:val="22"/>
      <w:szCs w:val="22"/>
    </w:rPr>
  </w:style>
  <w:style w:type="paragraph" w:styleId="Podtytu">
    <w:name w:val="Subtitle"/>
    <w:basedOn w:val="Normalny"/>
    <w:next w:val="Normalny"/>
    <w:link w:val="PodtytuZnak"/>
    <w:uiPriority w:val="11"/>
    <w:qFormat/>
    <w:rsid w:val="0031028F"/>
    <w:pPr>
      <w:numPr>
        <w:ilvl w:val="1"/>
      </w:numPr>
      <w:spacing w:after="240"/>
    </w:pPr>
    <w:rPr>
      <w:caps/>
      <w:color w:val="404040" w:themeColor="text1" w:themeTint="BF"/>
      <w:spacing w:val="20"/>
      <w:sz w:val="28"/>
      <w:szCs w:val="28"/>
    </w:rPr>
  </w:style>
  <w:style w:type="character" w:customStyle="1" w:styleId="PodtytuZnak">
    <w:name w:val="Podtytuł Znak"/>
    <w:basedOn w:val="Domylnaczcionkaakapitu"/>
    <w:link w:val="Podtytu"/>
    <w:uiPriority w:val="11"/>
    <w:rsid w:val="0031028F"/>
    <w:rPr>
      <w:caps/>
      <w:color w:val="404040" w:themeColor="text1" w:themeTint="BF"/>
      <w:spacing w:val="20"/>
      <w:sz w:val="28"/>
      <w:szCs w:val="28"/>
    </w:rPr>
  </w:style>
  <w:style w:type="paragraph" w:styleId="Cytat">
    <w:name w:val="Quote"/>
    <w:basedOn w:val="Normalny"/>
    <w:next w:val="Normalny"/>
    <w:link w:val="CytatZnak"/>
    <w:uiPriority w:val="29"/>
    <w:qFormat/>
    <w:rsid w:val="0031028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ytatZnak">
    <w:name w:val="Cytat Znak"/>
    <w:basedOn w:val="Domylnaczcionkaakapitu"/>
    <w:link w:val="Cytat"/>
    <w:uiPriority w:val="29"/>
    <w:rsid w:val="0031028F"/>
    <w:rPr>
      <w:rFonts w:asciiTheme="majorHAnsi" w:eastAsiaTheme="majorEastAsia" w:hAnsiTheme="majorHAnsi" w:cstheme="majorBidi"/>
      <w:color w:val="000000" w:themeColor="text1"/>
      <w:sz w:val="24"/>
      <w:szCs w:val="24"/>
    </w:rPr>
  </w:style>
  <w:style w:type="paragraph" w:styleId="Cytatintensywny">
    <w:name w:val="Intense Quote"/>
    <w:basedOn w:val="Normalny"/>
    <w:next w:val="Normalny"/>
    <w:link w:val="CytatintensywnyZnak"/>
    <w:uiPriority w:val="30"/>
    <w:qFormat/>
    <w:rsid w:val="0031028F"/>
    <w:pPr>
      <w:pBdr>
        <w:top w:val="single" w:sz="24" w:space="4" w:color="D5581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ytatintensywnyZnak">
    <w:name w:val="Cytat intensywny Znak"/>
    <w:basedOn w:val="Domylnaczcionkaakapitu"/>
    <w:link w:val="Cytatintensywny"/>
    <w:uiPriority w:val="30"/>
    <w:rsid w:val="0031028F"/>
    <w:rPr>
      <w:rFonts w:asciiTheme="majorHAnsi" w:eastAsiaTheme="majorEastAsia" w:hAnsiTheme="majorHAnsi" w:cstheme="majorBidi"/>
      <w:sz w:val="24"/>
      <w:szCs w:val="24"/>
    </w:rPr>
  </w:style>
  <w:style w:type="character" w:styleId="Wyrnieniedelikatne">
    <w:name w:val="Subtle Emphasis"/>
    <w:basedOn w:val="Domylnaczcionkaakapitu"/>
    <w:uiPriority w:val="19"/>
    <w:qFormat/>
    <w:rsid w:val="0031028F"/>
    <w:rPr>
      <w:i/>
      <w:iCs/>
      <w:color w:val="595959" w:themeColor="text1" w:themeTint="A6"/>
    </w:rPr>
  </w:style>
  <w:style w:type="character" w:styleId="Wyrnienieintensywne">
    <w:name w:val="Intense Emphasis"/>
    <w:basedOn w:val="Domylnaczcionkaakapitu"/>
    <w:uiPriority w:val="21"/>
    <w:qFormat/>
    <w:rsid w:val="0031028F"/>
    <w:rPr>
      <w:b/>
      <w:bCs/>
      <w:i/>
      <w:iCs/>
      <w:caps w:val="0"/>
      <w:smallCaps w:val="0"/>
      <w:strike w:val="0"/>
      <w:dstrike w:val="0"/>
      <w:color w:val="D55816" w:themeColor="accent2"/>
    </w:rPr>
  </w:style>
  <w:style w:type="character" w:styleId="Odwoaniedelikatne">
    <w:name w:val="Subtle Reference"/>
    <w:basedOn w:val="Domylnaczcionkaakapitu"/>
    <w:uiPriority w:val="31"/>
    <w:qFormat/>
    <w:rsid w:val="0031028F"/>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31028F"/>
    <w:rPr>
      <w:b/>
      <w:bCs/>
      <w:caps w:val="0"/>
      <w:smallCaps/>
      <w:color w:val="auto"/>
      <w:spacing w:val="0"/>
      <w:u w:val="single"/>
    </w:rPr>
  </w:style>
  <w:style w:type="character" w:styleId="Tytuksiki">
    <w:name w:val="Book Title"/>
    <w:basedOn w:val="Domylnaczcionkaakapitu"/>
    <w:uiPriority w:val="33"/>
    <w:qFormat/>
    <w:rsid w:val="0031028F"/>
    <w:rPr>
      <w:b/>
      <w:bCs/>
      <w:caps w:val="0"/>
      <w:smallCaps/>
      <w:spacing w:val="0"/>
    </w:rPr>
  </w:style>
  <w:style w:type="table" w:customStyle="1" w:styleId="Tabelasiatki1jasnaakcent11">
    <w:name w:val="Tabela siatki 1 — jasna — akcent 11"/>
    <w:basedOn w:val="Standardowy"/>
    <w:uiPriority w:val="46"/>
    <w:rsid w:val="00875B6B"/>
    <w:pPr>
      <w:spacing w:after="0" w:line="240" w:lineRule="auto"/>
    </w:pPr>
    <w:tblPr>
      <w:tblStyleRowBandSize w:val="1"/>
      <w:tblStyleColBandSize w:val="1"/>
      <w:tblInd w:w="0" w:type="dxa"/>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CellMar>
        <w:top w:w="0" w:type="dxa"/>
        <w:left w:w="108" w:type="dxa"/>
        <w:bottom w:w="0" w:type="dxa"/>
        <w:right w:w="108" w:type="dxa"/>
      </w:tblCellMar>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customStyle="1" w:styleId="intro">
    <w:name w:val="intro"/>
    <w:basedOn w:val="Normalny"/>
    <w:rsid w:val="006253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atki1jasnaakcent21">
    <w:name w:val="Tabela siatki 1 — jasna — akcent 21"/>
    <w:basedOn w:val="Standardowy"/>
    <w:uiPriority w:val="46"/>
    <w:rsid w:val="00DE29B6"/>
    <w:pPr>
      <w:spacing w:after="0" w:line="240" w:lineRule="auto"/>
    </w:pPr>
    <w:tblPr>
      <w:tblStyleRowBandSize w:val="1"/>
      <w:tblStyleColBandSize w:val="1"/>
      <w:tblInd w:w="0" w:type="dxa"/>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CellMar>
        <w:top w:w="0" w:type="dxa"/>
        <w:left w:w="108" w:type="dxa"/>
        <w:bottom w:w="0" w:type="dxa"/>
        <w:right w:w="108" w:type="dxa"/>
      </w:tblCellMar>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D6AC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prawka">
    <w:name w:val="Revision"/>
    <w:hidden/>
    <w:uiPriority w:val="99"/>
    <w:semiHidden/>
    <w:rsid w:val="001F266D"/>
    <w:pPr>
      <w:spacing w:after="0" w:line="240" w:lineRule="auto"/>
    </w:pPr>
  </w:style>
  <w:style w:type="character" w:customStyle="1" w:styleId="Nierozpoznanawzmianka2">
    <w:name w:val="Nierozpoznana wzmianka2"/>
    <w:basedOn w:val="Domylnaczcionkaakapitu"/>
    <w:uiPriority w:val="99"/>
    <w:semiHidden/>
    <w:unhideWhenUsed/>
    <w:rsid w:val="00917A63"/>
    <w:rPr>
      <w:color w:val="605E5C"/>
      <w:shd w:val="clear" w:color="auto" w:fill="E1DFDD"/>
    </w:rPr>
  </w:style>
  <w:style w:type="character" w:customStyle="1" w:styleId="fontstyle01">
    <w:name w:val="fontstyle01"/>
    <w:basedOn w:val="Domylnaczcionkaakapitu"/>
    <w:rsid w:val="008722A9"/>
    <w:rPr>
      <w:rFonts w:ascii="Calibri" w:hAnsi="Calibri" w:cs="Calibri" w:hint="default"/>
      <w:b w:val="0"/>
      <w:bCs w:val="0"/>
      <w:i w:val="0"/>
      <w:iCs w:val="0"/>
      <w:color w:val="000000"/>
      <w:sz w:val="24"/>
      <w:szCs w:val="24"/>
    </w:rPr>
  </w:style>
  <w:style w:type="character" w:customStyle="1" w:styleId="Nierozpoznanawzmianka3">
    <w:name w:val="Nierozpoznana wzmianka3"/>
    <w:basedOn w:val="Domylnaczcionkaakapitu"/>
    <w:uiPriority w:val="99"/>
    <w:semiHidden/>
    <w:unhideWhenUsed/>
    <w:rsid w:val="008322E9"/>
    <w:rPr>
      <w:color w:val="605E5C"/>
      <w:shd w:val="clear" w:color="auto" w:fill="E1DFDD"/>
    </w:rPr>
  </w:style>
  <w:style w:type="character" w:customStyle="1" w:styleId="UnresolvedMention">
    <w:name w:val="Unresolved Mention"/>
    <w:basedOn w:val="Domylnaczcionkaakapitu"/>
    <w:uiPriority w:val="99"/>
    <w:semiHidden/>
    <w:unhideWhenUsed/>
    <w:rsid w:val="00797B5F"/>
    <w:rPr>
      <w:color w:val="605E5C"/>
      <w:shd w:val="clear" w:color="auto" w:fill="E1DFDD"/>
    </w:rPr>
  </w:style>
  <w:style w:type="character" w:customStyle="1" w:styleId="BezodstpwZnak">
    <w:name w:val="Bez odstępów Znak"/>
    <w:basedOn w:val="Domylnaczcionkaakapitu"/>
    <w:link w:val="Bezodstpw"/>
    <w:uiPriority w:val="1"/>
    <w:rsid w:val="00EE7C08"/>
  </w:style>
  <w:style w:type="character" w:customStyle="1" w:styleId="relative">
    <w:name w:val="relative"/>
    <w:basedOn w:val="Domylnaczcionkaakapitu"/>
    <w:rsid w:val="00462E2F"/>
  </w:style>
  <w:style w:type="character" w:customStyle="1" w:styleId="katex-mathml">
    <w:name w:val="katex-mathml"/>
    <w:basedOn w:val="Domylnaczcionkaakapitu"/>
    <w:rsid w:val="00462E2F"/>
  </w:style>
  <w:style w:type="character" w:customStyle="1" w:styleId="mord">
    <w:name w:val="mord"/>
    <w:basedOn w:val="Domylnaczcionkaakapitu"/>
    <w:rsid w:val="00462E2F"/>
  </w:style>
  <w:style w:type="character" w:customStyle="1" w:styleId="mrel">
    <w:name w:val="mrel"/>
    <w:basedOn w:val="Domylnaczcionkaakapitu"/>
    <w:rsid w:val="00462E2F"/>
  </w:style>
  <w:style w:type="character" w:customStyle="1" w:styleId="mpunct">
    <w:name w:val="mpunct"/>
    <w:basedOn w:val="Domylnaczcionkaakapitu"/>
    <w:rsid w:val="00462E2F"/>
  </w:style>
  <w:style w:type="character" w:customStyle="1" w:styleId="mbin">
    <w:name w:val="mbin"/>
    <w:basedOn w:val="Domylnaczcionkaakapitu"/>
    <w:rsid w:val="00462E2F"/>
  </w:style>
  <w:style w:type="character" w:customStyle="1" w:styleId="ms-1">
    <w:name w:val="ms-1"/>
    <w:basedOn w:val="Domylnaczcionkaakapitu"/>
    <w:rsid w:val="00E64C12"/>
  </w:style>
  <w:style w:type="character" w:customStyle="1" w:styleId="max-w-full">
    <w:name w:val="max-w-full"/>
    <w:basedOn w:val="Domylnaczcionkaakapitu"/>
    <w:rsid w:val="00E64C12"/>
  </w:style>
  <w:style w:type="character" w:customStyle="1" w:styleId="-me-1">
    <w:name w:val="-me-1"/>
    <w:basedOn w:val="Domylnaczcionkaakapitu"/>
    <w:rsid w:val="00E64C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pl-PL" w:eastAsia="pl-PL"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Cite" w:uiPriority="0"/>
    <w:lsdException w:name="HTML Preformatted"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1028F"/>
  </w:style>
  <w:style w:type="paragraph" w:styleId="Nagwek1">
    <w:name w:val="heading 1"/>
    <w:basedOn w:val="Normalny"/>
    <w:next w:val="Normalny"/>
    <w:link w:val="Nagwek1Znak"/>
    <w:uiPriority w:val="9"/>
    <w:qFormat/>
    <w:rsid w:val="0031028F"/>
    <w:pPr>
      <w:keepNext/>
      <w:keepLines/>
      <w:pBdr>
        <w:bottom w:val="single" w:sz="4" w:space="2" w:color="D5581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gwek2">
    <w:name w:val="heading 2"/>
    <w:basedOn w:val="Normalny"/>
    <w:next w:val="Normalny"/>
    <w:link w:val="Nagwek2Znak"/>
    <w:uiPriority w:val="9"/>
    <w:unhideWhenUsed/>
    <w:qFormat/>
    <w:rsid w:val="0031028F"/>
    <w:pPr>
      <w:keepNext/>
      <w:keepLines/>
      <w:spacing w:before="120" w:after="0" w:line="240" w:lineRule="auto"/>
      <w:outlineLvl w:val="1"/>
    </w:pPr>
    <w:rPr>
      <w:rFonts w:asciiTheme="majorHAnsi" w:eastAsiaTheme="majorEastAsia" w:hAnsiTheme="majorHAnsi" w:cstheme="majorBidi"/>
      <w:color w:val="D55816" w:themeColor="accent2"/>
      <w:sz w:val="36"/>
      <w:szCs w:val="36"/>
    </w:rPr>
  </w:style>
  <w:style w:type="paragraph" w:styleId="Nagwek3">
    <w:name w:val="heading 3"/>
    <w:basedOn w:val="Normalny"/>
    <w:next w:val="Normalny"/>
    <w:link w:val="Nagwek3Znak"/>
    <w:uiPriority w:val="9"/>
    <w:unhideWhenUsed/>
    <w:qFormat/>
    <w:rsid w:val="0031028F"/>
    <w:pPr>
      <w:keepNext/>
      <w:keepLines/>
      <w:spacing w:before="80" w:after="0" w:line="240" w:lineRule="auto"/>
      <w:outlineLvl w:val="2"/>
    </w:pPr>
    <w:rPr>
      <w:rFonts w:asciiTheme="majorHAnsi" w:eastAsiaTheme="majorEastAsia" w:hAnsiTheme="majorHAnsi" w:cstheme="majorBidi"/>
      <w:color w:val="9F4110" w:themeColor="accent2" w:themeShade="BF"/>
      <w:sz w:val="32"/>
      <w:szCs w:val="32"/>
    </w:rPr>
  </w:style>
  <w:style w:type="paragraph" w:styleId="Nagwek4">
    <w:name w:val="heading 4"/>
    <w:basedOn w:val="Normalny"/>
    <w:next w:val="Normalny"/>
    <w:link w:val="Nagwek4Znak"/>
    <w:uiPriority w:val="9"/>
    <w:unhideWhenUsed/>
    <w:qFormat/>
    <w:rsid w:val="0031028F"/>
    <w:pPr>
      <w:keepNext/>
      <w:keepLines/>
      <w:spacing w:before="80" w:after="0" w:line="240" w:lineRule="auto"/>
      <w:outlineLvl w:val="3"/>
    </w:pPr>
    <w:rPr>
      <w:rFonts w:asciiTheme="majorHAnsi" w:eastAsiaTheme="majorEastAsia" w:hAnsiTheme="majorHAnsi" w:cstheme="majorBidi"/>
      <w:i/>
      <w:iCs/>
      <w:color w:val="6A2C0B" w:themeColor="accent2" w:themeShade="80"/>
      <w:sz w:val="28"/>
      <w:szCs w:val="28"/>
    </w:rPr>
  </w:style>
  <w:style w:type="paragraph" w:styleId="Nagwek5">
    <w:name w:val="heading 5"/>
    <w:basedOn w:val="Normalny"/>
    <w:next w:val="Normalny"/>
    <w:link w:val="Nagwek5Znak"/>
    <w:uiPriority w:val="9"/>
    <w:unhideWhenUsed/>
    <w:qFormat/>
    <w:rsid w:val="0031028F"/>
    <w:pPr>
      <w:keepNext/>
      <w:keepLines/>
      <w:spacing w:before="80" w:after="0" w:line="240" w:lineRule="auto"/>
      <w:outlineLvl w:val="4"/>
    </w:pPr>
    <w:rPr>
      <w:rFonts w:asciiTheme="majorHAnsi" w:eastAsiaTheme="majorEastAsia" w:hAnsiTheme="majorHAnsi" w:cstheme="majorBidi"/>
      <w:color w:val="9F4110" w:themeColor="accent2" w:themeShade="BF"/>
      <w:sz w:val="24"/>
      <w:szCs w:val="24"/>
    </w:rPr>
  </w:style>
  <w:style w:type="paragraph" w:styleId="Nagwek6">
    <w:name w:val="heading 6"/>
    <w:basedOn w:val="Normalny"/>
    <w:next w:val="Normalny"/>
    <w:link w:val="Nagwek6Znak"/>
    <w:uiPriority w:val="9"/>
    <w:unhideWhenUsed/>
    <w:qFormat/>
    <w:rsid w:val="0031028F"/>
    <w:pPr>
      <w:keepNext/>
      <w:keepLines/>
      <w:spacing w:before="80" w:after="0" w:line="240" w:lineRule="auto"/>
      <w:outlineLvl w:val="5"/>
    </w:pPr>
    <w:rPr>
      <w:rFonts w:asciiTheme="majorHAnsi" w:eastAsiaTheme="majorEastAsia" w:hAnsiTheme="majorHAnsi" w:cstheme="majorBidi"/>
      <w:i/>
      <w:iCs/>
      <w:color w:val="6A2C0B" w:themeColor="accent2" w:themeShade="80"/>
      <w:sz w:val="24"/>
      <w:szCs w:val="24"/>
    </w:rPr>
  </w:style>
  <w:style w:type="paragraph" w:styleId="Nagwek7">
    <w:name w:val="heading 7"/>
    <w:basedOn w:val="Normalny"/>
    <w:next w:val="Normalny"/>
    <w:link w:val="Nagwek7Znak"/>
    <w:uiPriority w:val="9"/>
    <w:unhideWhenUsed/>
    <w:qFormat/>
    <w:rsid w:val="0031028F"/>
    <w:pPr>
      <w:keepNext/>
      <w:keepLines/>
      <w:spacing w:before="80" w:after="0" w:line="240" w:lineRule="auto"/>
      <w:outlineLvl w:val="6"/>
    </w:pPr>
    <w:rPr>
      <w:rFonts w:asciiTheme="majorHAnsi" w:eastAsiaTheme="majorEastAsia" w:hAnsiTheme="majorHAnsi" w:cstheme="majorBidi"/>
      <w:b/>
      <w:bCs/>
      <w:color w:val="6A2C0B" w:themeColor="accent2" w:themeShade="80"/>
      <w:sz w:val="22"/>
      <w:szCs w:val="22"/>
    </w:rPr>
  </w:style>
  <w:style w:type="paragraph" w:styleId="Nagwek8">
    <w:name w:val="heading 8"/>
    <w:basedOn w:val="Normalny"/>
    <w:next w:val="Normalny"/>
    <w:link w:val="Nagwek8Znak"/>
    <w:uiPriority w:val="9"/>
    <w:unhideWhenUsed/>
    <w:qFormat/>
    <w:rsid w:val="0031028F"/>
    <w:pPr>
      <w:keepNext/>
      <w:keepLines/>
      <w:spacing w:before="80" w:after="0" w:line="240" w:lineRule="auto"/>
      <w:outlineLvl w:val="7"/>
    </w:pPr>
    <w:rPr>
      <w:rFonts w:asciiTheme="majorHAnsi" w:eastAsiaTheme="majorEastAsia" w:hAnsiTheme="majorHAnsi" w:cstheme="majorBidi"/>
      <w:color w:val="6A2C0B" w:themeColor="accent2" w:themeShade="80"/>
      <w:sz w:val="22"/>
      <w:szCs w:val="22"/>
    </w:rPr>
  </w:style>
  <w:style w:type="paragraph" w:styleId="Nagwek9">
    <w:name w:val="heading 9"/>
    <w:basedOn w:val="Normalny"/>
    <w:next w:val="Normalny"/>
    <w:link w:val="Nagwek9Znak"/>
    <w:uiPriority w:val="9"/>
    <w:unhideWhenUsed/>
    <w:qFormat/>
    <w:rsid w:val="0031028F"/>
    <w:pPr>
      <w:keepNext/>
      <w:keepLines/>
      <w:spacing w:before="80" w:after="0" w:line="240" w:lineRule="auto"/>
      <w:outlineLvl w:val="8"/>
    </w:pPr>
    <w:rPr>
      <w:rFonts w:asciiTheme="majorHAnsi" w:eastAsiaTheme="majorEastAsia" w:hAnsiTheme="majorHAnsi" w:cstheme="majorBidi"/>
      <w:i/>
      <w:iCs/>
      <w:color w:val="6A2C0B" w:themeColor="accent2" w:themeShade="8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1028F"/>
    <w:rPr>
      <w:rFonts w:asciiTheme="majorHAnsi" w:eastAsiaTheme="majorEastAsia" w:hAnsiTheme="majorHAnsi" w:cstheme="majorBidi"/>
      <w:color w:val="262626" w:themeColor="text1" w:themeTint="D9"/>
      <w:sz w:val="40"/>
      <w:szCs w:val="40"/>
    </w:rPr>
  </w:style>
  <w:style w:type="character" w:customStyle="1" w:styleId="Nagwek2Znak">
    <w:name w:val="Nagłówek 2 Znak"/>
    <w:basedOn w:val="Domylnaczcionkaakapitu"/>
    <w:link w:val="Nagwek2"/>
    <w:uiPriority w:val="9"/>
    <w:rsid w:val="0031028F"/>
    <w:rPr>
      <w:rFonts w:asciiTheme="majorHAnsi" w:eastAsiaTheme="majorEastAsia" w:hAnsiTheme="majorHAnsi" w:cstheme="majorBidi"/>
      <w:color w:val="D55816" w:themeColor="accent2"/>
      <w:sz w:val="36"/>
      <w:szCs w:val="36"/>
    </w:rPr>
  </w:style>
  <w:style w:type="character" w:customStyle="1" w:styleId="Nagwek3Znak">
    <w:name w:val="Nagłówek 3 Znak"/>
    <w:basedOn w:val="Domylnaczcionkaakapitu"/>
    <w:link w:val="Nagwek3"/>
    <w:uiPriority w:val="9"/>
    <w:rsid w:val="0031028F"/>
    <w:rPr>
      <w:rFonts w:asciiTheme="majorHAnsi" w:eastAsiaTheme="majorEastAsia" w:hAnsiTheme="majorHAnsi" w:cstheme="majorBidi"/>
      <w:color w:val="9F4110" w:themeColor="accent2" w:themeShade="BF"/>
      <w:sz w:val="32"/>
      <w:szCs w:val="32"/>
    </w:rPr>
  </w:style>
  <w:style w:type="character" w:customStyle="1" w:styleId="Nagwek4Znak">
    <w:name w:val="Nagłówek 4 Znak"/>
    <w:basedOn w:val="Domylnaczcionkaakapitu"/>
    <w:link w:val="Nagwek4"/>
    <w:uiPriority w:val="9"/>
    <w:rsid w:val="0031028F"/>
    <w:rPr>
      <w:rFonts w:asciiTheme="majorHAnsi" w:eastAsiaTheme="majorEastAsia" w:hAnsiTheme="majorHAnsi" w:cstheme="majorBidi"/>
      <w:i/>
      <w:iCs/>
      <w:color w:val="6A2C0B" w:themeColor="accent2" w:themeShade="80"/>
      <w:sz w:val="28"/>
      <w:szCs w:val="28"/>
    </w:rPr>
  </w:style>
  <w:style w:type="character" w:customStyle="1" w:styleId="Nagwek5Znak">
    <w:name w:val="Nagłówek 5 Znak"/>
    <w:basedOn w:val="Domylnaczcionkaakapitu"/>
    <w:link w:val="Nagwek5"/>
    <w:uiPriority w:val="9"/>
    <w:rsid w:val="0031028F"/>
    <w:rPr>
      <w:rFonts w:asciiTheme="majorHAnsi" w:eastAsiaTheme="majorEastAsia" w:hAnsiTheme="majorHAnsi" w:cstheme="majorBidi"/>
      <w:color w:val="9F4110" w:themeColor="accent2" w:themeShade="BF"/>
      <w:sz w:val="24"/>
      <w:szCs w:val="24"/>
    </w:rPr>
  </w:style>
  <w:style w:type="character" w:customStyle="1" w:styleId="Nagwek6Znak">
    <w:name w:val="Nagłówek 6 Znak"/>
    <w:basedOn w:val="Domylnaczcionkaakapitu"/>
    <w:link w:val="Nagwek6"/>
    <w:uiPriority w:val="9"/>
    <w:rsid w:val="0031028F"/>
    <w:rPr>
      <w:rFonts w:asciiTheme="majorHAnsi" w:eastAsiaTheme="majorEastAsia" w:hAnsiTheme="majorHAnsi" w:cstheme="majorBidi"/>
      <w:i/>
      <w:iCs/>
      <w:color w:val="6A2C0B" w:themeColor="accent2" w:themeShade="80"/>
      <w:sz w:val="24"/>
      <w:szCs w:val="24"/>
    </w:rPr>
  </w:style>
  <w:style w:type="character" w:customStyle="1" w:styleId="Nagwek7Znak">
    <w:name w:val="Nagłówek 7 Znak"/>
    <w:basedOn w:val="Domylnaczcionkaakapitu"/>
    <w:link w:val="Nagwek7"/>
    <w:uiPriority w:val="9"/>
    <w:rsid w:val="0031028F"/>
    <w:rPr>
      <w:rFonts w:asciiTheme="majorHAnsi" w:eastAsiaTheme="majorEastAsia" w:hAnsiTheme="majorHAnsi" w:cstheme="majorBidi"/>
      <w:b/>
      <w:bCs/>
      <w:color w:val="6A2C0B" w:themeColor="accent2" w:themeShade="80"/>
      <w:sz w:val="22"/>
      <w:szCs w:val="22"/>
    </w:rPr>
  </w:style>
  <w:style w:type="character" w:customStyle="1" w:styleId="Nagwek8Znak">
    <w:name w:val="Nagłówek 8 Znak"/>
    <w:basedOn w:val="Domylnaczcionkaakapitu"/>
    <w:link w:val="Nagwek8"/>
    <w:uiPriority w:val="9"/>
    <w:rsid w:val="0031028F"/>
    <w:rPr>
      <w:rFonts w:asciiTheme="majorHAnsi" w:eastAsiaTheme="majorEastAsia" w:hAnsiTheme="majorHAnsi" w:cstheme="majorBidi"/>
      <w:color w:val="6A2C0B" w:themeColor="accent2" w:themeShade="80"/>
      <w:sz w:val="22"/>
      <w:szCs w:val="22"/>
    </w:rPr>
  </w:style>
  <w:style w:type="character" w:customStyle="1" w:styleId="Nagwek9Znak">
    <w:name w:val="Nagłówek 9 Znak"/>
    <w:basedOn w:val="Domylnaczcionkaakapitu"/>
    <w:link w:val="Nagwek9"/>
    <w:uiPriority w:val="9"/>
    <w:rsid w:val="0031028F"/>
    <w:rPr>
      <w:rFonts w:asciiTheme="majorHAnsi" w:eastAsiaTheme="majorEastAsia" w:hAnsiTheme="majorHAnsi" w:cstheme="majorBidi"/>
      <w:i/>
      <w:iCs/>
      <w:color w:val="6A2C0B" w:themeColor="accent2" w:themeShade="80"/>
      <w:sz w:val="22"/>
      <w:szCs w:val="22"/>
    </w:rPr>
  </w:style>
  <w:style w:type="paragraph" w:customStyle="1" w:styleId="tekst">
    <w:name w:val="tekst"/>
    <w:basedOn w:val="Normalny"/>
    <w:link w:val="tekstZnak"/>
    <w:qFormat/>
    <w:rsid w:val="00030276"/>
    <w:pPr>
      <w:spacing w:after="0" w:line="300" w:lineRule="auto"/>
      <w:ind w:firstLine="709"/>
      <w:jc w:val="both"/>
    </w:pPr>
    <w:rPr>
      <w:rFonts w:ascii="Times New Roman" w:hAnsi="Times New Roman"/>
      <w:sz w:val="24"/>
      <w:szCs w:val="20"/>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iPriority w:val="35"/>
    <w:unhideWhenUsed/>
    <w:qFormat/>
    <w:rsid w:val="0031028F"/>
    <w:pPr>
      <w:spacing w:line="240" w:lineRule="auto"/>
    </w:pPr>
    <w:rPr>
      <w:b/>
      <w:bCs/>
      <w:color w:val="404040" w:themeColor="text1" w:themeTint="BF"/>
      <w:sz w:val="16"/>
      <w:szCs w:val="16"/>
    </w:rPr>
  </w:style>
  <w:style w:type="character" w:customStyle="1" w:styleId="LegendaZnak">
    <w:name w:val="Legenda Znak"/>
    <w:link w:val="Legenda"/>
    <w:uiPriority w:val="35"/>
    <w:rsid w:val="005D7021"/>
    <w:rPr>
      <w:b/>
      <w:bCs/>
      <w:color w:val="404040" w:themeColor="text1" w:themeTint="BF"/>
      <w:sz w:val="16"/>
      <w:szCs w:val="16"/>
    </w:rPr>
  </w:style>
  <w:style w:type="paragraph" w:customStyle="1" w:styleId="podpis">
    <w:name w:val="podpis"/>
    <w:basedOn w:val="Legenda"/>
    <w:link w:val="podpisZnak"/>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39"/>
    <w:rsid w:val="008E2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AC0D4C"/>
    <w:pPr>
      <w:spacing w:after="0" w:line="240" w:lineRule="auto"/>
    </w:pPr>
    <w:rPr>
      <w:sz w:val="20"/>
      <w:szCs w:val="20"/>
    </w:r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iPriority w:val="99"/>
    <w:unhideWhenUsed/>
    <w:rsid w:val="000A0505"/>
    <w:pPr>
      <w:spacing w:before="100" w:beforeAutospacing="1" w:after="100" w:afterAutospacing="1" w:line="240" w:lineRule="auto"/>
    </w:pPr>
    <w:rPr>
      <w:rFonts w:ascii="Times New Roman" w:eastAsia="Times New Roman" w:hAnsi="Times New Roman"/>
      <w:sz w:val="24"/>
      <w:szCs w:val="24"/>
    </w:rPr>
  </w:style>
  <w:style w:type="character" w:styleId="Pogrubienie">
    <w:name w:val="Strong"/>
    <w:basedOn w:val="Domylnaczcionkaakapitu"/>
    <w:uiPriority w:val="22"/>
    <w:qFormat/>
    <w:rsid w:val="0031028F"/>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uiPriority w:val="99"/>
    <w:semiHidden/>
    <w:unhideWhenUsed/>
    <w:rsid w:val="00622F53"/>
    <w:pPr>
      <w:spacing w:after="0" w:line="240" w:lineRule="auto"/>
    </w:pPr>
    <w:rPr>
      <w:sz w:val="20"/>
      <w:szCs w:val="20"/>
    </w:r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uiPriority w:val="10"/>
    <w:qFormat/>
    <w:rsid w:val="0031028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ytuZnak">
    <w:name w:val="Tytuł Znak"/>
    <w:basedOn w:val="Domylnaczcionkaakapitu"/>
    <w:link w:val="Tytu"/>
    <w:uiPriority w:val="10"/>
    <w:rsid w:val="0031028F"/>
    <w:rPr>
      <w:rFonts w:asciiTheme="majorHAnsi" w:eastAsiaTheme="majorEastAsia" w:hAnsiTheme="majorHAnsi" w:cstheme="majorBidi"/>
      <w:color w:val="262626" w:themeColor="text1" w:themeTint="D9"/>
      <w:sz w:val="96"/>
      <w:szCs w:val="96"/>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sz w:val="20"/>
      <w:szCs w:val="20"/>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622F53"/>
    <w:pPr>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622F53"/>
    <w:pPr>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31028F"/>
    <w:pPr>
      <w:outlineLvl w:val="9"/>
    </w:p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before="100" w:after="150" w:line="240" w:lineRule="auto"/>
      <w:ind w:left="100" w:right="100"/>
    </w:pPr>
    <w:rPr>
      <w:rFonts w:ascii="Tahoma" w:eastAsia="Times New Roman" w:hAnsi="Tahoma" w:cs="Tahoma"/>
      <w:sz w:val="12"/>
      <w:szCs w:val="12"/>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basedOn w:val="Domylnaczcionkaakapitu"/>
    <w:uiPriority w:val="20"/>
    <w:qFormat/>
    <w:rsid w:val="0031028F"/>
    <w:rPr>
      <w:i/>
      <w:iCs/>
      <w:color w:val="000000" w:themeColor="text1"/>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sz w:val="20"/>
      <w:szCs w:val="20"/>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rPr>
      <w:sz w:val="20"/>
      <w:szCs w:val="20"/>
    </w:r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100" w:beforeAutospacing="1" w:after="100" w:afterAutospacing="1" w:line="240" w:lineRule="auto"/>
    </w:pPr>
    <w:rPr>
      <w:rFonts w:ascii="Verdana" w:eastAsia="Times New Roman" w:hAnsi="Verdana"/>
      <w:color w:val="003366"/>
      <w:sz w:val="16"/>
      <w:szCs w:val="16"/>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rPr>
  </w:style>
  <w:style w:type="paragraph" w:customStyle="1" w:styleId="s12bold">
    <w:name w:val="s12bold"/>
    <w:basedOn w:val="Normalny"/>
    <w:rsid w:val="00BF6009"/>
    <w:pPr>
      <w:spacing w:before="100" w:beforeAutospacing="1" w:after="100" w:afterAutospacing="1" w:line="240" w:lineRule="auto"/>
    </w:pPr>
    <w:rPr>
      <w:rFonts w:ascii="Verdana" w:eastAsia="Times New Roman" w:hAnsi="Verdana"/>
      <w:b/>
      <w:bCs/>
      <w:color w:val="000000"/>
      <w:sz w:val="11"/>
      <w:szCs w:val="11"/>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sz w:val="20"/>
      <w:szCs w:val="20"/>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uiPriority w:val="99"/>
    <w:semiHidden/>
    <w:rsid w:val="00BF6009"/>
    <w:rPr>
      <w:vertAlign w:val="superscript"/>
    </w:rPr>
  </w:style>
  <w:style w:type="paragraph" w:customStyle="1" w:styleId="firstp3">
    <w:name w:val="firstp3"/>
    <w:basedOn w:val="Normalny"/>
    <w:rsid w:val="00BF6009"/>
    <w:pPr>
      <w:spacing w:before="100" w:beforeAutospacing="1" w:after="100" w:line="240" w:lineRule="auto"/>
    </w:pPr>
    <w:rPr>
      <w:rFonts w:ascii="Times New Roman" w:eastAsia="Times New Roman" w:hAnsi="Times New Roman"/>
      <w:sz w:val="24"/>
      <w:szCs w:val="24"/>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100" w:beforeAutospacing="1" w:after="100" w:afterAutospacing="1" w:line="260" w:lineRule="atLeast"/>
      <w:ind w:firstLine="300"/>
      <w:jc w:val="both"/>
    </w:pPr>
    <w:rPr>
      <w:rFonts w:ascii="Arial" w:eastAsia="Times New Roman" w:hAnsi="Arial" w:cs="Arial"/>
      <w:color w:val="000000"/>
      <w:sz w:val="20"/>
      <w:szCs w:val="20"/>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txt01">
    <w:name w:val="txt01"/>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szCs w:val="20"/>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bcparagraph2bcparagraph8">
    <w:name w:val="_bc_paragraph_2 _bc_paragraph_8"/>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zwyklytekst">
    <w:name w:val="zwyklytekst"/>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icon-phone">
    <w:name w:val="icon-phone"/>
    <w:basedOn w:val="Normalny"/>
    <w:rsid w:val="00BF6009"/>
    <w:pPr>
      <w:spacing w:before="100" w:beforeAutospacing="1" w:after="100" w:afterAutospacing="1" w:line="240" w:lineRule="auto"/>
    </w:pPr>
    <w:rPr>
      <w:rFonts w:ascii="Times New Roman" w:eastAsia="Times New Roman" w:hAnsi="Times New Roman"/>
      <w:sz w:val="24"/>
      <w:szCs w:val="24"/>
    </w:rPr>
  </w:style>
  <w:style w:type="paragraph" w:customStyle="1" w:styleId="margintop10">
    <w:name w:val="margintop10"/>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adress">
    <w:name w:val="adress"/>
    <w:basedOn w:val="Domylnaczcionkaakapitu"/>
    <w:rsid w:val="00BF6009"/>
  </w:style>
  <w:style w:type="paragraph" w:customStyle="1" w:styleId="nag">
    <w:name w:val="nag"/>
    <w:basedOn w:val="Normalny"/>
    <w:rsid w:val="00BF6009"/>
    <w:pPr>
      <w:spacing w:before="100" w:beforeAutospacing="1" w:after="100" w:afterAutospacing="1" w:line="240" w:lineRule="auto"/>
    </w:pPr>
    <w:rPr>
      <w:rFonts w:ascii="Times New Roman" w:eastAsia="Times New Roman" w:hAnsi="Times New Roman"/>
      <w:sz w:val="24"/>
      <w:szCs w:val="24"/>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sz w:val="20"/>
      <w:szCs w:val="20"/>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sz w:val="20"/>
      <w:szCs w:val="20"/>
      <w:lang w:eastAsia="ar-SA"/>
    </w:rPr>
  </w:style>
  <w:style w:type="paragraph" w:styleId="Mapadokumentu">
    <w:name w:val="Document Map"/>
    <w:basedOn w:val="Normalny"/>
    <w:link w:val="MapadokumentuZnak"/>
    <w:semiHidden/>
    <w:rsid w:val="00BF6009"/>
    <w:pPr>
      <w:shd w:val="clear" w:color="auto" w:fill="000080"/>
      <w:spacing w:after="0" w:line="240" w:lineRule="auto"/>
    </w:pPr>
    <w:rPr>
      <w:rFonts w:ascii="Tahoma" w:eastAsia="Times New Roman" w:hAnsi="Tahoma" w:cs="Tahoma"/>
      <w:sz w:val="20"/>
      <w:szCs w:val="20"/>
    </w:rPr>
  </w:style>
  <w:style w:type="character" w:customStyle="1" w:styleId="MapadokumentuZnak">
    <w:name w:val="Mapa dokumentu Znak"/>
    <w:basedOn w:val="Domylnaczcionkaakapitu"/>
    <w:link w:val="Mapa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rsid w:val="004E7072"/>
    <w:pPr>
      <w:spacing w:after="0" w:line="240" w:lineRule="auto"/>
      <w:jc w:val="center"/>
    </w:pPr>
    <w:rPr>
      <w:rFonts w:eastAsia="Times New Roman"/>
      <w:bCs/>
      <w:i/>
      <w:color w:val="000000"/>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100" w:beforeAutospacing="1" w:after="100" w:afterAutospacing="1" w:line="240" w:lineRule="auto"/>
    </w:pPr>
    <w:rPr>
      <w:rFonts w:ascii="Times New Roman" w:eastAsia="Times New Roman" w:hAnsi="Times New Roman"/>
      <w:sz w:val="24"/>
      <w:szCs w:val="24"/>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rsid w:val="00A84CF4"/>
    <w:pPr>
      <w:numPr>
        <w:numId w:val="12"/>
      </w:numPr>
      <w:autoSpaceDE w:val="0"/>
      <w:autoSpaceDN w:val="0"/>
      <w:adjustRightInd w:val="0"/>
      <w:spacing w:after="0"/>
      <w:contextualSpacing/>
      <w:jc w:val="both"/>
    </w:pPr>
    <w:rPr>
      <w:rFonts w:ascii="Arial" w:eastAsia="Times New Roman" w:hAnsi="Arial" w:cs="Arial"/>
      <w:bCs/>
      <w:sz w:val="24"/>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rPr>
  </w:style>
  <w:style w:type="paragraph" w:styleId="Bezodstpw">
    <w:name w:val="No Spacing"/>
    <w:link w:val="BezodstpwZnak"/>
    <w:uiPriority w:val="1"/>
    <w:qFormat/>
    <w:rsid w:val="0031028F"/>
    <w:pPr>
      <w:spacing w:after="0" w:line="240" w:lineRule="auto"/>
    </w:p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szCs w:val="20"/>
    </w:rPr>
  </w:style>
  <w:style w:type="character" w:customStyle="1" w:styleId="ListParagraphChar1">
    <w:name w:val="List Paragraph Char1"/>
    <w:link w:val="Akapitzlist1"/>
    <w:locked/>
    <w:rsid w:val="00112C59"/>
    <w:rPr>
      <w:rFonts w:eastAsia="Times New Roman"/>
      <w:sz w:val="22"/>
      <w:szCs w:val="22"/>
    </w:rPr>
  </w:style>
  <w:style w:type="paragraph" w:styleId="Podtytu">
    <w:name w:val="Subtitle"/>
    <w:basedOn w:val="Normalny"/>
    <w:next w:val="Normalny"/>
    <w:link w:val="PodtytuZnak"/>
    <w:uiPriority w:val="11"/>
    <w:qFormat/>
    <w:rsid w:val="0031028F"/>
    <w:pPr>
      <w:numPr>
        <w:ilvl w:val="1"/>
      </w:numPr>
      <w:spacing w:after="240"/>
    </w:pPr>
    <w:rPr>
      <w:caps/>
      <w:color w:val="404040" w:themeColor="text1" w:themeTint="BF"/>
      <w:spacing w:val="20"/>
      <w:sz w:val="28"/>
      <w:szCs w:val="28"/>
    </w:rPr>
  </w:style>
  <w:style w:type="character" w:customStyle="1" w:styleId="PodtytuZnak">
    <w:name w:val="Podtytuł Znak"/>
    <w:basedOn w:val="Domylnaczcionkaakapitu"/>
    <w:link w:val="Podtytu"/>
    <w:uiPriority w:val="11"/>
    <w:rsid w:val="0031028F"/>
    <w:rPr>
      <w:caps/>
      <w:color w:val="404040" w:themeColor="text1" w:themeTint="BF"/>
      <w:spacing w:val="20"/>
      <w:sz w:val="28"/>
      <w:szCs w:val="28"/>
    </w:rPr>
  </w:style>
  <w:style w:type="paragraph" w:styleId="Cytat">
    <w:name w:val="Quote"/>
    <w:basedOn w:val="Normalny"/>
    <w:next w:val="Normalny"/>
    <w:link w:val="CytatZnak"/>
    <w:uiPriority w:val="29"/>
    <w:qFormat/>
    <w:rsid w:val="0031028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ytatZnak">
    <w:name w:val="Cytat Znak"/>
    <w:basedOn w:val="Domylnaczcionkaakapitu"/>
    <w:link w:val="Cytat"/>
    <w:uiPriority w:val="29"/>
    <w:rsid w:val="0031028F"/>
    <w:rPr>
      <w:rFonts w:asciiTheme="majorHAnsi" w:eastAsiaTheme="majorEastAsia" w:hAnsiTheme="majorHAnsi" w:cstheme="majorBidi"/>
      <w:color w:val="000000" w:themeColor="text1"/>
      <w:sz w:val="24"/>
      <w:szCs w:val="24"/>
    </w:rPr>
  </w:style>
  <w:style w:type="paragraph" w:styleId="Cytatintensywny">
    <w:name w:val="Intense Quote"/>
    <w:basedOn w:val="Normalny"/>
    <w:next w:val="Normalny"/>
    <w:link w:val="CytatintensywnyZnak"/>
    <w:uiPriority w:val="30"/>
    <w:qFormat/>
    <w:rsid w:val="0031028F"/>
    <w:pPr>
      <w:pBdr>
        <w:top w:val="single" w:sz="24" w:space="4" w:color="D5581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ytatintensywnyZnak">
    <w:name w:val="Cytat intensywny Znak"/>
    <w:basedOn w:val="Domylnaczcionkaakapitu"/>
    <w:link w:val="Cytatintensywny"/>
    <w:uiPriority w:val="30"/>
    <w:rsid w:val="0031028F"/>
    <w:rPr>
      <w:rFonts w:asciiTheme="majorHAnsi" w:eastAsiaTheme="majorEastAsia" w:hAnsiTheme="majorHAnsi" w:cstheme="majorBidi"/>
      <w:sz w:val="24"/>
      <w:szCs w:val="24"/>
    </w:rPr>
  </w:style>
  <w:style w:type="character" w:styleId="Wyrnieniedelikatne">
    <w:name w:val="Subtle Emphasis"/>
    <w:basedOn w:val="Domylnaczcionkaakapitu"/>
    <w:uiPriority w:val="19"/>
    <w:qFormat/>
    <w:rsid w:val="0031028F"/>
    <w:rPr>
      <w:i/>
      <w:iCs/>
      <w:color w:val="595959" w:themeColor="text1" w:themeTint="A6"/>
    </w:rPr>
  </w:style>
  <w:style w:type="character" w:styleId="Wyrnienieintensywne">
    <w:name w:val="Intense Emphasis"/>
    <w:basedOn w:val="Domylnaczcionkaakapitu"/>
    <w:uiPriority w:val="21"/>
    <w:qFormat/>
    <w:rsid w:val="0031028F"/>
    <w:rPr>
      <w:b/>
      <w:bCs/>
      <w:i/>
      <w:iCs/>
      <w:caps w:val="0"/>
      <w:smallCaps w:val="0"/>
      <w:strike w:val="0"/>
      <w:dstrike w:val="0"/>
      <w:color w:val="D55816" w:themeColor="accent2"/>
    </w:rPr>
  </w:style>
  <w:style w:type="character" w:styleId="Odwoaniedelikatne">
    <w:name w:val="Subtle Reference"/>
    <w:basedOn w:val="Domylnaczcionkaakapitu"/>
    <w:uiPriority w:val="31"/>
    <w:qFormat/>
    <w:rsid w:val="0031028F"/>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31028F"/>
    <w:rPr>
      <w:b/>
      <w:bCs/>
      <w:caps w:val="0"/>
      <w:smallCaps/>
      <w:color w:val="auto"/>
      <w:spacing w:val="0"/>
      <w:u w:val="single"/>
    </w:rPr>
  </w:style>
  <w:style w:type="character" w:styleId="Tytuksiki">
    <w:name w:val="Book Title"/>
    <w:basedOn w:val="Domylnaczcionkaakapitu"/>
    <w:uiPriority w:val="33"/>
    <w:qFormat/>
    <w:rsid w:val="0031028F"/>
    <w:rPr>
      <w:b/>
      <w:bCs/>
      <w:caps w:val="0"/>
      <w:smallCaps/>
      <w:spacing w:val="0"/>
    </w:rPr>
  </w:style>
  <w:style w:type="table" w:customStyle="1" w:styleId="Tabelasiatki1jasnaakcent11">
    <w:name w:val="Tabela siatki 1 — jasna — akcent 11"/>
    <w:basedOn w:val="Standardowy"/>
    <w:uiPriority w:val="46"/>
    <w:rsid w:val="00875B6B"/>
    <w:pPr>
      <w:spacing w:after="0" w:line="240" w:lineRule="auto"/>
    </w:pPr>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paragraph" w:customStyle="1" w:styleId="intro">
    <w:name w:val="intro"/>
    <w:basedOn w:val="Normalny"/>
    <w:rsid w:val="006253F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siatki1jasnaakcent21">
    <w:name w:val="Tabela siatki 1 — jasna — akcent 21"/>
    <w:basedOn w:val="Standardowy"/>
    <w:uiPriority w:val="46"/>
    <w:rsid w:val="00DE29B6"/>
    <w:pPr>
      <w:spacing w:after="0" w:line="240" w:lineRule="auto"/>
    </w:pPr>
    <w:tblPr>
      <w:tblStyleRowBandSize w:val="1"/>
      <w:tblStyleColBandSize w:val="1"/>
      <w:tblBorders>
        <w:top w:val="single" w:sz="4" w:space="0" w:color="F4BA9B" w:themeColor="accent2" w:themeTint="66"/>
        <w:left w:val="single" w:sz="4" w:space="0" w:color="F4BA9B" w:themeColor="accent2" w:themeTint="66"/>
        <w:bottom w:val="single" w:sz="4" w:space="0" w:color="F4BA9B" w:themeColor="accent2" w:themeTint="66"/>
        <w:right w:val="single" w:sz="4" w:space="0" w:color="F4BA9B" w:themeColor="accent2" w:themeTint="66"/>
        <w:insideH w:val="single" w:sz="4" w:space="0" w:color="F4BA9B" w:themeColor="accent2" w:themeTint="66"/>
        <w:insideV w:val="single" w:sz="4" w:space="0" w:color="F4BA9B" w:themeColor="accent2" w:themeTint="66"/>
      </w:tblBorders>
    </w:tblPr>
    <w:tblStylePr w:type="firstRow">
      <w:rPr>
        <w:b/>
        <w:bCs/>
      </w:rPr>
      <w:tblPr/>
      <w:tcPr>
        <w:tcBorders>
          <w:bottom w:val="single" w:sz="12" w:space="0" w:color="EF9769" w:themeColor="accent2" w:themeTint="99"/>
        </w:tcBorders>
      </w:tcPr>
    </w:tblStylePr>
    <w:tblStylePr w:type="lastRow">
      <w:rPr>
        <w:b/>
        <w:bCs/>
      </w:rPr>
      <w:tblPr/>
      <w:tcPr>
        <w:tcBorders>
          <w:top w:val="double" w:sz="2" w:space="0" w:color="EF9769" w:themeColor="accent2"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D6A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oprawka">
    <w:name w:val="Revision"/>
    <w:hidden/>
    <w:uiPriority w:val="99"/>
    <w:semiHidden/>
    <w:rsid w:val="001F266D"/>
    <w:pPr>
      <w:spacing w:after="0" w:line="240" w:lineRule="auto"/>
    </w:pPr>
  </w:style>
  <w:style w:type="character" w:customStyle="1" w:styleId="Nierozpoznanawzmianka2">
    <w:name w:val="Nierozpoznana wzmianka2"/>
    <w:basedOn w:val="Domylnaczcionkaakapitu"/>
    <w:uiPriority w:val="99"/>
    <w:semiHidden/>
    <w:unhideWhenUsed/>
    <w:rsid w:val="00917A63"/>
    <w:rPr>
      <w:color w:val="605E5C"/>
      <w:shd w:val="clear" w:color="auto" w:fill="E1DFDD"/>
    </w:rPr>
  </w:style>
  <w:style w:type="character" w:customStyle="1" w:styleId="fontstyle01">
    <w:name w:val="fontstyle01"/>
    <w:basedOn w:val="Domylnaczcionkaakapitu"/>
    <w:rsid w:val="008722A9"/>
    <w:rPr>
      <w:rFonts w:ascii="Calibri" w:hAnsi="Calibri" w:cs="Calibri" w:hint="default"/>
      <w:b w:val="0"/>
      <w:bCs w:val="0"/>
      <w:i w:val="0"/>
      <w:iCs w:val="0"/>
      <w:color w:val="000000"/>
      <w:sz w:val="24"/>
      <w:szCs w:val="24"/>
    </w:rPr>
  </w:style>
  <w:style w:type="character" w:customStyle="1" w:styleId="Nierozpoznanawzmianka3">
    <w:name w:val="Nierozpoznana wzmianka3"/>
    <w:basedOn w:val="Domylnaczcionkaakapitu"/>
    <w:uiPriority w:val="99"/>
    <w:semiHidden/>
    <w:unhideWhenUsed/>
    <w:rsid w:val="008322E9"/>
    <w:rPr>
      <w:color w:val="605E5C"/>
      <w:shd w:val="clear" w:color="auto" w:fill="E1DFDD"/>
    </w:rPr>
  </w:style>
  <w:style w:type="character" w:customStyle="1" w:styleId="UnresolvedMention">
    <w:name w:val="Unresolved Mention"/>
    <w:basedOn w:val="Domylnaczcionkaakapitu"/>
    <w:uiPriority w:val="99"/>
    <w:semiHidden/>
    <w:unhideWhenUsed/>
    <w:rsid w:val="00797B5F"/>
    <w:rPr>
      <w:color w:val="605E5C"/>
      <w:shd w:val="clear" w:color="auto" w:fill="E1DFDD"/>
    </w:rPr>
  </w:style>
  <w:style w:type="character" w:customStyle="1" w:styleId="BezodstpwZnak">
    <w:name w:val="Bez odstępów Znak"/>
    <w:basedOn w:val="Domylnaczcionkaakapitu"/>
    <w:link w:val="Bezodstpw"/>
    <w:uiPriority w:val="1"/>
    <w:rsid w:val="00EE7C08"/>
  </w:style>
</w:styles>
</file>

<file path=word/webSettings.xml><?xml version="1.0" encoding="utf-8"?>
<w:webSettings xmlns:r="http://schemas.openxmlformats.org/officeDocument/2006/relationships" xmlns:w="http://schemas.openxmlformats.org/wordprocessingml/2006/main">
  <w:divs>
    <w:div w:id="4334044">
      <w:bodyDiv w:val="1"/>
      <w:marLeft w:val="0"/>
      <w:marRight w:val="0"/>
      <w:marTop w:val="0"/>
      <w:marBottom w:val="0"/>
      <w:divBdr>
        <w:top w:val="none" w:sz="0" w:space="0" w:color="auto"/>
        <w:left w:val="none" w:sz="0" w:space="0" w:color="auto"/>
        <w:bottom w:val="none" w:sz="0" w:space="0" w:color="auto"/>
        <w:right w:val="none" w:sz="0" w:space="0" w:color="auto"/>
      </w:divBdr>
    </w:div>
    <w:div w:id="8414526">
      <w:bodyDiv w:val="1"/>
      <w:marLeft w:val="0"/>
      <w:marRight w:val="0"/>
      <w:marTop w:val="0"/>
      <w:marBottom w:val="0"/>
      <w:divBdr>
        <w:top w:val="none" w:sz="0" w:space="0" w:color="auto"/>
        <w:left w:val="none" w:sz="0" w:space="0" w:color="auto"/>
        <w:bottom w:val="none" w:sz="0" w:space="0" w:color="auto"/>
        <w:right w:val="none" w:sz="0" w:space="0" w:color="auto"/>
      </w:divBdr>
    </w:div>
    <w:div w:id="9335936">
      <w:bodyDiv w:val="1"/>
      <w:marLeft w:val="0"/>
      <w:marRight w:val="0"/>
      <w:marTop w:val="0"/>
      <w:marBottom w:val="0"/>
      <w:divBdr>
        <w:top w:val="none" w:sz="0" w:space="0" w:color="auto"/>
        <w:left w:val="none" w:sz="0" w:space="0" w:color="auto"/>
        <w:bottom w:val="none" w:sz="0" w:space="0" w:color="auto"/>
        <w:right w:val="none" w:sz="0" w:space="0" w:color="auto"/>
      </w:divBdr>
    </w:div>
    <w:div w:id="46995364">
      <w:bodyDiv w:val="1"/>
      <w:marLeft w:val="0"/>
      <w:marRight w:val="0"/>
      <w:marTop w:val="0"/>
      <w:marBottom w:val="0"/>
      <w:divBdr>
        <w:top w:val="none" w:sz="0" w:space="0" w:color="auto"/>
        <w:left w:val="none" w:sz="0" w:space="0" w:color="auto"/>
        <w:bottom w:val="none" w:sz="0" w:space="0" w:color="auto"/>
        <w:right w:val="none" w:sz="0" w:space="0" w:color="auto"/>
      </w:divBdr>
    </w:div>
    <w:div w:id="48916462">
      <w:bodyDiv w:val="1"/>
      <w:marLeft w:val="0"/>
      <w:marRight w:val="0"/>
      <w:marTop w:val="0"/>
      <w:marBottom w:val="0"/>
      <w:divBdr>
        <w:top w:val="none" w:sz="0" w:space="0" w:color="auto"/>
        <w:left w:val="none" w:sz="0" w:space="0" w:color="auto"/>
        <w:bottom w:val="none" w:sz="0" w:space="0" w:color="auto"/>
        <w:right w:val="none" w:sz="0" w:space="0" w:color="auto"/>
      </w:divBdr>
    </w:div>
    <w:div w:id="50346337">
      <w:bodyDiv w:val="1"/>
      <w:marLeft w:val="0"/>
      <w:marRight w:val="0"/>
      <w:marTop w:val="0"/>
      <w:marBottom w:val="0"/>
      <w:divBdr>
        <w:top w:val="none" w:sz="0" w:space="0" w:color="auto"/>
        <w:left w:val="none" w:sz="0" w:space="0" w:color="auto"/>
        <w:bottom w:val="none" w:sz="0" w:space="0" w:color="auto"/>
        <w:right w:val="none" w:sz="0" w:space="0" w:color="auto"/>
      </w:divBdr>
    </w:div>
    <w:div w:id="56587699">
      <w:bodyDiv w:val="1"/>
      <w:marLeft w:val="0"/>
      <w:marRight w:val="0"/>
      <w:marTop w:val="0"/>
      <w:marBottom w:val="0"/>
      <w:divBdr>
        <w:top w:val="none" w:sz="0" w:space="0" w:color="auto"/>
        <w:left w:val="none" w:sz="0" w:space="0" w:color="auto"/>
        <w:bottom w:val="none" w:sz="0" w:space="0" w:color="auto"/>
        <w:right w:val="none" w:sz="0" w:space="0" w:color="auto"/>
      </w:divBdr>
    </w:div>
    <w:div w:id="60719058">
      <w:bodyDiv w:val="1"/>
      <w:marLeft w:val="0"/>
      <w:marRight w:val="0"/>
      <w:marTop w:val="0"/>
      <w:marBottom w:val="0"/>
      <w:divBdr>
        <w:top w:val="none" w:sz="0" w:space="0" w:color="auto"/>
        <w:left w:val="none" w:sz="0" w:space="0" w:color="auto"/>
        <w:bottom w:val="none" w:sz="0" w:space="0" w:color="auto"/>
        <w:right w:val="none" w:sz="0" w:space="0" w:color="auto"/>
      </w:divBdr>
    </w:div>
    <w:div w:id="73355864">
      <w:bodyDiv w:val="1"/>
      <w:marLeft w:val="0"/>
      <w:marRight w:val="0"/>
      <w:marTop w:val="0"/>
      <w:marBottom w:val="0"/>
      <w:divBdr>
        <w:top w:val="none" w:sz="0" w:space="0" w:color="auto"/>
        <w:left w:val="none" w:sz="0" w:space="0" w:color="auto"/>
        <w:bottom w:val="none" w:sz="0" w:space="0" w:color="auto"/>
        <w:right w:val="none" w:sz="0" w:space="0" w:color="auto"/>
      </w:divBdr>
    </w:div>
    <w:div w:id="83502602">
      <w:bodyDiv w:val="1"/>
      <w:marLeft w:val="0"/>
      <w:marRight w:val="0"/>
      <w:marTop w:val="0"/>
      <w:marBottom w:val="0"/>
      <w:divBdr>
        <w:top w:val="none" w:sz="0" w:space="0" w:color="auto"/>
        <w:left w:val="none" w:sz="0" w:space="0" w:color="auto"/>
        <w:bottom w:val="none" w:sz="0" w:space="0" w:color="auto"/>
        <w:right w:val="none" w:sz="0" w:space="0" w:color="auto"/>
      </w:divBdr>
    </w:div>
    <w:div w:id="85351343">
      <w:bodyDiv w:val="1"/>
      <w:marLeft w:val="0"/>
      <w:marRight w:val="0"/>
      <w:marTop w:val="0"/>
      <w:marBottom w:val="0"/>
      <w:divBdr>
        <w:top w:val="none" w:sz="0" w:space="0" w:color="auto"/>
        <w:left w:val="none" w:sz="0" w:space="0" w:color="auto"/>
        <w:bottom w:val="none" w:sz="0" w:space="0" w:color="auto"/>
        <w:right w:val="none" w:sz="0" w:space="0" w:color="auto"/>
      </w:divBdr>
    </w:div>
    <w:div w:id="100417849">
      <w:bodyDiv w:val="1"/>
      <w:marLeft w:val="0"/>
      <w:marRight w:val="0"/>
      <w:marTop w:val="0"/>
      <w:marBottom w:val="0"/>
      <w:divBdr>
        <w:top w:val="none" w:sz="0" w:space="0" w:color="auto"/>
        <w:left w:val="none" w:sz="0" w:space="0" w:color="auto"/>
        <w:bottom w:val="none" w:sz="0" w:space="0" w:color="auto"/>
        <w:right w:val="none" w:sz="0" w:space="0" w:color="auto"/>
      </w:divBdr>
    </w:div>
    <w:div w:id="102842621">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6655306">
      <w:bodyDiv w:val="1"/>
      <w:marLeft w:val="0"/>
      <w:marRight w:val="0"/>
      <w:marTop w:val="0"/>
      <w:marBottom w:val="0"/>
      <w:divBdr>
        <w:top w:val="none" w:sz="0" w:space="0" w:color="auto"/>
        <w:left w:val="none" w:sz="0" w:space="0" w:color="auto"/>
        <w:bottom w:val="none" w:sz="0" w:space="0" w:color="auto"/>
        <w:right w:val="none" w:sz="0" w:space="0" w:color="auto"/>
      </w:divBdr>
    </w:div>
    <w:div w:id="106852603">
      <w:bodyDiv w:val="1"/>
      <w:marLeft w:val="0"/>
      <w:marRight w:val="0"/>
      <w:marTop w:val="0"/>
      <w:marBottom w:val="0"/>
      <w:divBdr>
        <w:top w:val="none" w:sz="0" w:space="0" w:color="auto"/>
        <w:left w:val="none" w:sz="0" w:space="0" w:color="auto"/>
        <w:bottom w:val="none" w:sz="0" w:space="0" w:color="auto"/>
        <w:right w:val="none" w:sz="0" w:space="0" w:color="auto"/>
      </w:divBdr>
    </w:div>
    <w:div w:id="109133242">
      <w:bodyDiv w:val="1"/>
      <w:marLeft w:val="0"/>
      <w:marRight w:val="0"/>
      <w:marTop w:val="0"/>
      <w:marBottom w:val="0"/>
      <w:divBdr>
        <w:top w:val="none" w:sz="0" w:space="0" w:color="auto"/>
        <w:left w:val="none" w:sz="0" w:space="0" w:color="auto"/>
        <w:bottom w:val="none" w:sz="0" w:space="0" w:color="auto"/>
        <w:right w:val="none" w:sz="0" w:space="0" w:color="auto"/>
      </w:divBdr>
    </w:div>
    <w:div w:id="124006770">
      <w:bodyDiv w:val="1"/>
      <w:marLeft w:val="0"/>
      <w:marRight w:val="0"/>
      <w:marTop w:val="0"/>
      <w:marBottom w:val="0"/>
      <w:divBdr>
        <w:top w:val="none" w:sz="0" w:space="0" w:color="auto"/>
        <w:left w:val="none" w:sz="0" w:space="0" w:color="auto"/>
        <w:bottom w:val="none" w:sz="0" w:space="0" w:color="auto"/>
        <w:right w:val="none" w:sz="0" w:space="0" w:color="auto"/>
      </w:divBdr>
    </w:div>
    <w:div w:id="152186569">
      <w:bodyDiv w:val="1"/>
      <w:marLeft w:val="0"/>
      <w:marRight w:val="0"/>
      <w:marTop w:val="0"/>
      <w:marBottom w:val="0"/>
      <w:divBdr>
        <w:top w:val="none" w:sz="0" w:space="0" w:color="auto"/>
        <w:left w:val="none" w:sz="0" w:space="0" w:color="auto"/>
        <w:bottom w:val="none" w:sz="0" w:space="0" w:color="auto"/>
        <w:right w:val="none" w:sz="0" w:space="0" w:color="auto"/>
      </w:divBdr>
    </w:div>
    <w:div w:id="176700731">
      <w:bodyDiv w:val="1"/>
      <w:marLeft w:val="0"/>
      <w:marRight w:val="0"/>
      <w:marTop w:val="0"/>
      <w:marBottom w:val="0"/>
      <w:divBdr>
        <w:top w:val="none" w:sz="0" w:space="0" w:color="auto"/>
        <w:left w:val="none" w:sz="0" w:space="0" w:color="auto"/>
        <w:bottom w:val="none" w:sz="0" w:space="0" w:color="auto"/>
        <w:right w:val="none" w:sz="0" w:space="0" w:color="auto"/>
      </w:divBdr>
    </w:div>
    <w:div w:id="176702100">
      <w:bodyDiv w:val="1"/>
      <w:marLeft w:val="0"/>
      <w:marRight w:val="0"/>
      <w:marTop w:val="0"/>
      <w:marBottom w:val="0"/>
      <w:divBdr>
        <w:top w:val="none" w:sz="0" w:space="0" w:color="auto"/>
        <w:left w:val="none" w:sz="0" w:space="0" w:color="auto"/>
        <w:bottom w:val="none" w:sz="0" w:space="0" w:color="auto"/>
        <w:right w:val="none" w:sz="0" w:space="0" w:color="auto"/>
      </w:divBdr>
    </w:div>
    <w:div w:id="188493482">
      <w:bodyDiv w:val="1"/>
      <w:marLeft w:val="0"/>
      <w:marRight w:val="0"/>
      <w:marTop w:val="0"/>
      <w:marBottom w:val="0"/>
      <w:divBdr>
        <w:top w:val="none" w:sz="0" w:space="0" w:color="auto"/>
        <w:left w:val="none" w:sz="0" w:space="0" w:color="auto"/>
        <w:bottom w:val="none" w:sz="0" w:space="0" w:color="auto"/>
        <w:right w:val="none" w:sz="0" w:space="0" w:color="auto"/>
      </w:divBdr>
    </w:div>
    <w:div w:id="192228114">
      <w:bodyDiv w:val="1"/>
      <w:marLeft w:val="0"/>
      <w:marRight w:val="0"/>
      <w:marTop w:val="0"/>
      <w:marBottom w:val="0"/>
      <w:divBdr>
        <w:top w:val="none" w:sz="0" w:space="0" w:color="auto"/>
        <w:left w:val="none" w:sz="0" w:space="0" w:color="auto"/>
        <w:bottom w:val="none" w:sz="0" w:space="0" w:color="auto"/>
        <w:right w:val="none" w:sz="0" w:space="0" w:color="auto"/>
      </w:divBdr>
    </w:div>
    <w:div w:id="199633294">
      <w:bodyDiv w:val="1"/>
      <w:marLeft w:val="0"/>
      <w:marRight w:val="0"/>
      <w:marTop w:val="0"/>
      <w:marBottom w:val="0"/>
      <w:divBdr>
        <w:top w:val="none" w:sz="0" w:space="0" w:color="auto"/>
        <w:left w:val="none" w:sz="0" w:space="0" w:color="auto"/>
        <w:bottom w:val="none" w:sz="0" w:space="0" w:color="auto"/>
        <w:right w:val="none" w:sz="0" w:space="0" w:color="auto"/>
      </w:divBdr>
    </w:div>
    <w:div w:id="204610855">
      <w:bodyDiv w:val="1"/>
      <w:marLeft w:val="0"/>
      <w:marRight w:val="0"/>
      <w:marTop w:val="0"/>
      <w:marBottom w:val="0"/>
      <w:divBdr>
        <w:top w:val="none" w:sz="0" w:space="0" w:color="auto"/>
        <w:left w:val="none" w:sz="0" w:space="0" w:color="auto"/>
        <w:bottom w:val="none" w:sz="0" w:space="0" w:color="auto"/>
        <w:right w:val="none" w:sz="0" w:space="0" w:color="auto"/>
      </w:divBdr>
    </w:div>
    <w:div w:id="216477463">
      <w:bodyDiv w:val="1"/>
      <w:marLeft w:val="0"/>
      <w:marRight w:val="0"/>
      <w:marTop w:val="0"/>
      <w:marBottom w:val="0"/>
      <w:divBdr>
        <w:top w:val="none" w:sz="0" w:space="0" w:color="auto"/>
        <w:left w:val="none" w:sz="0" w:space="0" w:color="auto"/>
        <w:bottom w:val="none" w:sz="0" w:space="0" w:color="auto"/>
        <w:right w:val="none" w:sz="0" w:space="0" w:color="auto"/>
      </w:divBdr>
    </w:div>
    <w:div w:id="228226940">
      <w:bodyDiv w:val="1"/>
      <w:marLeft w:val="0"/>
      <w:marRight w:val="0"/>
      <w:marTop w:val="0"/>
      <w:marBottom w:val="0"/>
      <w:divBdr>
        <w:top w:val="none" w:sz="0" w:space="0" w:color="auto"/>
        <w:left w:val="none" w:sz="0" w:space="0" w:color="auto"/>
        <w:bottom w:val="none" w:sz="0" w:space="0" w:color="auto"/>
        <w:right w:val="none" w:sz="0" w:space="0" w:color="auto"/>
      </w:divBdr>
    </w:div>
    <w:div w:id="243877958">
      <w:bodyDiv w:val="1"/>
      <w:marLeft w:val="0"/>
      <w:marRight w:val="0"/>
      <w:marTop w:val="0"/>
      <w:marBottom w:val="0"/>
      <w:divBdr>
        <w:top w:val="none" w:sz="0" w:space="0" w:color="auto"/>
        <w:left w:val="none" w:sz="0" w:space="0" w:color="auto"/>
        <w:bottom w:val="none" w:sz="0" w:space="0" w:color="auto"/>
        <w:right w:val="none" w:sz="0" w:space="0" w:color="auto"/>
      </w:divBdr>
    </w:div>
    <w:div w:id="244261883">
      <w:bodyDiv w:val="1"/>
      <w:marLeft w:val="0"/>
      <w:marRight w:val="0"/>
      <w:marTop w:val="0"/>
      <w:marBottom w:val="0"/>
      <w:divBdr>
        <w:top w:val="none" w:sz="0" w:space="0" w:color="auto"/>
        <w:left w:val="none" w:sz="0" w:space="0" w:color="auto"/>
        <w:bottom w:val="none" w:sz="0" w:space="0" w:color="auto"/>
        <w:right w:val="none" w:sz="0" w:space="0" w:color="auto"/>
      </w:divBdr>
    </w:div>
    <w:div w:id="248008751">
      <w:bodyDiv w:val="1"/>
      <w:marLeft w:val="0"/>
      <w:marRight w:val="0"/>
      <w:marTop w:val="0"/>
      <w:marBottom w:val="0"/>
      <w:divBdr>
        <w:top w:val="none" w:sz="0" w:space="0" w:color="auto"/>
        <w:left w:val="none" w:sz="0" w:space="0" w:color="auto"/>
        <w:bottom w:val="none" w:sz="0" w:space="0" w:color="auto"/>
        <w:right w:val="none" w:sz="0" w:space="0" w:color="auto"/>
      </w:divBdr>
    </w:div>
    <w:div w:id="250479696">
      <w:bodyDiv w:val="1"/>
      <w:marLeft w:val="0"/>
      <w:marRight w:val="0"/>
      <w:marTop w:val="0"/>
      <w:marBottom w:val="0"/>
      <w:divBdr>
        <w:top w:val="none" w:sz="0" w:space="0" w:color="auto"/>
        <w:left w:val="none" w:sz="0" w:space="0" w:color="auto"/>
        <w:bottom w:val="none" w:sz="0" w:space="0" w:color="auto"/>
        <w:right w:val="none" w:sz="0" w:space="0" w:color="auto"/>
      </w:divBdr>
    </w:div>
    <w:div w:id="252857323">
      <w:bodyDiv w:val="1"/>
      <w:marLeft w:val="0"/>
      <w:marRight w:val="0"/>
      <w:marTop w:val="0"/>
      <w:marBottom w:val="0"/>
      <w:divBdr>
        <w:top w:val="none" w:sz="0" w:space="0" w:color="auto"/>
        <w:left w:val="none" w:sz="0" w:space="0" w:color="auto"/>
        <w:bottom w:val="none" w:sz="0" w:space="0" w:color="auto"/>
        <w:right w:val="none" w:sz="0" w:space="0" w:color="auto"/>
      </w:divBdr>
    </w:div>
    <w:div w:id="253705831">
      <w:bodyDiv w:val="1"/>
      <w:marLeft w:val="0"/>
      <w:marRight w:val="0"/>
      <w:marTop w:val="0"/>
      <w:marBottom w:val="0"/>
      <w:divBdr>
        <w:top w:val="none" w:sz="0" w:space="0" w:color="auto"/>
        <w:left w:val="none" w:sz="0" w:space="0" w:color="auto"/>
        <w:bottom w:val="none" w:sz="0" w:space="0" w:color="auto"/>
        <w:right w:val="none" w:sz="0" w:space="0" w:color="auto"/>
      </w:divBdr>
    </w:div>
    <w:div w:id="268390854">
      <w:bodyDiv w:val="1"/>
      <w:marLeft w:val="0"/>
      <w:marRight w:val="0"/>
      <w:marTop w:val="0"/>
      <w:marBottom w:val="0"/>
      <w:divBdr>
        <w:top w:val="none" w:sz="0" w:space="0" w:color="auto"/>
        <w:left w:val="none" w:sz="0" w:space="0" w:color="auto"/>
        <w:bottom w:val="none" w:sz="0" w:space="0" w:color="auto"/>
        <w:right w:val="none" w:sz="0" w:space="0" w:color="auto"/>
      </w:divBdr>
    </w:div>
    <w:div w:id="271674885">
      <w:bodyDiv w:val="1"/>
      <w:marLeft w:val="0"/>
      <w:marRight w:val="0"/>
      <w:marTop w:val="0"/>
      <w:marBottom w:val="0"/>
      <w:divBdr>
        <w:top w:val="none" w:sz="0" w:space="0" w:color="auto"/>
        <w:left w:val="none" w:sz="0" w:space="0" w:color="auto"/>
        <w:bottom w:val="none" w:sz="0" w:space="0" w:color="auto"/>
        <w:right w:val="none" w:sz="0" w:space="0" w:color="auto"/>
      </w:divBdr>
    </w:div>
    <w:div w:id="275455297">
      <w:bodyDiv w:val="1"/>
      <w:marLeft w:val="0"/>
      <w:marRight w:val="0"/>
      <w:marTop w:val="0"/>
      <w:marBottom w:val="0"/>
      <w:divBdr>
        <w:top w:val="none" w:sz="0" w:space="0" w:color="auto"/>
        <w:left w:val="none" w:sz="0" w:space="0" w:color="auto"/>
        <w:bottom w:val="none" w:sz="0" w:space="0" w:color="auto"/>
        <w:right w:val="none" w:sz="0" w:space="0" w:color="auto"/>
      </w:divBdr>
    </w:div>
    <w:div w:id="278727794">
      <w:bodyDiv w:val="1"/>
      <w:marLeft w:val="0"/>
      <w:marRight w:val="0"/>
      <w:marTop w:val="0"/>
      <w:marBottom w:val="0"/>
      <w:divBdr>
        <w:top w:val="none" w:sz="0" w:space="0" w:color="auto"/>
        <w:left w:val="none" w:sz="0" w:space="0" w:color="auto"/>
        <w:bottom w:val="none" w:sz="0" w:space="0" w:color="auto"/>
        <w:right w:val="none" w:sz="0" w:space="0" w:color="auto"/>
      </w:divBdr>
    </w:div>
    <w:div w:id="315382414">
      <w:bodyDiv w:val="1"/>
      <w:marLeft w:val="0"/>
      <w:marRight w:val="0"/>
      <w:marTop w:val="0"/>
      <w:marBottom w:val="0"/>
      <w:divBdr>
        <w:top w:val="none" w:sz="0" w:space="0" w:color="auto"/>
        <w:left w:val="none" w:sz="0" w:space="0" w:color="auto"/>
        <w:bottom w:val="none" w:sz="0" w:space="0" w:color="auto"/>
        <w:right w:val="none" w:sz="0" w:space="0" w:color="auto"/>
      </w:divBdr>
    </w:div>
    <w:div w:id="322394467">
      <w:bodyDiv w:val="1"/>
      <w:marLeft w:val="0"/>
      <w:marRight w:val="0"/>
      <w:marTop w:val="0"/>
      <w:marBottom w:val="0"/>
      <w:divBdr>
        <w:top w:val="none" w:sz="0" w:space="0" w:color="auto"/>
        <w:left w:val="none" w:sz="0" w:space="0" w:color="auto"/>
        <w:bottom w:val="none" w:sz="0" w:space="0" w:color="auto"/>
        <w:right w:val="none" w:sz="0" w:space="0" w:color="auto"/>
      </w:divBdr>
    </w:div>
    <w:div w:id="331836496">
      <w:bodyDiv w:val="1"/>
      <w:marLeft w:val="0"/>
      <w:marRight w:val="0"/>
      <w:marTop w:val="0"/>
      <w:marBottom w:val="0"/>
      <w:divBdr>
        <w:top w:val="none" w:sz="0" w:space="0" w:color="auto"/>
        <w:left w:val="none" w:sz="0" w:space="0" w:color="auto"/>
        <w:bottom w:val="none" w:sz="0" w:space="0" w:color="auto"/>
        <w:right w:val="none" w:sz="0" w:space="0" w:color="auto"/>
      </w:divBdr>
    </w:div>
    <w:div w:id="333343461">
      <w:bodyDiv w:val="1"/>
      <w:marLeft w:val="0"/>
      <w:marRight w:val="0"/>
      <w:marTop w:val="0"/>
      <w:marBottom w:val="0"/>
      <w:divBdr>
        <w:top w:val="none" w:sz="0" w:space="0" w:color="auto"/>
        <w:left w:val="none" w:sz="0" w:space="0" w:color="auto"/>
        <w:bottom w:val="none" w:sz="0" w:space="0" w:color="auto"/>
        <w:right w:val="none" w:sz="0" w:space="0" w:color="auto"/>
      </w:divBdr>
    </w:div>
    <w:div w:id="344216080">
      <w:bodyDiv w:val="1"/>
      <w:marLeft w:val="0"/>
      <w:marRight w:val="0"/>
      <w:marTop w:val="0"/>
      <w:marBottom w:val="0"/>
      <w:divBdr>
        <w:top w:val="none" w:sz="0" w:space="0" w:color="auto"/>
        <w:left w:val="none" w:sz="0" w:space="0" w:color="auto"/>
        <w:bottom w:val="none" w:sz="0" w:space="0" w:color="auto"/>
        <w:right w:val="none" w:sz="0" w:space="0" w:color="auto"/>
      </w:divBdr>
    </w:div>
    <w:div w:id="346903280">
      <w:bodyDiv w:val="1"/>
      <w:marLeft w:val="0"/>
      <w:marRight w:val="0"/>
      <w:marTop w:val="0"/>
      <w:marBottom w:val="0"/>
      <w:divBdr>
        <w:top w:val="none" w:sz="0" w:space="0" w:color="auto"/>
        <w:left w:val="none" w:sz="0" w:space="0" w:color="auto"/>
        <w:bottom w:val="none" w:sz="0" w:space="0" w:color="auto"/>
        <w:right w:val="none" w:sz="0" w:space="0" w:color="auto"/>
      </w:divBdr>
    </w:div>
    <w:div w:id="350957043">
      <w:bodyDiv w:val="1"/>
      <w:marLeft w:val="0"/>
      <w:marRight w:val="0"/>
      <w:marTop w:val="0"/>
      <w:marBottom w:val="0"/>
      <w:divBdr>
        <w:top w:val="none" w:sz="0" w:space="0" w:color="auto"/>
        <w:left w:val="none" w:sz="0" w:space="0" w:color="auto"/>
        <w:bottom w:val="none" w:sz="0" w:space="0" w:color="auto"/>
        <w:right w:val="none" w:sz="0" w:space="0" w:color="auto"/>
      </w:divBdr>
    </w:div>
    <w:div w:id="358242342">
      <w:bodyDiv w:val="1"/>
      <w:marLeft w:val="0"/>
      <w:marRight w:val="0"/>
      <w:marTop w:val="0"/>
      <w:marBottom w:val="0"/>
      <w:divBdr>
        <w:top w:val="none" w:sz="0" w:space="0" w:color="auto"/>
        <w:left w:val="none" w:sz="0" w:space="0" w:color="auto"/>
        <w:bottom w:val="none" w:sz="0" w:space="0" w:color="auto"/>
        <w:right w:val="none" w:sz="0" w:space="0" w:color="auto"/>
      </w:divBdr>
    </w:div>
    <w:div w:id="370156511">
      <w:bodyDiv w:val="1"/>
      <w:marLeft w:val="0"/>
      <w:marRight w:val="0"/>
      <w:marTop w:val="0"/>
      <w:marBottom w:val="0"/>
      <w:divBdr>
        <w:top w:val="none" w:sz="0" w:space="0" w:color="auto"/>
        <w:left w:val="none" w:sz="0" w:space="0" w:color="auto"/>
        <w:bottom w:val="none" w:sz="0" w:space="0" w:color="auto"/>
        <w:right w:val="none" w:sz="0" w:space="0" w:color="auto"/>
      </w:divBdr>
    </w:div>
    <w:div w:id="373121913">
      <w:bodyDiv w:val="1"/>
      <w:marLeft w:val="0"/>
      <w:marRight w:val="0"/>
      <w:marTop w:val="0"/>
      <w:marBottom w:val="0"/>
      <w:divBdr>
        <w:top w:val="none" w:sz="0" w:space="0" w:color="auto"/>
        <w:left w:val="none" w:sz="0" w:space="0" w:color="auto"/>
        <w:bottom w:val="none" w:sz="0" w:space="0" w:color="auto"/>
        <w:right w:val="none" w:sz="0" w:space="0" w:color="auto"/>
      </w:divBdr>
    </w:div>
    <w:div w:id="387261509">
      <w:bodyDiv w:val="1"/>
      <w:marLeft w:val="0"/>
      <w:marRight w:val="0"/>
      <w:marTop w:val="0"/>
      <w:marBottom w:val="0"/>
      <w:divBdr>
        <w:top w:val="none" w:sz="0" w:space="0" w:color="auto"/>
        <w:left w:val="none" w:sz="0" w:space="0" w:color="auto"/>
        <w:bottom w:val="none" w:sz="0" w:space="0" w:color="auto"/>
        <w:right w:val="none" w:sz="0" w:space="0" w:color="auto"/>
      </w:divBdr>
    </w:div>
    <w:div w:id="393478273">
      <w:bodyDiv w:val="1"/>
      <w:marLeft w:val="0"/>
      <w:marRight w:val="0"/>
      <w:marTop w:val="0"/>
      <w:marBottom w:val="0"/>
      <w:divBdr>
        <w:top w:val="none" w:sz="0" w:space="0" w:color="auto"/>
        <w:left w:val="none" w:sz="0" w:space="0" w:color="auto"/>
        <w:bottom w:val="none" w:sz="0" w:space="0" w:color="auto"/>
        <w:right w:val="none" w:sz="0" w:space="0" w:color="auto"/>
      </w:divBdr>
    </w:div>
    <w:div w:id="394740776">
      <w:bodyDiv w:val="1"/>
      <w:marLeft w:val="0"/>
      <w:marRight w:val="0"/>
      <w:marTop w:val="0"/>
      <w:marBottom w:val="0"/>
      <w:divBdr>
        <w:top w:val="none" w:sz="0" w:space="0" w:color="auto"/>
        <w:left w:val="none" w:sz="0" w:space="0" w:color="auto"/>
        <w:bottom w:val="none" w:sz="0" w:space="0" w:color="auto"/>
        <w:right w:val="none" w:sz="0" w:space="0" w:color="auto"/>
      </w:divBdr>
    </w:div>
    <w:div w:id="397553251">
      <w:bodyDiv w:val="1"/>
      <w:marLeft w:val="0"/>
      <w:marRight w:val="0"/>
      <w:marTop w:val="0"/>
      <w:marBottom w:val="0"/>
      <w:divBdr>
        <w:top w:val="none" w:sz="0" w:space="0" w:color="auto"/>
        <w:left w:val="none" w:sz="0" w:space="0" w:color="auto"/>
        <w:bottom w:val="none" w:sz="0" w:space="0" w:color="auto"/>
        <w:right w:val="none" w:sz="0" w:space="0" w:color="auto"/>
      </w:divBdr>
    </w:div>
    <w:div w:id="405418205">
      <w:bodyDiv w:val="1"/>
      <w:marLeft w:val="0"/>
      <w:marRight w:val="0"/>
      <w:marTop w:val="0"/>
      <w:marBottom w:val="0"/>
      <w:divBdr>
        <w:top w:val="none" w:sz="0" w:space="0" w:color="auto"/>
        <w:left w:val="none" w:sz="0" w:space="0" w:color="auto"/>
        <w:bottom w:val="none" w:sz="0" w:space="0" w:color="auto"/>
        <w:right w:val="none" w:sz="0" w:space="0" w:color="auto"/>
      </w:divBdr>
    </w:div>
    <w:div w:id="413816714">
      <w:bodyDiv w:val="1"/>
      <w:marLeft w:val="0"/>
      <w:marRight w:val="0"/>
      <w:marTop w:val="0"/>
      <w:marBottom w:val="0"/>
      <w:divBdr>
        <w:top w:val="none" w:sz="0" w:space="0" w:color="auto"/>
        <w:left w:val="none" w:sz="0" w:space="0" w:color="auto"/>
        <w:bottom w:val="none" w:sz="0" w:space="0" w:color="auto"/>
        <w:right w:val="none" w:sz="0" w:space="0" w:color="auto"/>
      </w:divBdr>
    </w:div>
    <w:div w:id="413935463">
      <w:bodyDiv w:val="1"/>
      <w:marLeft w:val="0"/>
      <w:marRight w:val="0"/>
      <w:marTop w:val="0"/>
      <w:marBottom w:val="0"/>
      <w:divBdr>
        <w:top w:val="none" w:sz="0" w:space="0" w:color="auto"/>
        <w:left w:val="none" w:sz="0" w:space="0" w:color="auto"/>
        <w:bottom w:val="none" w:sz="0" w:space="0" w:color="auto"/>
        <w:right w:val="none" w:sz="0" w:space="0" w:color="auto"/>
      </w:divBdr>
    </w:div>
    <w:div w:id="419567193">
      <w:bodyDiv w:val="1"/>
      <w:marLeft w:val="0"/>
      <w:marRight w:val="0"/>
      <w:marTop w:val="0"/>
      <w:marBottom w:val="0"/>
      <w:divBdr>
        <w:top w:val="none" w:sz="0" w:space="0" w:color="auto"/>
        <w:left w:val="none" w:sz="0" w:space="0" w:color="auto"/>
        <w:bottom w:val="none" w:sz="0" w:space="0" w:color="auto"/>
        <w:right w:val="none" w:sz="0" w:space="0" w:color="auto"/>
      </w:divBdr>
    </w:div>
    <w:div w:id="420807357">
      <w:bodyDiv w:val="1"/>
      <w:marLeft w:val="0"/>
      <w:marRight w:val="0"/>
      <w:marTop w:val="0"/>
      <w:marBottom w:val="0"/>
      <w:divBdr>
        <w:top w:val="none" w:sz="0" w:space="0" w:color="auto"/>
        <w:left w:val="none" w:sz="0" w:space="0" w:color="auto"/>
        <w:bottom w:val="none" w:sz="0" w:space="0" w:color="auto"/>
        <w:right w:val="none" w:sz="0" w:space="0" w:color="auto"/>
      </w:divBdr>
    </w:div>
    <w:div w:id="422577923">
      <w:bodyDiv w:val="1"/>
      <w:marLeft w:val="0"/>
      <w:marRight w:val="0"/>
      <w:marTop w:val="0"/>
      <w:marBottom w:val="0"/>
      <w:divBdr>
        <w:top w:val="none" w:sz="0" w:space="0" w:color="auto"/>
        <w:left w:val="none" w:sz="0" w:space="0" w:color="auto"/>
        <w:bottom w:val="none" w:sz="0" w:space="0" w:color="auto"/>
        <w:right w:val="none" w:sz="0" w:space="0" w:color="auto"/>
      </w:divBdr>
      <w:divsChild>
        <w:div w:id="1769154096">
          <w:marLeft w:val="0"/>
          <w:marRight w:val="0"/>
          <w:marTop w:val="0"/>
          <w:marBottom w:val="0"/>
          <w:divBdr>
            <w:top w:val="none" w:sz="0" w:space="0" w:color="auto"/>
            <w:left w:val="none" w:sz="0" w:space="0" w:color="auto"/>
            <w:bottom w:val="none" w:sz="0" w:space="0" w:color="auto"/>
            <w:right w:val="none" w:sz="0" w:space="0" w:color="auto"/>
          </w:divBdr>
          <w:divsChild>
            <w:div w:id="5260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3460">
      <w:bodyDiv w:val="1"/>
      <w:marLeft w:val="0"/>
      <w:marRight w:val="0"/>
      <w:marTop w:val="0"/>
      <w:marBottom w:val="0"/>
      <w:divBdr>
        <w:top w:val="none" w:sz="0" w:space="0" w:color="auto"/>
        <w:left w:val="none" w:sz="0" w:space="0" w:color="auto"/>
        <w:bottom w:val="none" w:sz="0" w:space="0" w:color="auto"/>
        <w:right w:val="none" w:sz="0" w:space="0" w:color="auto"/>
      </w:divBdr>
    </w:div>
    <w:div w:id="449208210">
      <w:bodyDiv w:val="1"/>
      <w:marLeft w:val="0"/>
      <w:marRight w:val="0"/>
      <w:marTop w:val="0"/>
      <w:marBottom w:val="0"/>
      <w:divBdr>
        <w:top w:val="none" w:sz="0" w:space="0" w:color="auto"/>
        <w:left w:val="none" w:sz="0" w:space="0" w:color="auto"/>
        <w:bottom w:val="none" w:sz="0" w:space="0" w:color="auto"/>
        <w:right w:val="none" w:sz="0" w:space="0" w:color="auto"/>
      </w:divBdr>
    </w:div>
    <w:div w:id="462385154">
      <w:bodyDiv w:val="1"/>
      <w:marLeft w:val="0"/>
      <w:marRight w:val="0"/>
      <w:marTop w:val="0"/>
      <w:marBottom w:val="0"/>
      <w:divBdr>
        <w:top w:val="none" w:sz="0" w:space="0" w:color="auto"/>
        <w:left w:val="none" w:sz="0" w:space="0" w:color="auto"/>
        <w:bottom w:val="none" w:sz="0" w:space="0" w:color="auto"/>
        <w:right w:val="none" w:sz="0" w:space="0" w:color="auto"/>
      </w:divBdr>
    </w:div>
    <w:div w:id="466432814">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480468902">
      <w:bodyDiv w:val="1"/>
      <w:marLeft w:val="0"/>
      <w:marRight w:val="0"/>
      <w:marTop w:val="0"/>
      <w:marBottom w:val="0"/>
      <w:divBdr>
        <w:top w:val="none" w:sz="0" w:space="0" w:color="auto"/>
        <w:left w:val="none" w:sz="0" w:space="0" w:color="auto"/>
        <w:bottom w:val="none" w:sz="0" w:space="0" w:color="auto"/>
        <w:right w:val="none" w:sz="0" w:space="0" w:color="auto"/>
      </w:divBdr>
    </w:div>
    <w:div w:id="492449058">
      <w:bodyDiv w:val="1"/>
      <w:marLeft w:val="0"/>
      <w:marRight w:val="0"/>
      <w:marTop w:val="0"/>
      <w:marBottom w:val="0"/>
      <w:divBdr>
        <w:top w:val="none" w:sz="0" w:space="0" w:color="auto"/>
        <w:left w:val="none" w:sz="0" w:space="0" w:color="auto"/>
        <w:bottom w:val="none" w:sz="0" w:space="0" w:color="auto"/>
        <w:right w:val="none" w:sz="0" w:space="0" w:color="auto"/>
      </w:divBdr>
    </w:div>
    <w:div w:id="497231111">
      <w:bodyDiv w:val="1"/>
      <w:marLeft w:val="0"/>
      <w:marRight w:val="0"/>
      <w:marTop w:val="0"/>
      <w:marBottom w:val="0"/>
      <w:divBdr>
        <w:top w:val="none" w:sz="0" w:space="0" w:color="auto"/>
        <w:left w:val="none" w:sz="0" w:space="0" w:color="auto"/>
        <w:bottom w:val="none" w:sz="0" w:space="0" w:color="auto"/>
        <w:right w:val="none" w:sz="0" w:space="0" w:color="auto"/>
      </w:divBdr>
    </w:div>
    <w:div w:id="502816383">
      <w:bodyDiv w:val="1"/>
      <w:marLeft w:val="0"/>
      <w:marRight w:val="0"/>
      <w:marTop w:val="0"/>
      <w:marBottom w:val="0"/>
      <w:divBdr>
        <w:top w:val="none" w:sz="0" w:space="0" w:color="auto"/>
        <w:left w:val="none" w:sz="0" w:space="0" w:color="auto"/>
        <w:bottom w:val="none" w:sz="0" w:space="0" w:color="auto"/>
        <w:right w:val="none" w:sz="0" w:space="0" w:color="auto"/>
      </w:divBdr>
    </w:div>
    <w:div w:id="521743789">
      <w:bodyDiv w:val="1"/>
      <w:marLeft w:val="0"/>
      <w:marRight w:val="0"/>
      <w:marTop w:val="0"/>
      <w:marBottom w:val="0"/>
      <w:divBdr>
        <w:top w:val="none" w:sz="0" w:space="0" w:color="auto"/>
        <w:left w:val="none" w:sz="0" w:space="0" w:color="auto"/>
        <w:bottom w:val="none" w:sz="0" w:space="0" w:color="auto"/>
        <w:right w:val="none" w:sz="0" w:space="0" w:color="auto"/>
      </w:divBdr>
    </w:div>
    <w:div w:id="550846546">
      <w:bodyDiv w:val="1"/>
      <w:marLeft w:val="0"/>
      <w:marRight w:val="0"/>
      <w:marTop w:val="0"/>
      <w:marBottom w:val="0"/>
      <w:divBdr>
        <w:top w:val="none" w:sz="0" w:space="0" w:color="auto"/>
        <w:left w:val="none" w:sz="0" w:space="0" w:color="auto"/>
        <w:bottom w:val="none" w:sz="0" w:space="0" w:color="auto"/>
        <w:right w:val="none" w:sz="0" w:space="0" w:color="auto"/>
      </w:divBdr>
    </w:div>
    <w:div w:id="555430664">
      <w:bodyDiv w:val="1"/>
      <w:marLeft w:val="0"/>
      <w:marRight w:val="0"/>
      <w:marTop w:val="0"/>
      <w:marBottom w:val="0"/>
      <w:divBdr>
        <w:top w:val="none" w:sz="0" w:space="0" w:color="auto"/>
        <w:left w:val="none" w:sz="0" w:space="0" w:color="auto"/>
        <w:bottom w:val="none" w:sz="0" w:space="0" w:color="auto"/>
        <w:right w:val="none" w:sz="0" w:space="0" w:color="auto"/>
      </w:divBdr>
    </w:div>
    <w:div w:id="563030790">
      <w:bodyDiv w:val="1"/>
      <w:marLeft w:val="0"/>
      <w:marRight w:val="0"/>
      <w:marTop w:val="0"/>
      <w:marBottom w:val="0"/>
      <w:divBdr>
        <w:top w:val="none" w:sz="0" w:space="0" w:color="auto"/>
        <w:left w:val="none" w:sz="0" w:space="0" w:color="auto"/>
        <w:bottom w:val="none" w:sz="0" w:space="0" w:color="auto"/>
        <w:right w:val="none" w:sz="0" w:space="0" w:color="auto"/>
      </w:divBdr>
      <w:divsChild>
        <w:div w:id="117771284">
          <w:marLeft w:val="0"/>
          <w:marRight w:val="0"/>
          <w:marTop w:val="0"/>
          <w:marBottom w:val="0"/>
          <w:divBdr>
            <w:top w:val="none" w:sz="0" w:space="0" w:color="auto"/>
            <w:left w:val="none" w:sz="0" w:space="0" w:color="auto"/>
            <w:bottom w:val="none" w:sz="0" w:space="0" w:color="auto"/>
            <w:right w:val="none" w:sz="0" w:space="0" w:color="auto"/>
          </w:divBdr>
        </w:div>
        <w:div w:id="758796112">
          <w:marLeft w:val="0"/>
          <w:marRight w:val="0"/>
          <w:marTop w:val="0"/>
          <w:marBottom w:val="0"/>
          <w:divBdr>
            <w:top w:val="none" w:sz="0" w:space="0" w:color="auto"/>
            <w:left w:val="none" w:sz="0" w:space="0" w:color="auto"/>
            <w:bottom w:val="none" w:sz="0" w:space="0" w:color="auto"/>
            <w:right w:val="none" w:sz="0" w:space="0" w:color="auto"/>
          </w:divBdr>
        </w:div>
        <w:div w:id="1344749088">
          <w:marLeft w:val="0"/>
          <w:marRight w:val="0"/>
          <w:marTop w:val="0"/>
          <w:marBottom w:val="0"/>
          <w:divBdr>
            <w:top w:val="none" w:sz="0" w:space="0" w:color="auto"/>
            <w:left w:val="none" w:sz="0" w:space="0" w:color="auto"/>
            <w:bottom w:val="none" w:sz="0" w:space="0" w:color="auto"/>
            <w:right w:val="none" w:sz="0" w:space="0" w:color="auto"/>
          </w:divBdr>
        </w:div>
        <w:div w:id="1818642018">
          <w:marLeft w:val="0"/>
          <w:marRight w:val="0"/>
          <w:marTop w:val="0"/>
          <w:marBottom w:val="0"/>
          <w:divBdr>
            <w:top w:val="none" w:sz="0" w:space="0" w:color="auto"/>
            <w:left w:val="none" w:sz="0" w:space="0" w:color="auto"/>
            <w:bottom w:val="none" w:sz="0" w:space="0" w:color="auto"/>
            <w:right w:val="none" w:sz="0" w:space="0" w:color="auto"/>
          </w:divBdr>
        </w:div>
        <w:div w:id="1938175694">
          <w:marLeft w:val="0"/>
          <w:marRight w:val="0"/>
          <w:marTop w:val="0"/>
          <w:marBottom w:val="0"/>
          <w:divBdr>
            <w:top w:val="none" w:sz="0" w:space="0" w:color="auto"/>
            <w:left w:val="none" w:sz="0" w:space="0" w:color="auto"/>
            <w:bottom w:val="none" w:sz="0" w:space="0" w:color="auto"/>
            <w:right w:val="none" w:sz="0" w:space="0" w:color="auto"/>
          </w:divBdr>
        </w:div>
        <w:div w:id="2131629205">
          <w:marLeft w:val="0"/>
          <w:marRight w:val="0"/>
          <w:marTop w:val="0"/>
          <w:marBottom w:val="0"/>
          <w:divBdr>
            <w:top w:val="none" w:sz="0" w:space="0" w:color="auto"/>
            <w:left w:val="none" w:sz="0" w:space="0" w:color="auto"/>
            <w:bottom w:val="none" w:sz="0" w:space="0" w:color="auto"/>
            <w:right w:val="none" w:sz="0" w:space="0" w:color="auto"/>
          </w:divBdr>
        </w:div>
      </w:divsChild>
    </w:div>
    <w:div w:id="571546021">
      <w:bodyDiv w:val="1"/>
      <w:marLeft w:val="0"/>
      <w:marRight w:val="0"/>
      <w:marTop w:val="0"/>
      <w:marBottom w:val="0"/>
      <w:divBdr>
        <w:top w:val="none" w:sz="0" w:space="0" w:color="auto"/>
        <w:left w:val="none" w:sz="0" w:space="0" w:color="auto"/>
        <w:bottom w:val="none" w:sz="0" w:space="0" w:color="auto"/>
        <w:right w:val="none" w:sz="0" w:space="0" w:color="auto"/>
      </w:divBdr>
    </w:div>
    <w:div w:id="590965498">
      <w:bodyDiv w:val="1"/>
      <w:marLeft w:val="0"/>
      <w:marRight w:val="0"/>
      <w:marTop w:val="0"/>
      <w:marBottom w:val="0"/>
      <w:divBdr>
        <w:top w:val="none" w:sz="0" w:space="0" w:color="auto"/>
        <w:left w:val="none" w:sz="0" w:space="0" w:color="auto"/>
        <w:bottom w:val="none" w:sz="0" w:space="0" w:color="auto"/>
        <w:right w:val="none" w:sz="0" w:space="0" w:color="auto"/>
      </w:divBdr>
    </w:div>
    <w:div w:id="592202158">
      <w:bodyDiv w:val="1"/>
      <w:marLeft w:val="0"/>
      <w:marRight w:val="0"/>
      <w:marTop w:val="0"/>
      <w:marBottom w:val="0"/>
      <w:divBdr>
        <w:top w:val="none" w:sz="0" w:space="0" w:color="auto"/>
        <w:left w:val="none" w:sz="0" w:space="0" w:color="auto"/>
        <w:bottom w:val="none" w:sz="0" w:space="0" w:color="auto"/>
        <w:right w:val="none" w:sz="0" w:space="0" w:color="auto"/>
      </w:divBdr>
    </w:div>
    <w:div w:id="618684881">
      <w:bodyDiv w:val="1"/>
      <w:marLeft w:val="0"/>
      <w:marRight w:val="0"/>
      <w:marTop w:val="0"/>
      <w:marBottom w:val="0"/>
      <w:divBdr>
        <w:top w:val="none" w:sz="0" w:space="0" w:color="auto"/>
        <w:left w:val="none" w:sz="0" w:space="0" w:color="auto"/>
        <w:bottom w:val="none" w:sz="0" w:space="0" w:color="auto"/>
        <w:right w:val="none" w:sz="0" w:space="0" w:color="auto"/>
      </w:divBdr>
    </w:div>
    <w:div w:id="619917646">
      <w:bodyDiv w:val="1"/>
      <w:marLeft w:val="0"/>
      <w:marRight w:val="0"/>
      <w:marTop w:val="0"/>
      <w:marBottom w:val="0"/>
      <w:divBdr>
        <w:top w:val="none" w:sz="0" w:space="0" w:color="auto"/>
        <w:left w:val="none" w:sz="0" w:space="0" w:color="auto"/>
        <w:bottom w:val="none" w:sz="0" w:space="0" w:color="auto"/>
        <w:right w:val="none" w:sz="0" w:space="0" w:color="auto"/>
      </w:divBdr>
    </w:div>
    <w:div w:id="633603864">
      <w:bodyDiv w:val="1"/>
      <w:marLeft w:val="0"/>
      <w:marRight w:val="0"/>
      <w:marTop w:val="0"/>
      <w:marBottom w:val="0"/>
      <w:divBdr>
        <w:top w:val="none" w:sz="0" w:space="0" w:color="auto"/>
        <w:left w:val="none" w:sz="0" w:space="0" w:color="auto"/>
        <w:bottom w:val="none" w:sz="0" w:space="0" w:color="auto"/>
        <w:right w:val="none" w:sz="0" w:space="0" w:color="auto"/>
      </w:divBdr>
    </w:div>
    <w:div w:id="634723890">
      <w:bodyDiv w:val="1"/>
      <w:marLeft w:val="0"/>
      <w:marRight w:val="0"/>
      <w:marTop w:val="0"/>
      <w:marBottom w:val="0"/>
      <w:divBdr>
        <w:top w:val="none" w:sz="0" w:space="0" w:color="auto"/>
        <w:left w:val="none" w:sz="0" w:space="0" w:color="auto"/>
        <w:bottom w:val="none" w:sz="0" w:space="0" w:color="auto"/>
        <w:right w:val="none" w:sz="0" w:space="0" w:color="auto"/>
      </w:divBdr>
    </w:div>
    <w:div w:id="669723860">
      <w:bodyDiv w:val="1"/>
      <w:marLeft w:val="0"/>
      <w:marRight w:val="0"/>
      <w:marTop w:val="0"/>
      <w:marBottom w:val="0"/>
      <w:divBdr>
        <w:top w:val="none" w:sz="0" w:space="0" w:color="auto"/>
        <w:left w:val="none" w:sz="0" w:space="0" w:color="auto"/>
        <w:bottom w:val="none" w:sz="0" w:space="0" w:color="auto"/>
        <w:right w:val="none" w:sz="0" w:space="0" w:color="auto"/>
      </w:divBdr>
    </w:div>
    <w:div w:id="690183022">
      <w:bodyDiv w:val="1"/>
      <w:marLeft w:val="0"/>
      <w:marRight w:val="0"/>
      <w:marTop w:val="0"/>
      <w:marBottom w:val="0"/>
      <w:divBdr>
        <w:top w:val="none" w:sz="0" w:space="0" w:color="auto"/>
        <w:left w:val="none" w:sz="0" w:space="0" w:color="auto"/>
        <w:bottom w:val="none" w:sz="0" w:space="0" w:color="auto"/>
        <w:right w:val="none" w:sz="0" w:space="0" w:color="auto"/>
      </w:divBdr>
    </w:div>
    <w:div w:id="696735430">
      <w:bodyDiv w:val="1"/>
      <w:marLeft w:val="0"/>
      <w:marRight w:val="0"/>
      <w:marTop w:val="0"/>
      <w:marBottom w:val="0"/>
      <w:divBdr>
        <w:top w:val="none" w:sz="0" w:space="0" w:color="auto"/>
        <w:left w:val="none" w:sz="0" w:space="0" w:color="auto"/>
        <w:bottom w:val="none" w:sz="0" w:space="0" w:color="auto"/>
        <w:right w:val="none" w:sz="0" w:space="0" w:color="auto"/>
      </w:divBdr>
    </w:div>
    <w:div w:id="721635039">
      <w:bodyDiv w:val="1"/>
      <w:marLeft w:val="0"/>
      <w:marRight w:val="0"/>
      <w:marTop w:val="0"/>
      <w:marBottom w:val="0"/>
      <w:divBdr>
        <w:top w:val="none" w:sz="0" w:space="0" w:color="auto"/>
        <w:left w:val="none" w:sz="0" w:space="0" w:color="auto"/>
        <w:bottom w:val="none" w:sz="0" w:space="0" w:color="auto"/>
        <w:right w:val="none" w:sz="0" w:space="0" w:color="auto"/>
      </w:divBdr>
    </w:div>
    <w:div w:id="734813870">
      <w:bodyDiv w:val="1"/>
      <w:marLeft w:val="0"/>
      <w:marRight w:val="0"/>
      <w:marTop w:val="0"/>
      <w:marBottom w:val="0"/>
      <w:divBdr>
        <w:top w:val="none" w:sz="0" w:space="0" w:color="auto"/>
        <w:left w:val="none" w:sz="0" w:space="0" w:color="auto"/>
        <w:bottom w:val="none" w:sz="0" w:space="0" w:color="auto"/>
        <w:right w:val="none" w:sz="0" w:space="0" w:color="auto"/>
      </w:divBdr>
    </w:div>
    <w:div w:id="735589406">
      <w:bodyDiv w:val="1"/>
      <w:marLeft w:val="0"/>
      <w:marRight w:val="0"/>
      <w:marTop w:val="0"/>
      <w:marBottom w:val="0"/>
      <w:divBdr>
        <w:top w:val="none" w:sz="0" w:space="0" w:color="auto"/>
        <w:left w:val="none" w:sz="0" w:space="0" w:color="auto"/>
        <w:bottom w:val="none" w:sz="0" w:space="0" w:color="auto"/>
        <w:right w:val="none" w:sz="0" w:space="0" w:color="auto"/>
      </w:divBdr>
    </w:div>
    <w:div w:id="739135984">
      <w:bodyDiv w:val="1"/>
      <w:marLeft w:val="0"/>
      <w:marRight w:val="0"/>
      <w:marTop w:val="0"/>
      <w:marBottom w:val="0"/>
      <w:divBdr>
        <w:top w:val="none" w:sz="0" w:space="0" w:color="auto"/>
        <w:left w:val="none" w:sz="0" w:space="0" w:color="auto"/>
        <w:bottom w:val="none" w:sz="0" w:space="0" w:color="auto"/>
        <w:right w:val="none" w:sz="0" w:space="0" w:color="auto"/>
      </w:divBdr>
    </w:div>
    <w:div w:id="740248550">
      <w:bodyDiv w:val="1"/>
      <w:marLeft w:val="0"/>
      <w:marRight w:val="0"/>
      <w:marTop w:val="0"/>
      <w:marBottom w:val="0"/>
      <w:divBdr>
        <w:top w:val="none" w:sz="0" w:space="0" w:color="auto"/>
        <w:left w:val="none" w:sz="0" w:space="0" w:color="auto"/>
        <w:bottom w:val="none" w:sz="0" w:space="0" w:color="auto"/>
        <w:right w:val="none" w:sz="0" w:space="0" w:color="auto"/>
      </w:divBdr>
    </w:div>
    <w:div w:id="770856832">
      <w:bodyDiv w:val="1"/>
      <w:marLeft w:val="0"/>
      <w:marRight w:val="0"/>
      <w:marTop w:val="0"/>
      <w:marBottom w:val="0"/>
      <w:divBdr>
        <w:top w:val="none" w:sz="0" w:space="0" w:color="auto"/>
        <w:left w:val="none" w:sz="0" w:space="0" w:color="auto"/>
        <w:bottom w:val="none" w:sz="0" w:space="0" w:color="auto"/>
        <w:right w:val="none" w:sz="0" w:space="0" w:color="auto"/>
      </w:divBdr>
    </w:div>
    <w:div w:id="775641317">
      <w:bodyDiv w:val="1"/>
      <w:marLeft w:val="0"/>
      <w:marRight w:val="0"/>
      <w:marTop w:val="0"/>
      <w:marBottom w:val="0"/>
      <w:divBdr>
        <w:top w:val="none" w:sz="0" w:space="0" w:color="auto"/>
        <w:left w:val="none" w:sz="0" w:space="0" w:color="auto"/>
        <w:bottom w:val="none" w:sz="0" w:space="0" w:color="auto"/>
        <w:right w:val="none" w:sz="0" w:space="0" w:color="auto"/>
      </w:divBdr>
    </w:div>
    <w:div w:id="775948641">
      <w:bodyDiv w:val="1"/>
      <w:marLeft w:val="0"/>
      <w:marRight w:val="0"/>
      <w:marTop w:val="0"/>
      <w:marBottom w:val="0"/>
      <w:divBdr>
        <w:top w:val="none" w:sz="0" w:space="0" w:color="auto"/>
        <w:left w:val="none" w:sz="0" w:space="0" w:color="auto"/>
        <w:bottom w:val="none" w:sz="0" w:space="0" w:color="auto"/>
        <w:right w:val="none" w:sz="0" w:space="0" w:color="auto"/>
      </w:divBdr>
    </w:div>
    <w:div w:id="778529266">
      <w:bodyDiv w:val="1"/>
      <w:marLeft w:val="0"/>
      <w:marRight w:val="0"/>
      <w:marTop w:val="0"/>
      <w:marBottom w:val="0"/>
      <w:divBdr>
        <w:top w:val="none" w:sz="0" w:space="0" w:color="auto"/>
        <w:left w:val="none" w:sz="0" w:space="0" w:color="auto"/>
        <w:bottom w:val="none" w:sz="0" w:space="0" w:color="auto"/>
        <w:right w:val="none" w:sz="0" w:space="0" w:color="auto"/>
      </w:divBdr>
    </w:div>
    <w:div w:id="795949582">
      <w:bodyDiv w:val="1"/>
      <w:marLeft w:val="0"/>
      <w:marRight w:val="0"/>
      <w:marTop w:val="0"/>
      <w:marBottom w:val="0"/>
      <w:divBdr>
        <w:top w:val="none" w:sz="0" w:space="0" w:color="auto"/>
        <w:left w:val="none" w:sz="0" w:space="0" w:color="auto"/>
        <w:bottom w:val="none" w:sz="0" w:space="0" w:color="auto"/>
        <w:right w:val="none" w:sz="0" w:space="0" w:color="auto"/>
      </w:divBdr>
    </w:div>
    <w:div w:id="803230514">
      <w:bodyDiv w:val="1"/>
      <w:marLeft w:val="0"/>
      <w:marRight w:val="0"/>
      <w:marTop w:val="0"/>
      <w:marBottom w:val="0"/>
      <w:divBdr>
        <w:top w:val="none" w:sz="0" w:space="0" w:color="auto"/>
        <w:left w:val="none" w:sz="0" w:space="0" w:color="auto"/>
        <w:bottom w:val="none" w:sz="0" w:space="0" w:color="auto"/>
        <w:right w:val="none" w:sz="0" w:space="0" w:color="auto"/>
      </w:divBdr>
    </w:div>
    <w:div w:id="804006450">
      <w:bodyDiv w:val="1"/>
      <w:marLeft w:val="0"/>
      <w:marRight w:val="0"/>
      <w:marTop w:val="0"/>
      <w:marBottom w:val="0"/>
      <w:divBdr>
        <w:top w:val="none" w:sz="0" w:space="0" w:color="auto"/>
        <w:left w:val="none" w:sz="0" w:space="0" w:color="auto"/>
        <w:bottom w:val="none" w:sz="0" w:space="0" w:color="auto"/>
        <w:right w:val="none" w:sz="0" w:space="0" w:color="auto"/>
      </w:divBdr>
    </w:div>
    <w:div w:id="818881565">
      <w:bodyDiv w:val="1"/>
      <w:marLeft w:val="0"/>
      <w:marRight w:val="0"/>
      <w:marTop w:val="0"/>
      <w:marBottom w:val="0"/>
      <w:divBdr>
        <w:top w:val="none" w:sz="0" w:space="0" w:color="auto"/>
        <w:left w:val="none" w:sz="0" w:space="0" w:color="auto"/>
        <w:bottom w:val="none" w:sz="0" w:space="0" w:color="auto"/>
        <w:right w:val="none" w:sz="0" w:space="0" w:color="auto"/>
      </w:divBdr>
    </w:div>
    <w:div w:id="830751937">
      <w:bodyDiv w:val="1"/>
      <w:marLeft w:val="0"/>
      <w:marRight w:val="0"/>
      <w:marTop w:val="0"/>
      <w:marBottom w:val="0"/>
      <w:divBdr>
        <w:top w:val="none" w:sz="0" w:space="0" w:color="auto"/>
        <w:left w:val="none" w:sz="0" w:space="0" w:color="auto"/>
        <w:bottom w:val="none" w:sz="0" w:space="0" w:color="auto"/>
        <w:right w:val="none" w:sz="0" w:space="0" w:color="auto"/>
      </w:divBdr>
    </w:div>
    <w:div w:id="836844189">
      <w:bodyDiv w:val="1"/>
      <w:marLeft w:val="0"/>
      <w:marRight w:val="0"/>
      <w:marTop w:val="0"/>
      <w:marBottom w:val="0"/>
      <w:divBdr>
        <w:top w:val="none" w:sz="0" w:space="0" w:color="auto"/>
        <w:left w:val="none" w:sz="0" w:space="0" w:color="auto"/>
        <w:bottom w:val="none" w:sz="0" w:space="0" w:color="auto"/>
        <w:right w:val="none" w:sz="0" w:space="0" w:color="auto"/>
      </w:divBdr>
    </w:div>
    <w:div w:id="841235541">
      <w:bodyDiv w:val="1"/>
      <w:marLeft w:val="0"/>
      <w:marRight w:val="0"/>
      <w:marTop w:val="0"/>
      <w:marBottom w:val="0"/>
      <w:divBdr>
        <w:top w:val="none" w:sz="0" w:space="0" w:color="auto"/>
        <w:left w:val="none" w:sz="0" w:space="0" w:color="auto"/>
        <w:bottom w:val="none" w:sz="0" w:space="0" w:color="auto"/>
        <w:right w:val="none" w:sz="0" w:space="0" w:color="auto"/>
      </w:divBdr>
    </w:div>
    <w:div w:id="855920697">
      <w:bodyDiv w:val="1"/>
      <w:marLeft w:val="0"/>
      <w:marRight w:val="0"/>
      <w:marTop w:val="0"/>
      <w:marBottom w:val="0"/>
      <w:divBdr>
        <w:top w:val="none" w:sz="0" w:space="0" w:color="auto"/>
        <w:left w:val="none" w:sz="0" w:space="0" w:color="auto"/>
        <w:bottom w:val="none" w:sz="0" w:space="0" w:color="auto"/>
        <w:right w:val="none" w:sz="0" w:space="0" w:color="auto"/>
      </w:divBdr>
    </w:div>
    <w:div w:id="857700469">
      <w:bodyDiv w:val="1"/>
      <w:marLeft w:val="0"/>
      <w:marRight w:val="0"/>
      <w:marTop w:val="0"/>
      <w:marBottom w:val="0"/>
      <w:divBdr>
        <w:top w:val="none" w:sz="0" w:space="0" w:color="auto"/>
        <w:left w:val="none" w:sz="0" w:space="0" w:color="auto"/>
        <w:bottom w:val="none" w:sz="0" w:space="0" w:color="auto"/>
        <w:right w:val="none" w:sz="0" w:space="0" w:color="auto"/>
      </w:divBdr>
    </w:div>
    <w:div w:id="858395108">
      <w:bodyDiv w:val="1"/>
      <w:marLeft w:val="0"/>
      <w:marRight w:val="0"/>
      <w:marTop w:val="0"/>
      <w:marBottom w:val="0"/>
      <w:divBdr>
        <w:top w:val="none" w:sz="0" w:space="0" w:color="auto"/>
        <w:left w:val="none" w:sz="0" w:space="0" w:color="auto"/>
        <w:bottom w:val="none" w:sz="0" w:space="0" w:color="auto"/>
        <w:right w:val="none" w:sz="0" w:space="0" w:color="auto"/>
      </w:divBdr>
    </w:div>
    <w:div w:id="874345874">
      <w:bodyDiv w:val="1"/>
      <w:marLeft w:val="0"/>
      <w:marRight w:val="0"/>
      <w:marTop w:val="0"/>
      <w:marBottom w:val="0"/>
      <w:divBdr>
        <w:top w:val="none" w:sz="0" w:space="0" w:color="auto"/>
        <w:left w:val="none" w:sz="0" w:space="0" w:color="auto"/>
        <w:bottom w:val="none" w:sz="0" w:space="0" w:color="auto"/>
        <w:right w:val="none" w:sz="0" w:space="0" w:color="auto"/>
      </w:divBdr>
      <w:divsChild>
        <w:div w:id="1338926519">
          <w:marLeft w:val="0"/>
          <w:marRight w:val="0"/>
          <w:marTop w:val="0"/>
          <w:marBottom w:val="0"/>
          <w:divBdr>
            <w:top w:val="none" w:sz="0" w:space="0" w:color="auto"/>
            <w:left w:val="none" w:sz="0" w:space="0" w:color="auto"/>
            <w:bottom w:val="none" w:sz="0" w:space="0" w:color="auto"/>
            <w:right w:val="none" w:sz="0" w:space="0" w:color="auto"/>
          </w:divBdr>
        </w:div>
      </w:divsChild>
    </w:div>
    <w:div w:id="880093124">
      <w:bodyDiv w:val="1"/>
      <w:marLeft w:val="0"/>
      <w:marRight w:val="0"/>
      <w:marTop w:val="0"/>
      <w:marBottom w:val="0"/>
      <w:divBdr>
        <w:top w:val="none" w:sz="0" w:space="0" w:color="auto"/>
        <w:left w:val="none" w:sz="0" w:space="0" w:color="auto"/>
        <w:bottom w:val="none" w:sz="0" w:space="0" w:color="auto"/>
        <w:right w:val="none" w:sz="0" w:space="0" w:color="auto"/>
      </w:divBdr>
    </w:div>
    <w:div w:id="881793669">
      <w:bodyDiv w:val="1"/>
      <w:marLeft w:val="0"/>
      <w:marRight w:val="0"/>
      <w:marTop w:val="0"/>
      <w:marBottom w:val="0"/>
      <w:divBdr>
        <w:top w:val="none" w:sz="0" w:space="0" w:color="auto"/>
        <w:left w:val="none" w:sz="0" w:space="0" w:color="auto"/>
        <w:bottom w:val="none" w:sz="0" w:space="0" w:color="auto"/>
        <w:right w:val="none" w:sz="0" w:space="0" w:color="auto"/>
      </w:divBdr>
    </w:div>
    <w:div w:id="888347302">
      <w:bodyDiv w:val="1"/>
      <w:marLeft w:val="0"/>
      <w:marRight w:val="0"/>
      <w:marTop w:val="0"/>
      <w:marBottom w:val="0"/>
      <w:divBdr>
        <w:top w:val="none" w:sz="0" w:space="0" w:color="auto"/>
        <w:left w:val="none" w:sz="0" w:space="0" w:color="auto"/>
        <w:bottom w:val="none" w:sz="0" w:space="0" w:color="auto"/>
        <w:right w:val="none" w:sz="0" w:space="0" w:color="auto"/>
      </w:divBdr>
    </w:div>
    <w:div w:id="891187681">
      <w:bodyDiv w:val="1"/>
      <w:marLeft w:val="0"/>
      <w:marRight w:val="0"/>
      <w:marTop w:val="0"/>
      <w:marBottom w:val="0"/>
      <w:divBdr>
        <w:top w:val="none" w:sz="0" w:space="0" w:color="auto"/>
        <w:left w:val="none" w:sz="0" w:space="0" w:color="auto"/>
        <w:bottom w:val="none" w:sz="0" w:space="0" w:color="auto"/>
        <w:right w:val="none" w:sz="0" w:space="0" w:color="auto"/>
      </w:divBdr>
    </w:div>
    <w:div w:id="925727257">
      <w:bodyDiv w:val="1"/>
      <w:marLeft w:val="0"/>
      <w:marRight w:val="0"/>
      <w:marTop w:val="0"/>
      <w:marBottom w:val="0"/>
      <w:divBdr>
        <w:top w:val="none" w:sz="0" w:space="0" w:color="auto"/>
        <w:left w:val="none" w:sz="0" w:space="0" w:color="auto"/>
        <w:bottom w:val="none" w:sz="0" w:space="0" w:color="auto"/>
        <w:right w:val="none" w:sz="0" w:space="0" w:color="auto"/>
      </w:divBdr>
    </w:div>
    <w:div w:id="933055624">
      <w:bodyDiv w:val="1"/>
      <w:marLeft w:val="0"/>
      <w:marRight w:val="0"/>
      <w:marTop w:val="0"/>
      <w:marBottom w:val="0"/>
      <w:divBdr>
        <w:top w:val="none" w:sz="0" w:space="0" w:color="auto"/>
        <w:left w:val="none" w:sz="0" w:space="0" w:color="auto"/>
        <w:bottom w:val="none" w:sz="0" w:space="0" w:color="auto"/>
        <w:right w:val="none" w:sz="0" w:space="0" w:color="auto"/>
      </w:divBdr>
    </w:div>
    <w:div w:id="941498032">
      <w:bodyDiv w:val="1"/>
      <w:marLeft w:val="0"/>
      <w:marRight w:val="0"/>
      <w:marTop w:val="0"/>
      <w:marBottom w:val="0"/>
      <w:divBdr>
        <w:top w:val="none" w:sz="0" w:space="0" w:color="auto"/>
        <w:left w:val="none" w:sz="0" w:space="0" w:color="auto"/>
        <w:bottom w:val="none" w:sz="0" w:space="0" w:color="auto"/>
        <w:right w:val="none" w:sz="0" w:space="0" w:color="auto"/>
      </w:divBdr>
    </w:div>
    <w:div w:id="944000788">
      <w:bodyDiv w:val="1"/>
      <w:marLeft w:val="0"/>
      <w:marRight w:val="0"/>
      <w:marTop w:val="0"/>
      <w:marBottom w:val="0"/>
      <w:divBdr>
        <w:top w:val="none" w:sz="0" w:space="0" w:color="auto"/>
        <w:left w:val="none" w:sz="0" w:space="0" w:color="auto"/>
        <w:bottom w:val="none" w:sz="0" w:space="0" w:color="auto"/>
        <w:right w:val="none" w:sz="0" w:space="0" w:color="auto"/>
      </w:divBdr>
    </w:div>
    <w:div w:id="946278728">
      <w:bodyDiv w:val="1"/>
      <w:marLeft w:val="0"/>
      <w:marRight w:val="0"/>
      <w:marTop w:val="0"/>
      <w:marBottom w:val="0"/>
      <w:divBdr>
        <w:top w:val="none" w:sz="0" w:space="0" w:color="auto"/>
        <w:left w:val="none" w:sz="0" w:space="0" w:color="auto"/>
        <w:bottom w:val="none" w:sz="0" w:space="0" w:color="auto"/>
        <w:right w:val="none" w:sz="0" w:space="0" w:color="auto"/>
      </w:divBdr>
    </w:div>
    <w:div w:id="955481100">
      <w:bodyDiv w:val="1"/>
      <w:marLeft w:val="0"/>
      <w:marRight w:val="0"/>
      <w:marTop w:val="0"/>
      <w:marBottom w:val="0"/>
      <w:divBdr>
        <w:top w:val="none" w:sz="0" w:space="0" w:color="auto"/>
        <w:left w:val="none" w:sz="0" w:space="0" w:color="auto"/>
        <w:bottom w:val="none" w:sz="0" w:space="0" w:color="auto"/>
        <w:right w:val="none" w:sz="0" w:space="0" w:color="auto"/>
      </w:divBdr>
    </w:div>
    <w:div w:id="961807975">
      <w:bodyDiv w:val="1"/>
      <w:marLeft w:val="0"/>
      <w:marRight w:val="0"/>
      <w:marTop w:val="0"/>
      <w:marBottom w:val="0"/>
      <w:divBdr>
        <w:top w:val="none" w:sz="0" w:space="0" w:color="auto"/>
        <w:left w:val="none" w:sz="0" w:space="0" w:color="auto"/>
        <w:bottom w:val="none" w:sz="0" w:space="0" w:color="auto"/>
        <w:right w:val="none" w:sz="0" w:space="0" w:color="auto"/>
      </w:divBdr>
    </w:div>
    <w:div w:id="971909437">
      <w:bodyDiv w:val="1"/>
      <w:marLeft w:val="0"/>
      <w:marRight w:val="0"/>
      <w:marTop w:val="0"/>
      <w:marBottom w:val="0"/>
      <w:divBdr>
        <w:top w:val="none" w:sz="0" w:space="0" w:color="auto"/>
        <w:left w:val="none" w:sz="0" w:space="0" w:color="auto"/>
        <w:bottom w:val="none" w:sz="0" w:space="0" w:color="auto"/>
        <w:right w:val="none" w:sz="0" w:space="0" w:color="auto"/>
      </w:divBdr>
    </w:div>
    <w:div w:id="976881927">
      <w:bodyDiv w:val="1"/>
      <w:marLeft w:val="0"/>
      <w:marRight w:val="0"/>
      <w:marTop w:val="0"/>
      <w:marBottom w:val="0"/>
      <w:divBdr>
        <w:top w:val="none" w:sz="0" w:space="0" w:color="auto"/>
        <w:left w:val="none" w:sz="0" w:space="0" w:color="auto"/>
        <w:bottom w:val="none" w:sz="0" w:space="0" w:color="auto"/>
        <w:right w:val="none" w:sz="0" w:space="0" w:color="auto"/>
      </w:divBdr>
    </w:div>
    <w:div w:id="978609691">
      <w:bodyDiv w:val="1"/>
      <w:marLeft w:val="0"/>
      <w:marRight w:val="0"/>
      <w:marTop w:val="0"/>
      <w:marBottom w:val="0"/>
      <w:divBdr>
        <w:top w:val="none" w:sz="0" w:space="0" w:color="auto"/>
        <w:left w:val="none" w:sz="0" w:space="0" w:color="auto"/>
        <w:bottom w:val="none" w:sz="0" w:space="0" w:color="auto"/>
        <w:right w:val="none" w:sz="0" w:space="0" w:color="auto"/>
      </w:divBdr>
    </w:div>
    <w:div w:id="984578518">
      <w:bodyDiv w:val="1"/>
      <w:marLeft w:val="0"/>
      <w:marRight w:val="0"/>
      <w:marTop w:val="0"/>
      <w:marBottom w:val="0"/>
      <w:divBdr>
        <w:top w:val="none" w:sz="0" w:space="0" w:color="auto"/>
        <w:left w:val="none" w:sz="0" w:space="0" w:color="auto"/>
        <w:bottom w:val="none" w:sz="0" w:space="0" w:color="auto"/>
        <w:right w:val="none" w:sz="0" w:space="0" w:color="auto"/>
      </w:divBdr>
    </w:div>
    <w:div w:id="987050442">
      <w:bodyDiv w:val="1"/>
      <w:marLeft w:val="0"/>
      <w:marRight w:val="0"/>
      <w:marTop w:val="0"/>
      <w:marBottom w:val="0"/>
      <w:divBdr>
        <w:top w:val="none" w:sz="0" w:space="0" w:color="auto"/>
        <w:left w:val="none" w:sz="0" w:space="0" w:color="auto"/>
        <w:bottom w:val="none" w:sz="0" w:space="0" w:color="auto"/>
        <w:right w:val="none" w:sz="0" w:space="0" w:color="auto"/>
      </w:divBdr>
    </w:div>
    <w:div w:id="998538033">
      <w:bodyDiv w:val="1"/>
      <w:marLeft w:val="0"/>
      <w:marRight w:val="0"/>
      <w:marTop w:val="0"/>
      <w:marBottom w:val="0"/>
      <w:divBdr>
        <w:top w:val="none" w:sz="0" w:space="0" w:color="auto"/>
        <w:left w:val="none" w:sz="0" w:space="0" w:color="auto"/>
        <w:bottom w:val="none" w:sz="0" w:space="0" w:color="auto"/>
        <w:right w:val="none" w:sz="0" w:space="0" w:color="auto"/>
      </w:divBdr>
    </w:div>
    <w:div w:id="1026445477">
      <w:bodyDiv w:val="1"/>
      <w:marLeft w:val="0"/>
      <w:marRight w:val="0"/>
      <w:marTop w:val="0"/>
      <w:marBottom w:val="0"/>
      <w:divBdr>
        <w:top w:val="none" w:sz="0" w:space="0" w:color="auto"/>
        <w:left w:val="none" w:sz="0" w:space="0" w:color="auto"/>
        <w:bottom w:val="none" w:sz="0" w:space="0" w:color="auto"/>
        <w:right w:val="none" w:sz="0" w:space="0" w:color="auto"/>
      </w:divBdr>
    </w:div>
    <w:div w:id="1028139054">
      <w:bodyDiv w:val="1"/>
      <w:marLeft w:val="0"/>
      <w:marRight w:val="0"/>
      <w:marTop w:val="0"/>
      <w:marBottom w:val="0"/>
      <w:divBdr>
        <w:top w:val="none" w:sz="0" w:space="0" w:color="auto"/>
        <w:left w:val="none" w:sz="0" w:space="0" w:color="auto"/>
        <w:bottom w:val="none" w:sz="0" w:space="0" w:color="auto"/>
        <w:right w:val="none" w:sz="0" w:space="0" w:color="auto"/>
      </w:divBdr>
    </w:div>
    <w:div w:id="1028918478">
      <w:bodyDiv w:val="1"/>
      <w:marLeft w:val="0"/>
      <w:marRight w:val="0"/>
      <w:marTop w:val="0"/>
      <w:marBottom w:val="0"/>
      <w:divBdr>
        <w:top w:val="none" w:sz="0" w:space="0" w:color="auto"/>
        <w:left w:val="none" w:sz="0" w:space="0" w:color="auto"/>
        <w:bottom w:val="none" w:sz="0" w:space="0" w:color="auto"/>
        <w:right w:val="none" w:sz="0" w:space="0" w:color="auto"/>
      </w:divBdr>
    </w:div>
    <w:div w:id="1082874537">
      <w:bodyDiv w:val="1"/>
      <w:marLeft w:val="0"/>
      <w:marRight w:val="0"/>
      <w:marTop w:val="0"/>
      <w:marBottom w:val="0"/>
      <w:divBdr>
        <w:top w:val="none" w:sz="0" w:space="0" w:color="auto"/>
        <w:left w:val="none" w:sz="0" w:space="0" w:color="auto"/>
        <w:bottom w:val="none" w:sz="0" w:space="0" w:color="auto"/>
        <w:right w:val="none" w:sz="0" w:space="0" w:color="auto"/>
      </w:divBdr>
    </w:div>
    <w:div w:id="1084182175">
      <w:bodyDiv w:val="1"/>
      <w:marLeft w:val="0"/>
      <w:marRight w:val="0"/>
      <w:marTop w:val="0"/>
      <w:marBottom w:val="0"/>
      <w:divBdr>
        <w:top w:val="none" w:sz="0" w:space="0" w:color="auto"/>
        <w:left w:val="none" w:sz="0" w:space="0" w:color="auto"/>
        <w:bottom w:val="none" w:sz="0" w:space="0" w:color="auto"/>
        <w:right w:val="none" w:sz="0" w:space="0" w:color="auto"/>
      </w:divBdr>
    </w:div>
    <w:div w:id="1098411114">
      <w:bodyDiv w:val="1"/>
      <w:marLeft w:val="0"/>
      <w:marRight w:val="0"/>
      <w:marTop w:val="0"/>
      <w:marBottom w:val="0"/>
      <w:divBdr>
        <w:top w:val="none" w:sz="0" w:space="0" w:color="auto"/>
        <w:left w:val="none" w:sz="0" w:space="0" w:color="auto"/>
        <w:bottom w:val="none" w:sz="0" w:space="0" w:color="auto"/>
        <w:right w:val="none" w:sz="0" w:space="0" w:color="auto"/>
      </w:divBdr>
    </w:div>
    <w:div w:id="1107702741">
      <w:bodyDiv w:val="1"/>
      <w:marLeft w:val="0"/>
      <w:marRight w:val="0"/>
      <w:marTop w:val="0"/>
      <w:marBottom w:val="0"/>
      <w:divBdr>
        <w:top w:val="none" w:sz="0" w:space="0" w:color="auto"/>
        <w:left w:val="none" w:sz="0" w:space="0" w:color="auto"/>
        <w:bottom w:val="none" w:sz="0" w:space="0" w:color="auto"/>
        <w:right w:val="none" w:sz="0" w:space="0" w:color="auto"/>
      </w:divBdr>
    </w:div>
    <w:div w:id="1115758148">
      <w:bodyDiv w:val="1"/>
      <w:marLeft w:val="0"/>
      <w:marRight w:val="0"/>
      <w:marTop w:val="0"/>
      <w:marBottom w:val="0"/>
      <w:divBdr>
        <w:top w:val="none" w:sz="0" w:space="0" w:color="auto"/>
        <w:left w:val="none" w:sz="0" w:space="0" w:color="auto"/>
        <w:bottom w:val="none" w:sz="0" w:space="0" w:color="auto"/>
        <w:right w:val="none" w:sz="0" w:space="0" w:color="auto"/>
      </w:divBdr>
    </w:div>
    <w:div w:id="1128740758">
      <w:bodyDiv w:val="1"/>
      <w:marLeft w:val="0"/>
      <w:marRight w:val="0"/>
      <w:marTop w:val="0"/>
      <w:marBottom w:val="0"/>
      <w:divBdr>
        <w:top w:val="none" w:sz="0" w:space="0" w:color="auto"/>
        <w:left w:val="none" w:sz="0" w:space="0" w:color="auto"/>
        <w:bottom w:val="none" w:sz="0" w:space="0" w:color="auto"/>
        <w:right w:val="none" w:sz="0" w:space="0" w:color="auto"/>
      </w:divBdr>
    </w:div>
    <w:div w:id="1163550589">
      <w:bodyDiv w:val="1"/>
      <w:marLeft w:val="0"/>
      <w:marRight w:val="0"/>
      <w:marTop w:val="0"/>
      <w:marBottom w:val="0"/>
      <w:divBdr>
        <w:top w:val="none" w:sz="0" w:space="0" w:color="auto"/>
        <w:left w:val="none" w:sz="0" w:space="0" w:color="auto"/>
        <w:bottom w:val="none" w:sz="0" w:space="0" w:color="auto"/>
        <w:right w:val="none" w:sz="0" w:space="0" w:color="auto"/>
      </w:divBdr>
    </w:div>
    <w:div w:id="1163812103">
      <w:bodyDiv w:val="1"/>
      <w:marLeft w:val="0"/>
      <w:marRight w:val="0"/>
      <w:marTop w:val="0"/>
      <w:marBottom w:val="0"/>
      <w:divBdr>
        <w:top w:val="none" w:sz="0" w:space="0" w:color="auto"/>
        <w:left w:val="none" w:sz="0" w:space="0" w:color="auto"/>
        <w:bottom w:val="none" w:sz="0" w:space="0" w:color="auto"/>
        <w:right w:val="none" w:sz="0" w:space="0" w:color="auto"/>
      </w:divBdr>
    </w:div>
    <w:div w:id="1165125557">
      <w:bodyDiv w:val="1"/>
      <w:marLeft w:val="0"/>
      <w:marRight w:val="0"/>
      <w:marTop w:val="0"/>
      <w:marBottom w:val="0"/>
      <w:divBdr>
        <w:top w:val="none" w:sz="0" w:space="0" w:color="auto"/>
        <w:left w:val="none" w:sz="0" w:space="0" w:color="auto"/>
        <w:bottom w:val="none" w:sz="0" w:space="0" w:color="auto"/>
        <w:right w:val="none" w:sz="0" w:space="0" w:color="auto"/>
      </w:divBdr>
    </w:div>
    <w:div w:id="1171411199">
      <w:bodyDiv w:val="1"/>
      <w:marLeft w:val="0"/>
      <w:marRight w:val="0"/>
      <w:marTop w:val="0"/>
      <w:marBottom w:val="0"/>
      <w:divBdr>
        <w:top w:val="none" w:sz="0" w:space="0" w:color="auto"/>
        <w:left w:val="none" w:sz="0" w:space="0" w:color="auto"/>
        <w:bottom w:val="none" w:sz="0" w:space="0" w:color="auto"/>
        <w:right w:val="none" w:sz="0" w:space="0" w:color="auto"/>
      </w:divBdr>
    </w:div>
    <w:div w:id="1173104278">
      <w:bodyDiv w:val="1"/>
      <w:marLeft w:val="0"/>
      <w:marRight w:val="0"/>
      <w:marTop w:val="0"/>
      <w:marBottom w:val="0"/>
      <w:divBdr>
        <w:top w:val="none" w:sz="0" w:space="0" w:color="auto"/>
        <w:left w:val="none" w:sz="0" w:space="0" w:color="auto"/>
        <w:bottom w:val="none" w:sz="0" w:space="0" w:color="auto"/>
        <w:right w:val="none" w:sz="0" w:space="0" w:color="auto"/>
      </w:divBdr>
    </w:div>
    <w:div w:id="1175224286">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189562334">
      <w:bodyDiv w:val="1"/>
      <w:marLeft w:val="0"/>
      <w:marRight w:val="0"/>
      <w:marTop w:val="0"/>
      <w:marBottom w:val="0"/>
      <w:divBdr>
        <w:top w:val="none" w:sz="0" w:space="0" w:color="auto"/>
        <w:left w:val="none" w:sz="0" w:space="0" w:color="auto"/>
        <w:bottom w:val="none" w:sz="0" w:space="0" w:color="auto"/>
        <w:right w:val="none" w:sz="0" w:space="0" w:color="auto"/>
      </w:divBdr>
    </w:div>
    <w:div w:id="1202740826">
      <w:bodyDiv w:val="1"/>
      <w:marLeft w:val="0"/>
      <w:marRight w:val="0"/>
      <w:marTop w:val="0"/>
      <w:marBottom w:val="0"/>
      <w:divBdr>
        <w:top w:val="none" w:sz="0" w:space="0" w:color="auto"/>
        <w:left w:val="none" w:sz="0" w:space="0" w:color="auto"/>
        <w:bottom w:val="none" w:sz="0" w:space="0" w:color="auto"/>
        <w:right w:val="none" w:sz="0" w:space="0" w:color="auto"/>
      </w:divBdr>
    </w:div>
    <w:div w:id="1218515624">
      <w:bodyDiv w:val="1"/>
      <w:marLeft w:val="0"/>
      <w:marRight w:val="0"/>
      <w:marTop w:val="0"/>
      <w:marBottom w:val="0"/>
      <w:divBdr>
        <w:top w:val="none" w:sz="0" w:space="0" w:color="auto"/>
        <w:left w:val="none" w:sz="0" w:space="0" w:color="auto"/>
        <w:bottom w:val="none" w:sz="0" w:space="0" w:color="auto"/>
        <w:right w:val="none" w:sz="0" w:space="0" w:color="auto"/>
      </w:divBdr>
    </w:div>
    <w:div w:id="1219127045">
      <w:bodyDiv w:val="1"/>
      <w:marLeft w:val="0"/>
      <w:marRight w:val="0"/>
      <w:marTop w:val="0"/>
      <w:marBottom w:val="0"/>
      <w:divBdr>
        <w:top w:val="none" w:sz="0" w:space="0" w:color="auto"/>
        <w:left w:val="none" w:sz="0" w:space="0" w:color="auto"/>
        <w:bottom w:val="none" w:sz="0" w:space="0" w:color="auto"/>
        <w:right w:val="none" w:sz="0" w:space="0" w:color="auto"/>
      </w:divBdr>
    </w:div>
    <w:div w:id="1228149422">
      <w:bodyDiv w:val="1"/>
      <w:marLeft w:val="0"/>
      <w:marRight w:val="0"/>
      <w:marTop w:val="0"/>
      <w:marBottom w:val="0"/>
      <w:divBdr>
        <w:top w:val="none" w:sz="0" w:space="0" w:color="auto"/>
        <w:left w:val="none" w:sz="0" w:space="0" w:color="auto"/>
        <w:bottom w:val="none" w:sz="0" w:space="0" w:color="auto"/>
        <w:right w:val="none" w:sz="0" w:space="0" w:color="auto"/>
      </w:divBdr>
    </w:div>
    <w:div w:id="1232079226">
      <w:bodyDiv w:val="1"/>
      <w:marLeft w:val="0"/>
      <w:marRight w:val="0"/>
      <w:marTop w:val="0"/>
      <w:marBottom w:val="0"/>
      <w:divBdr>
        <w:top w:val="none" w:sz="0" w:space="0" w:color="auto"/>
        <w:left w:val="none" w:sz="0" w:space="0" w:color="auto"/>
        <w:bottom w:val="none" w:sz="0" w:space="0" w:color="auto"/>
        <w:right w:val="none" w:sz="0" w:space="0" w:color="auto"/>
      </w:divBdr>
    </w:div>
    <w:div w:id="1248073966">
      <w:bodyDiv w:val="1"/>
      <w:marLeft w:val="0"/>
      <w:marRight w:val="0"/>
      <w:marTop w:val="0"/>
      <w:marBottom w:val="0"/>
      <w:divBdr>
        <w:top w:val="none" w:sz="0" w:space="0" w:color="auto"/>
        <w:left w:val="none" w:sz="0" w:space="0" w:color="auto"/>
        <w:bottom w:val="none" w:sz="0" w:space="0" w:color="auto"/>
        <w:right w:val="none" w:sz="0" w:space="0" w:color="auto"/>
      </w:divBdr>
    </w:div>
    <w:div w:id="1251087338">
      <w:bodyDiv w:val="1"/>
      <w:marLeft w:val="0"/>
      <w:marRight w:val="0"/>
      <w:marTop w:val="0"/>
      <w:marBottom w:val="0"/>
      <w:divBdr>
        <w:top w:val="none" w:sz="0" w:space="0" w:color="auto"/>
        <w:left w:val="none" w:sz="0" w:space="0" w:color="auto"/>
        <w:bottom w:val="none" w:sz="0" w:space="0" w:color="auto"/>
        <w:right w:val="none" w:sz="0" w:space="0" w:color="auto"/>
      </w:divBdr>
    </w:div>
    <w:div w:id="1258102571">
      <w:bodyDiv w:val="1"/>
      <w:marLeft w:val="0"/>
      <w:marRight w:val="0"/>
      <w:marTop w:val="0"/>
      <w:marBottom w:val="0"/>
      <w:divBdr>
        <w:top w:val="none" w:sz="0" w:space="0" w:color="auto"/>
        <w:left w:val="none" w:sz="0" w:space="0" w:color="auto"/>
        <w:bottom w:val="none" w:sz="0" w:space="0" w:color="auto"/>
        <w:right w:val="none" w:sz="0" w:space="0" w:color="auto"/>
      </w:divBdr>
    </w:div>
    <w:div w:id="1270550618">
      <w:bodyDiv w:val="1"/>
      <w:marLeft w:val="0"/>
      <w:marRight w:val="0"/>
      <w:marTop w:val="0"/>
      <w:marBottom w:val="0"/>
      <w:divBdr>
        <w:top w:val="none" w:sz="0" w:space="0" w:color="auto"/>
        <w:left w:val="none" w:sz="0" w:space="0" w:color="auto"/>
        <w:bottom w:val="none" w:sz="0" w:space="0" w:color="auto"/>
        <w:right w:val="none" w:sz="0" w:space="0" w:color="auto"/>
      </w:divBdr>
    </w:div>
    <w:div w:id="1316497112">
      <w:bodyDiv w:val="1"/>
      <w:marLeft w:val="0"/>
      <w:marRight w:val="0"/>
      <w:marTop w:val="0"/>
      <w:marBottom w:val="0"/>
      <w:divBdr>
        <w:top w:val="none" w:sz="0" w:space="0" w:color="auto"/>
        <w:left w:val="none" w:sz="0" w:space="0" w:color="auto"/>
        <w:bottom w:val="none" w:sz="0" w:space="0" w:color="auto"/>
        <w:right w:val="none" w:sz="0" w:space="0" w:color="auto"/>
      </w:divBdr>
    </w:div>
    <w:div w:id="1335035936">
      <w:bodyDiv w:val="1"/>
      <w:marLeft w:val="0"/>
      <w:marRight w:val="0"/>
      <w:marTop w:val="0"/>
      <w:marBottom w:val="0"/>
      <w:divBdr>
        <w:top w:val="none" w:sz="0" w:space="0" w:color="auto"/>
        <w:left w:val="none" w:sz="0" w:space="0" w:color="auto"/>
        <w:bottom w:val="none" w:sz="0" w:space="0" w:color="auto"/>
        <w:right w:val="none" w:sz="0" w:space="0" w:color="auto"/>
      </w:divBdr>
    </w:div>
    <w:div w:id="1337657233">
      <w:bodyDiv w:val="1"/>
      <w:marLeft w:val="0"/>
      <w:marRight w:val="0"/>
      <w:marTop w:val="0"/>
      <w:marBottom w:val="0"/>
      <w:divBdr>
        <w:top w:val="none" w:sz="0" w:space="0" w:color="auto"/>
        <w:left w:val="none" w:sz="0" w:space="0" w:color="auto"/>
        <w:bottom w:val="none" w:sz="0" w:space="0" w:color="auto"/>
        <w:right w:val="none" w:sz="0" w:space="0" w:color="auto"/>
      </w:divBdr>
    </w:div>
    <w:div w:id="1348604311">
      <w:bodyDiv w:val="1"/>
      <w:marLeft w:val="0"/>
      <w:marRight w:val="0"/>
      <w:marTop w:val="0"/>
      <w:marBottom w:val="0"/>
      <w:divBdr>
        <w:top w:val="none" w:sz="0" w:space="0" w:color="auto"/>
        <w:left w:val="none" w:sz="0" w:space="0" w:color="auto"/>
        <w:bottom w:val="none" w:sz="0" w:space="0" w:color="auto"/>
        <w:right w:val="none" w:sz="0" w:space="0" w:color="auto"/>
      </w:divBdr>
    </w:div>
    <w:div w:id="1383943108">
      <w:bodyDiv w:val="1"/>
      <w:marLeft w:val="0"/>
      <w:marRight w:val="0"/>
      <w:marTop w:val="0"/>
      <w:marBottom w:val="0"/>
      <w:divBdr>
        <w:top w:val="none" w:sz="0" w:space="0" w:color="auto"/>
        <w:left w:val="none" w:sz="0" w:space="0" w:color="auto"/>
        <w:bottom w:val="none" w:sz="0" w:space="0" w:color="auto"/>
        <w:right w:val="none" w:sz="0" w:space="0" w:color="auto"/>
      </w:divBdr>
    </w:div>
    <w:div w:id="1387145552">
      <w:bodyDiv w:val="1"/>
      <w:marLeft w:val="0"/>
      <w:marRight w:val="0"/>
      <w:marTop w:val="0"/>
      <w:marBottom w:val="0"/>
      <w:divBdr>
        <w:top w:val="none" w:sz="0" w:space="0" w:color="auto"/>
        <w:left w:val="none" w:sz="0" w:space="0" w:color="auto"/>
        <w:bottom w:val="none" w:sz="0" w:space="0" w:color="auto"/>
        <w:right w:val="none" w:sz="0" w:space="0" w:color="auto"/>
      </w:divBdr>
    </w:div>
    <w:div w:id="1390107541">
      <w:bodyDiv w:val="1"/>
      <w:marLeft w:val="0"/>
      <w:marRight w:val="0"/>
      <w:marTop w:val="0"/>
      <w:marBottom w:val="0"/>
      <w:divBdr>
        <w:top w:val="none" w:sz="0" w:space="0" w:color="auto"/>
        <w:left w:val="none" w:sz="0" w:space="0" w:color="auto"/>
        <w:bottom w:val="none" w:sz="0" w:space="0" w:color="auto"/>
        <w:right w:val="none" w:sz="0" w:space="0" w:color="auto"/>
      </w:divBdr>
    </w:div>
    <w:div w:id="1400984909">
      <w:bodyDiv w:val="1"/>
      <w:marLeft w:val="0"/>
      <w:marRight w:val="0"/>
      <w:marTop w:val="0"/>
      <w:marBottom w:val="0"/>
      <w:divBdr>
        <w:top w:val="none" w:sz="0" w:space="0" w:color="auto"/>
        <w:left w:val="none" w:sz="0" w:space="0" w:color="auto"/>
        <w:bottom w:val="none" w:sz="0" w:space="0" w:color="auto"/>
        <w:right w:val="none" w:sz="0" w:space="0" w:color="auto"/>
      </w:divBdr>
    </w:div>
    <w:div w:id="1414012703">
      <w:bodyDiv w:val="1"/>
      <w:marLeft w:val="0"/>
      <w:marRight w:val="0"/>
      <w:marTop w:val="0"/>
      <w:marBottom w:val="0"/>
      <w:divBdr>
        <w:top w:val="none" w:sz="0" w:space="0" w:color="auto"/>
        <w:left w:val="none" w:sz="0" w:space="0" w:color="auto"/>
        <w:bottom w:val="none" w:sz="0" w:space="0" w:color="auto"/>
        <w:right w:val="none" w:sz="0" w:space="0" w:color="auto"/>
      </w:divBdr>
    </w:div>
    <w:div w:id="1420717577">
      <w:bodyDiv w:val="1"/>
      <w:marLeft w:val="0"/>
      <w:marRight w:val="0"/>
      <w:marTop w:val="0"/>
      <w:marBottom w:val="0"/>
      <w:divBdr>
        <w:top w:val="none" w:sz="0" w:space="0" w:color="auto"/>
        <w:left w:val="none" w:sz="0" w:space="0" w:color="auto"/>
        <w:bottom w:val="none" w:sz="0" w:space="0" w:color="auto"/>
        <w:right w:val="none" w:sz="0" w:space="0" w:color="auto"/>
      </w:divBdr>
    </w:div>
    <w:div w:id="1429426960">
      <w:bodyDiv w:val="1"/>
      <w:marLeft w:val="0"/>
      <w:marRight w:val="0"/>
      <w:marTop w:val="0"/>
      <w:marBottom w:val="0"/>
      <w:divBdr>
        <w:top w:val="none" w:sz="0" w:space="0" w:color="auto"/>
        <w:left w:val="none" w:sz="0" w:space="0" w:color="auto"/>
        <w:bottom w:val="none" w:sz="0" w:space="0" w:color="auto"/>
        <w:right w:val="none" w:sz="0" w:space="0" w:color="auto"/>
      </w:divBdr>
    </w:div>
    <w:div w:id="1437945798">
      <w:bodyDiv w:val="1"/>
      <w:marLeft w:val="0"/>
      <w:marRight w:val="0"/>
      <w:marTop w:val="0"/>
      <w:marBottom w:val="0"/>
      <w:divBdr>
        <w:top w:val="none" w:sz="0" w:space="0" w:color="auto"/>
        <w:left w:val="none" w:sz="0" w:space="0" w:color="auto"/>
        <w:bottom w:val="none" w:sz="0" w:space="0" w:color="auto"/>
        <w:right w:val="none" w:sz="0" w:space="0" w:color="auto"/>
      </w:divBdr>
    </w:div>
    <w:div w:id="1449081885">
      <w:bodyDiv w:val="1"/>
      <w:marLeft w:val="0"/>
      <w:marRight w:val="0"/>
      <w:marTop w:val="0"/>
      <w:marBottom w:val="0"/>
      <w:divBdr>
        <w:top w:val="none" w:sz="0" w:space="0" w:color="auto"/>
        <w:left w:val="none" w:sz="0" w:space="0" w:color="auto"/>
        <w:bottom w:val="none" w:sz="0" w:space="0" w:color="auto"/>
        <w:right w:val="none" w:sz="0" w:space="0" w:color="auto"/>
      </w:divBdr>
    </w:div>
    <w:div w:id="1475219371">
      <w:bodyDiv w:val="1"/>
      <w:marLeft w:val="0"/>
      <w:marRight w:val="0"/>
      <w:marTop w:val="0"/>
      <w:marBottom w:val="0"/>
      <w:divBdr>
        <w:top w:val="none" w:sz="0" w:space="0" w:color="auto"/>
        <w:left w:val="none" w:sz="0" w:space="0" w:color="auto"/>
        <w:bottom w:val="none" w:sz="0" w:space="0" w:color="auto"/>
        <w:right w:val="none" w:sz="0" w:space="0" w:color="auto"/>
      </w:divBdr>
    </w:div>
    <w:div w:id="1475830138">
      <w:bodyDiv w:val="1"/>
      <w:marLeft w:val="0"/>
      <w:marRight w:val="0"/>
      <w:marTop w:val="0"/>
      <w:marBottom w:val="0"/>
      <w:divBdr>
        <w:top w:val="none" w:sz="0" w:space="0" w:color="auto"/>
        <w:left w:val="none" w:sz="0" w:space="0" w:color="auto"/>
        <w:bottom w:val="none" w:sz="0" w:space="0" w:color="auto"/>
        <w:right w:val="none" w:sz="0" w:space="0" w:color="auto"/>
      </w:divBdr>
    </w:div>
    <w:div w:id="1478759061">
      <w:bodyDiv w:val="1"/>
      <w:marLeft w:val="0"/>
      <w:marRight w:val="0"/>
      <w:marTop w:val="0"/>
      <w:marBottom w:val="0"/>
      <w:divBdr>
        <w:top w:val="none" w:sz="0" w:space="0" w:color="auto"/>
        <w:left w:val="none" w:sz="0" w:space="0" w:color="auto"/>
        <w:bottom w:val="none" w:sz="0" w:space="0" w:color="auto"/>
        <w:right w:val="none" w:sz="0" w:space="0" w:color="auto"/>
      </w:divBdr>
    </w:div>
    <w:div w:id="1482229089">
      <w:bodyDiv w:val="1"/>
      <w:marLeft w:val="0"/>
      <w:marRight w:val="0"/>
      <w:marTop w:val="0"/>
      <w:marBottom w:val="0"/>
      <w:divBdr>
        <w:top w:val="none" w:sz="0" w:space="0" w:color="auto"/>
        <w:left w:val="none" w:sz="0" w:space="0" w:color="auto"/>
        <w:bottom w:val="none" w:sz="0" w:space="0" w:color="auto"/>
        <w:right w:val="none" w:sz="0" w:space="0" w:color="auto"/>
      </w:divBdr>
    </w:div>
    <w:div w:id="1482573711">
      <w:bodyDiv w:val="1"/>
      <w:marLeft w:val="0"/>
      <w:marRight w:val="0"/>
      <w:marTop w:val="0"/>
      <w:marBottom w:val="0"/>
      <w:divBdr>
        <w:top w:val="none" w:sz="0" w:space="0" w:color="auto"/>
        <w:left w:val="none" w:sz="0" w:space="0" w:color="auto"/>
        <w:bottom w:val="none" w:sz="0" w:space="0" w:color="auto"/>
        <w:right w:val="none" w:sz="0" w:space="0" w:color="auto"/>
      </w:divBdr>
    </w:div>
    <w:div w:id="1495100961">
      <w:bodyDiv w:val="1"/>
      <w:marLeft w:val="0"/>
      <w:marRight w:val="0"/>
      <w:marTop w:val="0"/>
      <w:marBottom w:val="0"/>
      <w:divBdr>
        <w:top w:val="none" w:sz="0" w:space="0" w:color="auto"/>
        <w:left w:val="none" w:sz="0" w:space="0" w:color="auto"/>
        <w:bottom w:val="none" w:sz="0" w:space="0" w:color="auto"/>
        <w:right w:val="none" w:sz="0" w:space="0" w:color="auto"/>
      </w:divBdr>
    </w:div>
    <w:div w:id="1508448614">
      <w:bodyDiv w:val="1"/>
      <w:marLeft w:val="0"/>
      <w:marRight w:val="0"/>
      <w:marTop w:val="0"/>
      <w:marBottom w:val="0"/>
      <w:divBdr>
        <w:top w:val="none" w:sz="0" w:space="0" w:color="auto"/>
        <w:left w:val="none" w:sz="0" w:space="0" w:color="auto"/>
        <w:bottom w:val="none" w:sz="0" w:space="0" w:color="auto"/>
        <w:right w:val="none" w:sz="0" w:space="0" w:color="auto"/>
      </w:divBdr>
    </w:div>
    <w:div w:id="1511217823">
      <w:bodyDiv w:val="1"/>
      <w:marLeft w:val="0"/>
      <w:marRight w:val="0"/>
      <w:marTop w:val="0"/>
      <w:marBottom w:val="0"/>
      <w:divBdr>
        <w:top w:val="none" w:sz="0" w:space="0" w:color="auto"/>
        <w:left w:val="none" w:sz="0" w:space="0" w:color="auto"/>
        <w:bottom w:val="none" w:sz="0" w:space="0" w:color="auto"/>
        <w:right w:val="none" w:sz="0" w:space="0" w:color="auto"/>
      </w:divBdr>
    </w:div>
    <w:div w:id="1538007819">
      <w:bodyDiv w:val="1"/>
      <w:marLeft w:val="0"/>
      <w:marRight w:val="0"/>
      <w:marTop w:val="0"/>
      <w:marBottom w:val="0"/>
      <w:divBdr>
        <w:top w:val="none" w:sz="0" w:space="0" w:color="auto"/>
        <w:left w:val="none" w:sz="0" w:space="0" w:color="auto"/>
        <w:bottom w:val="none" w:sz="0" w:space="0" w:color="auto"/>
        <w:right w:val="none" w:sz="0" w:space="0" w:color="auto"/>
      </w:divBdr>
    </w:div>
    <w:div w:id="1552686547">
      <w:bodyDiv w:val="1"/>
      <w:marLeft w:val="0"/>
      <w:marRight w:val="0"/>
      <w:marTop w:val="0"/>
      <w:marBottom w:val="0"/>
      <w:divBdr>
        <w:top w:val="none" w:sz="0" w:space="0" w:color="auto"/>
        <w:left w:val="none" w:sz="0" w:space="0" w:color="auto"/>
        <w:bottom w:val="none" w:sz="0" w:space="0" w:color="auto"/>
        <w:right w:val="none" w:sz="0" w:space="0" w:color="auto"/>
      </w:divBdr>
    </w:div>
    <w:div w:id="1553158179">
      <w:bodyDiv w:val="1"/>
      <w:marLeft w:val="0"/>
      <w:marRight w:val="0"/>
      <w:marTop w:val="0"/>
      <w:marBottom w:val="0"/>
      <w:divBdr>
        <w:top w:val="none" w:sz="0" w:space="0" w:color="auto"/>
        <w:left w:val="none" w:sz="0" w:space="0" w:color="auto"/>
        <w:bottom w:val="none" w:sz="0" w:space="0" w:color="auto"/>
        <w:right w:val="none" w:sz="0" w:space="0" w:color="auto"/>
      </w:divBdr>
    </w:div>
    <w:div w:id="1556160413">
      <w:bodyDiv w:val="1"/>
      <w:marLeft w:val="0"/>
      <w:marRight w:val="0"/>
      <w:marTop w:val="0"/>
      <w:marBottom w:val="0"/>
      <w:divBdr>
        <w:top w:val="none" w:sz="0" w:space="0" w:color="auto"/>
        <w:left w:val="none" w:sz="0" w:space="0" w:color="auto"/>
        <w:bottom w:val="none" w:sz="0" w:space="0" w:color="auto"/>
        <w:right w:val="none" w:sz="0" w:space="0" w:color="auto"/>
      </w:divBdr>
    </w:div>
    <w:div w:id="1569652836">
      <w:bodyDiv w:val="1"/>
      <w:marLeft w:val="0"/>
      <w:marRight w:val="0"/>
      <w:marTop w:val="0"/>
      <w:marBottom w:val="0"/>
      <w:divBdr>
        <w:top w:val="none" w:sz="0" w:space="0" w:color="auto"/>
        <w:left w:val="none" w:sz="0" w:space="0" w:color="auto"/>
        <w:bottom w:val="none" w:sz="0" w:space="0" w:color="auto"/>
        <w:right w:val="none" w:sz="0" w:space="0" w:color="auto"/>
      </w:divBdr>
    </w:div>
    <w:div w:id="1572740745">
      <w:bodyDiv w:val="1"/>
      <w:marLeft w:val="0"/>
      <w:marRight w:val="0"/>
      <w:marTop w:val="0"/>
      <w:marBottom w:val="0"/>
      <w:divBdr>
        <w:top w:val="none" w:sz="0" w:space="0" w:color="auto"/>
        <w:left w:val="none" w:sz="0" w:space="0" w:color="auto"/>
        <w:bottom w:val="none" w:sz="0" w:space="0" w:color="auto"/>
        <w:right w:val="none" w:sz="0" w:space="0" w:color="auto"/>
      </w:divBdr>
    </w:div>
    <w:div w:id="1578512506">
      <w:bodyDiv w:val="1"/>
      <w:marLeft w:val="0"/>
      <w:marRight w:val="0"/>
      <w:marTop w:val="0"/>
      <w:marBottom w:val="0"/>
      <w:divBdr>
        <w:top w:val="none" w:sz="0" w:space="0" w:color="auto"/>
        <w:left w:val="none" w:sz="0" w:space="0" w:color="auto"/>
        <w:bottom w:val="none" w:sz="0" w:space="0" w:color="auto"/>
        <w:right w:val="none" w:sz="0" w:space="0" w:color="auto"/>
      </w:divBdr>
    </w:div>
    <w:div w:id="1579290708">
      <w:bodyDiv w:val="1"/>
      <w:marLeft w:val="0"/>
      <w:marRight w:val="0"/>
      <w:marTop w:val="0"/>
      <w:marBottom w:val="0"/>
      <w:divBdr>
        <w:top w:val="none" w:sz="0" w:space="0" w:color="auto"/>
        <w:left w:val="none" w:sz="0" w:space="0" w:color="auto"/>
        <w:bottom w:val="none" w:sz="0" w:space="0" w:color="auto"/>
        <w:right w:val="none" w:sz="0" w:space="0" w:color="auto"/>
      </w:divBdr>
    </w:div>
    <w:div w:id="1600330120">
      <w:bodyDiv w:val="1"/>
      <w:marLeft w:val="0"/>
      <w:marRight w:val="0"/>
      <w:marTop w:val="0"/>
      <w:marBottom w:val="0"/>
      <w:divBdr>
        <w:top w:val="none" w:sz="0" w:space="0" w:color="auto"/>
        <w:left w:val="none" w:sz="0" w:space="0" w:color="auto"/>
        <w:bottom w:val="none" w:sz="0" w:space="0" w:color="auto"/>
        <w:right w:val="none" w:sz="0" w:space="0" w:color="auto"/>
      </w:divBdr>
    </w:div>
    <w:div w:id="1608931323">
      <w:bodyDiv w:val="1"/>
      <w:marLeft w:val="0"/>
      <w:marRight w:val="0"/>
      <w:marTop w:val="0"/>
      <w:marBottom w:val="0"/>
      <w:divBdr>
        <w:top w:val="none" w:sz="0" w:space="0" w:color="auto"/>
        <w:left w:val="none" w:sz="0" w:space="0" w:color="auto"/>
        <w:bottom w:val="none" w:sz="0" w:space="0" w:color="auto"/>
        <w:right w:val="none" w:sz="0" w:space="0" w:color="auto"/>
      </w:divBdr>
    </w:div>
    <w:div w:id="1615214795">
      <w:bodyDiv w:val="1"/>
      <w:marLeft w:val="0"/>
      <w:marRight w:val="0"/>
      <w:marTop w:val="0"/>
      <w:marBottom w:val="0"/>
      <w:divBdr>
        <w:top w:val="none" w:sz="0" w:space="0" w:color="auto"/>
        <w:left w:val="none" w:sz="0" w:space="0" w:color="auto"/>
        <w:bottom w:val="none" w:sz="0" w:space="0" w:color="auto"/>
        <w:right w:val="none" w:sz="0" w:space="0" w:color="auto"/>
      </w:divBdr>
    </w:div>
    <w:div w:id="1615862252">
      <w:bodyDiv w:val="1"/>
      <w:marLeft w:val="0"/>
      <w:marRight w:val="0"/>
      <w:marTop w:val="0"/>
      <w:marBottom w:val="0"/>
      <w:divBdr>
        <w:top w:val="none" w:sz="0" w:space="0" w:color="auto"/>
        <w:left w:val="none" w:sz="0" w:space="0" w:color="auto"/>
        <w:bottom w:val="none" w:sz="0" w:space="0" w:color="auto"/>
        <w:right w:val="none" w:sz="0" w:space="0" w:color="auto"/>
      </w:divBdr>
    </w:div>
    <w:div w:id="1622607873">
      <w:bodyDiv w:val="1"/>
      <w:marLeft w:val="0"/>
      <w:marRight w:val="0"/>
      <w:marTop w:val="0"/>
      <w:marBottom w:val="0"/>
      <w:divBdr>
        <w:top w:val="none" w:sz="0" w:space="0" w:color="auto"/>
        <w:left w:val="none" w:sz="0" w:space="0" w:color="auto"/>
        <w:bottom w:val="none" w:sz="0" w:space="0" w:color="auto"/>
        <w:right w:val="none" w:sz="0" w:space="0" w:color="auto"/>
      </w:divBdr>
    </w:div>
    <w:div w:id="1622760774">
      <w:bodyDiv w:val="1"/>
      <w:marLeft w:val="0"/>
      <w:marRight w:val="0"/>
      <w:marTop w:val="0"/>
      <w:marBottom w:val="0"/>
      <w:divBdr>
        <w:top w:val="none" w:sz="0" w:space="0" w:color="auto"/>
        <w:left w:val="none" w:sz="0" w:space="0" w:color="auto"/>
        <w:bottom w:val="none" w:sz="0" w:space="0" w:color="auto"/>
        <w:right w:val="none" w:sz="0" w:space="0" w:color="auto"/>
      </w:divBdr>
    </w:div>
    <w:div w:id="1630284262">
      <w:bodyDiv w:val="1"/>
      <w:marLeft w:val="0"/>
      <w:marRight w:val="0"/>
      <w:marTop w:val="0"/>
      <w:marBottom w:val="0"/>
      <w:divBdr>
        <w:top w:val="none" w:sz="0" w:space="0" w:color="auto"/>
        <w:left w:val="none" w:sz="0" w:space="0" w:color="auto"/>
        <w:bottom w:val="none" w:sz="0" w:space="0" w:color="auto"/>
        <w:right w:val="none" w:sz="0" w:space="0" w:color="auto"/>
      </w:divBdr>
    </w:div>
    <w:div w:id="1652254186">
      <w:bodyDiv w:val="1"/>
      <w:marLeft w:val="0"/>
      <w:marRight w:val="0"/>
      <w:marTop w:val="0"/>
      <w:marBottom w:val="0"/>
      <w:divBdr>
        <w:top w:val="none" w:sz="0" w:space="0" w:color="auto"/>
        <w:left w:val="none" w:sz="0" w:space="0" w:color="auto"/>
        <w:bottom w:val="none" w:sz="0" w:space="0" w:color="auto"/>
        <w:right w:val="none" w:sz="0" w:space="0" w:color="auto"/>
      </w:divBdr>
    </w:div>
    <w:div w:id="1655065193">
      <w:bodyDiv w:val="1"/>
      <w:marLeft w:val="0"/>
      <w:marRight w:val="0"/>
      <w:marTop w:val="0"/>
      <w:marBottom w:val="0"/>
      <w:divBdr>
        <w:top w:val="none" w:sz="0" w:space="0" w:color="auto"/>
        <w:left w:val="none" w:sz="0" w:space="0" w:color="auto"/>
        <w:bottom w:val="none" w:sz="0" w:space="0" w:color="auto"/>
        <w:right w:val="none" w:sz="0" w:space="0" w:color="auto"/>
      </w:divBdr>
    </w:div>
    <w:div w:id="1657369801">
      <w:bodyDiv w:val="1"/>
      <w:marLeft w:val="0"/>
      <w:marRight w:val="0"/>
      <w:marTop w:val="0"/>
      <w:marBottom w:val="0"/>
      <w:divBdr>
        <w:top w:val="none" w:sz="0" w:space="0" w:color="auto"/>
        <w:left w:val="none" w:sz="0" w:space="0" w:color="auto"/>
        <w:bottom w:val="none" w:sz="0" w:space="0" w:color="auto"/>
        <w:right w:val="none" w:sz="0" w:space="0" w:color="auto"/>
      </w:divBdr>
    </w:div>
    <w:div w:id="1659646957">
      <w:bodyDiv w:val="1"/>
      <w:marLeft w:val="0"/>
      <w:marRight w:val="0"/>
      <w:marTop w:val="0"/>
      <w:marBottom w:val="0"/>
      <w:divBdr>
        <w:top w:val="none" w:sz="0" w:space="0" w:color="auto"/>
        <w:left w:val="none" w:sz="0" w:space="0" w:color="auto"/>
        <w:bottom w:val="none" w:sz="0" w:space="0" w:color="auto"/>
        <w:right w:val="none" w:sz="0" w:space="0" w:color="auto"/>
      </w:divBdr>
    </w:div>
    <w:div w:id="1664770491">
      <w:bodyDiv w:val="1"/>
      <w:marLeft w:val="0"/>
      <w:marRight w:val="0"/>
      <w:marTop w:val="0"/>
      <w:marBottom w:val="0"/>
      <w:divBdr>
        <w:top w:val="none" w:sz="0" w:space="0" w:color="auto"/>
        <w:left w:val="none" w:sz="0" w:space="0" w:color="auto"/>
        <w:bottom w:val="none" w:sz="0" w:space="0" w:color="auto"/>
        <w:right w:val="none" w:sz="0" w:space="0" w:color="auto"/>
      </w:divBdr>
    </w:div>
    <w:div w:id="1666932142">
      <w:bodyDiv w:val="1"/>
      <w:marLeft w:val="0"/>
      <w:marRight w:val="0"/>
      <w:marTop w:val="0"/>
      <w:marBottom w:val="0"/>
      <w:divBdr>
        <w:top w:val="none" w:sz="0" w:space="0" w:color="auto"/>
        <w:left w:val="none" w:sz="0" w:space="0" w:color="auto"/>
        <w:bottom w:val="none" w:sz="0" w:space="0" w:color="auto"/>
        <w:right w:val="none" w:sz="0" w:space="0" w:color="auto"/>
      </w:divBdr>
    </w:div>
    <w:div w:id="1674795037">
      <w:bodyDiv w:val="1"/>
      <w:marLeft w:val="0"/>
      <w:marRight w:val="0"/>
      <w:marTop w:val="0"/>
      <w:marBottom w:val="0"/>
      <w:divBdr>
        <w:top w:val="none" w:sz="0" w:space="0" w:color="auto"/>
        <w:left w:val="none" w:sz="0" w:space="0" w:color="auto"/>
        <w:bottom w:val="none" w:sz="0" w:space="0" w:color="auto"/>
        <w:right w:val="none" w:sz="0" w:space="0" w:color="auto"/>
      </w:divBdr>
    </w:div>
    <w:div w:id="1677804829">
      <w:bodyDiv w:val="1"/>
      <w:marLeft w:val="0"/>
      <w:marRight w:val="0"/>
      <w:marTop w:val="0"/>
      <w:marBottom w:val="0"/>
      <w:divBdr>
        <w:top w:val="none" w:sz="0" w:space="0" w:color="auto"/>
        <w:left w:val="none" w:sz="0" w:space="0" w:color="auto"/>
        <w:bottom w:val="none" w:sz="0" w:space="0" w:color="auto"/>
        <w:right w:val="none" w:sz="0" w:space="0" w:color="auto"/>
      </w:divBdr>
    </w:div>
    <w:div w:id="1687249712">
      <w:bodyDiv w:val="1"/>
      <w:marLeft w:val="0"/>
      <w:marRight w:val="0"/>
      <w:marTop w:val="0"/>
      <w:marBottom w:val="0"/>
      <w:divBdr>
        <w:top w:val="none" w:sz="0" w:space="0" w:color="auto"/>
        <w:left w:val="none" w:sz="0" w:space="0" w:color="auto"/>
        <w:bottom w:val="none" w:sz="0" w:space="0" w:color="auto"/>
        <w:right w:val="none" w:sz="0" w:space="0" w:color="auto"/>
      </w:divBdr>
    </w:div>
    <w:div w:id="1687823270">
      <w:bodyDiv w:val="1"/>
      <w:marLeft w:val="0"/>
      <w:marRight w:val="0"/>
      <w:marTop w:val="0"/>
      <w:marBottom w:val="0"/>
      <w:divBdr>
        <w:top w:val="none" w:sz="0" w:space="0" w:color="auto"/>
        <w:left w:val="none" w:sz="0" w:space="0" w:color="auto"/>
        <w:bottom w:val="none" w:sz="0" w:space="0" w:color="auto"/>
        <w:right w:val="none" w:sz="0" w:space="0" w:color="auto"/>
      </w:divBdr>
    </w:div>
    <w:div w:id="1697075148">
      <w:bodyDiv w:val="1"/>
      <w:marLeft w:val="0"/>
      <w:marRight w:val="0"/>
      <w:marTop w:val="0"/>
      <w:marBottom w:val="0"/>
      <w:divBdr>
        <w:top w:val="none" w:sz="0" w:space="0" w:color="auto"/>
        <w:left w:val="none" w:sz="0" w:space="0" w:color="auto"/>
        <w:bottom w:val="none" w:sz="0" w:space="0" w:color="auto"/>
        <w:right w:val="none" w:sz="0" w:space="0" w:color="auto"/>
      </w:divBdr>
      <w:divsChild>
        <w:div w:id="537159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8648915">
      <w:bodyDiv w:val="1"/>
      <w:marLeft w:val="0"/>
      <w:marRight w:val="0"/>
      <w:marTop w:val="0"/>
      <w:marBottom w:val="0"/>
      <w:divBdr>
        <w:top w:val="none" w:sz="0" w:space="0" w:color="auto"/>
        <w:left w:val="none" w:sz="0" w:space="0" w:color="auto"/>
        <w:bottom w:val="none" w:sz="0" w:space="0" w:color="auto"/>
        <w:right w:val="none" w:sz="0" w:space="0" w:color="auto"/>
      </w:divBdr>
    </w:div>
    <w:div w:id="1750686110">
      <w:bodyDiv w:val="1"/>
      <w:marLeft w:val="0"/>
      <w:marRight w:val="0"/>
      <w:marTop w:val="0"/>
      <w:marBottom w:val="0"/>
      <w:divBdr>
        <w:top w:val="none" w:sz="0" w:space="0" w:color="auto"/>
        <w:left w:val="none" w:sz="0" w:space="0" w:color="auto"/>
        <w:bottom w:val="none" w:sz="0" w:space="0" w:color="auto"/>
        <w:right w:val="none" w:sz="0" w:space="0" w:color="auto"/>
      </w:divBdr>
    </w:div>
    <w:div w:id="1768885341">
      <w:bodyDiv w:val="1"/>
      <w:marLeft w:val="0"/>
      <w:marRight w:val="0"/>
      <w:marTop w:val="0"/>
      <w:marBottom w:val="0"/>
      <w:divBdr>
        <w:top w:val="none" w:sz="0" w:space="0" w:color="auto"/>
        <w:left w:val="none" w:sz="0" w:space="0" w:color="auto"/>
        <w:bottom w:val="none" w:sz="0" w:space="0" w:color="auto"/>
        <w:right w:val="none" w:sz="0" w:space="0" w:color="auto"/>
      </w:divBdr>
    </w:div>
    <w:div w:id="1788502076">
      <w:bodyDiv w:val="1"/>
      <w:marLeft w:val="0"/>
      <w:marRight w:val="0"/>
      <w:marTop w:val="0"/>
      <w:marBottom w:val="0"/>
      <w:divBdr>
        <w:top w:val="none" w:sz="0" w:space="0" w:color="auto"/>
        <w:left w:val="none" w:sz="0" w:space="0" w:color="auto"/>
        <w:bottom w:val="none" w:sz="0" w:space="0" w:color="auto"/>
        <w:right w:val="none" w:sz="0" w:space="0" w:color="auto"/>
      </w:divBdr>
    </w:div>
    <w:div w:id="1799108220">
      <w:bodyDiv w:val="1"/>
      <w:marLeft w:val="0"/>
      <w:marRight w:val="0"/>
      <w:marTop w:val="0"/>
      <w:marBottom w:val="0"/>
      <w:divBdr>
        <w:top w:val="none" w:sz="0" w:space="0" w:color="auto"/>
        <w:left w:val="none" w:sz="0" w:space="0" w:color="auto"/>
        <w:bottom w:val="none" w:sz="0" w:space="0" w:color="auto"/>
        <w:right w:val="none" w:sz="0" w:space="0" w:color="auto"/>
      </w:divBdr>
    </w:div>
    <w:div w:id="1810970914">
      <w:bodyDiv w:val="1"/>
      <w:marLeft w:val="0"/>
      <w:marRight w:val="0"/>
      <w:marTop w:val="0"/>
      <w:marBottom w:val="0"/>
      <w:divBdr>
        <w:top w:val="none" w:sz="0" w:space="0" w:color="auto"/>
        <w:left w:val="none" w:sz="0" w:space="0" w:color="auto"/>
        <w:bottom w:val="none" w:sz="0" w:space="0" w:color="auto"/>
        <w:right w:val="none" w:sz="0" w:space="0" w:color="auto"/>
      </w:divBdr>
    </w:div>
    <w:div w:id="1827815295">
      <w:bodyDiv w:val="1"/>
      <w:marLeft w:val="0"/>
      <w:marRight w:val="0"/>
      <w:marTop w:val="0"/>
      <w:marBottom w:val="0"/>
      <w:divBdr>
        <w:top w:val="none" w:sz="0" w:space="0" w:color="auto"/>
        <w:left w:val="none" w:sz="0" w:space="0" w:color="auto"/>
        <w:bottom w:val="none" w:sz="0" w:space="0" w:color="auto"/>
        <w:right w:val="none" w:sz="0" w:space="0" w:color="auto"/>
      </w:divBdr>
    </w:div>
    <w:div w:id="1836870741">
      <w:bodyDiv w:val="1"/>
      <w:marLeft w:val="0"/>
      <w:marRight w:val="0"/>
      <w:marTop w:val="0"/>
      <w:marBottom w:val="0"/>
      <w:divBdr>
        <w:top w:val="none" w:sz="0" w:space="0" w:color="auto"/>
        <w:left w:val="none" w:sz="0" w:space="0" w:color="auto"/>
        <w:bottom w:val="none" w:sz="0" w:space="0" w:color="auto"/>
        <w:right w:val="none" w:sz="0" w:space="0" w:color="auto"/>
      </w:divBdr>
    </w:div>
    <w:div w:id="1844974515">
      <w:bodyDiv w:val="1"/>
      <w:marLeft w:val="0"/>
      <w:marRight w:val="0"/>
      <w:marTop w:val="0"/>
      <w:marBottom w:val="0"/>
      <w:divBdr>
        <w:top w:val="none" w:sz="0" w:space="0" w:color="auto"/>
        <w:left w:val="none" w:sz="0" w:space="0" w:color="auto"/>
        <w:bottom w:val="none" w:sz="0" w:space="0" w:color="auto"/>
        <w:right w:val="none" w:sz="0" w:space="0" w:color="auto"/>
      </w:divBdr>
    </w:div>
    <w:div w:id="1851069058">
      <w:bodyDiv w:val="1"/>
      <w:marLeft w:val="0"/>
      <w:marRight w:val="0"/>
      <w:marTop w:val="0"/>
      <w:marBottom w:val="0"/>
      <w:divBdr>
        <w:top w:val="none" w:sz="0" w:space="0" w:color="auto"/>
        <w:left w:val="none" w:sz="0" w:space="0" w:color="auto"/>
        <w:bottom w:val="none" w:sz="0" w:space="0" w:color="auto"/>
        <w:right w:val="none" w:sz="0" w:space="0" w:color="auto"/>
      </w:divBdr>
    </w:div>
    <w:div w:id="1863474030">
      <w:bodyDiv w:val="1"/>
      <w:marLeft w:val="0"/>
      <w:marRight w:val="0"/>
      <w:marTop w:val="0"/>
      <w:marBottom w:val="0"/>
      <w:divBdr>
        <w:top w:val="none" w:sz="0" w:space="0" w:color="auto"/>
        <w:left w:val="none" w:sz="0" w:space="0" w:color="auto"/>
        <w:bottom w:val="none" w:sz="0" w:space="0" w:color="auto"/>
        <w:right w:val="none" w:sz="0" w:space="0" w:color="auto"/>
      </w:divBdr>
    </w:div>
    <w:div w:id="1870987423">
      <w:bodyDiv w:val="1"/>
      <w:marLeft w:val="0"/>
      <w:marRight w:val="0"/>
      <w:marTop w:val="0"/>
      <w:marBottom w:val="0"/>
      <w:divBdr>
        <w:top w:val="none" w:sz="0" w:space="0" w:color="auto"/>
        <w:left w:val="none" w:sz="0" w:space="0" w:color="auto"/>
        <w:bottom w:val="none" w:sz="0" w:space="0" w:color="auto"/>
        <w:right w:val="none" w:sz="0" w:space="0" w:color="auto"/>
      </w:divBdr>
    </w:div>
    <w:div w:id="1877110386">
      <w:bodyDiv w:val="1"/>
      <w:marLeft w:val="0"/>
      <w:marRight w:val="0"/>
      <w:marTop w:val="0"/>
      <w:marBottom w:val="0"/>
      <w:divBdr>
        <w:top w:val="none" w:sz="0" w:space="0" w:color="auto"/>
        <w:left w:val="none" w:sz="0" w:space="0" w:color="auto"/>
        <w:bottom w:val="none" w:sz="0" w:space="0" w:color="auto"/>
        <w:right w:val="none" w:sz="0" w:space="0" w:color="auto"/>
      </w:divBdr>
    </w:div>
    <w:div w:id="1877426007">
      <w:bodyDiv w:val="1"/>
      <w:marLeft w:val="0"/>
      <w:marRight w:val="0"/>
      <w:marTop w:val="0"/>
      <w:marBottom w:val="0"/>
      <w:divBdr>
        <w:top w:val="none" w:sz="0" w:space="0" w:color="auto"/>
        <w:left w:val="none" w:sz="0" w:space="0" w:color="auto"/>
        <w:bottom w:val="none" w:sz="0" w:space="0" w:color="auto"/>
        <w:right w:val="none" w:sz="0" w:space="0" w:color="auto"/>
      </w:divBdr>
    </w:div>
    <w:div w:id="1894123199">
      <w:bodyDiv w:val="1"/>
      <w:marLeft w:val="0"/>
      <w:marRight w:val="0"/>
      <w:marTop w:val="0"/>
      <w:marBottom w:val="0"/>
      <w:divBdr>
        <w:top w:val="none" w:sz="0" w:space="0" w:color="auto"/>
        <w:left w:val="none" w:sz="0" w:space="0" w:color="auto"/>
        <w:bottom w:val="none" w:sz="0" w:space="0" w:color="auto"/>
        <w:right w:val="none" w:sz="0" w:space="0" w:color="auto"/>
      </w:divBdr>
    </w:div>
    <w:div w:id="1896089488">
      <w:bodyDiv w:val="1"/>
      <w:marLeft w:val="0"/>
      <w:marRight w:val="0"/>
      <w:marTop w:val="0"/>
      <w:marBottom w:val="0"/>
      <w:divBdr>
        <w:top w:val="none" w:sz="0" w:space="0" w:color="auto"/>
        <w:left w:val="none" w:sz="0" w:space="0" w:color="auto"/>
        <w:bottom w:val="none" w:sz="0" w:space="0" w:color="auto"/>
        <w:right w:val="none" w:sz="0" w:space="0" w:color="auto"/>
      </w:divBdr>
    </w:div>
    <w:div w:id="1911428694">
      <w:bodyDiv w:val="1"/>
      <w:marLeft w:val="0"/>
      <w:marRight w:val="0"/>
      <w:marTop w:val="0"/>
      <w:marBottom w:val="0"/>
      <w:divBdr>
        <w:top w:val="none" w:sz="0" w:space="0" w:color="auto"/>
        <w:left w:val="none" w:sz="0" w:space="0" w:color="auto"/>
        <w:bottom w:val="none" w:sz="0" w:space="0" w:color="auto"/>
        <w:right w:val="none" w:sz="0" w:space="0" w:color="auto"/>
      </w:divBdr>
    </w:div>
    <w:div w:id="1927570560">
      <w:bodyDiv w:val="1"/>
      <w:marLeft w:val="0"/>
      <w:marRight w:val="0"/>
      <w:marTop w:val="0"/>
      <w:marBottom w:val="0"/>
      <w:divBdr>
        <w:top w:val="none" w:sz="0" w:space="0" w:color="auto"/>
        <w:left w:val="none" w:sz="0" w:space="0" w:color="auto"/>
        <w:bottom w:val="none" w:sz="0" w:space="0" w:color="auto"/>
        <w:right w:val="none" w:sz="0" w:space="0" w:color="auto"/>
      </w:divBdr>
    </w:div>
    <w:div w:id="1952933239">
      <w:bodyDiv w:val="1"/>
      <w:marLeft w:val="0"/>
      <w:marRight w:val="0"/>
      <w:marTop w:val="0"/>
      <w:marBottom w:val="0"/>
      <w:divBdr>
        <w:top w:val="none" w:sz="0" w:space="0" w:color="auto"/>
        <w:left w:val="none" w:sz="0" w:space="0" w:color="auto"/>
        <w:bottom w:val="none" w:sz="0" w:space="0" w:color="auto"/>
        <w:right w:val="none" w:sz="0" w:space="0" w:color="auto"/>
      </w:divBdr>
    </w:div>
    <w:div w:id="1956983666">
      <w:bodyDiv w:val="1"/>
      <w:marLeft w:val="0"/>
      <w:marRight w:val="0"/>
      <w:marTop w:val="0"/>
      <w:marBottom w:val="0"/>
      <w:divBdr>
        <w:top w:val="none" w:sz="0" w:space="0" w:color="auto"/>
        <w:left w:val="none" w:sz="0" w:space="0" w:color="auto"/>
        <w:bottom w:val="none" w:sz="0" w:space="0" w:color="auto"/>
        <w:right w:val="none" w:sz="0" w:space="0" w:color="auto"/>
      </w:divBdr>
    </w:div>
    <w:div w:id="1960990378">
      <w:bodyDiv w:val="1"/>
      <w:marLeft w:val="0"/>
      <w:marRight w:val="0"/>
      <w:marTop w:val="0"/>
      <w:marBottom w:val="0"/>
      <w:divBdr>
        <w:top w:val="none" w:sz="0" w:space="0" w:color="auto"/>
        <w:left w:val="none" w:sz="0" w:space="0" w:color="auto"/>
        <w:bottom w:val="none" w:sz="0" w:space="0" w:color="auto"/>
        <w:right w:val="none" w:sz="0" w:space="0" w:color="auto"/>
      </w:divBdr>
    </w:div>
    <w:div w:id="1962222363">
      <w:bodyDiv w:val="1"/>
      <w:marLeft w:val="0"/>
      <w:marRight w:val="0"/>
      <w:marTop w:val="0"/>
      <w:marBottom w:val="0"/>
      <w:divBdr>
        <w:top w:val="none" w:sz="0" w:space="0" w:color="auto"/>
        <w:left w:val="none" w:sz="0" w:space="0" w:color="auto"/>
        <w:bottom w:val="none" w:sz="0" w:space="0" w:color="auto"/>
        <w:right w:val="none" w:sz="0" w:space="0" w:color="auto"/>
      </w:divBdr>
    </w:div>
    <w:div w:id="1975983513">
      <w:bodyDiv w:val="1"/>
      <w:marLeft w:val="0"/>
      <w:marRight w:val="0"/>
      <w:marTop w:val="0"/>
      <w:marBottom w:val="0"/>
      <w:divBdr>
        <w:top w:val="none" w:sz="0" w:space="0" w:color="auto"/>
        <w:left w:val="none" w:sz="0" w:space="0" w:color="auto"/>
        <w:bottom w:val="none" w:sz="0" w:space="0" w:color="auto"/>
        <w:right w:val="none" w:sz="0" w:space="0" w:color="auto"/>
      </w:divBdr>
    </w:div>
    <w:div w:id="1976376293">
      <w:bodyDiv w:val="1"/>
      <w:marLeft w:val="0"/>
      <w:marRight w:val="0"/>
      <w:marTop w:val="0"/>
      <w:marBottom w:val="0"/>
      <w:divBdr>
        <w:top w:val="none" w:sz="0" w:space="0" w:color="auto"/>
        <w:left w:val="none" w:sz="0" w:space="0" w:color="auto"/>
        <w:bottom w:val="none" w:sz="0" w:space="0" w:color="auto"/>
        <w:right w:val="none" w:sz="0" w:space="0" w:color="auto"/>
      </w:divBdr>
    </w:div>
    <w:div w:id="1983730026">
      <w:bodyDiv w:val="1"/>
      <w:marLeft w:val="0"/>
      <w:marRight w:val="0"/>
      <w:marTop w:val="0"/>
      <w:marBottom w:val="0"/>
      <w:divBdr>
        <w:top w:val="none" w:sz="0" w:space="0" w:color="auto"/>
        <w:left w:val="none" w:sz="0" w:space="0" w:color="auto"/>
        <w:bottom w:val="none" w:sz="0" w:space="0" w:color="auto"/>
        <w:right w:val="none" w:sz="0" w:space="0" w:color="auto"/>
      </w:divBdr>
    </w:div>
    <w:div w:id="1986620359">
      <w:bodyDiv w:val="1"/>
      <w:marLeft w:val="0"/>
      <w:marRight w:val="0"/>
      <w:marTop w:val="0"/>
      <w:marBottom w:val="0"/>
      <w:divBdr>
        <w:top w:val="none" w:sz="0" w:space="0" w:color="auto"/>
        <w:left w:val="none" w:sz="0" w:space="0" w:color="auto"/>
        <w:bottom w:val="none" w:sz="0" w:space="0" w:color="auto"/>
        <w:right w:val="none" w:sz="0" w:space="0" w:color="auto"/>
      </w:divBdr>
    </w:div>
    <w:div w:id="2003195393">
      <w:bodyDiv w:val="1"/>
      <w:marLeft w:val="0"/>
      <w:marRight w:val="0"/>
      <w:marTop w:val="0"/>
      <w:marBottom w:val="0"/>
      <w:divBdr>
        <w:top w:val="none" w:sz="0" w:space="0" w:color="auto"/>
        <w:left w:val="none" w:sz="0" w:space="0" w:color="auto"/>
        <w:bottom w:val="none" w:sz="0" w:space="0" w:color="auto"/>
        <w:right w:val="none" w:sz="0" w:space="0" w:color="auto"/>
      </w:divBdr>
    </w:div>
    <w:div w:id="2008900668">
      <w:bodyDiv w:val="1"/>
      <w:marLeft w:val="0"/>
      <w:marRight w:val="0"/>
      <w:marTop w:val="0"/>
      <w:marBottom w:val="0"/>
      <w:divBdr>
        <w:top w:val="none" w:sz="0" w:space="0" w:color="auto"/>
        <w:left w:val="none" w:sz="0" w:space="0" w:color="auto"/>
        <w:bottom w:val="none" w:sz="0" w:space="0" w:color="auto"/>
        <w:right w:val="none" w:sz="0" w:space="0" w:color="auto"/>
      </w:divBdr>
    </w:div>
    <w:div w:id="2012440059">
      <w:bodyDiv w:val="1"/>
      <w:marLeft w:val="0"/>
      <w:marRight w:val="0"/>
      <w:marTop w:val="0"/>
      <w:marBottom w:val="0"/>
      <w:divBdr>
        <w:top w:val="none" w:sz="0" w:space="0" w:color="auto"/>
        <w:left w:val="none" w:sz="0" w:space="0" w:color="auto"/>
        <w:bottom w:val="none" w:sz="0" w:space="0" w:color="auto"/>
        <w:right w:val="none" w:sz="0" w:space="0" w:color="auto"/>
      </w:divBdr>
    </w:div>
    <w:div w:id="2025933446">
      <w:bodyDiv w:val="1"/>
      <w:marLeft w:val="0"/>
      <w:marRight w:val="0"/>
      <w:marTop w:val="0"/>
      <w:marBottom w:val="0"/>
      <w:divBdr>
        <w:top w:val="none" w:sz="0" w:space="0" w:color="auto"/>
        <w:left w:val="none" w:sz="0" w:space="0" w:color="auto"/>
        <w:bottom w:val="none" w:sz="0" w:space="0" w:color="auto"/>
        <w:right w:val="none" w:sz="0" w:space="0" w:color="auto"/>
      </w:divBdr>
    </w:div>
    <w:div w:id="2031711414">
      <w:bodyDiv w:val="1"/>
      <w:marLeft w:val="0"/>
      <w:marRight w:val="0"/>
      <w:marTop w:val="0"/>
      <w:marBottom w:val="0"/>
      <w:divBdr>
        <w:top w:val="none" w:sz="0" w:space="0" w:color="auto"/>
        <w:left w:val="none" w:sz="0" w:space="0" w:color="auto"/>
        <w:bottom w:val="none" w:sz="0" w:space="0" w:color="auto"/>
        <w:right w:val="none" w:sz="0" w:space="0" w:color="auto"/>
      </w:divBdr>
    </w:div>
    <w:div w:id="2033065512">
      <w:bodyDiv w:val="1"/>
      <w:marLeft w:val="0"/>
      <w:marRight w:val="0"/>
      <w:marTop w:val="0"/>
      <w:marBottom w:val="0"/>
      <w:divBdr>
        <w:top w:val="none" w:sz="0" w:space="0" w:color="auto"/>
        <w:left w:val="none" w:sz="0" w:space="0" w:color="auto"/>
        <w:bottom w:val="none" w:sz="0" w:space="0" w:color="auto"/>
        <w:right w:val="none" w:sz="0" w:space="0" w:color="auto"/>
      </w:divBdr>
    </w:div>
    <w:div w:id="2055471117">
      <w:bodyDiv w:val="1"/>
      <w:marLeft w:val="0"/>
      <w:marRight w:val="0"/>
      <w:marTop w:val="0"/>
      <w:marBottom w:val="0"/>
      <w:divBdr>
        <w:top w:val="none" w:sz="0" w:space="0" w:color="auto"/>
        <w:left w:val="none" w:sz="0" w:space="0" w:color="auto"/>
        <w:bottom w:val="none" w:sz="0" w:space="0" w:color="auto"/>
        <w:right w:val="none" w:sz="0" w:space="0" w:color="auto"/>
      </w:divBdr>
    </w:div>
    <w:div w:id="2056345443">
      <w:bodyDiv w:val="1"/>
      <w:marLeft w:val="0"/>
      <w:marRight w:val="0"/>
      <w:marTop w:val="0"/>
      <w:marBottom w:val="0"/>
      <w:divBdr>
        <w:top w:val="none" w:sz="0" w:space="0" w:color="auto"/>
        <w:left w:val="none" w:sz="0" w:space="0" w:color="auto"/>
        <w:bottom w:val="none" w:sz="0" w:space="0" w:color="auto"/>
        <w:right w:val="none" w:sz="0" w:space="0" w:color="auto"/>
      </w:divBdr>
    </w:div>
    <w:div w:id="2060087406">
      <w:bodyDiv w:val="1"/>
      <w:marLeft w:val="0"/>
      <w:marRight w:val="0"/>
      <w:marTop w:val="0"/>
      <w:marBottom w:val="0"/>
      <w:divBdr>
        <w:top w:val="none" w:sz="0" w:space="0" w:color="auto"/>
        <w:left w:val="none" w:sz="0" w:space="0" w:color="auto"/>
        <w:bottom w:val="none" w:sz="0" w:space="0" w:color="auto"/>
        <w:right w:val="none" w:sz="0" w:space="0" w:color="auto"/>
      </w:divBdr>
    </w:div>
    <w:div w:id="2062509905">
      <w:bodyDiv w:val="1"/>
      <w:marLeft w:val="0"/>
      <w:marRight w:val="0"/>
      <w:marTop w:val="0"/>
      <w:marBottom w:val="0"/>
      <w:divBdr>
        <w:top w:val="none" w:sz="0" w:space="0" w:color="auto"/>
        <w:left w:val="none" w:sz="0" w:space="0" w:color="auto"/>
        <w:bottom w:val="none" w:sz="0" w:space="0" w:color="auto"/>
        <w:right w:val="none" w:sz="0" w:space="0" w:color="auto"/>
      </w:divBdr>
    </w:div>
    <w:div w:id="2065905148">
      <w:bodyDiv w:val="1"/>
      <w:marLeft w:val="0"/>
      <w:marRight w:val="0"/>
      <w:marTop w:val="0"/>
      <w:marBottom w:val="0"/>
      <w:divBdr>
        <w:top w:val="none" w:sz="0" w:space="0" w:color="auto"/>
        <w:left w:val="none" w:sz="0" w:space="0" w:color="auto"/>
        <w:bottom w:val="none" w:sz="0" w:space="0" w:color="auto"/>
        <w:right w:val="none" w:sz="0" w:space="0" w:color="auto"/>
      </w:divBdr>
    </w:div>
    <w:div w:id="2077388819">
      <w:bodyDiv w:val="1"/>
      <w:marLeft w:val="0"/>
      <w:marRight w:val="0"/>
      <w:marTop w:val="0"/>
      <w:marBottom w:val="0"/>
      <w:divBdr>
        <w:top w:val="none" w:sz="0" w:space="0" w:color="auto"/>
        <w:left w:val="none" w:sz="0" w:space="0" w:color="auto"/>
        <w:bottom w:val="none" w:sz="0" w:space="0" w:color="auto"/>
        <w:right w:val="none" w:sz="0" w:space="0" w:color="auto"/>
      </w:divBdr>
    </w:div>
    <w:div w:id="2089766752">
      <w:bodyDiv w:val="1"/>
      <w:marLeft w:val="0"/>
      <w:marRight w:val="0"/>
      <w:marTop w:val="0"/>
      <w:marBottom w:val="0"/>
      <w:divBdr>
        <w:top w:val="none" w:sz="0" w:space="0" w:color="auto"/>
        <w:left w:val="none" w:sz="0" w:space="0" w:color="auto"/>
        <w:bottom w:val="none" w:sz="0" w:space="0" w:color="auto"/>
        <w:right w:val="none" w:sz="0" w:space="0" w:color="auto"/>
      </w:divBdr>
    </w:div>
    <w:div w:id="2098868042">
      <w:bodyDiv w:val="1"/>
      <w:marLeft w:val="0"/>
      <w:marRight w:val="0"/>
      <w:marTop w:val="0"/>
      <w:marBottom w:val="0"/>
      <w:divBdr>
        <w:top w:val="none" w:sz="0" w:space="0" w:color="auto"/>
        <w:left w:val="none" w:sz="0" w:space="0" w:color="auto"/>
        <w:bottom w:val="none" w:sz="0" w:space="0" w:color="auto"/>
        <w:right w:val="none" w:sz="0" w:space="0" w:color="auto"/>
      </w:divBdr>
    </w:div>
    <w:div w:id="2103530429">
      <w:bodyDiv w:val="1"/>
      <w:marLeft w:val="0"/>
      <w:marRight w:val="0"/>
      <w:marTop w:val="0"/>
      <w:marBottom w:val="0"/>
      <w:divBdr>
        <w:top w:val="none" w:sz="0" w:space="0" w:color="auto"/>
        <w:left w:val="none" w:sz="0" w:space="0" w:color="auto"/>
        <w:bottom w:val="none" w:sz="0" w:space="0" w:color="auto"/>
        <w:right w:val="none" w:sz="0" w:space="0" w:color="auto"/>
      </w:divBdr>
    </w:div>
    <w:div w:id="2117208684">
      <w:bodyDiv w:val="1"/>
      <w:marLeft w:val="0"/>
      <w:marRight w:val="0"/>
      <w:marTop w:val="0"/>
      <w:marBottom w:val="0"/>
      <w:divBdr>
        <w:top w:val="none" w:sz="0" w:space="0" w:color="auto"/>
        <w:left w:val="none" w:sz="0" w:space="0" w:color="auto"/>
        <w:bottom w:val="none" w:sz="0" w:space="0" w:color="auto"/>
        <w:right w:val="none" w:sz="0" w:space="0" w:color="auto"/>
      </w:divBdr>
    </w:div>
    <w:div w:id="21187866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oleObject2.bin"/><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wmf"/><Relationship Id="rId47" Type="http://schemas.openxmlformats.org/officeDocument/2006/relationships/hyperlink" Target="https://kalkulatormocy.pl/warminsko-mazurskie/olecki/w/wieliczki/?utm_source=chatgpt.com" TargetMode="External"/><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oleObject" Target="embeddings/oleObject3.bin"/><Relationship Id="rId54" Type="http://schemas.openxmlformats.org/officeDocument/2006/relationships/image" Target="media/image36.png"/><Relationship Id="rId62" Type="http://schemas.openxmlformats.org/officeDocument/2006/relationships/hyperlink" Target="https://www.prosument.org/baza-wiedzy/jak-zostac-prosumente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oleObject" Target="embeddings/oleObject1.bin"/><Relationship Id="rId40" Type="http://schemas.openxmlformats.org/officeDocument/2006/relationships/image" Target="media/image28.wmf"/><Relationship Id="rId45" Type="http://schemas.openxmlformats.org/officeDocument/2006/relationships/oleObject" Target="embeddings/oleObject5.bin"/><Relationship Id="rId53" Type="http://schemas.openxmlformats.org/officeDocument/2006/relationships/image" Target="media/image35.png"/><Relationship Id="rId58"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wmf"/><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wmf"/><Relationship Id="rId52" Type="http://schemas.openxmlformats.org/officeDocument/2006/relationships/hyperlink" Target="https://www.pigeor.pl/aktualnosci/program-rozwoju-sektora-biometanu-w-polsce?utm_source=chatgpt.com" TargetMode="External"/><Relationship Id="rId60" Type="http://schemas.openxmlformats.org/officeDocument/2006/relationships/chart" Target="charts/chart3.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4.bin"/><Relationship Id="rId48" Type="http://schemas.openxmlformats.org/officeDocument/2006/relationships/hyperlink" Target="https://bip.wieliczki.pl/wiadomosci/19015/wiadomosc/813807/obwieszczenie_wojta_gminy_wieliczki_z_dnia_07_kwietnia_2025_r_o_?utm_source=chatgpt.com" TargetMode="External"/><Relationship Id="rId56" Type="http://schemas.openxmlformats.org/officeDocument/2006/relationships/hyperlink" Target="https://www.psgaz.pl/taryfa"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wmf"/><Relationship Id="rId46" Type="http://schemas.openxmlformats.org/officeDocument/2006/relationships/image" Target="media/image31.png"/><Relationship Id="rId59" Type="http://schemas.openxmlformats.org/officeDocument/2006/relationships/chart" Target="charts/chart2.xml"/><Relationship Id="rId67"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s://pl.wikipedia.org/wiki/Biomasa" TargetMode="External"/><Relationship Id="rId1" Type="http://schemas.openxmlformats.org/officeDocument/2006/relationships/hyperlink" Target="https://pl.wikipedia.org/wiki/Energia_geotermaln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PZy\linie%20elektrycz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Brodnica\scenariusz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Brodnica\scenariusz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Brodnica\scenariusz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Arkusz3!$A$2:$A$12</c:f>
              <c:strCache>
                <c:ptCount val="11"/>
                <c:pt idx="0">
                  <c:v>gruntowa pompa ciepła</c:v>
                </c:pt>
                <c:pt idx="1">
                  <c:v>węgiel kamienny - ekogroszek</c:v>
                </c:pt>
                <c:pt idx="2">
                  <c:v>Gaz ziemny typ E*</c:v>
                </c:pt>
                <c:pt idx="3">
                  <c:v>drewno - sosna</c:v>
                </c:pt>
                <c:pt idx="4">
                  <c:v>węgiel kamienny - gruby</c:v>
                </c:pt>
                <c:pt idx="5">
                  <c:v>pelet</c:v>
                </c:pt>
                <c:pt idx="6">
                  <c:v>powietrzna pompa ciepła</c:v>
                </c:pt>
                <c:pt idx="7">
                  <c:v>węgiel kamienny - miał</c:v>
                </c:pt>
                <c:pt idx="8">
                  <c:v>gaz propan-butan</c:v>
                </c:pt>
                <c:pt idx="9">
                  <c:v>olej opałowy</c:v>
                </c:pt>
                <c:pt idx="10">
                  <c:v>energia elektryczna</c:v>
                </c:pt>
              </c:strCache>
            </c:strRef>
          </c:cat>
          <c:val>
            <c:numRef>
              <c:f>Arkusz3!$H$2:$H$12</c:f>
              <c:numCache>
                <c:formatCode>General</c:formatCode>
                <c:ptCount val="11"/>
                <c:pt idx="0">
                  <c:v>0.15700000000000044</c:v>
                </c:pt>
                <c:pt idx="1">
                  <c:v>0.16</c:v>
                </c:pt>
                <c:pt idx="2">
                  <c:v>0.18620000000000059</c:v>
                </c:pt>
                <c:pt idx="3">
                  <c:v>0.19700000000000001</c:v>
                </c:pt>
                <c:pt idx="4">
                  <c:v>0.21000000000000021</c:v>
                </c:pt>
                <c:pt idx="5">
                  <c:v>0.21800000000000044</c:v>
                </c:pt>
                <c:pt idx="6">
                  <c:v>0.22</c:v>
                </c:pt>
                <c:pt idx="7">
                  <c:v>0.251</c:v>
                </c:pt>
                <c:pt idx="8">
                  <c:v>0.311000000000001</c:v>
                </c:pt>
                <c:pt idx="9">
                  <c:v>0.33100000000000135</c:v>
                </c:pt>
                <c:pt idx="10">
                  <c:v>0.55600000000000005</c:v>
                </c:pt>
              </c:numCache>
            </c:numRef>
          </c:val>
          <c:extLst xmlns:c16r2="http://schemas.microsoft.com/office/drawing/2015/06/chart">
            <c:ext xmlns:c16="http://schemas.microsoft.com/office/drawing/2014/chart" uri="{C3380CC4-5D6E-409C-BE32-E72D297353CC}">
              <c16:uniqueId val="{00000000-1BD5-47DA-937A-51F0E2C9F3F8}"/>
            </c:ext>
          </c:extLst>
        </c:ser>
        <c:gapWidth val="182"/>
        <c:axId val="250608256"/>
        <c:axId val="250880384"/>
      </c:barChart>
      <c:catAx>
        <c:axId val="2506082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880384"/>
        <c:crosses val="autoZero"/>
        <c:auto val="1"/>
        <c:lblAlgn val="ctr"/>
        <c:lblOffset val="100"/>
      </c:catAx>
      <c:valAx>
        <c:axId val="2508803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6082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manualLayout>
          <c:layoutTarget val="inner"/>
          <c:xMode val="edge"/>
          <c:yMode val="edge"/>
          <c:x val="0.11291426071741049"/>
          <c:y val="5.0925925925925923E-2"/>
          <c:w val="0.86486351706036768"/>
          <c:h val="0.73577136191309644"/>
        </c:manualLayout>
      </c:layout>
      <c:lineChart>
        <c:grouping val="standard"/>
        <c:ser>
          <c:idx val="0"/>
          <c:order val="0"/>
          <c:tx>
            <c:strRef>
              <c:f>Arkusz1!$N$38</c:f>
              <c:strCache>
                <c:ptCount val="1"/>
                <c:pt idx="0">
                  <c:v>scenariusz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Arkusz1!$O$37:$T$37</c:f>
              <c:numCache>
                <c:formatCode>General</c:formatCode>
                <c:ptCount val="6"/>
                <c:pt idx="0">
                  <c:v>2020</c:v>
                </c:pt>
                <c:pt idx="1">
                  <c:v>2023</c:v>
                </c:pt>
                <c:pt idx="2">
                  <c:v>2026</c:v>
                </c:pt>
                <c:pt idx="3">
                  <c:v>2029</c:v>
                </c:pt>
                <c:pt idx="4">
                  <c:v>2033</c:v>
                </c:pt>
                <c:pt idx="5">
                  <c:v>2036</c:v>
                </c:pt>
              </c:numCache>
            </c:numRef>
          </c:cat>
          <c:val>
            <c:numRef>
              <c:f>Arkusz1!$O$38:$T$38</c:f>
              <c:numCache>
                <c:formatCode>General</c:formatCode>
                <c:ptCount val="6"/>
                <c:pt idx="0">
                  <c:v>56165.780000000006</c:v>
                </c:pt>
                <c:pt idx="1">
                  <c:v>57850.753399999994</c:v>
                </c:pt>
                <c:pt idx="2">
                  <c:v>59586.276002000006</c:v>
                </c:pt>
                <c:pt idx="3">
                  <c:v>61373.864282060007</c:v>
                </c:pt>
                <c:pt idx="4">
                  <c:v>63215.08021052181</c:v>
                </c:pt>
                <c:pt idx="5">
                  <c:v>65111.532616837467</c:v>
                </c:pt>
              </c:numCache>
            </c:numRef>
          </c:val>
          <c:extLst xmlns:c16r2="http://schemas.microsoft.com/office/drawing/2015/06/chart">
            <c:ext xmlns:c16="http://schemas.microsoft.com/office/drawing/2014/chart" uri="{C3380CC4-5D6E-409C-BE32-E72D297353CC}">
              <c16:uniqueId val="{00000000-8736-4A3B-B80D-AF1CB19F3913}"/>
            </c:ext>
          </c:extLst>
        </c:ser>
        <c:ser>
          <c:idx val="1"/>
          <c:order val="1"/>
          <c:tx>
            <c:strRef>
              <c:f>Arkusz1!$N$39</c:f>
              <c:strCache>
                <c:ptCount val="1"/>
                <c:pt idx="0">
                  <c:v>scenariusz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Arkusz1!$O$37:$T$37</c:f>
              <c:numCache>
                <c:formatCode>General</c:formatCode>
                <c:ptCount val="6"/>
                <c:pt idx="0">
                  <c:v>2020</c:v>
                </c:pt>
                <c:pt idx="1">
                  <c:v>2023</c:v>
                </c:pt>
                <c:pt idx="2">
                  <c:v>2026</c:v>
                </c:pt>
                <c:pt idx="3">
                  <c:v>2029</c:v>
                </c:pt>
                <c:pt idx="4">
                  <c:v>2033</c:v>
                </c:pt>
                <c:pt idx="5">
                  <c:v>2036</c:v>
                </c:pt>
              </c:numCache>
            </c:numRef>
          </c:cat>
          <c:val>
            <c:numRef>
              <c:f>Arkusz1!$O$39:$T$39</c:f>
              <c:numCache>
                <c:formatCode>General</c:formatCode>
                <c:ptCount val="6"/>
                <c:pt idx="0">
                  <c:v>56165.780000000006</c:v>
                </c:pt>
                <c:pt idx="1">
                  <c:v>57289.095599999993</c:v>
                </c:pt>
                <c:pt idx="2">
                  <c:v>58434.877512000043</c:v>
                </c:pt>
                <c:pt idx="3">
                  <c:v>59603.575062240008</c:v>
                </c:pt>
                <c:pt idx="4">
                  <c:v>60795.646563484843</c:v>
                </c:pt>
                <c:pt idx="5">
                  <c:v>62011.559494754503</c:v>
                </c:pt>
              </c:numCache>
            </c:numRef>
          </c:val>
          <c:extLst xmlns:c16r2="http://schemas.microsoft.com/office/drawing/2015/06/chart">
            <c:ext xmlns:c16="http://schemas.microsoft.com/office/drawing/2014/chart" uri="{C3380CC4-5D6E-409C-BE32-E72D297353CC}">
              <c16:uniqueId val="{00000001-8736-4A3B-B80D-AF1CB19F3913}"/>
            </c:ext>
          </c:extLst>
        </c:ser>
        <c:ser>
          <c:idx val="2"/>
          <c:order val="2"/>
          <c:tx>
            <c:strRef>
              <c:f>Arkusz1!$N$40</c:f>
              <c:strCache>
                <c:ptCount val="1"/>
                <c:pt idx="0">
                  <c:v>scenariusz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Arkusz1!$O$37:$T$37</c:f>
              <c:numCache>
                <c:formatCode>General</c:formatCode>
                <c:ptCount val="6"/>
                <c:pt idx="0">
                  <c:v>2020</c:v>
                </c:pt>
                <c:pt idx="1">
                  <c:v>2023</c:v>
                </c:pt>
                <c:pt idx="2">
                  <c:v>2026</c:v>
                </c:pt>
                <c:pt idx="3">
                  <c:v>2029</c:v>
                </c:pt>
                <c:pt idx="4">
                  <c:v>2033</c:v>
                </c:pt>
                <c:pt idx="5">
                  <c:v>2036</c:v>
                </c:pt>
              </c:numCache>
            </c:numRef>
          </c:cat>
          <c:val>
            <c:numRef>
              <c:f>Arkusz1!$O$40:$T$40</c:f>
              <c:numCache>
                <c:formatCode>General</c:formatCode>
                <c:ptCount val="6"/>
                <c:pt idx="0">
                  <c:v>56165.780000000006</c:v>
                </c:pt>
                <c:pt idx="1">
                  <c:v>55604.122200000005</c:v>
                </c:pt>
                <c:pt idx="2">
                  <c:v>55048.080978000013</c:v>
                </c:pt>
                <c:pt idx="3">
                  <c:v>54497.600168220008</c:v>
                </c:pt>
                <c:pt idx="4">
                  <c:v>53952.624166537571</c:v>
                </c:pt>
                <c:pt idx="5">
                  <c:v>53413.097924872425</c:v>
                </c:pt>
              </c:numCache>
            </c:numRef>
          </c:val>
          <c:extLst xmlns:c16r2="http://schemas.microsoft.com/office/drawing/2015/06/chart">
            <c:ext xmlns:c16="http://schemas.microsoft.com/office/drawing/2014/chart" uri="{C3380CC4-5D6E-409C-BE32-E72D297353CC}">
              <c16:uniqueId val="{00000002-8736-4A3B-B80D-AF1CB19F3913}"/>
            </c:ext>
          </c:extLst>
        </c:ser>
        <c:marker val="1"/>
        <c:axId val="250900864"/>
        <c:axId val="250902784"/>
      </c:lineChart>
      <c:catAx>
        <c:axId val="250900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902784"/>
        <c:crosses val="autoZero"/>
        <c:auto val="1"/>
        <c:lblAlgn val="ctr"/>
        <c:lblOffset val="100"/>
      </c:catAx>
      <c:valAx>
        <c:axId val="250902784"/>
        <c:scaling>
          <c:orientation val="minMax"/>
          <c:min val="300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9008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Arkusz2!$D$31</c:f>
              <c:strCache>
                <c:ptCount val="1"/>
                <c:pt idx="0">
                  <c:v>scenariusz nr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Arkusz2!$E$30:$J$30</c:f>
              <c:numCache>
                <c:formatCode>General</c:formatCode>
                <c:ptCount val="6"/>
                <c:pt idx="0">
                  <c:v>2020</c:v>
                </c:pt>
                <c:pt idx="1">
                  <c:v>2023</c:v>
                </c:pt>
                <c:pt idx="2">
                  <c:v>2026</c:v>
                </c:pt>
                <c:pt idx="3">
                  <c:v>2029</c:v>
                </c:pt>
                <c:pt idx="4">
                  <c:v>2033</c:v>
                </c:pt>
                <c:pt idx="5">
                  <c:v>2036</c:v>
                </c:pt>
              </c:numCache>
            </c:numRef>
          </c:cat>
          <c:val>
            <c:numRef>
              <c:f>Arkusz2!$E$31:$J$31</c:f>
              <c:numCache>
                <c:formatCode>General</c:formatCode>
                <c:ptCount val="6"/>
                <c:pt idx="0">
                  <c:v>11408.84</c:v>
                </c:pt>
                <c:pt idx="1">
                  <c:v>13413.47890999996</c:v>
                </c:pt>
                <c:pt idx="2">
                  <c:v>15438.164209099999</c:v>
                </c:pt>
                <c:pt idx="3">
                  <c:v>17483.096361190997</c:v>
                </c:pt>
                <c:pt idx="4">
                  <c:v>19548.477834802921</c:v>
                </c:pt>
                <c:pt idx="5">
                  <c:v>21634.513123150937</c:v>
                </c:pt>
              </c:numCache>
            </c:numRef>
          </c:val>
          <c:extLst xmlns:c16r2="http://schemas.microsoft.com/office/drawing/2015/06/chart">
            <c:ext xmlns:c16="http://schemas.microsoft.com/office/drawing/2014/chart" uri="{C3380CC4-5D6E-409C-BE32-E72D297353CC}">
              <c16:uniqueId val="{00000000-08B2-4784-AC71-E9E5FBF2F624}"/>
            </c:ext>
          </c:extLst>
        </c:ser>
        <c:ser>
          <c:idx val="1"/>
          <c:order val="1"/>
          <c:tx>
            <c:strRef>
              <c:f>Arkusz2!$D$32</c:f>
              <c:strCache>
                <c:ptCount val="1"/>
                <c:pt idx="0">
                  <c:v>scenariusz nr 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Arkusz2!$E$30:$J$30</c:f>
              <c:numCache>
                <c:formatCode>General</c:formatCode>
                <c:ptCount val="6"/>
                <c:pt idx="0">
                  <c:v>2020</c:v>
                </c:pt>
                <c:pt idx="1">
                  <c:v>2023</c:v>
                </c:pt>
                <c:pt idx="2">
                  <c:v>2026</c:v>
                </c:pt>
                <c:pt idx="3">
                  <c:v>2029</c:v>
                </c:pt>
                <c:pt idx="4">
                  <c:v>2033</c:v>
                </c:pt>
                <c:pt idx="5">
                  <c:v>2036</c:v>
                </c:pt>
              </c:numCache>
            </c:numRef>
          </c:cat>
          <c:val>
            <c:numRef>
              <c:f>Arkusz2!$E$32:$J$32</c:f>
              <c:numCache>
                <c:formatCode>General</c:formatCode>
                <c:ptCount val="6"/>
                <c:pt idx="0">
                  <c:v>11408.84</c:v>
                </c:pt>
                <c:pt idx="1">
                  <c:v>18584.684004999999</c:v>
                </c:pt>
                <c:pt idx="2">
                  <c:v>24441.874694225025</c:v>
                </c:pt>
                <c:pt idx="3">
                  <c:v>29397.581664697362</c:v>
                </c:pt>
                <c:pt idx="4">
                  <c:v>39089.548229149179</c:v>
                </c:pt>
                <c:pt idx="5">
                  <c:v>38382.352365957093</c:v>
                </c:pt>
              </c:numCache>
            </c:numRef>
          </c:val>
          <c:extLst xmlns:c16r2="http://schemas.microsoft.com/office/drawing/2015/06/chart">
            <c:ext xmlns:c16="http://schemas.microsoft.com/office/drawing/2014/chart" uri="{C3380CC4-5D6E-409C-BE32-E72D297353CC}">
              <c16:uniqueId val="{00000001-08B2-4784-AC71-E9E5FBF2F624}"/>
            </c:ext>
          </c:extLst>
        </c:ser>
        <c:ser>
          <c:idx val="2"/>
          <c:order val="2"/>
          <c:tx>
            <c:strRef>
              <c:f>Arkusz2!$D$33</c:f>
              <c:strCache>
                <c:ptCount val="1"/>
                <c:pt idx="0">
                  <c:v>scenariusz nr 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Arkusz2!$E$30:$J$30</c:f>
              <c:numCache>
                <c:formatCode>General</c:formatCode>
                <c:ptCount val="6"/>
                <c:pt idx="0">
                  <c:v>2020</c:v>
                </c:pt>
                <c:pt idx="1">
                  <c:v>2023</c:v>
                </c:pt>
                <c:pt idx="2">
                  <c:v>2026</c:v>
                </c:pt>
                <c:pt idx="3">
                  <c:v>2029</c:v>
                </c:pt>
                <c:pt idx="4">
                  <c:v>2033</c:v>
                </c:pt>
                <c:pt idx="5">
                  <c:v>2036</c:v>
                </c:pt>
              </c:numCache>
            </c:numRef>
          </c:cat>
          <c:val>
            <c:numRef>
              <c:f>Arkusz2!$E$33:$J$33</c:f>
              <c:numCache>
                <c:formatCode>General</c:formatCode>
                <c:ptCount val="6"/>
                <c:pt idx="0">
                  <c:v>11408.84</c:v>
                </c:pt>
                <c:pt idx="1">
                  <c:v>13310.799349999999</c:v>
                </c:pt>
                <c:pt idx="2">
                  <c:v>15215.687454949999</c:v>
                </c:pt>
                <c:pt idx="3">
                  <c:v>17123.678419946446</c:v>
                </c:pt>
                <c:pt idx="4">
                  <c:v>19034.946787778914</c:v>
                </c:pt>
                <c:pt idx="5">
                  <c:v>20949.667555036856</c:v>
                </c:pt>
              </c:numCache>
            </c:numRef>
          </c:val>
          <c:extLst xmlns:c16r2="http://schemas.microsoft.com/office/drawing/2015/06/chart">
            <c:ext xmlns:c16="http://schemas.microsoft.com/office/drawing/2014/chart" uri="{C3380CC4-5D6E-409C-BE32-E72D297353CC}">
              <c16:uniqueId val="{00000002-08B2-4784-AC71-E9E5FBF2F624}"/>
            </c:ext>
          </c:extLst>
        </c:ser>
        <c:marker val="1"/>
        <c:axId val="250948224"/>
        <c:axId val="250962688"/>
      </c:lineChart>
      <c:catAx>
        <c:axId val="2509482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962688"/>
        <c:crosses val="autoZero"/>
        <c:auto val="1"/>
        <c:lblAlgn val="ctr"/>
        <c:lblOffset val="100"/>
      </c:catAx>
      <c:valAx>
        <c:axId val="250962688"/>
        <c:scaling>
          <c:orientation val="minMax"/>
          <c:min val="500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9482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Arkusz3!$E$28</c:f>
              <c:strCache>
                <c:ptCount val="1"/>
                <c:pt idx="0">
                  <c:v>SCENARIUSZ NR 1</c:v>
                </c:pt>
              </c:strCache>
            </c:strRef>
          </c:tx>
          <c:spPr>
            <a:ln w="28575" cap="rnd">
              <a:solidFill>
                <a:schemeClr val="accent1"/>
              </a:solidFill>
              <a:round/>
            </a:ln>
            <a:effectLst/>
          </c:spPr>
          <c:marker>
            <c:symbol val="none"/>
          </c:marker>
          <c:cat>
            <c:numRef>
              <c:f>Arkusz3!$F$27:$K$27</c:f>
              <c:numCache>
                <c:formatCode>General</c:formatCode>
                <c:ptCount val="6"/>
                <c:pt idx="0">
                  <c:v>2020</c:v>
                </c:pt>
                <c:pt idx="1">
                  <c:v>2023</c:v>
                </c:pt>
                <c:pt idx="2">
                  <c:v>2026</c:v>
                </c:pt>
                <c:pt idx="3">
                  <c:v>2029</c:v>
                </c:pt>
                <c:pt idx="4">
                  <c:v>2033</c:v>
                </c:pt>
                <c:pt idx="5">
                  <c:v>2036</c:v>
                </c:pt>
              </c:numCache>
            </c:numRef>
          </c:cat>
          <c:val>
            <c:numRef>
              <c:f>Arkusz3!$F$28:$K$28</c:f>
              <c:numCache>
                <c:formatCode>General</c:formatCode>
                <c:ptCount val="6"/>
                <c:pt idx="0">
                  <c:v>481.76</c:v>
                </c:pt>
                <c:pt idx="1">
                  <c:v>1488.86</c:v>
                </c:pt>
                <c:pt idx="2">
                  <c:v>2297.7200000000003</c:v>
                </c:pt>
                <c:pt idx="3">
                  <c:v>4005.44</c:v>
                </c:pt>
                <c:pt idx="4">
                  <c:v>7290.88</c:v>
                </c:pt>
                <c:pt idx="5">
                  <c:v>13605.56</c:v>
                </c:pt>
              </c:numCache>
            </c:numRef>
          </c:val>
          <c:extLst xmlns:c16r2="http://schemas.microsoft.com/office/drawing/2015/06/chart">
            <c:ext xmlns:c16="http://schemas.microsoft.com/office/drawing/2014/chart" uri="{C3380CC4-5D6E-409C-BE32-E72D297353CC}">
              <c16:uniqueId val="{00000000-6785-4C99-9C40-97A99319F03E}"/>
            </c:ext>
          </c:extLst>
        </c:ser>
        <c:ser>
          <c:idx val="1"/>
          <c:order val="1"/>
          <c:tx>
            <c:strRef>
              <c:f>Arkusz3!$E$29</c:f>
              <c:strCache>
                <c:ptCount val="1"/>
                <c:pt idx="0">
                  <c:v>SCENARIUSZ NR 2</c:v>
                </c:pt>
              </c:strCache>
            </c:strRef>
          </c:tx>
          <c:spPr>
            <a:ln w="28575" cap="rnd">
              <a:solidFill>
                <a:schemeClr val="accent2"/>
              </a:solidFill>
              <a:round/>
            </a:ln>
            <a:effectLst/>
          </c:spPr>
          <c:marker>
            <c:symbol val="none"/>
          </c:marker>
          <c:cat>
            <c:numRef>
              <c:f>Arkusz3!$F$27:$K$27</c:f>
              <c:numCache>
                <c:formatCode>General</c:formatCode>
                <c:ptCount val="6"/>
                <c:pt idx="0">
                  <c:v>2020</c:v>
                </c:pt>
                <c:pt idx="1">
                  <c:v>2023</c:v>
                </c:pt>
                <c:pt idx="2">
                  <c:v>2026</c:v>
                </c:pt>
                <c:pt idx="3">
                  <c:v>2029</c:v>
                </c:pt>
                <c:pt idx="4">
                  <c:v>2033</c:v>
                </c:pt>
                <c:pt idx="5">
                  <c:v>2036</c:v>
                </c:pt>
              </c:numCache>
            </c:numRef>
          </c:cat>
          <c:val>
            <c:numRef>
              <c:f>Arkusz3!$F$29:$K$29</c:f>
              <c:numCache>
                <c:formatCode>General</c:formatCode>
                <c:ptCount val="6"/>
                <c:pt idx="0">
                  <c:v>481.76</c:v>
                </c:pt>
                <c:pt idx="1">
                  <c:v>1522.6399999999999</c:v>
                </c:pt>
                <c:pt idx="2">
                  <c:v>1933.96</c:v>
                </c:pt>
                <c:pt idx="3">
                  <c:v>2525.94</c:v>
                </c:pt>
                <c:pt idx="4">
                  <c:v>3438.9100000000012</c:v>
                </c:pt>
                <c:pt idx="5">
                  <c:v>4758.3650000000034</c:v>
                </c:pt>
              </c:numCache>
            </c:numRef>
          </c:val>
          <c:extLst xmlns:c16r2="http://schemas.microsoft.com/office/drawing/2015/06/chart">
            <c:ext xmlns:c16="http://schemas.microsoft.com/office/drawing/2014/chart" uri="{C3380CC4-5D6E-409C-BE32-E72D297353CC}">
              <c16:uniqueId val="{00000001-6785-4C99-9C40-97A99319F03E}"/>
            </c:ext>
          </c:extLst>
        </c:ser>
        <c:ser>
          <c:idx val="2"/>
          <c:order val="2"/>
          <c:tx>
            <c:strRef>
              <c:f>Arkusz3!$E$30</c:f>
              <c:strCache>
                <c:ptCount val="1"/>
                <c:pt idx="0">
                  <c:v>SCENRIUSZ NR 3</c:v>
                </c:pt>
              </c:strCache>
            </c:strRef>
          </c:tx>
          <c:spPr>
            <a:ln w="28575" cap="rnd">
              <a:solidFill>
                <a:schemeClr val="accent3"/>
              </a:solidFill>
              <a:round/>
            </a:ln>
            <a:effectLst/>
          </c:spPr>
          <c:marker>
            <c:symbol val="none"/>
          </c:marker>
          <c:cat>
            <c:numRef>
              <c:f>Arkusz3!$F$27:$K$27</c:f>
              <c:numCache>
                <c:formatCode>General</c:formatCode>
                <c:ptCount val="6"/>
                <c:pt idx="0">
                  <c:v>2020</c:v>
                </c:pt>
                <c:pt idx="1">
                  <c:v>2023</c:v>
                </c:pt>
                <c:pt idx="2">
                  <c:v>2026</c:v>
                </c:pt>
                <c:pt idx="3">
                  <c:v>2029</c:v>
                </c:pt>
                <c:pt idx="4">
                  <c:v>2033</c:v>
                </c:pt>
                <c:pt idx="5">
                  <c:v>2036</c:v>
                </c:pt>
              </c:numCache>
            </c:numRef>
          </c:cat>
          <c:val>
            <c:numRef>
              <c:f>Arkusz3!$F$30:$K$30</c:f>
              <c:numCache>
                <c:formatCode>General</c:formatCode>
                <c:ptCount val="6"/>
                <c:pt idx="0">
                  <c:v>481.76</c:v>
                </c:pt>
                <c:pt idx="1">
                  <c:v>576.57760000000007</c:v>
                </c:pt>
                <c:pt idx="2">
                  <c:v>586.44337599999994</c:v>
                </c:pt>
                <c:pt idx="3">
                  <c:v>1196.3578097600011</c:v>
                </c:pt>
                <c:pt idx="4">
                  <c:v>1206.3213878575998</c:v>
                </c:pt>
                <c:pt idx="5">
                  <c:v>1216.334601736176</c:v>
                </c:pt>
              </c:numCache>
            </c:numRef>
          </c:val>
          <c:extLst xmlns:c16r2="http://schemas.microsoft.com/office/drawing/2015/06/chart">
            <c:ext xmlns:c16="http://schemas.microsoft.com/office/drawing/2014/chart" uri="{C3380CC4-5D6E-409C-BE32-E72D297353CC}">
              <c16:uniqueId val="{00000002-6785-4C99-9C40-97A99319F03E}"/>
            </c:ext>
          </c:extLst>
        </c:ser>
        <c:marker val="1"/>
        <c:axId val="250988032"/>
        <c:axId val="250989568"/>
      </c:lineChart>
      <c:catAx>
        <c:axId val="2509880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989568"/>
        <c:crosses val="autoZero"/>
        <c:auto val="1"/>
        <c:lblAlgn val="ctr"/>
        <c:lblOffset val="100"/>
      </c:catAx>
      <c:valAx>
        <c:axId val="250989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50988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chartSpace>
</file>

<file path=word/theme/theme1.xml><?xml version="1.0" encoding="utf-8"?>
<a:theme xmlns:a="http://schemas.openxmlformats.org/drawingml/2006/main" name="Motyw pakietu Office">
  <a:themeElements>
    <a:clrScheme name="Czerwony">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6FD626-97E3-4639-9208-CF90FFF6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89</Pages>
  <Words>21432</Words>
  <Characters>128598</Characters>
  <Application>Microsoft Office Word</Application>
  <DocSecurity>0</DocSecurity>
  <Lines>1071</Lines>
  <Paragraphs>299</Paragraphs>
  <ScaleCrop>false</ScaleCrop>
  <HeadingPairs>
    <vt:vector size="2" baseType="variant">
      <vt:variant>
        <vt:lpstr>Tytuł</vt:lpstr>
      </vt:variant>
      <vt:variant>
        <vt:i4>1</vt:i4>
      </vt:variant>
    </vt:vector>
  </HeadingPairs>
  <TitlesOfParts>
    <vt:vector size="1" baseType="lpstr">
      <vt:lpstr>Projekt założeń do planu zaopatrzenia w ciepło, energię elektryczną i paliwa gazowe dla Gminy WIELICZKI na lata 2025-2035</vt:lpstr>
    </vt:vector>
  </TitlesOfParts>
  <Company/>
  <LinksUpToDate>false</LinksUpToDate>
  <CharactersWithSpaces>149731</CharactersWithSpaces>
  <SharedDoc>false</SharedDoc>
  <HLinks>
    <vt:vector size="738" baseType="variant">
      <vt:variant>
        <vt:i4>1179697</vt:i4>
      </vt:variant>
      <vt:variant>
        <vt:i4>959</vt:i4>
      </vt:variant>
      <vt:variant>
        <vt:i4>0</vt:i4>
      </vt:variant>
      <vt:variant>
        <vt:i4>5</vt:i4>
      </vt:variant>
      <vt:variant>
        <vt:lpwstr/>
      </vt:variant>
      <vt:variant>
        <vt:lpwstr>_Toc433719783</vt:lpwstr>
      </vt:variant>
      <vt:variant>
        <vt:i4>1179697</vt:i4>
      </vt:variant>
      <vt:variant>
        <vt:i4>953</vt:i4>
      </vt:variant>
      <vt:variant>
        <vt:i4>0</vt:i4>
      </vt:variant>
      <vt:variant>
        <vt:i4>5</vt:i4>
      </vt:variant>
      <vt:variant>
        <vt:lpwstr/>
      </vt:variant>
      <vt:variant>
        <vt:lpwstr>_Toc433719782</vt:lpwstr>
      </vt:variant>
      <vt:variant>
        <vt:i4>1179697</vt:i4>
      </vt:variant>
      <vt:variant>
        <vt:i4>947</vt:i4>
      </vt:variant>
      <vt:variant>
        <vt:i4>0</vt:i4>
      </vt:variant>
      <vt:variant>
        <vt:i4>5</vt:i4>
      </vt:variant>
      <vt:variant>
        <vt:lpwstr/>
      </vt:variant>
      <vt:variant>
        <vt:lpwstr>_Toc433719781</vt:lpwstr>
      </vt:variant>
      <vt:variant>
        <vt:i4>1179697</vt:i4>
      </vt:variant>
      <vt:variant>
        <vt:i4>941</vt:i4>
      </vt:variant>
      <vt:variant>
        <vt:i4>0</vt:i4>
      </vt:variant>
      <vt:variant>
        <vt:i4>5</vt:i4>
      </vt:variant>
      <vt:variant>
        <vt:lpwstr/>
      </vt:variant>
      <vt:variant>
        <vt:lpwstr>_Toc433719780</vt:lpwstr>
      </vt:variant>
      <vt:variant>
        <vt:i4>1900593</vt:i4>
      </vt:variant>
      <vt:variant>
        <vt:i4>935</vt:i4>
      </vt:variant>
      <vt:variant>
        <vt:i4>0</vt:i4>
      </vt:variant>
      <vt:variant>
        <vt:i4>5</vt:i4>
      </vt:variant>
      <vt:variant>
        <vt:lpwstr/>
      </vt:variant>
      <vt:variant>
        <vt:lpwstr>_Toc433719779</vt:lpwstr>
      </vt:variant>
      <vt:variant>
        <vt:i4>1900593</vt:i4>
      </vt:variant>
      <vt:variant>
        <vt:i4>929</vt:i4>
      </vt:variant>
      <vt:variant>
        <vt:i4>0</vt:i4>
      </vt:variant>
      <vt:variant>
        <vt:i4>5</vt:i4>
      </vt:variant>
      <vt:variant>
        <vt:lpwstr/>
      </vt:variant>
      <vt:variant>
        <vt:lpwstr>_Toc433719778</vt:lpwstr>
      </vt:variant>
      <vt:variant>
        <vt:i4>1900593</vt:i4>
      </vt:variant>
      <vt:variant>
        <vt:i4>923</vt:i4>
      </vt:variant>
      <vt:variant>
        <vt:i4>0</vt:i4>
      </vt:variant>
      <vt:variant>
        <vt:i4>5</vt:i4>
      </vt:variant>
      <vt:variant>
        <vt:lpwstr/>
      </vt:variant>
      <vt:variant>
        <vt:lpwstr>_Toc433719777</vt:lpwstr>
      </vt:variant>
      <vt:variant>
        <vt:i4>1900593</vt:i4>
      </vt:variant>
      <vt:variant>
        <vt:i4>917</vt:i4>
      </vt:variant>
      <vt:variant>
        <vt:i4>0</vt:i4>
      </vt:variant>
      <vt:variant>
        <vt:i4>5</vt:i4>
      </vt:variant>
      <vt:variant>
        <vt:lpwstr/>
      </vt:variant>
      <vt:variant>
        <vt:lpwstr>_Toc433719776</vt:lpwstr>
      </vt:variant>
      <vt:variant>
        <vt:i4>1900593</vt:i4>
      </vt:variant>
      <vt:variant>
        <vt:i4>911</vt:i4>
      </vt:variant>
      <vt:variant>
        <vt:i4>0</vt:i4>
      </vt:variant>
      <vt:variant>
        <vt:i4>5</vt:i4>
      </vt:variant>
      <vt:variant>
        <vt:lpwstr/>
      </vt:variant>
      <vt:variant>
        <vt:lpwstr>_Toc433719775</vt:lpwstr>
      </vt:variant>
      <vt:variant>
        <vt:i4>1900593</vt:i4>
      </vt:variant>
      <vt:variant>
        <vt:i4>905</vt:i4>
      </vt:variant>
      <vt:variant>
        <vt:i4>0</vt:i4>
      </vt:variant>
      <vt:variant>
        <vt:i4>5</vt:i4>
      </vt:variant>
      <vt:variant>
        <vt:lpwstr/>
      </vt:variant>
      <vt:variant>
        <vt:lpwstr>_Toc433719774</vt:lpwstr>
      </vt:variant>
      <vt:variant>
        <vt:i4>1900593</vt:i4>
      </vt:variant>
      <vt:variant>
        <vt:i4>899</vt:i4>
      </vt:variant>
      <vt:variant>
        <vt:i4>0</vt:i4>
      </vt:variant>
      <vt:variant>
        <vt:i4>5</vt:i4>
      </vt:variant>
      <vt:variant>
        <vt:lpwstr/>
      </vt:variant>
      <vt:variant>
        <vt:lpwstr>_Toc433719773</vt:lpwstr>
      </vt:variant>
      <vt:variant>
        <vt:i4>1900593</vt:i4>
      </vt:variant>
      <vt:variant>
        <vt:i4>893</vt:i4>
      </vt:variant>
      <vt:variant>
        <vt:i4>0</vt:i4>
      </vt:variant>
      <vt:variant>
        <vt:i4>5</vt:i4>
      </vt:variant>
      <vt:variant>
        <vt:lpwstr/>
      </vt:variant>
      <vt:variant>
        <vt:lpwstr>_Toc433719772</vt:lpwstr>
      </vt:variant>
      <vt:variant>
        <vt:i4>1900593</vt:i4>
      </vt:variant>
      <vt:variant>
        <vt:i4>887</vt:i4>
      </vt:variant>
      <vt:variant>
        <vt:i4>0</vt:i4>
      </vt:variant>
      <vt:variant>
        <vt:i4>5</vt:i4>
      </vt:variant>
      <vt:variant>
        <vt:lpwstr/>
      </vt:variant>
      <vt:variant>
        <vt:lpwstr>_Toc433719771</vt:lpwstr>
      </vt:variant>
      <vt:variant>
        <vt:i4>1900593</vt:i4>
      </vt:variant>
      <vt:variant>
        <vt:i4>881</vt:i4>
      </vt:variant>
      <vt:variant>
        <vt:i4>0</vt:i4>
      </vt:variant>
      <vt:variant>
        <vt:i4>5</vt:i4>
      </vt:variant>
      <vt:variant>
        <vt:lpwstr/>
      </vt:variant>
      <vt:variant>
        <vt:lpwstr>_Toc433719770</vt:lpwstr>
      </vt:variant>
      <vt:variant>
        <vt:i4>1835057</vt:i4>
      </vt:variant>
      <vt:variant>
        <vt:i4>875</vt:i4>
      </vt:variant>
      <vt:variant>
        <vt:i4>0</vt:i4>
      </vt:variant>
      <vt:variant>
        <vt:i4>5</vt:i4>
      </vt:variant>
      <vt:variant>
        <vt:lpwstr/>
      </vt:variant>
      <vt:variant>
        <vt:lpwstr>_Toc433719769</vt:lpwstr>
      </vt:variant>
      <vt:variant>
        <vt:i4>1835057</vt:i4>
      </vt:variant>
      <vt:variant>
        <vt:i4>869</vt:i4>
      </vt:variant>
      <vt:variant>
        <vt:i4>0</vt:i4>
      </vt:variant>
      <vt:variant>
        <vt:i4>5</vt:i4>
      </vt:variant>
      <vt:variant>
        <vt:lpwstr/>
      </vt:variant>
      <vt:variant>
        <vt:lpwstr>_Toc433719768</vt:lpwstr>
      </vt:variant>
      <vt:variant>
        <vt:i4>1835057</vt:i4>
      </vt:variant>
      <vt:variant>
        <vt:i4>863</vt:i4>
      </vt:variant>
      <vt:variant>
        <vt:i4>0</vt:i4>
      </vt:variant>
      <vt:variant>
        <vt:i4>5</vt:i4>
      </vt:variant>
      <vt:variant>
        <vt:lpwstr/>
      </vt:variant>
      <vt:variant>
        <vt:lpwstr>_Toc433719767</vt:lpwstr>
      </vt:variant>
      <vt:variant>
        <vt:i4>1835057</vt:i4>
      </vt:variant>
      <vt:variant>
        <vt:i4>857</vt:i4>
      </vt:variant>
      <vt:variant>
        <vt:i4>0</vt:i4>
      </vt:variant>
      <vt:variant>
        <vt:i4>5</vt:i4>
      </vt:variant>
      <vt:variant>
        <vt:lpwstr/>
      </vt:variant>
      <vt:variant>
        <vt:lpwstr>_Toc433719766</vt:lpwstr>
      </vt:variant>
      <vt:variant>
        <vt:i4>1835057</vt:i4>
      </vt:variant>
      <vt:variant>
        <vt:i4>851</vt:i4>
      </vt:variant>
      <vt:variant>
        <vt:i4>0</vt:i4>
      </vt:variant>
      <vt:variant>
        <vt:i4>5</vt:i4>
      </vt:variant>
      <vt:variant>
        <vt:lpwstr/>
      </vt:variant>
      <vt:variant>
        <vt:lpwstr>_Toc433719765</vt:lpwstr>
      </vt:variant>
      <vt:variant>
        <vt:i4>1835057</vt:i4>
      </vt:variant>
      <vt:variant>
        <vt:i4>845</vt:i4>
      </vt:variant>
      <vt:variant>
        <vt:i4>0</vt:i4>
      </vt:variant>
      <vt:variant>
        <vt:i4>5</vt:i4>
      </vt:variant>
      <vt:variant>
        <vt:lpwstr/>
      </vt:variant>
      <vt:variant>
        <vt:lpwstr>_Toc433719764</vt:lpwstr>
      </vt:variant>
      <vt:variant>
        <vt:i4>1835057</vt:i4>
      </vt:variant>
      <vt:variant>
        <vt:i4>839</vt:i4>
      </vt:variant>
      <vt:variant>
        <vt:i4>0</vt:i4>
      </vt:variant>
      <vt:variant>
        <vt:i4>5</vt:i4>
      </vt:variant>
      <vt:variant>
        <vt:lpwstr/>
      </vt:variant>
      <vt:variant>
        <vt:lpwstr>_Toc433719763</vt:lpwstr>
      </vt:variant>
      <vt:variant>
        <vt:i4>1835057</vt:i4>
      </vt:variant>
      <vt:variant>
        <vt:i4>833</vt:i4>
      </vt:variant>
      <vt:variant>
        <vt:i4>0</vt:i4>
      </vt:variant>
      <vt:variant>
        <vt:i4>5</vt:i4>
      </vt:variant>
      <vt:variant>
        <vt:lpwstr/>
      </vt:variant>
      <vt:variant>
        <vt:lpwstr>_Toc433719762</vt:lpwstr>
      </vt:variant>
      <vt:variant>
        <vt:i4>1835057</vt:i4>
      </vt:variant>
      <vt:variant>
        <vt:i4>827</vt:i4>
      </vt:variant>
      <vt:variant>
        <vt:i4>0</vt:i4>
      </vt:variant>
      <vt:variant>
        <vt:i4>5</vt:i4>
      </vt:variant>
      <vt:variant>
        <vt:lpwstr/>
      </vt:variant>
      <vt:variant>
        <vt:lpwstr>_Toc433719761</vt:lpwstr>
      </vt:variant>
      <vt:variant>
        <vt:i4>1835057</vt:i4>
      </vt:variant>
      <vt:variant>
        <vt:i4>821</vt:i4>
      </vt:variant>
      <vt:variant>
        <vt:i4>0</vt:i4>
      </vt:variant>
      <vt:variant>
        <vt:i4>5</vt:i4>
      </vt:variant>
      <vt:variant>
        <vt:lpwstr/>
      </vt:variant>
      <vt:variant>
        <vt:lpwstr>_Toc433719760</vt:lpwstr>
      </vt:variant>
      <vt:variant>
        <vt:i4>2031665</vt:i4>
      </vt:variant>
      <vt:variant>
        <vt:i4>815</vt:i4>
      </vt:variant>
      <vt:variant>
        <vt:i4>0</vt:i4>
      </vt:variant>
      <vt:variant>
        <vt:i4>5</vt:i4>
      </vt:variant>
      <vt:variant>
        <vt:lpwstr/>
      </vt:variant>
      <vt:variant>
        <vt:lpwstr>_Toc433719759</vt:lpwstr>
      </vt:variant>
      <vt:variant>
        <vt:i4>2031665</vt:i4>
      </vt:variant>
      <vt:variant>
        <vt:i4>809</vt:i4>
      </vt:variant>
      <vt:variant>
        <vt:i4>0</vt:i4>
      </vt:variant>
      <vt:variant>
        <vt:i4>5</vt:i4>
      </vt:variant>
      <vt:variant>
        <vt:lpwstr/>
      </vt:variant>
      <vt:variant>
        <vt:lpwstr>_Toc433719758</vt:lpwstr>
      </vt:variant>
      <vt:variant>
        <vt:i4>2031678</vt:i4>
      </vt:variant>
      <vt:variant>
        <vt:i4>800</vt:i4>
      </vt:variant>
      <vt:variant>
        <vt:i4>0</vt:i4>
      </vt:variant>
      <vt:variant>
        <vt:i4>5</vt:i4>
      </vt:variant>
      <vt:variant>
        <vt:lpwstr/>
      </vt:variant>
      <vt:variant>
        <vt:lpwstr>_Toc433784182</vt:lpwstr>
      </vt:variant>
      <vt:variant>
        <vt:i4>2031678</vt:i4>
      </vt:variant>
      <vt:variant>
        <vt:i4>794</vt:i4>
      </vt:variant>
      <vt:variant>
        <vt:i4>0</vt:i4>
      </vt:variant>
      <vt:variant>
        <vt:i4>5</vt:i4>
      </vt:variant>
      <vt:variant>
        <vt:lpwstr/>
      </vt:variant>
      <vt:variant>
        <vt:lpwstr>_Toc433784181</vt:lpwstr>
      </vt:variant>
      <vt:variant>
        <vt:i4>2031678</vt:i4>
      </vt:variant>
      <vt:variant>
        <vt:i4>788</vt:i4>
      </vt:variant>
      <vt:variant>
        <vt:i4>0</vt:i4>
      </vt:variant>
      <vt:variant>
        <vt:i4>5</vt:i4>
      </vt:variant>
      <vt:variant>
        <vt:lpwstr/>
      </vt:variant>
      <vt:variant>
        <vt:lpwstr>_Toc433784180</vt:lpwstr>
      </vt:variant>
      <vt:variant>
        <vt:i4>1048638</vt:i4>
      </vt:variant>
      <vt:variant>
        <vt:i4>782</vt:i4>
      </vt:variant>
      <vt:variant>
        <vt:i4>0</vt:i4>
      </vt:variant>
      <vt:variant>
        <vt:i4>5</vt:i4>
      </vt:variant>
      <vt:variant>
        <vt:lpwstr/>
      </vt:variant>
      <vt:variant>
        <vt:lpwstr>_Toc433784179</vt:lpwstr>
      </vt:variant>
      <vt:variant>
        <vt:i4>1048638</vt:i4>
      </vt:variant>
      <vt:variant>
        <vt:i4>776</vt:i4>
      </vt:variant>
      <vt:variant>
        <vt:i4>0</vt:i4>
      </vt:variant>
      <vt:variant>
        <vt:i4>5</vt:i4>
      </vt:variant>
      <vt:variant>
        <vt:lpwstr/>
      </vt:variant>
      <vt:variant>
        <vt:lpwstr>_Toc433784178</vt:lpwstr>
      </vt:variant>
      <vt:variant>
        <vt:i4>1048638</vt:i4>
      </vt:variant>
      <vt:variant>
        <vt:i4>770</vt:i4>
      </vt:variant>
      <vt:variant>
        <vt:i4>0</vt:i4>
      </vt:variant>
      <vt:variant>
        <vt:i4>5</vt:i4>
      </vt:variant>
      <vt:variant>
        <vt:lpwstr/>
      </vt:variant>
      <vt:variant>
        <vt:lpwstr>_Toc433784177</vt:lpwstr>
      </vt:variant>
      <vt:variant>
        <vt:i4>1048638</vt:i4>
      </vt:variant>
      <vt:variant>
        <vt:i4>764</vt:i4>
      </vt:variant>
      <vt:variant>
        <vt:i4>0</vt:i4>
      </vt:variant>
      <vt:variant>
        <vt:i4>5</vt:i4>
      </vt:variant>
      <vt:variant>
        <vt:lpwstr/>
      </vt:variant>
      <vt:variant>
        <vt:lpwstr>_Toc433784176</vt:lpwstr>
      </vt:variant>
      <vt:variant>
        <vt:i4>1048638</vt:i4>
      </vt:variant>
      <vt:variant>
        <vt:i4>758</vt:i4>
      </vt:variant>
      <vt:variant>
        <vt:i4>0</vt:i4>
      </vt:variant>
      <vt:variant>
        <vt:i4>5</vt:i4>
      </vt:variant>
      <vt:variant>
        <vt:lpwstr/>
      </vt:variant>
      <vt:variant>
        <vt:lpwstr>_Toc433784175</vt:lpwstr>
      </vt:variant>
      <vt:variant>
        <vt:i4>1048638</vt:i4>
      </vt:variant>
      <vt:variant>
        <vt:i4>752</vt:i4>
      </vt:variant>
      <vt:variant>
        <vt:i4>0</vt:i4>
      </vt:variant>
      <vt:variant>
        <vt:i4>5</vt:i4>
      </vt:variant>
      <vt:variant>
        <vt:lpwstr/>
      </vt:variant>
      <vt:variant>
        <vt:lpwstr>_Toc433784174</vt:lpwstr>
      </vt:variant>
      <vt:variant>
        <vt:i4>1048638</vt:i4>
      </vt:variant>
      <vt:variant>
        <vt:i4>746</vt:i4>
      </vt:variant>
      <vt:variant>
        <vt:i4>0</vt:i4>
      </vt:variant>
      <vt:variant>
        <vt:i4>5</vt:i4>
      </vt:variant>
      <vt:variant>
        <vt:lpwstr/>
      </vt:variant>
      <vt:variant>
        <vt:lpwstr>_Toc433784173</vt:lpwstr>
      </vt:variant>
      <vt:variant>
        <vt:i4>1048638</vt:i4>
      </vt:variant>
      <vt:variant>
        <vt:i4>740</vt:i4>
      </vt:variant>
      <vt:variant>
        <vt:i4>0</vt:i4>
      </vt:variant>
      <vt:variant>
        <vt:i4>5</vt:i4>
      </vt:variant>
      <vt:variant>
        <vt:lpwstr/>
      </vt:variant>
      <vt:variant>
        <vt:lpwstr>_Toc433784172</vt:lpwstr>
      </vt:variant>
      <vt:variant>
        <vt:i4>1048638</vt:i4>
      </vt:variant>
      <vt:variant>
        <vt:i4>734</vt:i4>
      </vt:variant>
      <vt:variant>
        <vt:i4>0</vt:i4>
      </vt:variant>
      <vt:variant>
        <vt:i4>5</vt:i4>
      </vt:variant>
      <vt:variant>
        <vt:lpwstr/>
      </vt:variant>
      <vt:variant>
        <vt:lpwstr>_Toc433784171</vt:lpwstr>
      </vt:variant>
      <vt:variant>
        <vt:i4>1048638</vt:i4>
      </vt:variant>
      <vt:variant>
        <vt:i4>728</vt:i4>
      </vt:variant>
      <vt:variant>
        <vt:i4>0</vt:i4>
      </vt:variant>
      <vt:variant>
        <vt:i4>5</vt:i4>
      </vt:variant>
      <vt:variant>
        <vt:lpwstr/>
      </vt:variant>
      <vt:variant>
        <vt:lpwstr>_Toc433784170</vt:lpwstr>
      </vt:variant>
      <vt:variant>
        <vt:i4>1114174</vt:i4>
      </vt:variant>
      <vt:variant>
        <vt:i4>722</vt:i4>
      </vt:variant>
      <vt:variant>
        <vt:i4>0</vt:i4>
      </vt:variant>
      <vt:variant>
        <vt:i4>5</vt:i4>
      </vt:variant>
      <vt:variant>
        <vt:lpwstr/>
      </vt:variant>
      <vt:variant>
        <vt:lpwstr>_Toc433784169</vt:lpwstr>
      </vt:variant>
      <vt:variant>
        <vt:i4>1114174</vt:i4>
      </vt:variant>
      <vt:variant>
        <vt:i4>716</vt:i4>
      </vt:variant>
      <vt:variant>
        <vt:i4>0</vt:i4>
      </vt:variant>
      <vt:variant>
        <vt:i4>5</vt:i4>
      </vt:variant>
      <vt:variant>
        <vt:lpwstr/>
      </vt:variant>
      <vt:variant>
        <vt:lpwstr>_Toc433784168</vt:lpwstr>
      </vt:variant>
      <vt:variant>
        <vt:i4>1114174</vt:i4>
      </vt:variant>
      <vt:variant>
        <vt:i4>710</vt:i4>
      </vt:variant>
      <vt:variant>
        <vt:i4>0</vt:i4>
      </vt:variant>
      <vt:variant>
        <vt:i4>5</vt:i4>
      </vt:variant>
      <vt:variant>
        <vt:lpwstr/>
      </vt:variant>
      <vt:variant>
        <vt:lpwstr>_Toc433784167</vt:lpwstr>
      </vt:variant>
      <vt:variant>
        <vt:i4>1114174</vt:i4>
      </vt:variant>
      <vt:variant>
        <vt:i4>704</vt:i4>
      </vt:variant>
      <vt:variant>
        <vt:i4>0</vt:i4>
      </vt:variant>
      <vt:variant>
        <vt:i4>5</vt:i4>
      </vt:variant>
      <vt:variant>
        <vt:lpwstr/>
      </vt:variant>
      <vt:variant>
        <vt:lpwstr>_Toc433784166</vt:lpwstr>
      </vt:variant>
      <vt:variant>
        <vt:i4>1114174</vt:i4>
      </vt:variant>
      <vt:variant>
        <vt:i4>698</vt:i4>
      </vt:variant>
      <vt:variant>
        <vt:i4>0</vt:i4>
      </vt:variant>
      <vt:variant>
        <vt:i4>5</vt:i4>
      </vt:variant>
      <vt:variant>
        <vt:lpwstr/>
      </vt:variant>
      <vt:variant>
        <vt:lpwstr>_Toc433784165</vt:lpwstr>
      </vt:variant>
      <vt:variant>
        <vt:i4>1114174</vt:i4>
      </vt:variant>
      <vt:variant>
        <vt:i4>692</vt:i4>
      </vt:variant>
      <vt:variant>
        <vt:i4>0</vt:i4>
      </vt:variant>
      <vt:variant>
        <vt:i4>5</vt:i4>
      </vt:variant>
      <vt:variant>
        <vt:lpwstr/>
      </vt:variant>
      <vt:variant>
        <vt:lpwstr>_Toc433784164</vt:lpwstr>
      </vt:variant>
      <vt:variant>
        <vt:i4>1114174</vt:i4>
      </vt:variant>
      <vt:variant>
        <vt:i4>686</vt:i4>
      </vt:variant>
      <vt:variant>
        <vt:i4>0</vt:i4>
      </vt:variant>
      <vt:variant>
        <vt:i4>5</vt:i4>
      </vt:variant>
      <vt:variant>
        <vt:lpwstr/>
      </vt:variant>
      <vt:variant>
        <vt:lpwstr>_Toc433784163</vt:lpwstr>
      </vt:variant>
      <vt:variant>
        <vt:i4>1114174</vt:i4>
      </vt:variant>
      <vt:variant>
        <vt:i4>680</vt:i4>
      </vt:variant>
      <vt:variant>
        <vt:i4>0</vt:i4>
      </vt:variant>
      <vt:variant>
        <vt:i4>5</vt:i4>
      </vt:variant>
      <vt:variant>
        <vt:lpwstr/>
      </vt:variant>
      <vt:variant>
        <vt:lpwstr>_Toc433784162</vt:lpwstr>
      </vt:variant>
      <vt:variant>
        <vt:i4>1114174</vt:i4>
      </vt:variant>
      <vt:variant>
        <vt:i4>674</vt:i4>
      </vt:variant>
      <vt:variant>
        <vt:i4>0</vt:i4>
      </vt:variant>
      <vt:variant>
        <vt:i4>5</vt:i4>
      </vt:variant>
      <vt:variant>
        <vt:lpwstr/>
      </vt:variant>
      <vt:variant>
        <vt:lpwstr>_Toc433784161</vt:lpwstr>
      </vt:variant>
      <vt:variant>
        <vt:i4>1114174</vt:i4>
      </vt:variant>
      <vt:variant>
        <vt:i4>668</vt:i4>
      </vt:variant>
      <vt:variant>
        <vt:i4>0</vt:i4>
      </vt:variant>
      <vt:variant>
        <vt:i4>5</vt:i4>
      </vt:variant>
      <vt:variant>
        <vt:lpwstr/>
      </vt:variant>
      <vt:variant>
        <vt:lpwstr>_Toc433784160</vt:lpwstr>
      </vt:variant>
      <vt:variant>
        <vt:i4>1179710</vt:i4>
      </vt:variant>
      <vt:variant>
        <vt:i4>662</vt:i4>
      </vt:variant>
      <vt:variant>
        <vt:i4>0</vt:i4>
      </vt:variant>
      <vt:variant>
        <vt:i4>5</vt:i4>
      </vt:variant>
      <vt:variant>
        <vt:lpwstr/>
      </vt:variant>
      <vt:variant>
        <vt:lpwstr>_Toc433784159</vt:lpwstr>
      </vt:variant>
      <vt:variant>
        <vt:i4>1179710</vt:i4>
      </vt:variant>
      <vt:variant>
        <vt:i4>656</vt:i4>
      </vt:variant>
      <vt:variant>
        <vt:i4>0</vt:i4>
      </vt:variant>
      <vt:variant>
        <vt:i4>5</vt:i4>
      </vt:variant>
      <vt:variant>
        <vt:lpwstr/>
      </vt:variant>
      <vt:variant>
        <vt:lpwstr>_Toc433784158</vt:lpwstr>
      </vt:variant>
      <vt:variant>
        <vt:i4>1179710</vt:i4>
      </vt:variant>
      <vt:variant>
        <vt:i4>650</vt:i4>
      </vt:variant>
      <vt:variant>
        <vt:i4>0</vt:i4>
      </vt:variant>
      <vt:variant>
        <vt:i4>5</vt:i4>
      </vt:variant>
      <vt:variant>
        <vt:lpwstr/>
      </vt:variant>
      <vt:variant>
        <vt:lpwstr>_Toc433784157</vt:lpwstr>
      </vt:variant>
      <vt:variant>
        <vt:i4>1179710</vt:i4>
      </vt:variant>
      <vt:variant>
        <vt:i4>644</vt:i4>
      </vt:variant>
      <vt:variant>
        <vt:i4>0</vt:i4>
      </vt:variant>
      <vt:variant>
        <vt:i4>5</vt:i4>
      </vt:variant>
      <vt:variant>
        <vt:lpwstr/>
      </vt:variant>
      <vt:variant>
        <vt:lpwstr>_Toc433784156</vt:lpwstr>
      </vt:variant>
      <vt:variant>
        <vt:i4>1179710</vt:i4>
      </vt:variant>
      <vt:variant>
        <vt:i4>638</vt:i4>
      </vt:variant>
      <vt:variant>
        <vt:i4>0</vt:i4>
      </vt:variant>
      <vt:variant>
        <vt:i4>5</vt:i4>
      </vt:variant>
      <vt:variant>
        <vt:lpwstr/>
      </vt:variant>
      <vt:variant>
        <vt:lpwstr>_Toc433784155</vt:lpwstr>
      </vt:variant>
      <vt:variant>
        <vt:i4>1179710</vt:i4>
      </vt:variant>
      <vt:variant>
        <vt:i4>632</vt:i4>
      </vt:variant>
      <vt:variant>
        <vt:i4>0</vt:i4>
      </vt:variant>
      <vt:variant>
        <vt:i4>5</vt:i4>
      </vt:variant>
      <vt:variant>
        <vt:lpwstr/>
      </vt:variant>
      <vt:variant>
        <vt:lpwstr>_Toc433784154</vt:lpwstr>
      </vt:variant>
      <vt:variant>
        <vt:i4>1179710</vt:i4>
      </vt:variant>
      <vt:variant>
        <vt:i4>626</vt:i4>
      </vt:variant>
      <vt:variant>
        <vt:i4>0</vt:i4>
      </vt:variant>
      <vt:variant>
        <vt:i4>5</vt:i4>
      </vt:variant>
      <vt:variant>
        <vt:lpwstr/>
      </vt:variant>
      <vt:variant>
        <vt:lpwstr>_Toc433784153</vt:lpwstr>
      </vt:variant>
      <vt:variant>
        <vt:i4>1179710</vt:i4>
      </vt:variant>
      <vt:variant>
        <vt:i4>620</vt:i4>
      </vt:variant>
      <vt:variant>
        <vt:i4>0</vt:i4>
      </vt:variant>
      <vt:variant>
        <vt:i4>5</vt:i4>
      </vt:variant>
      <vt:variant>
        <vt:lpwstr/>
      </vt:variant>
      <vt:variant>
        <vt:lpwstr>_Toc433784152</vt:lpwstr>
      </vt:variant>
      <vt:variant>
        <vt:i4>1179710</vt:i4>
      </vt:variant>
      <vt:variant>
        <vt:i4>614</vt:i4>
      </vt:variant>
      <vt:variant>
        <vt:i4>0</vt:i4>
      </vt:variant>
      <vt:variant>
        <vt:i4>5</vt:i4>
      </vt:variant>
      <vt:variant>
        <vt:lpwstr/>
      </vt:variant>
      <vt:variant>
        <vt:lpwstr>_Toc433784151</vt:lpwstr>
      </vt:variant>
      <vt:variant>
        <vt:i4>1179710</vt:i4>
      </vt:variant>
      <vt:variant>
        <vt:i4>608</vt:i4>
      </vt:variant>
      <vt:variant>
        <vt:i4>0</vt:i4>
      </vt:variant>
      <vt:variant>
        <vt:i4>5</vt:i4>
      </vt:variant>
      <vt:variant>
        <vt:lpwstr/>
      </vt:variant>
      <vt:variant>
        <vt:lpwstr>_Toc433784150</vt:lpwstr>
      </vt:variant>
      <vt:variant>
        <vt:i4>1245246</vt:i4>
      </vt:variant>
      <vt:variant>
        <vt:i4>602</vt:i4>
      </vt:variant>
      <vt:variant>
        <vt:i4>0</vt:i4>
      </vt:variant>
      <vt:variant>
        <vt:i4>5</vt:i4>
      </vt:variant>
      <vt:variant>
        <vt:lpwstr/>
      </vt:variant>
      <vt:variant>
        <vt:lpwstr>_Toc433784149</vt:lpwstr>
      </vt:variant>
      <vt:variant>
        <vt:i4>1245246</vt:i4>
      </vt:variant>
      <vt:variant>
        <vt:i4>596</vt:i4>
      </vt:variant>
      <vt:variant>
        <vt:i4>0</vt:i4>
      </vt:variant>
      <vt:variant>
        <vt:i4>5</vt:i4>
      </vt:variant>
      <vt:variant>
        <vt:lpwstr/>
      </vt:variant>
      <vt:variant>
        <vt:lpwstr>_Toc433784148</vt:lpwstr>
      </vt:variant>
      <vt:variant>
        <vt:i4>1245246</vt:i4>
      </vt:variant>
      <vt:variant>
        <vt:i4>590</vt:i4>
      </vt:variant>
      <vt:variant>
        <vt:i4>0</vt:i4>
      </vt:variant>
      <vt:variant>
        <vt:i4>5</vt:i4>
      </vt:variant>
      <vt:variant>
        <vt:lpwstr/>
      </vt:variant>
      <vt:variant>
        <vt:lpwstr>_Toc433784147</vt:lpwstr>
      </vt:variant>
      <vt:variant>
        <vt:i4>1245246</vt:i4>
      </vt:variant>
      <vt:variant>
        <vt:i4>584</vt:i4>
      </vt:variant>
      <vt:variant>
        <vt:i4>0</vt:i4>
      </vt:variant>
      <vt:variant>
        <vt:i4>5</vt:i4>
      </vt:variant>
      <vt:variant>
        <vt:lpwstr/>
      </vt:variant>
      <vt:variant>
        <vt:lpwstr>_Toc433784146</vt:lpwstr>
      </vt:variant>
      <vt:variant>
        <vt:i4>2687074</vt:i4>
      </vt:variant>
      <vt:variant>
        <vt:i4>561</vt:i4>
      </vt:variant>
      <vt:variant>
        <vt:i4>0</vt:i4>
      </vt:variant>
      <vt:variant>
        <vt:i4>5</vt:i4>
      </vt:variant>
      <vt:variant>
        <vt:lpwstr>http://www.energies-renouvelables.org/observ-er/stat_baro/observ/baro221_en.pdf</vt:lpwstr>
      </vt:variant>
      <vt:variant>
        <vt:lpwstr/>
      </vt:variant>
      <vt:variant>
        <vt:i4>5898261</vt:i4>
      </vt:variant>
      <vt:variant>
        <vt:i4>555</vt:i4>
      </vt:variant>
      <vt:variant>
        <vt:i4>0</vt:i4>
      </vt:variant>
      <vt:variant>
        <vt:i4>5</vt:i4>
      </vt:variant>
      <vt:variant>
        <vt:lpwstr>http://www.energies-renouvelables.org/observ-er/stat_baro/observ/baro-jdp11_en.pdf</vt:lpwstr>
      </vt:variant>
      <vt:variant>
        <vt:lpwstr/>
      </vt:variant>
      <vt:variant>
        <vt:i4>917577</vt:i4>
      </vt:variant>
      <vt:variant>
        <vt:i4>549</vt:i4>
      </vt:variant>
      <vt:variant>
        <vt:i4>0</vt:i4>
      </vt:variant>
      <vt:variant>
        <vt:i4>5</vt:i4>
      </vt:variant>
      <vt:variant>
        <vt:lpwstr>http://maps.igipz.pan.pl/aims</vt:lpwstr>
      </vt:variant>
      <vt:variant>
        <vt:lpwstr/>
      </vt:variant>
      <vt:variant>
        <vt:i4>1048638</vt:i4>
      </vt:variant>
      <vt:variant>
        <vt:i4>338</vt:i4>
      </vt:variant>
      <vt:variant>
        <vt:i4>0</vt:i4>
      </vt:variant>
      <vt:variant>
        <vt:i4>5</vt:i4>
      </vt:variant>
      <vt:variant>
        <vt:lpwstr/>
      </vt:variant>
      <vt:variant>
        <vt:lpwstr>_Toc433783106</vt:lpwstr>
      </vt:variant>
      <vt:variant>
        <vt:i4>1048638</vt:i4>
      </vt:variant>
      <vt:variant>
        <vt:i4>332</vt:i4>
      </vt:variant>
      <vt:variant>
        <vt:i4>0</vt:i4>
      </vt:variant>
      <vt:variant>
        <vt:i4>5</vt:i4>
      </vt:variant>
      <vt:variant>
        <vt:lpwstr/>
      </vt:variant>
      <vt:variant>
        <vt:lpwstr>_Toc433783105</vt:lpwstr>
      </vt:variant>
      <vt:variant>
        <vt:i4>1048638</vt:i4>
      </vt:variant>
      <vt:variant>
        <vt:i4>326</vt:i4>
      </vt:variant>
      <vt:variant>
        <vt:i4>0</vt:i4>
      </vt:variant>
      <vt:variant>
        <vt:i4>5</vt:i4>
      </vt:variant>
      <vt:variant>
        <vt:lpwstr/>
      </vt:variant>
      <vt:variant>
        <vt:lpwstr>_Toc433783104</vt:lpwstr>
      </vt:variant>
      <vt:variant>
        <vt:i4>1048638</vt:i4>
      </vt:variant>
      <vt:variant>
        <vt:i4>320</vt:i4>
      </vt:variant>
      <vt:variant>
        <vt:i4>0</vt:i4>
      </vt:variant>
      <vt:variant>
        <vt:i4>5</vt:i4>
      </vt:variant>
      <vt:variant>
        <vt:lpwstr/>
      </vt:variant>
      <vt:variant>
        <vt:lpwstr>_Toc433783103</vt:lpwstr>
      </vt:variant>
      <vt:variant>
        <vt:i4>1048638</vt:i4>
      </vt:variant>
      <vt:variant>
        <vt:i4>314</vt:i4>
      </vt:variant>
      <vt:variant>
        <vt:i4>0</vt:i4>
      </vt:variant>
      <vt:variant>
        <vt:i4>5</vt:i4>
      </vt:variant>
      <vt:variant>
        <vt:lpwstr/>
      </vt:variant>
      <vt:variant>
        <vt:lpwstr>_Toc433783102</vt:lpwstr>
      </vt:variant>
      <vt:variant>
        <vt:i4>1048638</vt:i4>
      </vt:variant>
      <vt:variant>
        <vt:i4>308</vt:i4>
      </vt:variant>
      <vt:variant>
        <vt:i4>0</vt:i4>
      </vt:variant>
      <vt:variant>
        <vt:i4>5</vt:i4>
      </vt:variant>
      <vt:variant>
        <vt:lpwstr/>
      </vt:variant>
      <vt:variant>
        <vt:lpwstr>_Toc433783101</vt:lpwstr>
      </vt:variant>
      <vt:variant>
        <vt:i4>1048638</vt:i4>
      </vt:variant>
      <vt:variant>
        <vt:i4>302</vt:i4>
      </vt:variant>
      <vt:variant>
        <vt:i4>0</vt:i4>
      </vt:variant>
      <vt:variant>
        <vt:i4>5</vt:i4>
      </vt:variant>
      <vt:variant>
        <vt:lpwstr/>
      </vt:variant>
      <vt:variant>
        <vt:lpwstr>_Toc433783100</vt:lpwstr>
      </vt:variant>
      <vt:variant>
        <vt:i4>1638463</vt:i4>
      </vt:variant>
      <vt:variant>
        <vt:i4>296</vt:i4>
      </vt:variant>
      <vt:variant>
        <vt:i4>0</vt:i4>
      </vt:variant>
      <vt:variant>
        <vt:i4>5</vt:i4>
      </vt:variant>
      <vt:variant>
        <vt:lpwstr/>
      </vt:variant>
      <vt:variant>
        <vt:lpwstr>_Toc433783099</vt:lpwstr>
      </vt:variant>
      <vt:variant>
        <vt:i4>1638463</vt:i4>
      </vt:variant>
      <vt:variant>
        <vt:i4>290</vt:i4>
      </vt:variant>
      <vt:variant>
        <vt:i4>0</vt:i4>
      </vt:variant>
      <vt:variant>
        <vt:i4>5</vt:i4>
      </vt:variant>
      <vt:variant>
        <vt:lpwstr/>
      </vt:variant>
      <vt:variant>
        <vt:lpwstr>_Toc433783098</vt:lpwstr>
      </vt:variant>
      <vt:variant>
        <vt:i4>1638463</vt:i4>
      </vt:variant>
      <vt:variant>
        <vt:i4>284</vt:i4>
      </vt:variant>
      <vt:variant>
        <vt:i4>0</vt:i4>
      </vt:variant>
      <vt:variant>
        <vt:i4>5</vt:i4>
      </vt:variant>
      <vt:variant>
        <vt:lpwstr/>
      </vt:variant>
      <vt:variant>
        <vt:lpwstr>_Toc433783097</vt:lpwstr>
      </vt:variant>
      <vt:variant>
        <vt:i4>1638463</vt:i4>
      </vt:variant>
      <vt:variant>
        <vt:i4>278</vt:i4>
      </vt:variant>
      <vt:variant>
        <vt:i4>0</vt:i4>
      </vt:variant>
      <vt:variant>
        <vt:i4>5</vt:i4>
      </vt:variant>
      <vt:variant>
        <vt:lpwstr/>
      </vt:variant>
      <vt:variant>
        <vt:lpwstr>_Toc433783096</vt:lpwstr>
      </vt:variant>
      <vt:variant>
        <vt:i4>1638463</vt:i4>
      </vt:variant>
      <vt:variant>
        <vt:i4>272</vt:i4>
      </vt:variant>
      <vt:variant>
        <vt:i4>0</vt:i4>
      </vt:variant>
      <vt:variant>
        <vt:i4>5</vt:i4>
      </vt:variant>
      <vt:variant>
        <vt:lpwstr/>
      </vt:variant>
      <vt:variant>
        <vt:lpwstr>_Toc433783095</vt:lpwstr>
      </vt:variant>
      <vt:variant>
        <vt:i4>1638463</vt:i4>
      </vt:variant>
      <vt:variant>
        <vt:i4>266</vt:i4>
      </vt:variant>
      <vt:variant>
        <vt:i4>0</vt:i4>
      </vt:variant>
      <vt:variant>
        <vt:i4>5</vt:i4>
      </vt:variant>
      <vt:variant>
        <vt:lpwstr/>
      </vt:variant>
      <vt:variant>
        <vt:lpwstr>_Toc433783094</vt:lpwstr>
      </vt:variant>
      <vt:variant>
        <vt:i4>1638463</vt:i4>
      </vt:variant>
      <vt:variant>
        <vt:i4>260</vt:i4>
      </vt:variant>
      <vt:variant>
        <vt:i4>0</vt:i4>
      </vt:variant>
      <vt:variant>
        <vt:i4>5</vt:i4>
      </vt:variant>
      <vt:variant>
        <vt:lpwstr/>
      </vt:variant>
      <vt:variant>
        <vt:lpwstr>_Toc433783093</vt:lpwstr>
      </vt:variant>
      <vt:variant>
        <vt:i4>1638463</vt:i4>
      </vt:variant>
      <vt:variant>
        <vt:i4>254</vt:i4>
      </vt:variant>
      <vt:variant>
        <vt:i4>0</vt:i4>
      </vt:variant>
      <vt:variant>
        <vt:i4>5</vt:i4>
      </vt:variant>
      <vt:variant>
        <vt:lpwstr/>
      </vt:variant>
      <vt:variant>
        <vt:lpwstr>_Toc433783092</vt:lpwstr>
      </vt:variant>
      <vt:variant>
        <vt:i4>1638463</vt:i4>
      </vt:variant>
      <vt:variant>
        <vt:i4>248</vt:i4>
      </vt:variant>
      <vt:variant>
        <vt:i4>0</vt:i4>
      </vt:variant>
      <vt:variant>
        <vt:i4>5</vt:i4>
      </vt:variant>
      <vt:variant>
        <vt:lpwstr/>
      </vt:variant>
      <vt:variant>
        <vt:lpwstr>_Toc433783091</vt:lpwstr>
      </vt:variant>
      <vt:variant>
        <vt:i4>1638463</vt:i4>
      </vt:variant>
      <vt:variant>
        <vt:i4>242</vt:i4>
      </vt:variant>
      <vt:variant>
        <vt:i4>0</vt:i4>
      </vt:variant>
      <vt:variant>
        <vt:i4>5</vt:i4>
      </vt:variant>
      <vt:variant>
        <vt:lpwstr/>
      </vt:variant>
      <vt:variant>
        <vt:lpwstr>_Toc433783090</vt:lpwstr>
      </vt:variant>
      <vt:variant>
        <vt:i4>1572927</vt:i4>
      </vt:variant>
      <vt:variant>
        <vt:i4>236</vt:i4>
      </vt:variant>
      <vt:variant>
        <vt:i4>0</vt:i4>
      </vt:variant>
      <vt:variant>
        <vt:i4>5</vt:i4>
      </vt:variant>
      <vt:variant>
        <vt:lpwstr/>
      </vt:variant>
      <vt:variant>
        <vt:lpwstr>_Toc433783089</vt:lpwstr>
      </vt:variant>
      <vt:variant>
        <vt:i4>1572927</vt:i4>
      </vt:variant>
      <vt:variant>
        <vt:i4>230</vt:i4>
      </vt:variant>
      <vt:variant>
        <vt:i4>0</vt:i4>
      </vt:variant>
      <vt:variant>
        <vt:i4>5</vt:i4>
      </vt:variant>
      <vt:variant>
        <vt:lpwstr/>
      </vt:variant>
      <vt:variant>
        <vt:lpwstr>_Toc433783088</vt:lpwstr>
      </vt:variant>
      <vt:variant>
        <vt:i4>1572927</vt:i4>
      </vt:variant>
      <vt:variant>
        <vt:i4>224</vt:i4>
      </vt:variant>
      <vt:variant>
        <vt:i4>0</vt:i4>
      </vt:variant>
      <vt:variant>
        <vt:i4>5</vt:i4>
      </vt:variant>
      <vt:variant>
        <vt:lpwstr/>
      </vt:variant>
      <vt:variant>
        <vt:lpwstr>_Toc433783087</vt:lpwstr>
      </vt:variant>
      <vt:variant>
        <vt:i4>1572927</vt:i4>
      </vt:variant>
      <vt:variant>
        <vt:i4>218</vt:i4>
      </vt:variant>
      <vt:variant>
        <vt:i4>0</vt:i4>
      </vt:variant>
      <vt:variant>
        <vt:i4>5</vt:i4>
      </vt:variant>
      <vt:variant>
        <vt:lpwstr/>
      </vt:variant>
      <vt:variant>
        <vt:lpwstr>_Toc433783086</vt:lpwstr>
      </vt:variant>
      <vt:variant>
        <vt:i4>1572927</vt:i4>
      </vt:variant>
      <vt:variant>
        <vt:i4>212</vt:i4>
      </vt:variant>
      <vt:variant>
        <vt:i4>0</vt:i4>
      </vt:variant>
      <vt:variant>
        <vt:i4>5</vt:i4>
      </vt:variant>
      <vt:variant>
        <vt:lpwstr/>
      </vt:variant>
      <vt:variant>
        <vt:lpwstr>_Toc433783085</vt:lpwstr>
      </vt:variant>
      <vt:variant>
        <vt:i4>1572927</vt:i4>
      </vt:variant>
      <vt:variant>
        <vt:i4>206</vt:i4>
      </vt:variant>
      <vt:variant>
        <vt:i4>0</vt:i4>
      </vt:variant>
      <vt:variant>
        <vt:i4>5</vt:i4>
      </vt:variant>
      <vt:variant>
        <vt:lpwstr/>
      </vt:variant>
      <vt:variant>
        <vt:lpwstr>_Toc433783084</vt:lpwstr>
      </vt:variant>
      <vt:variant>
        <vt:i4>1572927</vt:i4>
      </vt:variant>
      <vt:variant>
        <vt:i4>200</vt:i4>
      </vt:variant>
      <vt:variant>
        <vt:i4>0</vt:i4>
      </vt:variant>
      <vt:variant>
        <vt:i4>5</vt:i4>
      </vt:variant>
      <vt:variant>
        <vt:lpwstr/>
      </vt:variant>
      <vt:variant>
        <vt:lpwstr>_Toc433783083</vt:lpwstr>
      </vt:variant>
      <vt:variant>
        <vt:i4>1572927</vt:i4>
      </vt:variant>
      <vt:variant>
        <vt:i4>194</vt:i4>
      </vt:variant>
      <vt:variant>
        <vt:i4>0</vt:i4>
      </vt:variant>
      <vt:variant>
        <vt:i4>5</vt:i4>
      </vt:variant>
      <vt:variant>
        <vt:lpwstr/>
      </vt:variant>
      <vt:variant>
        <vt:lpwstr>_Toc433783082</vt:lpwstr>
      </vt:variant>
      <vt:variant>
        <vt:i4>1572927</vt:i4>
      </vt:variant>
      <vt:variant>
        <vt:i4>188</vt:i4>
      </vt:variant>
      <vt:variant>
        <vt:i4>0</vt:i4>
      </vt:variant>
      <vt:variant>
        <vt:i4>5</vt:i4>
      </vt:variant>
      <vt:variant>
        <vt:lpwstr/>
      </vt:variant>
      <vt:variant>
        <vt:lpwstr>_Toc433783081</vt:lpwstr>
      </vt:variant>
      <vt:variant>
        <vt:i4>1572927</vt:i4>
      </vt:variant>
      <vt:variant>
        <vt:i4>182</vt:i4>
      </vt:variant>
      <vt:variant>
        <vt:i4>0</vt:i4>
      </vt:variant>
      <vt:variant>
        <vt:i4>5</vt:i4>
      </vt:variant>
      <vt:variant>
        <vt:lpwstr/>
      </vt:variant>
      <vt:variant>
        <vt:lpwstr>_Toc433783080</vt:lpwstr>
      </vt:variant>
      <vt:variant>
        <vt:i4>1507391</vt:i4>
      </vt:variant>
      <vt:variant>
        <vt:i4>176</vt:i4>
      </vt:variant>
      <vt:variant>
        <vt:i4>0</vt:i4>
      </vt:variant>
      <vt:variant>
        <vt:i4>5</vt:i4>
      </vt:variant>
      <vt:variant>
        <vt:lpwstr/>
      </vt:variant>
      <vt:variant>
        <vt:lpwstr>_Toc433783079</vt:lpwstr>
      </vt:variant>
      <vt:variant>
        <vt:i4>1507391</vt:i4>
      </vt:variant>
      <vt:variant>
        <vt:i4>170</vt:i4>
      </vt:variant>
      <vt:variant>
        <vt:i4>0</vt:i4>
      </vt:variant>
      <vt:variant>
        <vt:i4>5</vt:i4>
      </vt:variant>
      <vt:variant>
        <vt:lpwstr/>
      </vt:variant>
      <vt:variant>
        <vt:lpwstr>_Toc433783078</vt:lpwstr>
      </vt:variant>
      <vt:variant>
        <vt:i4>1507391</vt:i4>
      </vt:variant>
      <vt:variant>
        <vt:i4>164</vt:i4>
      </vt:variant>
      <vt:variant>
        <vt:i4>0</vt:i4>
      </vt:variant>
      <vt:variant>
        <vt:i4>5</vt:i4>
      </vt:variant>
      <vt:variant>
        <vt:lpwstr/>
      </vt:variant>
      <vt:variant>
        <vt:lpwstr>_Toc433783077</vt:lpwstr>
      </vt:variant>
      <vt:variant>
        <vt:i4>1507391</vt:i4>
      </vt:variant>
      <vt:variant>
        <vt:i4>158</vt:i4>
      </vt:variant>
      <vt:variant>
        <vt:i4>0</vt:i4>
      </vt:variant>
      <vt:variant>
        <vt:i4>5</vt:i4>
      </vt:variant>
      <vt:variant>
        <vt:lpwstr/>
      </vt:variant>
      <vt:variant>
        <vt:lpwstr>_Toc433783076</vt:lpwstr>
      </vt:variant>
      <vt:variant>
        <vt:i4>1507391</vt:i4>
      </vt:variant>
      <vt:variant>
        <vt:i4>152</vt:i4>
      </vt:variant>
      <vt:variant>
        <vt:i4>0</vt:i4>
      </vt:variant>
      <vt:variant>
        <vt:i4>5</vt:i4>
      </vt:variant>
      <vt:variant>
        <vt:lpwstr/>
      </vt:variant>
      <vt:variant>
        <vt:lpwstr>_Toc433783075</vt:lpwstr>
      </vt:variant>
      <vt:variant>
        <vt:i4>1507391</vt:i4>
      </vt:variant>
      <vt:variant>
        <vt:i4>146</vt:i4>
      </vt:variant>
      <vt:variant>
        <vt:i4>0</vt:i4>
      </vt:variant>
      <vt:variant>
        <vt:i4>5</vt:i4>
      </vt:variant>
      <vt:variant>
        <vt:lpwstr/>
      </vt:variant>
      <vt:variant>
        <vt:lpwstr>_Toc433783074</vt:lpwstr>
      </vt:variant>
      <vt:variant>
        <vt:i4>1507391</vt:i4>
      </vt:variant>
      <vt:variant>
        <vt:i4>140</vt:i4>
      </vt:variant>
      <vt:variant>
        <vt:i4>0</vt:i4>
      </vt:variant>
      <vt:variant>
        <vt:i4>5</vt:i4>
      </vt:variant>
      <vt:variant>
        <vt:lpwstr/>
      </vt:variant>
      <vt:variant>
        <vt:lpwstr>_Toc433783073</vt:lpwstr>
      </vt:variant>
      <vt:variant>
        <vt:i4>1507391</vt:i4>
      </vt:variant>
      <vt:variant>
        <vt:i4>134</vt:i4>
      </vt:variant>
      <vt:variant>
        <vt:i4>0</vt:i4>
      </vt:variant>
      <vt:variant>
        <vt:i4>5</vt:i4>
      </vt:variant>
      <vt:variant>
        <vt:lpwstr/>
      </vt:variant>
      <vt:variant>
        <vt:lpwstr>_Toc433783072</vt:lpwstr>
      </vt:variant>
      <vt:variant>
        <vt:i4>1507391</vt:i4>
      </vt:variant>
      <vt:variant>
        <vt:i4>128</vt:i4>
      </vt:variant>
      <vt:variant>
        <vt:i4>0</vt:i4>
      </vt:variant>
      <vt:variant>
        <vt:i4>5</vt:i4>
      </vt:variant>
      <vt:variant>
        <vt:lpwstr/>
      </vt:variant>
      <vt:variant>
        <vt:lpwstr>_Toc433783071</vt:lpwstr>
      </vt:variant>
      <vt:variant>
        <vt:i4>1507391</vt:i4>
      </vt:variant>
      <vt:variant>
        <vt:i4>122</vt:i4>
      </vt:variant>
      <vt:variant>
        <vt:i4>0</vt:i4>
      </vt:variant>
      <vt:variant>
        <vt:i4>5</vt:i4>
      </vt:variant>
      <vt:variant>
        <vt:lpwstr/>
      </vt:variant>
      <vt:variant>
        <vt:lpwstr>_Toc433783070</vt:lpwstr>
      </vt:variant>
      <vt:variant>
        <vt:i4>1441855</vt:i4>
      </vt:variant>
      <vt:variant>
        <vt:i4>116</vt:i4>
      </vt:variant>
      <vt:variant>
        <vt:i4>0</vt:i4>
      </vt:variant>
      <vt:variant>
        <vt:i4>5</vt:i4>
      </vt:variant>
      <vt:variant>
        <vt:lpwstr/>
      </vt:variant>
      <vt:variant>
        <vt:lpwstr>_Toc433783069</vt:lpwstr>
      </vt:variant>
      <vt:variant>
        <vt:i4>1441855</vt:i4>
      </vt:variant>
      <vt:variant>
        <vt:i4>110</vt:i4>
      </vt:variant>
      <vt:variant>
        <vt:i4>0</vt:i4>
      </vt:variant>
      <vt:variant>
        <vt:i4>5</vt:i4>
      </vt:variant>
      <vt:variant>
        <vt:lpwstr/>
      </vt:variant>
      <vt:variant>
        <vt:lpwstr>_Toc433783068</vt:lpwstr>
      </vt:variant>
      <vt:variant>
        <vt:i4>1441855</vt:i4>
      </vt:variant>
      <vt:variant>
        <vt:i4>104</vt:i4>
      </vt:variant>
      <vt:variant>
        <vt:i4>0</vt:i4>
      </vt:variant>
      <vt:variant>
        <vt:i4>5</vt:i4>
      </vt:variant>
      <vt:variant>
        <vt:lpwstr/>
      </vt:variant>
      <vt:variant>
        <vt:lpwstr>_Toc433783067</vt:lpwstr>
      </vt:variant>
      <vt:variant>
        <vt:i4>1441855</vt:i4>
      </vt:variant>
      <vt:variant>
        <vt:i4>98</vt:i4>
      </vt:variant>
      <vt:variant>
        <vt:i4>0</vt:i4>
      </vt:variant>
      <vt:variant>
        <vt:i4>5</vt:i4>
      </vt:variant>
      <vt:variant>
        <vt:lpwstr/>
      </vt:variant>
      <vt:variant>
        <vt:lpwstr>_Toc433783066</vt:lpwstr>
      </vt:variant>
      <vt:variant>
        <vt:i4>1441855</vt:i4>
      </vt:variant>
      <vt:variant>
        <vt:i4>92</vt:i4>
      </vt:variant>
      <vt:variant>
        <vt:i4>0</vt:i4>
      </vt:variant>
      <vt:variant>
        <vt:i4>5</vt:i4>
      </vt:variant>
      <vt:variant>
        <vt:lpwstr/>
      </vt:variant>
      <vt:variant>
        <vt:lpwstr>_Toc433783065</vt:lpwstr>
      </vt:variant>
      <vt:variant>
        <vt:i4>1441855</vt:i4>
      </vt:variant>
      <vt:variant>
        <vt:i4>86</vt:i4>
      </vt:variant>
      <vt:variant>
        <vt:i4>0</vt:i4>
      </vt:variant>
      <vt:variant>
        <vt:i4>5</vt:i4>
      </vt:variant>
      <vt:variant>
        <vt:lpwstr/>
      </vt:variant>
      <vt:variant>
        <vt:lpwstr>_Toc433783064</vt:lpwstr>
      </vt:variant>
      <vt:variant>
        <vt:i4>1441855</vt:i4>
      </vt:variant>
      <vt:variant>
        <vt:i4>80</vt:i4>
      </vt:variant>
      <vt:variant>
        <vt:i4>0</vt:i4>
      </vt:variant>
      <vt:variant>
        <vt:i4>5</vt:i4>
      </vt:variant>
      <vt:variant>
        <vt:lpwstr/>
      </vt:variant>
      <vt:variant>
        <vt:lpwstr>_Toc433783063</vt:lpwstr>
      </vt:variant>
      <vt:variant>
        <vt:i4>1441855</vt:i4>
      </vt:variant>
      <vt:variant>
        <vt:i4>74</vt:i4>
      </vt:variant>
      <vt:variant>
        <vt:i4>0</vt:i4>
      </vt:variant>
      <vt:variant>
        <vt:i4>5</vt:i4>
      </vt:variant>
      <vt:variant>
        <vt:lpwstr/>
      </vt:variant>
      <vt:variant>
        <vt:lpwstr>_Toc433783062</vt:lpwstr>
      </vt:variant>
      <vt:variant>
        <vt:i4>1441855</vt:i4>
      </vt:variant>
      <vt:variant>
        <vt:i4>68</vt:i4>
      </vt:variant>
      <vt:variant>
        <vt:i4>0</vt:i4>
      </vt:variant>
      <vt:variant>
        <vt:i4>5</vt:i4>
      </vt:variant>
      <vt:variant>
        <vt:lpwstr/>
      </vt:variant>
      <vt:variant>
        <vt:lpwstr>_Toc433783061</vt:lpwstr>
      </vt:variant>
      <vt:variant>
        <vt:i4>1441855</vt:i4>
      </vt:variant>
      <vt:variant>
        <vt:i4>62</vt:i4>
      </vt:variant>
      <vt:variant>
        <vt:i4>0</vt:i4>
      </vt:variant>
      <vt:variant>
        <vt:i4>5</vt:i4>
      </vt:variant>
      <vt:variant>
        <vt:lpwstr/>
      </vt:variant>
      <vt:variant>
        <vt:lpwstr>_Toc433783060</vt:lpwstr>
      </vt:variant>
      <vt:variant>
        <vt:i4>1376319</vt:i4>
      </vt:variant>
      <vt:variant>
        <vt:i4>56</vt:i4>
      </vt:variant>
      <vt:variant>
        <vt:i4>0</vt:i4>
      </vt:variant>
      <vt:variant>
        <vt:i4>5</vt:i4>
      </vt:variant>
      <vt:variant>
        <vt:lpwstr/>
      </vt:variant>
      <vt:variant>
        <vt:lpwstr>_Toc433783059</vt:lpwstr>
      </vt:variant>
      <vt:variant>
        <vt:i4>1376319</vt:i4>
      </vt:variant>
      <vt:variant>
        <vt:i4>50</vt:i4>
      </vt:variant>
      <vt:variant>
        <vt:i4>0</vt:i4>
      </vt:variant>
      <vt:variant>
        <vt:i4>5</vt:i4>
      </vt:variant>
      <vt:variant>
        <vt:lpwstr/>
      </vt:variant>
      <vt:variant>
        <vt:lpwstr>_Toc433783058</vt:lpwstr>
      </vt:variant>
      <vt:variant>
        <vt:i4>1376319</vt:i4>
      </vt:variant>
      <vt:variant>
        <vt:i4>44</vt:i4>
      </vt:variant>
      <vt:variant>
        <vt:i4>0</vt:i4>
      </vt:variant>
      <vt:variant>
        <vt:i4>5</vt:i4>
      </vt:variant>
      <vt:variant>
        <vt:lpwstr/>
      </vt:variant>
      <vt:variant>
        <vt:lpwstr>_Toc433783057</vt:lpwstr>
      </vt:variant>
      <vt:variant>
        <vt:i4>1376319</vt:i4>
      </vt:variant>
      <vt:variant>
        <vt:i4>38</vt:i4>
      </vt:variant>
      <vt:variant>
        <vt:i4>0</vt:i4>
      </vt:variant>
      <vt:variant>
        <vt:i4>5</vt:i4>
      </vt:variant>
      <vt:variant>
        <vt:lpwstr/>
      </vt:variant>
      <vt:variant>
        <vt:lpwstr>_Toc433783056</vt:lpwstr>
      </vt:variant>
      <vt:variant>
        <vt:i4>1376319</vt:i4>
      </vt:variant>
      <vt:variant>
        <vt:i4>32</vt:i4>
      </vt:variant>
      <vt:variant>
        <vt:i4>0</vt:i4>
      </vt:variant>
      <vt:variant>
        <vt:i4>5</vt:i4>
      </vt:variant>
      <vt:variant>
        <vt:lpwstr/>
      </vt:variant>
      <vt:variant>
        <vt:lpwstr>_Toc433783055</vt:lpwstr>
      </vt:variant>
      <vt:variant>
        <vt:i4>1376319</vt:i4>
      </vt:variant>
      <vt:variant>
        <vt:i4>26</vt:i4>
      </vt:variant>
      <vt:variant>
        <vt:i4>0</vt:i4>
      </vt:variant>
      <vt:variant>
        <vt:i4>5</vt:i4>
      </vt:variant>
      <vt:variant>
        <vt:lpwstr/>
      </vt:variant>
      <vt:variant>
        <vt:lpwstr>_Toc433783054</vt:lpwstr>
      </vt:variant>
      <vt:variant>
        <vt:i4>1376319</vt:i4>
      </vt:variant>
      <vt:variant>
        <vt:i4>20</vt:i4>
      </vt:variant>
      <vt:variant>
        <vt:i4>0</vt:i4>
      </vt:variant>
      <vt:variant>
        <vt:i4>5</vt:i4>
      </vt:variant>
      <vt:variant>
        <vt:lpwstr/>
      </vt:variant>
      <vt:variant>
        <vt:lpwstr>_Toc433783053</vt:lpwstr>
      </vt:variant>
      <vt:variant>
        <vt:i4>1376319</vt:i4>
      </vt:variant>
      <vt:variant>
        <vt:i4>14</vt:i4>
      </vt:variant>
      <vt:variant>
        <vt:i4>0</vt:i4>
      </vt:variant>
      <vt:variant>
        <vt:i4>5</vt:i4>
      </vt:variant>
      <vt:variant>
        <vt:lpwstr/>
      </vt:variant>
      <vt:variant>
        <vt:lpwstr>_Toc433783052</vt:lpwstr>
      </vt:variant>
      <vt:variant>
        <vt:i4>1376319</vt:i4>
      </vt:variant>
      <vt:variant>
        <vt:i4>8</vt:i4>
      </vt:variant>
      <vt:variant>
        <vt:i4>0</vt:i4>
      </vt:variant>
      <vt:variant>
        <vt:i4>5</vt:i4>
      </vt:variant>
      <vt:variant>
        <vt:lpwstr/>
      </vt:variant>
      <vt:variant>
        <vt:lpwstr>_Toc433783051</vt:lpwstr>
      </vt:variant>
      <vt:variant>
        <vt:i4>1376319</vt:i4>
      </vt:variant>
      <vt:variant>
        <vt:i4>2</vt:i4>
      </vt:variant>
      <vt:variant>
        <vt:i4>0</vt:i4>
      </vt:variant>
      <vt:variant>
        <vt:i4>5</vt:i4>
      </vt:variant>
      <vt:variant>
        <vt:lpwstr/>
      </vt:variant>
      <vt:variant>
        <vt:lpwstr>_Toc433783050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założeń do planu zaopatrzenia w ciepło, energię elektryczną i paliwa gazowe dla Gminy WIELICZKI na lata 2025-2035</dc:title>
  <dc:creator>Wieliczki  2025</dc:creator>
  <cp:lastModifiedBy>User</cp:lastModifiedBy>
  <cp:revision>34</cp:revision>
  <cp:lastPrinted>2025-07-22T07:23:00Z</cp:lastPrinted>
  <dcterms:created xsi:type="dcterms:W3CDTF">2025-07-09T13:08:00Z</dcterms:created>
  <dcterms:modified xsi:type="dcterms:W3CDTF">2025-09-08T07:15:00Z</dcterms:modified>
</cp:coreProperties>
</file>