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97148" w:rsidRDefault="00134BE0">
      <w:pPr>
        <w:spacing w:line="276" w:lineRule="auto"/>
        <w:jc w:val="right"/>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Sztutowo, dnia 19.08.2024 r.</w:t>
      </w:r>
    </w:p>
    <w:p w14:paraId="00000002" w14:textId="77777777" w:rsidR="00A97148" w:rsidRDefault="00134BE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RRG-OŚ.6220.1.2024</w:t>
      </w:r>
    </w:p>
    <w:p w14:paraId="00000003" w14:textId="77777777" w:rsidR="00A97148" w:rsidRDefault="00A97148">
      <w:pPr>
        <w:spacing w:line="276" w:lineRule="auto"/>
        <w:rPr>
          <w:rFonts w:ascii="Times New Roman" w:eastAsia="Times New Roman" w:hAnsi="Times New Roman" w:cs="Times New Roman"/>
          <w:sz w:val="24"/>
          <w:szCs w:val="24"/>
        </w:rPr>
      </w:pPr>
    </w:p>
    <w:p w14:paraId="00000004" w14:textId="77777777" w:rsidR="00A97148" w:rsidRDefault="00134BE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DECYZJA</w:t>
      </w:r>
    </w:p>
    <w:p w14:paraId="00000005" w14:textId="77777777" w:rsidR="00A97148" w:rsidRDefault="00134BE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środowiskowych uwarunkowaniach</w:t>
      </w:r>
    </w:p>
    <w:p w14:paraId="00000006" w14:textId="77777777" w:rsidR="00A97148" w:rsidRDefault="00A97148">
      <w:pPr>
        <w:spacing w:line="276" w:lineRule="auto"/>
        <w:rPr>
          <w:rFonts w:ascii="Times New Roman" w:eastAsia="Times New Roman" w:hAnsi="Times New Roman" w:cs="Times New Roman"/>
          <w:b/>
          <w:sz w:val="24"/>
          <w:szCs w:val="24"/>
        </w:rPr>
      </w:pPr>
    </w:p>
    <w:p w14:paraId="00000007" w14:textId="77777777" w:rsidR="00A97148" w:rsidRDefault="00134BE0">
      <w:pPr>
        <w:spacing w:line="276" w:lineRule="auto"/>
        <w:jc w:val="both"/>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 xml:space="preserve">Na podstawie art. 104 ustawy z dnia 14 czerwca 1960 r. </w:t>
      </w:r>
      <w:r>
        <w:rPr>
          <w:rFonts w:ascii="Times New Roman" w:eastAsia="Times New Roman" w:hAnsi="Times New Roman" w:cs="Times New Roman"/>
          <w:i/>
          <w:sz w:val="24"/>
          <w:szCs w:val="24"/>
        </w:rPr>
        <w:t xml:space="preserve">Kodeks postępowania administracyjnego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Dz. U. z 2024 r. poz. 572) oraz art. 71 ust. 1 i ust. 2, art. 72 ust. 1 pkt. 1, art. 74 ust.4, art. 75 ust.  1 pkt 4, art. 84 oraz art. 85 ustawy z dnia 3 października 2008 r. </w:t>
      </w:r>
      <w:r>
        <w:rPr>
          <w:rFonts w:ascii="Times New Roman" w:eastAsia="Times New Roman" w:hAnsi="Times New Roman" w:cs="Times New Roman"/>
          <w:i/>
          <w:sz w:val="24"/>
          <w:szCs w:val="24"/>
        </w:rPr>
        <w:t xml:space="preserve">o udostępnianiu informacji o środowisku i jego ochronie, udziale społeczeństwa w ochronie środowiska oraz o  ocenach  oddziaływania  na  środowisko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Dz. U. z 2024 r. poz. 1112) (dalej </w:t>
      </w:r>
      <w:proofErr w:type="spellStart"/>
      <w:r>
        <w:rPr>
          <w:rFonts w:ascii="Times New Roman" w:eastAsia="Times New Roman" w:hAnsi="Times New Roman" w:cs="Times New Roman"/>
          <w:sz w:val="24"/>
          <w:szCs w:val="24"/>
        </w:rPr>
        <w:t>ooś</w:t>
      </w:r>
      <w:proofErr w:type="spellEnd"/>
      <w:r>
        <w:rPr>
          <w:rFonts w:ascii="Times New Roman" w:eastAsia="Times New Roman" w:hAnsi="Times New Roman" w:cs="Times New Roman"/>
          <w:sz w:val="24"/>
          <w:szCs w:val="24"/>
        </w:rPr>
        <w:t xml:space="preserve">) w związku z § 3 ust. 1 pkt 54a lit. a rozporządzenia Rady Ministrów z dnia 10 września 2019 r. </w:t>
      </w:r>
      <w:r>
        <w:rPr>
          <w:rFonts w:ascii="Times New Roman" w:eastAsia="Times New Roman" w:hAnsi="Times New Roman" w:cs="Times New Roman"/>
          <w:i/>
          <w:sz w:val="24"/>
          <w:szCs w:val="24"/>
        </w:rPr>
        <w:t xml:space="preserve">w sprawie przedsięwzięć mogących znacząco oddziaływać na środowisko </w:t>
      </w:r>
      <w:r>
        <w:rPr>
          <w:rFonts w:ascii="Times New Roman" w:eastAsia="Times New Roman" w:hAnsi="Times New Roman" w:cs="Times New Roman"/>
          <w:sz w:val="24"/>
          <w:szCs w:val="24"/>
        </w:rPr>
        <w:t>(Dz. U. z 2019 r. poz. 1839 ze zm.), w oparciu o przedłożoną dokumentację, w tym Postanowienie Regionalnego Dyrektora Ochrony Środowiska w Gdańsku znak RDOŚ-Gd-WOO.4220.262.2024.AK.2 z dnia 30.06.2024 r., opinię Dyrektora Zarządu Zlewni w Elblągu znak GE.ZZŚ.4901.43.2024 z dnia 03.07.2024 r. oraz opinię Państwowego Powiatowego Inspektora Sanitarnego w Nowym Dworze Gdańskim znak ZNS.9011.5.7.2024.KB z dnia 24.04.2024 r.,</w:t>
      </w:r>
    </w:p>
    <w:p w14:paraId="00000008" w14:textId="77777777" w:rsidR="00A97148" w:rsidRDefault="00134BE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po rozpatrzeniu wniosku: </w:t>
      </w:r>
      <w:r>
        <w:rPr>
          <w:rFonts w:ascii="Times New Roman" w:eastAsia="Times New Roman" w:hAnsi="Times New Roman" w:cs="Times New Roman"/>
          <w:sz w:val="24"/>
          <w:szCs w:val="24"/>
        </w:rPr>
        <w:t xml:space="preserve">spółki </w:t>
      </w:r>
      <w:proofErr w:type="spellStart"/>
      <w:r>
        <w:rPr>
          <w:rFonts w:ascii="Times New Roman" w:eastAsia="Times New Roman" w:hAnsi="Times New Roman" w:cs="Times New Roman"/>
          <w:sz w:val="24"/>
          <w:szCs w:val="24"/>
        </w:rPr>
        <w:t>Geen</w:t>
      </w:r>
      <w:proofErr w:type="spellEnd"/>
      <w:r>
        <w:rPr>
          <w:rFonts w:ascii="Times New Roman" w:eastAsia="Times New Roman" w:hAnsi="Times New Roman" w:cs="Times New Roman"/>
          <w:sz w:val="24"/>
          <w:szCs w:val="24"/>
        </w:rPr>
        <w:t xml:space="preserve"> Capital S.A. Oddział Aleksandrów Kujawski, ul. Słowackiego 59, Aleksandrów Kujawski, z dnia 22.01.2024 r. (data wpływu 26.01.2024 r.) o wydanie decyzji o środowiskowych uwarunkowaniach dla przedsięwzięcia pn. </w:t>
      </w:r>
      <w:r>
        <w:rPr>
          <w:rFonts w:ascii="Times New Roman" w:eastAsia="Times New Roman" w:hAnsi="Times New Roman" w:cs="Times New Roman"/>
          <w:i/>
          <w:sz w:val="24"/>
          <w:szCs w:val="24"/>
        </w:rPr>
        <w:t xml:space="preserve">„Budowa instalacji OZE o łącznej powierzchni zabudowy do 10 ha wraz z niezbędną infrastrukturą techniczną i elektroenergetyczną na działce ewidencyjnej nr 156/10 </w:t>
      </w:r>
      <w:proofErr w:type="spellStart"/>
      <w:r>
        <w:rPr>
          <w:rFonts w:ascii="Times New Roman" w:eastAsia="Times New Roman" w:hAnsi="Times New Roman" w:cs="Times New Roman"/>
          <w:i/>
          <w:sz w:val="24"/>
          <w:szCs w:val="24"/>
        </w:rPr>
        <w:t>obr</w:t>
      </w:r>
      <w:proofErr w:type="spellEnd"/>
      <w:r>
        <w:rPr>
          <w:rFonts w:ascii="Times New Roman" w:eastAsia="Times New Roman" w:hAnsi="Times New Roman" w:cs="Times New Roman"/>
          <w:i/>
          <w:sz w:val="24"/>
          <w:szCs w:val="24"/>
        </w:rPr>
        <w:t xml:space="preserve">. Łaszka gm. Sztutowo w województwie pomorskim" </w:t>
      </w:r>
    </w:p>
    <w:p w14:paraId="00000009" w14:textId="77777777" w:rsidR="00A97148" w:rsidRDefault="00134BE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orzekam co następuje:</w:t>
      </w:r>
    </w:p>
    <w:p w14:paraId="0000000A" w14:textId="77777777" w:rsidR="00A97148" w:rsidRDefault="00134BE0">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Stwierdzam brak potrzeby przeprowadzenia oceny oddziaływania na środowisko dla przedsięwzięcia mogącego potencjalnie znacząco oddziaływać na środowiska dotyczącego </w:t>
      </w:r>
      <w:r>
        <w:rPr>
          <w:rFonts w:ascii="Times New Roman" w:eastAsia="Times New Roman" w:hAnsi="Times New Roman" w:cs="Times New Roman"/>
          <w:i/>
          <w:sz w:val="24"/>
          <w:szCs w:val="24"/>
        </w:rPr>
        <w:t xml:space="preserve">„budowy instalacji OZE o łącznej powierzchni zabudowy do 10 ha wraz z niezbędną infrastrukturą techniczną i elektroenergetyczną na działce ewidencyjnej nr 156/10 </w:t>
      </w:r>
      <w:proofErr w:type="spellStart"/>
      <w:r>
        <w:rPr>
          <w:rFonts w:ascii="Times New Roman" w:eastAsia="Times New Roman" w:hAnsi="Times New Roman" w:cs="Times New Roman"/>
          <w:i/>
          <w:sz w:val="24"/>
          <w:szCs w:val="24"/>
        </w:rPr>
        <w:t>obr</w:t>
      </w:r>
      <w:proofErr w:type="spellEnd"/>
      <w:r>
        <w:rPr>
          <w:rFonts w:ascii="Times New Roman" w:eastAsia="Times New Roman" w:hAnsi="Times New Roman" w:cs="Times New Roman"/>
          <w:i/>
          <w:sz w:val="24"/>
          <w:szCs w:val="24"/>
        </w:rPr>
        <w:t xml:space="preserve">. Łaszka gm. Sztutowo w województwie pomorskim" </w:t>
      </w:r>
    </w:p>
    <w:p w14:paraId="0000000B" w14:textId="51321958" w:rsidR="00A97148" w:rsidRDefault="004A247B">
      <w:pPr>
        <w:numPr>
          <w:ilvl w:val="0"/>
          <w:numId w:val="2"/>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Określam poniższe warunki:</w:t>
      </w:r>
    </w:p>
    <w:p w14:paraId="0000000C" w14:textId="77777777" w:rsidR="00A97148" w:rsidRDefault="00134BE0">
      <w:pPr>
        <w:shd w:val="clear" w:color="auto" w:fill="FFFFFF"/>
        <w:spacing w:after="0" w:line="276" w:lineRule="auto"/>
        <w:ind w:left="720"/>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1. warunki dotyczące etapu realizacji i  etapu eksploatacji przedsięwzięcia: </w:t>
      </w:r>
    </w:p>
    <w:p w14:paraId="0000000D"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prace związane z budową farmy fotowoltaicznej prowadzić poza okresem gniazdowania ptaków (tj. poza okresem od 1 marca do 31 sierpnia). W przypadku zaistnienia potrzeby dokonania prac w ww. okresie, możliwe będzie ich wykonanie jedynie w przypadku potwierdzenia przez osobę posiadającą wiedzę i kompetencje z zakresu ornitologii, iż przedmiotowy teren nie jest wykorzystywany przez chronione gatunki ptaków jako miejsce gniazdowania, co należy potwierdzić wpisem w dokumentacji budowlanej;</w:t>
      </w:r>
    </w:p>
    <w:p w14:paraId="0000000E"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 prace prowadzić poza okresem rozrodu i migracji płazów, tj. poza okresem od 1 marca do 30 czerwca. Dopuszcza się prowadzenie prac w ww. okresach po wykluczeniu przez specjalistę herpetologa migracji i rozrodu płazów, co należy potwierdzić wpisem w dokumentacji budowlanej;</w:t>
      </w:r>
    </w:p>
    <w:p w14:paraId="0000000F"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10"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c) podczas prowadzenia wykopów zabezpieczyć plac robót płotkiem z siatki herpetologicznej przed przedostaniem się do wykopów małych zwierząt; codziennie przed przystąpieniem do dalszych prac, przeprowadzać kontrolę wykopów, uwięzione zwierzęta niezwłocznie przenieść poza teren objęty pracami, na właściwe dla nich siedlisko, przenoszenie prowadzić pod nadzorem przyrodnika oraz przy użyciu rękawiczek ochronnych, używany do tego sprzęt dezynfekować;</w:t>
      </w:r>
    </w:p>
    <w:p w14:paraId="00000011"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 pobliski zbiornik wodny zabezpieczyć płotkiem z siatki herpetologicznej;</w:t>
      </w:r>
    </w:p>
    <w:p w14:paraId="00000012" w14:textId="3406E54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 w ogrodzeniu planowanej farmy pozostawić wolną przestrzeń nad gruntem min. 20 cm, umożliwiającą przedostawanie się małym zwierzętom na teren zajęty przez przedmiotową inwestycję</w:t>
      </w:r>
      <w:r w:rsidR="004A247B">
        <w:rPr>
          <w:rFonts w:ascii="Times New Roman" w:eastAsia="Times New Roman" w:hAnsi="Times New Roman" w:cs="Times New Roman"/>
          <w:color w:val="222222"/>
          <w:sz w:val="24"/>
          <w:szCs w:val="24"/>
        </w:rPr>
        <w:t>;</w:t>
      </w:r>
    </w:p>
    <w:p w14:paraId="00000013"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 roboty budowlane prowadzić w porze dziennej, w godz. 6:00-22:00;</w:t>
      </w:r>
    </w:p>
    <w:p w14:paraId="00000014"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 wyposażyć plac budowy w sorbenty do ograniczania i usuwania ewentualnych rozlewów olejowych;</w:t>
      </w:r>
    </w:p>
    <w:p w14:paraId="00000015"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 mycie paneli prowadzić wyłącznie przy użyciu czystej wody;</w:t>
      </w:r>
    </w:p>
    <w:p w14:paraId="00000016"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powierzchnię trawiastą w granicach terenu funkcyjnego utrzymywać z wykorzystaniem narzędzi do koszenia, bez stosowania nawozów, herbicydów i pestycydów; dopuszczalne jest wykorzystanie mniejszych zwierząt (tj. owiec, gęsi) do utrzymania odpowiedniej wysokości traw;</w:t>
      </w:r>
    </w:p>
    <w:p w14:paraId="00000017"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 pielęgnację powierzchni trawiastej prowadzić nie wcześniej niż po 31 sierpnia. Dopuszcza się pielęgnację po 1 lipca, jednak musi to być poprzedzone wizją terenową, wykonaną przez specjalistę ornitologa, stwierdzającą brak występowania na przedmiotowym terenie czynnych gniazd ptaków. Wyniki wizji należy odpowiednio udokumentować wpisem w dokumentacji farmy;</w:t>
      </w:r>
    </w:p>
    <w:p w14:paraId="00000018"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 nie stosować nocnego oświetlenia terenu z wyjątkiem tego, które jest wymagane odrębnymi przepisami; </w:t>
      </w:r>
    </w:p>
    <w:p w14:paraId="00000019"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 zaplecze i bazę sprzętową zlokalizować na uszczelnionym podłożu, w oddaleniu od wodnego, rowów. Wyposażyć w niezbędną ilość pojemników, kontenerów, koszy do gromadzenia odpadów i zapewnić ich sukcesywny wywóz; </w:t>
      </w:r>
    </w:p>
    <w:p w14:paraId="0000001A"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 prace budowlane oraz eksploatację inwestycji prowadzić chroniąc zbiorniki wodne, rowy, przed uszkodzeniem a wody w nich przed zanieczyszczeniem i przedostaniem się do nich zanieczyszczeń wypłukiwanych z materiałów stosowanych do budowy;</w:t>
      </w:r>
    </w:p>
    <w:p w14:paraId="0000001B"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 wyposażyć teren przedsięwzięcia - plac budowy w sorbenty do neutralizacji substancji szkodliwych, w tym ropopochodnych (np. paliw, smarów) i syntetycznych (np. olejów);</w:t>
      </w:r>
    </w:p>
    <w:p w14:paraId="0000001C"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należy używać wyłącznie sprawny technicznie sprzęt i monitorować ewentualne wycieki substancji ropopochodnych ze sprzętu czy pojazdów;</w:t>
      </w:r>
    </w:p>
    <w:p w14:paraId="0000001D"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zabiegi związane z naprawami, tankowaniem, wymianą oleju środków transportu, maszyn należy wykonywać w miejscach do tego odpowiednio przystosowanych, zabezpieczonych przed przedostaniem się zanieczyszczeń do środowiska gruntowo-wodnego i wód powierzchniowych; </w:t>
      </w:r>
    </w:p>
    <w:p w14:paraId="0000001E"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podczas budowy instalacji ścieki socjalno-bytowe gromadzić w przenośnych kabinach sanitarnych oraz zapewnić regularny wywóz ścieków do oczyszczalni;</w:t>
      </w:r>
    </w:p>
    <w:p w14:paraId="0000001F"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 zapewnić właściwe gospodarowanie wytwarzanymi odpadami, minimalizować ich ilość, składować selektywnie w wydzielonych, przystosowanych miejscach, w warunkach zabezpieczających przed przedostawaniem się do środowiska substancji szkodliwych oraz zapewnić ich sprawny odbiór lub ponowne wykorzystanie;</w:t>
      </w:r>
    </w:p>
    <w:p w14:paraId="00000020" w14:textId="77777777" w:rsidR="00A97148" w:rsidRDefault="00A97148">
      <w:pPr>
        <w:shd w:val="clear" w:color="auto" w:fill="FFFFFF"/>
        <w:spacing w:after="0" w:line="276" w:lineRule="auto"/>
        <w:ind w:left="720"/>
        <w:jc w:val="both"/>
        <w:rPr>
          <w:rFonts w:ascii="Times New Roman" w:eastAsia="Times New Roman" w:hAnsi="Times New Roman" w:cs="Times New Roman"/>
          <w:color w:val="222222"/>
          <w:sz w:val="24"/>
          <w:szCs w:val="24"/>
        </w:rPr>
      </w:pPr>
    </w:p>
    <w:p w14:paraId="00000021" w14:textId="77777777" w:rsidR="00A97148" w:rsidRDefault="00A97148">
      <w:pPr>
        <w:shd w:val="clear" w:color="auto" w:fill="FFFFFF"/>
        <w:spacing w:after="0" w:line="276" w:lineRule="auto"/>
        <w:ind w:left="720"/>
        <w:jc w:val="both"/>
        <w:rPr>
          <w:rFonts w:ascii="Times New Roman" w:eastAsia="Times New Roman" w:hAnsi="Times New Roman" w:cs="Times New Roman"/>
          <w:color w:val="222222"/>
          <w:sz w:val="24"/>
          <w:szCs w:val="24"/>
        </w:rPr>
      </w:pPr>
    </w:p>
    <w:p w14:paraId="00000022"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2. warunki dotyczące ochrony środowiska konieczne do uwzględnienia w projekcie budowlanym:</w:t>
      </w:r>
      <w:r>
        <w:rPr>
          <w:rFonts w:ascii="Times New Roman" w:eastAsia="Times New Roman" w:hAnsi="Times New Roman" w:cs="Times New Roman"/>
          <w:color w:val="222222"/>
          <w:sz w:val="24"/>
          <w:szCs w:val="24"/>
        </w:rPr>
        <w:t xml:space="preserve"> </w:t>
      </w:r>
    </w:p>
    <w:p w14:paraId="00000023"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nie utwardzać powierzchni pod instalacjami fotowoltaicznymi;</w:t>
      </w:r>
    </w:p>
    <w:p w14:paraId="00000024"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 linie energetyczne poprowadzić w gruncie;</w:t>
      </w:r>
    </w:p>
    <w:p w14:paraId="00000025"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 zastosować panele fotowoltaiczne z powłokami antyrefleksyjnymi, które zwiększają konwersję promieniowania słonecznego i jednocześnie redukują ilość odbitego światła słonecznego; </w:t>
      </w:r>
    </w:p>
    <w:p w14:paraId="00000026"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 zaprojektować transformator typu suchego (bezolejowego) lub w przypadku transformatora olejowego przewidzieć jego posadowienie w szczelnych wannach lub jego wyposażenie w misy olejowe, umożliwiające przejęcie płynów eksploatacyjnych w wypadku awarii;</w:t>
      </w:r>
    </w:p>
    <w:p w14:paraId="00000027" w14:textId="77777777" w:rsidR="00A97148" w:rsidRDefault="00134BE0">
      <w:pPr>
        <w:shd w:val="clear" w:color="auto" w:fill="FFFFFF"/>
        <w:spacing w:after="0" w:line="276"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 projektowany rozkład infrastruktury nie może kolidować z istniejącymi rowami, zbiornikiem wodnym oraz powinien zapewnić ich zachowanie.</w:t>
      </w:r>
    </w:p>
    <w:p w14:paraId="00000028" w14:textId="77777777" w:rsidR="00A97148" w:rsidRDefault="00A9714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029" w14:textId="77777777" w:rsidR="00A97148" w:rsidRDefault="00134BE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Charakterystyka przedsięwzięcia pod nazwą </w:t>
      </w:r>
      <w:r>
        <w:rPr>
          <w:rFonts w:ascii="Times New Roman" w:eastAsia="Times New Roman" w:hAnsi="Times New Roman" w:cs="Times New Roman"/>
          <w:i/>
          <w:sz w:val="24"/>
          <w:szCs w:val="24"/>
        </w:rPr>
        <w:t xml:space="preserve">„Budowa instalacji OZE o łącznej powierzchni zabudowy do 10 ha wraz z niezbędną infrastrukturą techniczną i elektroenergetyczną na działce ewidencyjnej nr 156/10 </w:t>
      </w:r>
      <w:proofErr w:type="spellStart"/>
      <w:r>
        <w:rPr>
          <w:rFonts w:ascii="Times New Roman" w:eastAsia="Times New Roman" w:hAnsi="Times New Roman" w:cs="Times New Roman"/>
          <w:i/>
          <w:sz w:val="24"/>
          <w:szCs w:val="24"/>
        </w:rPr>
        <w:t>obr</w:t>
      </w:r>
      <w:proofErr w:type="spellEnd"/>
      <w:r>
        <w:rPr>
          <w:rFonts w:ascii="Times New Roman" w:eastAsia="Times New Roman" w:hAnsi="Times New Roman" w:cs="Times New Roman"/>
          <w:i/>
          <w:sz w:val="24"/>
          <w:szCs w:val="24"/>
        </w:rPr>
        <w:t xml:space="preserve">. Łaszka gm. Sztutowo w województwie pomorskim"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color w:val="000000"/>
          <w:sz w:val="24"/>
          <w:szCs w:val="24"/>
        </w:rPr>
        <w:t xml:space="preserve">jest załącznikiem do niniejszej decyzji. </w:t>
      </w:r>
    </w:p>
    <w:p w14:paraId="0000002A" w14:textId="77777777" w:rsidR="00A97148" w:rsidRDefault="00A97148">
      <w:pPr>
        <w:pBdr>
          <w:top w:val="nil"/>
          <w:left w:val="nil"/>
          <w:bottom w:val="nil"/>
          <w:right w:val="nil"/>
          <w:between w:val="nil"/>
        </w:pBdr>
        <w:spacing w:line="276" w:lineRule="auto"/>
        <w:ind w:left="720"/>
        <w:jc w:val="both"/>
        <w:rPr>
          <w:rFonts w:ascii="Times New Roman" w:eastAsia="Times New Roman" w:hAnsi="Times New Roman" w:cs="Times New Roman"/>
          <w:b/>
          <w:color w:val="000000"/>
          <w:sz w:val="24"/>
          <w:szCs w:val="24"/>
        </w:rPr>
      </w:pPr>
    </w:p>
    <w:p w14:paraId="0000002B" w14:textId="77777777" w:rsidR="00A97148" w:rsidRDefault="00134BE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Uzasadnienie</w:t>
      </w:r>
    </w:p>
    <w:p w14:paraId="0000002C"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dniu 26.01.2024 r. w Urzędzie Gminy w Sztutowie, został złożony wniosek spółki Green Capital S.A. Oddział Aleksandrów Kujawski, ul. Słowackiego 59, 87-700 Aleksandrów Kujawski, uzupełniony pismem z dnia 27.03.2024 r., o wydanie decyzji o środowiskowych uwarunkowaniach dla przedsięwzięcia pn. „Budowa instalacji OZE o łącznej powierzchni zabudowy do 10 ha wraz z niezbędną infrastrukturą techniczną i elektroenergetyczną na działce ewidencyjnej nr 156/10 ob. Łaszka gm. Sztutowo w województwie pomorskim”. Do wniosku zostały dołączone wymagane załączniki oraz karta informacyjna przedsięwzięcia, opracowana przez panią Katarzynę Tomczak. </w:t>
      </w:r>
    </w:p>
    <w:p w14:paraId="0000002D" w14:textId="77777777" w:rsidR="00A97148" w:rsidRDefault="00134BE0">
      <w:pPr>
        <w:shd w:val="clear" w:color="auto" w:fill="FFFFFF"/>
        <w:spacing w:after="0" w:line="276"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Przedsięwzięcie objęte przedłożonym wnioskiem, jest kwalifikowane według rozporządzenia Rady Ministrów z dnia 10 września 2019 r. w sprawie przedsięwzięć mogących znacząco oddziaływać na środowisko (Dz. U. z 2019 r., </w:t>
      </w:r>
      <w:proofErr w:type="spellStart"/>
      <w:r>
        <w:rPr>
          <w:rFonts w:ascii="Times New Roman" w:eastAsia="Times New Roman" w:hAnsi="Times New Roman" w:cs="Times New Roman"/>
          <w:color w:val="222222"/>
          <w:sz w:val="24"/>
          <w:szCs w:val="24"/>
        </w:rPr>
        <w:t>poz</w:t>
      </w:r>
      <w:proofErr w:type="spellEnd"/>
      <w:r>
        <w:rPr>
          <w:rFonts w:ascii="Times New Roman" w:eastAsia="Times New Roman" w:hAnsi="Times New Roman" w:cs="Times New Roman"/>
          <w:color w:val="222222"/>
          <w:sz w:val="24"/>
          <w:szCs w:val="24"/>
        </w:rPr>
        <w:t xml:space="preserve"> 1839 ze zm.) zgodnie z § 3 ust. 1 pkt. 54a lit a jako: zabudowa systemami fotowoltaicznymi o powierzchni wyznaczanej po obrysie zewnętrznych skrajnych modułów paneli nie mniejszej niż: a) 0,5 ha na obszarach objętych formami ochrony przyrody. o których mowa w art. 6 ust. 1 pkt 1-5, 8 1 9 ustawy z dnia 16 kwietnia 2004 r. o ochronie przyrody, lub w otulinach form ochrony przyrody, o których mowa w art. 6 ust. 1 pkt 1-3 tej ustawy.</w:t>
      </w:r>
    </w:p>
    <w:p w14:paraId="0000002E"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71 ust. 2 stanowi, że uzyskanie decyzji o środowiskowych uwarunkowaniach jest wymagane dla planowanych: 1) przedsięwzięć mogących zawsze znacząco oddziaływać na środowisko; 2) przedsięwzięć mogących potencjalnie znacząco oddziaływać na środowisko.</w:t>
      </w:r>
    </w:p>
    <w:p w14:paraId="0000002F"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zapisami art. 75 ust. 1 pkt 4 ustawy </w:t>
      </w:r>
      <w:proofErr w:type="spellStart"/>
      <w:r>
        <w:rPr>
          <w:rFonts w:ascii="Times New Roman" w:eastAsia="Times New Roman" w:hAnsi="Times New Roman" w:cs="Times New Roman"/>
          <w:sz w:val="24"/>
          <w:szCs w:val="24"/>
        </w:rPr>
        <w:t>ooś</w:t>
      </w:r>
      <w:proofErr w:type="spellEnd"/>
      <w:r>
        <w:rPr>
          <w:rFonts w:ascii="Times New Roman" w:eastAsia="Times New Roman" w:hAnsi="Times New Roman" w:cs="Times New Roman"/>
          <w:sz w:val="24"/>
          <w:szCs w:val="24"/>
        </w:rPr>
        <w:t xml:space="preserve"> organem właściwym do wydania decyzji o środowiskowych uwarunkowaniach dla wnioskowanego przedsięwzięcia jest Wójt Gminy Sztutowo.</w:t>
      </w:r>
    </w:p>
    <w:p w14:paraId="00000030"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Mając na uwadze powyższe, Wójt Gminy Sztutowo wszczął postępowanie administracyjne w przedmiocie wydania decyzji o środowiskowych uwarunkowaniach. Strony postępowania zawiadomieniem z dnia 09.04.2024 r. zostały poinformowane o wszczętym postępowaniu oraz o możliwości składanie wniosków w sprawie wydania decyzji o środowiskowych uwarunkowaniach. Na tym etapie postępowania, żadna ze stron nie wniosła uwag, wniosków oraz zarzutów.  </w:t>
      </w:r>
    </w:p>
    <w:p w14:paraId="00000031" w14:textId="0A9A81BA"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Ponieważ przedsięwzięcie, w świetle §3 ust. 1. pkt 54a lit. a Rozporządzenia Rady Ministrów z dnia 10 września 2019 r. w sprawie przedsięwzięć mogących znacząco oddziaływać na środowisko (Dz. U. z 2019 r., poz. 1839 ze zm.), kwalifikuje się do przedsięwzięć mogących potencjalnie znacząco oddziaływać na środowisko, Wójt Gminy Sztutowo pismem z dnia 09.04.2024 r zwrócił się do Regionalnego Dyrektora Ochrony Środowiska w Gdańsku, Państwowego Powiatowego Inspektora Sanitarnego w Nowym Dworze Gdańskim oraz Dyrektora Zarządu Zlewni w Elblągu o opinie, co do potrzeby przeprowadzenia oceny oddziaływania przedsięwzięcia na środowisko</w:t>
      </w:r>
      <w:r w:rsidR="004A247B">
        <w:rPr>
          <w:rFonts w:ascii="Times New Roman" w:eastAsia="Times New Roman" w:hAnsi="Times New Roman" w:cs="Times New Roman"/>
          <w:sz w:val="24"/>
          <w:szCs w:val="24"/>
        </w:rPr>
        <w:t>.</w:t>
      </w:r>
    </w:p>
    <w:p w14:paraId="00000032"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Regionalny Dyrektor Ochrony Środowiska w Gdańsku, w postanowieniu z dnia 30.06.2024 r. znak RDOŚ-Gd-WOO.4220.262.2024.AK.2, wyraził opinię, że dla planowanego przedsięwzięcia nie istnieje konieczność przeprowadzenia oceny oddziaływania na środowisko, argumentując swoje stanowisko między innymi tym, że:</w:t>
      </w:r>
    </w:p>
    <w:p w14:paraId="00000033"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rodzaj i lokalizacja przedsięwzięcia wyklucza możliwość oddziaływania planowanego przedsięwzięcia na obszary położone poza granicami Polski, zarówno na etapie realizacji, jaki eksploatacji,</w:t>
      </w:r>
    </w:p>
    <w:p w14:paraId="00000034"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nie spowoduje utraty powierzchni lub fragmentacji siedlisk gatunków chronionych w granicach pobliskich obszarów Natura 2000,</w:t>
      </w:r>
    </w:p>
    <w:p w14:paraId="00000035"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nie wpłynie na pogorszenie stanu siedlisk przyrodniczych lub siedlisk gatunków roślin i zwierząt, dla których ochrony zostały wyznaczone pobliskie obszary Natura 2000,</w:t>
      </w:r>
    </w:p>
    <w:p w14:paraId="00000036"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nie wpłynie negatywnie na gatunki, dla których ochrony obszary te zostały wyznaczone,</w:t>
      </w:r>
    </w:p>
    <w:p w14:paraId="00000037"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nie pogorszy integralności obszarów Natura 2000 lub ich powiązania z innymi obszarami, nie utrudni ani nie wpłynie na realizację celów działań ochronnych,</w:t>
      </w:r>
    </w:p>
    <w:p w14:paraId="00000038"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przedsięwzięcie na etapie realizacji i eksploatacji nie wpłynie znacząco na pogłębianie zmian klimatycznych, realizacja przedsięwzięcia przyczyni się do redukcji emisji gazów cieplarnianych,</w:t>
      </w:r>
    </w:p>
    <w:p w14:paraId="00000039"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 terenie, na którym planowana jest budowa elektrowni fotowoltaicznej oraz w obszarze jej oddziaływania, nie są i nie były realizowane żadne przedsięwzięcia, które mogłyby prowadzić do powstania skumulowania oddziaływań z planowanym przedsięwzięciem.</w:t>
      </w:r>
    </w:p>
    <w:p w14:paraId="0000003A"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Jednocześnie Regionalny Dyrektor Ochrony Środowiska w Gdańsku określił warunki realizacji przedmiotowego przedsięwzięcia.</w:t>
      </w:r>
    </w:p>
    <w:p w14:paraId="0000003B"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Dyrektor Zarządu Zlewni w Elblągu, w piśmie z dnia 03.07.2024 r. znak GE.ZZŚ.4901.43.2024, wyraził opinię, iż planowane przedsięwzięcie, z uwagi na rodzaj, skalę i lokalizację oraz planowane rozwiązania techniczne chroniące środowisko, nie wymaga przeprowadzenia oceny oddziaływania na środowisko. Planowane przedsięwzięcie nie przewiduje negatywnego oddziaływania na stan jednolitych części wód oraz na realizację celów środowiskowych określonych w „Planie gospodarowania wodami na obszarze dorzecza Wisły”. </w:t>
      </w:r>
    </w:p>
    <w:p w14:paraId="0000003C" w14:textId="77777777" w:rsidR="00A97148" w:rsidRDefault="00134BE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Jednocześnie Dyrektor Zarządu Zlewni w Elblągu określił warunki i wymagania realizacji przedmiotowego przedsięwzięcia.</w:t>
      </w:r>
    </w:p>
    <w:p w14:paraId="0000003D"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Państwowy Powiatowy Inspektor Sanitarny w opinii z dnia 24.04.2024 r. znak NS.9011.5.7.2024.KB.584 wyraził opinię, iż dla planowanego przedsięwzięcia nie jest konieczne przeprowadzenie ponownej oceny oddziaływania na środowisko. </w:t>
      </w:r>
    </w:p>
    <w:p w14:paraId="0000003E" w14:textId="646F706B"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podstawie wydanych opinii oraz w oparciu o zebraną w toku postępowania dokumentację, po przeanalizowaniu uwarunkowań, o których mowa w art. 63 ust. 1 ustawy z dnia 2 października 2008 r. o udostępnianiu informacji o środowisku i jego ochronie, udziale społeczeństwa w ochronie środowiska oraz o ocenach oddziaływania na środowisko (Dz. U. z 2024 r. poz. 1112), Wójt Gminy Sztutowo nie stwierdził potrzeby przeprowadzenia oceny oddziaływania na środowisko dla przedsięwzięcia pn. </w:t>
      </w:r>
      <w:r>
        <w:rPr>
          <w:rFonts w:ascii="Times New Roman" w:eastAsia="Times New Roman" w:hAnsi="Times New Roman" w:cs="Times New Roman"/>
          <w:i/>
          <w:sz w:val="24"/>
          <w:szCs w:val="24"/>
        </w:rPr>
        <w:t xml:space="preserve">„Budowa instalacji OZE o łącznej powierzchni zabudowy do 10 ha wraz z </w:t>
      </w:r>
      <w:r>
        <w:rPr>
          <w:rFonts w:ascii="Times New Roman" w:eastAsia="Times New Roman" w:hAnsi="Times New Roman" w:cs="Times New Roman"/>
          <w:i/>
          <w:sz w:val="24"/>
          <w:szCs w:val="24"/>
        </w:rPr>
        <w:lastRenderedPageBreak/>
        <w:t xml:space="preserve">niezbędną infrastrukturą techniczną i elektroenergetyczną na działce ewidencyjnej nr 156/10 </w:t>
      </w:r>
      <w:proofErr w:type="spellStart"/>
      <w:r>
        <w:rPr>
          <w:rFonts w:ascii="Times New Roman" w:eastAsia="Times New Roman" w:hAnsi="Times New Roman" w:cs="Times New Roman"/>
          <w:i/>
          <w:sz w:val="24"/>
          <w:szCs w:val="24"/>
        </w:rPr>
        <w:t>obr</w:t>
      </w:r>
      <w:proofErr w:type="spellEnd"/>
      <w:r>
        <w:rPr>
          <w:rFonts w:ascii="Times New Roman" w:eastAsia="Times New Roman" w:hAnsi="Times New Roman" w:cs="Times New Roman"/>
          <w:i/>
          <w:sz w:val="24"/>
          <w:szCs w:val="24"/>
        </w:rPr>
        <w:t>. Łaszka gm. Sztutowo w województwie pomorskim".</w:t>
      </w:r>
      <w:r>
        <w:rPr>
          <w:rFonts w:ascii="Times New Roman" w:eastAsia="Times New Roman" w:hAnsi="Times New Roman" w:cs="Times New Roman"/>
          <w:sz w:val="24"/>
          <w:szCs w:val="24"/>
        </w:rPr>
        <w:t xml:space="preserve"> </w:t>
      </w:r>
    </w:p>
    <w:p w14:paraId="0000003F"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Analizując informacje zawarte w karcie informacyjnej przedsięwzięcia tut. organ wziął pod uwagę:</w:t>
      </w:r>
    </w:p>
    <w:p w14:paraId="00000040"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1. Rodzaj i charakterystykę przedsięwzięcia</w:t>
      </w:r>
    </w:p>
    <w:p w14:paraId="00000041"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42" w14:textId="736073BF"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Planowane przedsięwzięcie obejmuje budowę farmy fotowoltaicznej o mocy do 9 MW</w:t>
      </w:r>
      <w:r w:rsidR="004A247B">
        <w:rPr>
          <w:rFonts w:ascii="Times New Roman" w:eastAsia="Times New Roman" w:hAnsi="Times New Roman" w:cs="Times New Roman"/>
          <w:color w:val="222222"/>
          <w:sz w:val="24"/>
          <w:szCs w:val="24"/>
        </w:rPr>
        <w:t xml:space="preserve"> z</w:t>
      </w:r>
      <w:r>
        <w:rPr>
          <w:rFonts w:ascii="Times New Roman" w:eastAsia="Times New Roman" w:hAnsi="Times New Roman" w:cs="Times New Roman"/>
          <w:color w:val="222222"/>
          <w:sz w:val="24"/>
          <w:szCs w:val="24"/>
        </w:rPr>
        <w:t xml:space="preserve"> zespołem magazynów energii o mocy do 100 MW o łącznej powierzchni zabudowy do 10 ha.</w:t>
      </w:r>
    </w:p>
    <w:p w14:paraId="00000043"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Głównymi elementami farmy fotowoltaicznej będą:</w:t>
      </w:r>
    </w:p>
    <w:p w14:paraId="00000044"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panele fotowoltaiczne - o łącznej maksymalnej mocy 9 MW,</w:t>
      </w:r>
    </w:p>
    <w:p w14:paraId="00000045"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inwertery o łącznej maksymalnej mocy 9 MW,</w:t>
      </w:r>
    </w:p>
    <w:p w14:paraId="00000046"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stacje transformatorowe - maksymalnie 9 szt. o mocy 1 MVA i powierzchni do 60 m² lub mniejsza liczba większych urządzeń,</w:t>
      </w:r>
    </w:p>
    <w:p w14:paraId="00000047"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konstrukcje wsporcze stałe lub z zastosowaniem konstrukcji nadążnej,</w:t>
      </w:r>
    </w:p>
    <w:p w14:paraId="00000048"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ogrodzenie farmy fotowoltaicznej wraz z kierunkowym oświetleniem i systemem monitoringu,</w:t>
      </w:r>
    </w:p>
    <w:p w14:paraId="00000049"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wewnętrzne ziemne linie przesyłowe niskiego napięcia,</w:t>
      </w:r>
    </w:p>
    <w:p w14:paraId="0000004A"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urządzenia pomiarowo kontrolne,</w:t>
      </w:r>
    </w:p>
    <w:p w14:paraId="0000004B" w14:textId="4563F9F0" w:rsidR="00A97148" w:rsidRDefault="004A247B">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kontenerowe magazyny energii - maksymalnie 100 szt. o mocy 1 MW  i powierzchni do 30 m²,</w:t>
      </w:r>
    </w:p>
    <w:p w14:paraId="0000004C" w14:textId="3EE861FD"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Stacje transformatorowo-rozdzielcze w zespole magazynów energii - </w:t>
      </w:r>
      <w:r w:rsidR="004A247B">
        <w:rPr>
          <w:rFonts w:ascii="Times New Roman" w:eastAsia="Times New Roman" w:hAnsi="Times New Roman" w:cs="Times New Roman"/>
          <w:color w:val="222222"/>
          <w:sz w:val="24"/>
          <w:szCs w:val="24"/>
        </w:rPr>
        <w:t>maksymalnie</w:t>
      </w:r>
      <w:r>
        <w:rPr>
          <w:rFonts w:ascii="Times New Roman" w:eastAsia="Times New Roman" w:hAnsi="Times New Roman" w:cs="Times New Roman"/>
          <w:color w:val="222222"/>
          <w:sz w:val="24"/>
          <w:szCs w:val="24"/>
        </w:rPr>
        <w:t xml:space="preserve"> 25 szt. o mocy 2 MVA  i powierzchni do 30 m² lub mniejsza liczba większych urządzeń,</w:t>
      </w:r>
    </w:p>
    <w:p w14:paraId="0000004D" w14:textId="77777777" w:rsidR="00A97148" w:rsidRDefault="00134BE0">
      <w:pPr>
        <w:numPr>
          <w:ilvl w:val="0"/>
          <w:numId w:val="3"/>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ścieżki techniczne i miejsca postojowe obsiane trawą.</w:t>
      </w:r>
    </w:p>
    <w:p w14:paraId="0000004E"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4F"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Inwestor dopuszcza zrealizowanie przedsięwzięcia w etapach</w:t>
      </w:r>
    </w:p>
    <w:p w14:paraId="00000050"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51"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2. Usytuowanie przedsięwzięcia</w:t>
      </w:r>
    </w:p>
    <w:p w14:paraId="00000052"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53"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Nieruchomość, na której planowana jest inwestycja, obejmuje teren działki o nr 156/10 obręb Łaszka gm. Sztutowo w województwie pomorskim. Teren inwestycji znajduje się w otulinie Parku Krajobrazowego Mierzei Wiślanej. Przedsięwzięcie zostanie zlokalizowane poza obszarami: </w:t>
      </w:r>
    </w:p>
    <w:p w14:paraId="00000054" w14:textId="508B64E5"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obszary wodno-błotne inne obszary o płytkim zaleganiu wód podziemnych, w tym siedliska łęgowe oraz ujścia rzek,</w:t>
      </w:r>
    </w:p>
    <w:p w14:paraId="00000055"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 obszary wybrzeży i środowisko morskie,</w:t>
      </w:r>
    </w:p>
    <w:p w14:paraId="00000056"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 obszary górskie lub leśne, </w:t>
      </w:r>
    </w:p>
    <w:p w14:paraId="00000057"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 obszary objęte ochroną, w tym strefy ochronne ujęć wód i obszary ochronne zbiorników wód śródlądowych,</w:t>
      </w:r>
    </w:p>
    <w:p w14:paraId="0000005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 obszary, na których standardy jakości środowiska zostały przekroczone lub istnieje prawdopodobieństwo ich przekroczenia,</w:t>
      </w:r>
    </w:p>
    <w:p w14:paraId="00000059"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 obszary o krajobrazie mającym znaczenie historyczne, kulturowe lub archeologiczne.</w:t>
      </w:r>
    </w:p>
    <w:p w14:paraId="0000005A"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 obszary przylegające do jezior,</w:t>
      </w:r>
    </w:p>
    <w:p w14:paraId="0000005B"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uzdrowiska i obszary ochrony uzdrowiskowej.</w:t>
      </w:r>
    </w:p>
    <w:p w14:paraId="0000005C"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5D"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Dla obszaru objętego wnioskiem nie obowiązuje plan miejscowy zagospodarowania przestrzennego. Obejmuje on grunty orne klas: </w:t>
      </w:r>
      <w:proofErr w:type="spellStart"/>
      <w:r>
        <w:rPr>
          <w:rFonts w:ascii="Times New Roman" w:eastAsia="Times New Roman" w:hAnsi="Times New Roman" w:cs="Times New Roman"/>
          <w:color w:val="222222"/>
          <w:sz w:val="24"/>
          <w:szCs w:val="24"/>
        </w:rPr>
        <w:t>RIVa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RIVb</w:t>
      </w:r>
      <w:proofErr w:type="spellEnd"/>
      <w:r>
        <w:rPr>
          <w:rFonts w:ascii="Times New Roman" w:eastAsia="Times New Roman" w:hAnsi="Times New Roman" w:cs="Times New Roman"/>
          <w:color w:val="222222"/>
          <w:sz w:val="24"/>
          <w:szCs w:val="24"/>
        </w:rPr>
        <w:t>, oraz mniej liczne, nieużytki N, rowy melioracyjne.</w:t>
      </w:r>
    </w:p>
    <w:p w14:paraId="0000005E"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Obszar w większości pokrywa pole uprawne, najczęściej uprawiane są tu zboża. Jedynie na obrzeżach upraw występują pasy roślin </w:t>
      </w:r>
      <w:proofErr w:type="spellStart"/>
      <w:r>
        <w:rPr>
          <w:rFonts w:ascii="Times New Roman" w:eastAsia="Times New Roman" w:hAnsi="Times New Roman" w:cs="Times New Roman"/>
          <w:color w:val="222222"/>
          <w:sz w:val="24"/>
          <w:szCs w:val="24"/>
        </w:rPr>
        <w:t>segetalnych</w:t>
      </w:r>
      <w:proofErr w:type="spellEnd"/>
      <w:r>
        <w:rPr>
          <w:rFonts w:ascii="Times New Roman" w:eastAsia="Times New Roman" w:hAnsi="Times New Roman" w:cs="Times New Roman"/>
          <w:color w:val="222222"/>
          <w:sz w:val="24"/>
          <w:szCs w:val="24"/>
        </w:rPr>
        <w:t xml:space="preserve"> - tzw. chwastów. Należą do nich gatunki takie jak np. chaber </w:t>
      </w:r>
      <w:r>
        <w:rPr>
          <w:rFonts w:ascii="Times New Roman" w:eastAsia="Times New Roman" w:hAnsi="Times New Roman" w:cs="Times New Roman"/>
          <w:color w:val="222222"/>
          <w:sz w:val="24"/>
          <w:szCs w:val="24"/>
        </w:rPr>
        <w:lastRenderedPageBreak/>
        <w:t>bławatek, mak polny, perz właściwy, gwiazdnica pospolita, bylica pospolita, skrzyp polny, wyka ptasia, powój polny. Nie występują tu rośliny objęte ochroną gatunkową.</w:t>
      </w:r>
    </w:p>
    <w:p w14:paraId="0000005F"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 zakończeniu realizacji przedsięwzięcia obszar zostanie obsiany mieszanka ekstensywnych traw takich jak np. kostrzewa czerwona, wiechlina łąkowa, drżączka średnia itd. Utrzymanie terenu pomiędzy elementami instalacji jako ekstensywnej murawy, bez stosowania chemicznych środków ochrony roślin.</w:t>
      </w:r>
    </w:p>
    <w:p w14:paraId="00000060"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61"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 sąsiedztwie planowanej inwestycji znajduje się wyłączone z obszaru przedsięwzięcia oczko wodne użytek o powierzchni ok 1,1 ha. Jest to naturalny śródpolny zbiornik wodny, okresowo zapełniony wodą opadową. Zbiornik retencjonuje spływ powierzchniowy z przyległych pól uprawnych. Brzegi zbiornika nie są porośnięte przez roślinność wysoką. Zbiornik wodny jest przeznaczony do całkowitego zachowania, został wyłączony z granic obszaru objętego wnioskiem. Nie planuje się niwelowania terenu i osuszania zbiornika. Teren objęty wnioskiem przecinają rowy melioracyjne, które również zostaną zachowane.</w:t>
      </w:r>
    </w:p>
    <w:p w14:paraId="00000062"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Pola uprawne nie stanowią siedliska szczególnie atrakcyjnego dla herpetofauny. Dla płazów, które są organizmami dwuśrodowiskowymi, pola uprawne mogą stanowić areał masowych migracji związanych z rozrodem w kierunku pobliskich zbiorników wodnych. Pobliski zbiornik wodny/rów melioracyjny/ teren podmokły może stanowić miejsce rozrodu płazów. Wobec tego na etapie prac realizowanych zostanie zastosowany płotek dla płazów odgradzający przedsięwzięcie od pobliskiego zbiornika.</w:t>
      </w:r>
    </w:p>
    <w:p w14:paraId="00000063" w14:textId="40D7A50C"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Teren przedsięwzięcia nie jest również szczególnie dogodnym siedliskiem dla gadów. Najczęściej na polach uprawnych spotykanym gatunkiem gada jest jaszczurka zwinka, która może wykorzystywać pola uprawne do nagrzewania się w słońcu. Ponieważ gady preferują zróżnicowane siedliska z dostępnością zarówno kryjówek jak i miejsc cieplejszych</w:t>
      </w:r>
      <w:r w:rsidR="004A247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pole uprawne nie stanowi dla nich kluczowego siedliska, a jego przekształcenie nie stanowi ubytku.</w:t>
      </w:r>
    </w:p>
    <w:p w14:paraId="00000064"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Na etapie eksploatacji farma fotowoltaiczna będzie siedliskiem bardziej dogodnym dla herpetofauny ze względu na dostępność, pokrycie terenu ekstensywną murawą, wyłączenie z upraw rolnych i brak zagrożeń w postaci ruchu maszyn. Ze względu na odległość od terenów leśnych i zadrzewionych, położenie w monotonnym krajobrazie rolniczym, można uznać, że teren nie ma istotnego znaczenia dla większych ssaków.</w:t>
      </w:r>
    </w:p>
    <w:p w14:paraId="00000065"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Pola uprawne są również miejscem bytowania drobniejszych ssaków takich jak np. lisy, krety, niektóre gryzonie. Obszar farmy fotowoltaicznej będzie dla nich w pełni dostępny. Ogrodzenie zawieszone na wysokości około 20 cm wykonane bez podmurówki nie stanowi dla nich przeszkody trudnej do sforsowania.</w:t>
      </w:r>
    </w:p>
    <w:p w14:paraId="00000066"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Obszar jest pozbawiony obiektów, które mogłyby stanowić potencjalne kryjówki nietoperzy np. budynków, piwnic, ruin, studni, jaskiń, dziuplastych drzew itd.</w:t>
      </w:r>
    </w:p>
    <w:p w14:paraId="00000067"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Pola uprawne są miejscem bytowania najbardziej powszechnych w kraju gatunków ptaków np. skowronka czy pliszki żółtej, które zakładają gniazda w uprawach polowych tuż przy gruncie. Ze względu na powszechność tych gatunków należy zakładać, że teren przedsięwzięcia jest miejscem ich gniazdowania. Wobec tego prace realizacyjne zostaną rozpoczęte po zbiorze upraw i po zakończeniu okresu lęgowego ptaków (bądź pod nadzorem wykwalifikowanego ornitologa).</w:t>
      </w:r>
    </w:p>
    <w:p w14:paraId="0000006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Realizacja inwestycji nie wiąże się z usuwaniem drzew, krzewów, budynków czy zbiorników wodnych, co znacznie ogranicza ryzyko niszczenia gniazd. Dla ptaków drapieżnych takich jak np. jastrząb, realizacja inwestycji może ograniczyć </w:t>
      </w:r>
      <w:proofErr w:type="spellStart"/>
      <w:r>
        <w:rPr>
          <w:rFonts w:ascii="Times New Roman" w:eastAsia="Times New Roman" w:hAnsi="Times New Roman" w:cs="Times New Roman"/>
          <w:color w:val="222222"/>
          <w:sz w:val="24"/>
          <w:szCs w:val="24"/>
        </w:rPr>
        <w:t>areal</w:t>
      </w:r>
      <w:proofErr w:type="spellEnd"/>
      <w:r>
        <w:rPr>
          <w:rFonts w:ascii="Times New Roman" w:eastAsia="Times New Roman" w:hAnsi="Times New Roman" w:cs="Times New Roman"/>
          <w:color w:val="222222"/>
          <w:sz w:val="24"/>
          <w:szCs w:val="24"/>
        </w:rPr>
        <w:t xml:space="preserve"> łowny. Jest to jednak stosunkowo niewielka powierzchnia a zajęty teren nie stanowi siedliska kluczowego dla żadnego gatunku.</w:t>
      </w:r>
    </w:p>
    <w:p w14:paraId="00000069"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6A"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Pola uprawne mogą stanowić miejsca przystankowe ptaków wędrownych. Jeśli pole uprawne zlokalizowane jest w pobliżu zbiorników wodnych i terenów podmokłych (brzegi jezior. torfowiska, podmokłe lasy), które mogą stanowić noclegowiska ptaków związanych ze środowiskiem wodnym np. łabędzi krzykliwych, żurawi, gęsi, tereny takie mogą stanowić siedliska kluczowe. </w:t>
      </w:r>
    </w:p>
    <w:p w14:paraId="0000006B"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Instalacja farmy fotowoltaicznej może być wykorzystywana przez niektóre gatunki np. </w:t>
      </w:r>
      <w:proofErr w:type="spellStart"/>
      <w:r>
        <w:rPr>
          <w:rFonts w:ascii="Times New Roman" w:eastAsia="Times New Roman" w:hAnsi="Times New Roman" w:cs="Times New Roman"/>
          <w:color w:val="222222"/>
          <w:sz w:val="24"/>
          <w:szCs w:val="24"/>
        </w:rPr>
        <w:t>łyszczakowate</w:t>
      </w:r>
      <w:proofErr w:type="spellEnd"/>
      <w:r>
        <w:rPr>
          <w:rFonts w:ascii="Times New Roman" w:eastAsia="Times New Roman" w:hAnsi="Times New Roman" w:cs="Times New Roman"/>
          <w:color w:val="222222"/>
          <w:sz w:val="24"/>
          <w:szCs w:val="24"/>
        </w:rPr>
        <w:t xml:space="preserve"> do zakładania gniazd.</w:t>
      </w:r>
    </w:p>
    <w:p w14:paraId="0000006C"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Planowana inwestycja w całości położona jest poza obszarami Natura 2000. Najbliżej położone obszary Natura 2000 położone są: </w:t>
      </w:r>
    </w:p>
    <w:p w14:paraId="0000006D"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ok. 0,01 km w kierunku wschodnim Zalew Wiślany PLB 280010,</w:t>
      </w:r>
    </w:p>
    <w:p w14:paraId="0000006E"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ok. 0,01 km w kierunku wschodnim Zalew Wiślany i Mierzeja Wiślana PLH 280007. </w:t>
      </w:r>
    </w:p>
    <w:p w14:paraId="0000006F" w14:textId="77777777" w:rsidR="00A97148" w:rsidRDefault="00A97148">
      <w:pPr>
        <w:shd w:val="clear" w:color="auto" w:fill="FFFFFF"/>
        <w:spacing w:after="0" w:line="276" w:lineRule="auto"/>
        <w:ind w:firstLine="720"/>
        <w:jc w:val="both"/>
        <w:rPr>
          <w:rFonts w:ascii="Times New Roman" w:eastAsia="Times New Roman" w:hAnsi="Times New Roman" w:cs="Times New Roman"/>
          <w:color w:val="222222"/>
          <w:sz w:val="24"/>
          <w:szCs w:val="24"/>
        </w:rPr>
      </w:pPr>
    </w:p>
    <w:p w14:paraId="00000070" w14:textId="77777777" w:rsidR="00A97148" w:rsidRDefault="00134BE0">
      <w:pPr>
        <w:shd w:val="clear" w:color="auto" w:fill="FFFFFF"/>
        <w:spacing w:after="0" w:line="276"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Mając na uwadze położenie geograficzne, skalę i charakter przedsięwzięcia, nie ma podstaw przypuszczać, aby realizacja inwestycji mogła spowodować modyfikację warunków ekologicznych ostoi, a tym samym:</w:t>
      </w:r>
    </w:p>
    <w:p w14:paraId="00000071"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spowodować utratę powierzchni lub fragmentację siedlisk gatunków chronionych w granicach ww. obszarów Natura 2000,</w:t>
      </w:r>
    </w:p>
    <w:p w14:paraId="00000072"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wpłynąć na pogorszenie stanu siedlisk przyrodniczych lub siedlisk gatunków roślin i zwierząt, dla których ochrony zostały wyznaczone ww. obszary Natura 2000,</w:t>
      </w:r>
    </w:p>
    <w:p w14:paraId="00000073"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wpłynąć negatywnie na gatunki, dla których ochrony obszary te zostały wyznaczone, pogorszyć integralność obszarów Natura 2000 lub ich powiązania z innymi obszarami,</w:t>
      </w:r>
    </w:p>
    <w:p w14:paraId="00000074"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nie utrudni ani nie wpłynie na realizację celów działań ochronnych. W związku z powyższym nie jest konieczne przeprowadzenie oceny w trybie art. 6.3 Dyrektywy Rady 92/43/EWG.</w:t>
      </w:r>
    </w:p>
    <w:p w14:paraId="00000075"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76"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Innymi najbliżej położonymi obszarami objętymi ochroną na podstawie przepisów ustawy z dnia 16 kwietnia 2004 r. o ochronie przyrody (Dz. U. z 2023 r., poz. 1336 z </w:t>
      </w:r>
      <w:proofErr w:type="spellStart"/>
      <w:r>
        <w:rPr>
          <w:rFonts w:ascii="Times New Roman" w:eastAsia="Times New Roman" w:hAnsi="Times New Roman" w:cs="Times New Roman"/>
          <w:color w:val="222222"/>
          <w:sz w:val="24"/>
          <w:szCs w:val="24"/>
        </w:rPr>
        <w:t>późn</w:t>
      </w:r>
      <w:proofErr w:type="spellEnd"/>
      <w:r>
        <w:rPr>
          <w:rFonts w:ascii="Times New Roman" w:eastAsia="Times New Roman" w:hAnsi="Times New Roman" w:cs="Times New Roman"/>
          <w:color w:val="222222"/>
          <w:sz w:val="24"/>
          <w:szCs w:val="24"/>
        </w:rPr>
        <w:t xml:space="preserve">. zm.) są </w:t>
      </w:r>
    </w:p>
    <w:p w14:paraId="00000077"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ok. 3,65 km w kierunku południowym Ujęcie Nogatu, ok. 2,72 km w kierunku zachodnim Park Krajobrazowy Mierzeja Wiślana,</w:t>
      </w:r>
    </w:p>
    <w:p w14:paraId="0000007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ok. 3,07 km w kierunku południowym Obszar Chronionego Krajobrazu Rzek Szkarpawy i Tugi.</w:t>
      </w:r>
    </w:p>
    <w:p w14:paraId="00000079"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7A" w14:textId="77777777" w:rsidR="00A97148" w:rsidRDefault="00134BE0">
      <w:pPr>
        <w:shd w:val="clear" w:color="auto" w:fill="FFFFFF"/>
        <w:spacing w:after="0" w:line="276"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Planowana inwestycja, ze względu na lokalizację poza ww. obszarami chronionymi, nie będzie wpływać na ich zachowanie ani nie spowoduje zmiany warunków panujących w ich obrębie. Przedsięwzięcie położone jest poza granicami korytarzy ekologicznych. Najbliższy korytarz ekologiczny znajduje się w odległości ok. 3,78 km na południowy wschód od planowanej inwestycji - Nogat KPn-10B. Realizacja zamierzenia nie spowoduje przerwania ciągłości tego korytarza ze względu na jej punktowy charakter i nie będzie zatem wpływać na jego drożność.</w:t>
      </w:r>
    </w:p>
    <w:p w14:paraId="0000007B"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7C"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3. Rodzaj i skalę możliwego oddziaływania na elementy środowiska zarówno na etapie realizacji przedsięwzięcia jak i jego funkcjonowania:</w:t>
      </w:r>
    </w:p>
    <w:p w14:paraId="0000007D"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Etap realizacji</w:t>
      </w:r>
    </w:p>
    <w:p w14:paraId="0000007E"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Budowa farmy fotowoltaicznej polega na montażu w większości gotowych elementów, jedynymi nieprzetworzonymi surowcami jakie zostaną wykorzystane w trakcie realizacji są: </w:t>
      </w:r>
    </w:p>
    <w:p w14:paraId="0000007F" w14:textId="77777777" w:rsidR="00A97148" w:rsidRDefault="00134BE0">
      <w:pPr>
        <w:numPr>
          <w:ilvl w:val="0"/>
          <w:numId w:val="6"/>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kruszywo (np. żwir w zależności od lokalnej podaży) jako podbudowa kontenerów i kabli ziemnych - ok. 4815 m³,</w:t>
      </w:r>
    </w:p>
    <w:p w14:paraId="00000080" w14:textId="77777777" w:rsidR="00A97148" w:rsidRDefault="00134BE0">
      <w:pPr>
        <w:numPr>
          <w:ilvl w:val="0"/>
          <w:numId w:val="6"/>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woda na cele socjalno-bytowe dowieziona w szczelnym zbiorniku - do 1,5 m³/dzień.</w:t>
      </w:r>
    </w:p>
    <w:p w14:paraId="00000081"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Przedsięwzięcie nie wiąże się z wydobyciem surowców, materiałów, wody czy kruszyw, pozyskiwania biomasy itd.</w:t>
      </w:r>
    </w:p>
    <w:p w14:paraId="00000082"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83"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Realizacja przedsięwzięcia nie należy do szczególnie energochłonnych, konieczne jest zużycie ok.:</w:t>
      </w:r>
    </w:p>
    <w:p w14:paraId="00000084" w14:textId="77777777" w:rsidR="00A97148" w:rsidRDefault="00134BE0">
      <w:pPr>
        <w:numPr>
          <w:ilvl w:val="0"/>
          <w:numId w:val="7"/>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 m³ oleju napędowego,</w:t>
      </w:r>
    </w:p>
    <w:p w14:paraId="00000085" w14:textId="77777777" w:rsidR="00A97148" w:rsidRDefault="00134BE0">
      <w:pPr>
        <w:numPr>
          <w:ilvl w:val="0"/>
          <w:numId w:val="7"/>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 kW/h prądu elektrycznego.</w:t>
      </w:r>
    </w:p>
    <w:p w14:paraId="00000086"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87"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Etap eksploatacji</w:t>
      </w:r>
    </w:p>
    <w:p w14:paraId="0000008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Działanie farmy fotowoltaicznej nie wiąże się z przetwarzaniem i zużywaniem jakichkolwiek materiałów. Na etapie eksploatacji farmy, jedynym surowcem jakiego należy dostarczać jest woda przeznaczona do czyszczenia paneli, w ilości około 36 m³ rocznie dla całego przedsięwzięcia. Jest to zapotrzebowanie na jednokrotne w ciągu roku mycie wszystkich paneli fotowoltaicznych. Wykorzystywana woda jest czysta chemicznie, mycie powoduje jej zanieczyszczenie jedynie zawiesiną składającą się z kurzu, cząstek gleby, fragmentów roślin, ptasich odchodów, osadów z deszczu. Prowadzenie prac takich jak mycie paneli i wykaszanie terenu farmy zostało oszacowane jako wymagające zasilania pojazdów ze zużyciem 1 Mg oleju napędowego rocznie. Energia elektryczna przeznaczona na potrzeby własne farmy fotowoltaicznej wynosi około 100 kW/h.</w:t>
      </w:r>
    </w:p>
    <w:p w14:paraId="00000089"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8A"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Rozwiązanie chroniące środowisko</w:t>
      </w:r>
    </w:p>
    <w:p w14:paraId="0000008B"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Środowisko wodno-gruntowe</w:t>
      </w:r>
    </w:p>
    <w:p w14:paraId="0000008C"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Etap realizacji i likwidacji</w:t>
      </w:r>
    </w:p>
    <w:p w14:paraId="0000008E" w14:textId="0D1F147B"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Wyposażenie budowy w maty sorpcyjne wykorzystywane do ewentualnych drobnych napraw i tankowania maszyn. Parkowanie w wyznaczonych zabezpieczonych</w:t>
      </w:r>
      <w:r w:rsidR="004A247B">
        <w:rPr>
          <w:rFonts w:ascii="Times New Roman" w:eastAsia="Times New Roman" w:hAnsi="Times New Roman" w:cs="Times New Roman"/>
          <w:color w:val="222222"/>
          <w:sz w:val="24"/>
          <w:szCs w:val="24"/>
        </w:rPr>
        <w:t xml:space="preserve"> miejscach.</w:t>
      </w:r>
    </w:p>
    <w:p w14:paraId="0000008F" w14:textId="3E18DEDC"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Wyposażenie budowy w sorbenty sypkie wykorzystywane </w:t>
      </w:r>
      <w:r w:rsidR="004A247B">
        <w:rPr>
          <w:rFonts w:ascii="Times New Roman" w:eastAsia="Times New Roman" w:hAnsi="Times New Roman" w:cs="Times New Roman"/>
          <w:color w:val="222222"/>
          <w:sz w:val="24"/>
          <w:szCs w:val="24"/>
        </w:rPr>
        <w:t xml:space="preserve">w przypadku </w:t>
      </w:r>
      <w:r>
        <w:rPr>
          <w:rFonts w:ascii="Times New Roman" w:eastAsia="Times New Roman" w:hAnsi="Times New Roman" w:cs="Times New Roman"/>
          <w:color w:val="222222"/>
          <w:sz w:val="24"/>
          <w:szCs w:val="24"/>
        </w:rPr>
        <w:t>niekontrolowanego wycieku</w:t>
      </w:r>
      <w:r w:rsidR="004A247B">
        <w:rPr>
          <w:rFonts w:ascii="Times New Roman" w:eastAsia="Times New Roman" w:hAnsi="Times New Roman" w:cs="Times New Roman"/>
          <w:color w:val="222222"/>
          <w:sz w:val="24"/>
          <w:szCs w:val="24"/>
        </w:rPr>
        <w:t xml:space="preserve"> substancji</w:t>
      </w:r>
      <w:r>
        <w:rPr>
          <w:rFonts w:ascii="Times New Roman" w:eastAsia="Times New Roman" w:hAnsi="Times New Roman" w:cs="Times New Roman"/>
          <w:color w:val="222222"/>
          <w:sz w:val="24"/>
          <w:szCs w:val="24"/>
        </w:rPr>
        <w:t xml:space="preserve"> ropopochodnych. </w:t>
      </w:r>
    </w:p>
    <w:p w14:paraId="00000090"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Wyposażenie budowy w szczelne zbiorniki do zebrania wykorzystanego sorbentu Przekazywanie odpadu do uprawnionego podmiotu.</w:t>
      </w:r>
    </w:p>
    <w:p w14:paraId="00000091"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Selektywna zbiórka odpadów na terenie prac, przekazywanie ich uprawnionym podmiotom.</w:t>
      </w:r>
    </w:p>
    <w:p w14:paraId="00000092"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Dojazd do terenu przedsięwzięcia będzie odbywał się wyłącznie z drogi gminnej. Nie zostanie wyznaczona żadna dodatkowa trasa przejazdu.</w:t>
      </w:r>
    </w:p>
    <w:p w14:paraId="00000093"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Wykorzystywane będą sprawne technicznie urządzenia i pojazdy posiadające aktualne przeglądy techniczne.</w:t>
      </w:r>
    </w:p>
    <w:p w14:paraId="00000094" w14:textId="5D7A8159"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Zaplecze budowy zostanie wyposażone w węzeł sanitarny przeznaczony </w:t>
      </w:r>
      <w:proofErr w:type="spellStart"/>
      <w:r>
        <w:rPr>
          <w:rFonts w:ascii="Times New Roman" w:eastAsia="Times New Roman" w:hAnsi="Times New Roman" w:cs="Times New Roman"/>
          <w:color w:val="222222"/>
          <w:sz w:val="24"/>
          <w:szCs w:val="24"/>
        </w:rPr>
        <w:t>dia</w:t>
      </w:r>
      <w:proofErr w:type="spellEnd"/>
      <w:r>
        <w:rPr>
          <w:rFonts w:ascii="Times New Roman" w:eastAsia="Times New Roman" w:hAnsi="Times New Roman" w:cs="Times New Roman"/>
          <w:color w:val="222222"/>
          <w:sz w:val="24"/>
          <w:szCs w:val="24"/>
        </w:rPr>
        <w:t xml:space="preserve"> pracowników wraz z toaletami </w:t>
      </w:r>
      <w:r w:rsidR="004A247B">
        <w:rPr>
          <w:rFonts w:ascii="Times New Roman" w:eastAsia="Times New Roman" w:hAnsi="Times New Roman" w:cs="Times New Roman"/>
          <w:color w:val="222222"/>
          <w:sz w:val="24"/>
          <w:szCs w:val="24"/>
        </w:rPr>
        <w:t>przenośnymi</w:t>
      </w:r>
      <w:r>
        <w:rPr>
          <w:rFonts w:ascii="Times New Roman" w:eastAsia="Times New Roman" w:hAnsi="Times New Roman" w:cs="Times New Roman"/>
          <w:color w:val="222222"/>
          <w:sz w:val="24"/>
          <w:szCs w:val="24"/>
        </w:rPr>
        <w:t xml:space="preserve">. Ścieki będą obierane i odpowiednio utylizowane przez uprawniony do serwisowania podmiot w szczelnych zbiornikach. </w:t>
      </w:r>
    </w:p>
    <w:p w14:paraId="00000095"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Wykonywanie prac najlżejszym sprzętem jakim jest to racjonalne, np. rowy do posadowienia linii kablowych zostaną wykopane minikoparką.</w:t>
      </w:r>
    </w:p>
    <w:p w14:paraId="00000096"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Zeskarpowanie</w:t>
      </w:r>
      <w:proofErr w:type="spellEnd"/>
      <w:r>
        <w:rPr>
          <w:rFonts w:ascii="Times New Roman" w:eastAsia="Times New Roman" w:hAnsi="Times New Roman" w:cs="Times New Roman"/>
          <w:color w:val="222222"/>
          <w:sz w:val="24"/>
          <w:szCs w:val="24"/>
        </w:rPr>
        <w:t xml:space="preserve"> warstwy orno-próchnicznej gleby przed rozpoczęciem prac ziemnych, złożenie jej na pryzmie i rozścielenie po zakończeniu prac. </w:t>
      </w:r>
    </w:p>
    <w:p w14:paraId="00000097"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Montaż elementów bez wylewania fundamentów: kontenerowe magazyny energii i stacje transformatorowe zostaną posadowione na prefabrykowanych płytach. Słupki konstrukcji wsporczych i słupki ogrodzeniowe zostaną posadowione przez wbijanie kafarem. </w:t>
      </w:r>
    </w:p>
    <w:p w14:paraId="00000098"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Wszelkie wykopy będą możliwie szybko zasypywane w celu ochrony przed erozją. Prace ziemne nie będą prowadzone w trakcie opadów atmosferycznych. </w:t>
      </w:r>
    </w:p>
    <w:p w14:paraId="00000099"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Kultywacja terenu i wysiew mieszanki traw rodzimych po zakończeniu prac- w celu ochrony przed erozją. </w:t>
      </w:r>
    </w:p>
    <w:p w14:paraId="0000009A" w14:textId="77777777" w:rsidR="00A97148" w:rsidRDefault="00134BE0">
      <w:pPr>
        <w:numPr>
          <w:ilvl w:val="0"/>
          <w:numId w:val="5"/>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Ścieżki techniczne pozostaną nieutwardzone, oraz niezagęszczone i zostaną obsiane trawą, co pozwoli zachować wysoki potencjał retencyjny terenu.</w:t>
      </w:r>
    </w:p>
    <w:p w14:paraId="0000009B"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9C"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Etap eksploatacji</w:t>
      </w:r>
    </w:p>
    <w:p w14:paraId="0000009D" w14:textId="77777777" w:rsidR="00A97148" w:rsidRDefault="00134BE0">
      <w:pPr>
        <w:numPr>
          <w:ilvl w:val="0"/>
          <w:numId w:val="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Mycie paneli będzie wykonywane jedynie w razie znaczącego spadku wydajności instalacji, za pomocą czystej chemicznie wody.</w:t>
      </w:r>
    </w:p>
    <w:p w14:paraId="0000009E" w14:textId="77777777" w:rsidR="00A97148" w:rsidRDefault="00134BE0">
      <w:pPr>
        <w:numPr>
          <w:ilvl w:val="0"/>
          <w:numId w:val="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Murawa pokrywająca teren przedsięwzięcia będzie utrzymywana bez zastosowania nawozów i chemicznych środków ochrony roślin.</w:t>
      </w:r>
    </w:p>
    <w:p w14:paraId="0000009F" w14:textId="77777777" w:rsidR="00A97148" w:rsidRDefault="00134BE0">
      <w:pPr>
        <w:numPr>
          <w:ilvl w:val="0"/>
          <w:numId w:val="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 przypadku zastosowania transformatorów olejowych, będą one umieszczone w wannach olejowych a stacja transformatorowa zostanie wyposażona w sorbenty i szczelne pojemniki przystosowane do bezpiecznego wywozu odpadów.</w:t>
      </w:r>
    </w:p>
    <w:p w14:paraId="000000A0" w14:textId="77777777" w:rsidR="00A97148" w:rsidRDefault="00134BE0">
      <w:pPr>
        <w:numPr>
          <w:ilvl w:val="0"/>
          <w:numId w:val="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 przypadku wycieku substancji ropopochodnych np. w trakcie koszenia lub mycia paneli zostaną one zebrane za pomocą sorbentów i przewiezione w szczelnych pojemnikach.</w:t>
      </w:r>
    </w:p>
    <w:p w14:paraId="000000A1"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A2"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Powietrze atmosferyczne</w:t>
      </w:r>
    </w:p>
    <w:p w14:paraId="000000A4" w14:textId="6ED7E37C"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Realizacja przedsięwzięcia wiąże się z niezorganizowaną emisja </w:t>
      </w:r>
      <w:r w:rsidR="004A247B">
        <w:rPr>
          <w:rFonts w:ascii="Times New Roman" w:eastAsia="Times New Roman" w:hAnsi="Times New Roman" w:cs="Times New Roman"/>
          <w:color w:val="222222"/>
          <w:sz w:val="24"/>
          <w:szCs w:val="24"/>
        </w:rPr>
        <w:t>spalin</w:t>
      </w:r>
      <w:r>
        <w:rPr>
          <w:rFonts w:ascii="Times New Roman" w:eastAsia="Times New Roman" w:hAnsi="Times New Roman" w:cs="Times New Roman"/>
          <w:color w:val="222222"/>
          <w:sz w:val="24"/>
          <w:szCs w:val="24"/>
        </w:rPr>
        <w:t xml:space="preserve"> powstałych wskutek pracy maszyn. </w:t>
      </w:r>
    </w:p>
    <w:p w14:paraId="000000A5"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 każdym przypadku gdy jest to racjonalne ciężki sprzęt zostanie zastąpiony sprzętem lekkim bądź narzędziami ręcznymi. Ze względu na krótkotrwały charakter prac, oraz niewielką ilość czynności które należy wykonać, nie przewiduje się dodatkowego ograniczania emisji spalin.</w:t>
      </w:r>
    </w:p>
    <w:p w14:paraId="000000A6"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Prace prowadzone będą urządzeniami sprawnymi technicznie posiadającymi aktualne przeglądy techniczne.</w:t>
      </w:r>
    </w:p>
    <w:p w14:paraId="000000A7"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A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Klimat akustyczny</w:t>
      </w:r>
    </w:p>
    <w:p w14:paraId="000000A9" w14:textId="726FE92F" w:rsidR="00A97148" w:rsidRDefault="00134BE0">
      <w:pPr>
        <w:numPr>
          <w:ilvl w:val="0"/>
          <w:numId w:val="10"/>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Prace realizacyjne będą prowadzone z wykorzystaniem sprawnego technicznie sprzętu</w:t>
      </w:r>
      <w:r w:rsidR="004A247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który odpowiada wymaganiom o maksymalnej dopuszczalnej mocy akustycznej urządzenia.</w:t>
      </w:r>
    </w:p>
    <w:p w14:paraId="000000AA" w14:textId="77777777" w:rsidR="00A97148" w:rsidRDefault="00134BE0">
      <w:pPr>
        <w:numPr>
          <w:ilvl w:val="0"/>
          <w:numId w:val="10"/>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Prace realizacyjne prowadzone będą wyłącznie w godzinach dziennych (6:00-22:00) po wcześniejszym poinformowaniu mieszkańców najbliższej zabudowy o zamiarze wykonania prac i przewidywanym terminie zakończenia.</w:t>
      </w:r>
    </w:p>
    <w:p w14:paraId="000000AB" w14:textId="77777777" w:rsidR="00A97148" w:rsidRDefault="00134BE0">
      <w:pPr>
        <w:numPr>
          <w:ilvl w:val="0"/>
          <w:numId w:val="10"/>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Tymczasowe zaplecze budowy będzie zlokalizowane w największej racjonalnej odległości od istniejących zabudowań.</w:t>
      </w:r>
    </w:p>
    <w:p w14:paraId="000000AC" w14:textId="77777777" w:rsidR="00A97148" w:rsidRDefault="00134BE0">
      <w:pPr>
        <w:numPr>
          <w:ilvl w:val="0"/>
          <w:numId w:val="10"/>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Wszelkie prace realizacyjne i transport materiałów budowlanych prowadzone będą w porze dziennej. </w:t>
      </w:r>
    </w:p>
    <w:p w14:paraId="000000AD" w14:textId="4D7E26EB" w:rsidR="00A97148" w:rsidRDefault="00134BE0">
      <w:pPr>
        <w:numPr>
          <w:ilvl w:val="0"/>
          <w:numId w:val="10"/>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Wszystkie urządzenia stanowiące trwały element farmy fotowoltaicznej, który może być emiterem dźwięków zostaną zlokalizowane w maksymalnym racjonalnym oddaleniu od istniejącej zabudowy</w:t>
      </w:r>
      <w:r w:rsidR="004A247B">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004A247B">
        <w:rPr>
          <w:rFonts w:ascii="Times New Roman" w:eastAsia="Times New Roman" w:hAnsi="Times New Roman" w:cs="Times New Roman"/>
          <w:color w:val="222222"/>
          <w:sz w:val="24"/>
          <w:szCs w:val="24"/>
        </w:rPr>
        <w:t>g</w:t>
      </w:r>
      <w:r>
        <w:rPr>
          <w:rFonts w:ascii="Times New Roman" w:eastAsia="Times New Roman" w:hAnsi="Times New Roman" w:cs="Times New Roman"/>
          <w:color w:val="222222"/>
          <w:sz w:val="24"/>
          <w:szCs w:val="24"/>
        </w:rPr>
        <w:t>warantującym, że na terenie zabudowy mieszkalnej nie zostaną przekroczone dopuszczalne poziomy hałasu.</w:t>
      </w:r>
    </w:p>
    <w:p w14:paraId="000000AE"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AF"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Etap eksploatacji</w:t>
      </w:r>
    </w:p>
    <w:p w14:paraId="000000B0" w14:textId="77777777" w:rsidR="00A97148" w:rsidRDefault="00134BE0">
      <w:pPr>
        <w:numPr>
          <w:ilvl w:val="0"/>
          <w:numId w:val="1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Ewentualne prace serwisowe, wykaszanie terenu, mycie paneli fotowoltaicznych prowadzone będą zawsze w porze dziennej.</w:t>
      </w:r>
    </w:p>
    <w:p w14:paraId="000000B1" w14:textId="77777777" w:rsidR="00A97148" w:rsidRDefault="00134BE0">
      <w:pPr>
        <w:numPr>
          <w:ilvl w:val="0"/>
          <w:numId w:val="1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Wszystkie urządzenia stanowiące stałe elementy farmy fotowoltaicznej będą utrzymane w najwyższej dbałości. W szczególności stacja transformatorowa, powinna zapewnić właściwe ekranowanie emisji dźwięków pochodzących z wentylatorów.</w:t>
      </w:r>
    </w:p>
    <w:p w14:paraId="000000B2" w14:textId="77777777" w:rsidR="00A97148" w:rsidRDefault="00134BE0">
      <w:pPr>
        <w:numPr>
          <w:ilvl w:val="0"/>
          <w:numId w:val="11"/>
        </w:num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Zastosowane zostaną transformatory i inwertery o możliwie najniższej mocy akustycznej. Stacje transformatorowe zorientowane będą ścianą z systemem wentylacyjnym zawsze w kierunku odwrotnym do najbliższej zabudowy.</w:t>
      </w:r>
    </w:p>
    <w:p w14:paraId="000000B3"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B4"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Wszystkie wspomniane rozwiązania realizowane będą w celu minimalizacji negatywnego wpływu przedsięwzięcia na środowisko naturalne oraz zdrowia ludzi, a także w celu zachowania wszelkich obowiązujących norm ochrony środowiska.</w:t>
      </w:r>
    </w:p>
    <w:p w14:paraId="000000B5"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B6"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Przedsięwzięcie na etapie realizacji i eksploatacji nie wpłynie znacząco negatywnie na pogłębianie zmian klimatycznych. Ponadto nie przewiduje się, aby klimat i jego zmiany miały znaczący wpływ na funkcjonowanie przedmiotowego przedsięwzięcia. Realizacja przedsięwzięcia przyczyni się do redukcji emisji gazów cieplarniach.</w:t>
      </w:r>
    </w:p>
    <w:p w14:paraId="000000B7"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B8"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Inwestycja swą lokalizacją nie wpłynie istotnie na cele ochrony oraz walory krajobrazowe obszaru.</w:t>
      </w:r>
    </w:p>
    <w:p w14:paraId="000000B9" w14:textId="77777777" w:rsidR="00A97148" w:rsidRDefault="00A97148">
      <w:pPr>
        <w:shd w:val="clear" w:color="auto" w:fill="FFFFFF"/>
        <w:spacing w:after="0" w:line="276" w:lineRule="auto"/>
        <w:jc w:val="both"/>
        <w:rPr>
          <w:rFonts w:ascii="Times New Roman" w:eastAsia="Times New Roman" w:hAnsi="Times New Roman" w:cs="Times New Roman"/>
          <w:color w:val="222222"/>
          <w:sz w:val="24"/>
          <w:szCs w:val="24"/>
        </w:rPr>
      </w:pPr>
    </w:p>
    <w:p w14:paraId="000000BA" w14:textId="77777777" w:rsidR="00A97148" w:rsidRDefault="00134BE0">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Na terenie, na którym planowana jest budowa elektrowni fotowoltaicznej oraz w obszarze jej oddziaływania, nie są i nie były realizowane żadne przedsięwzięcia, które mogłyby prowadzić do powstania skumulowania oddziaływań z planowanym przedsięwzięciem.</w:t>
      </w:r>
    </w:p>
    <w:p w14:paraId="000000BB" w14:textId="77777777" w:rsidR="00A97148" w:rsidRDefault="00A97148">
      <w:pPr>
        <w:spacing w:after="0" w:line="276" w:lineRule="auto"/>
        <w:jc w:val="both"/>
        <w:rPr>
          <w:rFonts w:ascii="Times New Roman" w:eastAsia="Times New Roman" w:hAnsi="Times New Roman" w:cs="Times New Roman"/>
          <w:sz w:val="24"/>
          <w:szCs w:val="24"/>
          <w:u w:val="single"/>
        </w:rPr>
      </w:pPr>
    </w:p>
    <w:p w14:paraId="000000BC" w14:textId="77777777" w:rsidR="00A97148" w:rsidRDefault="00A97148">
      <w:pPr>
        <w:spacing w:after="0" w:line="276" w:lineRule="auto"/>
        <w:jc w:val="both"/>
        <w:rPr>
          <w:rFonts w:ascii="Times New Roman" w:eastAsia="Times New Roman" w:hAnsi="Times New Roman" w:cs="Times New Roman"/>
          <w:sz w:val="24"/>
          <w:szCs w:val="24"/>
        </w:rPr>
      </w:pPr>
    </w:p>
    <w:p w14:paraId="000000BD"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Według tutejszego organu, rodzaj skala i usytuowanie przedsięwzięcia nie będą stanowić zagrożenia dla stanu środowiska oraz zdrowia ludzi.</w:t>
      </w:r>
    </w:p>
    <w:p w14:paraId="000000BE"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 trakcie trwającego postępowania administracyjnego w przedmiocie wydania decyzji o środowiskowych uwarunkowaniach, strony miały możliwość wglądu do dokumentacji sprawy. Do dnia wydania niniejszej decyzji żadna ze stron nie wniosła uwag, wniosków i zastrzeżeń.</w:t>
      </w:r>
    </w:p>
    <w:p w14:paraId="000000BF" w14:textId="77777777"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Wobec powyższego orzeczono jak w sentencji.</w:t>
      </w:r>
    </w:p>
    <w:p w14:paraId="000000C0" w14:textId="77777777" w:rsidR="00A97148" w:rsidRDefault="00A97148">
      <w:pPr>
        <w:spacing w:after="0" w:line="276" w:lineRule="auto"/>
        <w:jc w:val="both"/>
        <w:rPr>
          <w:rFonts w:ascii="Times New Roman" w:eastAsia="Times New Roman" w:hAnsi="Times New Roman" w:cs="Times New Roman"/>
          <w:sz w:val="24"/>
          <w:szCs w:val="24"/>
        </w:rPr>
      </w:pPr>
    </w:p>
    <w:p w14:paraId="000000C1" w14:textId="77777777" w:rsidR="00A97148" w:rsidRDefault="00A97148">
      <w:pPr>
        <w:spacing w:line="276" w:lineRule="auto"/>
        <w:jc w:val="center"/>
        <w:rPr>
          <w:rFonts w:ascii="Times New Roman" w:eastAsia="Times New Roman" w:hAnsi="Times New Roman" w:cs="Times New Roman"/>
          <w:b/>
          <w:sz w:val="24"/>
          <w:szCs w:val="24"/>
        </w:rPr>
      </w:pPr>
    </w:p>
    <w:p w14:paraId="000000C2" w14:textId="77777777" w:rsidR="00A97148" w:rsidRDefault="00A97148">
      <w:pPr>
        <w:spacing w:line="276" w:lineRule="auto"/>
        <w:jc w:val="center"/>
        <w:rPr>
          <w:rFonts w:ascii="Times New Roman" w:eastAsia="Times New Roman" w:hAnsi="Times New Roman" w:cs="Times New Roman"/>
          <w:b/>
          <w:sz w:val="24"/>
          <w:szCs w:val="24"/>
        </w:rPr>
      </w:pPr>
    </w:p>
    <w:p w14:paraId="000000C3" w14:textId="77777777" w:rsidR="00A97148" w:rsidRDefault="00A97148">
      <w:pPr>
        <w:spacing w:line="276" w:lineRule="auto"/>
        <w:jc w:val="center"/>
        <w:rPr>
          <w:rFonts w:ascii="Times New Roman" w:eastAsia="Times New Roman" w:hAnsi="Times New Roman" w:cs="Times New Roman"/>
          <w:b/>
          <w:sz w:val="24"/>
          <w:szCs w:val="24"/>
        </w:rPr>
      </w:pPr>
    </w:p>
    <w:p w14:paraId="000000C4" w14:textId="77777777" w:rsidR="00A97148" w:rsidRDefault="00134BE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POUCZENIE</w:t>
      </w:r>
    </w:p>
    <w:p w14:paraId="000000C5" w14:textId="77777777" w:rsidR="00A97148" w:rsidRDefault="00A97148">
      <w:pPr>
        <w:spacing w:line="276" w:lineRule="auto"/>
        <w:rPr>
          <w:rFonts w:ascii="Times New Roman" w:eastAsia="Times New Roman" w:hAnsi="Times New Roman" w:cs="Times New Roman"/>
          <w:b/>
          <w:sz w:val="24"/>
          <w:szCs w:val="24"/>
        </w:rPr>
      </w:pPr>
    </w:p>
    <w:p w14:paraId="000000C6" w14:textId="77777777" w:rsidR="00A97148" w:rsidRDefault="00134BE0">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niniejszej decyzji służy stronom prawo odwołania do Samorządowego Kolegium Odwoławczego w Gdańsku za pośrednictwem Wójta Gminy Sztutowo, w terminie 14 dni od daty jej doręczenia.  </w:t>
      </w:r>
    </w:p>
    <w:p w14:paraId="000000C7" w14:textId="77777777" w:rsidR="00A97148" w:rsidRDefault="00134BE0">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trakcie biegu terminu do wniesienia odwołania strona może zrzec się prawa do wniesienia odwołania, składając stosowne oświadczenie organowi, który decyzję wydał, nie później niż w terminie 14 dni od dnia doręczenia decyzji (art. 127a §1 kpa).</w:t>
      </w:r>
    </w:p>
    <w:p w14:paraId="000000C8" w14:textId="77777777" w:rsidR="00A97148" w:rsidRDefault="00134BE0">
      <w:pPr>
        <w:spacing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Ponadto pouczam, iż w przypadku wykonywania prac w sposób mogący naruszyć zakazy obowiązujące w odniesieniu do chronionych gatunków należy przed rozpoczęciem tych prac uzyskać zezwolenie na wykonywanie czynności zabronionych wydawane w trybie art. 56 ustawy </w:t>
      </w:r>
      <w:r>
        <w:rPr>
          <w:rFonts w:ascii="Times New Roman" w:eastAsia="Times New Roman" w:hAnsi="Times New Roman" w:cs="Times New Roman"/>
          <w:i/>
          <w:sz w:val="24"/>
          <w:szCs w:val="24"/>
        </w:rPr>
        <w:t xml:space="preserve">o ochronie przyrody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Dz. U. z 2023 r. poz. 1336 ze zm.).</w:t>
      </w:r>
    </w:p>
    <w:p w14:paraId="000000C9" w14:textId="77777777" w:rsidR="00A97148" w:rsidRDefault="00A97148">
      <w:pPr>
        <w:spacing w:line="276" w:lineRule="auto"/>
        <w:rPr>
          <w:rFonts w:ascii="Times New Roman" w:eastAsia="Times New Roman" w:hAnsi="Times New Roman" w:cs="Times New Roman"/>
          <w:sz w:val="24"/>
          <w:szCs w:val="24"/>
        </w:rPr>
      </w:pPr>
    </w:p>
    <w:p w14:paraId="000000CA" w14:textId="77777777" w:rsidR="00A97148" w:rsidRDefault="00134BE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Za wydanie niniejszej decyzji pobrano opłatę skarbową w kwocie 205 zł  na podstawie Załącznika do ustawy z dnia 16 listopada 2006 r. o opłacie skarbowej - załącznik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cz. I pkt 45 (t. j. Dz. U. z 2023 r. </w:t>
      </w:r>
      <w:r>
        <w:rPr>
          <w:rFonts w:ascii="Times New Roman" w:eastAsia="Times New Roman" w:hAnsi="Times New Roman" w:cs="Times New Roman"/>
          <w:i/>
          <w:sz w:val="24"/>
          <w:szCs w:val="24"/>
        </w:rPr>
        <w:lastRenderedPageBreak/>
        <w:t xml:space="preserve">poz. 2111 ze zm.) oraz 17 zł za dokument stwierdzający udzielenie pełnomocnictwa. Potwierdzenie wykonanych operacji dołączono do dokumentacji sprawy. </w:t>
      </w:r>
    </w:p>
    <w:p w14:paraId="000000CB" w14:textId="77777777" w:rsidR="00A97148" w:rsidRDefault="00A97148">
      <w:pPr>
        <w:spacing w:line="276" w:lineRule="auto"/>
        <w:rPr>
          <w:rFonts w:ascii="Times New Roman" w:eastAsia="Times New Roman" w:hAnsi="Times New Roman" w:cs="Times New Roman"/>
          <w:sz w:val="24"/>
          <w:szCs w:val="24"/>
          <w:u w:val="single"/>
        </w:rPr>
      </w:pPr>
    </w:p>
    <w:p w14:paraId="4D804D4C" w14:textId="6B55E0B1" w:rsidR="00966FEA" w:rsidRPr="00966FEA" w:rsidRDefault="00966FEA" w:rsidP="00966FEA">
      <w:pPr>
        <w:spacing w:line="276" w:lineRule="auto"/>
        <w:ind w:left="2835"/>
        <w:jc w:val="center"/>
        <w:rPr>
          <w:rFonts w:ascii="Times New Roman" w:eastAsia="Times New Roman" w:hAnsi="Times New Roman" w:cs="Times New Roman"/>
          <w:sz w:val="24"/>
          <w:szCs w:val="24"/>
        </w:rPr>
      </w:pPr>
      <w:r w:rsidRPr="00966FEA">
        <w:rPr>
          <w:rFonts w:ascii="Times New Roman" w:eastAsia="Times New Roman" w:hAnsi="Times New Roman" w:cs="Times New Roman"/>
          <w:sz w:val="24"/>
          <w:szCs w:val="24"/>
        </w:rPr>
        <w:t>Wójt Gminy Sztutowo</w:t>
      </w:r>
    </w:p>
    <w:p w14:paraId="1E9229A3" w14:textId="4546CD44" w:rsidR="00966FEA" w:rsidRPr="00966FEA" w:rsidRDefault="00966FEA" w:rsidP="00966FEA">
      <w:pPr>
        <w:spacing w:line="276" w:lineRule="auto"/>
        <w:ind w:left="2835"/>
        <w:jc w:val="center"/>
        <w:rPr>
          <w:rFonts w:ascii="Times New Roman" w:eastAsia="Times New Roman" w:hAnsi="Times New Roman" w:cs="Times New Roman"/>
          <w:sz w:val="24"/>
          <w:szCs w:val="24"/>
        </w:rPr>
      </w:pPr>
      <w:r w:rsidRPr="00966FEA">
        <w:rPr>
          <w:rFonts w:ascii="Times New Roman" w:eastAsia="Times New Roman" w:hAnsi="Times New Roman" w:cs="Times New Roman"/>
          <w:sz w:val="24"/>
          <w:szCs w:val="24"/>
        </w:rPr>
        <w:t>Robert Zieliński</w:t>
      </w:r>
    </w:p>
    <w:p w14:paraId="000000CC" w14:textId="77777777" w:rsidR="00A97148" w:rsidRDefault="00A97148">
      <w:pPr>
        <w:spacing w:line="276" w:lineRule="auto"/>
        <w:rPr>
          <w:rFonts w:ascii="Times New Roman" w:eastAsia="Times New Roman" w:hAnsi="Times New Roman" w:cs="Times New Roman"/>
          <w:sz w:val="24"/>
          <w:szCs w:val="24"/>
          <w:u w:val="single"/>
        </w:rPr>
      </w:pPr>
    </w:p>
    <w:p w14:paraId="000000CD" w14:textId="77777777" w:rsidR="00A97148" w:rsidRDefault="00134BE0">
      <w:pPr>
        <w:pBdr>
          <w:top w:val="nil"/>
          <w:left w:val="nil"/>
          <w:bottom w:val="nil"/>
          <w:right w:val="nil"/>
          <w:between w:val="nil"/>
        </w:pBdr>
        <w:spacing w:after="28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Otrzymują:</w:t>
      </w:r>
    </w:p>
    <w:p w14:paraId="000000CE" w14:textId="77777777" w:rsidR="00A97148" w:rsidRDefault="00134BE0">
      <w:pPr>
        <w:numPr>
          <w:ilvl w:val="0"/>
          <w:numId w:val="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Wnioskodawca</w:t>
      </w:r>
    </w:p>
    <w:p w14:paraId="000000CF" w14:textId="77777777" w:rsidR="00A97148" w:rsidRDefault="00134BE0">
      <w:pPr>
        <w:numPr>
          <w:ilvl w:val="0"/>
          <w:numId w:val="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Pełnomocnik Wnioskodawcy</w:t>
      </w:r>
    </w:p>
    <w:p w14:paraId="000000D0" w14:textId="77777777" w:rsidR="00A97148" w:rsidRDefault="00134BE0">
      <w:pPr>
        <w:numPr>
          <w:ilvl w:val="0"/>
          <w:numId w:val="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Pozostałe Strony postępowania </w:t>
      </w:r>
    </w:p>
    <w:p w14:paraId="000000D1" w14:textId="77777777" w:rsidR="00A97148" w:rsidRDefault="00134BE0">
      <w:pPr>
        <w:numPr>
          <w:ilvl w:val="0"/>
          <w:numId w:val="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p>
    <w:p w14:paraId="000000D2" w14:textId="77777777" w:rsidR="00A97148" w:rsidRDefault="00A97148">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000000D3" w14:textId="77777777" w:rsidR="00A97148" w:rsidRDefault="00134BE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Do wiadomości:</w:t>
      </w:r>
    </w:p>
    <w:p w14:paraId="000000D4" w14:textId="77777777" w:rsidR="00A97148" w:rsidRDefault="00134BE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Regionalny Dyrektor Ochrony Środowiska w Gdańsku, ul. Chmielna 54/57, 80-748 Gdańsk</w:t>
      </w:r>
    </w:p>
    <w:p w14:paraId="000000D5" w14:textId="77777777" w:rsidR="00A97148" w:rsidRDefault="00134BE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Zarząd Zlewni w Elblągu,</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Aleja Tysiąclecia 11, 82-300 Elbląg</w:t>
      </w:r>
    </w:p>
    <w:p w14:paraId="000000D6" w14:textId="77777777" w:rsidR="00A97148" w:rsidRDefault="00134BE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sectPr w:rsidR="00A97148">
          <w:footerReference w:type="default" r:id="rId7"/>
          <w:pgSz w:w="11910" w:h="16840"/>
          <w:pgMar w:top="851" w:right="960" w:bottom="860" w:left="1200" w:header="0" w:footer="678" w:gutter="0"/>
          <w:pgNumType w:start="1"/>
          <w:cols w:space="708"/>
        </w:sectPr>
      </w:pPr>
      <w:r>
        <w:rPr>
          <w:rFonts w:ascii="Times New Roman" w:eastAsia="Times New Roman" w:hAnsi="Times New Roman" w:cs="Times New Roman"/>
          <w:color w:val="000000"/>
          <w:sz w:val="24"/>
          <w:szCs w:val="24"/>
        </w:rPr>
        <w:t>Państwowy Powiatowy Inspektor Sanitarny w Nowym Dworze Gdańskim, ul. Dworcowa 14, 82-100 Nowy Dwór Gdański</w:t>
      </w:r>
    </w:p>
    <w:p w14:paraId="000000D7" w14:textId="77777777" w:rsidR="00A97148" w:rsidRDefault="00134BE0">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Załącznik do decyzji Wójta Gminy Sztutowo</w:t>
      </w:r>
    </w:p>
    <w:p w14:paraId="000000D8" w14:textId="3E21B72B" w:rsidR="00A97148" w:rsidRDefault="00134BE0">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znak RRG-OŚ.6220.</w:t>
      </w:r>
      <w:r w:rsidR="004A247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.2024 z dnia </w:t>
      </w:r>
      <w:r w:rsidR="004A247B">
        <w:rPr>
          <w:rFonts w:ascii="Times New Roman" w:eastAsia="Times New Roman" w:hAnsi="Times New Roman" w:cs="Times New Roman"/>
          <w:sz w:val="24"/>
          <w:szCs w:val="24"/>
        </w:rPr>
        <w:t>19</w:t>
      </w:r>
      <w:r>
        <w:rPr>
          <w:rFonts w:ascii="Times New Roman" w:eastAsia="Times New Roman" w:hAnsi="Times New Roman" w:cs="Times New Roman"/>
          <w:sz w:val="24"/>
          <w:szCs w:val="24"/>
        </w:rPr>
        <w:t>.08.2024 r.</w:t>
      </w:r>
    </w:p>
    <w:p w14:paraId="000000D9" w14:textId="77777777" w:rsidR="00A97148" w:rsidRDefault="00A97148">
      <w:pPr>
        <w:spacing w:after="0" w:line="276" w:lineRule="auto"/>
        <w:jc w:val="right"/>
        <w:rPr>
          <w:rFonts w:ascii="Times New Roman" w:eastAsia="Times New Roman" w:hAnsi="Times New Roman" w:cs="Times New Roman"/>
          <w:b/>
          <w:sz w:val="24"/>
          <w:szCs w:val="24"/>
        </w:rPr>
      </w:pPr>
    </w:p>
    <w:p w14:paraId="000000DA" w14:textId="13B9AD9C" w:rsidR="00A97148" w:rsidRDefault="00134BE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środowiskowych uwarunkowaniach dla realizacji przedsięwzięcia dla przedsięwzięcia pn. </w:t>
      </w:r>
      <w:r w:rsidR="00AC5B35">
        <w:rPr>
          <w:rFonts w:ascii="Times New Roman" w:eastAsia="Times New Roman" w:hAnsi="Times New Roman" w:cs="Times New Roman"/>
          <w:i/>
          <w:sz w:val="24"/>
          <w:szCs w:val="24"/>
        </w:rPr>
        <w:t xml:space="preserve">„Budowa instalacji OZE o łącznej powierzchni zabudowy do 10 ha wraz z niezbędną infrastrukturą techniczną i elektroenergetyczną na działce ewidencyjnej nr 156/10 </w:t>
      </w:r>
      <w:proofErr w:type="spellStart"/>
      <w:r w:rsidR="00AC5B35">
        <w:rPr>
          <w:rFonts w:ascii="Times New Roman" w:eastAsia="Times New Roman" w:hAnsi="Times New Roman" w:cs="Times New Roman"/>
          <w:i/>
          <w:sz w:val="24"/>
          <w:szCs w:val="24"/>
        </w:rPr>
        <w:t>obr</w:t>
      </w:r>
      <w:proofErr w:type="spellEnd"/>
      <w:r w:rsidR="00AC5B35">
        <w:rPr>
          <w:rFonts w:ascii="Times New Roman" w:eastAsia="Times New Roman" w:hAnsi="Times New Roman" w:cs="Times New Roman"/>
          <w:i/>
          <w:sz w:val="24"/>
          <w:szCs w:val="24"/>
        </w:rPr>
        <w:t>. Łaszka gm. Sztutowo w województwie pomorskim"</w:t>
      </w:r>
    </w:p>
    <w:p w14:paraId="000000DB" w14:textId="77777777" w:rsidR="00A97148" w:rsidRDefault="00134BE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CHARAKTERYSTYKA PRZEDSIĘWZIĘCIA</w:t>
      </w:r>
    </w:p>
    <w:p w14:paraId="000000DC" w14:textId="77777777" w:rsidR="00A97148" w:rsidRDefault="00134BE0">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 Rodzaj, skala i usytuowanie przedsięwzięcia</w:t>
      </w:r>
    </w:p>
    <w:p w14:paraId="000000DF" w14:textId="05CF60D3" w:rsidR="00A97148" w:rsidRDefault="00AC5B3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Planowane przedsięwzięcie obejmuje budowę farmy fotowoltaicznej o mocy do 9MW i zespołem magazynów energii o mocy do 100MW o łącznej powierzchni zabudowy do 10 ha.</w:t>
      </w:r>
    </w:p>
    <w:p w14:paraId="57BC5127" w14:textId="488E0085" w:rsidR="00AC5B35" w:rsidRDefault="00AC5B3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Powierzchnia zabudowy systemami fotowoltaicznymi wyznaczona po obrysie zewnętrznych skrajni moduł</w:t>
      </w:r>
      <w:r w:rsidR="007F0C9E">
        <w:rPr>
          <w:rFonts w:ascii="Times New Roman" w:eastAsia="Times New Roman" w:hAnsi="Times New Roman" w:cs="Times New Roman"/>
          <w:sz w:val="24"/>
          <w:szCs w:val="24"/>
        </w:rPr>
        <w:t>ów paneli wynosi 5 ha.</w:t>
      </w:r>
    </w:p>
    <w:p w14:paraId="789C85DB" w14:textId="639C3497" w:rsidR="007F0C9E" w:rsidRPr="007F0C9E" w:rsidRDefault="007F0C9E" w:rsidP="007F0C9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Inwestycja służy do wytwarzania prądu elektrycznego za pomocą ogniw fotowoltaicznych</w:t>
      </w:r>
      <w:r>
        <w:rPr>
          <w:rFonts w:ascii="Segoe UI" w:eastAsia="Times New Roman" w:hAnsi="Segoe UI" w:cs="Segoe UI"/>
          <w:color w:val="000000"/>
          <w:sz w:val="20"/>
          <w:szCs w:val="20"/>
        </w:rPr>
        <w:t xml:space="preserve">. </w:t>
      </w:r>
      <w:r w:rsidRPr="007F0C9E">
        <w:rPr>
          <w:rFonts w:ascii="Times New Roman" w:eastAsia="Times New Roman" w:hAnsi="Times New Roman" w:cs="Times New Roman"/>
          <w:sz w:val="24"/>
          <w:szCs w:val="24"/>
        </w:rPr>
        <w:t>Większość obszaru inwestycji będzie pokryta przez rzędy paneli fotowoltaicznych. Wytwarzany prąd będzie magazynowany w zespole magazynów energii, a następnie przekazywane do sieci elektroenergetycznej za pomocą ziemnego przyłącza kablowego. Przewidywana trwałość inwestycji to 25 lat. </w:t>
      </w:r>
    </w:p>
    <w:p w14:paraId="27C81BDF" w14:textId="77777777" w:rsidR="007F0C9E" w:rsidRPr="007F0C9E" w:rsidRDefault="007F0C9E" w:rsidP="007F0C9E">
      <w:pPr>
        <w:spacing w:line="276" w:lineRule="auto"/>
        <w:jc w:val="both"/>
        <w:rPr>
          <w:rFonts w:ascii="Times New Roman" w:eastAsia="Times New Roman" w:hAnsi="Times New Roman" w:cs="Times New Roman"/>
          <w:sz w:val="24"/>
          <w:szCs w:val="24"/>
        </w:rPr>
      </w:pPr>
    </w:p>
    <w:p w14:paraId="42E1F07C" w14:textId="4DB9295E" w:rsidR="007F0C9E" w:rsidRPr="007F0C9E" w:rsidRDefault="007F0C9E" w:rsidP="007F0C9E">
      <w:pPr>
        <w:spacing w:line="276" w:lineRule="auto"/>
        <w:jc w:val="both"/>
        <w:rPr>
          <w:rFonts w:ascii="Times New Roman" w:eastAsia="Times New Roman" w:hAnsi="Times New Roman" w:cs="Times New Roman"/>
          <w:sz w:val="24"/>
          <w:szCs w:val="24"/>
        </w:rPr>
      </w:pPr>
      <w:r w:rsidRPr="007F0C9E">
        <w:rPr>
          <w:rFonts w:ascii="Times New Roman" w:eastAsia="Times New Roman" w:hAnsi="Times New Roman" w:cs="Times New Roman"/>
          <w:sz w:val="24"/>
          <w:szCs w:val="24"/>
        </w:rPr>
        <w:t xml:space="preserve">Obszar oddziaływania przedsięwzięcia został wyznaczony zgodnie z </w:t>
      </w:r>
      <w:r w:rsidR="00134BE0">
        <w:rPr>
          <w:rFonts w:ascii="Times New Roman" w:eastAsia="Times New Roman" w:hAnsi="Times New Roman" w:cs="Times New Roman"/>
          <w:sz w:val="24"/>
          <w:szCs w:val="24"/>
        </w:rPr>
        <w:t>art.</w:t>
      </w:r>
      <w:r w:rsidRPr="007F0C9E">
        <w:rPr>
          <w:rFonts w:ascii="Times New Roman" w:eastAsia="Times New Roman" w:hAnsi="Times New Roman" w:cs="Times New Roman"/>
          <w:sz w:val="24"/>
          <w:szCs w:val="24"/>
        </w:rPr>
        <w:t xml:space="preserve"> 74 ust.1</w:t>
      </w:r>
      <w:r w:rsidR="00134BE0">
        <w:rPr>
          <w:rFonts w:ascii="Times New Roman" w:eastAsia="Times New Roman" w:hAnsi="Times New Roman" w:cs="Times New Roman"/>
          <w:sz w:val="24"/>
          <w:szCs w:val="24"/>
        </w:rPr>
        <w:t xml:space="preserve"> </w:t>
      </w:r>
      <w:r w:rsidRPr="007F0C9E">
        <w:rPr>
          <w:rFonts w:ascii="Times New Roman" w:eastAsia="Times New Roman" w:hAnsi="Times New Roman" w:cs="Times New Roman"/>
          <w:sz w:val="24"/>
          <w:szCs w:val="24"/>
        </w:rPr>
        <w:t>pkt 8</w:t>
      </w:r>
      <w:r w:rsidR="00134BE0">
        <w:rPr>
          <w:rFonts w:ascii="Times New Roman" w:eastAsia="Times New Roman" w:hAnsi="Times New Roman" w:cs="Times New Roman"/>
          <w:sz w:val="24"/>
          <w:szCs w:val="24"/>
        </w:rPr>
        <w:t>)</w:t>
      </w:r>
      <w:r w:rsidRPr="007F0C9E">
        <w:rPr>
          <w:rFonts w:ascii="Times New Roman" w:eastAsia="Times New Roman" w:hAnsi="Times New Roman" w:cs="Times New Roman"/>
          <w:sz w:val="24"/>
          <w:szCs w:val="24"/>
        </w:rPr>
        <w:t xml:space="preserve"> ppkt.3a ustawy o udostępnieniu informacji o środowisku jego ochronie, udziale społeczeństwa w ochronie środowiska oraz ocenach oddziaływania na środowisko jako obszar w promieniu 100 m od granicy obszaru przedsięwzięcia. Obszar oddziaływania przedsięwzięcia ma powierzchnię: 33 ha.</w:t>
      </w:r>
    </w:p>
    <w:p w14:paraId="1A4A7DE4" w14:textId="0BEC2A7E" w:rsidR="007F0C9E" w:rsidRDefault="007F0C9E">
      <w:pPr>
        <w:spacing w:line="276" w:lineRule="auto"/>
        <w:jc w:val="both"/>
        <w:rPr>
          <w:rFonts w:ascii="Times New Roman" w:eastAsia="Times New Roman" w:hAnsi="Times New Roman" w:cs="Times New Roman"/>
          <w:sz w:val="24"/>
          <w:szCs w:val="24"/>
        </w:rPr>
      </w:pPr>
      <w:r w:rsidRPr="007F0C9E">
        <w:rPr>
          <w:rFonts w:ascii="Times New Roman" w:eastAsia="Times New Roman" w:hAnsi="Times New Roman" w:cs="Times New Roman"/>
          <w:sz w:val="24"/>
          <w:szCs w:val="24"/>
        </w:rPr>
        <w:t>Inwestor dopuszcza realizowanie inwestycji w etapach. </w:t>
      </w:r>
    </w:p>
    <w:p w14:paraId="29E72827" w14:textId="77777777" w:rsidR="007F0C9E" w:rsidRDefault="007F0C9E" w:rsidP="007F0C9E">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7F0C9E">
        <w:rPr>
          <w:rFonts w:ascii="Times New Roman" w:eastAsia="Times New Roman" w:hAnsi="Times New Roman" w:cs="Times New Roman"/>
          <w:color w:val="000000"/>
          <w:sz w:val="24"/>
          <w:szCs w:val="24"/>
        </w:rPr>
        <w:t xml:space="preserve">Głównymi elementami formy fotowoltaicznej mogą być: </w:t>
      </w:r>
    </w:p>
    <w:p w14:paraId="493C6DFA" w14:textId="3881BA28" w:rsidR="007F0C9E" w:rsidRPr="007F0C9E"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 xml:space="preserve">panele fotowoltaiczne </w:t>
      </w:r>
      <w:r w:rsidR="007F0E55">
        <w:rPr>
          <w:rFonts w:ascii="Times New Roman" w:eastAsia="Times New Roman" w:hAnsi="Times New Roman" w:cs="Times New Roman"/>
          <w:color w:val="000000"/>
          <w:sz w:val="24"/>
          <w:szCs w:val="24"/>
        </w:rPr>
        <w:t xml:space="preserve">- o </w:t>
      </w:r>
      <w:r w:rsidRPr="007F0C9E">
        <w:rPr>
          <w:rFonts w:ascii="Times New Roman" w:eastAsia="Times New Roman" w:hAnsi="Times New Roman" w:cs="Times New Roman"/>
          <w:color w:val="000000"/>
          <w:sz w:val="24"/>
          <w:szCs w:val="24"/>
        </w:rPr>
        <w:t>łączne maksymalnej mocy 9 MW</w:t>
      </w:r>
      <w:r w:rsidR="007F0E55">
        <w:rPr>
          <w:rFonts w:ascii="Times New Roman" w:eastAsia="Times New Roman" w:hAnsi="Times New Roman" w:cs="Times New Roman"/>
          <w:color w:val="000000"/>
          <w:sz w:val="24"/>
          <w:szCs w:val="24"/>
        </w:rPr>
        <w:t>,</w:t>
      </w:r>
    </w:p>
    <w:p w14:paraId="642C4A95" w14:textId="63CF7382" w:rsidR="007F0C9E" w:rsidRPr="007F0C9E"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inwertery</w:t>
      </w:r>
      <w:r w:rsidR="007F0E55">
        <w:rPr>
          <w:rFonts w:ascii="Times New Roman" w:eastAsia="Times New Roman" w:hAnsi="Times New Roman" w:cs="Times New Roman"/>
          <w:color w:val="000000"/>
          <w:sz w:val="24"/>
          <w:szCs w:val="24"/>
        </w:rPr>
        <w:t xml:space="preserve"> - </w:t>
      </w:r>
      <w:r w:rsidRPr="007F0C9E">
        <w:rPr>
          <w:rFonts w:ascii="Times New Roman" w:eastAsia="Times New Roman" w:hAnsi="Times New Roman" w:cs="Times New Roman"/>
          <w:color w:val="000000"/>
          <w:sz w:val="24"/>
          <w:szCs w:val="24"/>
        </w:rPr>
        <w:t>o łącznej maksymalnej mocy 9 MW</w:t>
      </w:r>
      <w:r w:rsidR="007F0E55">
        <w:rPr>
          <w:rFonts w:ascii="Times New Roman" w:eastAsia="Times New Roman" w:hAnsi="Times New Roman" w:cs="Times New Roman"/>
          <w:color w:val="000000"/>
          <w:sz w:val="24"/>
          <w:szCs w:val="24"/>
        </w:rPr>
        <w:t>,</w:t>
      </w:r>
      <w:r w:rsidRPr="007F0C9E">
        <w:rPr>
          <w:rFonts w:ascii="Times New Roman" w:eastAsia="Times New Roman" w:hAnsi="Times New Roman" w:cs="Times New Roman"/>
          <w:color w:val="000000"/>
          <w:sz w:val="24"/>
          <w:szCs w:val="24"/>
        </w:rPr>
        <w:t xml:space="preserve"> </w:t>
      </w:r>
    </w:p>
    <w:p w14:paraId="3BFE2724" w14:textId="0915B5EF"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stacje transformatorowe</w:t>
      </w:r>
      <w:r w:rsidR="007F0E55">
        <w:rPr>
          <w:rFonts w:ascii="Times New Roman" w:eastAsia="Times New Roman" w:hAnsi="Times New Roman" w:cs="Times New Roman"/>
          <w:color w:val="000000"/>
          <w:sz w:val="24"/>
          <w:szCs w:val="24"/>
        </w:rPr>
        <w:t xml:space="preserve"> -</w:t>
      </w:r>
      <w:r w:rsidRPr="007F0C9E">
        <w:rPr>
          <w:rFonts w:ascii="Times New Roman" w:eastAsia="Times New Roman" w:hAnsi="Times New Roman" w:cs="Times New Roman"/>
          <w:color w:val="000000"/>
          <w:sz w:val="24"/>
          <w:szCs w:val="24"/>
        </w:rPr>
        <w:t xml:space="preserve"> maksymalnie 9 sztuk o mocy 1 </w:t>
      </w:r>
      <w:r w:rsidR="007F0E55">
        <w:rPr>
          <w:rFonts w:ascii="Times New Roman" w:eastAsia="Times New Roman" w:hAnsi="Times New Roman" w:cs="Times New Roman"/>
          <w:color w:val="000000"/>
          <w:sz w:val="24"/>
          <w:szCs w:val="24"/>
        </w:rPr>
        <w:t>MVA</w:t>
      </w:r>
      <w:r w:rsidRPr="007F0C9E">
        <w:rPr>
          <w:rFonts w:ascii="Times New Roman" w:eastAsia="Times New Roman" w:hAnsi="Times New Roman" w:cs="Times New Roman"/>
          <w:color w:val="000000"/>
          <w:sz w:val="24"/>
          <w:szCs w:val="24"/>
        </w:rPr>
        <w:t xml:space="preserve"> i powierzchni do 60</w:t>
      </w:r>
      <w:r w:rsidR="007F0E55">
        <w:rPr>
          <w:rFonts w:ascii="Times New Roman" w:eastAsia="Times New Roman" w:hAnsi="Times New Roman" w:cs="Times New Roman"/>
          <w:color w:val="000000"/>
          <w:sz w:val="24"/>
          <w:szCs w:val="24"/>
        </w:rPr>
        <w:t> </w:t>
      </w:r>
      <w:r w:rsidRPr="007F0C9E">
        <w:rPr>
          <w:rFonts w:ascii="Times New Roman" w:eastAsia="Times New Roman" w:hAnsi="Times New Roman" w:cs="Times New Roman"/>
          <w:color w:val="000000"/>
          <w:sz w:val="24"/>
          <w:szCs w:val="24"/>
        </w:rPr>
        <w:t>m</w:t>
      </w:r>
      <w:r w:rsidRPr="007F0E55">
        <w:rPr>
          <w:rFonts w:ascii="Times New Roman" w:eastAsia="Times New Roman" w:hAnsi="Times New Roman" w:cs="Times New Roman"/>
          <w:color w:val="000000"/>
          <w:sz w:val="24"/>
          <w:szCs w:val="24"/>
          <w:vertAlign w:val="superscript"/>
        </w:rPr>
        <w:t>2</w:t>
      </w:r>
      <w:r w:rsidR="007F0E55">
        <w:rPr>
          <w:rFonts w:ascii="Times New Roman" w:eastAsia="Times New Roman" w:hAnsi="Times New Roman" w:cs="Times New Roman"/>
          <w:color w:val="000000"/>
          <w:sz w:val="24"/>
          <w:szCs w:val="24"/>
        </w:rPr>
        <w:t xml:space="preserve">, </w:t>
      </w:r>
      <w:r w:rsidRPr="007F0C9E">
        <w:rPr>
          <w:rFonts w:ascii="Times New Roman" w:eastAsia="Times New Roman" w:hAnsi="Times New Roman" w:cs="Times New Roman"/>
          <w:color w:val="000000"/>
          <w:sz w:val="24"/>
          <w:szCs w:val="24"/>
        </w:rPr>
        <w:t>lub mniejsza liczba większych urządzeń</w:t>
      </w:r>
      <w:r w:rsidR="007F0E55">
        <w:rPr>
          <w:rFonts w:ascii="Times New Roman" w:eastAsia="Times New Roman" w:hAnsi="Times New Roman" w:cs="Times New Roman"/>
          <w:color w:val="000000"/>
          <w:sz w:val="24"/>
          <w:szCs w:val="24"/>
        </w:rPr>
        <w:t>,</w:t>
      </w:r>
      <w:r w:rsidRPr="007F0C9E">
        <w:rPr>
          <w:rFonts w:ascii="Times New Roman" w:eastAsia="Times New Roman" w:hAnsi="Times New Roman" w:cs="Times New Roman"/>
          <w:color w:val="000000"/>
          <w:sz w:val="24"/>
          <w:szCs w:val="24"/>
        </w:rPr>
        <w:t xml:space="preserve"> </w:t>
      </w:r>
    </w:p>
    <w:p w14:paraId="7D7E80FA" w14:textId="43B464FD"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 xml:space="preserve">konstrukcje </w:t>
      </w:r>
      <w:r w:rsidR="007F0E55">
        <w:rPr>
          <w:rFonts w:ascii="Times New Roman" w:eastAsia="Times New Roman" w:hAnsi="Times New Roman" w:cs="Times New Roman"/>
          <w:color w:val="000000"/>
          <w:sz w:val="24"/>
          <w:szCs w:val="24"/>
        </w:rPr>
        <w:t>wsporcze</w:t>
      </w:r>
      <w:r w:rsidRPr="007F0C9E">
        <w:rPr>
          <w:rFonts w:ascii="Times New Roman" w:eastAsia="Times New Roman" w:hAnsi="Times New Roman" w:cs="Times New Roman"/>
          <w:color w:val="000000"/>
          <w:sz w:val="24"/>
          <w:szCs w:val="24"/>
        </w:rPr>
        <w:t xml:space="preserve"> stałe lub zastosowaniem konstrukcji nadążnej</w:t>
      </w:r>
      <w:r w:rsidR="007F0E55">
        <w:rPr>
          <w:rFonts w:ascii="Times New Roman" w:eastAsia="Times New Roman" w:hAnsi="Times New Roman" w:cs="Times New Roman"/>
          <w:color w:val="000000"/>
          <w:sz w:val="24"/>
          <w:szCs w:val="24"/>
        </w:rPr>
        <w:t>,</w:t>
      </w:r>
      <w:r w:rsidRPr="007F0C9E">
        <w:rPr>
          <w:rFonts w:ascii="Times New Roman" w:eastAsia="Times New Roman" w:hAnsi="Times New Roman" w:cs="Times New Roman"/>
          <w:color w:val="000000"/>
          <w:sz w:val="24"/>
          <w:szCs w:val="24"/>
        </w:rPr>
        <w:t xml:space="preserve"> </w:t>
      </w:r>
    </w:p>
    <w:p w14:paraId="3AD30CA4" w14:textId="37BFA0D2"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ogrodzenie farmy fotowoltaicznej wraz z kierunkowym oświetleniem i systemem monitoringu</w:t>
      </w:r>
      <w:r w:rsidR="007F0E55">
        <w:rPr>
          <w:rFonts w:ascii="Times New Roman" w:eastAsia="Times New Roman" w:hAnsi="Times New Roman" w:cs="Times New Roman"/>
          <w:color w:val="000000"/>
          <w:sz w:val="24"/>
          <w:szCs w:val="24"/>
        </w:rPr>
        <w:t>,</w:t>
      </w:r>
    </w:p>
    <w:p w14:paraId="730AB1E2" w14:textId="7656A5B0" w:rsidR="007F0E55" w:rsidRPr="007F0E55" w:rsidRDefault="007F0E55"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 xml:space="preserve">wewnętrzne </w:t>
      </w:r>
      <w:r w:rsidR="007F0C9E" w:rsidRPr="007F0C9E">
        <w:rPr>
          <w:rFonts w:ascii="Times New Roman" w:eastAsia="Times New Roman" w:hAnsi="Times New Roman" w:cs="Times New Roman"/>
          <w:color w:val="000000"/>
          <w:sz w:val="24"/>
          <w:szCs w:val="24"/>
        </w:rPr>
        <w:t>ziemne linie prz</w:t>
      </w:r>
      <w:r>
        <w:rPr>
          <w:rFonts w:ascii="Times New Roman" w:eastAsia="Times New Roman" w:hAnsi="Times New Roman" w:cs="Times New Roman"/>
          <w:color w:val="000000"/>
          <w:sz w:val="24"/>
          <w:szCs w:val="24"/>
        </w:rPr>
        <w:t>e</w:t>
      </w:r>
      <w:r w:rsidR="007F0C9E" w:rsidRPr="007F0C9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y</w:t>
      </w:r>
      <w:r w:rsidR="007F0C9E" w:rsidRPr="007F0C9E">
        <w:rPr>
          <w:rFonts w:ascii="Times New Roman" w:eastAsia="Times New Roman" w:hAnsi="Times New Roman" w:cs="Times New Roman"/>
          <w:color w:val="000000"/>
          <w:sz w:val="24"/>
          <w:szCs w:val="24"/>
        </w:rPr>
        <w:t>łow</w:t>
      </w:r>
      <w:r>
        <w:rPr>
          <w:rFonts w:ascii="Times New Roman" w:eastAsia="Times New Roman" w:hAnsi="Times New Roman" w:cs="Times New Roman"/>
          <w:color w:val="000000"/>
          <w:sz w:val="24"/>
          <w:szCs w:val="24"/>
        </w:rPr>
        <w:t>e</w:t>
      </w:r>
      <w:r w:rsidR="007F0C9E" w:rsidRPr="007F0C9E">
        <w:rPr>
          <w:rFonts w:ascii="Times New Roman" w:eastAsia="Times New Roman" w:hAnsi="Times New Roman" w:cs="Times New Roman"/>
          <w:color w:val="000000"/>
          <w:sz w:val="24"/>
          <w:szCs w:val="24"/>
        </w:rPr>
        <w:t xml:space="preserve"> niskiego napięcia</w:t>
      </w:r>
      <w:r>
        <w:rPr>
          <w:rFonts w:ascii="Times New Roman" w:eastAsia="Times New Roman" w:hAnsi="Times New Roman" w:cs="Times New Roman"/>
          <w:color w:val="000000"/>
          <w:sz w:val="24"/>
          <w:szCs w:val="24"/>
        </w:rPr>
        <w:t>,</w:t>
      </w:r>
    </w:p>
    <w:p w14:paraId="4D72E415" w14:textId="5362B7A8"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urządzenia pomiarowo-kontrolne</w:t>
      </w:r>
      <w:r w:rsidR="007F0E55">
        <w:rPr>
          <w:rFonts w:ascii="Times New Roman" w:eastAsia="Times New Roman" w:hAnsi="Times New Roman" w:cs="Times New Roman"/>
          <w:color w:val="000000"/>
          <w:sz w:val="24"/>
          <w:szCs w:val="24"/>
        </w:rPr>
        <w:t>,</w:t>
      </w:r>
    </w:p>
    <w:p w14:paraId="75C22A17" w14:textId="00F2A639"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kontenerowe magazyny energii</w:t>
      </w:r>
      <w:r w:rsidR="007F0E55">
        <w:rPr>
          <w:rFonts w:ascii="Times New Roman" w:eastAsia="Times New Roman" w:hAnsi="Times New Roman" w:cs="Times New Roman"/>
          <w:color w:val="000000"/>
          <w:sz w:val="24"/>
          <w:szCs w:val="24"/>
        </w:rPr>
        <w:t xml:space="preserve"> -</w:t>
      </w:r>
      <w:r w:rsidRPr="007F0C9E">
        <w:rPr>
          <w:rFonts w:ascii="Times New Roman" w:eastAsia="Times New Roman" w:hAnsi="Times New Roman" w:cs="Times New Roman"/>
          <w:color w:val="000000"/>
          <w:sz w:val="24"/>
          <w:szCs w:val="24"/>
        </w:rPr>
        <w:t xml:space="preserve"> maksymalnie 100 sztuk o mocy 1 MW i powierzchni do około 30 m</w:t>
      </w:r>
      <w:r w:rsidRPr="007F0E55">
        <w:rPr>
          <w:rFonts w:ascii="Times New Roman" w:eastAsia="Times New Roman" w:hAnsi="Times New Roman" w:cs="Times New Roman"/>
          <w:color w:val="000000"/>
          <w:sz w:val="24"/>
          <w:szCs w:val="24"/>
          <w:vertAlign w:val="superscript"/>
        </w:rPr>
        <w:t>2</w:t>
      </w:r>
      <w:r w:rsidR="007F0E55">
        <w:rPr>
          <w:rFonts w:ascii="Times New Roman" w:eastAsia="Times New Roman" w:hAnsi="Times New Roman" w:cs="Times New Roman"/>
          <w:color w:val="000000"/>
          <w:sz w:val="24"/>
          <w:szCs w:val="24"/>
        </w:rPr>
        <w:t>,</w:t>
      </w:r>
    </w:p>
    <w:p w14:paraId="594603A7" w14:textId="77B2BEDC" w:rsidR="007F0E55" w:rsidRPr="007F0E55" w:rsidRDefault="007F0C9E" w:rsidP="007F0E55">
      <w:pPr>
        <w:pStyle w:val="Akapitzlist"/>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E46C0A"/>
          <w:sz w:val="24"/>
          <w:szCs w:val="24"/>
        </w:rPr>
      </w:pPr>
      <w:r w:rsidRPr="007F0C9E">
        <w:rPr>
          <w:rFonts w:ascii="Times New Roman" w:eastAsia="Times New Roman" w:hAnsi="Times New Roman" w:cs="Times New Roman"/>
          <w:color w:val="000000"/>
          <w:sz w:val="24"/>
          <w:szCs w:val="24"/>
        </w:rPr>
        <w:t>stacje transportowe rozdzielcze w zespole magazynów energii</w:t>
      </w:r>
      <w:r w:rsidR="007F0E55">
        <w:rPr>
          <w:rFonts w:ascii="Times New Roman" w:eastAsia="Times New Roman" w:hAnsi="Times New Roman" w:cs="Times New Roman"/>
          <w:color w:val="000000"/>
          <w:sz w:val="24"/>
          <w:szCs w:val="24"/>
        </w:rPr>
        <w:t xml:space="preserve"> -</w:t>
      </w:r>
      <w:r w:rsidRPr="007F0C9E">
        <w:rPr>
          <w:rFonts w:ascii="Times New Roman" w:eastAsia="Times New Roman" w:hAnsi="Times New Roman" w:cs="Times New Roman"/>
          <w:color w:val="000000"/>
          <w:sz w:val="24"/>
          <w:szCs w:val="24"/>
        </w:rPr>
        <w:t xml:space="preserve"> maksymalnie 25 sztuk o mocy 2 </w:t>
      </w:r>
      <w:r w:rsidR="007F0E55">
        <w:rPr>
          <w:rFonts w:ascii="Times New Roman" w:eastAsia="Times New Roman" w:hAnsi="Times New Roman" w:cs="Times New Roman"/>
          <w:color w:val="000000"/>
          <w:sz w:val="24"/>
          <w:szCs w:val="24"/>
        </w:rPr>
        <w:t>MVA</w:t>
      </w:r>
      <w:r w:rsidRPr="007F0C9E">
        <w:rPr>
          <w:rFonts w:ascii="Times New Roman" w:eastAsia="Times New Roman" w:hAnsi="Times New Roman" w:cs="Times New Roman"/>
          <w:color w:val="000000"/>
          <w:sz w:val="24"/>
          <w:szCs w:val="24"/>
        </w:rPr>
        <w:t xml:space="preserve"> i powierzchni do około 30 m², lub mniejszą liczbę większych urządzeń</w:t>
      </w:r>
      <w:r w:rsidR="007F0E55">
        <w:rPr>
          <w:rFonts w:ascii="Times New Roman" w:eastAsia="Times New Roman" w:hAnsi="Times New Roman" w:cs="Times New Roman"/>
          <w:color w:val="000000"/>
          <w:sz w:val="24"/>
          <w:szCs w:val="24"/>
        </w:rPr>
        <w:t>,</w:t>
      </w:r>
    </w:p>
    <w:p w14:paraId="000000E9" w14:textId="20F15962" w:rsidR="00A97148" w:rsidRPr="007F0E55" w:rsidRDefault="007F0E55" w:rsidP="007F0C9E">
      <w:pPr>
        <w:pStyle w:val="Akapitzlist"/>
        <w:numPr>
          <w:ilvl w:val="0"/>
          <w:numId w:val="12"/>
        </w:numPr>
        <w:pBdr>
          <w:top w:val="nil"/>
          <w:left w:val="nil"/>
          <w:bottom w:val="nil"/>
          <w:right w:val="nil"/>
          <w:between w:val="nil"/>
        </w:pBdr>
        <w:spacing w:after="0" w:line="276" w:lineRule="auto"/>
        <w:rPr>
          <w:rFonts w:ascii="Times New Roman" w:eastAsia="Times New Roman" w:hAnsi="Times New Roman" w:cs="Times New Roman"/>
          <w:color w:val="E46C0A"/>
          <w:sz w:val="24"/>
          <w:szCs w:val="24"/>
        </w:rPr>
      </w:pPr>
      <w:r>
        <w:rPr>
          <w:rFonts w:ascii="Times New Roman" w:eastAsia="Times New Roman" w:hAnsi="Times New Roman" w:cs="Times New Roman"/>
          <w:color w:val="000000"/>
          <w:sz w:val="24"/>
          <w:szCs w:val="24"/>
        </w:rPr>
        <w:lastRenderedPageBreak/>
        <w:t>ś</w:t>
      </w:r>
      <w:r w:rsidR="007F0C9E" w:rsidRPr="007F0C9E">
        <w:rPr>
          <w:rFonts w:ascii="Times New Roman" w:eastAsia="Times New Roman" w:hAnsi="Times New Roman" w:cs="Times New Roman"/>
          <w:color w:val="000000"/>
          <w:sz w:val="24"/>
          <w:szCs w:val="24"/>
        </w:rPr>
        <w:t>cieżki technologicznej i miejsca postojowe op</w:t>
      </w:r>
      <w:r>
        <w:rPr>
          <w:rFonts w:ascii="Times New Roman" w:eastAsia="Times New Roman" w:hAnsi="Times New Roman" w:cs="Times New Roman"/>
          <w:color w:val="000000"/>
          <w:sz w:val="24"/>
          <w:szCs w:val="24"/>
        </w:rPr>
        <w:t>is</w:t>
      </w:r>
      <w:r w:rsidR="007F0C9E" w:rsidRPr="007F0C9E">
        <w:rPr>
          <w:rFonts w:ascii="Times New Roman" w:eastAsia="Times New Roman" w:hAnsi="Times New Roman" w:cs="Times New Roman"/>
          <w:color w:val="000000"/>
          <w:sz w:val="24"/>
          <w:szCs w:val="24"/>
        </w:rPr>
        <w:t>ane trawą</w:t>
      </w:r>
      <w:r>
        <w:rPr>
          <w:rFonts w:ascii="Times New Roman" w:eastAsia="Times New Roman" w:hAnsi="Times New Roman" w:cs="Times New Roman"/>
          <w:color w:val="000000"/>
          <w:sz w:val="24"/>
          <w:szCs w:val="24"/>
        </w:rPr>
        <w:t>.</w:t>
      </w:r>
    </w:p>
    <w:p w14:paraId="64761D5C" w14:textId="77777777" w:rsidR="007F0E55" w:rsidRPr="007F0C9E" w:rsidRDefault="007F0E55" w:rsidP="007F0E55">
      <w:pPr>
        <w:pStyle w:val="Akapitzlist"/>
        <w:pBdr>
          <w:top w:val="nil"/>
          <w:left w:val="nil"/>
          <w:bottom w:val="nil"/>
          <w:right w:val="nil"/>
          <w:between w:val="nil"/>
        </w:pBdr>
        <w:spacing w:after="0" w:line="276" w:lineRule="auto"/>
        <w:rPr>
          <w:rFonts w:ascii="Times New Roman" w:eastAsia="Times New Roman" w:hAnsi="Times New Roman" w:cs="Times New Roman"/>
          <w:color w:val="E46C0A"/>
          <w:sz w:val="24"/>
          <w:szCs w:val="24"/>
        </w:rPr>
      </w:pPr>
    </w:p>
    <w:p w14:paraId="000000EA" w14:textId="77777777" w:rsidR="00A97148" w:rsidRDefault="00134BE0">
      <w:pPr>
        <w:spacing w:after="0"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2. Powierzchnia zajmowanej nieruchomości</w:t>
      </w:r>
    </w:p>
    <w:p w14:paraId="000000EB" w14:textId="77777777" w:rsidR="00A97148" w:rsidRDefault="00A97148">
      <w:pPr>
        <w:spacing w:after="0" w:line="276" w:lineRule="auto"/>
        <w:rPr>
          <w:rFonts w:ascii="Times New Roman" w:eastAsia="Times New Roman" w:hAnsi="Times New Roman" w:cs="Times New Roman"/>
          <w:sz w:val="24"/>
          <w:szCs w:val="24"/>
          <w:u w:val="single"/>
        </w:rPr>
      </w:pPr>
    </w:p>
    <w:p w14:paraId="4CEB4C4A" w14:textId="77777777" w:rsidR="007F0C9E" w:rsidRDefault="00134BE0" w:rsidP="007F0C9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Planowane przedsięwzięcie będzie </w:t>
      </w:r>
      <w:r w:rsidR="007F0C9E">
        <w:rPr>
          <w:rFonts w:ascii="Times New Roman" w:eastAsia="Times New Roman" w:hAnsi="Times New Roman" w:cs="Times New Roman"/>
          <w:sz w:val="24"/>
          <w:szCs w:val="24"/>
        </w:rPr>
        <w:t>Na terenie działki ewidencyjnej o nr 156/10 obręb Łaszka, gmina Sztutowo w województwie pomorskim.</w:t>
      </w:r>
    </w:p>
    <w:p w14:paraId="000000EC" w14:textId="54BB0356" w:rsidR="00A97148" w:rsidRDefault="00134BE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Powierzchnia nieruchomości wynosi </w:t>
      </w:r>
      <w:r w:rsidR="007F0C9E">
        <w:rPr>
          <w:rFonts w:ascii="Times New Roman" w:eastAsia="Times New Roman" w:hAnsi="Times New Roman" w:cs="Times New Roman"/>
          <w:color w:val="000000"/>
          <w:sz w:val="24"/>
          <w:szCs w:val="24"/>
        </w:rPr>
        <w:t xml:space="preserve">do 12,84 </w:t>
      </w:r>
      <w:r>
        <w:rPr>
          <w:rFonts w:ascii="Times New Roman" w:eastAsia="Times New Roman" w:hAnsi="Times New Roman" w:cs="Times New Roman"/>
          <w:color w:val="000000"/>
          <w:sz w:val="24"/>
          <w:szCs w:val="24"/>
        </w:rPr>
        <w:t xml:space="preserve">ha. Planowana inwestycja zajmie teren </w:t>
      </w:r>
      <w:r w:rsidR="007F0C9E">
        <w:rPr>
          <w:rFonts w:ascii="Times New Roman" w:eastAsia="Times New Roman" w:hAnsi="Times New Roman" w:cs="Times New Roman"/>
          <w:color w:val="000000"/>
          <w:sz w:val="24"/>
          <w:szCs w:val="24"/>
        </w:rPr>
        <w:t>do 10</w:t>
      </w:r>
      <w:r>
        <w:rPr>
          <w:rFonts w:ascii="Times New Roman" w:eastAsia="Times New Roman" w:hAnsi="Times New Roman" w:cs="Times New Roman"/>
          <w:color w:val="000000"/>
          <w:sz w:val="24"/>
          <w:szCs w:val="24"/>
        </w:rPr>
        <w:t xml:space="preserve"> ha.</w:t>
      </w:r>
    </w:p>
    <w:p w14:paraId="000000ED" w14:textId="77777777" w:rsidR="00A97148" w:rsidRDefault="00A97148">
      <w:pPr>
        <w:spacing w:after="0" w:line="276" w:lineRule="auto"/>
        <w:jc w:val="both"/>
        <w:rPr>
          <w:rFonts w:ascii="Times New Roman" w:eastAsia="Times New Roman" w:hAnsi="Times New Roman" w:cs="Times New Roman"/>
          <w:color w:val="000000"/>
          <w:sz w:val="24"/>
          <w:szCs w:val="24"/>
        </w:rPr>
      </w:pPr>
    </w:p>
    <w:p w14:paraId="000000EE" w14:textId="77777777" w:rsidR="00A97148" w:rsidRDefault="00134BE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Elementami składowymi Elektrowni są</w:t>
      </w:r>
    </w:p>
    <w:p w14:paraId="000000EF" w14:textId="77777777" w:rsidR="00A97148" w:rsidRDefault="00A97148">
      <w:pPr>
        <w:pBdr>
          <w:top w:val="nil"/>
          <w:left w:val="nil"/>
          <w:bottom w:val="nil"/>
          <w:right w:val="nil"/>
          <w:between w:val="nil"/>
        </w:pBdr>
        <w:spacing w:after="0" w:line="276" w:lineRule="auto"/>
        <w:ind w:left="360"/>
        <w:rPr>
          <w:rFonts w:ascii="Times New Roman" w:eastAsia="Times New Roman" w:hAnsi="Times New Roman" w:cs="Times New Roman"/>
          <w:color w:val="000000"/>
          <w:sz w:val="24"/>
          <w:szCs w:val="24"/>
          <w:u w:val="single"/>
        </w:rPr>
      </w:pPr>
    </w:p>
    <w:p w14:paraId="000000F0" w14:textId="3174F741"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Moduły fotowoltaiczne – moc </w:t>
      </w:r>
      <w:r w:rsidR="00E459EE">
        <w:rPr>
          <w:rFonts w:ascii="Times New Roman" w:eastAsia="Times New Roman" w:hAnsi="Times New Roman" w:cs="Times New Roman"/>
          <w:sz w:val="24"/>
          <w:szCs w:val="24"/>
        </w:rPr>
        <w:t xml:space="preserve">jednostkowa modułu mieści się w przedziale od 300 do 1200 </w:t>
      </w:r>
      <w:proofErr w:type="spellStart"/>
      <w:r w:rsidR="00E459EE">
        <w:rPr>
          <w:rFonts w:ascii="Times New Roman" w:eastAsia="Times New Roman" w:hAnsi="Times New Roman" w:cs="Times New Roman"/>
          <w:sz w:val="24"/>
          <w:szCs w:val="24"/>
        </w:rPr>
        <w:t>Wp</w:t>
      </w:r>
      <w:proofErr w:type="spellEnd"/>
      <w:r w:rsidR="00E459EE">
        <w:rPr>
          <w:rFonts w:ascii="Times New Roman" w:eastAsia="Times New Roman" w:hAnsi="Times New Roman" w:cs="Times New Roman"/>
          <w:sz w:val="24"/>
          <w:szCs w:val="24"/>
        </w:rPr>
        <w:t>. Ilość i powierzchnia modułów zostanie określona po otrzymania warunków przyłączenia i sporządzenia projektu budowlanego.</w:t>
      </w:r>
    </w:p>
    <w:p w14:paraId="000000F1" w14:textId="5EB70D94"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59EE">
        <w:rPr>
          <w:rFonts w:ascii="Times New Roman" w:eastAsia="Times New Roman" w:hAnsi="Times New Roman" w:cs="Times New Roman"/>
          <w:sz w:val="24"/>
          <w:szCs w:val="24"/>
        </w:rPr>
        <w:t>Konstrukcje wsporcze</w:t>
      </w:r>
      <w:r>
        <w:rPr>
          <w:rFonts w:ascii="Times New Roman" w:eastAsia="Times New Roman" w:hAnsi="Times New Roman" w:cs="Times New Roman"/>
          <w:sz w:val="24"/>
          <w:szCs w:val="24"/>
        </w:rPr>
        <w:t xml:space="preserve"> – są to lekkie ażurowe konstrukcje z rurek lub profili aluminiowych lub stalowych tak zaprojektowane, aby oprzeć się sile wiatru i ciężarowi śniegu. Konstrukcje te nie są na stałe przymocowane do gruntu.</w:t>
      </w:r>
    </w:p>
    <w:p w14:paraId="000000F2" w14:textId="7BF3080A"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Inwertery (przetwornice) – są to urządzenia przetwarzające prąd stały DC wytwarzany przez panele fotowoltaiczne na prąd </w:t>
      </w:r>
      <w:r w:rsidR="00E459EE">
        <w:rPr>
          <w:rFonts w:ascii="Times New Roman" w:eastAsia="Times New Roman" w:hAnsi="Times New Roman" w:cs="Times New Roman"/>
          <w:sz w:val="24"/>
          <w:szCs w:val="24"/>
        </w:rPr>
        <w:t>zmienny</w:t>
      </w:r>
      <w:r>
        <w:rPr>
          <w:rFonts w:ascii="Times New Roman" w:eastAsia="Times New Roman" w:hAnsi="Times New Roman" w:cs="Times New Roman"/>
          <w:sz w:val="24"/>
          <w:szCs w:val="24"/>
        </w:rPr>
        <w:t xml:space="preserve"> AC. Inwertery są bardzo różne i zależnie od przyjętych założeń może być dużo małych inwerterów jak również niewiele dużych. Ilość inwerterów </w:t>
      </w:r>
      <w:r w:rsidR="00E459EE">
        <w:rPr>
          <w:rFonts w:ascii="Times New Roman" w:eastAsia="Times New Roman" w:hAnsi="Times New Roman" w:cs="Times New Roman"/>
          <w:sz w:val="24"/>
          <w:szCs w:val="24"/>
        </w:rPr>
        <w:t>uzależniona jest od ich mocy. Projektowana instalacja składa się z inwerterów, których łączna moc nie przekroczy 9MW.</w:t>
      </w:r>
    </w:p>
    <w:p w14:paraId="000000F3" w14:textId="351899C4" w:rsidR="00A97148" w:rsidRPr="006967F9"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Stacje transformatorowe – </w:t>
      </w:r>
      <w:r w:rsidR="006967F9">
        <w:rPr>
          <w:rFonts w:ascii="Times New Roman" w:eastAsia="Times New Roman" w:hAnsi="Times New Roman" w:cs="Times New Roman"/>
          <w:sz w:val="24"/>
          <w:szCs w:val="24"/>
        </w:rPr>
        <w:t>prefabrykowany kontener posadowiony na prefabrykowanej płycie montażowej.  Powierzchnia pojedynczej stacji wynosi do 60 m</w:t>
      </w:r>
      <w:r w:rsidR="006967F9">
        <w:rPr>
          <w:rFonts w:ascii="Times New Roman" w:eastAsia="Times New Roman" w:hAnsi="Times New Roman" w:cs="Times New Roman"/>
          <w:sz w:val="24"/>
          <w:szCs w:val="24"/>
          <w:vertAlign w:val="superscript"/>
        </w:rPr>
        <w:t>2</w:t>
      </w:r>
      <w:r w:rsidR="006967F9">
        <w:rPr>
          <w:rFonts w:ascii="Times New Roman" w:eastAsia="Times New Roman" w:hAnsi="Times New Roman" w:cs="Times New Roman"/>
          <w:sz w:val="24"/>
          <w:szCs w:val="24"/>
        </w:rPr>
        <w:t>, wysokość stacji wynosi do 4 m. Dla przedmiotowego przedsięwzięcia należy wybudować maksymalnie 9 takich stacji.</w:t>
      </w:r>
    </w:p>
    <w:p w14:paraId="000000F5" w14:textId="77777777" w:rsidR="00A97148" w:rsidRDefault="00A97148">
      <w:pPr>
        <w:spacing w:after="0" w:line="276" w:lineRule="auto"/>
        <w:jc w:val="both"/>
        <w:rPr>
          <w:rFonts w:ascii="Times New Roman" w:eastAsia="Times New Roman" w:hAnsi="Times New Roman" w:cs="Times New Roman"/>
          <w:sz w:val="24"/>
          <w:szCs w:val="24"/>
        </w:rPr>
      </w:pPr>
    </w:p>
    <w:p w14:paraId="000000F6" w14:textId="0BCFBE76" w:rsidR="00A97148" w:rsidRDefault="00134BE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Ilość oraz typ urządzeń, tj. panele fotowoltaiczne, inwertery, transformatory uzależniona będzie m.in. od wytycznych zawartych w warunkach przyłączenia od właściwego Operatora Energii Elektrycznej. </w:t>
      </w:r>
    </w:p>
    <w:sectPr w:rsidR="00A97148">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DB475" w14:textId="77777777" w:rsidR="00BB5AAA" w:rsidRDefault="00BB5AAA">
      <w:pPr>
        <w:spacing w:after="0" w:line="240" w:lineRule="auto"/>
      </w:pPr>
      <w:r>
        <w:separator/>
      </w:r>
    </w:p>
  </w:endnote>
  <w:endnote w:type="continuationSeparator" w:id="0">
    <w:p w14:paraId="5D5B64AA" w14:textId="77777777" w:rsidR="00BB5AAA" w:rsidRDefault="00BB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90667D5C-F962-4E89-BC2F-98F6475B955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074D3A76-85FA-4891-80C7-9F7E0AA336CF}"/>
    <w:embedBold r:id="rId3" w:fontKey="{E9FF0FB6-9A78-4399-9D87-A93FD1B5C721}"/>
  </w:font>
  <w:font w:name="Georgia">
    <w:panose1 w:val="02040502050405020303"/>
    <w:charset w:val="EE"/>
    <w:family w:val="roman"/>
    <w:pitch w:val="variable"/>
    <w:sig w:usb0="00000287" w:usb1="00000000" w:usb2="00000000" w:usb3="00000000" w:csb0="0000009F" w:csb1="00000000"/>
    <w:embedRegular r:id="rId4" w:fontKey="{85DC7D79-73DB-4711-A9B9-57751FE39075}"/>
    <w:embedItalic r:id="rId5" w:fontKey="{5F4E463B-C29A-49D4-A0E7-6B329DAA2D92}"/>
  </w:font>
  <w:font w:name="Segoe UI">
    <w:panose1 w:val="020B0502040204020203"/>
    <w:charset w:val="EE"/>
    <w:family w:val="swiss"/>
    <w:pitch w:val="variable"/>
    <w:sig w:usb0="E4002EFF" w:usb1="C000E47F" w:usb2="00000009" w:usb3="00000000" w:csb0="000001FF" w:csb1="00000000"/>
    <w:embedRegular r:id="rId6" w:fontKey="{A3CF5914-230E-4E94-A7CB-2D6243DDA31C}"/>
  </w:font>
  <w:font w:name="Cambria">
    <w:panose1 w:val="02040503050406030204"/>
    <w:charset w:val="EE"/>
    <w:family w:val="roman"/>
    <w:pitch w:val="variable"/>
    <w:sig w:usb0="E00006FF" w:usb1="420024FF" w:usb2="02000000" w:usb3="00000000" w:csb0="0000019F" w:csb1="00000000"/>
    <w:embedRegular r:id="rId7" w:fontKey="{DE21F1CC-9D5E-4432-99B4-C7BE890A71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7" w14:textId="48328CA3" w:rsidR="00A97148" w:rsidRDefault="00134BE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A247B">
      <w:rPr>
        <w:noProof/>
        <w:color w:val="000000"/>
      </w:rPr>
      <w:t>1</w:t>
    </w:r>
    <w:r>
      <w:rPr>
        <w:color w:val="000000"/>
      </w:rPr>
      <w:fldChar w:fldCharType="end"/>
    </w:r>
  </w:p>
  <w:p w14:paraId="000000F8" w14:textId="77777777" w:rsidR="00A97148" w:rsidRDefault="00A9714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2654A" w14:textId="77777777" w:rsidR="00BB5AAA" w:rsidRDefault="00BB5AAA">
      <w:pPr>
        <w:spacing w:after="0" w:line="240" w:lineRule="auto"/>
      </w:pPr>
      <w:r>
        <w:separator/>
      </w:r>
    </w:p>
  </w:footnote>
  <w:footnote w:type="continuationSeparator" w:id="0">
    <w:p w14:paraId="3DB59B30" w14:textId="77777777" w:rsidR="00BB5AAA" w:rsidRDefault="00BB5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77EC3"/>
    <w:multiLevelType w:val="multilevel"/>
    <w:tmpl w:val="97CE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F1B78"/>
    <w:multiLevelType w:val="multilevel"/>
    <w:tmpl w:val="E496D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F148B"/>
    <w:multiLevelType w:val="multilevel"/>
    <w:tmpl w:val="ADF2A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330E62"/>
    <w:multiLevelType w:val="multilevel"/>
    <w:tmpl w:val="F8021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333494B"/>
    <w:multiLevelType w:val="multilevel"/>
    <w:tmpl w:val="09788934"/>
    <w:lvl w:ilvl="0">
      <w:start w:val="1"/>
      <w:numFmt w:val="upperRoman"/>
      <w:lvlText w:val="%1."/>
      <w:lvlJc w:val="righ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41623B"/>
    <w:multiLevelType w:val="hybridMultilevel"/>
    <w:tmpl w:val="77F8F316"/>
    <w:lvl w:ilvl="0" w:tplc="57BA03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56E3E2A"/>
    <w:multiLevelType w:val="multilevel"/>
    <w:tmpl w:val="38D8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985967"/>
    <w:multiLevelType w:val="multilevel"/>
    <w:tmpl w:val="11CC2B34"/>
    <w:lvl w:ilvl="0">
      <w:start w:val="1"/>
      <w:numFmt w:val="decimal"/>
      <w:lvlText w:val="%1."/>
      <w:lvlJc w:val="left"/>
      <w:pPr>
        <w:ind w:left="360" w:hanging="360"/>
      </w:pPr>
      <w:rPr>
        <w:b w:val="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8" w15:restartNumberingAfterBreak="0">
    <w:nsid w:val="51A16049"/>
    <w:multiLevelType w:val="multilevel"/>
    <w:tmpl w:val="13922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1F69CD"/>
    <w:multiLevelType w:val="multilevel"/>
    <w:tmpl w:val="68FE5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E741B8"/>
    <w:multiLevelType w:val="multilevel"/>
    <w:tmpl w:val="D7F4320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E380B17"/>
    <w:multiLevelType w:val="multilevel"/>
    <w:tmpl w:val="3D70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064222">
    <w:abstractNumId w:val="11"/>
  </w:num>
  <w:num w:numId="2" w16cid:durableId="513347852">
    <w:abstractNumId w:val="4"/>
  </w:num>
  <w:num w:numId="3" w16cid:durableId="1133870746">
    <w:abstractNumId w:val="9"/>
  </w:num>
  <w:num w:numId="4" w16cid:durableId="1374768374">
    <w:abstractNumId w:val="10"/>
  </w:num>
  <w:num w:numId="5" w16cid:durableId="1133989214">
    <w:abstractNumId w:val="2"/>
  </w:num>
  <w:num w:numId="6" w16cid:durableId="1241216373">
    <w:abstractNumId w:val="6"/>
  </w:num>
  <w:num w:numId="7" w16cid:durableId="1363749806">
    <w:abstractNumId w:val="1"/>
  </w:num>
  <w:num w:numId="8" w16cid:durableId="579287950">
    <w:abstractNumId w:val="7"/>
  </w:num>
  <w:num w:numId="9" w16cid:durableId="81609374">
    <w:abstractNumId w:val="3"/>
  </w:num>
  <w:num w:numId="10" w16cid:durableId="1120028327">
    <w:abstractNumId w:val="0"/>
  </w:num>
  <w:num w:numId="11" w16cid:durableId="237715269">
    <w:abstractNumId w:val="8"/>
  </w:num>
  <w:num w:numId="12" w16cid:durableId="1900290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148"/>
    <w:rsid w:val="00134BE0"/>
    <w:rsid w:val="004A247B"/>
    <w:rsid w:val="006967F9"/>
    <w:rsid w:val="007F0C9E"/>
    <w:rsid w:val="007F0E55"/>
    <w:rsid w:val="00812A4B"/>
    <w:rsid w:val="00860FA1"/>
    <w:rsid w:val="008E1649"/>
    <w:rsid w:val="00966FEA"/>
    <w:rsid w:val="00A97148"/>
    <w:rsid w:val="00AC5B35"/>
    <w:rsid w:val="00BB5AAA"/>
    <w:rsid w:val="00E459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11C0C"/>
  <w15:docId w15:val="{F8A6DD36-7440-4289-876D-C0335302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Akapitzlist">
    <w:name w:val="List Paragraph"/>
    <w:basedOn w:val="Normalny"/>
    <w:uiPriority w:val="34"/>
    <w:qFormat/>
    <w:rsid w:val="007F0C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972080">
      <w:bodyDiv w:val="1"/>
      <w:marLeft w:val="0"/>
      <w:marRight w:val="0"/>
      <w:marTop w:val="0"/>
      <w:marBottom w:val="0"/>
      <w:divBdr>
        <w:top w:val="none" w:sz="0" w:space="0" w:color="auto"/>
        <w:left w:val="none" w:sz="0" w:space="0" w:color="auto"/>
        <w:bottom w:val="none" w:sz="0" w:space="0" w:color="auto"/>
        <w:right w:val="none" w:sz="0" w:space="0" w:color="auto"/>
      </w:divBdr>
      <w:divsChild>
        <w:div w:id="637149225">
          <w:marLeft w:val="0"/>
          <w:marRight w:val="0"/>
          <w:marTop w:val="0"/>
          <w:marBottom w:val="0"/>
          <w:divBdr>
            <w:top w:val="none" w:sz="0" w:space="0" w:color="auto"/>
            <w:left w:val="none" w:sz="0" w:space="0" w:color="auto"/>
            <w:bottom w:val="none" w:sz="0" w:space="0" w:color="auto"/>
            <w:right w:val="none" w:sz="0" w:space="0" w:color="auto"/>
          </w:divBdr>
        </w:div>
        <w:div w:id="1503206495">
          <w:marLeft w:val="0"/>
          <w:marRight w:val="0"/>
          <w:marTop w:val="0"/>
          <w:marBottom w:val="0"/>
          <w:divBdr>
            <w:top w:val="none" w:sz="0" w:space="0" w:color="auto"/>
            <w:left w:val="none" w:sz="0" w:space="0" w:color="auto"/>
            <w:bottom w:val="none" w:sz="0" w:space="0" w:color="auto"/>
            <w:right w:val="none" w:sz="0" w:space="0" w:color="auto"/>
          </w:divBdr>
        </w:div>
      </w:divsChild>
    </w:div>
    <w:div w:id="1993219759">
      <w:bodyDiv w:val="1"/>
      <w:marLeft w:val="0"/>
      <w:marRight w:val="0"/>
      <w:marTop w:val="0"/>
      <w:marBottom w:val="0"/>
      <w:divBdr>
        <w:top w:val="none" w:sz="0" w:space="0" w:color="auto"/>
        <w:left w:val="none" w:sz="0" w:space="0" w:color="auto"/>
        <w:bottom w:val="none" w:sz="0" w:space="0" w:color="auto"/>
        <w:right w:val="none" w:sz="0" w:space="0" w:color="auto"/>
      </w:divBdr>
      <w:divsChild>
        <w:div w:id="35814225">
          <w:marLeft w:val="0"/>
          <w:marRight w:val="0"/>
          <w:marTop w:val="0"/>
          <w:marBottom w:val="0"/>
          <w:divBdr>
            <w:top w:val="none" w:sz="0" w:space="0" w:color="auto"/>
            <w:left w:val="none" w:sz="0" w:space="0" w:color="auto"/>
            <w:bottom w:val="none" w:sz="0" w:space="0" w:color="auto"/>
            <w:right w:val="none" w:sz="0" w:space="0" w:color="auto"/>
          </w:divBdr>
        </w:div>
        <w:div w:id="300368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4965</Words>
  <Characters>29794</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Agata Kibort</cp:lastModifiedBy>
  <cp:revision>5</cp:revision>
  <dcterms:created xsi:type="dcterms:W3CDTF">2024-08-20T05:03:00Z</dcterms:created>
  <dcterms:modified xsi:type="dcterms:W3CDTF">2024-08-21T06:00:00Z</dcterms:modified>
</cp:coreProperties>
</file>