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0627" w14:textId="7DEFBB82" w:rsidR="00AF4FD8" w:rsidRPr="00367E82" w:rsidRDefault="00AF4FD8" w:rsidP="00AF4FD8">
      <w:pPr>
        <w:jc w:val="center"/>
        <w:rPr>
          <w:b/>
        </w:rPr>
      </w:pPr>
      <w:r>
        <w:rPr>
          <w:b/>
        </w:rPr>
        <w:t>Zarządzenie Nr</w:t>
      </w:r>
      <w:r w:rsidR="00323D49">
        <w:rPr>
          <w:b/>
        </w:rPr>
        <w:t xml:space="preserve"> 89</w:t>
      </w:r>
      <w:r>
        <w:rPr>
          <w:b/>
        </w:rPr>
        <w:t>/20</w:t>
      </w:r>
      <w:r w:rsidR="00DC0B63">
        <w:rPr>
          <w:b/>
        </w:rPr>
        <w:t>20</w:t>
      </w:r>
    </w:p>
    <w:p w14:paraId="691DCE52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Wójta Gminy Sztutowo</w:t>
      </w:r>
    </w:p>
    <w:p w14:paraId="37811CEC" w14:textId="0AA5A382" w:rsidR="00AF4FD8" w:rsidRPr="00937758" w:rsidRDefault="00AF4FD8" w:rsidP="00AF4FD8">
      <w:pPr>
        <w:jc w:val="center"/>
        <w:rPr>
          <w:b/>
        </w:rPr>
      </w:pPr>
      <w:r>
        <w:rPr>
          <w:b/>
        </w:rPr>
        <w:t xml:space="preserve">z dnia </w:t>
      </w:r>
      <w:r w:rsidR="00DC0B63">
        <w:rPr>
          <w:b/>
        </w:rPr>
        <w:t xml:space="preserve">15. </w:t>
      </w:r>
      <w:r w:rsidR="00C540C3">
        <w:rPr>
          <w:b/>
        </w:rPr>
        <w:t>1</w:t>
      </w:r>
      <w:r w:rsidR="00DC0B63">
        <w:rPr>
          <w:b/>
        </w:rPr>
        <w:t>2</w:t>
      </w:r>
      <w:r>
        <w:rPr>
          <w:b/>
        </w:rPr>
        <w:t>.20</w:t>
      </w:r>
      <w:r w:rsidR="00DC0B63">
        <w:rPr>
          <w:b/>
        </w:rPr>
        <w:t>20</w:t>
      </w:r>
      <w:r>
        <w:rPr>
          <w:b/>
        </w:rPr>
        <w:t xml:space="preserve"> r. </w:t>
      </w:r>
    </w:p>
    <w:p w14:paraId="6F3F4A3F" w14:textId="77777777" w:rsidR="00AF4FD8" w:rsidRDefault="00AF4FD8" w:rsidP="00AF4FD8">
      <w:r>
        <w:t>w sprawie ustalenia wysokości stawek czynszu za najem lub dzierżawę nieruchomości stanowiących własność Gminy Sztutowo</w:t>
      </w:r>
    </w:p>
    <w:p w14:paraId="6A103BC9" w14:textId="31C7B048" w:rsidR="00AF4FD8" w:rsidRDefault="00AF4FD8" w:rsidP="00AF4FD8">
      <w:pPr>
        <w:ind w:firstLine="708"/>
        <w:jc w:val="both"/>
      </w:pPr>
      <w:r>
        <w:t>Na podstawie art. 30 ust. 2 pkt. 3 ustawy z dnia 8 marca 1990 r. o samorządzie gminnym                           (tj. Dz. U. z 20</w:t>
      </w:r>
      <w:r w:rsidR="007D44F2">
        <w:t>20</w:t>
      </w:r>
      <w:r>
        <w:t xml:space="preserve"> r. poz. </w:t>
      </w:r>
      <w:r w:rsidR="007D44F2">
        <w:t>713</w:t>
      </w:r>
      <w:r>
        <w:t xml:space="preserve"> ze zm.) oraz art. 11 ust. 1, art. 13 ust. 1 i art. 25  ust. 1 i 2 ustawy                                z dnia 21 sierpnia 1997 r. o gospodarce nieruchomościami (</w:t>
      </w:r>
      <w:proofErr w:type="spellStart"/>
      <w:r>
        <w:t>t.j</w:t>
      </w:r>
      <w:proofErr w:type="spellEnd"/>
      <w:r>
        <w:t>. Dz. U. 20</w:t>
      </w:r>
      <w:r w:rsidR="007D44F2">
        <w:t>20</w:t>
      </w:r>
      <w:r>
        <w:t xml:space="preserve">r. poz. </w:t>
      </w:r>
      <w:r w:rsidR="007D44F2">
        <w:t>1990</w:t>
      </w:r>
      <w:r>
        <w:t xml:space="preserve"> ze zm.)  </w:t>
      </w:r>
    </w:p>
    <w:p w14:paraId="0BD27340" w14:textId="77777777" w:rsidR="00AF4FD8" w:rsidRDefault="00AF4FD8" w:rsidP="00AF4FD8">
      <w:r>
        <w:t>Zarządza się, co następuje:</w:t>
      </w:r>
    </w:p>
    <w:p w14:paraId="239C20F0" w14:textId="77777777" w:rsidR="00AF4FD8" w:rsidRPr="00937758" w:rsidRDefault="00AF4FD8" w:rsidP="00AF4FD8">
      <w:pPr>
        <w:jc w:val="center"/>
        <w:rPr>
          <w:b/>
        </w:rPr>
      </w:pPr>
      <w:r w:rsidRPr="00367E82">
        <w:rPr>
          <w:b/>
        </w:rPr>
        <w:t>§ 1</w:t>
      </w:r>
    </w:p>
    <w:p w14:paraId="37A863FD" w14:textId="09ED1BD8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 xml:space="preserve">Ustala się minimalną stawkę roczną czynszu  dzierżawnego od gruntów  pod garażami, budynkami gospodarczymi w wysokości </w:t>
      </w:r>
      <w:r w:rsidR="00C540C3" w:rsidRPr="00C540C3">
        <w:rPr>
          <w:b/>
        </w:rPr>
        <w:t>2</w:t>
      </w:r>
      <w:r w:rsidR="00DC0B63">
        <w:rPr>
          <w:b/>
        </w:rPr>
        <w:t>2</w:t>
      </w:r>
      <w:r w:rsidRPr="00C540C3">
        <w:rPr>
          <w:b/>
        </w:rPr>
        <w:t xml:space="preserve"> </w:t>
      </w:r>
      <w:r>
        <w:t>zł. m2, powiększony o należny podatek VAT.</w:t>
      </w:r>
    </w:p>
    <w:p w14:paraId="5210C1B7" w14:textId="77777777" w:rsidR="00AF4FD8" w:rsidRPr="00AF4FD8" w:rsidRDefault="00AF4FD8" w:rsidP="00AF4FD8">
      <w:pPr>
        <w:pStyle w:val="Akapitzlist"/>
        <w:ind w:left="360"/>
        <w:jc w:val="both"/>
        <w:rPr>
          <w:sz w:val="16"/>
          <w:szCs w:val="16"/>
        </w:rPr>
      </w:pPr>
    </w:p>
    <w:p w14:paraId="67E47D64" w14:textId="25CE1101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 xml:space="preserve">Ustala się minimalną stawkę roczną czynszu dzierżawnego od gruntów pod powierzchnię reklamową w wysokości </w:t>
      </w:r>
      <w:r w:rsidRPr="00C540C3">
        <w:rPr>
          <w:b/>
        </w:rPr>
        <w:t>3</w:t>
      </w:r>
      <w:r w:rsidR="00DC0B63">
        <w:rPr>
          <w:b/>
        </w:rPr>
        <w:t>4</w:t>
      </w:r>
      <w:r w:rsidRPr="00C540C3">
        <w:rPr>
          <w:b/>
        </w:rPr>
        <w:t>0</w:t>
      </w:r>
      <w:r>
        <w:t xml:space="preserve"> zł. za m2., powiększony o należny podatek VAT.</w:t>
      </w:r>
    </w:p>
    <w:p w14:paraId="43AB6575" w14:textId="77777777" w:rsidR="00AF4FD8" w:rsidRPr="00AF4FD8" w:rsidRDefault="00AF4FD8" w:rsidP="00AF4FD8">
      <w:pPr>
        <w:jc w:val="both"/>
        <w:rPr>
          <w:sz w:val="16"/>
          <w:szCs w:val="16"/>
        </w:rPr>
      </w:pPr>
    </w:p>
    <w:p w14:paraId="21600436" w14:textId="5BC74557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 xml:space="preserve">Ustala się minimalną stawkę roczną czynszu dzierżawnego za lokale użytkowe przeznaczone na działalność dochodową w wysokości </w:t>
      </w:r>
      <w:r w:rsidRPr="00C540C3">
        <w:rPr>
          <w:b/>
        </w:rPr>
        <w:t>2</w:t>
      </w:r>
      <w:r w:rsidR="00DC0B63">
        <w:rPr>
          <w:b/>
        </w:rPr>
        <w:t>5</w:t>
      </w:r>
      <w:r w:rsidRPr="00C540C3">
        <w:rPr>
          <w:b/>
        </w:rPr>
        <w:t xml:space="preserve"> </w:t>
      </w:r>
      <w:r>
        <w:t>zł. za m2,  powiększony o należny podatek VAT.</w:t>
      </w:r>
    </w:p>
    <w:p w14:paraId="7B8E42C3" w14:textId="77777777" w:rsidR="00AF4FD8" w:rsidRPr="00AF4FD8" w:rsidRDefault="00AF4FD8" w:rsidP="00AF4FD8">
      <w:pPr>
        <w:jc w:val="both"/>
        <w:rPr>
          <w:sz w:val="16"/>
          <w:szCs w:val="16"/>
        </w:rPr>
      </w:pPr>
    </w:p>
    <w:p w14:paraId="1BA4270E" w14:textId="742784E0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 xml:space="preserve">Ustala się minimalną stawkę roczną stawkę czynszu najmu za lokale użytkowe nie wykorzystywane na działalność dochodową oraz wykorzystywane na usługi medyczne w wysokości </w:t>
      </w:r>
      <w:r w:rsidRPr="00C540C3">
        <w:rPr>
          <w:b/>
        </w:rPr>
        <w:t>1</w:t>
      </w:r>
      <w:r w:rsidR="00DC0B63">
        <w:rPr>
          <w:b/>
        </w:rPr>
        <w:t>5</w:t>
      </w:r>
      <w:r w:rsidRPr="00C540C3">
        <w:rPr>
          <w:b/>
        </w:rPr>
        <w:t xml:space="preserve"> </w:t>
      </w:r>
      <w:r>
        <w:t>zł. za m2 powiększony o należny podatek VAT.</w:t>
      </w:r>
    </w:p>
    <w:p w14:paraId="037B1370" w14:textId="77777777" w:rsidR="00AF4FD8" w:rsidRDefault="00AF4FD8" w:rsidP="00AF4FD8">
      <w:pPr>
        <w:pStyle w:val="Akapitzlist"/>
      </w:pPr>
    </w:p>
    <w:p w14:paraId="23A570E1" w14:textId="77777777" w:rsidR="00AF4FD8" w:rsidRPr="00AF4FD8" w:rsidRDefault="00AF4FD8" w:rsidP="00AF4FD8">
      <w:pPr>
        <w:pStyle w:val="Akapitzlist"/>
        <w:ind w:left="360"/>
        <w:jc w:val="both"/>
        <w:rPr>
          <w:sz w:val="16"/>
          <w:szCs w:val="16"/>
        </w:rPr>
      </w:pPr>
    </w:p>
    <w:p w14:paraId="1CE81C44" w14:textId="3F171BA3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>Ustala się minimalną roczną stawkę czynszu dzierżawnego za grunty nie przezn</w:t>
      </w:r>
      <w:r w:rsidR="00C6225E">
        <w:t xml:space="preserve">aczone na cele produkcji rolnej  </w:t>
      </w:r>
      <w:r>
        <w:t xml:space="preserve">w wysokości </w:t>
      </w:r>
      <w:r w:rsidRPr="00294E82">
        <w:rPr>
          <w:b/>
        </w:rPr>
        <w:t>2,</w:t>
      </w:r>
      <w:r w:rsidR="00DC0B63">
        <w:rPr>
          <w:b/>
        </w:rPr>
        <w:t>9</w:t>
      </w:r>
      <w:r w:rsidRPr="00294E82">
        <w:rPr>
          <w:b/>
        </w:rPr>
        <w:t>0</w:t>
      </w:r>
      <w:r>
        <w:t xml:space="preserve"> </w:t>
      </w:r>
      <w:r w:rsidR="00C6225E">
        <w:t xml:space="preserve">zł </w:t>
      </w:r>
      <w:r>
        <w:t>za m2 powiększony o należny podatek VAT.</w:t>
      </w:r>
    </w:p>
    <w:p w14:paraId="0F911CD8" w14:textId="77777777" w:rsidR="00AF4FD8" w:rsidRPr="00AF4FD8" w:rsidRDefault="00AF4FD8" w:rsidP="00AF4FD8">
      <w:pPr>
        <w:pStyle w:val="Akapitzlist"/>
        <w:ind w:left="360"/>
        <w:jc w:val="both"/>
        <w:rPr>
          <w:sz w:val="16"/>
          <w:szCs w:val="16"/>
        </w:rPr>
      </w:pPr>
    </w:p>
    <w:p w14:paraId="4D0C5087" w14:textId="78522C44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>Ustala się minimalną roczną stawkę czynszu dzierżawnego za grunty przeznaczone do zagospodarowania jako ogródki przydomowe</w:t>
      </w:r>
      <w:r w:rsidR="00DC0B63">
        <w:t>, tereny niewykorzystywane pod działalność gospodarczą</w:t>
      </w:r>
      <w:r>
        <w:t xml:space="preserve"> w wysokości </w:t>
      </w:r>
      <w:r w:rsidRPr="00C540C3">
        <w:rPr>
          <w:b/>
        </w:rPr>
        <w:t>1,</w:t>
      </w:r>
      <w:r w:rsidR="00DC0B63">
        <w:rPr>
          <w:b/>
        </w:rPr>
        <w:t>5</w:t>
      </w:r>
      <w:r w:rsidRPr="00C540C3">
        <w:rPr>
          <w:b/>
        </w:rPr>
        <w:t>0</w:t>
      </w:r>
      <w:r>
        <w:t xml:space="preserve">  zł</w:t>
      </w:r>
      <w:r w:rsidR="00084D10">
        <w:t xml:space="preserve"> za </w:t>
      </w:r>
      <w:r>
        <w:t xml:space="preserve">m2 powiększony o należny podatek VAT. </w:t>
      </w:r>
    </w:p>
    <w:p w14:paraId="6C7A1E83" w14:textId="77777777" w:rsidR="00AF4FD8" w:rsidRPr="00AF4FD8" w:rsidRDefault="00AF4FD8" w:rsidP="00AF4FD8">
      <w:pPr>
        <w:pStyle w:val="Akapitzlist"/>
        <w:rPr>
          <w:sz w:val="16"/>
          <w:szCs w:val="16"/>
        </w:rPr>
      </w:pPr>
    </w:p>
    <w:p w14:paraId="23F16EC5" w14:textId="77777777" w:rsidR="00AF4FD8" w:rsidRPr="00C6225E" w:rsidRDefault="00AF4FD8" w:rsidP="00AF4FD8">
      <w:pPr>
        <w:pStyle w:val="Akapitzlist"/>
        <w:ind w:left="360"/>
        <w:jc w:val="both"/>
        <w:rPr>
          <w:sz w:val="16"/>
          <w:szCs w:val="16"/>
        </w:rPr>
      </w:pPr>
    </w:p>
    <w:p w14:paraId="003333B1" w14:textId="7C5E8C4D" w:rsidR="00AF4FD8" w:rsidRDefault="00AF4FD8" w:rsidP="00AF4FD8">
      <w:pPr>
        <w:pStyle w:val="Akapitzlist"/>
        <w:numPr>
          <w:ilvl w:val="0"/>
          <w:numId w:val="1"/>
        </w:numPr>
        <w:ind w:left="360"/>
        <w:jc w:val="both"/>
      </w:pPr>
      <w:r>
        <w:t xml:space="preserve">Ustala się minimalną </w:t>
      </w:r>
      <w:r w:rsidR="005230FD">
        <w:t xml:space="preserve">roczną </w:t>
      </w:r>
      <w:r>
        <w:t xml:space="preserve">stawkę czynszu dzierżawnego za grunty pod wodami w wysokości </w:t>
      </w:r>
      <w:r w:rsidRPr="00C540C3">
        <w:rPr>
          <w:b/>
        </w:rPr>
        <w:t>3</w:t>
      </w:r>
      <w:r w:rsidR="00DC0B63">
        <w:rPr>
          <w:b/>
        </w:rPr>
        <w:t>4</w:t>
      </w:r>
      <w:r w:rsidRPr="00C540C3">
        <w:rPr>
          <w:b/>
        </w:rPr>
        <w:t xml:space="preserve">0 </w:t>
      </w:r>
      <w:r>
        <w:t>zł za 1 ha lustra wody.</w:t>
      </w:r>
    </w:p>
    <w:p w14:paraId="4752C2A6" w14:textId="77777777" w:rsidR="00AF4FD8" w:rsidRPr="00C6225E" w:rsidRDefault="00AF4FD8" w:rsidP="00AF4FD8">
      <w:pPr>
        <w:pStyle w:val="Akapitzlist"/>
        <w:ind w:left="360"/>
        <w:jc w:val="both"/>
        <w:rPr>
          <w:sz w:val="16"/>
          <w:szCs w:val="16"/>
        </w:rPr>
      </w:pPr>
    </w:p>
    <w:p w14:paraId="6D654339" w14:textId="77777777" w:rsidR="00DC0B63" w:rsidRPr="00DC0B63" w:rsidRDefault="00AF4FD8" w:rsidP="00AF4FD8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 w:rsidRPr="005E7688">
        <w:t xml:space="preserve">Ustala się czynsz dzierżawny za grunty sklasyfikowane jako drogi, które wykorzystywane są na cele rolnicze </w:t>
      </w:r>
      <w:r w:rsidR="00DC0B63">
        <w:t>w wysokości 1,5 zł za m2 powiększony o należny podatek VAT.</w:t>
      </w:r>
    </w:p>
    <w:p w14:paraId="60D0C98E" w14:textId="77777777" w:rsidR="00DC0B63" w:rsidRPr="00DC0B63" w:rsidRDefault="00DC0B63" w:rsidP="00DC0B63">
      <w:pPr>
        <w:pStyle w:val="Akapitzlist"/>
        <w:rPr>
          <w:b/>
        </w:rPr>
      </w:pPr>
    </w:p>
    <w:p w14:paraId="6A7A39C5" w14:textId="2F37091C" w:rsidR="00AF4FD8" w:rsidRPr="00DC0B63" w:rsidRDefault="00AF4FD8" w:rsidP="00AF4FD8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 w:rsidRPr="00DC0B63">
        <w:rPr>
          <w:b/>
        </w:rPr>
        <w:t xml:space="preserve">9. </w:t>
      </w:r>
      <w:r>
        <w:t xml:space="preserve">Wysokość </w:t>
      </w:r>
      <w:r w:rsidR="005230FD">
        <w:t xml:space="preserve">rocznego </w:t>
      </w:r>
      <w:r>
        <w:t>czynszu dzierżawnego za 1 ha użytków rolnych ustala się wg następujących stawek szacunkowych w q żyta: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1"/>
        <w:gridCol w:w="2800"/>
        <w:gridCol w:w="1663"/>
        <w:gridCol w:w="1664"/>
        <w:gridCol w:w="1664"/>
      </w:tblGrid>
      <w:tr w:rsidR="00AF4FD8" w14:paraId="1894D664" w14:textId="77777777" w:rsidTr="00EE5CF1">
        <w:tc>
          <w:tcPr>
            <w:tcW w:w="551" w:type="dxa"/>
            <w:vMerge w:val="restart"/>
          </w:tcPr>
          <w:p w14:paraId="6E0733B9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 xml:space="preserve">Lp. </w:t>
            </w:r>
          </w:p>
        </w:tc>
        <w:tc>
          <w:tcPr>
            <w:tcW w:w="4463" w:type="dxa"/>
            <w:gridSpan w:val="2"/>
          </w:tcPr>
          <w:p w14:paraId="25583566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Grunty orne</w:t>
            </w:r>
          </w:p>
        </w:tc>
        <w:tc>
          <w:tcPr>
            <w:tcW w:w="3328" w:type="dxa"/>
            <w:gridSpan w:val="2"/>
          </w:tcPr>
          <w:p w14:paraId="440540D4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 xml:space="preserve">Użytki zielone </w:t>
            </w:r>
          </w:p>
        </w:tc>
      </w:tr>
      <w:tr w:rsidR="00AF4FD8" w14:paraId="7F0CEA40" w14:textId="77777777" w:rsidTr="00EE5CF1">
        <w:tc>
          <w:tcPr>
            <w:tcW w:w="551" w:type="dxa"/>
            <w:vMerge/>
          </w:tcPr>
          <w:p w14:paraId="20F177D9" w14:textId="77777777" w:rsidR="00AF4FD8" w:rsidRDefault="00AF4FD8" w:rsidP="00EE5CF1">
            <w:pPr>
              <w:pStyle w:val="Akapitzlist"/>
              <w:ind w:left="0"/>
              <w:jc w:val="both"/>
            </w:pPr>
          </w:p>
        </w:tc>
        <w:tc>
          <w:tcPr>
            <w:tcW w:w="2800" w:type="dxa"/>
          </w:tcPr>
          <w:p w14:paraId="6A8F782D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Klasa gleby</w:t>
            </w:r>
          </w:p>
        </w:tc>
        <w:tc>
          <w:tcPr>
            <w:tcW w:w="1663" w:type="dxa"/>
          </w:tcPr>
          <w:p w14:paraId="1D0246F8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Ilość q</w:t>
            </w:r>
          </w:p>
        </w:tc>
        <w:tc>
          <w:tcPr>
            <w:tcW w:w="1664" w:type="dxa"/>
          </w:tcPr>
          <w:p w14:paraId="7B694BCA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Klasa gleby</w:t>
            </w:r>
          </w:p>
        </w:tc>
        <w:tc>
          <w:tcPr>
            <w:tcW w:w="1664" w:type="dxa"/>
          </w:tcPr>
          <w:p w14:paraId="118D9153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Ilość q</w:t>
            </w:r>
          </w:p>
        </w:tc>
      </w:tr>
      <w:tr w:rsidR="00AF4FD8" w14:paraId="1AF3ECCC" w14:textId="77777777" w:rsidTr="00EE5CF1">
        <w:tc>
          <w:tcPr>
            <w:tcW w:w="551" w:type="dxa"/>
          </w:tcPr>
          <w:p w14:paraId="2D8395EF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800" w:type="dxa"/>
          </w:tcPr>
          <w:p w14:paraId="2C1BAEE4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</w:t>
            </w:r>
          </w:p>
        </w:tc>
        <w:tc>
          <w:tcPr>
            <w:tcW w:w="1663" w:type="dxa"/>
          </w:tcPr>
          <w:p w14:paraId="3D113C17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1664" w:type="dxa"/>
          </w:tcPr>
          <w:p w14:paraId="593B2156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</w:t>
            </w:r>
          </w:p>
        </w:tc>
        <w:tc>
          <w:tcPr>
            <w:tcW w:w="1664" w:type="dxa"/>
          </w:tcPr>
          <w:p w14:paraId="4C7AB80F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8</w:t>
            </w:r>
          </w:p>
        </w:tc>
      </w:tr>
      <w:tr w:rsidR="00AF4FD8" w14:paraId="7C46AF5A" w14:textId="77777777" w:rsidTr="00EE5CF1">
        <w:tc>
          <w:tcPr>
            <w:tcW w:w="551" w:type="dxa"/>
          </w:tcPr>
          <w:p w14:paraId="1ACFFD51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2800" w:type="dxa"/>
          </w:tcPr>
          <w:p w14:paraId="3835D089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II</w:t>
            </w:r>
          </w:p>
        </w:tc>
        <w:tc>
          <w:tcPr>
            <w:tcW w:w="1663" w:type="dxa"/>
          </w:tcPr>
          <w:p w14:paraId="038DF5E2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9,5</w:t>
            </w:r>
          </w:p>
        </w:tc>
        <w:tc>
          <w:tcPr>
            <w:tcW w:w="1664" w:type="dxa"/>
          </w:tcPr>
          <w:p w14:paraId="781E97F8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II</w:t>
            </w:r>
          </w:p>
        </w:tc>
        <w:tc>
          <w:tcPr>
            <w:tcW w:w="1664" w:type="dxa"/>
          </w:tcPr>
          <w:p w14:paraId="48B90020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7,5</w:t>
            </w:r>
          </w:p>
        </w:tc>
      </w:tr>
      <w:tr w:rsidR="00AF4FD8" w14:paraId="03F1A3FF" w14:textId="77777777" w:rsidTr="00EE5CF1">
        <w:tc>
          <w:tcPr>
            <w:tcW w:w="551" w:type="dxa"/>
          </w:tcPr>
          <w:p w14:paraId="3EC206D5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800" w:type="dxa"/>
          </w:tcPr>
          <w:p w14:paraId="348CEC07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 xml:space="preserve">kl. </w:t>
            </w:r>
            <w:proofErr w:type="spellStart"/>
            <w:r>
              <w:t>IIIa</w:t>
            </w:r>
            <w:proofErr w:type="spellEnd"/>
          </w:p>
        </w:tc>
        <w:tc>
          <w:tcPr>
            <w:tcW w:w="1663" w:type="dxa"/>
          </w:tcPr>
          <w:p w14:paraId="1D47896F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1664" w:type="dxa"/>
          </w:tcPr>
          <w:p w14:paraId="5C702656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III</w:t>
            </w:r>
          </w:p>
        </w:tc>
        <w:tc>
          <w:tcPr>
            <w:tcW w:w="1664" w:type="dxa"/>
          </w:tcPr>
          <w:p w14:paraId="557BA83A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7,5</w:t>
            </w:r>
          </w:p>
        </w:tc>
      </w:tr>
      <w:tr w:rsidR="00AF4FD8" w14:paraId="734FD436" w14:textId="77777777" w:rsidTr="00EE5CF1">
        <w:tc>
          <w:tcPr>
            <w:tcW w:w="551" w:type="dxa"/>
          </w:tcPr>
          <w:p w14:paraId="682D28D4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2800" w:type="dxa"/>
          </w:tcPr>
          <w:p w14:paraId="278439E3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III b</w:t>
            </w:r>
          </w:p>
        </w:tc>
        <w:tc>
          <w:tcPr>
            <w:tcW w:w="1663" w:type="dxa"/>
          </w:tcPr>
          <w:p w14:paraId="16AD9062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8,5</w:t>
            </w:r>
          </w:p>
        </w:tc>
        <w:tc>
          <w:tcPr>
            <w:tcW w:w="1664" w:type="dxa"/>
          </w:tcPr>
          <w:p w14:paraId="1B88CE0E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IV</w:t>
            </w:r>
          </w:p>
        </w:tc>
        <w:tc>
          <w:tcPr>
            <w:tcW w:w="1664" w:type="dxa"/>
          </w:tcPr>
          <w:p w14:paraId="6A55A961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6,5</w:t>
            </w:r>
          </w:p>
        </w:tc>
      </w:tr>
      <w:tr w:rsidR="00AF4FD8" w14:paraId="06B36B39" w14:textId="77777777" w:rsidTr="00EE5CF1">
        <w:tc>
          <w:tcPr>
            <w:tcW w:w="551" w:type="dxa"/>
          </w:tcPr>
          <w:p w14:paraId="588D23FC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2800" w:type="dxa"/>
          </w:tcPr>
          <w:p w14:paraId="39AA6ADD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IV a</w:t>
            </w:r>
          </w:p>
        </w:tc>
        <w:tc>
          <w:tcPr>
            <w:tcW w:w="1663" w:type="dxa"/>
          </w:tcPr>
          <w:p w14:paraId="59D284D6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8,0</w:t>
            </w:r>
          </w:p>
        </w:tc>
        <w:tc>
          <w:tcPr>
            <w:tcW w:w="1664" w:type="dxa"/>
          </w:tcPr>
          <w:p w14:paraId="7C3EFCCD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 xml:space="preserve">kl. V </w:t>
            </w:r>
          </w:p>
        </w:tc>
        <w:tc>
          <w:tcPr>
            <w:tcW w:w="1664" w:type="dxa"/>
          </w:tcPr>
          <w:p w14:paraId="1775365E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6</w:t>
            </w:r>
          </w:p>
        </w:tc>
      </w:tr>
      <w:tr w:rsidR="00AF4FD8" w14:paraId="018E2E4A" w14:textId="77777777" w:rsidTr="00EE5CF1">
        <w:tc>
          <w:tcPr>
            <w:tcW w:w="551" w:type="dxa"/>
          </w:tcPr>
          <w:p w14:paraId="2C253097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2800" w:type="dxa"/>
          </w:tcPr>
          <w:p w14:paraId="29C5E441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kl. IV b</w:t>
            </w:r>
          </w:p>
        </w:tc>
        <w:tc>
          <w:tcPr>
            <w:tcW w:w="1663" w:type="dxa"/>
          </w:tcPr>
          <w:p w14:paraId="27D24B76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7,5</w:t>
            </w:r>
          </w:p>
        </w:tc>
        <w:tc>
          <w:tcPr>
            <w:tcW w:w="1664" w:type="dxa"/>
          </w:tcPr>
          <w:p w14:paraId="49A5AA09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 xml:space="preserve">kl. VI </w:t>
            </w:r>
          </w:p>
        </w:tc>
        <w:tc>
          <w:tcPr>
            <w:tcW w:w="1664" w:type="dxa"/>
          </w:tcPr>
          <w:p w14:paraId="7378EFA3" w14:textId="77777777" w:rsidR="00AF4FD8" w:rsidRDefault="00AF4FD8" w:rsidP="00EE5CF1">
            <w:pPr>
              <w:pStyle w:val="Akapitzlist"/>
              <w:ind w:left="0"/>
              <w:jc w:val="both"/>
            </w:pPr>
            <w:r>
              <w:t>5,5</w:t>
            </w:r>
          </w:p>
        </w:tc>
      </w:tr>
    </w:tbl>
    <w:p w14:paraId="469279EA" w14:textId="77777777" w:rsidR="00AF4FD8" w:rsidRDefault="00AF4FD8" w:rsidP="00AF4FD8">
      <w:pPr>
        <w:jc w:val="both"/>
      </w:pPr>
    </w:p>
    <w:p w14:paraId="7C5BE637" w14:textId="77777777" w:rsidR="00AF4FD8" w:rsidRDefault="00AF4FD8" w:rsidP="00AF4FD8">
      <w:pPr>
        <w:jc w:val="both"/>
      </w:pPr>
      <w:r>
        <w:lastRenderedPageBreak/>
        <w:t>Wysokość stawki szacunkowej określa się w oparciu o średnią cenę skupu żyta jak dla podatku rolnego określoną w Komunikacie Prezesa Głównego Urzędu Statystycznego publikowanym  w Monitorze Polskim.</w:t>
      </w:r>
    </w:p>
    <w:p w14:paraId="6C9BB9F9" w14:textId="010B8756" w:rsidR="00C540C3" w:rsidRPr="00AF4FD8" w:rsidRDefault="00C540C3" w:rsidP="00C540C3">
      <w:pPr>
        <w:jc w:val="both"/>
      </w:pPr>
      <w:r>
        <w:t xml:space="preserve">10.Ustala się minimalna stawkę roczną czynszu dzierżawnego za lokale wykorzystywane na usługi medyczne w wysokości </w:t>
      </w:r>
      <w:r w:rsidRPr="00C540C3">
        <w:rPr>
          <w:b/>
        </w:rPr>
        <w:t>1</w:t>
      </w:r>
      <w:r w:rsidR="00DC0B63">
        <w:rPr>
          <w:b/>
        </w:rPr>
        <w:t>5</w:t>
      </w:r>
      <w:r w:rsidRPr="00C540C3">
        <w:rPr>
          <w:b/>
        </w:rPr>
        <w:t xml:space="preserve"> z</w:t>
      </w:r>
      <w:r>
        <w:t xml:space="preserve">ł za m2 powiększony o należny podatek VAT. </w:t>
      </w:r>
    </w:p>
    <w:p w14:paraId="2D3A782C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</w:t>
      </w:r>
      <w:r>
        <w:rPr>
          <w:b/>
        </w:rPr>
        <w:t xml:space="preserve"> 2</w:t>
      </w:r>
    </w:p>
    <w:p w14:paraId="37210D6C" w14:textId="77777777" w:rsidR="00AF4FD8" w:rsidRPr="00C6225E" w:rsidRDefault="00AF4FD8" w:rsidP="00C6225E">
      <w:r>
        <w:t xml:space="preserve">Czynsz najmu (dzierżawy) za dany rok przysługuje proporcjonalnie do okresu trwania  </w:t>
      </w:r>
      <w:r w:rsidR="00C6225E">
        <w:t>dzier</w:t>
      </w:r>
      <w:r w:rsidR="005230FD">
        <w:t>żawy.</w:t>
      </w:r>
    </w:p>
    <w:p w14:paraId="0A0CAF1F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 3</w:t>
      </w:r>
    </w:p>
    <w:p w14:paraId="23A6E54C" w14:textId="28CCFEE8" w:rsidR="00AF4FD8" w:rsidRDefault="00AF4FD8" w:rsidP="00AF4FD8">
      <w:r>
        <w:t>W przypadku stwierdzenia bezumownego korzystania z nieruchomości opłatę z tego tytułu ustala się w wysokości</w:t>
      </w:r>
      <w:r w:rsidR="00DC0B63">
        <w:t xml:space="preserve"> trzykrotnej </w:t>
      </w:r>
      <w:r>
        <w:t xml:space="preserve">stawki </w:t>
      </w:r>
      <w:r w:rsidR="005230FD">
        <w:t xml:space="preserve">rocznego </w:t>
      </w:r>
      <w:r>
        <w:t xml:space="preserve">czynszu określonej w zarządzeniu odpowiednio do sposobu wykorzystania nieruchomości. </w:t>
      </w:r>
    </w:p>
    <w:p w14:paraId="54B74E74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 4</w:t>
      </w:r>
    </w:p>
    <w:p w14:paraId="17499AAD" w14:textId="77777777" w:rsidR="00AF4FD8" w:rsidRDefault="00AF4FD8" w:rsidP="00AF4FD8">
      <w:r>
        <w:t>Czynsz będzie płatny na podstawie faktury VAT w ter</w:t>
      </w:r>
      <w:r w:rsidR="005230FD">
        <w:t xml:space="preserve">minie do 31 marca każdego roku lub w uzasadnionych przypadkach w innym terminie. </w:t>
      </w:r>
      <w:r>
        <w:t>W przypadku umów zawartych w ciągu roku, czynsz za rok bieżący płatny będzie w terminie wskazanym w umowie.</w:t>
      </w:r>
    </w:p>
    <w:p w14:paraId="7DBF8CDA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</w:t>
      </w:r>
      <w:r>
        <w:rPr>
          <w:b/>
        </w:rPr>
        <w:t xml:space="preserve"> 5</w:t>
      </w:r>
    </w:p>
    <w:p w14:paraId="388B7544" w14:textId="77777777" w:rsidR="00AF4FD8" w:rsidRDefault="00AF4FD8" w:rsidP="00AF4FD8">
      <w:r>
        <w:t>Wysokość czynszu określonego w § 1 pkt. 1-7</w:t>
      </w:r>
      <w:r w:rsidR="00C540C3">
        <w:t>, pkt. 10</w:t>
      </w:r>
      <w:r>
        <w:t xml:space="preserve"> niniejszego zarządzenia będzie corocznie waloryzowana w oparciu o średnioroczny wskaźnik cen towarów i usług konsumpcyjnych podany w Komunikacie Prezes</w:t>
      </w:r>
      <w:r w:rsidR="005230FD">
        <w:t xml:space="preserve">a GUS za rok poprzedni. Waloryzacja </w:t>
      </w:r>
      <w:r>
        <w:t>stawe</w:t>
      </w:r>
      <w:r w:rsidR="005230FD">
        <w:t xml:space="preserve">k dokonywana będzie raz w roku od </w:t>
      </w:r>
      <w:r>
        <w:t xml:space="preserve">dniem 1 stycznia każdego następnego roku. </w:t>
      </w:r>
    </w:p>
    <w:p w14:paraId="591E8519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 6</w:t>
      </w:r>
    </w:p>
    <w:p w14:paraId="02E4F04B" w14:textId="77777777" w:rsidR="00AF4FD8" w:rsidRDefault="00AF4FD8" w:rsidP="00AF4FD8">
      <w:r>
        <w:t>Najemca (dzierżawca) zobowiązany jest do uiszczania podatków i innych ciężarów związanych z posiadaniem przedmiotu najmu (dzierżawy).</w:t>
      </w:r>
    </w:p>
    <w:p w14:paraId="23E3296A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 7</w:t>
      </w:r>
    </w:p>
    <w:p w14:paraId="5CB89BE1" w14:textId="77777777" w:rsidR="00AF4FD8" w:rsidRDefault="00AF4FD8" w:rsidP="00AF4FD8">
      <w:r>
        <w:t>W przypadku ubiegania się dwóch lub więcej podmiotów o wydzierżawienie tego samego gruntu, gdy oddanie nieruchomości w najem  lub w dzierżawę będzie następowało w drodze przetargu, stawki określone w zarządzeniu stanowią stawkę wywoławczą czynszu.</w:t>
      </w:r>
    </w:p>
    <w:p w14:paraId="3140E573" w14:textId="77777777" w:rsidR="00AF4FD8" w:rsidRPr="00367E82" w:rsidRDefault="00AF4FD8" w:rsidP="00AF4FD8">
      <w:pPr>
        <w:jc w:val="center"/>
        <w:rPr>
          <w:b/>
        </w:rPr>
      </w:pPr>
      <w:r w:rsidRPr="00367E82">
        <w:rPr>
          <w:b/>
        </w:rPr>
        <w:t>§ 8</w:t>
      </w:r>
    </w:p>
    <w:p w14:paraId="21AF3709" w14:textId="77777777" w:rsidR="00AF4FD8" w:rsidRPr="003E6908" w:rsidRDefault="00AF4FD8" w:rsidP="00AF4FD8">
      <w:pPr>
        <w:rPr>
          <w:color w:val="FF0000"/>
        </w:rPr>
      </w:pPr>
      <w:r>
        <w:t>Po wejściu w życie niniejszego zarządzenia ustalone w nim stawki czynszu mają zastosowaniowe do nowo zawieranych umów najmu (dzierżawy).</w:t>
      </w:r>
    </w:p>
    <w:p w14:paraId="59DF07F8" w14:textId="77777777" w:rsidR="00AF4FD8" w:rsidRDefault="00AF4FD8" w:rsidP="00AF4FD8">
      <w:pPr>
        <w:jc w:val="center"/>
        <w:rPr>
          <w:b/>
        </w:rPr>
      </w:pPr>
      <w:r w:rsidRPr="00367E82">
        <w:rPr>
          <w:b/>
        </w:rPr>
        <w:t>§ 9</w:t>
      </w:r>
    </w:p>
    <w:p w14:paraId="5C419BAB" w14:textId="4DFF4E93" w:rsidR="00E942F8" w:rsidRDefault="00E942F8" w:rsidP="00AF4FD8">
      <w:pPr>
        <w:jc w:val="center"/>
        <w:rPr>
          <w:b/>
        </w:rPr>
      </w:pPr>
      <w:r>
        <w:rPr>
          <w:b/>
        </w:rPr>
        <w:t xml:space="preserve">Traci moc Zarządzenie Nr </w:t>
      </w:r>
      <w:r w:rsidR="00DC0B63">
        <w:rPr>
          <w:b/>
        </w:rPr>
        <w:t>119</w:t>
      </w:r>
      <w:r w:rsidR="00C540C3">
        <w:rPr>
          <w:b/>
        </w:rPr>
        <w:t>/201</w:t>
      </w:r>
      <w:r w:rsidR="00DC0B63">
        <w:rPr>
          <w:b/>
        </w:rPr>
        <w:t>8</w:t>
      </w:r>
      <w:r>
        <w:rPr>
          <w:b/>
        </w:rPr>
        <w:t xml:space="preserve"> Wójta Gminy Sztutowo z dnia </w:t>
      </w:r>
      <w:r w:rsidR="00DC0B63">
        <w:rPr>
          <w:b/>
        </w:rPr>
        <w:t>27</w:t>
      </w:r>
      <w:r>
        <w:rPr>
          <w:b/>
        </w:rPr>
        <w:t>.</w:t>
      </w:r>
      <w:r w:rsidR="00DC0B63">
        <w:rPr>
          <w:b/>
        </w:rPr>
        <w:t>11</w:t>
      </w:r>
      <w:r>
        <w:rPr>
          <w:b/>
        </w:rPr>
        <w:t>.201</w:t>
      </w:r>
      <w:r w:rsidR="00DC0B63">
        <w:rPr>
          <w:b/>
        </w:rPr>
        <w:t>8</w:t>
      </w:r>
      <w:r>
        <w:rPr>
          <w:b/>
        </w:rPr>
        <w:t xml:space="preserve"> r.  w sprawie ustalenia wysokości stawek czynszu za najem lub dzierżawę nieruchomości stanowiących własność Gminy Sztutowo. </w:t>
      </w:r>
    </w:p>
    <w:p w14:paraId="5BFDE282" w14:textId="77777777" w:rsidR="00E942F8" w:rsidRPr="00367E82" w:rsidRDefault="00E942F8" w:rsidP="00AF4FD8">
      <w:pPr>
        <w:jc w:val="center"/>
        <w:rPr>
          <w:b/>
        </w:rPr>
      </w:pPr>
      <w:r>
        <w:rPr>
          <w:b/>
        </w:rPr>
        <w:t>§ 10</w:t>
      </w:r>
    </w:p>
    <w:p w14:paraId="35E78AF1" w14:textId="77777777" w:rsidR="00AF4FD8" w:rsidRDefault="00AF4FD8" w:rsidP="00AF4FD8">
      <w:r>
        <w:t>Zarządzenie podlega podaniu do publicznej wiadomości poprzez zamieszczenie w Biuletynie Informacji Publicznej Gminy Sztutowo oraz wywieszenie na tablicy ogłoszeń Urzędu Gminy Sztutowo.</w:t>
      </w:r>
    </w:p>
    <w:p w14:paraId="0ECA00BE" w14:textId="77777777" w:rsidR="00AF4FD8" w:rsidRDefault="00E942F8" w:rsidP="00AF4FD8">
      <w:pPr>
        <w:jc w:val="center"/>
        <w:rPr>
          <w:b/>
        </w:rPr>
      </w:pPr>
      <w:r>
        <w:rPr>
          <w:b/>
        </w:rPr>
        <w:t>§ 11</w:t>
      </w:r>
    </w:p>
    <w:p w14:paraId="768B2D8C" w14:textId="634E17FE" w:rsidR="00AF4FD8" w:rsidRPr="00367E82" w:rsidRDefault="00AF4FD8" w:rsidP="00AF4FD8">
      <w:pPr>
        <w:jc w:val="center"/>
        <w:rPr>
          <w:b/>
        </w:rPr>
      </w:pPr>
      <w:r>
        <w:rPr>
          <w:b/>
        </w:rPr>
        <w:t>Zarządzenie wchodzi w życie z dn</w:t>
      </w:r>
      <w:r w:rsidR="005230FD">
        <w:rPr>
          <w:b/>
        </w:rPr>
        <w:t xml:space="preserve">iem </w:t>
      </w:r>
      <w:r>
        <w:rPr>
          <w:b/>
        </w:rPr>
        <w:t xml:space="preserve"> podpisania</w:t>
      </w:r>
      <w:r w:rsidR="00DC0B63">
        <w:rPr>
          <w:b/>
        </w:rPr>
        <w:t xml:space="preserve">, z mocą obowiązującą od dnia 1.01.2021 r. </w:t>
      </w:r>
    </w:p>
    <w:p w14:paraId="545F3A5C" w14:textId="77777777" w:rsidR="004E58D7" w:rsidRDefault="004E58D7"/>
    <w:p w14:paraId="644EC7D7" w14:textId="77777777" w:rsidR="00BE5AB8" w:rsidRDefault="00BE5AB8">
      <w:r>
        <w:t xml:space="preserve"> </w:t>
      </w:r>
    </w:p>
    <w:sectPr w:rsidR="00BE5AB8" w:rsidSect="00D0418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202DE"/>
    <w:multiLevelType w:val="hybridMultilevel"/>
    <w:tmpl w:val="FE76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D8"/>
    <w:rsid w:val="00084D10"/>
    <w:rsid w:val="00294E82"/>
    <w:rsid w:val="00323D49"/>
    <w:rsid w:val="00406370"/>
    <w:rsid w:val="004E58D7"/>
    <w:rsid w:val="005230FD"/>
    <w:rsid w:val="007D44F2"/>
    <w:rsid w:val="00A93096"/>
    <w:rsid w:val="00AF4FD8"/>
    <w:rsid w:val="00BE5AB8"/>
    <w:rsid w:val="00C540C3"/>
    <w:rsid w:val="00C6225E"/>
    <w:rsid w:val="00CB51CB"/>
    <w:rsid w:val="00DC0B63"/>
    <w:rsid w:val="00E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EA5E"/>
  <w15:chartTrackingRefBased/>
  <w15:docId w15:val="{7DA955CE-FCE1-41C9-8F20-E76C107D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FD8"/>
    <w:pPr>
      <w:ind w:left="720"/>
      <w:contextualSpacing/>
    </w:pPr>
  </w:style>
  <w:style w:type="table" w:styleId="Tabela-Siatka">
    <w:name w:val="Table Grid"/>
    <w:basedOn w:val="Standardowy"/>
    <w:uiPriority w:val="39"/>
    <w:rsid w:val="00AF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nieruchomościami</dc:creator>
  <cp:keywords/>
  <dc:description/>
  <cp:lastModifiedBy>Renata Głąb</cp:lastModifiedBy>
  <cp:revision>2</cp:revision>
  <cp:lastPrinted>2018-11-26T09:05:00Z</cp:lastPrinted>
  <dcterms:created xsi:type="dcterms:W3CDTF">2021-01-05T09:17:00Z</dcterms:created>
  <dcterms:modified xsi:type="dcterms:W3CDTF">2021-01-05T09:17:00Z</dcterms:modified>
</cp:coreProperties>
</file>