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6D" w:rsidRPr="0086236D" w:rsidRDefault="0086236D" w:rsidP="0086236D">
      <w:pPr>
        <w:jc w:val="both"/>
      </w:pPr>
      <w:r w:rsidRPr="0086236D">
        <w:rPr>
          <w:b/>
          <w:bCs/>
        </w:rPr>
        <w:t>§ 26.</w:t>
      </w:r>
      <w:r w:rsidRPr="0086236D">
        <w:t xml:space="preserve"> Dla terenu </w:t>
      </w:r>
      <w:r w:rsidRPr="0086236D">
        <w:rPr>
          <w:b/>
          <w:bCs/>
        </w:rPr>
        <w:t>24. U,P</w:t>
      </w:r>
      <w:r w:rsidRPr="0086236D">
        <w:t xml:space="preserve"> , </w:t>
      </w:r>
      <w:r w:rsidRPr="0086236D">
        <w:rPr>
          <w:b/>
          <w:bCs/>
        </w:rPr>
        <w:t>25. U,P</w:t>
      </w:r>
      <w:r w:rsidRPr="0086236D">
        <w:t xml:space="preserve"> , </w:t>
      </w:r>
      <w:r w:rsidRPr="0086236D">
        <w:rPr>
          <w:b/>
          <w:bCs/>
        </w:rPr>
        <w:t>104. U,P</w:t>
      </w:r>
      <w:r w:rsidRPr="0086236D">
        <w:t xml:space="preserve"> , </w:t>
      </w:r>
      <w:r w:rsidRPr="0086236D">
        <w:rPr>
          <w:b/>
          <w:bCs/>
        </w:rPr>
        <w:t>105. U,P</w:t>
      </w:r>
      <w:r w:rsidRPr="0086236D">
        <w:t xml:space="preserve"> , </w:t>
      </w:r>
      <w:r w:rsidRPr="0086236D">
        <w:rPr>
          <w:b/>
          <w:bCs/>
        </w:rPr>
        <w:t>138. U,P</w:t>
      </w:r>
      <w:r w:rsidRPr="0086236D">
        <w:t xml:space="preserve"> , </w:t>
      </w:r>
      <w:r w:rsidRPr="0086236D">
        <w:rPr>
          <w:b/>
          <w:bCs/>
        </w:rPr>
        <w:t>140. U,P</w:t>
      </w:r>
      <w:r w:rsidRPr="0086236D">
        <w:t xml:space="preserve"> , </w:t>
      </w:r>
      <w:r w:rsidRPr="0086236D">
        <w:rPr>
          <w:b/>
          <w:bCs/>
        </w:rPr>
        <w:t>255. U,P</w:t>
      </w:r>
      <w:r w:rsidRPr="0086236D">
        <w:t xml:space="preserve"> ustala się:</w:t>
      </w:r>
    </w:p>
    <w:p w:rsidR="0086236D" w:rsidRPr="0086236D" w:rsidRDefault="0086236D" w:rsidP="0086236D">
      <w:pPr>
        <w:jc w:val="both"/>
      </w:pPr>
      <w:r w:rsidRPr="0086236D">
        <w:t>Symbol przeznaczenia i numer terenu: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24. U,P</w:t>
      </w:r>
      <w:r w:rsidRPr="0086236D">
        <w:t xml:space="preserve"> powierzchnia ok. 0,20 ha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25. U,P</w:t>
      </w:r>
      <w:r w:rsidRPr="0086236D">
        <w:t xml:space="preserve"> powierzchnia ok. 0,22 ha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104. U,P</w:t>
      </w:r>
      <w:r w:rsidRPr="0086236D">
        <w:t xml:space="preserve"> powierzchnia ok. 1,45 ha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105. U,P</w:t>
      </w:r>
      <w:r w:rsidRPr="0086236D">
        <w:t xml:space="preserve"> powierzchnia ok. 0,58 ha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138. U,P</w:t>
      </w:r>
      <w:r w:rsidRPr="0086236D">
        <w:t xml:space="preserve"> powierzchnia ok. 0,32 ha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140. U,P</w:t>
      </w:r>
      <w:r w:rsidRPr="0086236D">
        <w:t xml:space="preserve"> powierzchnia ok. 0,17 ha</w:t>
      </w:r>
    </w:p>
    <w:p w:rsidR="0086236D" w:rsidRPr="0086236D" w:rsidRDefault="0086236D" w:rsidP="0086236D">
      <w:pPr>
        <w:jc w:val="both"/>
      </w:pPr>
      <w:r w:rsidRPr="0086236D">
        <w:rPr>
          <w:b/>
          <w:bCs/>
        </w:rPr>
        <w:t>255. U,P</w:t>
      </w:r>
      <w:r w:rsidRPr="0086236D">
        <w:t xml:space="preserve"> powierzchnia ok. 7,53 ha</w:t>
      </w:r>
    </w:p>
    <w:p w:rsidR="0086236D" w:rsidRPr="0086236D" w:rsidRDefault="0086236D" w:rsidP="0086236D">
      <w:pPr>
        <w:jc w:val="both"/>
      </w:pPr>
      <w:r w:rsidRPr="0086236D">
        <w:t>1) przeznaczenie terenu: teren zabudowy usługowej i obiektów produkcyjnych, składów i magazynów:</w:t>
      </w:r>
    </w:p>
    <w:p w:rsidR="0086236D" w:rsidRPr="0086236D" w:rsidRDefault="0086236D" w:rsidP="0086236D">
      <w:pPr>
        <w:jc w:val="both"/>
      </w:pPr>
      <w:r w:rsidRPr="0086236D">
        <w:t>a)dopuszcza się usługi, w tym, handel detaliczny, hurtowy i ekspozycyjny, bazy budowlane, usługi transportu, obsługi technicznej i naprawy pojazdów mechanicznych, stacje paliw wraz z zapleczem, obsługa komunikacji, biura, administracja, centra usługowo - handlowe, usługi hotelowe, gastronomia, centra konferencyjne, centra wystawiennicze, usługi dla potrzeb motoryzacji oraz składy i magazyny za wyjątkiem składów i magazynów otwartych,</w:t>
      </w:r>
    </w:p>
    <w:p w:rsidR="0086236D" w:rsidRPr="0086236D" w:rsidRDefault="0086236D" w:rsidP="0086236D">
      <w:pPr>
        <w:jc w:val="both"/>
      </w:pPr>
      <w:r w:rsidRPr="0086236D">
        <w:t>b)wyklucza się przeładunek, składowanie i magazynowanie materiałów sypkich mogących powodować pylenie, typu: węgiel, miał, żwir itp.;</w:t>
      </w:r>
    </w:p>
    <w:p w:rsidR="0086236D" w:rsidRPr="0086236D" w:rsidRDefault="0086236D" w:rsidP="0086236D">
      <w:pPr>
        <w:jc w:val="both"/>
      </w:pPr>
      <w:r w:rsidRPr="0086236D">
        <w:t>2) zasady ochrony i kształtowania ładu przestrzennego oraz kształtowania krajobrazu: jak w § 8;</w:t>
      </w:r>
    </w:p>
    <w:p w:rsidR="0086236D" w:rsidRPr="0086236D" w:rsidRDefault="0086236D" w:rsidP="0086236D">
      <w:pPr>
        <w:jc w:val="both"/>
      </w:pPr>
      <w:r w:rsidRPr="0086236D">
        <w:t>3) zasady ochrony środowiska, przyrody i krajobrazu: jak w § 9;</w:t>
      </w:r>
    </w:p>
    <w:p w:rsidR="0086236D" w:rsidRPr="0086236D" w:rsidRDefault="0086236D" w:rsidP="0086236D">
      <w:pPr>
        <w:jc w:val="both"/>
      </w:pPr>
      <w:r w:rsidRPr="0086236D">
        <w:t>4) zasady ochrony dziedzictwa kulturowego i zabytków, w tym krajobrazów kulturowych, oraz dóbr kultury współczesnej: na terenie nie występują obiekty ani tereny o wartościach kulturowych;</w:t>
      </w:r>
    </w:p>
    <w:p w:rsidR="0086236D" w:rsidRPr="0086236D" w:rsidRDefault="0086236D" w:rsidP="0086236D">
      <w:pPr>
        <w:jc w:val="both"/>
      </w:pPr>
      <w:r w:rsidRPr="0086236D">
        <w:t>5) wymagania wynikające z potrzeb kształtowania przestrzeni publicznych: nie dotyczy;</w:t>
      </w:r>
    </w:p>
    <w:p w:rsidR="0086236D" w:rsidRPr="0086236D" w:rsidRDefault="0086236D" w:rsidP="0086236D">
      <w:pPr>
        <w:jc w:val="both"/>
      </w:pPr>
      <w:r w:rsidRPr="0086236D">
        <w:t>6) zasady kształtowania zabudowy oraz wskaźniki zagospodarowania terenu:</w:t>
      </w:r>
    </w:p>
    <w:p w:rsidR="0086236D" w:rsidRPr="0086236D" w:rsidRDefault="0086236D" w:rsidP="0086236D">
      <w:pPr>
        <w:jc w:val="both"/>
      </w:pPr>
      <w:r w:rsidRPr="0086236D">
        <w:t>a)maksymalna intensywność zabudowy: 0,7,</w:t>
      </w:r>
    </w:p>
    <w:p w:rsidR="0086236D" w:rsidRPr="0086236D" w:rsidRDefault="0086236D" w:rsidP="0086236D">
      <w:pPr>
        <w:jc w:val="both"/>
      </w:pPr>
      <w:r w:rsidRPr="0086236D">
        <w:t>b)minimalna intensywność zabudowy: 0,</w:t>
      </w:r>
    </w:p>
    <w:p w:rsidR="0086236D" w:rsidRPr="0086236D" w:rsidRDefault="0086236D" w:rsidP="0086236D">
      <w:pPr>
        <w:jc w:val="both"/>
      </w:pPr>
      <w:r w:rsidRPr="0086236D">
        <w:t>c)powierzchnia zabudowy: nie więcej niż 40% powierzchni działki budowlanej,</w:t>
      </w:r>
    </w:p>
    <w:p w:rsidR="0086236D" w:rsidRPr="0086236D" w:rsidRDefault="0086236D" w:rsidP="0086236D">
      <w:pPr>
        <w:jc w:val="both"/>
      </w:pPr>
      <w:r w:rsidRPr="0086236D">
        <w:t>d)minimalny procent powierzchni biologicznie czynnej: 30% powierzchni działki budowlanej,</w:t>
      </w:r>
    </w:p>
    <w:p w:rsidR="0086236D" w:rsidRPr="0086236D" w:rsidRDefault="0086236D" w:rsidP="0086236D">
      <w:pPr>
        <w:jc w:val="both"/>
      </w:pPr>
      <w:r w:rsidRPr="0086236D">
        <w:t>e)maksymalna wysokość zabudowy: – dla budynków: 9 m, – wysokość obiektów budowlanych niebędących budynkami: 15 m,</w:t>
      </w:r>
    </w:p>
    <w:p w:rsidR="0086236D" w:rsidRPr="0086236D" w:rsidRDefault="0086236D" w:rsidP="0086236D">
      <w:pPr>
        <w:jc w:val="both"/>
      </w:pPr>
      <w:r w:rsidRPr="0086236D">
        <w:lastRenderedPageBreak/>
        <w:t>f)minimalna liczba miejsc do parkowania i sposób ich realizacji: jak w § 17,</w:t>
      </w:r>
    </w:p>
    <w:p w:rsidR="0086236D" w:rsidRPr="0086236D" w:rsidRDefault="0086236D" w:rsidP="0086236D">
      <w:pPr>
        <w:jc w:val="both"/>
      </w:pPr>
      <w:r w:rsidRPr="0086236D">
        <w:t>g)linie zabudowy: nieprzekraczalna – jak na rysunku planu,</w:t>
      </w:r>
    </w:p>
    <w:p w:rsidR="0086236D" w:rsidRPr="0086236D" w:rsidRDefault="0086236D" w:rsidP="0086236D">
      <w:pPr>
        <w:jc w:val="both"/>
      </w:pPr>
      <w:r w:rsidRPr="0086236D">
        <w:t>h)gabaryty obiektów: do 2 kondygnacji nadziemnych, dachy dowolne, poziom posadzki parteru nie więcej niż 0,5 m nad poziomem terenu,</w:t>
      </w:r>
    </w:p>
    <w:p w:rsidR="0086236D" w:rsidRPr="0086236D" w:rsidRDefault="0086236D" w:rsidP="0086236D">
      <w:pPr>
        <w:jc w:val="both"/>
      </w:pPr>
      <w:r w:rsidRPr="0086236D">
        <w:t>i)minimalna powierzchnia nowo wydzielonych działek budowlanych: nie mniej niż 2000 m² oraz jak w § 16;</w:t>
      </w:r>
    </w:p>
    <w:p w:rsidR="0086236D" w:rsidRPr="0086236D" w:rsidRDefault="0086236D" w:rsidP="0086236D">
      <w:pPr>
        <w:jc w:val="both"/>
      </w:pPr>
      <w:r w:rsidRPr="0086236D">
        <w:t>7) ustalenia wynikające z przepisów odrębnych: jak w § 12;</w:t>
      </w:r>
    </w:p>
    <w:p w:rsidR="0086236D" w:rsidRPr="0086236D" w:rsidRDefault="0086236D" w:rsidP="0086236D">
      <w:pPr>
        <w:jc w:val="both"/>
      </w:pPr>
      <w:r w:rsidRPr="0086236D">
        <w:t>8) szczegółowe zasady i warunki scalania i podziału nieruchomości: jak w § 15;</w:t>
      </w:r>
    </w:p>
    <w:p w:rsidR="0086236D" w:rsidRPr="0086236D" w:rsidRDefault="0086236D" w:rsidP="0086236D">
      <w:pPr>
        <w:jc w:val="both"/>
      </w:pPr>
      <w:r w:rsidRPr="0086236D">
        <w:t>9) szczególne warunki zagospodarowania terenu oraz ograniczenia w jego użytkowaniu, w tym zakaz zabudowy:</w:t>
      </w:r>
    </w:p>
    <w:p w:rsidR="0086236D" w:rsidRPr="0086236D" w:rsidRDefault="0086236D" w:rsidP="0086236D">
      <w:pPr>
        <w:jc w:val="both"/>
      </w:pPr>
      <w:r w:rsidRPr="0086236D">
        <w:t>a)na terenie 138.U,P, 140.U,P, 255.U,P należy wprowadzić pas zieleni izolacyjno-krajobrazowej o szerokości nie mniejszej niż 4 m – zgodnie z rysunkiem planu,</w:t>
      </w:r>
    </w:p>
    <w:p w:rsidR="0086236D" w:rsidRPr="0086236D" w:rsidRDefault="0086236D" w:rsidP="0086236D">
      <w:pPr>
        <w:jc w:val="both"/>
      </w:pPr>
      <w:r w:rsidRPr="0086236D">
        <w:t>b)na terenie 255.U,P dopuszcza się wydzielenie dróg wewnętrznych o szerokości nie mniejszej niż 8 m;</w:t>
      </w:r>
    </w:p>
    <w:p w:rsidR="0086236D" w:rsidRPr="0086236D" w:rsidRDefault="0086236D" w:rsidP="0086236D">
      <w:pPr>
        <w:jc w:val="both"/>
      </w:pPr>
      <w:r w:rsidRPr="0086236D">
        <w:t xml:space="preserve">c)od istniejących napowietrznych linii elektroenergetycznych 15 </w:t>
      </w:r>
      <w:proofErr w:type="spellStart"/>
      <w:r w:rsidRPr="0086236D">
        <w:t>kV</w:t>
      </w:r>
      <w:proofErr w:type="spellEnd"/>
      <w:r w:rsidRPr="0086236D">
        <w:t xml:space="preserve"> obowiązuje pas ograniczeń o szerokości 2 x 7 m, gdzie zagospodarowanie musi być zgodne z przepisami odrębnymi , w przypadku skablowania napowietrznej linii pas ograniczeń nie obowiązuje,</w:t>
      </w:r>
    </w:p>
    <w:p w:rsidR="0086236D" w:rsidRPr="0086236D" w:rsidRDefault="0086236D" w:rsidP="0086236D">
      <w:pPr>
        <w:jc w:val="both"/>
      </w:pPr>
      <w:r w:rsidRPr="0086236D">
        <w:t>d)lokalizacja zabudowy na terenie 104.U,P musi być zgodna z przepisami odrębnymi dotyczącymi odległości budynków od granicy lasu</w:t>
      </w:r>
    </w:p>
    <w:p w:rsidR="0086236D" w:rsidRPr="0086236D" w:rsidRDefault="0086236D" w:rsidP="0086236D">
      <w:pPr>
        <w:jc w:val="both"/>
      </w:pPr>
      <w:r w:rsidRPr="0086236D">
        <w:t>10) zasady modernizacji, rozbudowy i budowy systemu komunikacji: jak w § 13;</w:t>
      </w:r>
    </w:p>
    <w:p w:rsidR="0086236D" w:rsidRPr="0086236D" w:rsidRDefault="0086236D" w:rsidP="0086236D">
      <w:pPr>
        <w:jc w:val="both"/>
      </w:pPr>
      <w:r w:rsidRPr="0086236D">
        <w:t>11) zasady modernizacji, rozbudowy i budowy infrastruktury technicznej: jak w § 14;</w:t>
      </w:r>
    </w:p>
    <w:p w:rsidR="0086236D" w:rsidRPr="0086236D" w:rsidRDefault="0086236D" w:rsidP="0086236D">
      <w:pPr>
        <w:jc w:val="both"/>
      </w:pPr>
      <w:r w:rsidRPr="0086236D">
        <w:t>12) sposób i termin tymczasowego zagospodarowania, urządzania i użytkowania terenu: nie określa się;</w:t>
      </w:r>
    </w:p>
    <w:p w:rsidR="0086236D" w:rsidRDefault="0086236D" w:rsidP="0086236D">
      <w:pPr>
        <w:jc w:val="both"/>
      </w:pPr>
      <w:r w:rsidRPr="0086236D">
        <w:t>13) stawka procentowa: jak w § 18.</w:t>
      </w:r>
    </w:p>
    <w:p w:rsidR="00DF40F3" w:rsidRDefault="00DF40F3" w:rsidP="0086236D">
      <w:pPr>
        <w:jc w:val="both"/>
      </w:pPr>
    </w:p>
    <w:p w:rsidR="00DF40F3" w:rsidRPr="00DF40F3" w:rsidRDefault="00DF40F3" w:rsidP="0086236D">
      <w:pPr>
        <w:jc w:val="both"/>
        <w:rPr>
          <w:b/>
          <w:i/>
          <w:u w:val="single"/>
        </w:rPr>
      </w:pPr>
      <w:r w:rsidRPr="00DF40F3">
        <w:rPr>
          <w:b/>
          <w:sz w:val="28"/>
          <w:szCs w:val="28"/>
          <w:vertAlign w:val="superscript"/>
        </w:rPr>
        <w:t>*)</w:t>
      </w:r>
      <w:r>
        <w:rPr>
          <w:b/>
          <w:vertAlign w:val="superscript"/>
        </w:rPr>
        <w:t xml:space="preserve"> </w:t>
      </w:r>
      <w:r w:rsidRPr="00DF40F3">
        <w:rPr>
          <w:b/>
          <w:i/>
          <w:u w:val="single"/>
        </w:rPr>
        <w:t>Pełna treść  UCHWAŁY NR XLVIII/568/2022 RADY GMINY STAROGARD GDAŃSKI  z  dnia 25 sierpnia 2022 r. w sprawie uchwalenia miejscowego planu zagospodarowania przestrzennego dla wsi Rokocin  znajduje się w odrębnym załączniku.</w:t>
      </w:r>
    </w:p>
    <w:p w:rsidR="00012032" w:rsidRDefault="00012032" w:rsidP="0086236D">
      <w:pPr>
        <w:jc w:val="both"/>
      </w:pPr>
      <w:bookmarkStart w:id="0" w:name="_GoBack"/>
      <w:bookmarkEnd w:id="0"/>
    </w:p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6D"/>
    <w:rsid w:val="00012032"/>
    <w:rsid w:val="0086236D"/>
    <w:rsid w:val="00D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A.Slominska</dc:creator>
  <cp:lastModifiedBy>A.Slominska</cp:lastModifiedBy>
  <cp:revision>2</cp:revision>
  <dcterms:created xsi:type="dcterms:W3CDTF">2023-10-20T09:46:00Z</dcterms:created>
  <dcterms:modified xsi:type="dcterms:W3CDTF">2023-10-20T10:06:00Z</dcterms:modified>
</cp:coreProperties>
</file>