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F3" w:rsidRPr="004A57F3" w:rsidRDefault="004A57F3" w:rsidP="004A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A57F3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4A57F3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4A57F3" w:rsidRPr="004A57F3" w:rsidRDefault="004A57F3" w:rsidP="004A57F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A57F3">
        <w:rPr>
          <w:rFonts w:ascii="Times New Roman" w:eastAsia="Times New Roman" w:hAnsi="Times New Roman" w:cs="Times New Roman"/>
          <w:lang w:eastAsia="pl-PL"/>
        </w:rPr>
        <w:t>z dnia 26 września 2019 r.</w:t>
      </w:r>
    </w:p>
    <w:p w:rsidR="004A57F3" w:rsidRPr="004A57F3" w:rsidRDefault="004A57F3" w:rsidP="004A57F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57F3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sposobu rozpatrzenia uwagi Nr 4 – Pana Marcina </w:t>
      </w:r>
      <w:proofErr w:type="spellStart"/>
      <w:r w:rsidRPr="004A57F3">
        <w:rPr>
          <w:rFonts w:ascii="Times New Roman" w:eastAsia="Times New Roman" w:hAnsi="Times New Roman" w:cs="Times New Roman"/>
          <w:b/>
          <w:bCs/>
          <w:lang w:eastAsia="pl-PL"/>
        </w:rPr>
        <w:t>Puścikowskiego</w:t>
      </w:r>
      <w:proofErr w:type="spellEnd"/>
      <w:r w:rsidRPr="004A57F3">
        <w:rPr>
          <w:rFonts w:ascii="Times New Roman" w:eastAsia="Times New Roman" w:hAnsi="Times New Roman" w:cs="Times New Roman"/>
          <w:b/>
          <w:bCs/>
          <w:lang w:eastAsia="pl-PL"/>
        </w:rPr>
        <w:t xml:space="preserve"> złożonej do projektu miejscowego planu zagospodarowania przestrzennego dla wsi Krąg.</w:t>
      </w:r>
    </w:p>
    <w:p w:rsidR="004A57F3" w:rsidRPr="004A57F3" w:rsidRDefault="004A57F3" w:rsidP="004A57F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A57F3">
        <w:rPr>
          <w:rFonts w:ascii="Times New Roman" w:eastAsia="Times New Roman" w:hAnsi="Times New Roman" w:cs="Times New Roman"/>
          <w:lang w:eastAsia="pl-PL"/>
        </w:rPr>
        <w:t>Na podstawie art.18 ust.2 pkt 15 ustawy z dnia 8 marca 1990r. o  samorządzie  gminnym  (Dz. U. z 2019r., poz.506 z </w:t>
      </w:r>
      <w:proofErr w:type="spellStart"/>
      <w:r w:rsidRPr="004A57F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A57F3">
        <w:rPr>
          <w:rFonts w:ascii="Times New Roman" w:eastAsia="Times New Roman" w:hAnsi="Times New Roman" w:cs="Times New Roman"/>
          <w:lang w:eastAsia="pl-PL"/>
        </w:rPr>
        <w:t>. zm.) w związku z art. 20 ust.1 ustawy z dnia 27 marca 2003r. o planowaniu i zagospodarowaniu przestrzennym (Dz. U. z 2018r., poz. 1945 ze zmianami),  po zapoznaniu się z przedłożonym przez Wójta Gminy projektem miejscowego planu zagospodarowania przestrzennego dla wsi Krąg uchwala się, co następuje:</w:t>
      </w:r>
    </w:p>
    <w:p w:rsidR="004A57F3" w:rsidRPr="004A57F3" w:rsidRDefault="004A57F3" w:rsidP="004A57F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57F3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4A57F3">
        <w:rPr>
          <w:rFonts w:ascii="Times New Roman" w:eastAsia="Times New Roman" w:hAnsi="Times New Roman" w:cs="Times New Roman"/>
          <w:lang w:eastAsia="pl-PL"/>
        </w:rPr>
        <w:t xml:space="preserve">Nie uwzględnia się uwagi Pana Marcina </w:t>
      </w:r>
      <w:proofErr w:type="spellStart"/>
      <w:r w:rsidRPr="004A57F3">
        <w:rPr>
          <w:rFonts w:ascii="Times New Roman" w:eastAsia="Times New Roman" w:hAnsi="Times New Roman" w:cs="Times New Roman"/>
          <w:lang w:eastAsia="pl-PL"/>
        </w:rPr>
        <w:t>Puścikowskiego</w:t>
      </w:r>
      <w:proofErr w:type="spellEnd"/>
      <w:r w:rsidRPr="004A57F3">
        <w:rPr>
          <w:rFonts w:ascii="Times New Roman" w:eastAsia="Times New Roman" w:hAnsi="Times New Roman" w:cs="Times New Roman"/>
          <w:lang w:eastAsia="pl-PL"/>
        </w:rPr>
        <w:t xml:space="preserve"> dotyczącej likwidacji w planie wymogu urządzenia pasa zieleni izolacyjno-krajobrazowej na terenie 206.U lub zmiany funkcji terenu 206.U na 206.U/MN.</w:t>
      </w:r>
    </w:p>
    <w:p w:rsidR="004A57F3" w:rsidRPr="004A57F3" w:rsidRDefault="004A57F3" w:rsidP="004A57F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57F3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4A57F3">
        <w:rPr>
          <w:rFonts w:ascii="Times New Roman" w:eastAsia="Times New Roman" w:hAnsi="Times New Roman" w:cs="Times New Roman"/>
          <w:lang w:eastAsia="pl-PL"/>
        </w:rPr>
        <w:t>Wykonanie uchwały powierza się Wójtowi Gminy.</w:t>
      </w:r>
    </w:p>
    <w:p w:rsidR="004A57F3" w:rsidRPr="004A57F3" w:rsidRDefault="004A57F3" w:rsidP="004A57F3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A57F3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4A57F3">
        <w:rPr>
          <w:rFonts w:ascii="Times New Roman" w:eastAsia="Times New Roman" w:hAnsi="Times New Roman" w:cs="Times New Roman"/>
          <w:lang w:eastAsia="pl-PL"/>
        </w:rPr>
        <w:t>Uchwała wchodzi w życie 26 września 2019 r.</w:t>
      </w:r>
    </w:p>
    <w:p w:rsidR="004A57F3" w:rsidRPr="004A57F3" w:rsidRDefault="004A57F3" w:rsidP="004A57F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57F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4A57F3" w:rsidRPr="004A57F3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F3" w:rsidRPr="004A57F3" w:rsidRDefault="004A57F3" w:rsidP="004A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7F3" w:rsidRPr="004A57F3" w:rsidRDefault="004A57F3" w:rsidP="004A57F3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57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4A57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4A57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4A57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4A57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4A57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A57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A57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A57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4A57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4A57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4A57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4A57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4A57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4A57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4A57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4A57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4A57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4A57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4A57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4A57F3" w:rsidRPr="004A57F3" w:rsidRDefault="004A57F3" w:rsidP="004A57F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/>
    <w:p w:rsidR="004A57F3" w:rsidRDefault="004A57F3"/>
    <w:p w:rsidR="004A57F3" w:rsidRDefault="004A57F3"/>
    <w:p w:rsidR="004A57F3" w:rsidRDefault="004A57F3"/>
    <w:p w:rsidR="004A57F3" w:rsidRDefault="004A57F3"/>
    <w:p w:rsidR="004A57F3" w:rsidRDefault="004A57F3"/>
    <w:p w:rsidR="004A57F3" w:rsidRDefault="004A57F3"/>
    <w:p w:rsidR="004A57F3" w:rsidRDefault="004A57F3"/>
    <w:p w:rsidR="004A57F3" w:rsidRDefault="004A57F3"/>
    <w:p w:rsidR="004A57F3" w:rsidRDefault="004A57F3"/>
    <w:p w:rsidR="004A57F3" w:rsidRDefault="004A57F3"/>
    <w:p w:rsidR="004A57F3" w:rsidRDefault="004A57F3"/>
    <w:p w:rsidR="004A57F3" w:rsidRDefault="004A57F3"/>
    <w:p w:rsidR="004A57F3" w:rsidRDefault="004A57F3"/>
    <w:p w:rsidR="004A57F3" w:rsidRDefault="004A57F3"/>
    <w:p w:rsidR="004A57F3" w:rsidRDefault="004A57F3"/>
    <w:p w:rsidR="004A57F3" w:rsidRPr="004A57F3" w:rsidRDefault="004A57F3" w:rsidP="004A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57F3" w:rsidRPr="004A57F3" w:rsidRDefault="004A57F3" w:rsidP="004A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57F3"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:rsidR="004A57F3" w:rsidRPr="004A57F3" w:rsidRDefault="004A57F3" w:rsidP="004A57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A57F3">
        <w:rPr>
          <w:rFonts w:ascii="Times New Roman" w:eastAsia="Times New Roman" w:hAnsi="Times New Roman" w:cs="Times New Roman"/>
          <w:lang w:eastAsia="pl-PL"/>
        </w:rPr>
        <w:t>W projekcie planu miejscowego dla terenu 206.U ustalono wymóg urządzenia pasa zieleni izolacyjno-krajobrazowej o szerokości nie mniejszej niż 10m w miejscu wskazanym na rysunku planu. Zaznaczony na rysunku planu pas zieleni (od strony południowo-wschodniej) oddzielać ma tereny zabudowy usługowej od terenów zabudowy mieszkaniowej jednorodzinnej.</w:t>
      </w:r>
    </w:p>
    <w:p w:rsidR="004A57F3" w:rsidRPr="004A57F3" w:rsidRDefault="004A57F3" w:rsidP="004A57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A57F3">
        <w:rPr>
          <w:rFonts w:ascii="Times New Roman" w:eastAsia="Times New Roman" w:hAnsi="Times New Roman" w:cs="Times New Roman"/>
          <w:lang w:eastAsia="pl-PL"/>
        </w:rPr>
        <w:t>Po przeanalizowaniu treści uwagi oraz wizji w terenie zmniejszono projektowany pas zieleni do min. 5m, jednak konsekwentnie oznaczono go również od strony północno-wschodniej terenu, gdzie graniczy on z terenami zabudowy mieszkaniowej jednorodzinnej w Okolu.</w:t>
      </w:r>
    </w:p>
    <w:p w:rsidR="004A57F3" w:rsidRPr="004A57F3" w:rsidRDefault="004A57F3" w:rsidP="004A57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A57F3">
        <w:rPr>
          <w:rFonts w:ascii="Times New Roman" w:eastAsia="Times New Roman" w:hAnsi="Times New Roman" w:cs="Times New Roman"/>
          <w:lang w:eastAsia="pl-PL"/>
        </w:rPr>
        <w:t>Zgodnie z kartą terenu 206.U na terenie tym zlokalizować można m.in. usługi z zakresu obsługi rekreacji i ruchu turystycznego, wypoczynku, w tym w postaci domków letniskowych/campingowych oraz usług handlu i gastronomii. Usługi te niosą ze sobą ryzyko ewentualnej uciążliwości dla sąsiadującej zabudowy mieszkaniowej, stąd nie wyrażono zgody na całkowitą likwidację pasa zieleni.</w:t>
      </w:r>
    </w:p>
    <w:p w:rsidR="004A57F3" w:rsidRPr="004A57F3" w:rsidRDefault="004A57F3" w:rsidP="004A57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A57F3">
        <w:rPr>
          <w:rFonts w:ascii="Times New Roman" w:eastAsia="Times New Roman" w:hAnsi="Times New Roman" w:cs="Times New Roman"/>
          <w:lang w:eastAsia="pl-PL"/>
        </w:rPr>
        <w:t>Wnioskowana przez składającego uwagę zmiana funkcji terenu na teren zabudowy usługowo-mieszkalnej U/MN nie jest możliwa z uwagi na funkcję terenu postulowaną w studium uwarunkowań i kierunków zagospodarowania przestrzennego gminy, którego ustalenia są wiążące dla organów gminy przy sporządzaniu planów miejscowych (art. 9 ust. 4 ustawy o planowaniu i zagospodarowaniu przestrzennym).</w:t>
      </w:r>
    </w:p>
    <w:p w:rsidR="004A57F3" w:rsidRPr="004A57F3" w:rsidRDefault="004A57F3" w:rsidP="004A57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A57F3">
        <w:rPr>
          <w:rFonts w:ascii="Times New Roman" w:eastAsia="Times New Roman" w:hAnsi="Times New Roman" w:cs="Times New Roman"/>
          <w:lang w:eastAsia="pl-PL"/>
        </w:rPr>
        <w:t>Wobec powyższych wyjaśnień nie uwzględniono w całości złożonej uwagi.</w:t>
      </w:r>
    </w:p>
    <w:p w:rsidR="004A57F3" w:rsidRDefault="004A57F3">
      <w:bookmarkStart w:id="0" w:name="_GoBack"/>
      <w:bookmarkEnd w:id="0"/>
    </w:p>
    <w:sectPr w:rsidR="004A57F3" w:rsidSect="00723435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3"/>
    <w:rsid w:val="004A57F3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02677-BEAB-45CC-AF25-A1AA80AF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2019-09-17T06:12:00Z</dcterms:created>
  <dcterms:modified xsi:type="dcterms:W3CDTF">2019-09-17T06:13:00Z</dcterms:modified>
</cp:coreProperties>
</file>