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7" w:rsidRPr="001867C7" w:rsidRDefault="001867C7" w:rsidP="0018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67C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867C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867C7" w:rsidRPr="001867C7" w:rsidRDefault="001867C7" w:rsidP="001867C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67C7">
        <w:rPr>
          <w:rFonts w:ascii="Times New Roman" w:eastAsia="Times New Roman" w:hAnsi="Times New Roman" w:cs="Times New Roman"/>
          <w:lang w:eastAsia="pl-PL"/>
        </w:rPr>
        <w:t>z dnia 25 lipca 2019 r.</w:t>
      </w:r>
    </w:p>
    <w:p w:rsidR="001867C7" w:rsidRPr="001867C7" w:rsidRDefault="001867C7" w:rsidP="001867C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b/>
          <w:bCs/>
          <w:lang w:eastAsia="pl-PL"/>
        </w:rPr>
        <w:t>w sprawie powołania zespołu opiniującego kandydatów na ławników</w:t>
      </w:r>
    </w:p>
    <w:p w:rsidR="001867C7" w:rsidRPr="001867C7" w:rsidRDefault="001867C7" w:rsidP="001867C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lang w:eastAsia="pl-PL"/>
        </w:rPr>
        <w:t>Na podstawie art. 18 ust.2 pkt 15 ustawy z dnia 8 marca 1990 r. o samorządzie gminnym  ( Dz. U. z 2019 r. poz. 506) w związku z art. 163 § 2 ustawy z dnia 27 lipca 2001 r. prawo o ustroju sądów powszechnych (Dz. U. z 2019r.  poz. 52) uchwala się, co następuje:</w:t>
      </w:r>
    </w:p>
    <w:p w:rsidR="001867C7" w:rsidRPr="001867C7" w:rsidRDefault="001867C7" w:rsidP="001867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867C7">
        <w:rPr>
          <w:rFonts w:ascii="Times New Roman" w:eastAsia="Times New Roman" w:hAnsi="Times New Roman" w:cs="Times New Roman"/>
          <w:lang w:eastAsia="pl-PL"/>
        </w:rPr>
        <w:t>Powołuje się zespół opiniujący kandydatów na ławników sądów powszechnych w składzie osobowym Komisji Samorządu i Spraw Społecznych Rady Gminy.</w:t>
      </w:r>
    </w:p>
    <w:p w:rsidR="001867C7" w:rsidRPr="001867C7" w:rsidRDefault="001867C7" w:rsidP="001867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867C7">
        <w:rPr>
          <w:rFonts w:ascii="Times New Roman" w:eastAsia="Times New Roman" w:hAnsi="Times New Roman" w:cs="Times New Roman"/>
          <w:lang w:eastAsia="pl-PL"/>
        </w:rPr>
        <w:t>1. Do zadań zespołu należy wydanie opinii o przydatności kandydatów na ławników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7C7">
        <w:rPr>
          <w:rFonts w:ascii="Times New Roman" w:eastAsia="Times New Roman" w:hAnsi="Times New Roman" w:cs="Times New Roman"/>
          <w:lang w:eastAsia="pl-PL"/>
        </w:rPr>
        <w:t>sądów powszechnych.</w:t>
      </w:r>
    </w:p>
    <w:p w:rsidR="001867C7" w:rsidRPr="001867C7" w:rsidRDefault="001867C7" w:rsidP="001867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lang w:eastAsia="pl-PL"/>
        </w:rPr>
        <w:t>2. Opinia o jakiej mowa w ust. 1 zostanie przedstawiona na sesji Rady Gminy w 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1867C7">
        <w:rPr>
          <w:rFonts w:ascii="Times New Roman" w:eastAsia="Times New Roman" w:hAnsi="Times New Roman" w:cs="Times New Roman"/>
          <w:lang w:eastAsia="pl-PL"/>
        </w:rPr>
        <w:t>pisemnej.</w:t>
      </w:r>
    </w:p>
    <w:p w:rsidR="001867C7" w:rsidRPr="001867C7" w:rsidRDefault="001867C7" w:rsidP="001867C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867C7">
        <w:rPr>
          <w:rFonts w:ascii="Times New Roman" w:eastAsia="Times New Roman" w:hAnsi="Times New Roman" w:cs="Times New Roman"/>
          <w:lang w:eastAsia="pl-PL"/>
        </w:rPr>
        <w:t>Uchwała wchodzi w życie z dniem 25 lipca 2019 r.</w:t>
      </w:r>
    </w:p>
    <w:p w:rsidR="001867C7" w:rsidRPr="001867C7" w:rsidRDefault="001867C7" w:rsidP="001867C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7C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867C7" w:rsidRPr="001867C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7C7" w:rsidRPr="001867C7" w:rsidRDefault="001867C7" w:rsidP="0018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7C7" w:rsidRPr="001867C7" w:rsidRDefault="001867C7" w:rsidP="001867C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6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867C7" w:rsidRPr="001867C7" w:rsidRDefault="001867C7" w:rsidP="001867C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sectPr w:rsidR="00DD7DD8" w:rsidSect="00F1448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C7"/>
    <w:rsid w:val="001867C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DA4D-CFDA-47AA-B925-632F5CB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2019-07-03T08:53:00Z</dcterms:created>
  <dcterms:modified xsi:type="dcterms:W3CDTF">2019-07-03T08:54:00Z</dcterms:modified>
</cp:coreProperties>
</file>