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3E" w:rsidRPr="0018773E" w:rsidRDefault="0018773E" w:rsidP="0018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8773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8773E" w:rsidRPr="0018773E" w:rsidRDefault="0018773E" w:rsidP="0018773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z dnia 18 października 2018 r.</w:t>
      </w:r>
    </w:p>
    <w:p w:rsidR="0018773E" w:rsidRPr="0018773E" w:rsidRDefault="0018773E" w:rsidP="0018773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lang w:eastAsia="pl-PL"/>
        </w:rPr>
        <w:t>w sprawie ustalenia stawek dotacji przedmiotowych dla samorządowego zakładu budżetowego, określenia trybu udzielenia i zasad rozliczania dotacji.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(Dz.U. z 2018 r., poz. 994 z </w:t>
      </w:r>
      <w:proofErr w:type="spellStart"/>
      <w:r w:rsidRPr="0018773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8773E">
        <w:rPr>
          <w:rFonts w:ascii="Times New Roman" w:eastAsia="Times New Roman" w:hAnsi="Times New Roman" w:cs="Times New Roman"/>
          <w:lang w:eastAsia="pl-PL"/>
        </w:rPr>
        <w:t>. zm</w:t>
      </w:r>
      <w:r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  <w:r w:rsidRPr="0018773E">
        <w:rPr>
          <w:rFonts w:ascii="Times New Roman" w:eastAsia="Times New Roman" w:hAnsi="Times New Roman" w:cs="Times New Roman"/>
          <w:lang w:eastAsia="pl-PL"/>
        </w:rPr>
        <w:t>) oraz art. 219 ust. 4 ustawy z dnia 27 sierpnia 2009 roku o finansach publicznych (Dz.U. z 2016 r., poz.1870 z późn.zm.) uchwala się, co następuje: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8773E">
        <w:rPr>
          <w:rFonts w:ascii="Times New Roman" w:eastAsia="Times New Roman" w:hAnsi="Times New Roman" w:cs="Times New Roman"/>
          <w:lang w:eastAsia="pl-PL"/>
        </w:rPr>
        <w:t>1. Ustala się stawki dotacji przedmiotowych na 2019 rok, kalkulowane według stawek jednostkowych dla Gminnego Zakładu Usług Komunalnych w Jabłowie.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2. Stawki ustalane są jako iloraz przewidywanych kosztów dotyczących dotowanej działalności pomniejszonych o planowane z tego tytułu przychody i liczby jednostek dotowanej działalności, według wzoru:</w:t>
      </w:r>
    </w:p>
    <w:p w:rsidR="0018773E" w:rsidRPr="0018773E" w:rsidRDefault="0018773E" w:rsidP="0018773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773E">
        <w:rPr>
          <w:rFonts w:ascii="Times New Roman" w:eastAsia="Times New Roman" w:hAnsi="Times New Roman" w:cs="Times New Roman"/>
          <w:lang w:eastAsia="pl-PL"/>
        </w:rPr>
        <w:t>K – P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after="0" w:line="36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  <w:r w:rsidRPr="0018773E">
        <w:rPr>
          <w:rFonts w:ascii="Times New Roman" w:eastAsia="Times New Roman" w:hAnsi="Times New Roman" w:cs="Times New Roman"/>
          <w:lang w:eastAsia="pl-PL"/>
        </w:rPr>
        <w:t>--------------------</w:t>
      </w:r>
    </w:p>
    <w:p w:rsidR="0018773E" w:rsidRPr="0018773E" w:rsidRDefault="0018773E" w:rsidP="0018773E">
      <w:pPr>
        <w:autoSpaceDE w:val="0"/>
        <w:autoSpaceDN w:val="0"/>
        <w:adjustRightInd w:val="0"/>
        <w:spacing w:before="120" w:after="120" w:line="240" w:lineRule="auto"/>
        <w:ind w:left="624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liczba jednostek</w:t>
      </w:r>
    </w:p>
    <w:p w:rsidR="0018773E" w:rsidRPr="0018773E" w:rsidRDefault="0018773E" w:rsidP="0018773E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Gdzie:</w:t>
      </w:r>
    </w:p>
    <w:p w:rsidR="0018773E" w:rsidRPr="0018773E" w:rsidRDefault="0018773E" w:rsidP="0018773E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K – oznacza przewidywane na dany rok koszty dotyczące dotowanej działalności,</w:t>
      </w:r>
    </w:p>
    <w:p w:rsidR="0018773E" w:rsidRPr="0018773E" w:rsidRDefault="0018773E" w:rsidP="0018773E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P – oznacza planowane dochody dotyczące dotowanej działalności,</w:t>
      </w:r>
    </w:p>
    <w:p w:rsidR="0018773E" w:rsidRPr="0018773E" w:rsidRDefault="0018773E" w:rsidP="0018773E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liczba jednostek – oznacza liczbę m, m², m³, km, szt. itp. dotowanej działalności.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3. Na podstawie informacji, przedstawionych przez Zakład, dotyczących planowanych wielkości na 2019 rok ustala się stawki w następującej wysokości: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a) gospodarka mieszkaniowa – 2,71 zł. do 1 m² powierzchni mieszkania na m-c,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b) utrzymanie dróg gminnych –  9,21 zł. do 1m drogi na rok,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c) utrzymanie gminnych terenów rekreacyjnych ( boiska i place zabaw) –  9.514,09 zł./szt./rok.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8773E">
        <w:rPr>
          <w:rFonts w:ascii="Times New Roman" w:eastAsia="Times New Roman" w:hAnsi="Times New Roman" w:cs="Times New Roman"/>
          <w:lang w:eastAsia="pl-PL"/>
        </w:rPr>
        <w:t>1. Wysokość dotacji przypadająca na dany rok stanowi iloraz ustalonej stawki jednostkowej i liczby jednostek dotowanej działalności. Wynik zaokrągla się do pełnych złotych w ten sposób, że :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a) mniej niż 50 groszy pomija się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b) 50 i więcej groszy podwyższa się do pełnych złotych.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2. Dotacja przedmiotowa jest przekazywana w wysokości 1/12 kwoty zaplanowanej w budżecie gminy, z uwzględnieniem stawek dotacji w terminie do 5-go każdego miesiąca.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3. W uzasadnionym przypadku, związanym  z realizacją statutowych celów Gminnego Zakładu Usług Komunalnych, dopuszcza się przesunięcie terminów przekazywania części dotacji przypadającej na dany miesiąc.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8773E">
        <w:rPr>
          <w:rFonts w:ascii="Times New Roman" w:eastAsia="Times New Roman" w:hAnsi="Times New Roman" w:cs="Times New Roman"/>
          <w:lang w:eastAsia="pl-PL"/>
        </w:rPr>
        <w:t>1. Zakład, o których mowa w § 1, otrzymujący dotacje przedmiotowe jest obowiązany prowadzić, w celu rozliczenia dotacji, ewidencję księgową lub pozaksięgową w sposób umożliwiający rozliczenie dotacji przedmiotowej.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2. W przypadku nieprowadzenia ewidencji, o której mowa w ust. 1, pobrane w roku budżetowym dotacje podlegają zwrotowi w całości na rachunek budżetu gminy wraz  z należnymi odsetkami, których bieg rozpocznie się od dnia przekazania dotacji.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t>3. Zakład budżetowy przedstawia Wójtowi Gminy rozliczenie z otrzymanej dotacji, wykazując wyliczenie kwot należnych, stosownie do zrealizowanych zadań oraz wielkość otrzymanych dotacji w terminie do 31 stycznia.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lang w:eastAsia="pl-PL"/>
        </w:rPr>
        <w:lastRenderedPageBreak/>
        <w:t>4. W przypadku stwierdzenia wykorzystania dotacji niezgodnie z przeznaczeniem wysokość dotacji podlega zwrotowi wraz z odsetkami w wysokości określonej jak dla zaległości podatkowych w terminie do dnia 28 lutego 2020 roku.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8773E">
        <w:rPr>
          <w:rFonts w:ascii="Times New Roman" w:eastAsia="Times New Roman" w:hAnsi="Times New Roman" w:cs="Times New Roman"/>
          <w:lang w:eastAsia="pl-PL"/>
        </w:rPr>
        <w:t>Rozliczenia dotacji za 2018 r. następuje na dotychczasowych zasadach.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8773E">
        <w:rPr>
          <w:rFonts w:ascii="Times New Roman" w:eastAsia="Times New Roman" w:hAnsi="Times New Roman" w:cs="Times New Roman"/>
          <w:lang w:eastAsia="pl-PL"/>
        </w:rPr>
        <w:t>Wykonanie uchwały powierza się Wójtowi Gminy</w:t>
      </w:r>
    </w:p>
    <w:p w:rsidR="0018773E" w:rsidRPr="0018773E" w:rsidRDefault="0018773E" w:rsidP="001877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18773E">
        <w:rPr>
          <w:rFonts w:ascii="Times New Roman" w:eastAsia="Times New Roman" w:hAnsi="Times New Roman" w:cs="Times New Roman"/>
          <w:lang w:eastAsia="pl-PL"/>
        </w:rPr>
        <w:t>Tracą moc Uchwała  Rady Gminy Starogard Gd. nr XLI/396/2017 z dnia 26 października 2017 roku w sprawie ustalenia stawek dotacji przedmiotowych dla samorządowego zakładu budżetowego, określenia trybu udzielenia i zasad rozliczania dotacji.</w:t>
      </w:r>
    </w:p>
    <w:p w:rsidR="0018773E" w:rsidRPr="0018773E" w:rsidRDefault="0018773E" w:rsidP="0018773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18773E">
        <w:rPr>
          <w:rFonts w:ascii="Times New Roman" w:eastAsia="Times New Roman" w:hAnsi="Times New Roman" w:cs="Times New Roman"/>
          <w:lang w:eastAsia="pl-PL"/>
        </w:rPr>
        <w:t>Uchwała wchodzi w życie z dniem 1 stycznia 2019 roku.</w:t>
      </w:r>
    </w:p>
    <w:p w:rsidR="0018773E" w:rsidRPr="0018773E" w:rsidRDefault="0018773E" w:rsidP="001877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73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18773E" w:rsidRPr="0018773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3E" w:rsidRPr="0018773E" w:rsidRDefault="0018773E" w:rsidP="0018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3E" w:rsidRPr="0018773E" w:rsidRDefault="0018773E" w:rsidP="0018773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7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187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187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187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187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187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7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77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87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8773E" w:rsidRPr="0018773E" w:rsidRDefault="0018773E" w:rsidP="001877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sectPr w:rsidR="00DD7DD8" w:rsidSect="000F08D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3E"/>
    <w:rsid w:val="0018773E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B14E-B875-49A4-A2C6-F96D6685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2018-10-09T06:42:00Z</dcterms:created>
  <dcterms:modified xsi:type="dcterms:W3CDTF">2018-10-09T06:43:00Z</dcterms:modified>
</cp:coreProperties>
</file>