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13" w:rsidRPr="008C7F13" w:rsidRDefault="008C7F13" w:rsidP="008C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C7F1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C7F1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8C7F13" w:rsidRPr="008C7F13" w:rsidRDefault="008C7F13" w:rsidP="008C7F1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C7F13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8C7F13" w:rsidRPr="008C7F13" w:rsidRDefault="008C7F13" w:rsidP="008C7F1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C7F13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Sucumin</w:t>
      </w:r>
    </w:p>
    <w:p w:rsidR="008C7F13" w:rsidRPr="008C7F13" w:rsidRDefault="008C7F13" w:rsidP="008C7F1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8C7F13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2017 r. poz. 1875 z </w:t>
      </w:r>
      <w:proofErr w:type="spellStart"/>
      <w:r w:rsidRPr="008C7F1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C7F13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8C7F13" w:rsidRPr="008C7F13" w:rsidRDefault="008C7F13" w:rsidP="008C7F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C7F1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C7F13">
        <w:rPr>
          <w:rFonts w:ascii="Times New Roman" w:eastAsia="Times New Roman" w:hAnsi="Times New Roman" w:cs="Times New Roman"/>
          <w:lang w:eastAsia="pl-PL"/>
        </w:rPr>
        <w:t>Ulicy położonej w obrębie geodezyjnym Sucumin, na działce nr 357/20 oznaczonej na załączniku graficznym nr 1 stanowiącym integralną część uchwały, nadaje się nazwę Przyjazna.</w:t>
      </w:r>
    </w:p>
    <w:p w:rsidR="008C7F13" w:rsidRPr="008C7F13" w:rsidRDefault="008C7F13" w:rsidP="008C7F1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C7F1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C7F13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8C7F13" w:rsidRPr="008C7F13" w:rsidRDefault="008C7F13" w:rsidP="008C7F1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8C7F1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C7F13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8C7F13" w:rsidRPr="008C7F13" w:rsidRDefault="008C7F13" w:rsidP="008C7F1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7F1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8C7F13" w:rsidRPr="008C7F1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F13" w:rsidRPr="008C7F13" w:rsidRDefault="008C7F13" w:rsidP="008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F13" w:rsidRPr="008C7F13" w:rsidRDefault="008C7F13" w:rsidP="008C7F1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C7F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8C7F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C7F13" w:rsidRPr="008C7F13" w:rsidRDefault="008C7F13" w:rsidP="008C7F1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D9136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13"/>
    <w:rsid w:val="008C7F13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E0F2-21CC-4F63-80B0-428F9CEC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2018-01-19T11:44:00Z</dcterms:created>
  <dcterms:modified xsi:type="dcterms:W3CDTF">2018-01-19T11:45:00Z</dcterms:modified>
</cp:coreProperties>
</file>