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UCHWAŁA Nr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Rady Gminy Starogard Gdański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z dnia ………….. 2014 roku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sprawie ustalenia stawek dotacji przedmiotowych dla samorządowego zakładu budżetowego, określenia trybu udzielenia i zasad rozliczania dotacji.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18 ust. 2 pkt 15 ustawy z dnia 8 marca 1990 r. o samorządzie gminnym </w:t>
      </w:r>
      <w:r>
        <w:t xml:space="preserve">(tekst jednolity Dz.U. 2013 r. , poz.594 ze zmianami) </w:t>
      </w:r>
      <w:r>
        <w:rPr>
          <w:sz w:val="22"/>
          <w:szCs w:val="22"/>
        </w:rPr>
        <w:t xml:space="preserve"> oraz art. 219 ust. 4 ustawy z dnia 27 sierpnia 2009 roku o finansach publicznych </w:t>
      </w:r>
      <w:r>
        <w:t xml:space="preserve">(tekst jednolity Dz.U. z 2013 r., poz.885) </w:t>
      </w:r>
      <w:r>
        <w:rPr>
          <w:sz w:val="22"/>
          <w:szCs w:val="22"/>
        </w:rPr>
        <w:t>uchwala się, co następuje: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1.Ustala się stawki dotacji przedmiotowych kalkulowane według stawek jednostkowych dla Gminnego Zakładu Usług Komunalnych w Jabłowie.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2.Stawki ustalane są jako iloraz przewidywanych kosztów dotyczących dotowanej działalności pomniejszonych o planowane z tego tytułu przychody i liczby jednostek dotowanej działalności, według wzoru: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K – P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--------------------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liczba jednostek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Gdzie: 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 – oznacza przewidywane na dany rok koszty dotyczące dotowanej działalności,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 – oznacza planowane dochody dotyczące dotowanej działalności,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liczba jednostek – oznacza liczbę m, m², m³, km, itp. dotowanej działalności.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3.Na podstawie informacji, przedstawionych przez Zakład, dotyczących planowanych wielkości  na 2015 rok ustala się stawki w następującej wysokości: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gospodarka mieszkaniowa – 1,97 do 1 m² powierzchni mieszkania na m-c,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utrzymanie dróg gminnych –  6,59 do 1m drogi na rok,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Wysokość dotacji przypadająca na dany rok stanowi iloraz ustalonej stawki jednostkowej       i liczby jednostek dotowanej działalności. Wynik zaokrągla się do pełnych złotych w ten sposób, że :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mniej niż 50 groszy pomija się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50 i więcej groszy podwyższa się do pełnych złotych.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Dotacja przedmiotowa jest przekazywana w wysokości 1/12 kwoty zaplanowanej w budżecie gminy, z uwzględnieniem stawek dotacji w terminie do 5-go każdego miesiąca.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       W uzasadnionym przypadku, związanym  z realizacją statutowych celów Gminnego Zakładu Usług Komunalnych, dopuszcza się przesunięcie terminów przekazywania części dotacji przypadającej na dany miesiąc. 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Zakład, o których mowa w § 1, otrzymujący dotacje przedmiotowe jest obowiązany prowadzić, w celu rozliczenia dotacji, ewidencję księgową lub pozaksięgową w sposób umożliwiający rozliczenie dotacji przedmiotowej.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W przypadku nieprowadzenia ewidencji, o której mowa w ust. 1, pobrane w roku budżetowym dotacje podlegają zwrotowi w całości na rachunek budżetu gminy wraz             z należnymi odsetkami, których bieg rozpocznie się od dnia przekazania dotacji.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Zakład budżetowy przedstawia Wójtowi Gminy rozliczenie z otrzymanej dotacji, wykazując wyliczenie kwot należnych, stosownie do zrealizowanych zadań oraz wielkość otrzymanych dotacji w terminie do 31 stycznia.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W przypadku stwierdzenia wykorzystania dotacji niezgodnie z przeznaczeniem wysokość dotacji podlega zwrotowi wraz z odsetkami w wysokości określonej jak dla zaległości podatkowych w terminie do dnia 28 lutego 2016 roku.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Rozliczenia dotacji za 2014 r. następuje na dotychczasowych zasadach.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Wójtowi Gminy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Traci moc  Uchwała  Rady Gminy Starogard Gd. nr XXXVII/406/2013 z dnia 24.10.2013 r. w sprawie ustalenia stawek dotacji przedmiotowych dla samorządowego zakładu budżetowego, określenia trybu udzielenia i zasad rozliczania dotacji.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Uchwała wchodzi w życie z dniem podjęcia.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Przewodniczący</w:t>
      </w:r>
    </w:p>
    <w:p w:rsidR="00BD1250" w:rsidRDefault="00BD1250" w:rsidP="00BD12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Rady Gminy Starogard Gd.</w:t>
      </w:r>
    </w:p>
    <w:p w:rsidR="00E824D6" w:rsidRDefault="00E824D6"/>
    <w:sectPr w:rsidR="00E824D6" w:rsidSect="00E82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/>
  <w:rsids>
    <w:rsidRoot w:val="00BD1250"/>
    <w:rsid w:val="00BD1250"/>
    <w:rsid w:val="00E8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2014-10-15T07:27:00Z</dcterms:created>
</cp:coreProperties>
</file>