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 xml:space="preserve">zmiany uchwały Nr XLV/476/2014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Pr="008227D6">
        <w:rPr>
          <w:b/>
          <w:bCs/>
          <w:color w:val="000000"/>
        </w:rPr>
        <w:t>Barchnowy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pkt 7, art. 35, art. 40 ust. 2 pkt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D0691"/>
    <w:rsid w:val="003E202F"/>
    <w:rsid w:val="006A152E"/>
    <w:rsid w:val="00762AA3"/>
    <w:rsid w:val="007F6C9A"/>
    <w:rsid w:val="009F4626"/>
    <w:rsid w:val="00B802B0"/>
    <w:rsid w:val="00CD0C0F"/>
    <w:rsid w:val="00D42575"/>
    <w:rsid w:val="00DF39AC"/>
    <w:rsid w:val="00F2087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2014-09-02T12:41:00Z</dcterms:created>
  <dcterms:modified xsi:type="dcterms:W3CDTF">2014-09-02T12:41:00Z</dcterms:modified>
</cp:coreProperties>
</file>