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0" w:rsidRPr="00A56760" w:rsidRDefault="00ED3284" w:rsidP="00A56760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</w:rPr>
      </w:pPr>
      <w:r>
        <w:rPr>
          <w:rFonts w:asciiTheme="minorHAnsi" w:eastAsia="ArialNarrow,Bold" w:hAnsiTheme="minorHAnsi" w:cs="Arial"/>
          <w:b/>
          <w:bCs/>
          <w:color w:val="000000"/>
        </w:rPr>
        <w:t xml:space="preserve">   Załącznik nr 14</w:t>
      </w:r>
      <w:r w:rsidR="00A56760" w:rsidRPr="00A56760">
        <w:rPr>
          <w:rFonts w:asciiTheme="minorHAnsi" w:eastAsia="ArialNarrow,Bold" w:hAnsiTheme="minorHAnsi" w:cs="Arial"/>
          <w:b/>
          <w:bCs/>
          <w:color w:val="000000"/>
        </w:rPr>
        <w:t xml:space="preserve"> do SIWZ</w:t>
      </w:r>
    </w:p>
    <w:p w:rsidR="00A56760" w:rsidRPr="00A56760" w:rsidRDefault="00A56760" w:rsidP="00A5676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ArialNarrow" w:hAnsiTheme="minorHAnsi" w:cs="Arial"/>
          <w:color w:val="000000"/>
        </w:rPr>
      </w:pPr>
    </w:p>
    <w:p w:rsidR="005A70A3" w:rsidRPr="00A56760" w:rsidRDefault="00A56760" w:rsidP="005A70A3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</w:rPr>
      </w:pPr>
      <w:r w:rsidRPr="00A56760">
        <w:rPr>
          <w:rFonts w:asciiTheme="minorHAnsi" w:eastAsia="ArialNarrow,Bold" w:hAnsiTheme="minorHAnsi" w:cs="Arial"/>
          <w:b/>
          <w:bCs/>
          <w:color w:val="000000"/>
        </w:rPr>
        <w:t>WARUNKI ŚWIADCZENIA SERWISU GWARANCYJNEGO,</w:t>
      </w:r>
      <w:r w:rsidRPr="00A56760">
        <w:rPr>
          <w:rFonts w:asciiTheme="minorHAnsi" w:eastAsia="ArialNarrow,Bold" w:hAnsiTheme="minorHAnsi" w:cs="Arial"/>
          <w:b/>
          <w:bCs/>
          <w:color w:val="000000"/>
        </w:rPr>
        <w:br/>
        <w:t xml:space="preserve">WSPARCIA UŻYTKOWNIKÓW HELP DESK, </w:t>
      </w:r>
      <w:r w:rsidRPr="00A56760">
        <w:rPr>
          <w:rFonts w:asciiTheme="minorHAnsi" w:eastAsia="ArialNarrow,Bold" w:hAnsiTheme="minorHAnsi" w:cs="Arial"/>
          <w:b/>
          <w:bCs/>
          <w:color w:val="000000"/>
        </w:rPr>
        <w:br/>
        <w:t>ASYSTY TECHNICZNEJ ORAZ ASYSTY WDROŻENIOWEJ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Warunki ogólne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do udzielenia Zamawiającemu gwarancji na przedmiot Umowy i zobowiązuje się świadczyć serwis gwarancyjny w okresie</w:t>
      </w:r>
      <w:r w:rsidR="00174D35">
        <w:rPr>
          <w:rFonts w:asciiTheme="minorHAnsi" w:hAnsiTheme="minorHAnsi" w:cs="Arial"/>
        </w:rPr>
        <w:t xml:space="preserve"> nie krótszym niż określony w </w:t>
      </w:r>
      <w:r w:rsidR="00551884" w:rsidRPr="00551884">
        <w:rPr>
          <w:rFonts w:asciiTheme="minorHAnsi" w:hAnsiTheme="minorHAnsi" w:cs="Arial"/>
          <w:b/>
        </w:rPr>
        <w:t>SIWZ</w:t>
      </w:r>
      <w:r w:rsidR="005A70A3">
        <w:rPr>
          <w:rFonts w:asciiTheme="minorHAnsi" w:hAnsiTheme="minorHAnsi" w:cs="Arial"/>
          <w:b/>
        </w:rPr>
        <w:t>,</w:t>
      </w:r>
      <w:r w:rsidR="00551884">
        <w:rPr>
          <w:rFonts w:asciiTheme="minorHAnsi" w:hAnsiTheme="minorHAnsi" w:cs="Arial"/>
        </w:rPr>
        <w:t xml:space="preserve"> </w:t>
      </w:r>
      <w:r w:rsidRPr="00A56760">
        <w:rPr>
          <w:rFonts w:asciiTheme="minorHAnsi" w:hAnsiTheme="minorHAnsi" w:cs="Arial"/>
          <w:b/>
        </w:rPr>
        <w:t>Załączniku nr 1 do SIWZ</w:t>
      </w:r>
      <w:r w:rsidR="00551884">
        <w:rPr>
          <w:rFonts w:asciiTheme="minorHAnsi" w:hAnsiTheme="minorHAnsi" w:cs="Arial"/>
          <w:b/>
        </w:rPr>
        <w:t xml:space="preserve"> </w:t>
      </w:r>
      <w:r w:rsidR="005A70A3">
        <w:rPr>
          <w:rFonts w:asciiTheme="minorHAnsi" w:hAnsiTheme="minorHAnsi" w:cs="Arial"/>
          <w:b/>
        </w:rPr>
        <w:t>oraz złożonej ofercie</w:t>
      </w:r>
      <w:r w:rsidR="005A70A3">
        <w:rPr>
          <w:rFonts w:asciiTheme="minorHAnsi" w:hAnsiTheme="minorHAnsi" w:cs="Arial"/>
        </w:rPr>
        <w:t>.</w:t>
      </w:r>
      <w:r w:rsidRPr="00A56760">
        <w:rPr>
          <w:rFonts w:asciiTheme="minorHAnsi" w:hAnsiTheme="minorHAnsi" w:cs="Arial"/>
        </w:rPr>
        <w:t xml:space="preserve"> 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Okres świadczenia gwarancji rozpoczyna się z dniem podpisania przez Strony Protokołu Odbioru </w:t>
      </w:r>
      <w:r w:rsidR="00174D35">
        <w:rPr>
          <w:rFonts w:asciiTheme="minorHAnsi" w:hAnsiTheme="minorHAnsi" w:cs="Arial"/>
        </w:rPr>
        <w:t xml:space="preserve">końcowego </w:t>
      </w:r>
      <w:r w:rsidRPr="00A56760">
        <w:rPr>
          <w:rFonts w:asciiTheme="minorHAnsi" w:hAnsiTheme="minorHAnsi" w:cs="Arial"/>
        </w:rPr>
        <w:t>Produktu.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okresie trwania gwarancji Wykonawca jest zobowiązany do wykonywania świadczeń gwarancyjnych polegających na:</w:t>
      </w:r>
    </w:p>
    <w:p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skutecznym Rozwiązaniu Zgłoszeń, w tym Incydentów i Problemów zgłaszanych przez Zamawiającego;</w:t>
      </w:r>
    </w:p>
    <w:p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świadczeniu merytorycznych konsultacji Zamawiającemu, w szczególności odpowiadania na Zapytania Zamawiającego, w zakresie funkcjonowania i obsługi Systemu i jego poszczególnych elementów;</w:t>
      </w:r>
    </w:p>
    <w:p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dostarczaniu, instalacji i wdrażaniu niezbędnych lub celowych poprawek (w tym tzw. łat programowych - ang. „patch") Systemu wraz z przekazaniem kompletnej Dokumentacji poprawek, instrukcji instalacji, instrukcji użytkowania;</w:t>
      </w:r>
    </w:p>
    <w:p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innych koniecznych działaniach zapewniających prawidłowe - tzn. nieograniczone czasowo i funkcjonalnie działanie Systemu.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Wszelkie świadczenia dostarczone przez Wykonawcę w ramach gwarancji będą wykonywane przez wykwalifikowany i posiadający wystarczającą wiedzę na temat Systemu personel. 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jest zobowiązany zrealizować wszelkie świadczenia w ramach gwarancji w taki sposób aby zapewnić pełną funkcjonalność Systemu w trakcie i po zrealizowaniu świadczenia. 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Wszelkie działania związane z świadczeniem gwarancji muszą być wykonywane za wiedzą </w:t>
      </w:r>
      <w:r w:rsidRPr="00A56760">
        <w:rPr>
          <w:rFonts w:asciiTheme="minorHAnsi" w:hAnsiTheme="minorHAnsi" w:cs="Arial"/>
        </w:rPr>
        <w:br/>
        <w:t>i akceptacją Zamawiającego.</w:t>
      </w:r>
    </w:p>
    <w:p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okresie trwania Serwisu gwarancyjnego Wykonawca zobowiązany jest do:</w:t>
      </w:r>
    </w:p>
    <w:p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nieodpłatnego dostarczania nowych wersji lub uaktualnienia Oprogramowania w przypadku gdy nastąpią zmiany w obowiązującym prawodawstwie, wymagające nowszej wersji lub uaktualnienia Oprogramowania,</w:t>
      </w:r>
    </w:p>
    <w:p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instalacji nowych wersji lub uaktualnień Oprogramowania w terminach uzgodnionych z Zamawiającym,</w:t>
      </w:r>
    </w:p>
    <w:p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prowadzenia konsultacji i udzielania porad w zakresie zainstalowanej nowej wersji lub uaktualnień Oprogramowania: telefonicznie, faksem, pocztą elektroniczną poprzez zapewnienie uprawnionym pracownikom Zamawiającego dostępu do Help Desku Wykonawcy w zakresie niezbędnym do użytkowania Systemu,</w:t>
      </w:r>
    </w:p>
    <w:p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usprawniania obsługi Systemu poprzez wprowadzanie autorskich udoskonaleń w technologii i funkcjonalności Oprogramowania,</w:t>
      </w:r>
    </w:p>
    <w:p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lastRenderedPageBreak/>
        <w:t>informowania Zamawiającego o dostępnych aktualizacjach / poprawkach Oprogramowania.</w:t>
      </w:r>
    </w:p>
    <w:p w:rsidR="00A56760" w:rsidRPr="00A56760" w:rsidRDefault="00A56760" w:rsidP="00A56760">
      <w:pPr>
        <w:spacing w:after="0"/>
        <w:ind w:left="360"/>
        <w:jc w:val="both"/>
        <w:rPr>
          <w:rFonts w:asciiTheme="minorHAnsi" w:hAnsiTheme="minorHAnsi" w:cs="Arial"/>
          <w:b/>
        </w:rPr>
      </w:pPr>
    </w:p>
    <w:p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Wsparcie użytkowników Help Desk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</w:t>
      </w:r>
      <w:r w:rsidR="00174D35">
        <w:rPr>
          <w:rFonts w:asciiTheme="minorHAnsi" w:hAnsiTheme="minorHAnsi" w:cs="Arial"/>
        </w:rPr>
        <w:t>ć usługę Help Desk dla przedmiotu oferty</w:t>
      </w:r>
      <w:r w:rsidR="00C9298D">
        <w:rPr>
          <w:rFonts w:asciiTheme="minorHAnsi" w:hAnsiTheme="minorHAnsi" w:cs="Arial"/>
        </w:rPr>
        <w:t>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w okresie świadczenia serwisu gwarancyjnego ponosi odpowiedzialność z tytułu gwarancji za Błędy Oprogramowania / Awarie oraz ich usunięcie.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Błąd musi być opisany przez zgłaszającego w sposób umożliwiający odtworzenie błędu w środowisku wzorcowym Wykonawcy. Jeżeli odtworzenie błędu nie będzie możliwe w środowisku wzorcowym, Wykonawca zdiagnozuje błąd w środowisku Zamawiającego, 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w ramach świadczeń Gwarancji zobowiązany jest do skutecznego Rozwiązania Zgłoszenia w terminach </w:t>
      </w:r>
      <w:r w:rsidRPr="00C90602">
        <w:rPr>
          <w:rFonts w:asciiTheme="minorHAnsi" w:hAnsiTheme="minorHAnsi" w:cs="Arial"/>
        </w:rPr>
        <w:t xml:space="preserve">określonych w § 9 pkt. 7 </w:t>
      </w:r>
      <w:r w:rsidR="00C90602" w:rsidRPr="00C90602">
        <w:rPr>
          <w:rFonts w:asciiTheme="minorHAnsi" w:hAnsiTheme="minorHAnsi" w:cs="Arial"/>
        </w:rPr>
        <w:t xml:space="preserve">i 8 </w:t>
      </w:r>
      <w:r w:rsidRPr="00C90602">
        <w:rPr>
          <w:rFonts w:asciiTheme="minorHAnsi" w:hAnsiTheme="minorHAnsi" w:cs="Arial"/>
        </w:rPr>
        <w:t>w</w:t>
      </w:r>
      <w:r w:rsidRPr="00A56760">
        <w:rPr>
          <w:rFonts w:asciiTheme="minorHAnsi" w:hAnsiTheme="minorHAnsi" w:cs="Arial"/>
        </w:rPr>
        <w:t xml:space="preserve"> </w:t>
      </w:r>
      <w:r w:rsidR="007B6227">
        <w:rPr>
          <w:rFonts w:asciiTheme="minorHAnsi" w:hAnsiTheme="minorHAnsi" w:cs="Arial"/>
          <w:b/>
        </w:rPr>
        <w:t>Załączniku nr 6a</w:t>
      </w:r>
      <w:r w:rsidRPr="00A56760">
        <w:rPr>
          <w:rFonts w:asciiTheme="minorHAnsi" w:hAnsiTheme="minorHAnsi" w:cs="Arial"/>
          <w:b/>
        </w:rPr>
        <w:t xml:space="preserve"> do SIWZ</w:t>
      </w:r>
      <w:r w:rsidRPr="00A56760">
        <w:rPr>
          <w:rFonts w:asciiTheme="minorHAnsi" w:hAnsiTheme="minorHAnsi" w:cs="Arial"/>
        </w:rPr>
        <w:t>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Czas Rozwiązania Zgłoszenia odnosi się do Oprogramowania dostarczonego przez Wykonawcę w ramach niniejszego postępowania. Wykonawca odpowiedzialny jest za usuwanie Błędów Oprogramowania wynikających z nieprawidłowego (niezgodnego z instrukcją) działania Oprogramowania. Wykonawca zobowiązany jest do wspierania Zamawiającego </w:t>
      </w:r>
      <w:r w:rsidR="00C9298D">
        <w:rPr>
          <w:rFonts w:asciiTheme="minorHAnsi" w:hAnsiTheme="minorHAnsi" w:cs="Arial"/>
        </w:rPr>
        <w:t xml:space="preserve">w </w:t>
      </w:r>
      <w:r w:rsidRPr="00A56760">
        <w:rPr>
          <w:rFonts w:asciiTheme="minorHAnsi" w:hAnsiTheme="minorHAnsi" w:cs="Arial"/>
        </w:rPr>
        <w:t xml:space="preserve">zakresie Rozwiązywania Zgłoszeń dot. Oprogramowania Narzędziowego, na które Wykonawca przekazał Zamawiającemu licencje firm trzecich. 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Jeżeli w wyniku zastosowania przez Wykonawcę wszelkich działań, Wykonawca stwierdzi, że Zgłoszenie było bezzasadne, wówczas Zgłaszający po wcześniejszym ustaleniu kosztów może odpłatnie zlecić wykonanie naprawy lub zlecić jej realizację  w ramach puli godzin przysługującej mu Asysty Technicznej.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Usunięcie Błędu Oprogramowania oznacza przekazanie przez Wykonawcę do Zgłaszającego, nowej wersji Oprogramowania, poprawki lub rekonfiguracji Oprogramowania oraz usunięcie skutków błędu. Wykonawca jest zobowiązany dopilnować, aby Zamawiający potwierdził odbiór informacji o nowej wersji oprogramowania, tak aby było jasne, że Zamawiający jest świadomy, że brak aktualizacji może spowodować pewne zagrożenia.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nie będzie zobowiązany do usunięcia Błędów Oprogramowania spowodowanych obsługą Oprogramowania niezgodnie z Dokumentacją Użytkową ani Błędów Oprogramowania spowodowanych działaniem osób trzecich, za których działania Wykonawca nie będzie ponosić odpowiedzialności.</w:t>
      </w:r>
    </w:p>
    <w:p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uzasadnionych przypadkach Czas Rozwiązania Zgłoszenia, o których mowa w pkt 5 mogą zostać przedłużone za porozumieniem Przedstawicieli Stron. O zmianie terminów Rozwiązania Zgłoszenia Wykonawca poinformuje Zamawiającego e-mailem.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Asysta techniczna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świadczyć usługę Asy</w:t>
      </w:r>
      <w:r w:rsidR="00C9298D">
        <w:rPr>
          <w:rFonts w:asciiTheme="minorHAnsi" w:hAnsiTheme="minorHAnsi" w:cs="Arial"/>
        </w:rPr>
        <w:t>sty Technicznej dla</w:t>
      </w:r>
      <w:r w:rsidR="00174D35">
        <w:rPr>
          <w:rFonts w:asciiTheme="minorHAnsi" w:hAnsiTheme="minorHAnsi" w:cs="Arial"/>
        </w:rPr>
        <w:t xml:space="preserve"> przedmiotu oferty</w:t>
      </w:r>
      <w:r w:rsidRPr="00A56760">
        <w:rPr>
          <w:rFonts w:asciiTheme="minorHAnsi" w:hAnsiTheme="minorHAnsi" w:cs="Arial"/>
        </w:rPr>
        <w:t>.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Celem świadczenia usług Asysty technicznej jest bezpłatne wsparcie techniczne w używaniu Oprogramowania, do którego Zamawiający uzyskał licencję na podstawie niniejszego postępowania. Zamawiający przekaże Wykonawcy imienną listę osób uprawnionych ze strony Zamawiającego do korzystania z Asysty technicznej.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zobowiązany jest świadczyć bezpłatną Asystę techniczną przez okres zgodnie </w:t>
      </w:r>
      <w:r w:rsidRPr="00A56760">
        <w:rPr>
          <w:rFonts w:asciiTheme="minorHAnsi" w:hAnsiTheme="minorHAnsi" w:cs="Arial"/>
        </w:rPr>
        <w:br/>
        <w:t>z Ofertą. Okres i zakres Asysty technicznej rozpoczyna się z dniem podpisania przez Strony Protokołu Odbioru Końcowego.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zapewni świadczenie Asysty technicznej w języku polskim.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zagwarantuje świadczenie usługi Asysty technicznej wyłącznie przez wykwalifikowany personel, przez co rozumie się osobę/osoby z doświadczeniem, posiadające odpowiednie kwalifikacje merytoryczne i wiedzę na temat Systemu, po odpowiednim przeszkoleniu, cechujące się odpowiednimi predyspozycjami do kontaktu z Użytkownikiem Końco</w:t>
      </w:r>
      <w:r w:rsidR="00B03245">
        <w:rPr>
          <w:rFonts w:asciiTheme="minorHAnsi" w:hAnsiTheme="minorHAnsi" w:cs="Arial"/>
        </w:rPr>
        <w:t>wym tj. komunikatywnością, dobrą dykcją, odpornością</w:t>
      </w:r>
      <w:r w:rsidRPr="00A56760">
        <w:rPr>
          <w:rFonts w:asciiTheme="minorHAnsi" w:hAnsiTheme="minorHAnsi" w:cs="Arial"/>
        </w:rPr>
        <w:t xml:space="preserve"> na stres, cierpliwością, pozytywnym nastawieniem do Użytkownika Końcowego. Personel Wykonawcy świadczący usługę Asysty technicznej musi posiadać umiejętności pracy z „trudnym użytkownikiem” np. zdenerwowanym, niecierpliwym, zadającym niejasne pytania lub udzielający niejasnych odpowiedzi – nieobeznanym w temacie</w:t>
      </w:r>
    </w:p>
    <w:p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Przedmiotem usługi Asysty technicznej świadczonej przez Wykonawcę na rzecz Zamawiającego jest:</w:t>
      </w:r>
    </w:p>
    <w:p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konsultacji telefonicznych,</w:t>
      </w:r>
    </w:p>
    <w:p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zdalnej pomocy użytkownikom Systemów poprzez szyfrowane połączenia do komputera użytkownika za zgo</w:t>
      </w:r>
      <w:r w:rsidR="00B03245">
        <w:rPr>
          <w:rFonts w:asciiTheme="minorHAnsi" w:hAnsiTheme="minorHAnsi" w:cs="Arial"/>
        </w:rPr>
        <w:t>dą i pod nadzorem Zamawiającego</w:t>
      </w:r>
      <w:r w:rsidRPr="00A56760">
        <w:rPr>
          <w:rFonts w:asciiTheme="minorHAnsi" w:hAnsiTheme="minorHAnsi" w:cs="Arial"/>
        </w:rPr>
        <w:t>,</w:t>
      </w:r>
    </w:p>
    <w:p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ewentualnego uruchomienia niezbędnej i koniecznej obsługi danych poprzez szyfrowane kanały dostępowe pomiędzy Wykonawcą a Zamawiającym,</w:t>
      </w:r>
    </w:p>
    <w:p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wykonania dodatkowych, a nieprzewidzianych w SIWZ funkcjonalności w Systemie, po zaakceptowaniu przez obie strony warunków realizacji (w tym pracochłonnoś</w:t>
      </w:r>
      <w:r w:rsidR="00C9298D">
        <w:rPr>
          <w:rFonts w:asciiTheme="minorHAnsi" w:hAnsiTheme="minorHAnsi" w:cs="Arial"/>
        </w:rPr>
        <w:t>ci) w ramach Asysty Technicznej.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Każdorazowa usługa realizacji Asysty technicznej prowadzona jest na podstawie zlecenia usługi oraz zakończona Protokołem Odbioru opisującym czas trwania usługi i jej zakres.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 ramach okresu Asysty technicznej Zamawiający będzie miał do wykorzystania pulę </w:t>
      </w:r>
      <w:r w:rsidR="00C9298D">
        <w:rPr>
          <w:rFonts w:asciiTheme="minorHAnsi" w:hAnsiTheme="minorHAnsi" w:cs="Arial"/>
        </w:rPr>
        <w:t>4</w:t>
      </w:r>
      <w:r w:rsidRPr="00A56760">
        <w:rPr>
          <w:rFonts w:asciiTheme="minorHAnsi" w:hAnsiTheme="minorHAnsi" w:cs="Arial"/>
        </w:rPr>
        <w:t>0 roboczogodzin przeznaczonych na:</w:t>
      </w:r>
    </w:p>
    <w:p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telefonicznych oraz zdalnej pomocy Użytkownikom Końcowym,</w:t>
      </w:r>
    </w:p>
    <w:p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realizację zleconych przez niego dowolnych modyfikacji lub rozszerzeń Oprogramowania.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Zarejestrowany czas pracy poświęcony na Asystę Techniczną będzie sukcesywnie pomniejszać wielkość puli, aż do jej wyczerpania.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Zamawiający wymaga, by Wykonawca, w terminie do 5 dni roboczych od początku każdego miesiąca realizacji Asysty Technicznej, dostarczył Zamawiającemu w formie elektronicznej w tym w plikach .xls lub równoważnych Raport z Asysty dotyczący w szczególności działania usługi Help Desk. Raport powinien zawierać: wykaz wszystkich Zgłoszeń wraz z identyfikatorem zgłoszenia, tematem zgłoszenia, wskazaniem modułu w Systemie którego dotyczy Zgłoszenie, kategorią zgłoszenia, priorytetem zgłoszenia, danymi Użytkownika zgłaszającego, sposobem rozwiązania zgłoszenia, treścią odpowiedzi w przypadku Zapytania, opisem modyfikacji w przypadku Modyfikacji, datą rejestracji, datę i godzinę zamknięcia Zgłoszenia. 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Asysta Wdrożeniowa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świadczyć usługę Asysty Wdrożeniowej dla</w:t>
      </w:r>
      <w:r w:rsidR="00B91477">
        <w:rPr>
          <w:rFonts w:asciiTheme="minorHAnsi" w:hAnsiTheme="minorHAnsi" w:cs="Arial"/>
        </w:rPr>
        <w:t xml:space="preserve"> przedmiotu oferty</w:t>
      </w:r>
      <w:r w:rsidRPr="00A56760">
        <w:rPr>
          <w:rFonts w:asciiTheme="minorHAnsi" w:hAnsiTheme="minorHAnsi" w:cs="Arial"/>
        </w:rPr>
        <w:t>.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Celem świadczenia usług Asysty Wdrożeniowej jest wsparcie techniczne w zakresie instalacji, konfiguracji, parametryzacji oraz bieżącej eksploatacji Oprogramowania, do którego Zamawiający uzyskał licencję na podstawie niniejszego postępowania w siedzibie Zamawiającego podczas etapu instalacji lub wdrażania Oprogramowania. 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Zakres Asysty Wdrożeniowej: min. </w:t>
      </w:r>
      <w:r w:rsidR="007B6227">
        <w:rPr>
          <w:rFonts w:asciiTheme="minorHAnsi" w:hAnsiTheme="minorHAnsi" w:cs="Arial"/>
        </w:rPr>
        <w:t>2</w:t>
      </w:r>
      <w:r w:rsidR="00C90602">
        <w:rPr>
          <w:rFonts w:asciiTheme="minorHAnsi" w:hAnsiTheme="minorHAnsi" w:cs="Arial"/>
        </w:rPr>
        <w:t>0</w:t>
      </w:r>
      <w:r w:rsidRPr="00A56760">
        <w:rPr>
          <w:rFonts w:asciiTheme="minorHAnsi" w:hAnsiTheme="minorHAnsi" w:cs="Arial"/>
        </w:rPr>
        <w:t xml:space="preserve"> dni Asysty po min. 6 godzin jednego dnia. 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Asysty Wdrożeniowej rozpoczyna się z dniem podpisania przez Strony Protokołu Odbioru Końcowego.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zapewni świadczenie Asysty Wdrożeniowej w języku polskim.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zagwarantuje świadczenie usługi Asysty Wdrożeniowej wyłącznie przez wykwalifikowany personel, przez co rozumie się osobę/osoby z doświadczeniem, posiadające odpowiednie kwalifikacje merytoryczne i wiedzę na temat Systemu, po odpowiednim przeszkoleniu, cechujące się odpowiednimi predyspozycjami do kontaktu z Użytkownikiem Końco</w:t>
      </w:r>
      <w:r w:rsidR="00B91477">
        <w:rPr>
          <w:rFonts w:asciiTheme="minorHAnsi" w:hAnsiTheme="minorHAnsi" w:cs="Arial"/>
        </w:rPr>
        <w:t>wym tj. komunikatywnością, dobrą dykcją, odpornością</w:t>
      </w:r>
      <w:r w:rsidRPr="00A56760">
        <w:rPr>
          <w:rFonts w:asciiTheme="minorHAnsi" w:hAnsiTheme="minorHAnsi" w:cs="Arial"/>
        </w:rPr>
        <w:t xml:space="preserve"> na stres, cierpliwością, pozytywnym nastawieniem do Użytkownika Końcowego. Personel Wykonawcy świadczący usługę Asysty Wdrożeniową musi posiadać umiejętności pracy z „trudnym użytkownikiem” np. zdenerwowanym, niecierpliwym, zadającym niejasne pytania lub udzielający niejasnych odpowiedzi – nieobeznanym w temacie</w:t>
      </w:r>
    </w:p>
    <w:p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Przedmiotem usługi Asysty Wdrożeniowej świadczonej przez Wykonawcę na rzecz Zamawiającego w siedzibie Zamawiającego jest:</w:t>
      </w:r>
    </w:p>
    <w:p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w siedzibie Zamawiającego lub Partnera Projektu,</w:t>
      </w:r>
    </w:p>
    <w:p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zdalnej pomocy użytkownikom Systemów poprzez szyfrowane połączenia do komputera użytkownika za zgodą i pod nadzorem Zamawiającego,</w:t>
      </w:r>
    </w:p>
    <w:p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ewentualnego uruchomienia niezbędnej i koniecznej obsługi danych poprzez szyfrowane kanały dostępowe pomiędzy Wykonawcą a Zamawiającym,</w:t>
      </w:r>
    </w:p>
    <w:p w:rsidR="00A56760" w:rsidRPr="00A56760" w:rsidRDefault="00A56760" w:rsidP="00A56760">
      <w:pPr>
        <w:pStyle w:val="Akapitzlist"/>
        <w:ind w:left="851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Każdorazowa usługa realizacji Asysty Wdrożeniowej prowadzona jest na podstawie zlecenia usługi oraz zakończona Protokołem Odbioru opisującym czas trwania usługi i jej zakres.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 ramach okresu Asysty Wdrożeniowej Zamawiający będzie miał do wykorzystania pulę </w:t>
      </w:r>
      <w:r w:rsidR="007B6227">
        <w:rPr>
          <w:rFonts w:asciiTheme="minorHAnsi" w:hAnsiTheme="minorHAnsi" w:cs="Arial"/>
          <w:b/>
        </w:rPr>
        <w:t>2</w:t>
      </w:r>
      <w:bookmarkStart w:id="0" w:name="_GoBack"/>
      <w:bookmarkEnd w:id="0"/>
      <w:r w:rsidR="00C90602">
        <w:rPr>
          <w:rFonts w:asciiTheme="minorHAnsi" w:hAnsiTheme="minorHAnsi" w:cs="Arial"/>
          <w:b/>
        </w:rPr>
        <w:t>0</w:t>
      </w:r>
      <w:r w:rsidRPr="00A56760">
        <w:rPr>
          <w:rFonts w:asciiTheme="minorHAnsi" w:hAnsiTheme="minorHAnsi" w:cs="Arial"/>
          <w:b/>
        </w:rPr>
        <w:t xml:space="preserve"> bloków/dni</w:t>
      </w:r>
      <w:r w:rsidR="00C90602">
        <w:rPr>
          <w:rFonts w:asciiTheme="minorHAnsi" w:hAnsiTheme="minorHAnsi" w:cs="Arial"/>
        </w:rPr>
        <w:t xml:space="preserve"> po min. 6 roboczogodzin każdy</w:t>
      </w:r>
      <w:r w:rsidRPr="00A56760">
        <w:rPr>
          <w:rFonts w:asciiTheme="minorHAnsi" w:hAnsiTheme="minorHAnsi" w:cs="Arial"/>
        </w:rPr>
        <w:t xml:space="preserve"> przeznaczonych na:</w:t>
      </w:r>
    </w:p>
    <w:p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wsparcia technicznego Użytkownikom Końcowym,</w:t>
      </w:r>
    </w:p>
    <w:p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oraz zdalnej pomocy Użytkownikom Końcowym.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Zarejestrowany czas pracy poświęcony na Asystę Wdrożeniową będzie sukcesywnie pomniejszać wielkość puli dla Asysty Wdrożeniowej aż do jej wyczerpania.</w:t>
      </w:r>
    </w:p>
    <w:p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:rsidR="00976296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Zamawiający wymaga, by Wykonawca, w</w:t>
      </w:r>
      <w:r w:rsidR="007B6227">
        <w:rPr>
          <w:rFonts w:asciiTheme="minorHAnsi" w:hAnsiTheme="minorHAnsi" w:cs="Arial"/>
        </w:rPr>
        <w:t xml:space="preserve"> terminie do 5 dni roboczych po</w:t>
      </w:r>
      <w:r w:rsidRPr="00A56760">
        <w:rPr>
          <w:rFonts w:asciiTheme="minorHAnsi" w:hAnsiTheme="minorHAnsi" w:cs="Arial"/>
        </w:rPr>
        <w:t xml:space="preserve"> każdym bloku/dniu realizacji Asysty Wdrożeniowej, dostarczył Zamawiającemu w formie elektronicznej Raport z wykonanych prac w ramach Asysty Wdrożeniowej dla danego dnia/bloku. </w:t>
      </w:r>
    </w:p>
    <w:sectPr w:rsidR="00976296" w:rsidRPr="00A56760" w:rsidSect="00904E55">
      <w:headerReference w:type="default" r:id="rId7"/>
      <w:footerReference w:type="default" r:id="rId8"/>
      <w:pgSz w:w="11906" w:h="16838"/>
      <w:pgMar w:top="1418" w:right="1417" w:bottom="1418" w:left="1418" w:header="426" w:footer="8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51" w:rsidRDefault="004F3451">
      <w:pPr>
        <w:spacing w:after="0" w:line="240" w:lineRule="auto"/>
      </w:pPr>
      <w:r>
        <w:separator/>
      </w:r>
    </w:p>
  </w:endnote>
  <w:endnote w:type="continuationSeparator" w:id="0">
    <w:p w:rsidR="004F3451" w:rsidRDefault="004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84" w:rsidRPr="003622D2" w:rsidRDefault="00FD4B29" w:rsidP="00ED328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2.5pt;width:66.8pt;height:19.2pt;z-index:251660288;visibility:visible;mso-wrap-distance-top:3.6pt;mso-wrap-distance-bottom:3.6pt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<v:textbox style="mso-next-textbox:#Pole tekstowe 2">
            <w:txbxContent>
              <w:p w:rsidR="00AD0AE1" w:rsidRPr="00333268" w:rsidRDefault="00AD0AE1" w:rsidP="00AD0AE1">
                <w:pPr>
                  <w:pStyle w:val="Stopka"/>
                  <w:rPr>
                    <w:rFonts w:cs="Calibri"/>
                    <w:b/>
                    <w:bCs/>
                    <w:sz w:val="16"/>
                    <w:szCs w:val="16"/>
                  </w:rPr>
                </w:pPr>
                <w:r w:rsidRPr="004B5BD2">
                  <w:rPr>
                    <w:rFonts w:cs="Calibri"/>
                    <w:sz w:val="16"/>
                    <w:szCs w:val="16"/>
                  </w:rPr>
                  <w:t xml:space="preserve">Strona </w: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PAGE</w:instrTex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4F3451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Pr="004B5BD2">
                  <w:rPr>
                    <w:rFonts w:cs="Calibri"/>
                    <w:sz w:val="16"/>
                    <w:szCs w:val="16"/>
                  </w:rPr>
                  <w:t xml:space="preserve"> z </w: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NUMPAGES</w:instrTex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4F3451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FD4B29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:rsidR="00AD0AE1" w:rsidRDefault="00AD0AE1"/>
            </w:txbxContent>
          </v:textbox>
          <w10:wrap type="square" anchorx="margin"/>
        </v:shape>
      </w:pict>
    </w:r>
    <w:r w:rsidR="00036016" w:rsidRPr="00036016">
      <w:rPr>
        <w:rFonts w:asciiTheme="minorHAnsi" w:hAnsiTheme="minorHAnsi" w:cs="Microsoft Sans Serif"/>
        <w:sz w:val="16"/>
        <w:szCs w:val="16"/>
      </w:rPr>
      <w:t xml:space="preserve"> </w:t>
    </w:r>
  </w:p>
  <w:p w:rsidR="00AD0AE1" w:rsidRPr="003622D2" w:rsidRDefault="00AD0AE1" w:rsidP="0003601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51" w:rsidRDefault="004F3451">
      <w:pPr>
        <w:spacing w:after="0" w:line="240" w:lineRule="auto"/>
      </w:pPr>
      <w:r>
        <w:separator/>
      </w:r>
    </w:p>
  </w:footnote>
  <w:footnote w:type="continuationSeparator" w:id="0">
    <w:p w:rsidR="004F3451" w:rsidRDefault="004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E1" w:rsidRPr="00726498" w:rsidRDefault="00904E55" w:rsidP="00551884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>
          <wp:extent cx="5760085" cy="533165"/>
          <wp:effectExtent l="0" t="0" r="0" b="0"/>
          <wp:docPr id="1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4B0496"/>
    <w:multiLevelType w:val="hybridMultilevel"/>
    <w:tmpl w:val="2446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07BE"/>
    <w:multiLevelType w:val="hybridMultilevel"/>
    <w:tmpl w:val="131C8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ED3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BF94E02"/>
    <w:multiLevelType w:val="hybridMultilevel"/>
    <w:tmpl w:val="C644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2D0715B7"/>
    <w:multiLevelType w:val="hybridMultilevel"/>
    <w:tmpl w:val="FEF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4E1841E5"/>
    <w:multiLevelType w:val="hybridMultilevel"/>
    <w:tmpl w:val="74CAF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1CBD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137CE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8A13152"/>
    <w:multiLevelType w:val="hybridMultilevel"/>
    <w:tmpl w:val="FEF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2D1F"/>
    <w:rsid w:val="00036016"/>
    <w:rsid w:val="00102D15"/>
    <w:rsid w:val="00174D35"/>
    <w:rsid w:val="001C67C0"/>
    <w:rsid w:val="001D5EE5"/>
    <w:rsid w:val="001E7559"/>
    <w:rsid w:val="002C5C6D"/>
    <w:rsid w:val="003D7443"/>
    <w:rsid w:val="003F76E2"/>
    <w:rsid w:val="004F3451"/>
    <w:rsid w:val="00551884"/>
    <w:rsid w:val="005A70A3"/>
    <w:rsid w:val="005D750B"/>
    <w:rsid w:val="005F4C12"/>
    <w:rsid w:val="006067D0"/>
    <w:rsid w:val="00643E9D"/>
    <w:rsid w:val="00670E0C"/>
    <w:rsid w:val="006E2D1F"/>
    <w:rsid w:val="00700A60"/>
    <w:rsid w:val="00725307"/>
    <w:rsid w:val="00750B53"/>
    <w:rsid w:val="007B6227"/>
    <w:rsid w:val="00904E55"/>
    <w:rsid w:val="00976296"/>
    <w:rsid w:val="00A36C61"/>
    <w:rsid w:val="00A56760"/>
    <w:rsid w:val="00A636BD"/>
    <w:rsid w:val="00AD0AE1"/>
    <w:rsid w:val="00AD1289"/>
    <w:rsid w:val="00B03245"/>
    <w:rsid w:val="00B91477"/>
    <w:rsid w:val="00C16AAA"/>
    <w:rsid w:val="00C90602"/>
    <w:rsid w:val="00C9298D"/>
    <w:rsid w:val="00EB3BE6"/>
    <w:rsid w:val="00EC224C"/>
    <w:rsid w:val="00ED3284"/>
    <w:rsid w:val="00F34483"/>
    <w:rsid w:val="00F45632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28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</cp:lastModifiedBy>
  <cp:revision>3</cp:revision>
  <cp:lastPrinted>2017-04-07T07:49:00Z</cp:lastPrinted>
  <dcterms:created xsi:type="dcterms:W3CDTF">2017-03-14T11:10:00Z</dcterms:created>
  <dcterms:modified xsi:type="dcterms:W3CDTF">2017-04-07T07:55:00Z</dcterms:modified>
</cp:coreProperties>
</file>