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4139342C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3a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77777777" w:rsidR="00D435D5" w:rsidRDefault="00A365B7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51F8C34" w:rsidR="00D435D5" w:rsidRP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7640C1DC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0729" w14:textId="38FDBDAB" w:rsidR="009578F5" w:rsidRPr="003522F8" w:rsidRDefault="009B0DC2" w:rsidP="003522F8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="00352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2F8" w:rsidRPr="00352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Przebudowa dróg gminnych w miejscowościach Skulsk oraz Koszewo</w:t>
      </w:r>
      <w:bookmarkStart w:id="0" w:name="_GoBack"/>
      <w:bookmarkEnd w:id="0"/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wadzonego przez </w:t>
      </w:r>
      <w:r w:rsidR="00C14E80"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lastRenderedPageBreak/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E679" w14:textId="77777777" w:rsidR="00AC7393" w:rsidRDefault="00AC7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6F71" w14:textId="77777777" w:rsidR="00AC7393" w:rsidRDefault="00AC7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6FDC" w14:textId="77777777" w:rsidR="00AC7393" w:rsidRDefault="00AC7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EF41E5F" w:rsidR="00367D8B" w:rsidRDefault="00AC7393" w:rsidP="00546158">
    <w:pPr>
      <w:pStyle w:val="Nagwek"/>
      <w:ind w:left="0"/>
      <w:jc w:val="center"/>
    </w:pPr>
    <w:r>
      <w:rPr>
        <w:noProof/>
      </w:rPr>
      <w:drawing>
        <wp:inline distT="0" distB="0" distL="0" distR="0" wp14:anchorId="663DFD53" wp14:editId="732C38AF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7CC1" w14:textId="77777777" w:rsidR="00AC7393" w:rsidRDefault="00AC7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522F8"/>
    <w:rsid w:val="00367D8B"/>
    <w:rsid w:val="004C454C"/>
    <w:rsid w:val="00543E70"/>
    <w:rsid w:val="00546158"/>
    <w:rsid w:val="005A016D"/>
    <w:rsid w:val="00600973"/>
    <w:rsid w:val="00631C66"/>
    <w:rsid w:val="007333C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C7393"/>
    <w:rsid w:val="00AF2A66"/>
    <w:rsid w:val="00B84BE1"/>
    <w:rsid w:val="00BF369E"/>
    <w:rsid w:val="00BF4CAD"/>
    <w:rsid w:val="00C14E80"/>
    <w:rsid w:val="00D435D5"/>
    <w:rsid w:val="00D44662"/>
    <w:rsid w:val="00DF3D95"/>
    <w:rsid w:val="00E45CD5"/>
    <w:rsid w:val="00E6684D"/>
    <w:rsid w:val="00E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84CD-18A7-4995-B75A-C071DD9B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Jarosław Goiński</cp:lastModifiedBy>
  <cp:revision>104</cp:revision>
  <cp:lastPrinted>2022-04-15T06:54:00Z</cp:lastPrinted>
  <dcterms:created xsi:type="dcterms:W3CDTF">2022-04-14T19:25:00Z</dcterms:created>
  <dcterms:modified xsi:type="dcterms:W3CDTF">2023-09-23T08:20:00Z</dcterms:modified>
  <dc:language>pl-PL</dc:language>
</cp:coreProperties>
</file>