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28" w:rsidRPr="00E56028" w:rsidRDefault="00E56028" w:rsidP="00E56028">
      <w:pPr>
        <w:pStyle w:val="Tytu"/>
        <w:spacing w:line="259" w:lineRule="auto"/>
        <w:rPr>
          <w:b w:val="0"/>
        </w:rPr>
      </w:pPr>
      <w:r w:rsidRPr="00E56028">
        <w:rPr>
          <w:b w:val="0"/>
        </w:rPr>
        <w:t xml:space="preserve">W odpowiedzi na zadane pytania </w:t>
      </w:r>
      <w:r>
        <w:rPr>
          <w:b w:val="0"/>
        </w:rPr>
        <w:t>z</w:t>
      </w:r>
      <w:r w:rsidRPr="00E56028">
        <w:rPr>
          <w:b w:val="0"/>
        </w:rPr>
        <w:t xml:space="preserve"> dni</w:t>
      </w:r>
      <w:r>
        <w:rPr>
          <w:b w:val="0"/>
        </w:rPr>
        <w:t>a 19 kwietnia 2023</w:t>
      </w:r>
      <w:r w:rsidR="00D322CB">
        <w:rPr>
          <w:b w:val="0"/>
        </w:rPr>
        <w:t xml:space="preserve">, </w:t>
      </w:r>
      <w:r w:rsidRPr="00E56028">
        <w:rPr>
          <w:b w:val="0"/>
        </w:rPr>
        <w:t>Gmina Skulsk – jako zamawiający przesyła następujące dokumenty:</w:t>
      </w:r>
    </w:p>
    <w:p w:rsidR="00E56028" w:rsidRPr="00E56028" w:rsidRDefault="00E56028" w:rsidP="00E56028">
      <w:pPr>
        <w:pStyle w:val="Tytu"/>
        <w:spacing w:line="259" w:lineRule="auto"/>
        <w:rPr>
          <w:b w:val="0"/>
        </w:rPr>
      </w:pPr>
      <w:r w:rsidRPr="00E56028">
        <w:rPr>
          <w:b w:val="0"/>
        </w:rPr>
        <w:t>•</w:t>
      </w:r>
      <w:r w:rsidRPr="00E56028">
        <w:rPr>
          <w:b w:val="0"/>
        </w:rPr>
        <w:tab/>
        <w:t>Zestawienie elementów wentylacji</w:t>
      </w:r>
    </w:p>
    <w:p w:rsidR="00E56028" w:rsidRPr="00E56028" w:rsidRDefault="00E56028" w:rsidP="00E56028">
      <w:pPr>
        <w:pStyle w:val="Tytu"/>
        <w:spacing w:line="259" w:lineRule="auto"/>
        <w:rPr>
          <w:b w:val="0"/>
        </w:rPr>
      </w:pPr>
      <w:r w:rsidRPr="00E56028">
        <w:rPr>
          <w:b w:val="0"/>
        </w:rPr>
        <w:t>•</w:t>
      </w:r>
      <w:r w:rsidRPr="00E56028">
        <w:rPr>
          <w:b w:val="0"/>
        </w:rPr>
        <w:tab/>
        <w:t xml:space="preserve">Karty doboru jednej wentylacji </w:t>
      </w:r>
    </w:p>
    <w:p w:rsidR="00E56028" w:rsidRDefault="00E56028" w:rsidP="00E56028">
      <w:pPr>
        <w:pStyle w:val="Tytu"/>
        <w:spacing w:line="259" w:lineRule="auto"/>
        <w:rPr>
          <w:b w:val="0"/>
        </w:rPr>
      </w:pPr>
      <w:r w:rsidRPr="00E56028">
        <w:rPr>
          <w:b w:val="0"/>
        </w:rPr>
        <w:t>•</w:t>
      </w:r>
      <w:r w:rsidRPr="00E56028">
        <w:rPr>
          <w:b w:val="0"/>
        </w:rPr>
        <w:tab/>
        <w:t>Dokumentacja rysunkową do PW</w:t>
      </w:r>
      <w:r>
        <w:rPr>
          <w:b w:val="0"/>
        </w:rPr>
        <w:t xml:space="preserve"> – została </w:t>
      </w:r>
      <w:r w:rsidR="00D322CB">
        <w:rPr>
          <w:b w:val="0"/>
        </w:rPr>
        <w:t>zamieszczona</w:t>
      </w:r>
    </w:p>
    <w:p w:rsidR="00E56028" w:rsidRDefault="00E56028">
      <w:pPr>
        <w:pStyle w:val="Tytu"/>
        <w:spacing w:line="259" w:lineRule="auto"/>
        <w:rPr>
          <w:b w:val="0"/>
        </w:rPr>
      </w:pPr>
    </w:p>
    <w:p w:rsidR="00E56028" w:rsidRDefault="00E56028">
      <w:pPr>
        <w:pStyle w:val="Tytu"/>
        <w:spacing w:line="259" w:lineRule="auto"/>
        <w:rPr>
          <w:b w:val="0"/>
        </w:rPr>
      </w:pPr>
    </w:p>
    <w:p w:rsidR="00E56028" w:rsidRDefault="00E56028">
      <w:pPr>
        <w:pStyle w:val="Tytu"/>
        <w:spacing w:line="259" w:lineRule="auto"/>
        <w:rPr>
          <w:b w:val="0"/>
        </w:rPr>
      </w:pPr>
    </w:p>
    <w:p w:rsidR="00E56028" w:rsidRDefault="00E56028">
      <w:pPr>
        <w:pStyle w:val="Tytu"/>
        <w:spacing w:line="259" w:lineRule="auto"/>
        <w:rPr>
          <w:b w:val="0"/>
        </w:rPr>
      </w:pPr>
      <w:r>
        <w:rPr>
          <w:b w:val="0"/>
        </w:rPr>
        <w:t xml:space="preserve">Odpowiedzi na pytania z dnia </w:t>
      </w:r>
      <w:r w:rsidR="00AD13DC">
        <w:rPr>
          <w:b w:val="0"/>
        </w:rPr>
        <w:t>21 kwietnia 2023r.</w:t>
      </w:r>
    </w:p>
    <w:p w:rsidR="00706DD9" w:rsidRDefault="00D322CB">
      <w:pPr>
        <w:pStyle w:val="Tytu"/>
        <w:spacing w:line="259" w:lineRule="auto"/>
      </w:pPr>
      <w:r>
        <w:rPr>
          <w:b w:val="0"/>
        </w:rPr>
        <w:t>Dotyczy : „</w:t>
      </w:r>
      <w:r>
        <w:t>TERMOMODERNIZACJA Z PRZEBUDOWĄ BUDYNKU SZKOŁY PODSTAWOWEJ Z PUNKTEM</w:t>
      </w:r>
      <w:r>
        <w:rPr>
          <w:spacing w:val="-47"/>
        </w:rPr>
        <w:t xml:space="preserve"> </w:t>
      </w:r>
      <w:r>
        <w:t>PRZEDSZKOLNYM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WANDOWIE.”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before="180"/>
      </w:pPr>
      <w:r>
        <w:t>Prosimy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udostępnienie</w:t>
      </w:r>
      <w:r>
        <w:rPr>
          <w:spacing w:val="-3"/>
        </w:rPr>
        <w:t xml:space="preserve"> </w:t>
      </w:r>
      <w:r>
        <w:t>archiwalnego</w:t>
      </w:r>
      <w:r>
        <w:rPr>
          <w:spacing w:val="-1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robót geologicznych.</w:t>
      </w:r>
    </w:p>
    <w:p w:rsidR="00E56028" w:rsidRDefault="00E56028" w:rsidP="00E56028">
      <w:pPr>
        <w:pStyle w:val="Akapitzlist"/>
        <w:tabs>
          <w:tab w:val="left" w:pos="694"/>
        </w:tabs>
        <w:spacing w:before="180"/>
        <w:ind w:left="693"/>
      </w:pPr>
      <w:r>
        <w:t xml:space="preserve">ODP: </w:t>
      </w:r>
      <w:r w:rsidRPr="00E56028">
        <w:t>Projekt robót geologicznych jest przedmiotem wyceny. Do uwzględnienia przez Wykonawcę. W projekcie przyjęto założenia wg załączonego pliku z programu "</w:t>
      </w:r>
      <w:proofErr w:type="spellStart"/>
      <w:r w:rsidRPr="00E56028">
        <w:t>Energeo</w:t>
      </w:r>
      <w:proofErr w:type="spellEnd"/>
      <w:r w:rsidRPr="00E56028">
        <w:t>" wg których należy wykonać wycenę prac geologicznych</w:t>
      </w:r>
    </w:p>
    <w:p w:rsidR="00706DD9" w:rsidRDefault="00706DD9">
      <w:pPr>
        <w:pStyle w:val="Tekstpodstawowy"/>
        <w:spacing w:before="4"/>
        <w:ind w:left="0"/>
        <w:rPr>
          <w:sz w:val="16"/>
        </w:rPr>
      </w:pP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before="1" w:line="276" w:lineRule="auto"/>
        <w:ind w:left="476" w:right="1414" w:firstLine="0"/>
      </w:pPr>
      <w:r>
        <w:t>Czy wykonanie przebudowy przyłącza elektroenergetycznego (zwiększenie mocy</w:t>
      </w:r>
      <w:r>
        <w:rPr>
          <w:spacing w:val="-47"/>
        </w:rPr>
        <w:t xml:space="preserve"> </w:t>
      </w:r>
      <w:r>
        <w:t>przyłączeniowej)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Zamawiającego czy</w:t>
      </w:r>
      <w:r>
        <w:rPr>
          <w:spacing w:val="-4"/>
        </w:rPr>
        <w:t xml:space="preserve"> </w:t>
      </w:r>
      <w:r>
        <w:t>Wykonawcy?</w:t>
      </w:r>
    </w:p>
    <w:p w:rsidR="00E56028" w:rsidRDefault="00E56028" w:rsidP="00E56028">
      <w:pPr>
        <w:pStyle w:val="Akapitzlist"/>
        <w:tabs>
          <w:tab w:val="left" w:pos="694"/>
        </w:tabs>
        <w:spacing w:before="1" w:line="276" w:lineRule="auto"/>
        <w:ind w:right="1414"/>
      </w:pPr>
      <w:r>
        <w:t>ODP: Nie.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before="159" w:line="276" w:lineRule="auto"/>
        <w:ind w:left="476" w:right="147" w:firstLine="0"/>
      </w:pPr>
      <w:r>
        <w:t>Prosimy o potwierdzenie, że w przedmiarze w branży budowlanej – poz. 165 – powinno być 11</w:t>
      </w:r>
      <w:r>
        <w:rPr>
          <w:spacing w:val="-47"/>
        </w:rPr>
        <w:t xml:space="preserve"> </w:t>
      </w:r>
      <w:r>
        <w:t>szt.</w:t>
      </w:r>
      <w:r>
        <w:rPr>
          <w:spacing w:val="-2"/>
        </w:rPr>
        <w:t xml:space="preserve"> </w:t>
      </w:r>
      <w:r>
        <w:t>okien, a nie</w:t>
      </w:r>
      <w:r>
        <w:rPr>
          <w:spacing w:val="-2"/>
        </w:rPr>
        <w:t xml:space="preserve"> </w:t>
      </w:r>
      <w:r>
        <w:t>121</w:t>
      </w:r>
      <w:r>
        <w:rPr>
          <w:spacing w:val="-2"/>
        </w:rPr>
        <w:t xml:space="preserve"> </w:t>
      </w:r>
      <w:r>
        <w:t>szt.</w:t>
      </w:r>
    </w:p>
    <w:p w:rsidR="00E56028" w:rsidRDefault="00B6127A" w:rsidP="00E56028">
      <w:pPr>
        <w:pStyle w:val="Akapitzlist"/>
        <w:tabs>
          <w:tab w:val="left" w:pos="694"/>
        </w:tabs>
        <w:spacing w:before="159" w:line="276" w:lineRule="auto"/>
        <w:ind w:right="147"/>
      </w:pPr>
      <w:r>
        <w:t>ODP: Prawidłow</w:t>
      </w:r>
      <w:r w:rsidR="00D322CB">
        <w:t>a liczba okien do wykucia to 12. W przedmiarze jest błąd pisarski i obliczeniowy.</w:t>
      </w:r>
    </w:p>
    <w:p w:rsidR="00C250EC" w:rsidRDefault="00C250EC" w:rsidP="00E56028">
      <w:pPr>
        <w:pStyle w:val="Akapitzlist"/>
        <w:tabs>
          <w:tab w:val="left" w:pos="694"/>
        </w:tabs>
        <w:spacing w:before="159" w:line="276" w:lineRule="auto"/>
        <w:ind w:right="147"/>
      </w:pPr>
      <w:r>
        <w:t>Udostępniamy pliki przedmiarów w formacie .</w:t>
      </w:r>
      <w:proofErr w:type="spellStart"/>
      <w:r>
        <w:t>ath</w:t>
      </w:r>
      <w:proofErr w:type="spellEnd"/>
      <w:r>
        <w:t xml:space="preserve"> w celu łatwiejszej kalkulacji cen.</w:t>
      </w:r>
      <w:bookmarkStart w:id="0" w:name="_GoBack"/>
      <w:bookmarkEnd w:id="0"/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line="276" w:lineRule="auto"/>
        <w:ind w:left="476" w:right="455" w:firstLine="0"/>
      </w:pPr>
      <w:r>
        <w:t>Czy cała instalacja C.O. poprowdzona w budynku ma być zabudowana płytami G-K czy tylko</w:t>
      </w:r>
      <w:r>
        <w:rPr>
          <w:spacing w:val="-47"/>
        </w:rPr>
        <w:t xml:space="preserve"> </w:t>
      </w:r>
      <w:r>
        <w:t>część?</w:t>
      </w:r>
      <w:r>
        <w:rPr>
          <w:spacing w:val="-4"/>
        </w:rPr>
        <w:t xml:space="preserve"> </w:t>
      </w:r>
      <w:r>
        <w:t>(prosimy</w:t>
      </w:r>
      <w:r>
        <w:rPr>
          <w:spacing w:val="-2"/>
        </w:rPr>
        <w:t xml:space="preserve"> </w:t>
      </w:r>
      <w:r>
        <w:t>o uszczegółowienie)</w:t>
      </w:r>
    </w:p>
    <w:p w:rsidR="00E56028" w:rsidRDefault="00E56028" w:rsidP="00E56028">
      <w:pPr>
        <w:pStyle w:val="Akapitzlist"/>
        <w:tabs>
          <w:tab w:val="left" w:pos="694"/>
        </w:tabs>
        <w:spacing w:line="276" w:lineRule="auto"/>
        <w:ind w:right="455"/>
      </w:pPr>
      <w:r>
        <w:t>ODP: Cała oprócz piwnicy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44"/>
        </w:tabs>
        <w:spacing w:line="276" w:lineRule="auto"/>
        <w:ind w:left="476" w:right="774" w:firstLine="0"/>
      </w:pPr>
      <w:r>
        <w:t>W przedmiarze zamieszczony jest zapis, że należy przewidzieć zwiększone koszty przez</w:t>
      </w:r>
      <w:r>
        <w:rPr>
          <w:spacing w:val="1"/>
        </w:rPr>
        <w:t xml:space="preserve"> </w:t>
      </w:r>
      <w:r>
        <w:t>zastosowanie grzejników odpornych na wilgoć – czy zakres obejmuje wszystkie grzejniki w</w:t>
      </w:r>
      <w:r>
        <w:rPr>
          <w:spacing w:val="-47"/>
        </w:rPr>
        <w:t xml:space="preserve"> </w:t>
      </w:r>
      <w:r>
        <w:t>budynku? Jeśli nie</w:t>
      </w:r>
      <w:r>
        <w:rPr>
          <w:spacing w:val="-2"/>
        </w:rPr>
        <w:t xml:space="preserve"> </w:t>
      </w:r>
      <w:r>
        <w:t>prosimy</w:t>
      </w:r>
      <w:r>
        <w:rPr>
          <w:spacing w:val="-2"/>
        </w:rPr>
        <w:t xml:space="preserve"> </w:t>
      </w:r>
      <w:r>
        <w:t>o podanie ilości.</w:t>
      </w:r>
    </w:p>
    <w:p w:rsidR="00E56028" w:rsidRDefault="00E56028" w:rsidP="00E56028">
      <w:pPr>
        <w:pStyle w:val="Akapitzlist"/>
        <w:tabs>
          <w:tab w:val="left" w:pos="644"/>
        </w:tabs>
        <w:spacing w:line="276" w:lineRule="auto"/>
        <w:ind w:right="774"/>
      </w:pPr>
      <w:r>
        <w:t>ODP: Tylko w piwnicy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before="161" w:line="276" w:lineRule="auto"/>
        <w:ind w:left="476" w:right="200" w:firstLine="0"/>
      </w:pPr>
      <w:r>
        <w:t>Czy w zakres wykonania wchodzi wykonanie całej instalacji hydrantowej wraz z hydrantem wg</w:t>
      </w:r>
      <w:r>
        <w:rPr>
          <w:spacing w:val="-47"/>
        </w:rPr>
        <w:t xml:space="preserve"> </w:t>
      </w:r>
      <w:r>
        <w:t>rysunku</w:t>
      </w:r>
      <w:r>
        <w:rPr>
          <w:spacing w:val="-1"/>
        </w:rPr>
        <w:t xml:space="preserve"> </w:t>
      </w:r>
      <w:r>
        <w:t>S-7?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przedmiarze nie</w:t>
      </w:r>
      <w:r>
        <w:rPr>
          <w:spacing w:val="-2"/>
        </w:rPr>
        <w:t xml:space="preserve"> </w:t>
      </w:r>
      <w:r>
        <w:t>ma żadnej</w:t>
      </w:r>
      <w:r>
        <w:rPr>
          <w:spacing w:val="-2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t>na ten</w:t>
      </w:r>
      <w:r>
        <w:rPr>
          <w:spacing w:val="-1"/>
        </w:rPr>
        <w:t xml:space="preserve"> </w:t>
      </w:r>
      <w:r>
        <w:t>temat.</w:t>
      </w:r>
    </w:p>
    <w:p w:rsidR="00E56028" w:rsidRDefault="00E56028" w:rsidP="00E56028">
      <w:pPr>
        <w:pStyle w:val="Akapitzlist"/>
        <w:tabs>
          <w:tab w:val="left" w:pos="694"/>
        </w:tabs>
        <w:spacing w:before="161" w:line="276" w:lineRule="auto"/>
        <w:ind w:right="200"/>
      </w:pPr>
      <w:r>
        <w:t>ODP: Wg rysunku S-7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line="276" w:lineRule="auto"/>
        <w:ind w:left="476" w:right="342" w:firstLine="0"/>
      </w:pPr>
      <w:r>
        <w:t>Zwracamy się z prośbą o potwierdzenie, że w zakres wykonania nie wchodzi załączony na</w:t>
      </w:r>
      <w:r>
        <w:rPr>
          <w:spacing w:val="1"/>
        </w:rPr>
        <w:t xml:space="preserve"> </w:t>
      </w:r>
      <w:r>
        <w:t>platformie</w:t>
      </w:r>
      <w:r>
        <w:rPr>
          <w:spacing w:val="-4"/>
        </w:rPr>
        <w:t xml:space="preserve"> </w:t>
      </w:r>
      <w:proofErr w:type="spellStart"/>
      <w:r>
        <w:t>EZamowienia</w:t>
      </w:r>
      <w:proofErr w:type="spellEnd"/>
      <w:r>
        <w:rPr>
          <w:spacing w:val="-4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Wykonawczy</w:t>
      </w:r>
      <w:r>
        <w:rPr>
          <w:spacing w:val="-2"/>
        </w:rPr>
        <w:t xml:space="preserve"> </w:t>
      </w:r>
      <w:r>
        <w:t>(</w:t>
      </w:r>
      <w:proofErr w:type="spellStart"/>
      <w:r>
        <w:t>PW_OPIS_Skulsk</w:t>
      </w:r>
      <w:proofErr w:type="spellEnd"/>
      <w:r>
        <w:rPr>
          <w:spacing w:val="-6"/>
        </w:rPr>
        <w:t xml:space="preserve"> </w:t>
      </w:r>
      <w:proofErr w:type="spellStart"/>
      <w:r>
        <w:t>Szkoła_SALA</w:t>
      </w:r>
      <w:proofErr w:type="spellEnd"/>
      <w:r>
        <w:rPr>
          <w:spacing w:val="-2"/>
        </w:rPr>
        <w:t xml:space="preserve"> </w:t>
      </w:r>
      <w:r>
        <w:t>SPORTOWA.pdf).</w:t>
      </w:r>
    </w:p>
    <w:p w:rsidR="00E56028" w:rsidRDefault="00E56028" w:rsidP="00E56028">
      <w:pPr>
        <w:pStyle w:val="Akapitzlist"/>
        <w:tabs>
          <w:tab w:val="left" w:pos="694"/>
        </w:tabs>
        <w:spacing w:line="276" w:lineRule="auto"/>
        <w:ind w:right="342"/>
      </w:pPr>
      <w:r>
        <w:t>ODP: W zakres wchodzi wentylacja wg projektu wykonawczego, który stanowi projekt zamienny względem pierwotnego projektu wentylacji.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line="276" w:lineRule="auto"/>
        <w:ind w:left="476" w:right="99" w:firstLine="0"/>
      </w:pPr>
      <w:r>
        <w:t>Okna dachowe wg dokumentacji mają być wykonane w kolorze drewnopodobnym - złoty dąb –</w:t>
      </w:r>
      <w:r>
        <w:rPr>
          <w:spacing w:val="-47"/>
        </w:rPr>
        <w:t xml:space="preserve"> </w:t>
      </w:r>
      <w:r>
        <w:t>aktualnie ma na rynku podanego rozwiązania. Czy zamiennie mogą być okna aluminiowo-</w:t>
      </w:r>
      <w:r>
        <w:rPr>
          <w:spacing w:val="1"/>
        </w:rPr>
        <w:t xml:space="preserve"> </w:t>
      </w:r>
      <w:r>
        <w:t>tworzywowe? (kolor będzie zachowany jedynie od strony wewnętrznej, od strony zewnętrznej</w:t>
      </w:r>
      <w:r>
        <w:rPr>
          <w:spacing w:val="1"/>
        </w:rPr>
        <w:t xml:space="preserve"> </w:t>
      </w:r>
      <w:r>
        <w:t>okna</w:t>
      </w:r>
      <w:r>
        <w:rPr>
          <w:spacing w:val="-3"/>
        </w:rPr>
        <w:t xml:space="preserve"> </w:t>
      </w:r>
      <w:r>
        <w:t>mogą być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kolorze</w:t>
      </w:r>
      <w:r>
        <w:rPr>
          <w:spacing w:val="-2"/>
        </w:rPr>
        <w:t xml:space="preserve"> </w:t>
      </w:r>
      <w:r>
        <w:t>czarnym,</w:t>
      </w:r>
      <w:r>
        <w:rPr>
          <w:spacing w:val="-3"/>
        </w:rPr>
        <w:t xml:space="preserve"> </w:t>
      </w:r>
      <w:r>
        <w:t>szarym lub</w:t>
      </w:r>
      <w:r>
        <w:rPr>
          <w:spacing w:val="-1"/>
        </w:rPr>
        <w:t xml:space="preserve"> </w:t>
      </w:r>
      <w:r>
        <w:t>grafitowym,</w:t>
      </w:r>
      <w:r>
        <w:rPr>
          <w:spacing w:val="-2"/>
        </w:rPr>
        <w:t xml:space="preserve"> </w:t>
      </w:r>
      <w:r>
        <w:t>obrobione blachą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kolorze)</w:t>
      </w:r>
    </w:p>
    <w:p w:rsidR="00E56028" w:rsidRDefault="00E56028" w:rsidP="00E56028">
      <w:pPr>
        <w:pStyle w:val="Akapitzlist"/>
        <w:tabs>
          <w:tab w:val="left" w:pos="694"/>
        </w:tabs>
        <w:spacing w:line="276" w:lineRule="auto"/>
        <w:ind w:right="99"/>
      </w:pPr>
      <w:r>
        <w:lastRenderedPageBreak/>
        <w:t>ODP: Zupełna rezygnacja z wymiany okien i włazów dachowych.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694"/>
        </w:tabs>
        <w:spacing w:before="161" w:line="273" w:lineRule="auto"/>
        <w:ind w:left="476" w:right="142" w:firstLine="0"/>
      </w:pPr>
      <w:r>
        <w:t>Czy Inwestor wyrazi zgodę na zwiększenie mocy paneli fotowoltaicznych na większą niż 330 W,</w:t>
      </w:r>
      <w:r>
        <w:rPr>
          <w:spacing w:val="-47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automatycznie zmniejszy ilość paneli?</w:t>
      </w:r>
    </w:p>
    <w:p w:rsidR="00E56028" w:rsidRDefault="00E56028" w:rsidP="00E56028">
      <w:pPr>
        <w:pStyle w:val="Akapitzlist"/>
        <w:tabs>
          <w:tab w:val="left" w:pos="694"/>
        </w:tabs>
        <w:spacing w:before="161" w:line="273" w:lineRule="auto"/>
        <w:ind w:right="142"/>
      </w:pPr>
      <w:r>
        <w:t>ODP: Tak. Nowy układ paneli będzie wymagał ostatecznej akceptacji inwestora, ale jest zgoda na zwiększenie mocy paneli.</w:t>
      </w:r>
    </w:p>
    <w:p w:rsidR="00706DD9" w:rsidRDefault="00D322CB">
      <w:pPr>
        <w:pStyle w:val="Akapitzlist"/>
        <w:numPr>
          <w:ilvl w:val="0"/>
          <w:numId w:val="1"/>
        </w:numPr>
        <w:tabs>
          <w:tab w:val="left" w:pos="806"/>
        </w:tabs>
        <w:spacing w:before="166" w:line="273" w:lineRule="auto"/>
        <w:ind w:left="476" w:right="281" w:firstLine="0"/>
      </w:pPr>
      <w:r>
        <w:t xml:space="preserve">W dokumentacji podana jest informacja, że należy zastosować pompy typu </w:t>
      </w:r>
      <w:proofErr w:type="spellStart"/>
      <w:r>
        <w:t>Hoval</w:t>
      </w:r>
      <w:proofErr w:type="spellEnd"/>
      <w:r>
        <w:t xml:space="preserve"> </w:t>
      </w:r>
      <w:proofErr w:type="spellStart"/>
      <w:r>
        <w:t>Thermalia</w:t>
      </w:r>
      <w:proofErr w:type="spellEnd"/>
      <w:r>
        <w:rPr>
          <w:spacing w:val="-47"/>
        </w:rPr>
        <w:t xml:space="preserve"> </w:t>
      </w:r>
      <w:r>
        <w:t>Dual</w:t>
      </w:r>
      <w:r>
        <w:rPr>
          <w:spacing w:val="-1"/>
        </w:rPr>
        <w:t xml:space="preserve"> </w:t>
      </w:r>
      <w:r>
        <w:t>R70</w:t>
      </w:r>
      <w:r>
        <w:rPr>
          <w:spacing w:val="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czy</w:t>
      </w:r>
      <w:r>
        <w:rPr>
          <w:spacing w:val="-4"/>
        </w:rPr>
        <w:t xml:space="preserve"> </w:t>
      </w:r>
      <w:r>
        <w:t>dopuszczalny jest</w:t>
      </w:r>
      <w:r>
        <w:rPr>
          <w:spacing w:val="-1"/>
        </w:rPr>
        <w:t xml:space="preserve"> </w:t>
      </w:r>
      <w:r>
        <w:t>również</w:t>
      </w:r>
      <w:r>
        <w:rPr>
          <w:spacing w:val="-1"/>
        </w:rPr>
        <w:t xml:space="preserve"> </w:t>
      </w:r>
      <w:r>
        <w:t>inny</w:t>
      </w:r>
      <w:r>
        <w:rPr>
          <w:spacing w:val="-3"/>
        </w:rPr>
        <w:t xml:space="preserve"> </w:t>
      </w:r>
      <w:r>
        <w:t>producent pomp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 w:rsidR="00E56028">
        <w:t>podobnymi parametrami?</w:t>
      </w:r>
    </w:p>
    <w:p w:rsidR="00E56028" w:rsidRDefault="00E56028" w:rsidP="00E56028">
      <w:pPr>
        <w:pStyle w:val="Akapitzlist"/>
        <w:tabs>
          <w:tab w:val="left" w:pos="806"/>
        </w:tabs>
        <w:spacing w:before="166" w:line="273" w:lineRule="auto"/>
        <w:ind w:right="281"/>
      </w:pPr>
      <w:r>
        <w:t xml:space="preserve">ODP: </w:t>
      </w:r>
      <w:r w:rsidRPr="00E56028">
        <w:t>Zgodnie z zapisem w opisie do projektu branży sanitarnej (1 strona opisu) : " Urządzenia zastosowane w projekcie przyjęto jako przykładowe, określają one projektowany standard i stanowią punkt odniesie</w:t>
      </w:r>
      <w:r w:rsidR="00DF621A">
        <w:t>nia przy wykonaniu instalacji.</w:t>
      </w:r>
    </w:p>
    <w:sectPr w:rsidR="00E56028">
      <w:type w:val="continuous"/>
      <w:pgSz w:w="11910" w:h="16840"/>
      <w:pgMar w:top="136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B3017"/>
    <w:multiLevelType w:val="hybridMultilevel"/>
    <w:tmpl w:val="22520E0C"/>
    <w:lvl w:ilvl="0" w:tplc="450C5F6A">
      <w:start w:val="1"/>
      <w:numFmt w:val="decimal"/>
      <w:lvlText w:val="%1."/>
      <w:lvlJc w:val="left"/>
      <w:pPr>
        <w:ind w:left="693" w:hanging="218"/>
        <w:jc w:val="left"/>
      </w:pPr>
      <w:rPr>
        <w:rFonts w:ascii="Calibri" w:eastAsia="Calibri" w:hAnsi="Calibri" w:cs="Calibri" w:hint="default"/>
        <w:w w:val="99"/>
        <w:sz w:val="22"/>
        <w:szCs w:val="22"/>
        <w:lang w:val="pl-PL" w:eastAsia="en-US" w:bidi="ar-SA"/>
      </w:rPr>
    </w:lvl>
    <w:lvl w:ilvl="1" w:tplc="E090B548">
      <w:numFmt w:val="bullet"/>
      <w:lvlText w:val="•"/>
      <w:lvlJc w:val="left"/>
      <w:pPr>
        <w:ind w:left="1558" w:hanging="218"/>
      </w:pPr>
      <w:rPr>
        <w:rFonts w:hint="default"/>
        <w:lang w:val="pl-PL" w:eastAsia="en-US" w:bidi="ar-SA"/>
      </w:rPr>
    </w:lvl>
    <w:lvl w:ilvl="2" w:tplc="02CC9158">
      <w:numFmt w:val="bullet"/>
      <w:lvlText w:val="•"/>
      <w:lvlJc w:val="left"/>
      <w:pPr>
        <w:ind w:left="2417" w:hanging="218"/>
      </w:pPr>
      <w:rPr>
        <w:rFonts w:hint="default"/>
        <w:lang w:val="pl-PL" w:eastAsia="en-US" w:bidi="ar-SA"/>
      </w:rPr>
    </w:lvl>
    <w:lvl w:ilvl="3" w:tplc="7E4A654C">
      <w:numFmt w:val="bullet"/>
      <w:lvlText w:val="•"/>
      <w:lvlJc w:val="left"/>
      <w:pPr>
        <w:ind w:left="3275" w:hanging="218"/>
      </w:pPr>
      <w:rPr>
        <w:rFonts w:hint="default"/>
        <w:lang w:val="pl-PL" w:eastAsia="en-US" w:bidi="ar-SA"/>
      </w:rPr>
    </w:lvl>
    <w:lvl w:ilvl="4" w:tplc="70C6FEF4">
      <w:numFmt w:val="bullet"/>
      <w:lvlText w:val="•"/>
      <w:lvlJc w:val="left"/>
      <w:pPr>
        <w:ind w:left="4134" w:hanging="218"/>
      </w:pPr>
      <w:rPr>
        <w:rFonts w:hint="default"/>
        <w:lang w:val="pl-PL" w:eastAsia="en-US" w:bidi="ar-SA"/>
      </w:rPr>
    </w:lvl>
    <w:lvl w:ilvl="5" w:tplc="7EEC90E2">
      <w:numFmt w:val="bullet"/>
      <w:lvlText w:val="•"/>
      <w:lvlJc w:val="left"/>
      <w:pPr>
        <w:ind w:left="4993" w:hanging="218"/>
      </w:pPr>
      <w:rPr>
        <w:rFonts w:hint="default"/>
        <w:lang w:val="pl-PL" w:eastAsia="en-US" w:bidi="ar-SA"/>
      </w:rPr>
    </w:lvl>
    <w:lvl w:ilvl="6" w:tplc="B6F0B5D0">
      <w:numFmt w:val="bullet"/>
      <w:lvlText w:val="•"/>
      <w:lvlJc w:val="left"/>
      <w:pPr>
        <w:ind w:left="5851" w:hanging="218"/>
      </w:pPr>
      <w:rPr>
        <w:rFonts w:hint="default"/>
        <w:lang w:val="pl-PL" w:eastAsia="en-US" w:bidi="ar-SA"/>
      </w:rPr>
    </w:lvl>
    <w:lvl w:ilvl="7" w:tplc="99A830E4">
      <w:numFmt w:val="bullet"/>
      <w:lvlText w:val="•"/>
      <w:lvlJc w:val="left"/>
      <w:pPr>
        <w:ind w:left="6710" w:hanging="218"/>
      </w:pPr>
      <w:rPr>
        <w:rFonts w:hint="default"/>
        <w:lang w:val="pl-PL" w:eastAsia="en-US" w:bidi="ar-SA"/>
      </w:rPr>
    </w:lvl>
    <w:lvl w:ilvl="8" w:tplc="23806098">
      <w:numFmt w:val="bullet"/>
      <w:lvlText w:val="•"/>
      <w:lvlJc w:val="left"/>
      <w:pPr>
        <w:ind w:left="7569" w:hanging="21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6DD9"/>
    <w:rsid w:val="0068542B"/>
    <w:rsid w:val="00692C56"/>
    <w:rsid w:val="00706DD9"/>
    <w:rsid w:val="00AD13DC"/>
    <w:rsid w:val="00B6127A"/>
    <w:rsid w:val="00C250EC"/>
    <w:rsid w:val="00D322CB"/>
    <w:rsid w:val="00DF621A"/>
    <w:rsid w:val="00E5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5A14"/>
  <w15:docId w15:val="{77AD7674-2DA7-444C-909E-DF1113C2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60"/>
      <w:ind w:left="476"/>
    </w:pPr>
  </w:style>
  <w:style w:type="paragraph" w:styleId="Tytu">
    <w:name w:val="Title"/>
    <w:basedOn w:val="Normalny"/>
    <w:uiPriority w:val="1"/>
    <w:qFormat/>
    <w:pPr>
      <w:spacing w:before="37"/>
      <w:ind w:left="116" w:right="114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160"/>
      <w:ind w:left="47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Formularz do pytaD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Formularz do pytaD</dc:title>
  <dc:creator>MSmieszek</dc:creator>
  <cp:lastModifiedBy>Admin</cp:lastModifiedBy>
  <cp:revision>8</cp:revision>
  <dcterms:created xsi:type="dcterms:W3CDTF">2023-04-25T06:10:00Z</dcterms:created>
  <dcterms:modified xsi:type="dcterms:W3CDTF">2023-04-25T07:22:00Z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LastSaved">
    <vt:filetime>2023-04-25T00:00:00Z</vt:filetime>
  </property>
</Properties>
</file>