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do SWZ </w:t>
      </w:r>
      <w:r w:rsidR="00216C6C">
        <w:rPr>
          <w:b/>
          <w:sz w:val="24"/>
          <w:szCs w:val="24"/>
        </w:rPr>
        <w:t>Nr 8</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984938">
        <w:t xml:space="preserve">  z dnia 10 stycznia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C024ED" w:rsidRDefault="00C024ED" w:rsidP="00C024ED">
      <w:pPr>
        <w:spacing w:after="411"/>
        <w:ind w:left="20" w:right="77" w:hanging="10"/>
        <w:jc w:val="center"/>
        <w:rPr>
          <w:rFonts w:eastAsia="Arial Unicode MS"/>
          <w:b/>
          <w:bCs/>
          <w:color w:val="222222"/>
          <w:sz w:val="28"/>
          <w:szCs w:val="28"/>
          <w:shd w:val="clear" w:color="auto" w:fill="FFFFFF"/>
          <w:lang w:eastAsia="pl-PL" w:bidi="pl-PL"/>
        </w:rPr>
      </w:pPr>
      <w:r>
        <w:rPr>
          <w:sz w:val="24"/>
          <w:szCs w:val="24"/>
        </w:rPr>
        <w:t>Przedmiotem umowy jest</w:t>
      </w:r>
      <w:r>
        <w:rPr>
          <w:sz w:val="24"/>
          <w:szCs w:val="24"/>
          <w:lang w:val="pl-PL"/>
        </w:rPr>
        <w:t xml:space="preserve">: </w:t>
      </w:r>
      <w:r w:rsidRPr="001C6033">
        <w:rPr>
          <w:rFonts w:eastAsia="Arial Unicode MS"/>
          <w:b/>
          <w:bCs/>
          <w:color w:val="222222"/>
          <w:sz w:val="24"/>
          <w:szCs w:val="24"/>
          <w:shd w:val="clear" w:color="auto" w:fill="FFFFFF"/>
          <w:lang w:eastAsia="pl-PL" w:bidi="pl-PL"/>
        </w:rPr>
        <w:t>Zagospodarowanie przestrzeni publicznej i miejsc rekreacji w miejscowości Skulsk</w:t>
      </w:r>
      <w:r w:rsidRPr="001C6033">
        <w:rPr>
          <w:rFonts w:eastAsia="Arial Unicode MS"/>
          <w:b/>
          <w:color w:val="000000"/>
          <w:sz w:val="24"/>
          <w:szCs w:val="24"/>
          <w:lang w:eastAsia="pl-PL" w:bidi="pl-PL"/>
        </w:rPr>
        <w:t>” w formule zaprojektuj i wybuduj</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C024ED">
        <w:rPr>
          <w:b/>
          <w:color w:val="000000"/>
        </w:rPr>
        <w:t>31 grudnia</w:t>
      </w:r>
      <w:r w:rsidRPr="00F74915">
        <w:rPr>
          <w:b/>
          <w:color w:val="000000"/>
        </w:rPr>
        <w:t xml:space="preserve"> 2023</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lastRenderedPageBreak/>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 xml:space="preserve">W wynagrodzeniu określonym w ust. 1 mieszczą się wszelkie koszty związane </w:t>
      </w:r>
      <w:r w:rsidR="00C024ED">
        <w:rPr>
          <w:lang w:val="pl-PL"/>
        </w:rPr>
        <w:t>wykonanie dokumentacji projektowej</w:t>
      </w:r>
      <w:bookmarkStart w:id="0" w:name="_GoBack"/>
      <w:bookmarkEnd w:id="0"/>
      <w:r>
        <w:t>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lastRenderedPageBreak/>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 zapłaty  faktury , wystawianych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lastRenderedPageBreak/>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lastRenderedPageBreak/>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236DD2" w:rsidRDefault="00236DD2"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 xml:space="preserve">za nieprzedłożenie do zaakceptowania projektu umowy o podwykonawstwo lub dalsze podwykonawstwo, której przedmiotem są roboty budowlane lub projektu jej zmian - w wysokości </w:t>
      </w:r>
      <w:r>
        <w:lastRenderedPageBreak/>
        <w:t>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lastRenderedPageBreak/>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 xml:space="preserve">W terminie 7 dni od daty zgłoszenia, o którym mowa w ust. 7, Wykonawca, przy udziale Zamawiającego, sporządzi szczegółową inwentaryzację robót wykonanych, według stanu na dzień odstąpienia. </w:t>
      </w:r>
      <w:r>
        <w:lastRenderedPageBreak/>
        <w:t>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lastRenderedPageBreak/>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13</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1"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1"/>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r w:rsidRPr="000B2600">
        <w:rPr>
          <w:bCs/>
          <w:iCs/>
        </w:rPr>
        <w:t xml:space="preserve"> </w:t>
      </w:r>
    </w:p>
    <w:p w:rsidR="003A0406" w:rsidRPr="000B2600" w:rsidRDefault="003A0406" w:rsidP="003A0406">
      <w:pPr>
        <w:tabs>
          <w:tab w:val="left" w:pos="1620"/>
        </w:tabs>
        <w:suppressAutoHyphens/>
        <w:autoSpaceDE w:val="0"/>
        <w:spacing w:after="0" w:line="276" w:lineRule="auto"/>
        <w:ind w:left="1070"/>
        <w:jc w:val="both"/>
      </w:pPr>
      <w:r>
        <w:rPr>
          <w:bCs/>
          <w:iCs/>
          <w:lang w:val="pl-PL"/>
        </w:rPr>
        <w:lastRenderedPageBreak/>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num" w:pos="1080"/>
          <w:tab w:val="left" w:pos="1620"/>
        </w:tabs>
        <w:suppressAutoHyphens/>
        <w:autoSpaceDE w:val="0"/>
        <w:spacing w:after="0" w:line="276" w:lineRule="auto"/>
        <w:ind w:left="1620" w:hanging="629"/>
        <w:jc w:val="both"/>
      </w:pPr>
      <w:r>
        <w:rPr>
          <w:bCs/>
          <w:iCs/>
          <w:lang w:val="pl-PL"/>
        </w:rPr>
        <w:t xml:space="preserve">- </w:t>
      </w:r>
      <w:r w:rsidRPr="000B2600">
        <w:rPr>
          <w:bCs/>
          <w:iCs/>
        </w:rPr>
        <w:t>w sytuacjach, w których nastąpi konieczność wykonania dodatkowych robót budowlanych, Zamawiający dopuszcza możliwość zrealizowania większego zakresu przedmiotu 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r>
        <w:t xml:space="preserve"> </w:t>
      </w:r>
    </w:p>
    <w:p w:rsidR="003A0406" w:rsidRPr="00AB3671" w:rsidRDefault="003A0406" w:rsidP="003A0406">
      <w:pPr>
        <w:numPr>
          <w:ilvl w:val="1"/>
          <w:numId w:val="25"/>
        </w:numPr>
        <w:suppressAutoHyphens/>
        <w:spacing w:after="0" w:line="276" w:lineRule="auto"/>
        <w:ind w:left="1283" w:hanging="432"/>
        <w:jc w:val="both"/>
      </w:pPr>
      <w:bookmarkStart w:id="2" w:name="_Hlk96590966"/>
      <w:r w:rsidRPr="00AB3671">
        <w:t>Strony postanawiają ponadto, iż w przypadku wystąpienia jednej ze zmian przepisów wskazanych w art. 436 pkt 4 lit. b ustawy, tj. zmiany:</w:t>
      </w:r>
    </w:p>
    <w:bookmarkEnd w:id="2"/>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lastRenderedPageBreak/>
        <w:t>wynagrodzenie będzie podlegało waloryzacji, począwszy od miesiąca po złożeniu wniosku o waloryzację wynagrodzenia, gdy wartość zmiany ceny materiału przekroczy 20 % w stosunku do stawek z I kwartału 202</w:t>
      </w:r>
      <w:r>
        <w:t xml:space="preserve">2 </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num" w:pos="709"/>
        </w:tabs>
        <w:suppressAutoHyphens w:val="0"/>
        <w:spacing w:after="0"/>
        <w:ind w:left="709"/>
        <w:contextualSpacing/>
      </w:pPr>
      <w:r w:rsidRPr="00B54DB0">
        <w:t>przedmiotem umowy są roboty budowlane lub usługi;</w:t>
      </w:r>
    </w:p>
    <w:p w:rsidR="003A0406" w:rsidRDefault="003A0406" w:rsidP="003A0406">
      <w:pPr>
        <w:numPr>
          <w:ilvl w:val="0"/>
          <w:numId w:val="30"/>
        </w:numPr>
        <w:tabs>
          <w:tab w:val="num" w:pos="720"/>
        </w:tabs>
        <w:spacing w:after="0" w:line="276" w:lineRule="auto"/>
        <w:ind w:left="720"/>
      </w:pPr>
      <w:r w:rsidRPr="00B54DB0">
        <w:t>okres obowiązywania umowy przekracza 12 miesięcy.</w:t>
      </w:r>
    </w:p>
    <w:p w:rsidR="00EA341B" w:rsidRPr="00E14739" w:rsidRDefault="00EA341B" w:rsidP="003A0406">
      <w:pPr>
        <w:numPr>
          <w:ilvl w:val="0"/>
          <w:numId w:val="30"/>
        </w:numPr>
        <w:tabs>
          <w:tab w:val="num" w:pos="720"/>
        </w:tabs>
        <w:spacing w:after="0" w:line="276" w:lineRule="auto"/>
        <w:ind w:left="720"/>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w:t>
      </w:r>
      <w:r w:rsidRPr="000B2600">
        <w:lastRenderedPageBreak/>
        <w:t xml:space="preserve">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lastRenderedPageBreak/>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lastRenderedPageBreak/>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Pr="004100DF" w:rsidRDefault="004100DF" w:rsidP="00F74915">
      <w:pPr>
        <w:tabs>
          <w:tab w:val="left" w:pos="227"/>
        </w:tabs>
        <w:ind w:left="284" w:hanging="284"/>
        <w:jc w:val="both"/>
        <w:rPr>
          <w:b/>
          <w:i/>
          <w:sz w:val="24"/>
          <w:szCs w:val="24"/>
          <w:lang w:val="pl-PL"/>
        </w:rPr>
      </w:pPr>
      <w:r>
        <w:rPr>
          <w:lang w:val="pl-PL"/>
        </w:rPr>
        <w:t xml:space="preserve">Załącznik nr 1 do umowy – oferta oferenta </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Default="00F74915" w:rsidP="00F74915">
      <w:pPr>
        <w:jc w:val="center"/>
        <w:rPr>
          <w:b/>
          <w:sz w:val="28"/>
        </w:rPr>
      </w:pP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Default="00F74915" w:rsidP="00F74915"/>
    <w:p w:rsidR="00F74915" w:rsidRDefault="00F74915" w:rsidP="00F74915"/>
    <w:p w:rsidR="00F74915" w:rsidRPr="00F74915" w:rsidRDefault="00F74915" w:rsidP="00F74915"/>
    <w:sectPr w:rsidR="00F74915" w:rsidRPr="00F74915"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2B1944">
      <w:rPr>
        <w:rStyle w:val="Numerstrony"/>
        <w:rFonts w:ascii="Open Sans" w:hAnsi="Open Sans" w:cs="Open Sans"/>
        <w:noProof/>
        <w:sz w:val="16"/>
        <w:szCs w:val="16"/>
      </w:rPr>
      <w:t>12</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2B1944" w:rsidP="00F74915">
    <w:pPr>
      <w:pStyle w:val="Nagwek"/>
      <w:jc w:val="right"/>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30.25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2B1944" w:rsidP="00F74915">
    <w:pPr>
      <w:pStyle w:val="Nagwek"/>
      <w:jc w:val="right"/>
      <w:rPr>
        <w:noProof/>
        <w:lang w:val="pl-PL"/>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05pt;height:30.25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doNotTrackMoves/>
  <w:defaultTabStop w:val="709"/>
  <w:hyphenationZone w:val="425"/>
  <w:doNotHyphenateCaps/>
  <w:characterSpacingControl w:val="doNotCompress"/>
  <w:doNotValidateAgainstSchema/>
  <w:doNotDemarcateInvalidXml/>
  <w:hdrShapeDefaults>
    <o:shapedefaults v:ext="edit" spidmax="2662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4788E"/>
    <w:rsid w:val="001562E6"/>
    <w:rsid w:val="001613FE"/>
    <w:rsid w:val="001E1ED1"/>
    <w:rsid w:val="00200974"/>
    <w:rsid w:val="00216C6C"/>
    <w:rsid w:val="00231E99"/>
    <w:rsid w:val="002355BB"/>
    <w:rsid w:val="00236DD2"/>
    <w:rsid w:val="002A5E7F"/>
    <w:rsid w:val="002B1944"/>
    <w:rsid w:val="002C60D2"/>
    <w:rsid w:val="002D667D"/>
    <w:rsid w:val="002D7FAC"/>
    <w:rsid w:val="0030353B"/>
    <w:rsid w:val="003127F1"/>
    <w:rsid w:val="00340E7F"/>
    <w:rsid w:val="003A0406"/>
    <w:rsid w:val="004100DF"/>
    <w:rsid w:val="004223F7"/>
    <w:rsid w:val="0043143B"/>
    <w:rsid w:val="00467981"/>
    <w:rsid w:val="004B5C4F"/>
    <w:rsid w:val="004B6A92"/>
    <w:rsid w:val="004D18B4"/>
    <w:rsid w:val="004D7674"/>
    <w:rsid w:val="004F4F13"/>
    <w:rsid w:val="0051739B"/>
    <w:rsid w:val="00524FC5"/>
    <w:rsid w:val="00532E5A"/>
    <w:rsid w:val="00546974"/>
    <w:rsid w:val="00593DD7"/>
    <w:rsid w:val="00607ABF"/>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5B7F"/>
    <w:rsid w:val="00BA2E9E"/>
    <w:rsid w:val="00BD6C55"/>
    <w:rsid w:val="00C024ED"/>
    <w:rsid w:val="00C11C15"/>
    <w:rsid w:val="00C32FF9"/>
    <w:rsid w:val="00C70F50"/>
    <w:rsid w:val="00CE0E32"/>
    <w:rsid w:val="00CF4EB2"/>
    <w:rsid w:val="00E601BA"/>
    <w:rsid w:val="00E629D5"/>
    <w:rsid w:val="00EA341B"/>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7"/>
    <o:shapelayout v:ext="edit">
      <o:idmap v:ext="edit" data="1"/>
    </o:shapelayout>
  </w:shapeDefaults>
  <w:decimalSymbol w:val=","/>
  <w:listSeparator w:val=";"/>
  <w14:docId w14:val="63B113B8"/>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FB0C4-6208-4E70-8857-7E7D6E76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19</Pages>
  <Words>7048</Words>
  <Characters>42290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51</cp:revision>
  <cp:lastPrinted>2022-06-22T07:09:00Z</cp:lastPrinted>
  <dcterms:created xsi:type="dcterms:W3CDTF">2021-03-26T13:41:00Z</dcterms:created>
  <dcterms:modified xsi:type="dcterms:W3CDTF">2023-01-23T10:10:00Z</dcterms:modified>
</cp:coreProperties>
</file>