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F0B87" w14:textId="316655AF" w:rsidR="005C4E1E" w:rsidRPr="00405FF4" w:rsidRDefault="003C51E8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i/>
          <w:color w:val="auto"/>
          <w:lang w:eastAsia="en-US"/>
        </w:rPr>
      </w:pPr>
      <w:bookmarkStart w:id="0" w:name="_GoBack"/>
      <w:bookmarkEnd w:id="0"/>
      <w:r w:rsidRPr="00405FF4">
        <w:rPr>
          <w:rFonts w:asciiTheme="minorHAnsi" w:eastAsiaTheme="minorHAnsi" w:hAnsiTheme="minorHAnsi" w:cs="Helvetica-Bold"/>
          <w:bCs/>
          <w:i/>
          <w:color w:val="auto"/>
          <w:lang w:eastAsia="en-US"/>
        </w:rPr>
        <w:t xml:space="preserve"> odp</w:t>
      </w:r>
      <w:r w:rsidR="00405FF4">
        <w:rPr>
          <w:rFonts w:asciiTheme="minorHAnsi" w:eastAsiaTheme="minorHAnsi" w:hAnsiTheme="minorHAnsi" w:cs="Helvetica-Bold"/>
          <w:bCs/>
          <w:i/>
          <w:color w:val="auto"/>
          <w:lang w:eastAsia="en-US"/>
        </w:rPr>
        <w:t>owiedzi do pytań z dnia 25.04.2022 r.</w:t>
      </w:r>
    </w:p>
    <w:p w14:paraId="3D49178B" w14:textId="77777777" w:rsidR="007C7586" w:rsidRPr="00405FF4" w:rsidRDefault="007C7586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i/>
          <w:color w:val="auto"/>
          <w:lang w:eastAsia="en-US"/>
        </w:rPr>
      </w:pPr>
    </w:p>
    <w:p w14:paraId="768BD534" w14:textId="77777777" w:rsidR="005C4E1E" w:rsidRPr="00405FF4" w:rsidRDefault="005C4E1E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i/>
          <w:color w:val="auto"/>
          <w:lang w:eastAsia="en-US"/>
        </w:rPr>
      </w:pPr>
    </w:p>
    <w:p w14:paraId="1E483909" w14:textId="47F5AB06" w:rsidR="00167F24" w:rsidRPr="00405FF4" w:rsidRDefault="006E3F19" w:rsidP="007C7586">
      <w:pPr>
        <w:pStyle w:val="Akapitzlist"/>
        <w:numPr>
          <w:ilvl w:val="0"/>
          <w:numId w:val="7"/>
        </w:numPr>
        <w:spacing w:line="266" w:lineRule="auto"/>
        <w:rPr>
          <w:rFonts w:eastAsiaTheme="minorHAnsi"/>
          <w:color w:val="auto"/>
        </w:rPr>
      </w:pPr>
      <w:r w:rsidRPr="00405FF4">
        <w:rPr>
          <w:rFonts w:eastAsiaTheme="minorHAnsi"/>
          <w:color w:val="auto"/>
        </w:rPr>
        <w:t xml:space="preserve">W związku z rozbieżnymi zapisami dotyczącymi urządzeń technologicznych oraz wyposażenia technologicznego w dokumentacji projektowej, tj. </w:t>
      </w:r>
      <w:r w:rsidR="007C7586" w:rsidRPr="00405FF4">
        <w:rPr>
          <w:rFonts w:eastAsiaTheme="minorHAnsi"/>
          <w:color w:val="auto"/>
        </w:rPr>
        <w:t xml:space="preserve">„Branża technologiczna Specyfikacja techniczna” a plikiem „ PT_Skulsk cały opis” </w:t>
      </w:r>
      <w:r w:rsidRPr="00405FF4">
        <w:rPr>
          <w:rFonts w:eastAsiaTheme="minorHAnsi"/>
          <w:color w:val="auto"/>
        </w:rPr>
        <w:t>wnosimy o udzielnie odpowiedzi, które zapisy pod względem rodzaju zastosowanego materiału, wydajności, konstrukcji są dla Wykonawcy wiążące</w:t>
      </w:r>
      <w:r w:rsidR="00167F24" w:rsidRPr="00405FF4">
        <w:rPr>
          <w:rFonts w:eastAsiaTheme="minorHAnsi"/>
          <w:color w:val="auto"/>
        </w:rPr>
        <w:t>?</w:t>
      </w:r>
    </w:p>
    <w:p w14:paraId="75B64E69" w14:textId="659FD966" w:rsidR="00167F24" w:rsidRPr="00405FF4" w:rsidRDefault="00167F24" w:rsidP="00167F24">
      <w:pPr>
        <w:spacing w:line="266" w:lineRule="auto"/>
        <w:rPr>
          <w:rFonts w:eastAsiaTheme="minorHAnsi"/>
          <w:color w:val="auto"/>
        </w:rPr>
      </w:pPr>
    </w:p>
    <w:p w14:paraId="4063F8B8" w14:textId="1CF8D08C" w:rsidR="00167F24" w:rsidRPr="00405FF4" w:rsidRDefault="00167F24" w:rsidP="00167F24">
      <w:pPr>
        <w:spacing w:line="266" w:lineRule="auto"/>
        <w:rPr>
          <w:rFonts w:eastAsiaTheme="minorHAnsi"/>
          <w:i/>
          <w:iCs/>
          <w:color w:val="auto"/>
        </w:rPr>
      </w:pPr>
      <w:r w:rsidRPr="00405FF4">
        <w:rPr>
          <w:rFonts w:eastAsiaTheme="minorHAnsi"/>
          <w:i/>
          <w:iCs/>
          <w:color w:val="auto"/>
        </w:rPr>
        <w:t xml:space="preserve">Zamawiający wyjaśnia, iż szczegółowy opis funkcjonowania a więc zasada działania, wydajność, rodzaj </w:t>
      </w:r>
      <w:r w:rsidR="007C7586" w:rsidRPr="00405FF4">
        <w:rPr>
          <w:rFonts w:eastAsiaTheme="minorHAnsi"/>
          <w:i/>
          <w:iCs/>
          <w:color w:val="auto"/>
        </w:rPr>
        <w:t xml:space="preserve">zastosowanego </w:t>
      </w:r>
      <w:r w:rsidRPr="00405FF4">
        <w:rPr>
          <w:rFonts w:eastAsiaTheme="minorHAnsi"/>
          <w:i/>
          <w:iCs/>
          <w:color w:val="auto"/>
        </w:rPr>
        <w:t>materiału, normy wykonawcze jak również wymogi dotyczące sprawdzonych rozwiązań tj. wymagane referencje dla głównych urządzeń technologicznych,</w:t>
      </w:r>
      <w:r w:rsidR="005F77CB" w:rsidRPr="00405FF4">
        <w:rPr>
          <w:rFonts w:eastAsiaTheme="minorHAnsi"/>
          <w:i/>
          <w:iCs/>
          <w:color w:val="auto"/>
        </w:rPr>
        <w:t xml:space="preserve"> pomp i mieszadeł, </w:t>
      </w:r>
      <w:r w:rsidRPr="00405FF4">
        <w:rPr>
          <w:rFonts w:eastAsiaTheme="minorHAnsi"/>
          <w:i/>
          <w:iCs/>
          <w:color w:val="auto"/>
        </w:rPr>
        <w:t xml:space="preserve"> opomiarowania</w:t>
      </w:r>
      <w:r w:rsidR="003E44E0" w:rsidRPr="00405FF4">
        <w:rPr>
          <w:rFonts w:eastAsiaTheme="minorHAnsi"/>
          <w:i/>
          <w:iCs/>
          <w:color w:val="auto"/>
        </w:rPr>
        <w:t>,</w:t>
      </w:r>
      <w:r w:rsidRPr="00405FF4">
        <w:rPr>
          <w:rFonts w:eastAsiaTheme="minorHAnsi"/>
          <w:i/>
          <w:iCs/>
          <w:color w:val="auto"/>
        </w:rPr>
        <w:t xml:space="preserve"> armatury oraz wyposażenia technologicznego oczyszczalni ścieków znajduj</w:t>
      </w:r>
      <w:r w:rsidR="003E44E0" w:rsidRPr="00405FF4">
        <w:rPr>
          <w:rFonts w:eastAsiaTheme="minorHAnsi"/>
          <w:i/>
          <w:iCs/>
          <w:color w:val="auto"/>
        </w:rPr>
        <w:t xml:space="preserve">e </w:t>
      </w:r>
      <w:r w:rsidRPr="00405FF4">
        <w:rPr>
          <w:rFonts w:eastAsiaTheme="minorHAnsi"/>
          <w:i/>
          <w:iCs/>
          <w:color w:val="auto"/>
        </w:rPr>
        <w:t xml:space="preserve"> się w</w:t>
      </w:r>
      <w:r w:rsidR="007C7586" w:rsidRPr="00405FF4">
        <w:rPr>
          <w:rFonts w:eastAsiaTheme="minorHAnsi"/>
          <w:i/>
          <w:iCs/>
          <w:color w:val="auto"/>
        </w:rPr>
        <w:t xml:space="preserve"> opisie zadania inwestycyjnego </w:t>
      </w:r>
      <w:r w:rsidR="009F13A8" w:rsidRPr="00405FF4">
        <w:rPr>
          <w:rFonts w:eastAsiaTheme="minorHAnsi"/>
          <w:i/>
          <w:iCs/>
          <w:color w:val="auto"/>
        </w:rPr>
        <w:t>pod nazwą pliku: PT_Skulsk cały opis”</w:t>
      </w:r>
    </w:p>
    <w:p w14:paraId="71B896FA" w14:textId="77777777" w:rsidR="006E3F19" w:rsidRPr="00405FF4" w:rsidRDefault="006E3F19" w:rsidP="006E3F19">
      <w:pPr>
        <w:rPr>
          <w:rFonts w:eastAsiaTheme="minorHAnsi"/>
          <w:color w:val="auto"/>
        </w:rPr>
      </w:pPr>
    </w:p>
    <w:p w14:paraId="5184EDD4" w14:textId="3DB07A12" w:rsidR="006E3F19" w:rsidRPr="00405FF4" w:rsidRDefault="006E3F19" w:rsidP="006E3F19">
      <w:pPr>
        <w:pStyle w:val="Akapitzlist"/>
        <w:numPr>
          <w:ilvl w:val="0"/>
          <w:numId w:val="7"/>
        </w:numPr>
        <w:spacing w:line="266" w:lineRule="auto"/>
        <w:rPr>
          <w:rFonts w:eastAsiaTheme="minorHAnsi"/>
          <w:color w:val="auto"/>
        </w:rPr>
      </w:pPr>
      <w:r w:rsidRPr="00405FF4">
        <w:rPr>
          <w:rFonts w:eastAsiaTheme="minorHAnsi"/>
          <w:color w:val="auto"/>
        </w:rPr>
        <w:t xml:space="preserve">Czy Zamawiającym dopuści urządzenia technologiczne będące prototypami, które nie posiadającą pisemnych referencji z obiektów oczyszczalni ścieków? </w:t>
      </w:r>
    </w:p>
    <w:p w14:paraId="7B8CF8B2" w14:textId="77777777" w:rsidR="005F77CB" w:rsidRPr="00405FF4" w:rsidRDefault="005F77CB" w:rsidP="005F77CB">
      <w:pPr>
        <w:spacing w:after="160" w:line="259" w:lineRule="auto"/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</w:pPr>
    </w:p>
    <w:p w14:paraId="3647DDB4" w14:textId="28332C0B" w:rsidR="003E44E0" w:rsidRPr="00405FF4" w:rsidRDefault="005F77CB" w:rsidP="005F77CB">
      <w:pPr>
        <w:spacing w:after="160" w:line="259" w:lineRule="auto"/>
        <w:ind w:left="0" w:firstLine="0"/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</w:pPr>
      <w:bookmarkStart w:id="1" w:name="_Hlk84243934"/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>Zamawiający wyjaśnia, iż ilość wymaganych referencji dla głównych urządzeń technologicznych, pomp i mieszadeł, armatury oraz urządzeń pomiarowych została określona w</w:t>
      </w:r>
      <w:r w:rsidR="009F13A8"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 dokumentacji projektowej.</w:t>
      </w:r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 Zamawiający nie dopuszcza  stosowania prototypów oraz urządzeń bez pozytywnych referencji w Unii Europejskiej, potwierdzonych pisemnie na obiektach oczyszczalni ścieków komunalnych</w:t>
      </w:r>
      <w:r w:rsidR="009F13A8"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 w ilościach wskazanych w treści dokumentacji, pliku: </w:t>
      </w:r>
      <w:bookmarkStart w:id="2" w:name="_Hlk101534733"/>
      <w:r w:rsidR="009F13A8"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PT_Skulsk cały opis. </w:t>
      </w:r>
      <w:bookmarkEnd w:id="2"/>
    </w:p>
    <w:bookmarkEnd w:id="1"/>
    <w:p w14:paraId="3ACD0B4B" w14:textId="77777777" w:rsidR="006E3F19" w:rsidRPr="00405FF4" w:rsidRDefault="006E3F19" w:rsidP="006E3F19">
      <w:pPr>
        <w:pStyle w:val="Akapitzlist"/>
        <w:rPr>
          <w:rFonts w:eastAsiaTheme="minorHAnsi"/>
          <w:color w:val="auto"/>
        </w:rPr>
      </w:pPr>
    </w:p>
    <w:p w14:paraId="67370F1D" w14:textId="77777777" w:rsidR="006E3F19" w:rsidRPr="00405FF4" w:rsidRDefault="006E3F19" w:rsidP="006E3F19">
      <w:pPr>
        <w:pStyle w:val="Akapitzlist"/>
        <w:numPr>
          <w:ilvl w:val="0"/>
          <w:numId w:val="7"/>
        </w:numPr>
        <w:spacing w:line="266" w:lineRule="auto"/>
        <w:rPr>
          <w:rFonts w:eastAsiaTheme="minorHAnsi"/>
          <w:color w:val="auto"/>
        </w:rPr>
      </w:pPr>
      <w:r w:rsidRPr="00405FF4">
        <w:rPr>
          <w:rFonts w:eastAsiaTheme="minorHAnsi"/>
          <w:color w:val="auto"/>
        </w:rPr>
        <w:t xml:space="preserve">Na którym etapie realizacji zadania inwestycyjnego Zamawiający będzie wymagał przedstawienia pisemnych referencji na główne urządzenia technologiczne, armaturę oraz opomiarowanie. </w:t>
      </w:r>
    </w:p>
    <w:p w14:paraId="4FC69FC1" w14:textId="77777777" w:rsidR="007331F6" w:rsidRPr="00405FF4" w:rsidRDefault="007331F6" w:rsidP="007331F6">
      <w:pPr>
        <w:rPr>
          <w:rFonts w:eastAsiaTheme="minorHAnsi"/>
          <w:color w:val="auto"/>
        </w:rPr>
      </w:pPr>
    </w:p>
    <w:p w14:paraId="2F865844" w14:textId="63B63CAD" w:rsidR="007331F6" w:rsidRPr="00405FF4" w:rsidRDefault="007331F6" w:rsidP="007331F6">
      <w:pPr>
        <w:rPr>
          <w:rFonts w:eastAsiaTheme="minorHAnsi"/>
          <w:i/>
          <w:iCs/>
          <w:color w:val="auto"/>
        </w:rPr>
      </w:pPr>
      <w:bookmarkStart w:id="3" w:name="_Hlk84244738"/>
      <w:r w:rsidRPr="00405FF4">
        <w:rPr>
          <w:rFonts w:eastAsiaTheme="minorHAnsi"/>
          <w:i/>
          <w:iCs/>
          <w:color w:val="auto"/>
        </w:rPr>
        <w:t xml:space="preserve">Zamawiający informuje, iż wymagane w </w:t>
      </w:r>
      <w:r w:rsidR="009F13A8" w:rsidRPr="00405FF4">
        <w:rPr>
          <w:rFonts w:eastAsiaTheme="minorHAnsi"/>
          <w:i/>
          <w:iCs/>
          <w:color w:val="auto"/>
        </w:rPr>
        <w:t xml:space="preserve">dokumentacji </w:t>
      </w:r>
      <w:r w:rsidRPr="00405FF4">
        <w:rPr>
          <w:rFonts w:eastAsiaTheme="minorHAnsi"/>
          <w:i/>
          <w:iCs/>
          <w:color w:val="auto"/>
        </w:rPr>
        <w:t xml:space="preserve"> pisemne referencie będą stanowiły załącznik do wniosków materiałowych składanych podczas realizacji zadania inwestycyjnego</w:t>
      </w:r>
      <w:bookmarkEnd w:id="3"/>
      <w:r w:rsidRPr="00405FF4">
        <w:rPr>
          <w:rFonts w:eastAsiaTheme="minorHAnsi"/>
          <w:i/>
          <w:iCs/>
          <w:color w:val="auto"/>
        </w:rPr>
        <w:t xml:space="preserve">. </w:t>
      </w:r>
    </w:p>
    <w:p w14:paraId="0172EE15" w14:textId="77777777" w:rsidR="007331F6" w:rsidRPr="00405FF4" w:rsidRDefault="007331F6" w:rsidP="007331F6">
      <w:pPr>
        <w:rPr>
          <w:rFonts w:eastAsiaTheme="minorHAnsi"/>
          <w:color w:val="auto"/>
        </w:rPr>
      </w:pPr>
    </w:p>
    <w:p w14:paraId="6438AA50" w14:textId="20E03ECF" w:rsidR="006E3F19" w:rsidRPr="00405FF4" w:rsidRDefault="006E3F19" w:rsidP="006E3F19">
      <w:pPr>
        <w:pStyle w:val="Akapitzlist"/>
        <w:numPr>
          <w:ilvl w:val="0"/>
          <w:numId w:val="7"/>
        </w:numPr>
        <w:spacing w:line="266" w:lineRule="auto"/>
        <w:rPr>
          <w:rFonts w:eastAsiaTheme="minorHAnsi"/>
          <w:color w:val="auto"/>
        </w:rPr>
      </w:pPr>
      <w:r w:rsidRPr="00405FF4">
        <w:rPr>
          <w:rFonts w:eastAsiaTheme="minorHAnsi"/>
          <w:color w:val="auto"/>
        </w:rPr>
        <w:t xml:space="preserve">Na którym etapie realizacji zadania inwestycyjnego Zamawiający będzie wymagał przedstawienia wymaganych w </w:t>
      </w:r>
      <w:r w:rsidR="009F13A8" w:rsidRPr="00405FF4">
        <w:rPr>
          <w:rFonts w:eastAsiaTheme="minorHAnsi"/>
          <w:color w:val="auto"/>
        </w:rPr>
        <w:t xml:space="preserve">dokumentacji projektowej </w:t>
      </w:r>
      <w:r w:rsidRPr="00405FF4">
        <w:rPr>
          <w:rFonts w:eastAsiaTheme="minorHAnsi"/>
          <w:color w:val="auto"/>
        </w:rPr>
        <w:t xml:space="preserve"> norm jakościowych wskazanych w głównych urządzeniach technologicznych, armaturze</w:t>
      </w:r>
      <w:r w:rsidR="009F13A8" w:rsidRPr="00405FF4">
        <w:rPr>
          <w:rFonts w:eastAsiaTheme="minorHAnsi"/>
          <w:color w:val="auto"/>
        </w:rPr>
        <w:t>, pompach i mieszadłach, dmuchawach</w:t>
      </w:r>
      <w:r w:rsidRPr="00405FF4">
        <w:rPr>
          <w:rFonts w:eastAsiaTheme="minorHAnsi"/>
          <w:color w:val="auto"/>
        </w:rPr>
        <w:t xml:space="preserve">  itd. ? </w:t>
      </w:r>
    </w:p>
    <w:p w14:paraId="0C0F1B06" w14:textId="77777777" w:rsidR="007331F6" w:rsidRPr="00405FF4" w:rsidRDefault="007331F6" w:rsidP="007331F6">
      <w:pPr>
        <w:spacing w:line="266" w:lineRule="auto"/>
        <w:rPr>
          <w:rFonts w:eastAsiaTheme="minorHAnsi"/>
          <w:i/>
          <w:iCs/>
          <w:color w:val="auto"/>
        </w:rPr>
      </w:pPr>
    </w:p>
    <w:p w14:paraId="6CEAB72C" w14:textId="3CDFB837" w:rsidR="006E3F19" w:rsidRPr="00405FF4" w:rsidRDefault="007331F6" w:rsidP="009F13A8">
      <w:pPr>
        <w:spacing w:line="266" w:lineRule="auto"/>
        <w:rPr>
          <w:rFonts w:eastAsiaTheme="minorHAnsi"/>
          <w:i/>
          <w:iCs/>
          <w:color w:val="auto"/>
        </w:rPr>
      </w:pPr>
      <w:r w:rsidRPr="00405FF4">
        <w:rPr>
          <w:rFonts w:eastAsiaTheme="minorHAnsi"/>
          <w:i/>
          <w:iCs/>
          <w:color w:val="auto"/>
        </w:rPr>
        <w:t>Zamawiający informuje, iż wymagane</w:t>
      </w:r>
      <w:r w:rsidR="009F13A8" w:rsidRPr="00405FF4">
        <w:rPr>
          <w:rFonts w:eastAsiaTheme="minorHAnsi"/>
          <w:i/>
          <w:iCs/>
          <w:color w:val="auto"/>
        </w:rPr>
        <w:t xml:space="preserve"> w dokumentacji </w:t>
      </w:r>
      <w:r w:rsidRPr="00405FF4">
        <w:rPr>
          <w:rFonts w:eastAsiaTheme="minorHAnsi"/>
          <w:i/>
          <w:iCs/>
          <w:color w:val="auto"/>
        </w:rPr>
        <w:t>normy jakościowe</w:t>
      </w:r>
      <w:r w:rsidR="00E661E1" w:rsidRPr="00405FF4">
        <w:rPr>
          <w:rFonts w:eastAsiaTheme="minorHAnsi"/>
          <w:i/>
          <w:iCs/>
          <w:color w:val="auto"/>
        </w:rPr>
        <w:t xml:space="preserve">, które muszą spełniać i mieć wprowadzone zakłady produkcyjne </w:t>
      </w:r>
      <w:r w:rsidRPr="00405FF4">
        <w:rPr>
          <w:rFonts w:eastAsiaTheme="minorHAnsi"/>
          <w:i/>
          <w:iCs/>
          <w:color w:val="auto"/>
        </w:rPr>
        <w:t>będą stanowiły załącznik do wniosków materiałowych składanych podczas realizacji zadania inwestycyjnego</w:t>
      </w:r>
      <w:r w:rsidR="009F13A8" w:rsidRPr="00405FF4">
        <w:rPr>
          <w:rFonts w:eastAsiaTheme="minorHAnsi"/>
          <w:i/>
          <w:iCs/>
          <w:color w:val="auto"/>
        </w:rPr>
        <w:t xml:space="preserve">. </w:t>
      </w:r>
    </w:p>
    <w:p w14:paraId="0381F359" w14:textId="2B73DB49" w:rsidR="006E3F19" w:rsidRPr="00405FF4" w:rsidRDefault="006E3F19" w:rsidP="006E3F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05FF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Czy Zamawiający uzna za równoważne urządzenie do mechanicznego oczyszczania ścieków tj. sito piaskownik niezintegrowany z płuczką pi</w:t>
      </w:r>
      <w:r w:rsidR="00A65A75" w:rsidRPr="00405FF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as</w:t>
      </w:r>
      <w:r w:rsidRPr="00405FF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ku?</w:t>
      </w:r>
    </w:p>
    <w:p w14:paraId="2B614139" w14:textId="140D14E0" w:rsidR="006E3F19" w:rsidRPr="00405FF4" w:rsidRDefault="006E3F19" w:rsidP="006E3F19">
      <w:pPr>
        <w:pStyle w:val="Akapitzlis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4E67FDC" w14:textId="39BB6AE5" w:rsidR="00E661E1" w:rsidRPr="00405FF4" w:rsidRDefault="00E661E1" w:rsidP="00E661E1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>Zamawiający wyjaśnia, iż zastosowane urządzenie do mechanicznego oczyszczania ścieków tj. sito piaskownika wraz z tłuszczownikiem oraz zintegrowaną płuczką piasku jako zblokowana (monolityczna) konstrukcja urządzenia umożliwia wykorzystywanie niewielkiej  przestrze</w:t>
      </w:r>
      <w:r w:rsidR="00A65A75"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>ni</w:t>
      </w:r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 (w której zostanie zabudowany)  w stosunku do proponowanego rozwiązania tj. sito piaskownika z oddzielnym urządzeniem jakim jest płuczka piasku. W związku z powyższym Zamawiającym nie dopuszcza sito piaskownika wraz z tłuszczownikiem bez zintegrowanej płuczki piasku jako urządzenia równoważnego.</w:t>
      </w:r>
    </w:p>
    <w:p w14:paraId="5D834F28" w14:textId="77777777" w:rsidR="00E661E1" w:rsidRPr="00405FF4" w:rsidRDefault="00E661E1" w:rsidP="006E3F19">
      <w:pPr>
        <w:pStyle w:val="Akapitzlis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D1001C5" w14:textId="6600B45F" w:rsidR="006E3F19" w:rsidRPr="00405FF4" w:rsidRDefault="006E3F19" w:rsidP="006E3F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05FF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Czy Zamawiający uzna za równoważne urządzenie tj. sito piaskownik, który w swojej konstrukcji będzie posiada</w:t>
      </w:r>
      <w:r w:rsidR="00A65A75" w:rsidRPr="00405FF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ł</w:t>
      </w:r>
      <w:r w:rsidRPr="00405FF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sito spiralne zamiast sita obrotowego pierścionkowego? </w:t>
      </w:r>
    </w:p>
    <w:p w14:paraId="33EEABA5" w14:textId="77777777" w:rsidR="00D02AC6" w:rsidRPr="00405FF4" w:rsidRDefault="00D02AC6" w:rsidP="00D02AC6">
      <w:pPr>
        <w:spacing w:after="160" w:line="254" w:lineRule="auto"/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</w:pPr>
    </w:p>
    <w:p w14:paraId="16103579" w14:textId="729DA181" w:rsidR="00D02AC6" w:rsidRPr="00405FF4" w:rsidRDefault="00D02AC6" w:rsidP="00D02AC6">
      <w:pPr>
        <w:spacing w:after="160" w:line="254" w:lineRule="auto"/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</w:pPr>
      <w:bookmarkStart w:id="4" w:name="_Hlk84256273"/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>Zamawiający podtrzymuje wymóg zastosowania sita obrotowego, pierścieniowego posiadającego szczeliny w sito piaskowniku zgodnie z treścią</w:t>
      </w:r>
      <w:r w:rsidR="0090057F"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 dokumentacji projektowej. </w:t>
      </w:r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>Zamawiający wyjaśnia, iż konstrukcja pierścieniowa sita obrotowego jest rozwiązaniem wydajniejszym niż sito spiralne. Również eksploatacja sita obrotowego jest dużo łatwiejsza poprzez zastosowania szczotki czyszczącej szczeliny jak również dysz płuczących zamontowanych w listwie. Zamawiający nie uznaje sita spiralnego jako równoważne z sitem obrotowym, pierścieniowym.</w:t>
      </w:r>
    </w:p>
    <w:bookmarkEnd w:id="4"/>
    <w:p w14:paraId="56D15D77" w14:textId="78A71024" w:rsidR="006E3F19" w:rsidRPr="00405FF4" w:rsidRDefault="006E3F19" w:rsidP="006E3F19">
      <w:pPr>
        <w:pStyle w:val="Akapitzlist"/>
        <w:numPr>
          <w:ilvl w:val="0"/>
          <w:numId w:val="7"/>
        </w:numPr>
        <w:spacing w:line="266" w:lineRule="auto"/>
        <w:rPr>
          <w:rFonts w:asciiTheme="minorHAnsi" w:eastAsiaTheme="minorEastAsia" w:hAnsiTheme="minorHAnsi" w:cs="Tahoma"/>
          <w:color w:val="auto"/>
        </w:rPr>
      </w:pPr>
      <w:r w:rsidRPr="00405FF4">
        <w:rPr>
          <w:rFonts w:asciiTheme="minorHAnsi" w:eastAsiaTheme="minorEastAsia" w:hAnsiTheme="minorHAnsi" w:cs="Tahoma"/>
          <w:color w:val="auto"/>
        </w:rPr>
        <w:t>Czy Zamawiający dopuści i uzna za równoważne urządzenie do mechanicznego oczyszczalnia ścieków tj. sito piaskownik wykonany ze stali nierdzewnej AISI 304?</w:t>
      </w:r>
    </w:p>
    <w:p w14:paraId="3C2336C8" w14:textId="77777777" w:rsidR="00D02AC6" w:rsidRPr="00405FF4" w:rsidRDefault="00D02AC6" w:rsidP="00D02AC6">
      <w:pPr>
        <w:pStyle w:val="Akapitzlist"/>
        <w:spacing w:line="266" w:lineRule="auto"/>
        <w:ind w:firstLine="0"/>
        <w:rPr>
          <w:rFonts w:asciiTheme="minorHAnsi" w:eastAsiaTheme="minorEastAsia" w:hAnsiTheme="minorHAnsi" w:cs="Tahoma"/>
          <w:color w:val="auto"/>
        </w:rPr>
      </w:pPr>
    </w:p>
    <w:p w14:paraId="3939269A" w14:textId="0D8A38A2" w:rsidR="00D02AC6" w:rsidRPr="00405FF4" w:rsidRDefault="00D02AC6" w:rsidP="006E3F19">
      <w:pPr>
        <w:spacing w:line="254" w:lineRule="auto"/>
        <w:contextualSpacing/>
        <w:rPr>
          <w:rFonts w:asciiTheme="minorHAnsi" w:eastAsiaTheme="minorHAnsi" w:hAnsiTheme="minorHAnsi" w:cs="Helvetica-Bold"/>
          <w:bCs/>
          <w:i/>
          <w:color w:val="auto"/>
          <w:szCs w:val="20"/>
        </w:rPr>
      </w:pPr>
      <w:bookmarkStart w:id="5" w:name="_Hlk525727268"/>
      <w:bookmarkStart w:id="6" w:name="_Hlk534705227"/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</w:rPr>
        <w:t xml:space="preserve">Zamawiający informuje, iż rodzaj zastosowanego materiału w sito piaskowniku został opisany w </w:t>
      </w:r>
      <w:r w:rsidR="0090057F" w:rsidRPr="00405FF4">
        <w:rPr>
          <w:rFonts w:asciiTheme="minorHAnsi" w:eastAsiaTheme="minorHAnsi" w:hAnsiTheme="minorHAnsi" w:cs="Helvetica-Bold"/>
          <w:bCs/>
          <w:i/>
          <w:color w:val="auto"/>
          <w:szCs w:val="20"/>
        </w:rPr>
        <w:t xml:space="preserve"> dokumentacji projektowej (plik </w:t>
      </w:r>
      <w:r w:rsidR="0090057F" w:rsidRPr="00405FF4">
        <w:rPr>
          <w:rFonts w:asciiTheme="minorHAnsi" w:eastAsiaTheme="minorHAnsi" w:hAnsiTheme="minorHAnsi" w:cs="Helvetica-Bold"/>
          <w:bCs/>
          <w:i/>
          <w:color w:val="auto"/>
          <w:szCs w:val="20"/>
          <w:lang w:eastAsia="en-US"/>
        </w:rPr>
        <w:t xml:space="preserve">PT_Skulsk cały opis) </w:t>
      </w:r>
      <w:r w:rsidR="0090057F" w:rsidRPr="00405FF4">
        <w:rPr>
          <w:rFonts w:asciiTheme="minorHAnsi" w:eastAsiaTheme="minorHAnsi" w:hAnsiTheme="minorHAnsi" w:cs="Helvetica-Bold"/>
          <w:bCs/>
          <w:i/>
          <w:color w:val="auto"/>
          <w:szCs w:val="20"/>
        </w:rPr>
        <w:t xml:space="preserve"> </w:t>
      </w:r>
      <w:r w:rsidRPr="00405FF4">
        <w:rPr>
          <w:rFonts w:asciiTheme="minorHAnsi" w:eastAsiaTheme="minorHAnsi" w:hAnsiTheme="minorHAnsi" w:cs="Helvetica-Bold"/>
          <w:bCs/>
          <w:i/>
          <w:color w:val="auto"/>
          <w:szCs w:val="20"/>
        </w:rPr>
        <w:t>Należy wskazać, iż urządzenie ma zostać wykonane ze stali nierdzewnej AISI316 a sito pierścieniowe ze stali nierdzewnej typu Duplex. Proponowana stal nierdzewna AISI304 ma dużo niższą odporność na korozję w stosunku do stali niedrzewnej AISI316 oraz stali nierdzewnej typu Duplex. Zamawiający nie dopuszcza urządzenia wykonanego ze stali nierdzewnej AISI304, która nie jest gatunkiem stali nierdzewnej, równoważnej do AISI316 oraz Duplex.</w:t>
      </w:r>
    </w:p>
    <w:p w14:paraId="45BD3AE8" w14:textId="77777777" w:rsidR="00D02AC6" w:rsidRPr="00405FF4" w:rsidRDefault="00D02AC6" w:rsidP="006E3F19">
      <w:pPr>
        <w:spacing w:line="254" w:lineRule="auto"/>
        <w:contextualSpacing/>
        <w:rPr>
          <w:rFonts w:asciiTheme="minorHAnsi" w:eastAsiaTheme="minorHAnsi" w:hAnsiTheme="minorHAnsi" w:cs="Helvetica-Bold"/>
          <w:bCs/>
          <w:i/>
          <w:color w:val="auto"/>
          <w:szCs w:val="20"/>
        </w:rPr>
      </w:pPr>
    </w:p>
    <w:bookmarkEnd w:id="5"/>
    <w:bookmarkEnd w:id="6"/>
    <w:p w14:paraId="4F5BCFBE" w14:textId="0382463D" w:rsidR="00523F93" w:rsidRPr="00405FF4" w:rsidRDefault="00523F93" w:rsidP="0090057F">
      <w:pPr>
        <w:pStyle w:val="Akapitzlist"/>
        <w:spacing w:after="160" w:line="254" w:lineRule="auto"/>
        <w:ind w:firstLine="0"/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</w:pPr>
    </w:p>
    <w:p w14:paraId="029F2F63" w14:textId="122AC4D2" w:rsidR="006E3F19" w:rsidRPr="00405FF4" w:rsidRDefault="006E3F19" w:rsidP="006E3F19">
      <w:pPr>
        <w:pStyle w:val="Akapitzlist"/>
        <w:numPr>
          <w:ilvl w:val="0"/>
          <w:numId w:val="7"/>
        </w:numPr>
        <w:spacing w:after="160" w:line="254" w:lineRule="auto"/>
        <w:rPr>
          <w:rFonts w:asciiTheme="minorHAnsi" w:eastAsiaTheme="minorHAnsi" w:hAnsiTheme="minorHAnsi" w:cs="Helvetica-Bold"/>
          <w:bCs/>
          <w:color w:val="auto"/>
          <w:lang w:eastAsia="en-US"/>
        </w:rPr>
      </w:pPr>
      <w:r w:rsidRPr="00405FF4">
        <w:rPr>
          <w:rFonts w:asciiTheme="minorHAnsi" w:eastAsiaTheme="minorHAnsi" w:hAnsiTheme="minorHAnsi" w:cs="Helvetica-Bold"/>
          <w:bCs/>
          <w:color w:val="auto"/>
          <w:lang w:eastAsia="en-US"/>
        </w:rPr>
        <w:t>Czy Zamawiający dopuści instalację Odwaniania Osadów bez wymaganych</w:t>
      </w:r>
      <w:r w:rsidR="0090057F" w:rsidRPr="00405FF4">
        <w:rPr>
          <w:rFonts w:asciiTheme="minorHAnsi" w:eastAsiaTheme="minorHAnsi" w:hAnsiTheme="minorHAnsi" w:cs="Helvetica-Bold"/>
          <w:bCs/>
          <w:color w:val="auto"/>
          <w:lang w:eastAsia="en-US"/>
        </w:rPr>
        <w:t xml:space="preserve"> dokumentacji projektowej  </w:t>
      </w:r>
      <w:r w:rsidRPr="00405FF4">
        <w:rPr>
          <w:rFonts w:asciiTheme="minorHAnsi" w:eastAsiaTheme="minorHAnsi" w:hAnsiTheme="minorHAnsi" w:cs="Helvetica-Bold"/>
          <w:bCs/>
          <w:color w:val="auto"/>
          <w:lang w:eastAsia="en-US"/>
        </w:rPr>
        <w:t>referencji dotyczących sterowania i zdalnej diagnostyki?</w:t>
      </w:r>
    </w:p>
    <w:p w14:paraId="2FE988A9" w14:textId="26B1F984" w:rsidR="006E3F19" w:rsidRPr="00405FF4" w:rsidRDefault="006E3F19" w:rsidP="006E3F19">
      <w:pPr>
        <w:pStyle w:val="Akapitzlist"/>
        <w:rPr>
          <w:rFonts w:asciiTheme="minorHAnsi" w:eastAsiaTheme="minorHAnsi" w:hAnsiTheme="minorHAnsi" w:cs="Helvetica-Bold"/>
          <w:bCs/>
          <w:color w:val="auto"/>
          <w:lang w:eastAsia="en-US"/>
        </w:rPr>
      </w:pPr>
    </w:p>
    <w:p w14:paraId="14BDF90C" w14:textId="0DCD7280" w:rsidR="00523F93" w:rsidRPr="00405FF4" w:rsidRDefault="00523F93" w:rsidP="00523F93">
      <w:pPr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</w:pPr>
      <w:bookmarkStart w:id="7" w:name="_Hlk84258026"/>
      <w:r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>Zamawiający podtrzym</w:t>
      </w:r>
      <w:r w:rsidR="00A8487F"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>u</w:t>
      </w:r>
      <w:r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>j</w:t>
      </w:r>
      <w:r w:rsidR="00A8487F"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>e</w:t>
      </w:r>
      <w:r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 xml:space="preserve"> ilość wymaganych pisemnych  referencji dla głównych urządzeń technologicznych, pomp i mieszadeł, armatury oraz urządzeń pomiarowych, która została określona  w  projekcie</w:t>
      </w:r>
      <w:r w:rsidR="003352A3"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>, tym samym podtrzymuje wymóg posiadania referencji dotyczących sterowania i zdalnej diagnostyki.</w:t>
      </w:r>
    </w:p>
    <w:bookmarkEnd w:id="7"/>
    <w:p w14:paraId="38405F1D" w14:textId="77777777" w:rsidR="00B14BC1" w:rsidRDefault="00B14BC1" w:rsidP="00B14BC1">
      <w:pPr>
        <w:spacing w:after="160" w:line="254" w:lineRule="auto"/>
        <w:ind w:left="360" w:firstLine="0"/>
        <w:rPr>
          <w:rFonts w:asciiTheme="minorHAnsi" w:eastAsiaTheme="minorHAnsi" w:hAnsiTheme="minorHAnsi" w:cs="Helvetica-Bold"/>
          <w:bCs/>
          <w:color w:val="auto"/>
          <w:lang w:eastAsia="en-US"/>
        </w:rPr>
      </w:pPr>
    </w:p>
    <w:p w14:paraId="78EA4A1F" w14:textId="436EBA54" w:rsidR="00B14BC1" w:rsidRPr="00B14BC1" w:rsidRDefault="00B14BC1" w:rsidP="00B14BC1">
      <w:pPr>
        <w:pStyle w:val="Akapitzlist"/>
        <w:numPr>
          <w:ilvl w:val="0"/>
          <w:numId w:val="7"/>
        </w:numPr>
        <w:spacing w:after="160" w:line="254" w:lineRule="auto"/>
        <w:rPr>
          <w:rFonts w:asciiTheme="minorHAnsi" w:eastAsiaTheme="minorHAnsi" w:hAnsiTheme="minorHAnsi" w:cs="Helvetica-Bold"/>
          <w:bCs/>
          <w:color w:val="auto"/>
          <w:lang w:eastAsia="en-US"/>
        </w:rPr>
      </w:pPr>
      <w:r w:rsidRPr="00B14BC1">
        <w:rPr>
          <w:rFonts w:asciiTheme="minorHAnsi" w:eastAsiaTheme="minorHAnsi" w:hAnsiTheme="minorHAnsi" w:cs="Helvetica-Bold"/>
          <w:bCs/>
          <w:color w:val="auto"/>
          <w:lang w:eastAsia="en-US"/>
        </w:rPr>
        <w:t>W jakim celu wielodyskowa prasa śrubowa jest wyposażona w dzieloną wannę odciekową i czy zamawiający uzna za równoważne urządzenie tj. prasę bez dzielonej wanny odciekowej?</w:t>
      </w:r>
    </w:p>
    <w:p w14:paraId="4F2A8417" w14:textId="77777777" w:rsidR="00B14BC1" w:rsidRPr="00405FF4" w:rsidRDefault="00B14BC1" w:rsidP="00B14BC1">
      <w:pPr>
        <w:spacing w:after="160" w:line="254" w:lineRule="auto"/>
        <w:ind w:left="0" w:firstLine="0"/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</w:pPr>
      <w:r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 xml:space="preserve">Zamawiający wyjaśnia, iż dzielona wanna odciekowa jest elementem składowym pompowego układu zawracania brudnego odcieku. Oznacza to, że brudny odciek z prasy jest zawracany do flokulatora i </w:t>
      </w:r>
      <w:r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lastRenderedPageBreak/>
        <w:t xml:space="preserve">poddawany odwonieniu. Czysty odciek z prasy, gromadzony jest w oddzielnej wannie a nastanie ewakuowany na zewnątrz urządzenia.  </w:t>
      </w:r>
    </w:p>
    <w:p w14:paraId="6B2B1AAA" w14:textId="77777777" w:rsidR="00523F93" w:rsidRPr="00405FF4" w:rsidRDefault="00523F93" w:rsidP="006E3F19">
      <w:pPr>
        <w:pStyle w:val="Akapitzlist"/>
        <w:rPr>
          <w:rFonts w:asciiTheme="minorHAnsi" w:eastAsiaTheme="minorHAnsi" w:hAnsiTheme="minorHAnsi" w:cs="Helvetica-Bold"/>
          <w:bCs/>
          <w:color w:val="auto"/>
          <w:lang w:eastAsia="en-US"/>
        </w:rPr>
      </w:pPr>
    </w:p>
    <w:p w14:paraId="21D85493" w14:textId="6940EB68" w:rsidR="006E3F19" w:rsidRPr="00B14BC1" w:rsidRDefault="006E3F19" w:rsidP="00B14BC1">
      <w:pPr>
        <w:pStyle w:val="Akapitzlist"/>
        <w:numPr>
          <w:ilvl w:val="0"/>
          <w:numId w:val="7"/>
        </w:numPr>
        <w:spacing w:after="160" w:line="254" w:lineRule="auto"/>
        <w:rPr>
          <w:rFonts w:asciiTheme="minorHAnsi" w:eastAsiaTheme="minorHAnsi" w:hAnsiTheme="minorHAnsi" w:cs="Helvetica-Bold"/>
          <w:bCs/>
          <w:color w:val="auto"/>
          <w:lang w:eastAsia="en-US"/>
        </w:rPr>
      </w:pPr>
      <w:r w:rsidRPr="00B14BC1">
        <w:rPr>
          <w:rFonts w:asciiTheme="minorHAnsi" w:eastAsiaTheme="minorHAnsi" w:hAnsiTheme="minorHAnsi" w:cs="Helvetica-Bold"/>
          <w:bCs/>
          <w:color w:val="auto"/>
          <w:lang w:eastAsia="en-US"/>
        </w:rPr>
        <w:t xml:space="preserve">Czy Zamawiającym </w:t>
      </w:r>
      <w:r w:rsidR="00BF357D" w:rsidRPr="00B14BC1">
        <w:rPr>
          <w:rFonts w:asciiTheme="minorHAnsi" w:eastAsiaTheme="minorHAnsi" w:hAnsiTheme="minorHAnsi" w:cs="Helvetica-Bold"/>
          <w:bCs/>
          <w:color w:val="auto"/>
          <w:lang w:eastAsia="en-US"/>
        </w:rPr>
        <w:t>uzna za równoważne urządzenia służące do dekantacji wód nadosadowych, tj. dekantery na wężu elastycznym?</w:t>
      </w:r>
    </w:p>
    <w:p w14:paraId="0AE39FEA" w14:textId="55F5C43B" w:rsidR="00327F67" w:rsidRPr="00405FF4" w:rsidRDefault="00BF357D" w:rsidP="00327F6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</w:rPr>
      </w:pPr>
      <w:r w:rsidRPr="00405FF4">
        <w:rPr>
          <w:rFonts w:asciiTheme="minorHAnsi" w:eastAsiaTheme="minorHAnsi" w:hAnsiTheme="minorHAnsi" w:cs="Helvetica-Bold"/>
          <w:bCs/>
          <w:i/>
          <w:iCs/>
          <w:color w:val="auto"/>
          <w:lang w:eastAsia="en-US"/>
        </w:rPr>
        <w:t xml:space="preserve">Zamawiający podtrzymuje konieczność zastosowania urządzeń wskazanych w dokumentacji projektowej w tym dekanterów, których praca jest linowa w płaszczyźnie pionowe oraz rurociąg wykonany jest w całości ze stali niedrzewnej AISI316.  </w:t>
      </w:r>
    </w:p>
    <w:p w14:paraId="3DD60C52" w14:textId="77777777" w:rsidR="00327F67" w:rsidRPr="00405FF4" w:rsidRDefault="00327F67" w:rsidP="00175EFD">
      <w:pPr>
        <w:spacing w:after="160" w:line="259" w:lineRule="auto"/>
        <w:ind w:left="0" w:firstLine="0"/>
        <w:contextualSpacing/>
        <w:rPr>
          <w:rFonts w:asciiTheme="minorHAnsi" w:eastAsiaTheme="minorHAnsi" w:hAnsiTheme="minorHAnsi" w:cs="Helvetica-Bold"/>
          <w:bCs/>
          <w:color w:val="auto"/>
          <w:sz w:val="20"/>
          <w:szCs w:val="20"/>
          <w:lang w:eastAsia="en-US"/>
        </w:rPr>
      </w:pPr>
    </w:p>
    <w:p w14:paraId="11DA27C9" w14:textId="23B65FFF" w:rsidR="007E512A" w:rsidRPr="00405FF4" w:rsidRDefault="007E512A" w:rsidP="007E512A">
      <w:pPr>
        <w:spacing w:after="160" w:line="259" w:lineRule="auto"/>
        <w:ind w:left="0" w:firstLine="0"/>
        <w:rPr>
          <w:rFonts w:asciiTheme="minorHAnsi" w:eastAsiaTheme="minorHAnsi" w:hAnsiTheme="minorHAnsi" w:cs="Helvetica-Bold"/>
          <w:bCs/>
          <w:color w:val="auto"/>
          <w:sz w:val="20"/>
          <w:szCs w:val="20"/>
          <w:lang w:eastAsia="en-US"/>
        </w:rPr>
      </w:pPr>
    </w:p>
    <w:p w14:paraId="0F807953" w14:textId="77777777" w:rsidR="001958C4" w:rsidRPr="00405FF4" w:rsidRDefault="001958C4" w:rsidP="004F1D72">
      <w:pPr>
        <w:ind w:left="0" w:firstLine="0"/>
        <w:rPr>
          <w:rFonts w:eastAsiaTheme="minorHAnsi"/>
          <w:b/>
          <w:color w:val="auto"/>
          <w:u w:val="single"/>
        </w:rPr>
      </w:pPr>
    </w:p>
    <w:p w14:paraId="3A740DE4" w14:textId="77777777" w:rsidR="006E3F19" w:rsidRPr="00405FF4" w:rsidRDefault="006E3F19">
      <w:pPr>
        <w:ind w:left="0" w:firstLine="0"/>
        <w:rPr>
          <w:rFonts w:eastAsiaTheme="minorHAnsi"/>
          <w:b/>
          <w:color w:val="auto"/>
          <w:u w:val="single"/>
        </w:rPr>
      </w:pPr>
    </w:p>
    <w:sectPr w:rsidR="006E3F19" w:rsidRPr="00405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71" w:right="1406" w:bottom="1468" w:left="1402" w:header="708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AF84" w14:textId="77777777" w:rsidR="00011987" w:rsidRDefault="00011987">
      <w:pPr>
        <w:spacing w:after="0" w:line="240" w:lineRule="auto"/>
      </w:pPr>
      <w:r>
        <w:separator/>
      </w:r>
    </w:p>
  </w:endnote>
  <w:endnote w:type="continuationSeparator" w:id="0">
    <w:p w14:paraId="28450DB5" w14:textId="77777777" w:rsidR="00011987" w:rsidRDefault="0001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20C8" w14:textId="77777777" w:rsidR="00697787" w:rsidRDefault="00697787">
    <w:pPr>
      <w:spacing w:after="13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>-</w:t>
    </w:r>
    <w:r>
      <w:rPr>
        <w:noProof/>
        <w:color w:val="00000A"/>
      </w:rPr>
      <w:fldChar w:fldCharType="begin"/>
    </w:r>
    <w:r>
      <w:rPr>
        <w:noProof/>
        <w:color w:val="00000A"/>
      </w:rPr>
      <w:instrText xml:space="preserve"> NUMPAGES   \* MERGEFORMAT </w:instrText>
    </w:r>
    <w:r>
      <w:rPr>
        <w:noProof/>
        <w:color w:val="00000A"/>
      </w:rPr>
      <w:fldChar w:fldCharType="separate"/>
    </w:r>
    <w:r w:rsidRPr="00D03EBC">
      <w:rPr>
        <w:noProof/>
        <w:color w:val="00000A"/>
      </w:rPr>
      <w:t>14</w:t>
    </w:r>
    <w:r>
      <w:rPr>
        <w:noProof/>
        <w:color w:val="00000A"/>
      </w:rPr>
      <w:fldChar w:fldCharType="end"/>
    </w:r>
    <w:r>
      <w:rPr>
        <w:color w:val="00000A"/>
      </w:rPr>
      <w:t xml:space="preserve"> </w:t>
    </w:r>
    <w:r>
      <w:t xml:space="preserve"> </w:t>
    </w:r>
  </w:p>
  <w:p w14:paraId="41DA6F46" w14:textId="77777777" w:rsidR="00697787" w:rsidRDefault="00697787">
    <w:pPr>
      <w:spacing w:after="0" w:line="259" w:lineRule="auto"/>
      <w:ind w:left="14" w:firstLine="0"/>
      <w:jc w:val="left"/>
    </w:pPr>
    <w:r>
      <w:rPr>
        <w:color w:val="00000A"/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6C4B" w14:textId="672B6CBE" w:rsidR="00697787" w:rsidRDefault="00697787">
    <w:pPr>
      <w:spacing w:after="13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A2E" w:rsidRPr="00A26A2E">
      <w:rPr>
        <w:noProof/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>-</w:t>
    </w:r>
    <w:r>
      <w:rPr>
        <w:noProof/>
        <w:color w:val="00000A"/>
      </w:rPr>
      <w:fldChar w:fldCharType="begin"/>
    </w:r>
    <w:r>
      <w:rPr>
        <w:noProof/>
        <w:color w:val="00000A"/>
      </w:rPr>
      <w:instrText xml:space="preserve"> NUMPAGES   \* MERGEFORMAT </w:instrText>
    </w:r>
    <w:r>
      <w:rPr>
        <w:noProof/>
        <w:color w:val="00000A"/>
      </w:rPr>
      <w:fldChar w:fldCharType="separate"/>
    </w:r>
    <w:r w:rsidR="00A26A2E">
      <w:rPr>
        <w:noProof/>
        <w:color w:val="00000A"/>
      </w:rPr>
      <w:t>3</w:t>
    </w:r>
    <w:r>
      <w:rPr>
        <w:noProof/>
        <w:color w:val="00000A"/>
      </w:rPr>
      <w:fldChar w:fldCharType="end"/>
    </w:r>
    <w:r>
      <w:rPr>
        <w:color w:val="00000A"/>
      </w:rPr>
      <w:t xml:space="preserve"> </w:t>
    </w:r>
    <w:r>
      <w:t xml:space="preserve"> </w:t>
    </w:r>
  </w:p>
  <w:p w14:paraId="0DC03784" w14:textId="77777777" w:rsidR="00697787" w:rsidRDefault="00697787">
    <w:pPr>
      <w:spacing w:after="0" w:line="259" w:lineRule="auto"/>
      <w:ind w:left="14" w:firstLine="0"/>
      <w:jc w:val="left"/>
    </w:pPr>
    <w:r>
      <w:rPr>
        <w:color w:val="00000A"/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65DF" w14:textId="77777777" w:rsidR="00697787" w:rsidRDefault="00697787">
    <w:pPr>
      <w:spacing w:after="13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  <w:r>
      <w:rPr>
        <w:color w:val="00000A"/>
      </w:rPr>
      <w:t>-</w:t>
    </w:r>
    <w:r>
      <w:rPr>
        <w:noProof/>
        <w:color w:val="00000A"/>
      </w:rPr>
      <w:fldChar w:fldCharType="begin"/>
    </w:r>
    <w:r>
      <w:rPr>
        <w:noProof/>
        <w:color w:val="00000A"/>
      </w:rPr>
      <w:instrText xml:space="preserve"> NUMPAGES   \* MERGEFORMAT </w:instrText>
    </w:r>
    <w:r>
      <w:rPr>
        <w:noProof/>
        <w:color w:val="00000A"/>
      </w:rPr>
      <w:fldChar w:fldCharType="separate"/>
    </w:r>
    <w:r w:rsidRPr="00D03EBC">
      <w:rPr>
        <w:noProof/>
        <w:color w:val="00000A"/>
      </w:rPr>
      <w:t>14</w:t>
    </w:r>
    <w:r>
      <w:rPr>
        <w:noProof/>
        <w:color w:val="00000A"/>
      </w:rPr>
      <w:fldChar w:fldCharType="end"/>
    </w:r>
    <w:r>
      <w:rPr>
        <w:color w:val="00000A"/>
      </w:rPr>
      <w:t xml:space="preserve"> </w:t>
    </w:r>
    <w:r>
      <w:t xml:space="preserve"> </w:t>
    </w:r>
  </w:p>
  <w:p w14:paraId="5160DACD" w14:textId="77777777" w:rsidR="00697787" w:rsidRDefault="00697787">
    <w:pPr>
      <w:spacing w:after="0" w:line="259" w:lineRule="auto"/>
      <w:ind w:left="14" w:firstLine="0"/>
      <w:jc w:val="left"/>
    </w:pPr>
    <w:r>
      <w:rPr>
        <w:color w:val="00000A"/>
        <w:sz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5C68" w14:textId="77777777" w:rsidR="00011987" w:rsidRDefault="00011987">
      <w:pPr>
        <w:spacing w:after="0" w:line="240" w:lineRule="auto"/>
      </w:pPr>
      <w:r>
        <w:separator/>
      </w:r>
    </w:p>
  </w:footnote>
  <w:footnote w:type="continuationSeparator" w:id="0">
    <w:p w14:paraId="4E16B73A" w14:textId="77777777" w:rsidR="00011987" w:rsidRDefault="0001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E4AB" w14:textId="77777777" w:rsidR="00697787" w:rsidRDefault="00697787">
    <w:pPr>
      <w:spacing w:after="0" w:line="259" w:lineRule="auto"/>
      <w:ind w:left="-1402" w:right="667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353FA8" wp14:editId="52D8078B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531620" cy="49530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AC62" w14:textId="586917A9" w:rsidR="00697787" w:rsidRDefault="00697787">
    <w:pPr>
      <w:spacing w:after="0" w:line="259" w:lineRule="auto"/>
      <w:ind w:left="-1402" w:right="6671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CF63" w14:textId="77777777" w:rsidR="00697787" w:rsidRDefault="00697787">
    <w:pPr>
      <w:spacing w:after="0" w:line="259" w:lineRule="auto"/>
      <w:ind w:left="-1402" w:right="667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F41540" wp14:editId="75E01CE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531620" cy="495300"/>
          <wp:effectExtent l="0" t="0" r="0" b="0"/>
          <wp:wrapSquare wrapText="bothSides"/>
          <wp:docPr id="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A6"/>
    <w:multiLevelType w:val="hybridMultilevel"/>
    <w:tmpl w:val="576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243"/>
    <w:multiLevelType w:val="hybridMultilevel"/>
    <w:tmpl w:val="CD7ED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4FB"/>
    <w:multiLevelType w:val="hybridMultilevel"/>
    <w:tmpl w:val="038420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color w:val="000066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D1D"/>
    <w:multiLevelType w:val="hybridMultilevel"/>
    <w:tmpl w:val="03842036"/>
    <w:lvl w:ilvl="0" w:tplc="0F06DC7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color w:val="000066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045C"/>
    <w:multiLevelType w:val="hybridMultilevel"/>
    <w:tmpl w:val="038420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color w:val="000066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0697"/>
    <w:multiLevelType w:val="hybridMultilevel"/>
    <w:tmpl w:val="C4A8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1587D"/>
    <w:multiLevelType w:val="hybridMultilevel"/>
    <w:tmpl w:val="9348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60BF9"/>
    <w:multiLevelType w:val="hybridMultilevel"/>
    <w:tmpl w:val="3BE4F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BE"/>
    <w:rsid w:val="00010B92"/>
    <w:rsid w:val="00011987"/>
    <w:rsid w:val="000179A1"/>
    <w:rsid w:val="00043941"/>
    <w:rsid w:val="00096E6B"/>
    <w:rsid w:val="000A42AB"/>
    <w:rsid w:val="000C42CC"/>
    <w:rsid w:val="000E00F4"/>
    <w:rsid w:val="001149AD"/>
    <w:rsid w:val="00166D37"/>
    <w:rsid w:val="00167F24"/>
    <w:rsid w:val="00171319"/>
    <w:rsid w:val="00173A46"/>
    <w:rsid w:val="00175EFD"/>
    <w:rsid w:val="00182F2F"/>
    <w:rsid w:val="0019307E"/>
    <w:rsid w:val="001958C4"/>
    <w:rsid w:val="001D6DA3"/>
    <w:rsid w:val="001E4221"/>
    <w:rsid w:val="001F0D0D"/>
    <w:rsid w:val="0022077C"/>
    <w:rsid w:val="002230B1"/>
    <w:rsid w:val="002330B3"/>
    <w:rsid w:val="00237918"/>
    <w:rsid w:val="00246FAB"/>
    <w:rsid w:val="00255B95"/>
    <w:rsid w:val="00295F4D"/>
    <w:rsid w:val="002F4BC4"/>
    <w:rsid w:val="002F56E9"/>
    <w:rsid w:val="002F61A3"/>
    <w:rsid w:val="00312A51"/>
    <w:rsid w:val="00313A04"/>
    <w:rsid w:val="00327F67"/>
    <w:rsid w:val="003352A3"/>
    <w:rsid w:val="003745EC"/>
    <w:rsid w:val="003771D5"/>
    <w:rsid w:val="00382AA4"/>
    <w:rsid w:val="00392449"/>
    <w:rsid w:val="003C369F"/>
    <w:rsid w:val="003C51E8"/>
    <w:rsid w:val="003E44E0"/>
    <w:rsid w:val="00405FF4"/>
    <w:rsid w:val="004363EF"/>
    <w:rsid w:val="00453AF2"/>
    <w:rsid w:val="00454B4E"/>
    <w:rsid w:val="00456C97"/>
    <w:rsid w:val="0046148A"/>
    <w:rsid w:val="0046781A"/>
    <w:rsid w:val="00471B36"/>
    <w:rsid w:val="00496A66"/>
    <w:rsid w:val="004A2052"/>
    <w:rsid w:val="004A3A4B"/>
    <w:rsid w:val="004A4BDC"/>
    <w:rsid w:val="004C3273"/>
    <w:rsid w:val="004E5B8E"/>
    <w:rsid w:val="004F1D72"/>
    <w:rsid w:val="004F60DF"/>
    <w:rsid w:val="00516626"/>
    <w:rsid w:val="00517C37"/>
    <w:rsid w:val="00523F93"/>
    <w:rsid w:val="0052563B"/>
    <w:rsid w:val="00531167"/>
    <w:rsid w:val="005338E3"/>
    <w:rsid w:val="005503F8"/>
    <w:rsid w:val="00577D0F"/>
    <w:rsid w:val="00586D21"/>
    <w:rsid w:val="005B1199"/>
    <w:rsid w:val="005B62ED"/>
    <w:rsid w:val="005C14BA"/>
    <w:rsid w:val="005C4E1E"/>
    <w:rsid w:val="005F77CB"/>
    <w:rsid w:val="006058DA"/>
    <w:rsid w:val="00620979"/>
    <w:rsid w:val="006258F1"/>
    <w:rsid w:val="006305C4"/>
    <w:rsid w:val="006415A7"/>
    <w:rsid w:val="00651244"/>
    <w:rsid w:val="0067074B"/>
    <w:rsid w:val="0067525E"/>
    <w:rsid w:val="00690C31"/>
    <w:rsid w:val="00697787"/>
    <w:rsid w:val="006E3F19"/>
    <w:rsid w:val="006E6F4C"/>
    <w:rsid w:val="006F7A99"/>
    <w:rsid w:val="007331F6"/>
    <w:rsid w:val="0074752F"/>
    <w:rsid w:val="00772395"/>
    <w:rsid w:val="007A5AC0"/>
    <w:rsid w:val="007C67FF"/>
    <w:rsid w:val="007C7586"/>
    <w:rsid w:val="007E512A"/>
    <w:rsid w:val="00816D63"/>
    <w:rsid w:val="00820D16"/>
    <w:rsid w:val="00842B0B"/>
    <w:rsid w:val="008663A7"/>
    <w:rsid w:val="00871F4C"/>
    <w:rsid w:val="00872B8C"/>
    <w:rsid w:val="00887E92"/>
    <w:rsid w:val="0089216F"/>
    <w:rsid w:val="008B638B"/>
    <w:rsid w:val="008E647C"/>
    <w:rsid w:val="008F3A0B"/>
    <w:rsid w:val="00900505"/>
    <w:rsid w:val="0090057F"/>
    <w:rsid w:val="0090259D"/>
    <w:rsid w:val="0099062A"/>
    <w:rsid w:val="009B5C90"/>
    <w:rsid w:val="009F13A8"/>
    <w:rsid w:val="00A265BE"/>
    <w:rsid w:val="00A26A2E"/>
    <w:rsid w:val="00A65A75"/>
    <w:rsid w:val="00A72BCD"/>
    <w:rsid w:val="00A74665"/>
    <w:rsid w:val="00A77DFD"/>
    <w:rsid w:val="00A8487F"/>
    <w:rsid w:val="00AC385C"/>
    <w:rsid w:val="00B13B7A"/>
    <w:rsid w:val="00B14BC1"/>
    <w:rsid w:val="00B36E0C"/>
    <w:rsid w:val="00B835EC"/>
    <w:rsid w:val="00BB0F4D"/>
    <w:rsid w:val="00BD22B2"/>
    <w:rsid w:val="00BE7D63"/>
    <w:rsid w:val="00BF357D"/>
    <w:rsid w:val="00C34F18"/>
    <w:rsid w:val="00C60603"/>
    <w:rsid w:val="00C627CB"/>
    <w:rsid w:val="00C6499B"/>
    <w:rsid w:val="00C96E90"/>
    <w:rsid w:val="00CB661A"/>
    <w:rsid w:val="00CD3EB7"/>
    <w:rsid w:val="00CF28D6"/>
    <w:rsid w:val="00D01A62"/>
    <w:rsid w:val="00D0217C"/>
    <w:rsid w:val="00D02AC6"/>
    <w:rsid w:val="00D03EBC"/>
    <w:rsid w:val="00D32B63"/>
    <w:rsid w:val="00D34C89"/>
    <w:rsid w:val="00D6328A"/>
    <w:rsid w:val="00D810E4"/>
    <w:rsid w:val="00D86253"/>
    <w:rsid w:val="00DA25F5"/>
    <w:rsid w:val="00DB76E8"/>
    <w:rsid w:val="00DC4C85"/>
    <w:rsid w:val="00DF39C2"/>
    <w:rsid w:val="00E661E1"/>
    <w:rsid w:val="00E80E6C"/>
    <w:rsid w:val="00E82B7E"/>
    <w:rsid w:val="00E83AAA"/>
    <w:rsid w:val="00EA1D1E"/>
    <w:rsid w:val="00F06A3E"/>
    <w:rsid w:val="00F06BDD"/>
    <w:rsid w:val="00F20C4E"/>
    <w:rsid w:val="00F355BE"/>
    <w:rsid w:val="00F4318C"/>
    <w:rsid w:val="00F54E70"/>
    <w:rsid w:val="00F56B10"/>
    <w:rsid w:val="00FD3F1D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22"/>
  <w15:docId w15:val="{93DE39F8-BE8F-4C90-8F33-6946528A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7CB"/>
    <w:pPr>
      <w:spacing w:after="65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left="14"/>
      <w:jc w:val="center"/>
      <w:outlineLvl w:val="0"/>
    </w:pPr>
    <w:rPr>
      <w:rFonts w:ascii="Calibri" w:eastAsia="Calibri" w:hAnsi="Calibri" w:cs="Calibri"/>
      <w:b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148A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96A6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rsid w:val="00496A66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496A66"/>
    <w:rPr>
      <w:color w:val="0563C1" w:themeColor="hyperlink"/>
      <w:u w:val="single"/>
    </w:rPr>
  </w:style>
  <w:style w:type="paragraph" w:customStyle="1" w:styleId="Standard">
    <w:name w:val="Standard"/>
    <w:rsid w:val="00D0217C"/>
    <w:pPr>
      <w:widowControl w:val="0"/>
      <w:suppressAutoHyphens/>
      <w:autoSpaceDN w:val="0"/>
      <w:spacing w:after="20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B661A"/>
    <w:pPr>
      <w:spacing w:after="0" w:line="533" w:lineRule="auto"/>
      <w:ind w:left="840" w:right="-12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661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ny"/>
    <w:qFormat/>
    <w:rsid w:val="00CB661A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49AD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1D72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1D72"/>
    <w:rPr>
      <w:rFonts w:ascii="Calibri" w:eastAsiaTheme="minorHAnsi" w:hAnsi="Calibri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F1D7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E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6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Jarosław Goiński</cp:lastModifiedBy>
  <cp:revision>5</cp:revision>
  <cp:lastPrinted>2018-09-24T13:28:00Z</cp:lastPrinted>
  <dcterms:created xsi:type="dcterms:W3CDTF">2022-04-25T16:01:00Z</dcterms:created>
  <dcterms:modified xsi:type="dcterms:W3CDTF">2022-04-26T08:33:00Z</dcterms:modified>
</cp:coreProperties>
</file>