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F60" w:rsidRPr="00D87F60" w:rsidRDefault="00D87F60" w:rsidP="00D87F60">
      <w:pPr>
        <w:spacing w:after="120" w:line="360" w:lineRule="auto"/>
        <w:jc w:val="center"/>
        <w:rPr>
          <w:rFonts w:ascii="Calibri" w:eastAsia="Times New Roman" w:hAnsi="Calibri" w:cs="Calibri"/>
          <w:b/>
          <w:bCs/>
          <w:caps/>
          <w:spacing w:val="4"/>
          <w:sz w:val="40"/>
          <w:szCs w:val="40"/>
          <w:u w:val="single"/>
          <w:lang w:eastAsia="pl-PL"/>
        </w:rPr>
      </w:pPr>
      <w:r w:rsidRPr="00D87F60">
        <w:rPr>
          <w:rFonts w:ascii="Calibri" w:eastAsia="Times New Roman" w:hAnsi="Calibri" w:cs="Calibri"/>
          <w:b/>
          <w:bCs/>
          <w:caps/>
          <w:spacing w:val="4"/>
          <w:sz w:val="40"/>
          <w:szCs w:val="40"/>
          <w:u w:val="single"/>
          <w:lang w:eastAsia="pl-PL"/>
        </w:rPr>
        <w:t>informacja dotycząca bioz</w:t>
      </w:r>
    </w:p>
    <w:p w:rsidR="00D87F60" w:rsidRPr="00D87F60" w:rsidRDefault="00D87F60" w:rsidP="00D87F60">
      <w:pPr>
        <w:spacing w:after="120" w:line="360" w:lineRule="auto"/>
        <w:jc w:val="center"/>
        <w:rPr>
          <w:rFonts w:ascii="Calibri" w:eastAsia="Times New Roman" w:hAnsi="Calibri" w:cs="Calibri"/>
          <w:b/>
          <w:bCs/>
          <w:caps/>
          <w:spacing w:val="4"/>
          <w:sz w:val="40"/>
          <w:szCs w:val="40"/>
          <w:u w:val="single"/>
          <w:lang w:eastAsia="pl-PL"/>
        </w:rPr>
      </w:pPr>
    </w:p>
    <w:p w:rsidR="00D87F60" w:rsidRPr="00D87F60" w:rsidRDefault="00D87F60" w:rsidP="00D87F60">
      <w:pPr>
        <w:spacing w:after="0" w:line="240" w:lineRule="auto"/>
        <w:jc w:val="center"/>
        <w:rPr>
          <w:rFonts w:ascii="Calibri" w:eastAsia="Times New Roman" w:hAnsi="Calibri" w:cs="Calibri"/>
          <w:bCs/>
          <w:caps/>
          <w:sz w:val="24"/>
          <w:szCs w:val="24"/>
          <w:lang w:eastAsia="pl-PL"/>
        </w:rPr>
      </w:pPr>
      <w:r w:rsidRPr="00D87F60">
        <w:rPr>
          <w:rFonts w:ascii="Calibri" w:eastAsia="Times New Roman" w:hAnsi="Calibri" w:cs="Calibri"/>
          <w:bCs/>
          <w:caps/>
          <w:sz w:val="24"/>
          <w:szCs w:val="24"/>
          <w:lang w:eastAsia="pl-PL"/>
        </w:rPr>
        <w:t xml:space="preserve">temat: rozbudowa i przebudowa fragmentu budynku mieszkalno – usługowego wraz ze zmianą sposobu użytkowania </w:t>
      </w:r>
    </w:p>
    <w:p w:rsidR="00D87F60" w:rsidRPr="00D87F60" w:rsidRDefault="00D87F60" w:rsidP="00D87F60">
      <w:pPr>
        <w:spacing w:after="0" w:line="240" w:lineRule="auto"/>
        <w:jc w:val="center"/>
        <w:rPr>
          <w:rFonts w:ascii="Calibri" w:eastAsia="Times New Roman" w:hAnsi="Calibri" w:cs="Calibri"/>
          <w:bCs/>
          <w:caps/>
          <w:sz w:val="24"/>
          <w:szCs w:val="24"/>
          <w:lang w:eastAsia="pl-PL"/>
        </w:rPr>
      </w:pPr>
      <w:r w:rsidRPr="00D87F60">
        <w:rPr>
          <w:rFonts w:ascii="Calibri" w:eastAsia="Times New Roman" w:hAnsi="Calibri" w:cs="Calibri"/>
          <w:bCs/>
          <w:caps/>
          <w:sz w:val="24"/>
          <w:szCs w:val="24"/>
          <w:lang w:eastAsia="pl-PL"/>
        </w:rPr>
        <w:t>punktu przedszkolnego na żłobek</w:t>
      </w:r>
    </w:p>
    <w:p w:rsidR="00D87F60" w:rsidRPr="00D87F60" w:rsidRDefault="00D87F60" w:rsidP="00D87F60">
      <w:pPr>
        <w:spacing w:after="0" w:line="240" w:lineRule="auto"/>
        <w:jc w:val="center"/>
        <w:rPr>
          <w:rFonts w:ascii="Calibri" w:eastAsia="Times New Roman" w:hAnsi="Calibri" w:cs="Calibri"/>
          <w:bCs/>
          <w:caps/>
          <w:sz w:val="20"/>
          <w:szCs w:val="20"/>
          <w:lang w:eastAsia="pl-PL"/>
        </w:rPr>
      </w:pPr>
    </w:p>
    <w:p w:rsidR="00D87F60" w:rsidRPr="00D87F60" w:rsidRDefault="00D87F60" w:rsidP="00D87F60">
      <w:pPr>
        <w:spacing w:after="0" w:line="240" w:lineRule="auto"/>
        <w:jc w:val="center"/>
        <w:rPr>
          <w:rFonts w:ascii="Calibri" w:eastAsia="Times New Roman" w:hAnsi="Calibri" w:cs="Calibri"/>
          <w:spacing w:val="6"/>
          <w:szCs w:val="20"/>
          <w:lang w:eastAsia="pl-PL"/>
        </w:rPr>
      </w:pPr>
      <w:r w:rsidRPr="00D87F60">
        <w:rPr>
          <w:rFonts w:ascii="Calibri" w:eastAsia="Times New Roman" w:hAnsi="Calibri" w:cs="Calibri"/>
          <w:spacing w:val="6"/>
          <w:szCs w:val="20"/>
          <w:lang w:eastAsia="pl-PL"/>
        </w:rPr>
        <w:t xml:space="preserve">KATEGORIA </w:t>
      </w:r>
      <w:r w:rsidRPr="00D87F60">
        <w:rPr>
          <w:rFonts w:ascii="Calibri" w:eastAsia="Times New Roman" w:hAnsi="Calibri" w:cs="Calibri"/>
          <w:b/>
          <w:spacing w:val="6"/>
          <w:szCs w:val="20"/>
          <w:lang w:eastAsia="pl-PL"/>
        </w:rPr>
        <w:t>IX</w:t>
      </w:r>
      <w:r w:rsidRPr="00D87F60">
        <w:rPr>
          <w:rFonts w:ascii="Calibri" w:eastAsia="Times New Roman" w:hAnsi="Calibri" w:cs="Calibri"/>
          <w:spacing w:val="6"/>
          <w:szCs w:val="20"/>
          <w:lang w:eastAsia="pl-PL"/>
        </w:rPr>
        <w:t xml:space="preserve"> (dziewiąta)</w:t>
      </w: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Times New Roman" w:hAnsi="Calibri" w:cs="Calibri"/>
          <w:bCs/>
          <w:spacing w:val="6"/>
          <w:sz w:val="20"/>
          <w:szCs w:val="20"/>
          <w:lang w:eastAsia="pl-PL"/>
        </w:rPr>
      </w:pP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bCs/>
          <w:spacing w:val="6"/>
          <w:sz w:val="20"/>
          <w:szCs w:val="20"/>
          <w:lang w:eastAsia="pl-PL"/>
        </w:rPr>
        <w:t xml:space="preserve">dz. nr </w:t>
      </w:r>
      <w:r w:rsidRPr="00D87F60"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  <w:t xml:space="preserve">149,  </w:t>
      </w:r>
      <w:r w:rsidRPr="00D87F60">
        <w:rPr>
          <w:rFonts w:ascii="Calibri" w:eastAsia="Times New Roman" w:hAnsi="Calibri" w:cs="Calibri"/>
          <w:bCs/>
          <w:spacing w:val="6"/>
          <w:sz w:val="20"/>
          <w:szCs w:val="20"/>
          <w:lang w:eastAsia="pl-PL"/>
        </w:rPr>
        <w:t>z obrębu</w:t>
      </w:r>
      <w:r w:rsidRPr="00D87F60"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  <w:t xml:space="preserve"> 0020 Kruszew</w:t>
      </w:r>
      <w:r w:rsidRPr="00D87F60">
        <w:rPr>
          <w:rFonts w:ascii="Calibri" w:eastAsia="Times New Roman" w:hAnsi="Calibri" w:cs="Calibri"/>
          <w:bCs/>
          <w:spacing w:val="6"/>
          <w:sz w:val="20"/>
          <w:szCs w:val="20"/>
          <w:lang w:eastAsia="pl-PL"/>
        </w:rPr>
        <w:t>, jednostka ewidencyjna</w:t>
      </w:r>
      <w:r w:rsidRPr="00D87F60"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  <w:t xml:space="preserve"> </w:t>
      </w:r>
      <w:r w:rsidRPr="00D87F60">
        <w:rPr>
          <w:rFonts w:ascii="Calibri" w:eastAsia="Times New Roman" w:hAnsi="Calibri" w:cs="Arial"/>
          <w:b/>
          <w:sz w:val="20"/>
          <w:szCs w:val="20"/>
          <w:lang w:eastAsia="pl-PL"/>
        </w:rPr>
        <w:t>140609_2</w:t>
      </w:r>
      <w:r w:rsidRPr="00D87F60"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  <w:t xml:space="preserve"> Pniewy</w:t>
      </w: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</w:pP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</w:pP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Times New Roman" w:hAnsi="Calibri" w:cs="Calibri"/>
          <w:bCs/>
          <w:spacing w:val="6"/>
          <w:sz w:val="20"/>
          <w:szCs w:val="20"/>
          <w:lang w:eastAsia="pl-PL"/>
        </w:rPr>
      </w:pPr>
    </w:p>
    <w:p w:rsidR="00D87F60" w:rsidRPr="00D87F60" w:rsidRDefault="00D87F60" w:rsidP="00D87F6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aps/>
          <w:sz w:val="20"/>
          <w:szCs w:val="20"/>
          <w:lang w:eastAsia="pl-PL"/>
        </w:rPr>
      </w:pPr>
    </w:p>
    <w:p w:rsidR="00D87F60" w:rsidRPr="00D87F60" w:rsidRDefault="00D87F60" w:rsidP="00D87F60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D87F60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Inwestor: </w:t>
      </w: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sz w:val="18"/>
          <w:szCs w:val="18"/>
          <w:lang w:val="pt-PT" w:eastAsia="pl-PL"/>
        </w:rPr>
      </w:pPr>
      <w:r w:rsidRPr="00D87F60">
        <w:rPr>
          <w:rFonts w:ascii="Calibri" w:eastAsia="Times New Roman" w:hAnsi="Calibri" w:cs="Calibri"/>
          <w:b/>
          <w:bCs/>
          <w:sz w:val="20"/>
          <w:szCs w:val="20"/>
          <w:lang w:val="pt-PT" w:eastAsia="pl-PL"/>
        </w:rPr>
        <w:t>GMINA PNIEWY</w:t>
      </w:r>
      <w:r w:rsidRPr="00D87F60">
        <w:rPr>
          <w:rFonts w:ascii="Calibri" w:eastAsia="Times New Roman" w:hAnsi="Calibri" w:cs="Calibri"/>
          <w:sz w:val="18"/>
          <w:szCs w:val="18"/>
          <w:lang w:val="pt-PT" w:eastAsia="pl-PL"/>
        </w:rPr>
        <w:t>,</w:t>
      </w: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sz w:val="18"/>
          <w:szCs w:val="18"/>
          <w:lang w:val="pt-PT" w:eastAsia="pl-PL"/>
        </w:rPr>
      </w:pPr>
      <w:r w:rsidRPr="00D87F60">
        <w:rPr>
          <w:rFonts w:ascii="Calibri" w:eastAsia="Times New Roman" w:hAnsi="Calibri" w:cs="Calibri"/>
          <w:sz w:val="18"/>
          <w:szCs w:val="18"/>
          <w:lang w:val="pt-PT" w:eastAsia="pl-PL"/>
        </w:rPr>
        <w:t xml:space="preserve"> Pniewy 2, 05-652 Pniewy</w:t>
      </w: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sz w:val="18"/>
          <w:szCs w:val="18"/>
          <w:lang w:val="pt-PT" w:eastAsia="pl-PL"/>
        </w:rPr>
      </w:pP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sz w:val="8"/>
          <w:szCs w:val="8"/>
          <w:lang w:val="pt-PT" w:eastAsia="pl-PL"/>
        </w:rPr>
      </w:pPr>
    </w:p>
    <w:p w:rsidR="00D87F60" w:rsidRPr="00D87F60" w:rsidRDefault="00D87F60" w:rsidP="00D87F60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D87F60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Jednostka projektowa: </w:t>
      </w: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b/>
          <w:sz w:val="20"/>
          <w:szCs w:val="20"/>
          <w:lang w:eastAsia="pl-PL"/>
        </w:rPr>
        <w:t>Studio Architektury Nowoczesnej Tomasz Głowiński</w:t>
      </w: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b/>
          <w:sz w:val="20"/>
          <w:szCs w:val="20"/>
          <w:lang w:eastAsia="pl-PL"/>
        </w:rPr>
        <w:t>Ul. Sarmacka 22/125, 02-972 Warszawa</w:t>
      </w: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sz w:val="8"/>
          <w:szCs w:val="8"/>
          <w:lang w:eastAsia="pl-PL"/>
        </w:rPr>
      </w:pPr>
    </w:p>
    <w:p w:rsidR="00D87F60" w:rsidRPr="00D87F60" w:rsidRDefault="00D87F60" w:rsidP="00D87F60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</w:p>
    <w:p w:rsidR="00D87F60" w:rsidRPr="00D87F60" w:rsidRDefault="00D87F60" w:rsidP="00D87F60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Cs/>
          <w:sz w:val="16"/>
          <w:szCs w:val="16"/>
          <w:lang w:eastAsia="pl-PL"/>
        </w:rPr>
      </w:pPr>
      <w:r w:rsidRPr="00D87F60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Projektanci:</w:t>
      </w:r>
    </w:p>
    <w:p w:rsidR="00D87F60" w:rsidRPr="00D87F60" w:rsidRDefault="00D87F60" w:rsidP="00D87F60">
      <w:pPr>
        <w:spacing w:after="6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  <w:r w:rsidRPr="00D87F60">
        <w:rPr>
          <w:rFonts w:ascii="Calibri" w:eastAsia="Times New Roman" w:hAnsi="Calibri" w:cs="Calibri"/>
          <w:b/>
          <w:sz w:val="16"/>
          <w:szCs w:val="16"/>
          <w:lang w:eastAsia="pl-PL"/>
        </w:rPr>
        <w:t>Informacja  BIOZ:</w:t>
      </w:r>
    </w:p>
    <w:tbl>
      <w:tblPr>
        <w:tblStyle w:val="Tabela-Siatka1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42"/>
        <w:gridCol w:w="2694"/>
        <w:gridCol w:w="2433"/>
        <w:gridCol w:w="2433"/>
      </w:tblGrid>
      <w:tr w:rsidR="00D87F60" w:rsidRPr="00D87F60" w:rsidTr="003B2F0B">
        <w:trPr>
          <w:trHeight w:val="1228"/>
        </w:trPr>
        <w:tc>
          <w:tcPr>
            <w:tcW w:w="1242" w:type="dxa"/>
            <w:vAlign w:val="center"/>
          </w:tcPr>
          <w:p w:rsidR="00D87F60" w:rsidRPr="00D87F60" w:rsidRDefault="00D87F60" w:rsidP="00D87F6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87F60">
              <w:rPr>
                <w:rFonts w:eastAsia="Calibri" w:cs="Times New Roman"/>
                <w:sz w:val="16"/>
                <w:szCs w:val="16"/>
              </w:rPr>
              <w:t>Projektant:</w:t>
            </w:r>
          </w:p>
        </w:tc>
        <w:tc>
          <w:tcPr>
            <w:tcW w:w="2694" w:type="dxa"/>
            <w:vAlign w:val="center"/>
          </w:tcPr>
          <w:p w:rsidR="00D87F60" w:rsidRPr="00D87F60" w:rsidRDefault="00D87F60" w:rsidP="00D87F60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D87F60">
              <w:rPr>
                <w:rFonts w:eastAsia="Calibri" w:cs="Times New Roman"/>
                <w:b/>
                <w:bCs/>
                <w:sz w:val="16"/>
                <w:szCs w:val="16"/>
              </w:rPr>
              <w:t>mgr inż. arch. TOMASZ GŁOWIŃSKI</w:t>
            </w:r>
          </w:p>
          <w:p w:rsidR="00D87F60" w:rsidRPr="00D87F60" w:rsidRDefault="00D87F60" w:rsidP="00D87F60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D87F60">
              <w:rPr>
                <w:rFonts w:eastAsia="Calibri" w:cs="Times New Roman"/>
                <w:b/>
                <w:bCs/>
                <w:sz w:val="16"/>
                <w:szCs w:val="16"/>
              </w:rPr>
              <w:t xml:space="preserve">adres: ul. Sarmacka 22/125, </w:t>
            </w:r>
          </w:p>
          <w:p w:rsidR="00D87F60" w:rsidRPr="00D87F60" w:rsidRDefault="00D87F60" w:rsidP="00D87F6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87F60">
              <w:rPr>
                <w:rFonts w:eastAsia="Calibri" w:cs="Times New Roman"/>
                <w:b/>
                <w:bCs/>
                <w:sz w:val="16"/>
                <w:szCs w:val="16"/>
              </w:rPr>
              <w:t>02-972 Warszawa</w:t>
            </w:r>
          </w:p>
        </w:tc>
        <w:tc>
          <w:tcPr>
            <w:tcW w:w="2433" w:type="dxa"/>
            <w:vAlign w:val="center"/>
          </w:tcPr>
          <w:p w:rsidR="00D87F60" w:rsidRPr="00D87F60" w:rsidRDefault="00D87F60" w:rsidP="00D87F60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87F60">
              <w:rPr>
                <w:rFonts w:eastAsia="Calibri" w:cs="Times New Roman"/>
                <w:sz w:val="16"/>
                <w:szCs w:val="16"/>
              </w:rPr>
              <w:t xml:space="preserve">nr </w:t>
            </w:r>
            <w:proofErr w:type="spellStart"/>
            <w:r w:rsidRPr="00D87F60">
              <w:rPr>
                <w:rFonts w:eastAsia="Calibri" w:cs="Times New Roman"/>
                <w:sz w:val="16"/>
                <w:szCs w:val="16"/>
              </w:rPr>
              <w:t>upr</w:t>
            </w:r>
            <w:proofErr w:type="spellEnd"/>
            <w:r w:rsidRPr="00D87F60">
              <w:rPr>
                <w:rFonts w:eastAsia="Calibri" w:cs="Times New Roman"/>
                <w:sz w:val="16"/>
                <w:szCs w:val="16"/>
              </w:rPr>
              <w:t xml:space="preserve">.  </w:t>
            </w:r>
            <w:r w:rsidRPr="00D87F60">
              <w:rPr>
                <w:rFonts w:eastAsia="Calibri" w:cs="Times New Roman"/>
                <w:b/>
                <w:sz w:val="16"/>
                <w:szCs w:val="16"/>
              </w:rPr>
              <w:t xml:space="preserve">MA/004/14 - </w:t>
            </w:r>
            <w:r w:rsidRPr="00D87F60">
              <w:rPr>
                <w:rFonts w:eastAsia="Calibri" w:cs="Times New Roman"/>
                <w:sz w:val="16"/>
                <w:szCs w:val="16"/>
              </w:rPr>
              <w:t xml:space="preserve"> </w:t>
            </w:r>
            <w:proofErr w:type="spellStart"/>
            <w:r w:rsidRPr="00D87F60">
              <w:rPr>
                <w:rFonts w:eastAsia="Calibri" w:cs="Times New Roman"/>
                <w:sz w:val="16"/>
                <w:szCs w:val="16"/>
              </w:rPr>
              <w:t>upr</w:t>
            </w:r>
            <w:proofErr w:type="spellEnd"/>
            <w:r w:rsidRPr="00D87F60">
              <w:rPr>
                <w:rFonts w:eastAsia="Calibri" w:cs="Times New Roman"/>
                <w:sz w:val="16"/>
                <w:szCs w:val="16"/>
              </w:rPr>
              <w:t xml:space="preserve">. bud. do projektowania bez ograniczeń w specjalności </w:t>
            </w:r>
            <w:r w:rsidRPr="00D87F60">
              <w:rPr>
                <w:rFonts w:eastAsia="Calibri" w:cs="Times New Roman"/>
                <w:b/>
                <w:sz w:val="16"/>
                <w:szCs w:val="16"/>
              </w:rPr>
              <w:t>architektonicznej</w:t>
            </w:r>
          </w:p>
        </w:tc>
        <w:tc>
          <w:tcPr>
            <w:tcW w:w="2433" w:type="dxa"/>
            <w:vAlign w:val="center"/>
          </w:tcPr>
          <w:p w:rsidR="00D87F60" w:rsidRPr="00D87F60" w:rsidRDefault="00D87F60" w:rsidP="00D87F6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D87F60" w:rsidRPr="00D87F60" w:rsidRDefault="00D87F60" w:rsidP="00D87F6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D87F60" w:rsidRPr="00D87F60" w:rsidRDefault="00D87F60" w:rsidP="00D87F6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D87F60" w:rsidRPr="00D87F60" w:rsidRDefault="00D87F60" w:rsidP="00D87F6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</w:tbl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b/>
          <w:i/>
          <w:sz w:val="16"/>
          <w:szCs w:val="16"/>
          <w:lang w:eastAsia="pl-PL"/>
        </w:rPr>
      </w:pP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b/>
          <w:i/>
          <w:sz w:val="16"/>
          <w:szCs w:val="16"/>
          <w:lang w:eastAsia="pl-PL"/>
        </w:rPr>
      </w:pP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b/>
          <w:i/>
          <w:sz w:val="16"/>
          <w:szCs w:val="16"/>
          <w:lang w:eastAsia="pl-PL"/>
        </w:rPr>
      </w:pPr>
    </w:p>
    <w:p w:rsidR="00D87F60" w:rsidRPr="00D87F60" w:rsidRDefault="00D87F60" w:rsidP="00D87F60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D87F60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Data opracowania: </w:t>
      </w:r>
    </w:p>
    <w:p w:rsidR="00D87F60" w:rsidRPr="00D87F60" w:rsidRDefault="00D87F60" w:rsidP="00D87F60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Lipiec  2019</w:t>
      </w:r>
    </w:p>
    <w:p w:rsidR="00D87F60" w:rsidRPr="00D87F60" w:rsidRDefault="00D87F60" w:rsidP="00D87F60">
      <w:pPr>
        <w:keepNext/>
        <w:pageBreakBefore/>
        <w:spacing w:before="240" w:after="60" w:line="240" w:lineRule="auto"/>
        <w:jc w:val="center"/>
        <w:outlineLvl w:val="0"/>
        <w:rPr>
          <w:rFonts w:ascii="Calibri" w:eastAsia="Times New Roman" w:hAnsi="Calibri" w:cs="Calibri"/>
          <w:b/>
          <w:bCs/>
          <w:caps/>
          <w:kern w:val="32"/>
          <w:sz w:val="28"/>
          <w:szCs w:val="28"/>
          <w:lang w:eastAsia="pl-PL"/>
        </w:rPr>
      </w:pPr>
      <w:r w:rsidRPr="00D87F60">
        <w:rPr>
          <w:rFonts w:ascii="Calibri" w:eastAsia="Times New Roman" w:hAnsi="Calibri" w:cs="Calibri"/>
          <w:b/>
          <w:bCs/>
          <w:caps/>
          <w:kern w:val="32"/>
          <w:sz w:val="28"/>
          <w:szCs w:val="28"/>
          <w:lang w:eastAsia="pl-PL"/>
        </w:rPr>
        <w:lastRenderedPageBreak/>
        <w:t xml:space="preserve">Część 6: INFORMACJA BIOZ </w:t>
      </w:r>
    </w:p>
    <w:p w:rsidR="00D87F60" w:rsidRPr="00D87F60" w:rsidRDefault="00D87F60" w:rsidP="00D87F60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0"/>
          <w:lang w:eastAsia="pl-PL"/>
        </w:rPr>
      </w:pPr>
      <w:bookmarkStart w:id="0" w:name="_Toc266865301"/>
      <w:bookmarkStart w:id="1" w:name="_Toc268679488"/>
      <w:bookmarkStart w:id="2" w:name="_Toc288117605"/>
      <w:bookmarkStart w:id="3" w:name="_Toc324416036"/>
      <w:r w:rsidRPr="00D87F60">
        <w:rPr>
          <w:rFonts w:ascii="Calibri" w:eastAsia="Times New Roman" w:hAnsi="Calibri" w:cs="Calibri"/>
          <w:sz w:val="24"/>
          <w:szCs w:val="20"/>
          <w:lang w:eastAsia="pl-PL"/>
        </w:rPr>
        <w:t>„Informacja dotycząca bezpieczeństwa i ochrony zdrowia”</w:t>
      </w:r>
    </w:p>
    <w:p w:rsidR="00D87F60" w:rsidRPr="00D87F60" w:rsidRDefault="00D87F60" w:rsidP="00D87F60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Adres autora informacji BIOZ: ul. Sarmacka 22/125, 02-972 Warszawa</w:t>
      </w:r>
    </w:p>
    <w:p w:rsidR="00D87F60" w:rsidRPr="00D87F60" w:rsidRDefault="00D87F60" w:rsidP="00D87F60">
      <w:pPr>
        <w:keepNext/>
        <w:numPr>
          <w:ilvl w:val="0"/>
          <w:numId w:val="7"/>
        </w:numPr>
        <w:spacing w:before="120" w:after="60" w:line="240" w:lineRule="auto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4" w:name="_Toc500279750"/>
      <w:bookmarkStart w:id="5" w:name="_Toc516300001"/>
      <w:r w:rsidRPr="00D87F60">
        <w:rPr>
          <w:rFonts w:ascii="Calibri" w:eastAsia="Times New Roman" w:hAnsi="Calibri" w:cs="Calibri"/>
          <w:b/>
          <w:bCs/>
          <w:caps/>
          <w:lang w:eastAsia="pl-PL"/>
        </w:rPr>
        <w:t>WSTĘP</w:t>
      </w:r>
      <w:bookmarkEnd w:id="4"/>
      <w:bookmarkEnd w:id="5"/>
    </w:p>
    <w:p w:rsidR="00D87F60" w:rsidRPr="00D87F60" w:rsidRDefault="00D87F60" w:rsidP="00D87F60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bookmarkStart w:id="6" w:name="_Toc292748039"/>
      <w:bookmarkStart w:id="7" w:name="_Toc311323494"/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Przedmiotem opracowania jest Informacja Dotycząca Bezpieczeństwa I Ochrony zdrowia dla inwestycji polegającej na rozbudowie i przebudowie fragmentu budynku mieszkalno – usługowego „Domu Nauczyciela” wraz ze zmianą sposobu użytkowania punktu przedszkolnego na żłobek. Obiekt do znajduje się na</w:t>
      </w:r>
      <w:r w:rsidRPr="00D87F60">
        <w:rPr>
          <w:rFonts w:ascii="Calibri" w:eastAsia="Times New Roman" w:hAnsi="Calibri" w:cs="Calibri"/>
          <w:sz w:val="20"/>
          <w:szCs w:val="16"/>
          <w:lang w:eastAsia="pl-PL"/>
        </w:rPr>
        <w:t xml:space="preserve"> dz. ewid. nr </w:t>
      </w:r>
      <w:r w:rsidRPr="00D87F60">
        <w:rPr>
          <w:rFonts w:ascii="Calibri" w:eastAsia="Times New Roman" w:hAnsi="Calibri" w:cs="Calibri"/>
          <w:bCs/>
          <w:sz w:val="20"/>
          <w:szCs w:val="20"/>
          <w:lang w:eastAsia="pl-PL"/>
        </w:rPr>
        <w:t>149 z obrębu 0020 Kruszew.</w:t>
      </w:r>
    </w:p>
    <w:p w:rsidR="00D87F60" w:rsidRPr="00D87F60" w:rsidRDefault="00D87F60" w:rsidP="00D87F60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 xml:space="preserve">Podstawę prawną niniejszego opracowania stanowi: </w:t>
      </w:r>
    </w:p>
    <w:p w:rsidR="00D87F60" w:rsidRPr="00D87F60" w:rsidRDefault="00D87F60" w:rsidP="00D87F60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Rozporządzenie Ministra Infrastruktury z dnia 23 czerwca 2003 r. w sprawie informacji dotyczącej bezpieczeństwa i ochrony zdrowia oraz planu bezpieczeństwa i ochrony zdrowia (Dz.U.2003r. nr 120 poz. 1125 i 1126) </w:t>
      </w:r>
    </w:p>
    <w:p w:rsidR="00D87F60" w:rsidRPr="00D87F60" w:rsidRDefault="00D87F60" w:rsidP="00D87F60">
      <w:pPr>
        <w:keepNext/>
        <w:numPr>
          <w:ilvl w:val="0"/>
          <w:numId w:val="7"/>
        </w:numPr>
        <w:spacing w:before="120" w:after="60" w:line="240" w:lineRule="auto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8" w:name="_Toc500279751"/>
      <w:bookmarkStart w:id="9" w:name="_Toc516300002"/>
      <w:r w:rsidRPr="00D87F60">
        <w:rPr>
          <w:rFonts w:ascii="Calibri" w:eastAsia="Times New Roman" w:hAnsi="Calibri" w:cs="Calibri"/>
          <w:b/>
          <w:bCs/>
          <w:caps/>
          <w:lang w:eastAsia="pl-PL"/>
        </w:rPr>
        <w:t>Zakres robót dla całego zamierzenia budowlanego oraz kolejność realizacji poszczególnych obiektów</w:t>
      </w:r>
      <w:bookmarkEnd w:id="6"/>
      <w:bookmarkEnd w:id="7"/>
      <w:bookmarkEnd w:id="8"/>
      <w:bookmarkEnd w:id="9"/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Zakres robót dla całego zamierzenia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Przewidywany zakres robót budowlanych dla całego zamierzenia budowlanego: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Wzniesienie ogrodzenia terenu budowy, wywieszenie tablicy informacyjnej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Rozbiórka schodów zewnętrznych i tarasów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Demontaż drzwi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Rozbiórka ścian wewnętrznych i powiększenie otworu na okno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Wykonanie ław fundamentowych żelbetowych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Wykonanie ścian fundamentowych i ścian zewnętrznych murowanych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Wykonanie konstrukcji więźby dachowej i pokrycia dachu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Docieplenie ścian i dachu budynku wraz z elewacją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Montaż rynien i rur spustowych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Wykonanie podbudowy i wylewek betonowych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Wykonanie ścianek działowych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Montaż drzwi i okien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Wykonanie schodów zewnętrznych i tarasu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Wykonanie tynków wewnętrznych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Wykonanie wykończenia pomieszczeń – malowanie, podłogi, itp.</w:t>
      </w:r>
    </w:p>
    <w:p w:rsidR="00D87F60" w:rsidRPr="00D87F60" w:rsidRDefault="00D87F60" w:rsidP="00D87F60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>Wykonanie zagospodarowania terenu: chodniki, drogi, opaska budynku</w:t>
      </w:r>
    </w:p>
    <w:p w:rsidR="00D87F60" w:rsidRPr="00D87F60" w:rsidRDefault="00D87F60" w:rsidP="00D87F60">
      <w:pPr>
        <w:spacing w:after="0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Kolejność realizacji poszczególnych obiektów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16"/>
          <w:lang w:eastAsia="pl-PL"/>
        </w:rPr>
        <w:t>Przewiduje się następującą kolejność realizacji poszczególnych etapów robót:</w:t>
      </w:r>
    </w:p>
    <w:p w:rsidR="00D87F60" w:rsidRPr="00D87F60" w:rsidRDefault="00D87F60" w:rsidP="00D87F60">
      <w:pPr>
        <w:numPr>
          <w:ilvl w:val="0"/>
          <w:numId w:val="1"/>
        </w:numPr>
        <w:spacing w:after="0" w:line="240" w:lineRule="auto"/>
        <w:ind w:hanging="11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16"/>
          <w:lang w:eastAsia="pl-PL"/>
        </w:rPr>
        <w:t xml:space="preserve">Przygotowanie placu budowy </w:t>
      </w:r>
    </w:p>
    <w:p w:rsidR="00D87F60" w:rsidRPr="00D87F60" w:rsidRDefault="00D87F60" w:rsidP="00D87F60">
      <w:pPr>
        <w:numPr>
          <w:ilvl w:val="0"/>
          <w:numId w:val="1"/>
        </w:numPr>
        <w:spacing w:after="0" w:line="240" w:lineRule="auto"/>
        <w:ind w:hanging="11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16"/>
          <w:lang w:eastAsia="pl-PL"/>
        </w:rPr>
        <w:t>Wykonanie właściwych robót budowlanych</w:t>
      </w:r>
    </w:p>
    <w:p w:rsidR="00D87F60" w:rsidRPr="00D87F60" w:rsidRDefault="00D87F60" w:rsidP="00D87F60">
      <w:pPr>
        <w:numPr>
          <w:ilvl w:val="0"/>
          <w:numId w:val="1"/>
        </w:numPr>
        <w:spacing w:after="0" w:line="240" w:lineRule="auto"/>
        <w:ind w:hanging="11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16"/>
          <w:lang w:eastAsia="pl-PL"/>
        </w:rPr>
        <w:t>Uprzątnięcie placu budowy</w:t>
      </w:r>
    </w:p>
    <w:p w:rsidR="00D87F60" w:rsidRPr="00D87F60" w:rsidRDefault="00D87F60" w:rsidP="00D87F60">
      <w:pPr>
        <w:spacing w:after="0" w:line="240" w:lineRule="auto"/>
        <w:ind w:left="720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</w:p>
    <w:p w:rsidR="00D87F60" w:rsidRPr="00D87F60" w:rsidRDefault="00D87F60" w:rsidP="00D87F60">
      <w:pPr>
        <w:keepNext/>
        <w:numPr>
          <w:ilvl w:val="0"/>
          <w:numId w:val="7"/>
        </w:numPr>
        <w:spacing w:before="120" w:after="60" w:line="240" w:lineRule="auto"/>
        <w:ind w:left="357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10" w:name="_Toc292748040"/>
      <w:bookmarkStart w:id="11" w:name="_Toc311323495"/>
      <w:bookmarkStart w:id="12" w:name="_Toc500279752"/>
      <w:bookmarkStart w:id="13" w:name="_Toc516300003"/>
      <w:r w:rsidRPr="00D87F60">
        <w:rPr>
          <w:rFonts w:ascii="Calibri" w:eastAsia="Times New Roman" w:hAnsi="Calibri" w:cs="Calibri"/>
          <w:b/>
          <w:bCs/>
          <w:caps/>
          <w:lang w:eastAsia="pl-PL"/>
        </w:rPr>
        <w:t>Wykaz istniejących obiektów budowlanych</w:t>
      </w:r>
      <w:bookmarkEnd w:id="10"/>
      <w:bookmarkEnd w:id="11"/>
      <w:bookmarkEnd w:id="12"/>
      <w:bookmarkEnd w:id="13"/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16"/>
          <w:lang w:eastAsia="pl-PL"/>
        </w:rPr>
        <w:t>Na terenie nieruchomości znajduje się budynek szkoły podstawowej w Kruszewie, budynek garażu, budynek mieszkalno – usługowy „Dom Nauczyciela” przeznaczony do rozbudowy i przebudowy oraz zmiany sposobu użytkowania. Na działce znajduje się również studnia, przydomowa oczyszczalnia ścieków, plac zabaw, boisko szkolne oraz teren utwardzony z przeznaczeniem na parking.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</w:p>
    <w:p w:rsidR="00D87F60" w:rsidRPr="00D87F60" w:rsidRDefault="00D87F60" w:rsidP="00D87F60">
      <w:pPr>
        <w:keepNext/>
        <w:numPr>
          <w:ilvl w:val="0"/>
          <w:numId w:val="7"/>
        </w:numPr>
        <w:spacing w:before="120" w:after="60" w:line="240" w:lineRule="auto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14" w:name="_Toc292748041"/>
      <w:bookmarkStart w:id="15" w:name="_Toc311323496"/>
      <w:bookmarkStart w:id="16" w:name="_Toc500279753"/>
      <w:bookmarkStart w:id="17" w:name="_Toc516300004"/>
      <w:r w:rsidRPr="00D87F60">
        <w:rPr>
          <w:rFonts w:ascii="Calibri" w:eastAsia="Times New Roman" w:hAnsi="Calibri" w:cs="Calibri"/>
          <w:b/>
          <w:bCs/>
          <w:caps/>
          <w:lang w:eastAsia="pl-PL"/>
        </w:rPr>
        <w:lastRenderedPageBreak/>
        <w:t>Wskazanie elementów zagospodarowania działki lub terenu, które mogą stwarzać zagrożenie bezpieczeństwa i zdrowia ludzi</w:t>
      </w:r>
      <w:bookmarkEnd w:id="14"/>
      <w:bookmarkEnd w:id="15"/>
      <w:bookmarkEnd w:id="16"/>
      <w:bookmarkEnd w:id="17"/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bookmarkStart w:id="18" w:name="_Toc292748042"/>
      <w:bookmarkStart w:id="19" w:name="_Toc311323497"/>
      <w:r w:rsidRPr="00D87F60">
        <w:rPr>
          <w:rFonts w:ascii="Calibri" w:eastAsia="Times New Roman" w:hAnsi="Calibri" w:cs="Calibri"/>
          <w:sz w:val="20"/>
          <w:szCs w:val="16"/>
          <w:lang w:eastAsia="pl-PL"/>
        </w:rPr>
        <w:t xml:space="preserve">Na części działki znajdują się podziemne trasy instalacji infrastruktury technicznej: wodociąg, kanalizacja sanitarna, przydomowa oczyszczalnia ścieków, linia energetyczna. </w:t>
      </w:r>
      <w:bookmarkStart w:id="20" w:name="_Toc500279754"/>
      <w:bookmarkStart w:id="21" w:name="_Toc516300005"/>
    </w:p>
    <w:p w:rsidR="00D87F60" w:rsidRPr="00D87F60" w:rsidRDefault="00D87F60" w:rsidP="00D87F60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</w:p>
    <w:p w:rsidR="00D87F60" w:rsidRPr="00D87F60" w:rsidRDefault="00D87F60" w:rsidP="00D87F60">
      <w:pPr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D87F60">
        <w:rPr>
          <w:rFonts w:ascii="Calibri" w:eastAsia="Times New Roman" w:hAnsi="Calibri" w:cs="Calibri"/>
          <w:b/>
          <w:lang w:eastAsia="pl-PL"/>
        </w:rPr>
        <w:t>WSKAZANIE DOTYCZĄCE PRZEWIDYWANYCH ZAGROŻEŃ WYSTĘPUJĄCYCH PODCZAS REALIZACJI ROBÓT BUDOWLANYCH, OKREŚLAJĄCE SKALĘ I RODZAJE ZAGROŻEŃ ORAZ MIEJSCE I CZAS ICH WYSTĄPIENIA</w:t>
      </w:r>
      <w:bookmarkEnd w:id="18"/>
      <w:bookmarkEnd w:id="19"/>
      <w:bookmarkEnd w:id="20"/>
      <w:bookmarkEnd w:id="21"/>
    </w:p>
    <w:p w:rsidR="00D87F60" w:rsidRPr="00D87F60" w:rsidRDefault="00D87F60" w:rsidP="00D87F60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Zestawienie przewidywanych zagrożeń występujących podczas realizacji robót budowlanych</w:t>
      </w:r>
    </w:p>
    <w:p w:rsidR="00D87F60" w:rsidRPr="00D87F60" w:rsidRDefault="00D87F60" w:rsidP="00D87F60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 xml:space="preserve">Do robót budowlanych, przy których realizacji mogą wystąpić potencjalne zagrożenia bezpieczeństwa i zdrowia ludzi należą: </w:t>
      </w:r>
    </w:p>
    <w:p w:rsidR="00D87F60" w:rsidRPr="00D87F60" w:rsidRDefault="00D87F60" w:rsidP="00D87F60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8"/>
          <w:szCs w:val="8"/>
          <w:lang w:eastAsia="pl-PL"/>
        </w:rPr>
      </w:pPr>
    </w:p>
    <w:p w:rsidR="00D87F60" w:rsidRPr="00D87F60" w:rsidRDefault="00D87F60" w:rsidP="00D87F60">
      <w:pPr>
        <w:numPr>
          <w:ilvl w:val="0"/>
          <w:numId w:val="2"/>
        </w:numPr>
        <w:spacing w:after="0" w:line="240" w:lineRule="auto"/>
        <w:ind w:left="1418" w:hanging="567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16"/>
          <w:lang w:eastAsia="pl-PL"/>
        </w:rPr>
        <w:t>Roboty budowlane związane z wykopami – wykopy płytkie, do 2,00 m. Skala zagrożenia: niskie</w:t>
      </w:r>
    </w:p>
    <w:p w:rsidR="00D87F60" w:rsidRPr="00D87F60" w:rsidRDefault="00D87F60" w:rsidP="00D87F60">
      <w:pPr>
        <w:numPr>
          <w:ilvl w:val="0"/>
          <w:numId w:val="2"/>
        </w:numPr>
        <w:spacing w:after="0" w:line="240" w:lineRule="auto"/>
        <w:ind w:left="993" w:hanging="142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16"/>
          <w:lang w:eastAsia="pl-PL"/>
        </w:rPr>
        <w:t>Roboty budowlane związane z pracą na wysokości powyżej 3,00 m – skala zagrożenia: niskie</w:t>
      </w:r>
    </w:p>
    <w:p w:rsidR="00D87F60" w:rsidRPr="00D87F60" w:rsidRDefault="00D87F60" w:rsidP="00D87F60">
      <w:pPr>
        <w:numPr>
          <w:ilvl w:val="0"/>
          <w:numId w:val="2"/>
        </w:numPr>
        <w:spacing w:after="0" w:line="240" w:lineRule="auto"/>
        <w:ind w:left="993" w:hanging="142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16"/>
          <w:lang w:eastAsia="pl-PL"/>
        </w:rPr>
        <w:t>Roboty budowlane związane z pracą na wysokości powyżej 6,00 m – skala zagrożenia: nie występują</w:t>
      </w:r>
    </w:p>
    <w:p w:rsidR="00D87F60" w:rsidRPr="00D87F60" w:rsidRDefault="00D87F60" w:rsidP="00D87F60">
      <w:pPr>
        <w:numPr>
          <w:ilvl w:val="0"/>
          <w:numId w:val="2"/>
        </w:numPr>
        <w:spacing w:after="0" w:line="240" w:lineRule="auto"/>
        <w:ind w:left="1418" w:hanging="567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16"/>
          <w:lang w:eastAsia="pl-PL"/>
        </w:rPr>
        <w:t>Roboty budowlane związane z budową ścian, słupów – skala zagrożenia: niskie</w:t>
      </w:r>
    </w:p>
    <w:p w:rsidR="00D87F60" w:rsidRPr="00D87F60" w:rsidRDefault="00D87F60" w:rsidP="00D87F60">
      <w:pPr>
        <w:numPr>
          <w:ilvl w:val="0"/>
          <w:numId w:val="2"/>
        </w:numPr>
        <w:spacing w:after="0" w:line="240" w:lineRule="auto"/>
        <w:ind w:left="1418" w:hanging="567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16"/>
          <w:lang w:eastAsia="pl-PL"/>
        </w:rPr>
        <w:t>Roboty budowlane wykończeniowe – skala zagrożenia: niskie</w:t>
      </w:r>
    </w:p>
    <w:p w:rsidR="00D87F60" w:rsidRPr="00D87F60" w:rsidRDefault="00D87F60" w:rsidP="00D87F60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8"/>
          <w:szCs w:val="8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16"/>
          <w:lang w:eastAsia="pl-PL"/>
        </w:rPr>
        <w:t>Wszelkie prace i roboty budowlane prowadzić zgodnie z zasadami bezpieczeństwa i higieny pracy.</w:t>
      </w:r>
    </w:p>
    <w:p w:rsidR="00D87F60" w:rsidRPr="00D87F60" w:rsidRDefault="00D87F60" w:rsidP="00D87F60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Prace związane z rozbiórkami elementów obiektów z materiałami posiadającymi azbest</w:t>
      </w:r>
    </w:p>
    <w:p w:rsidR="00D87F60" w:rsidRPr="00D87F60" w:rsidRDefault="00D87F60" w:rsidP="00D87F60">
      <w:pPr>
        <w:spacing w:after="0" w:line="240" w:lineRule="auto"/>
        <w:ind w:left="284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Nie występują</w:t>
      </w:r>
    </w:p>
    <w:p w:rsidR="00D87F60" w:rsidRPr="00D87F60" w:rsidRDefault="00D87F60" w:rsidP="00D87F60">
      <w:pPr>
        <w:spacing w:after="0" w:line="240" w:lineRule="auto"/>
        <w:ind w:left="284"/>
        <w:jc w:val="both"/>
        <w:rPr>
          <w:rFonts w:ascii="Calibri" w:eastAsia="Times New Roman" w:hAnsi="Calibri" w:cs="Calibri"/>
          <w:color w:val="000000"/>
          <w:sz w:val="10"/>
          <w:szCs w:val="10"/>
          <w:lang w:eastAsia="pl-PL"/>
        </w:rPr>
      </w:pPr>
    </w:p>
    <w:p w:rsidR="00D87F60" w:rsidRPr="00D87F60" w:rsidRDefault="00D87F60" w:rsidP="00D87F60">
      <w:pPr>
        <w:keepNext/>
        <w:numPr>
          <w:ilvl w:val="0"/>
          <w:numId w:val="7"/>
        </w:numPr>
        <w:spacing w:before="120" w:after="60" w:line="240" w:lineRule="auto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22" w:name="_Toc292748043"/>
      <w:bookmarkStart w:id="23" w:name="_Toc311323498"/>
      <w:bookmarkStart w:id="24" w:name="_Toc500279755"/>
      <w:bookmarkStart w:id="25" w:name="_Toc516300006"/>
      <w:r w:rsidRPr="00D87F60">
        <w:rPr>
          <w:rFonts w:ascii="Calibri" w:eastAsia="Times New Roman" w:hAnsi="Calibri" w:cs="Calibri"/>
          <w:b/>
          <w:bCs/>
          <w:caps/>
          <w:lang w:eastAsia="pl-PL"/>
        </w:rPr>
        <w:t>Wskazanie sposobu prowadzenia instruktażu pracowników przed przystąpieniem do realizacji robót szczególnie niebezpiecznych</w:t>
      </w:r>
      <w:bookmarkEnd w:id="22"/>
      <w:bookmarkEnd w:id="23"/>
      <w:bookmarkEnd w:id="24"/>
      <w:bookmarkEnd w:id="25"/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Instruktaż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Pracownik przeszkolony będzie w zakresie: pierwsza pomoc, ogólne warunki higieny i bezpieczeństwa pracy, szczegółowe warunki higieny i bezpieczeństwa pracy zależne od wykonywanych robót, dokumentacji techniczno-rozruchowej obsługiwanego urządzenia. Ponadto prowadzenie instruktażu powinno być powierzone osobie o odpowiednich kwalifikacjach zawodowych oraz posiadającej stosowną wiedzę techniczną. Instruktaż przed przystąpieniem do realizacji robót szczególnie niebezpiecznych, jak również powierzenie czynności związanych z ich wykonywaniem powinny być prowadzone w stosunku do osób o odpowiednich kwalifikacjach zawodowych. Instruktaż należy prowadzić, co najmniej dzień przed rozpoczęciem robót. Podczas instruktażu powinny być poruszone tematy dotyczące:</w:t>
      </w:r>
    </w:p>
    <w:p w:rsidR="00D87F60" w:rsidRPr="00D87F60" w:rsidRDefault="00D87F60" w:rsidP="00D87F60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0"/>
          <w:szCs w:val="10"/>
          <w:lang w:eastAsia="pl-PL"/>
        </w:rPr>
      </w:pPr>
    </w:p>
    <w:p w:rsidR="00D87F60" w:rsidRPr="00D87F60" w:rsidRDefault="00D87F60" w:rsidP="00D87F60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zakresu prowadzenia robót,</w:t>
      </w:r>
    </w:p>
    <w:p w:rsidR="00D87F60" w:rsidRPr="00D87F60" w:rsidRDefault="00D87F60" w:rsidP="00D87F60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sposobu i technologii prowadzenia robót,</w:t>
      </w:r>
    </w:p>
    <w:p w:rsidR="00D87F60" w:rsidRPr="00D87F60" w:rsidRDefault="00D87F60" w:rsidP="00D87F60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stanu istniejącego – przed rozpoczęciem robót,</w:t>
      </w:r>
    </w:p>
    <w:p w:rsidR="00D87F60" w:rsidRPr="00D87F60" w:rsidRDefault="00D87F60" w:rsidP="00D87F60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efektu końcowego wykonywania prac,</w:t>
      </w:r>
    </w:p>
    <w:p w:rsidR="00D87F60" w:rsidRPr="00D87F60" w:rsidRDefault="00D87F60" w:rsidP="00D87F60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wymaganych warunków atmosferycznych,</w:t>
      </w:r>
    </w:p>
    <w:p w:rsidR="00D87F60" w:rsidRPr="00D87F60" w:rsidRDefault="00D87F60" w:rsidP="00D87F60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przydzielenia obowiązków i zadań poszczególnym pracownikom,</w:t>
      </w:r>
    </w:p>
    <w:p w:rsidR="00D87F60" w:rsidRPr="00D87F60" w:rsidRDefault="00D87F60" w:rsidP="00D87F60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zasad udzielenia pierwszej pomocy,</w:t>
      </w:r>
    </w:p>
    <w:p w:rsidR="00D87F60" w:rsidRPr="00D87F60" w:rsidRDefault="00D87F60" w:rsidP="00D87F60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inne niezbędne dla prawidłowego i bezpiecznego wykonania robót.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10"/>
          <w:szCs w:val="10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Przed przystąpieniem do robót powinna odbyć się odprawa, z przypomnieniem tematów poruszanych podczas instruktażu.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Ochrona osobista pracowników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Przed dopuszczeniem pracownika do pracy zakład obowiązany będzie zaopatrzyć go w odzież roboczą i ochronną zgodnie z obowiązującymi w tym zakresie przepisami. Pracownicy narażeni na urazy mechaniczne, porażenia prądem, upadki z wysokości, oparzenia, zatrucia, promieniowanie, wibracje oraz inne szkodliwe czynniki i zagrożenia związane z wykonywaną pracą będą zaopatrzeni w sprzęt ochrony osobistej, dotyczy to również innych osób przebywających na terenie zakładu pracy. Sprzęt ochrony osobistej pracowników będzie posiadać atesty oraz instrukcje określające sposób jego użytkowania, konserwacji i przechowywania.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lastRenderedPageBreak/>
        <w:t>Pierwsza pomoc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Na terenie budowy będą urządzone punkty pierwszej pomocy obsługiwane przez wyszkolonych w tym zakresie pracowników. Jeżeli roboty będą wykonywane w odległości większej niż 500 m od punktu pierwszej pomocy, w miejscu pracy będzie znajdować się przenośna apteczka. Jeżeli w razie wypadku publiczne środki transportowe służby zdrowia nie mogą zapewnić szybkiego przewozu poszkodowanych, kierownictwo budowy dostarczy dostępne mu środki lokomocji.</w:t>
      </w:r>
    </w:p>
    <w:p w:rsidR="00D87F60" w:rsidRPr="00D87F60" w:rsidRDefault="00D87F60" w:rsidP="00D87F60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</w:p>
    <w:p w:rsidR="00D87F60" w:rsidRPr="00D87F60" w:rsidRDefault="00D87F60" w:rsidP="00D87F60">
      <w:pPr>
        <w:keepNext/>
        <w:numPr>
          <w:ilvl w:val="0"/>
          <w:numId w:val="7"/>
        </w:numPr>
        <w:spacing w:before="120" w:after="60" w:line="240" w:lineRule="auto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26" w:name="_Toc292748044"/>
      <w:bookmarkStart w:id="27" w:name="_Toc311323499"/>
      <w:bookmarkStart w:id="28" w:name="_Toc500279756"/>
      <w:bookmarkStart w:id="29" w:name="_Toc516300007"/>
      <w:r w:rsidRPr="00D87F60">
        <w:rPr>
          <w:rFonts w:ascii="Calibri" w:eastAsia="Times New Roman" w:hAnsi="Calibri" w:cs="Calibri"/>
          <w:b/>
          <w:bCs/>
          <w:caps/>
          <w:lang w:eastAsia="pl-PL"/>
        </w:rPr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</w:t>
      </w:r>
      <w:bookmarkEnd w:id="26"/>
      <w:bookmarkEnd w:id="27"/>
      <w:bookmarkEnd w:id="28"/>
      <w:bookmarkEnd w:id="29"/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Do podstawowych środków technicznych i organizacyjnych zapobiegających niebezpieczeństwom wynikającym z wykonywania robót budowlanych należą:</w:t>
      </w:r>
    </w:p>
    <w:p w:rsidR="00D87F60" w:rsidRPr="00D87F60" w:rsidRDefault="00D87F60" w:rsidP="00D87F60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Zagospodarowanie placu budowy, </w:t>
      </w:r>
    </w:p>
    <w:p w:rsidR="00D87F60" w:rsidRPr="00D87F60" w:rsidRDefault="00D87F60" w:rsidP="00D87F60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Zapewnienie właściwych stref stanowisk pracy w zależności od rodzaju wykonywanych przez pracowników robót budowlanych, </w:t>
      </w:r>
    </w:p>
    <w:p w:rsidR="00D87F60" w:rsidRPr="00D87F60" w:rsidRDefault="00D87F60" w:rsidP="00D87F60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Okresowa kontrola stanu stacjonarnych urządzeń elektrycznych pod względem bezpieczeństwa </w:t>
      </w: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br/>
        <w:t>i oporności izolacji</w:t>
      </w:r>
    </w:p>
    <w:p w:rsidR="00D87F60" w:rsidRPr="00D87F60" w:rsidRDefault="00D87F60" w:rsidP="00D87F60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Właściwy montaż, eksploatację zgodnie z instrukcją producenta maszyn i innych urządzeń technicznych, </w:t>
      </w:r>
    </w:p>
    <w:p w:rsidR="00D87F60" w:rsidRPr="00D87F60" w:rsidRDefault="00D87F60" w:rsidP="00D87F60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Właściwy montaż i eksploatację oraz zabezpieczenia rusztowań i ruchomych podestów roboczych oraz innych urządzeń służących do pracy na wysokości</w:t>
      </w:r>
    </w:p>
    <w:p w:rsidR="00D87F60" w:rsidRPr="00D87F60" w:rsidRDefault="00D87F60" w:rsidP="00D87F60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Właściwe zabezpieczenia przy robotach ziemnych oraz zapoznanie się z infrastrukturą techniczną na terenie inwestycji</w:t>
      </w:r>
    </w:p>
    <w:p w:rsidR="00D87F60" w:rsidRPr="00D87F60" w:rsidRDefault="00D87F60" w:rsidP="00D87F60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Umieszczenie stosownych tablic informacyjnych, w tym „Tablicę informacyjną oraz ogłoszenie zawierające dane dotyczące bezpieczeństwa i ochrony zdrowia”. Tablicę należy ustawić od strony ul. Sąsiedzkiej lub ul. Fleminga w miejscu wskazanym przez kierownika budowy. </w:t>
      </w:r>
    </w:p>
    <w:p w:rsidR="00D87F60" w:rsidRPr="00D87F60" w:rsidRDefault="00D87F60" w:rsidP="00D87F60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</w:p>
    <w:p w:rsidR="00D87F60" w:rsidRPr="00D87F60" w:rsidRDefault="00D87F60" w:rsidP="00D87F60">
      <w:pPr>
        <w:keepNext/>
        <w:numPr>
          <w:ilvl w:val="0"/>
          <w:numId w:val="7"/>
        </w:numPr>
        <w:spacing w:before="120" w:after="60" w:line="240" w:lineRule="auto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30" w:name="_Toc292748045"/>
      <w:bookmarkStart w:id="31" w:name="_Toc311323500"/>
      <w:bookmarkStart w:id="32" w:name="_Toc500279757"/>
      <w:bookmarkStart w:id="33" w:name="_Toc516300008"/>
      <w:r w:rsidRPr="00D87F60">
        <w:rPr>
          <w:rFonts w:ascii="Calibri" w:eastAsia="Times New Roman" w:hAnsi="Calibri" w:cs="Calibri"/>
          <w:b/>
          <w:bCs/>
          <w:caps/>
          <w:lang w:eastAsia="pl-PL"/>
        </w:rPr>
        <w:t>Warunki przygotowania i prowadzenia robót budowlanych</w:t>
      </w:r>
      <w:bookmarkEnd w:id="30"/>
      <w:bookmarkEnd w:id="31"/>
      <w:bookmarkEnd w:id="32"/>
      <w:bookmarkEnd w:id="33"/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 xml:space="preserve">Obowiązki Inwestora 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Inwestor jest obowiązany zawiadomić o zamiarze rozpoczęcia robót budowlanych właściwego inspektora pracy, na 7 dni przed rozpoczęciem budowy lub rozbiórki, na której przewiduje się wykonywanie robót budowlanych trwających dłużej niż 30 dni roboczych i jednoczesne zatrudnienie co najmniej 20 osób albo, na której planowany zakres robót przekracza 500 osobodni.</w:t>
      </w:r>
    </w:p>
    <w:p w:rsidR="00D87F60" w:rsidRPr="00D87F60" w:rsidRDefault="00D87F60" w:rsidP="00D87F60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 xml:space="preserve">Obowiązki Kierownika budowy 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Zgodnie z Rozporządzeniem Ministra Infrastruktury z dnia 6 lutego 2003 r. w sprawie bezpieczeństwa i higieny pracy podczas wykonywania robót budowlanych (Dz. U. Nr 47, poz. 401) na podstawie </w:t>
      </w:r>
      <w:hyperlink r:id="rId6" w:history="1">
        <w:r w:rsidRPr="00D87F60">
          <w:rPr>
            <w:rFonts w:ascii="Calibri" w:eastAsia="Times New Roman" w:hAnsi="Calibri" w:cs="Calibri"/>
            <w:color w:val="000000"/>
            <w:sz w:val="20"/>
            <w:szCs w:val="16"/>
            <w:lang w:eastAsia="pl-PL"/>
          </w:rPr>
          <w:t>art. 23715</w:t>
        </w:r>
      </w:hyperlink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 § 2 Ustawy z dnia 26 czerwca 1974 r. - Kodeks Pracy (Dz. U. z 1998 r. Nr 21, poz. 94 z późniejszymi zmianami), przed rozpoczęciem budowy kierownik budowy sporządzi lub zapewnieni sporządzenie planu bezpieczeństwa i ochrony zdrowia. 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20"/>
          <w:u w:val="single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20"/>
          <w:u w:val="single"/>
          <w:lang w:eastAsia="pl-PL"/>
        </w:rPr>
        <w:t xml:space="preserve">Warunki przygotowania i prowadzenia robót budowlanych 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Uczestnicy procesu budowlanego współdziałają ze sobą w zakresie bezpieczeństwa i higieny pracy w procesie przygotowania i realizacji budowy. Stosowanie niezbędnych środków ochrony indywidualnej obowiązuje wszystkie osoby przebywające na terenie budowy. Bezpośredni nadzór nad bezpieczeństwem i higieną pracy na stanowiskach pracy sprawują odpowiednio kierownik robót oraz mistrz budowlany, stosownie do zakresu obowiązków. Należy przygotować „Tablicę informacyjną” oraz „Ogłoszenie zawierające dane dotyczące bezpieczeństwa i ochrony zdrowia”. 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lastRenderedPageBreak/>
        <w:t>Tablica informacyjna zawiera: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</w:p>
    <w:p w:rsidR="00D87F60" w:rsidRPr="00D87F60" w:rsidRDefault="00D87F60" w:rsidP="00D87F60">
      <w:pPr>
        <w:numPr>
          <w:ilvl w:val="0"/>
          <w:numId w:val="6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określenie rodzaju robót budowlanych oraz adres prowadzenia tych robót,</w:t>
      </w:r>
    </w:p>
    <w:p w:rsidR="00D87F60" w:rsidRPr="00D87F60" w:rsidRDefault="00D87F60" w:rsidP="00D87F60">
      <w:pPr>
        <w:numPr>
          <w:ilvl w:val="0"/>
          <w:numId w:val="6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numer pozwolenia na budowę oraz nazwę, adres i numer telefonu właściwego organu nadzoru budowlanego,</w:t>
      </w:r>
    </w:p>
    <w:p w:rsidR="00D87F60" w:rsidRPr="00D87F60" w:rsidRDefault="00D87F60" w:rsidP="00D87F60">
      <w:pPr>
        <w:numPr>
          <w:ilvl w:val="0"/>
          <w:numId w:val="6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imię i nazwisko lub nazwę (firmę), adres oraz numer telefonu inwestora,</w:t>
      </w:r>
    </w:p>
    <w:p w:rsidR="00D87F60" w:rsidRPr="00D87F60" w:rsidRDefault="00D87F60" w:rsidP="00D87F60">
      <w:pPr>
        <w:numPr>
          <w:ilvl w:val="0"/>
          <w:numId w:val="6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imię i nazwisko lub nazwę (firmę), adres i numer telefonu wykonawcy lub wykonawców robót budowlanych,</w:t>
      </w:r>
    </w:p>
    <w:p w:rsidR="00D87F60" w:rsidRPr="00D87F60" w:rsidRDefault="00D87F60" w:rsidP="00D87F60">
      <w:pPr>
        <w:numPr>
          <w:ilvl w:val="0"/>
          <w:numId w:val="6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imiona, nazwiska, adresy i numery telefonów:</w:t>
      </w:r>
    </w:p>
    <w:p w:rsidR="00D87F60" w:rsidRPr="00D87F60" w:rsidRDefault="00D87F60" w:rsidP="00D87F60">
      <w:pPr>
        <w:numPr>
          <w:ilvl w:val="2"/>
          <w:numId w:val="3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kierownika budowy </w:t>
      </w:r>
    </w:p>
    <w:p w:rsidR="00D87F60" w:rsidRPr="00D87F60" w:rsidRDefault="00D87F60" w:rsidP="00D87F60">
      <w:pPr>
        <w:numPr>
          <w:ilvl w:val="2"/>
          <w:numId w:val="3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kierowników robót</w:t>
      </w:r>
    </w:p>
    <w:p w:rsidR="00D87F60" w:rsidRPr="00D87F60" w:rsidRDefault="00D87F60" w:rsidP="00D87F60">
      <w:pPr>
        <w:numPr>
          <w:ilvl w:val="2"/>
          <w:numId w:val="3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inspektora nadzoru inwestorskiego</w:t>
      </w:r>
    </w:p>
    <w:p w:rsidR="00D87F60" w:rsidRPr="00D87F60" w:rsidRDefault="00D87F60" w:rsidP="00D87F60">
      <w:pPr>
        <w:numPr>
          <w:ilvl w:val="2"/>
          <w:numId w:val="3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projektantów</w:t>
      </w:r>
    </w:p>
    <w:p w:rsidR="00D87F60" w:rsidRPr="00D87F60" w:rsidRDefault="00D87F60" w:rsidP="00D87F60">
      <w:pPr>
        <w:numPr>
          <w:ilvl w:val="0"/>
          <w:numId w:val="6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numery telefonów alarmowych Policji, straży pożarnej, pogotowia,</w:t>
      </w:r>
    </w:p>
    <w:p w:rsidR="00D87F60" w:rsidRPr="00D87F60" w:rsidRDefault="00D87F60" w:rsidP="00D87F60">
      <w:pPr>
        <w:numPr>
          <w:ilvl w:val="0"/>
          <w:numId w:val="6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numer telefonu okręgowego inspektora pracy.</w:t>
      </w:r>
    </w:p>
    <w:p w:rsidR="00D87F60" w:rsidRPr="00D87F60" w:rsidRDefault="00D87F60" w:rsidP="00D87F60">
      <w:pPr>
        <w:tabs>
          <w:tab w:val="num" w:pos="1134"/>
        </w:tabs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sz w:val="10"/>
          <w:szCs w:val="10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Tablica informacyjna ma mieć kształt prostokąta o wymiarach 90x70cm. Napisy na tablicy informacyjnej wykonać w sposób czytelny i trwały, na sztywnej płycie koloru żółtego, literami i cyframi koloru czarnego, o wysokości co najmniej 4cm. Tablica informacyjna znajdować się powinna w miejscu widocznym od strony drogi publicznej lub dojazdu do takiej drogi, na wysokości nie mniejszej niż 2 m.</w:t>
      </w:r>
    </w:p>
    <w:p w:rsidR="00D87F60" w:rsidRPr="00D87F60" w:rsidRDefault="00D87F60" w:rsidP="00D87F60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Ogłoszenie, o którym mowa w art. 42 ust. 2 pkt 2 ustawy z dnia 7 lipca 1994 r. - Prawo budowlane (zawierające dane dotyczące bezpieczeństwa pracy i ochrony zdrowia), należy umieścić na terenie budowy, w sposób trwały i zabezpieczony przed zniszczeniem. Ogłoszenie zawiera:</w:t>
      </w:r>
    </w:p>
    <w:p w:rsidR="00D87F60" w:rsidRPr="00D87F60" w:rsidRDefault="00D87F60" w:rsidP="00D87F60">
      <w:pPr>
        <w:numPr>
          <w:ilvl w:val="0"/>
          <w:numId w:val="5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przewidywane terminy rozpoczęcia i zakończenia wykonywania robót budowlanych,</w:t>
      </w:r>
    </w:p>
    <w:p w:rsidR="00D87F60" w:rsidRPr="00D87F60" w:rsidRDefault="00D87F60" w:rsidP="00D87F60">
      <w:pPr>
        <w:numPr>
          <w:ilvl w:val="0"/>
          <w:numId w:val="5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maksymalną liczbę pracowników zatrudnionych na budowie w poszczególnych okresach,</w:t>
      </w:r>
    </w:p>
    <w:p w:rsidR="00D87F60" w:rsidRPr="00D87F60" w:rsidRDefault="00D87F60" w:rsidP="00D87F60">
      <w:pPr>
        <w:numPr>
          <w:ilvl w:val="0"/>
          <w:numId w:val="5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D87F60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informacje dotyczące planu bezpieczeństwa i ochrony zdrowia.</w:t>
      </w:r>
    </w:p>
    <w:bookmarkEnd w:id="0"/>
    <w:bookmarkEnd w:id="1"/>
    <w:bookmarkEnd w:id="2"/>
    <w:bookmarkEnd w:id="3"/>
    <w:p w:rsidR="00D87F60" w:rsidRPr="00D87F60" w:rsidRDefault="00D87F60" w:rsidP="00D87F60">
      <w:pPr>
        <w:spacing w:after="0" w:line="240" w:lineRule="auto"/>
        <w:ind w:firstLine="360"/>
        <w:jc w:val="both"/>
        <w:rPr>
          <w:rFonts w:ascii="Calibri" w:eastAsia="Times New Roman" w:hAnsi="Calibri" w:cs="Calibri"/>
          <w:color w:val="FF0000"/>
          <w:sz w:val="10"/>
          <w:szCs w:val="10"/>
          <w:lang w:eastAsia="pl-PL"/>
        </w:rPr>
      </w:pPr>
      <w:r w:rsidRPr="00D87F60">
        <w:rPr>
          <w:rFonts w:ascii="Calibri" w:eastAsia="Times New Roman" w:hAnsi="Calibri" w:cs="Calibri"/>
          <w:color w:val="FF0000"/>
          <w:sz w:val="20"/>
          <w:szCs w:val="20"/>
          <w:lang w:eastAsia="pl-PL"/>
        </w:rPr>
        <w:t xml:space="preserve"> </w:t>
      </w:r>
    </w:p>
    <w:p w:rsidR="00D87F60" w:rsidRPr="00D87F60" w:rsidRDefault="00D87F60" w:rsidP="00D87F60">
      <w:pPr>
        <w:spacing w:after="0" w:line="240" w:lineRule="auto"/>
        <w:ind w:left="3828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 xml:space="preserve">opracował: </w:t>
      </w: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ab/>
      </w:r>
    </w:p>
    <w:p w:rsidR="00D87F60" w:rsidRPr="00D87F60" w:rsidRDefault="00D87F60" w:rsidP="00D87F60">
      <w:pPr>
        <w:spacing w:after="0" w:line="240" w:lineRule="auto"/>
        <w:ind w:left="3828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D87F60">
        <w:rPr>
          <w:rFonts w:ascii="Calibri" w:eastAsia="Times New Roman" w:hAnsi="Calibri" w:cs="Calibri"/>
          <w:sz w:val="20"/>
          <w:szCs w:val="20"/>
          <w:lang w:eastAsia="pl-PL"/>
        </w:rPr>
        <w:tab/>
      </w:r>
    </w:p>
    <w:p w:rsidR="00D87F60" w:rsidRPr="00D87F60" w:rsidRDefault="00D87F60" w:rsidP="00D87F60">
      <w:pPr>
        <w:spacing w:after="0" w:line="240" w:lineRule="auto"/>
        <w:ind w:left="3828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87F60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mgr inż.  arch. Tomasz Głowiński </w:t>
      </w:r>
    </w:p>
    <w:p w:rsidR="00D87F60" w:rsidRPr="00D87F60" w:rsidRDefault="00D87F60" w:rsidP="00D87F60">
      <w:pPr>
        <w:spacing w:after="0" w:line="240" w:lineRule="auto"/>
        <w:ind w:left="3828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D87F60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nr </w:t>
      </w:r>
      <w:proofErr w:type="spellStart"/>
      <w:r w:rsidRPr="00D87F60">
        <w:rPr>
          <w:rFonts w:ascii="Calibri" w:eastAsia="Times New Roman" w:hAnsi="Calibri" w:cs="Calibri"/>
          <w:i/>
          <w:sz w:val="18"/>
          <w:szCs w:val="18"/>
          <w:lang w:eastAsia="pl-PL"/>
        </w:rPr>
        <w:t>upr</w:t>
      </w:r>
      <w:proofErr w:type="spellEnd"/>
      <w:r w:rsidRPr="00D87F60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. </w:t>
      </w:r>
      <w:r w:rsidRPr="00D87F60">
        <w:rPr>
          <w:rFonts w:ascii="Calibri" w:eastAsia="Times New Roman" w:hAnsi="Calibri" w:cs="Arial"/>
          <w:i/>
          <w:sz w:val="18"/>
          <w:szCs w:val="16"/>
          <w:lang w:eastAsia="pl-PL"/>
        </w:rPr>
        <w:t>MA/004/14</w:t>
      </w:r>
    </w:p>
    <w:p w:rsidR="00D87F60" w:rsidRPr="00D87F60" w:rsidRDefault="00D87F60" w:rsidP="00D87F60">
      <w:pPr>
        <w:spacing w:after="0" w:line="240" w:lineRule="auto"/>
        <w:ind w:left="4247" w:firstLine="1"/>
        <w:jc w:val="both"/>
        <w:rPr>
          <w:rFonts w:ascii="Calibri" w:eastAsia="Times New Roman" w:hAnsi="Calibri" w:cs="Calibri"/>
          <w:i/>
          <w:sz w:val="8"/>
          <w:szCs w:val="8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47" w:firstLine="1"/>
        <w:jc w:val="both"/>
        <w:rPr>
          <w:rFonts w:ascii="Calibri" w:eastAsia="Times New Roman" w:hAnsi="Calibri" w:cs="Calibri"/>
          <w:i/>
          <w:sz w:val="8"/>
          <w:szCs w:val="8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47" w:firstLine="1"/>
        <w:jc w:val="both"/>
        <w:rPr>
          <w:rFonts w:ascii="Calibri" w:eastAsia="Times New Roman" w:hAnsi="Calibri" w:cs="Calibri"/>
          <w:i/>
          <w:sz w:val="8"/>
          <w:szCs w:val="8"/>
          <w:lang w:eastAsia="pl-PL"/>
        </w:rPr>
      </w:pPr>
    </w:p>
    <w:p w:rsidR="00D87F60" w:rsidRPr="00D87F60" w:rsidRDefault="00D87F60" w:rsidP="00D87F60">
      <w:pPr>
        <w:spacing w:after="0" w:line="240" w:lineRule="auto"/>
        <w:ind w:left="4247" w:firstLine="1"/>
        <w:jc w:val="both"/>
        <w:rPr>
          <w:rFonts w:ascii="Calibri" w:eastAsia="Times New Roman" w:hAnsi="Calibri" w:cs="Calibri"/>
          <w:i/>
          <w:sz w:val="8"/>
          <w:szCs w:val="8"/>
          <w:lang w:eastAsia="pl-PL"/>
        </w:rPr>
      </w:pPr>
    </w:p>
    <w:p w:rsidR="00D33F61" w:rsidRDefault="00D33F61">
      <w:bookmarkStart w:id="34" w:name="_GoBack"/>
      <w:bookmarkEnd w:id="34"/>
    </w:p>
    <w:sectPr w:rsidR="00D33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242E9"/>
    <w:multiLevelType w:val="hybridMultilevel"/>
    <w:tmpl w:val="3A80B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91ADC"/>
    <w:multiLevelType w:val="hybridMultilevel"/>
    <w:tmpl w:val="490241AA"/>
    <w:lvl w:ilvl="0" w:tplc="04150017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121392E"/>
    <w:multiLevelType w:val="hybridMultilevel"/>
    <w:tmpl w:val="B984B426"/>
    <w:lvl w:ilvl="0" w:tplc="7EA03A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1D3997"/>
    <w:multiLevelType w:val="hybridMultilevel"/>
    <w:tmpl w:val="14208D4C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59A2C63"/>
    <w:multiLevelType w:val="hybridMultilevel"/>
    <w:tmpl w:val="9CB673F8"/>
    <w:lvl w:ilvl="0" w:tplc="0415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CF61E7B"/>
    <w:multiLevelType w:val="hybridMultilevel"/>
    <w:tmpl w:val="FC2E32C4"/>
    <w:lvl w:ilvl="0" w:tplc="0415001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DA1B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EC132B6"/>
    <w:multiLevelType w:val="hybridMultilevel"/>
    <w:tmpl w:val="3B5ED50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60"/>
    <w:rsid w:val="00D33F61"/>
    <w:rsid w:val="00D8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D87F60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D87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D87F60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D87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27.0.0.1:49152/lpAbc/lpext.dll?f=templates&amp;fn=abc.jump.htm&amp;id=abc.akt.du.1998.21.94&amp;hash=237%5e15&amp;data=us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1617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Artur</cp:lastModifiedBy>
  <cp:revision>1</cp:revision>
  <dcterms:created xsi:type="dcterms:W3CDTF">2019-07-30T17:19:00Z</dcterms:created>
  <dcterms:modified xsi:type="dcterms:W3CDTF">2019-07-30T17:29:00Z</dcterms:modified>
</cp:coreProperties>
</file>