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4C" w:rsidRPr="00745C82" w:rsidRDefault="00AD5DFE" w:rsidP="00AD5DFE">
      <w:pPr>
        <w:jc w:val="center"/>
        <w:rPr>
          <w:b/>
          <w:sz w:val="26"/>
          <w:szCs w:val="26"/>
        </w:rPr>
      </w:pPr>
      <w:r w:rsidRPr="00745C82">
        <w:rPr>
          <w:b/>
          <w:sz w:val="26"/>
          <w:szCs w:val="26"/>
        </w:rPr>
        <w:t>WYKAZ NIERUCHOMOŚCI PRZEZNACZONYCH DO SPRZEDAŻY</w:t>
      </w:r>
    </w:p>
    <w:p w:rsidR="00D20EAA" w:rsidRDefault="00AD5DFE" w:rsidP="00AD5DFE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Na podstawie art.35 ustawy z dnia 21 sierpnia 1997 r. o gospodarce</w:t>
      </w:r>
      <w:r w:rsidR="00D22427">
        <w:rPr>
          <w:b/>
          <w:i/>
          <w:sz w:val="24"/>
          <w:szCs w:val="24"/>
        </w:rPr>
        <w:t xml:space="preserve"> nieruchomościami (Dz. U. z 2016</w:t>
      </w:r>
      <w:r w:rsidR="00D20EAA">
        <w:rPr>
          <w:b/>
          <w:i/>
          <w:sz w:val="24"/>
          <w:szCs w:val="24"/>
        </w:rPr>
        <w:t xml:space="preserve"> r. poz. </w:t>
      </w:r>
      <w:r w:rsidR="00D22427">
        <w:rPr>
          <w:b/>
          <w:i/>
          <w:sz w:val="24"/>
          <w:szCs w:val="24"/>
        </w:rPr>
        <w:t>2147</w:t>
      </w:r>
      <w:r w:rsidR="0079144B">
        <w:rPr>
          <w:b/>
          <w:i/>
          <w:sz w:val="24"/>
          <w:szCs w:val="24"/>
        </w:rPr>
        <w:t xml:space="preserve">, z </w:t>
      </w:r>
      <w:proofErr w:type="spellStart"/>
      <w:r w:rsidR="0079144B">
        <w:rPr>
          <w:b/>
          <w:i/>
          <w:sz w:val="24"/>
          <w:szCs w:val="24"/>
        </w:rPr>
        <w:t>późn</w:t>
      </w:r>
      <w:proofErr w:type="spellEnd"/>
      <w:r w:rsidR="0079144B">
        <w:rPr>
          <w:b/>
          <w:i/>
          <w:sz w:val="24"/>
          <w:szCs w:val="24"/>
        </w:rPr>
        <w:t xml:space="preserve">. </w:t>
      </w:r>
      <w:r w:rsidR="002C76AE">
        <w:rPr>
          <w:b/>
          <w:i/>
          <w:sz w:val="24"/>
          <w:szCs w:val="24"/>
        </w:rPr>
        <w:t>zm.</w:t>
      </w:r>
      <w:r w:rsidR="0079144B">
        <w:rPr>
          <w:b/>
          <w:i/>
          <w:sz w:val="24"/>
          <w:szCs w:val="24"/>
        </w:rPr>
        <w:t xml:space="preserve">) Wójt Gminy Pniewy </w:t>
      </w:r>
      <w:r>
        <w:rPr>
          <w:b/>
          <w:i/>
          <w:sz w:val="24"/>
          <w:szCs w:val="24"/>
        </w:rPr>
        <w:t xml:space="preserve">podaje do publicznej </w:t>
      </w:r>
      <w:r w:rsidR="007A2BEF">
        <w:rPr>
          <w:b/>
          <w:i/>
          <w:sz w:val="24"/>
          <w:szCs w:val="24"/>
        </w:rPr>
        <w:t>wiadomości</w:t>
      </w:r>
      <w:r w:rsidR="00A00B29">
        <w:rPr>
          <w:b/>
          <w:i/>
          <w:sz w:val="24"/>
          <w:szCs w:val="24"/>
        </w:rPr>
        <w:t xml:space="preserve">, że  na okres 21 dni tj. od dnia </w:t>
      </w:r>
      <w:r w:rsidR="00D168B1">
        <w:rPr>
          <w:b/>
          <w:i/>
          <w:sz w:val="24"/>
          <w:szCs w:val="24"/>
        </w:rPr>
        <w:t>23</w:t>
      </w:r>
      <w:r w:rsidR="007E781B">
        <w:rPr>
          <w:b/>
          <w:i/>
          <w:sz w:val="24"/>
          <w:szCs w:val="24"/>
        </w:rPr>
        <w:t xml:space="preserve"> </w:t>
      </w:r>
      <w:r w:rsidR="00D168B1">
        <w:rPr>
          <w:b/>
          <w:i/>
          <w:sz w:val="24"/>
          <w:szCs w:val="24"/>
        </w:rPr>
        <w:t>maja</w:t>
      </w:r>
      <w:r w:rsidR="007E781B">
        <w:rPr>
          <w:b/>
          <w:i/>
          <w:sz w:val="24"/>
          <w:szCs w:val="24"/>
        </w:rPr>
        <w:t xml:space="preserve"> 201</w:t>
      </w:r>
      <w:r w:rsidR="00D168B1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r. </w:t>
      </w:r>
      <w:r w:rsidR="00D168B1">
        <w:rPr>
          <w:b/>
          <w:i/>
          <w:sz w:val="24"/>
          <w:szCs w:val="24"/>
        </w:rPr>
        <w:t>do dnia 13</w:t>
      </w:r>
      <w:r w:rsidR="007E781B">
        <w:rPr>
          <w:b/>
          <w:i/>
          <w:sz w:val="24"/>
          <w:szCs w:val="24"/>
        </w:rPr>
        <w:t xml:space="preserve"> czerwca</w:t>
      </w:r>
      <w:r w:rsidR="002E35DF">
        <w:rPr>
          <w:b/>
          <w:i/>
          <w:sz w:val="24"/>
          <w:szCs w:val="24"/>
        </w:rPr>
        <w:t xml:space="preserve"> </w:t>
      </w:r>
      <w:r w:rsidR="00A00B29">
        <w:rPr>
          <w:b/>
          <w:i/>
          <w:sz w:val="24"/>
          <w:szCs w:val="24"/>
        </w:rPr>
        <w:t>201</w:t>
      </w:r>
      <w:r w:rsidR="00D168B1">
        <w:rPr>
          <w:b/>
          <w:i/>
          <w:sz w:val="24"/>
          <w:szCs w:val="24"/>
        </w:rPr>
        <w:t>7</w:t>
      </w:r>
      <w:r w:rsidR="00A00B29">
        <w:rPr>
          <w:b/>
          <w:i/>
          <w:sz w:val="24"/>
          <w:szCs w:val="24"/>
        </w:rPr>
        <w:t xml:space="preserve"> r. zostaje wywieszony </w:t>
      </w:r>
      <w:r>
        <w:rPr>
          <w:b/>
          <w:i/>
          <w:sz w:val="24"/>
          <w:szCs w:val="24"/>
        </w:rPr>
        <w:t xml:space="preserve">wykaz nieruchomości </w:t>
      </w:r>
      <w:r w:rsidR="00392F9F">
        <w:rPr>
          <w:b/>
          <w:i/>
          <w:sz w:val="24"/>
          <w:szCs w:val="24"/>
        </w:rPr>
        <w:t xml:space="preserve">będących własnością Gminy Pniewy </w:t>
      </w:r>
      <w:r>
        <w:rPr>
          <w:b/>
          <w:i/>
          <w:sz w:val="24"/>
          <w:szCs w:val="24"/>
        </w:rPr>
        <w:t>przeznaczonych do sprzedaży.</w:t>
      </w:r>
    </w:p>
    <w:tbl>
      <w:tblPr>
        <w:tblStyle w:val="Tabela-Siatka"/>
        <w:tblW w:w="142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993"/>
        <w:gridCol w:w="1984"/>
        <w:gridCol w:w="1985"/>
        <w:gridCol w:w="1275"/>
        <w:gridCol w:w="1843"/>
        <w:gridCol w:w="3070"/>
      </w:tblGrid>
      <w:tr w:rsidR="00922141" w:rsidRPr="00495638" w:rsidTr="00495638">
        <w:tc>
          <w:tcPr>
            <w:tcW w:w="426" w:type="dxa"/>
          </w:tcPr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</w:p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</w:p>
          <w:p w:rsidR="00AD5DFE" w:rsidRPr="00495638" w:rsidRDefault="00922141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L.p.</w:t>
            </w:r>
          </w:p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Oznaczenie</w:t>
            </w:r>
          </w:p>
          <w:p w:rsidR="00AD5DFE" w:rsidRPr="00495638" w:rsidRDefault="00C54D92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n</w:t>
            </w:r>
            <w:r w:rsidR="0036130A" w:rsidRPr="00495638">
              <w:rPr>
                <w:b/>
                <w:sz w:val="20"/>
                <w:szCs w:val="20"/>
              </w:rPr>
              <w:t>ieruchom.</w:t>
            </w:r>
          </w:p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w</w:t>
            </w:r>
            <w:r w:rsidR="00AD5DFE" w:rsidRPr="00495638">
              <w:rPr>
                <w:b/>
                <w:sz w:val="20"/>
                <w:szCs w:val="20"/>
              </w:rPr>
              <w:t>edług KW</w:t>
            </w:r>
          </w:p>
          <w:p w:rsidR="004E717D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o</w:t>
            </w:r>
            <w:r w:rsidR="00AD5DFE" w:rsidRPr="00495638">
              <w:rPr>
                <w:b/>
                <w:sz w:val="20"/>
                <w:szCs w:val="20"/>
              </w:rPr>
              <w:t xml:space="preserve">raz </w:t>
            </w:r>
            <w:r w:rsidR="0036130A" w:rsidRPr="00495638">
              <w:rPr>
                <w:b/>
                <w:sz w:val="20"/>
                <w:szCs w:val="20"/>
              </w:rPr>
              <w:t>katastru nieruchom.</w:t>
            </w:r>
          </w:p>
        </w:tc>
        <w:tc>
          <w:tcPr>
            <w:tcW w:w="1275" w:type="dxa"/>
          </w:tcPr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 xml:space="preserve">Numer działki – oznaczenie </w:t>
            </w:r>
            <w:r w:rsidR="00522140" w:rsidRPr="00495638">
              <w:rPr>
                <w:b/>
                <w:sz w:val="20"/>
                <w:szCs w:val="20"/>
              </w:rPr>
              <w:t>geodezyjne nieruchom.</w:t>
            </w:r>
          </w:p>
        </w:tc>
        <w:tc>
          <w:tcPr>
            <w:tcW w:w="993" w:type="dxa"/>
          </w:tcPr>
          <w:p w:rsidR="00AD5DFE" w:rsidRPr="00495638" w:rsidRDefault="00495638" w:rsidP="00AD5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bookmarkStart w:id="0" w:name="_GoBack"/>
            <w:bookmarkEnd w:id="0"/>
            <w:r w:rsidR="00D22427" w:rsidRPr="00495638">
              <w:rPr>
                <w:b/>
                <w:sz w:val="20"/>
                <w:szCs w:val="20"/>
              </w:rPr>
              <w:t>nieruchom</w:t>
            </w:r>
            <w:r>
              <w:rPr>
                <w:b/>
                <w:sz w:val="20"/>
                <w:szCs w:val="20"/>
              </w:rPr>
              <w:t>ości</w:t>
            </w:r>
          </w:p>
          <w:p w:rsidR="00AD5DFE" w:rsidRPr="00495638" w:rsidRDefault="00AD5DFE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1984" w:type="dxa"/>
          </w:tcPr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985" w:type="dxa"/>
          </w:tcPr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Przeznaczenie w planie zagospodarowania przestrzennego</w:t>
            </w:r>
          </w:p>
        </w:tc>
        <w:tc>
          <w:tcPr>
            <w:tcW w:w="1275" w:type="dxa"/>
          </w:tcPr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Cena nieruchomości netto</w:t>
            </w:r>
          </w:p>
        </w:tc>
        <w:tc>
          <w:tcPr>
            <w:tcW w:w="1843" w:type="dxa"/>
          </w:tcPr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3070" w:type="dxa"/>
          </w:tcPr>
          <w:p w:rsidR="00AD5DFE" w:rsidRPr="00495638" w:rsidRDefault="00BA2EC7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Sposób zapłaty</w:t>
            </w:r>
          </w:p>
        </w:tc>
      </w:tr>
      <w:tr w:rsidR="00922141" w:rsidRPr="00495638" w:rsidTr="00495638">
        <w:trPr>
          <w:trHeight w:val="425"/>
        </w:trPr>
        <w:tc>
          <w:tcPr>
            <w:tcW w:w="426" w:type="dxa"/>
          </w:tcPr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1</w:t>
            </w: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922141" w:rsidRPr="00495638" w:rsidRDefault="00922141" w:rsidP="00AD5DFE">
            <w:pPr>
              <w:rPr>
                <w:b/>
                <w:sz w:val="20"/>
                <w:szCs w:val="20"/>
              </w:rPr>
            </w:pPr>
          </w:p>
          <w:p w:rsidR="00397723" w:rsidRPr="00495638" w:rsidRDefault="00397723" w:rsidP="00AD5DFE">
            <w:pPr>
              <w:rPr>
                <w:b/>
                <w:sz w:val="20"/>
                <w:szCs w:val="20"/>
              </w:rPr>
            </w:pPr>
          </w:p>
          <w:p w:rsidR="0006575E" w:rsidRPr="00495638" w:rsidRDefault="0006575E" w:rsidP="00AD5D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141" w:rsidRPr="00495638" w:rsidRDefault="00922141" w:rsidP="00AD5DFE">
            <w:pPr>
              <w:rPr>
                <w:b/>
                <w:sz w:val="20"/>
                <w:szCs w:val="20"/>
                <w:lang w:val="en-US"/>
              </w:rPr>
            </w:pPr>
            <w:r w:rsidRPr="00495638">
              <w:rPr>
                <w:b/>
                <w:sz w:val="20"/>
                <w:szCs w:val="20"/>
                <w:lang w:val="en-US"/>
              </w:rPr>
              <w:t>RA1G</w:t>
            </w:r>
          </w:p>
          <w:p w:rsidR="0036130A" w:rsidRPr="00495638" w:rsidRDefault="00670DB4" w:rsidP="00AD5DFE">
            <w:pPr>
              <w:rPr>
                <w:b/>
                <w:sz w:val="20"/>
                <w:szCs w:val="20"/>
                <w:lang w:val="en-US"/>
              </w:rPr>
            </w:pPr>
            <w:r w:rsidRPr="00495638">
              <w:rPr>
                <w:b/>
                <w:sz w:val="20"/>
                <w:szCs w:val="20"/>
                <w:lang w:val="en-US"/>
              </w:rPr>
              <w:t>/00091185/8</w:t>
            </w:r>
          </w:p>
        </w:tc>
        <w:tc>
          <w:tcPr>
            <w:tcW w:w="1275" w:type="dxa"/>
          </w:tcPr>
          <w:p w:rsidR="002A69DD" w:rsidRPr="00495638" w:rsidRDefault="00670DB4" w:rsidP="00FA7637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336/1</w:t>
            </w:r>
            <w:r w:rsidR="00922141" w:rsidRPr="004956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2141" w:rsidRPr="00495638">
              <w:rPr>
                <w:b/>
                <w:sz w:val="20"/>
                <w:szCs w:val="20"/>
              </w:rPr>
              <w:t>obr</w:t>
            </w:r>
            <w:proofErr w:type="spellEnd"/>
            <w:r w:rsidR="00922141" w:rsidRPr="00495638">
              <w:rPr>
                <w:b/>
                <w:sz w:val="20"/>
                <w:szCs w:val="20"/>
              </w:rPr>
              <w:t xml:space="preserve">. </w:t>
            </w:r>
            <w:r w:rsidR="002A69DD" w:rsidRPr="00495638">
              <w:rPr>
                <w:b/>
                <w:sz w:val="20"/>
                <w:szCs w:val="20"/>
              </w:rPr>
              <w:t>geodezyjny</w:t>
            </w:r>
          </w:p>
          <w:p w:rsidR="00922141" w:rsidRPr="00495638" w:rsidRDefault="00670DB4" w:rsidP="00FA7637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Przęsławice</w:t>
            </w:r>
          </w:p>
          <w:p w:rsidR="00922141" w:rsidRPr="00495638" w:rsidRDefault="00922141" w:rsidP="00922141">
            <w:pPr>
              <w:rPr>
                <w:sz w:val="20"/>
                <w:szCs w:val="20"/>
              </w:rPr>
            </w:pPr>
          </w:p>
          <w:p w:rsidR="00397723" w:rsidRPr="00495638" w:rsidRDefault="00397723" w:rsidP="00922141">
            <w:pPr>
              <w:rPr>
                <w:sz w:val="20"/>
                <w:szCs w:val="20"/>
              </w:rPr>
            </w:pPr>
          </w:p>
          <w:p w:rsidR="0036130A" w:rsidRPr="00495638" w:rsidRDefault="0036130A" w:rsidP="000657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0B34" w:rsidRPr="00495638" w:rsidRDefault="00670DB4" w:rsidP="004E717D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0,53</w:t>
            </w:r>
            <w:r w:rsidR="00922141" w:rsidRPr="00495638">
              <w:rPr>
                <w:b/>
                <w:sz w:val="20"/>
                <w:szCs w:val="20"/>
              </w:rPr>
              <w:t xml:space="preserve"> ha</w:t>
            </w:r>
          </w:p>
        </w:tc>
        <w:tc>
          <w:tcPr>
            <w:tcW w:w="1984" w:type="dxa"/>
          </w:tcPr>
          <w:p w:rsidR="002A69DD" w:rsidRPr="00495638" w:rsidRDefault="00922141" w:rsidP="00A6289E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Nieruchomość niezabudowana</w:t>
            </w:r>
            <w:r w:rsidR="00D22427" w:rsidRPr="00495638">
              <w:rPr>
                <w:b/>
                <w:sz w:val="20"/>
                <w:szCs w:val="20"/>
              </w:rPr>
              <w:t xml:space="preserve"> </w:t>
            </w:r>
            <w:r w:rsidR="00670DB4" w:rsidRPr="00495638">
              <w:rPr>
                <w:b/>
                <w:sz w:val="20"/>
                <w:szCs w:val="20"/>
              </w:rPr>
              <w:t>nie posiada dostępu do drogi publicznej.</w:t>
            </w:r>
            <w:r w:rsidR="00A6289E" w:rsidRPr="00495638">
              <w:rPr>
                <w:b/>
                <w:sz w:val="20"/>
                <w:szCs w:val="20"/>
              </w:rPr>
              <w:t xml:space="preserve"> Na działce znajdują się zakrzaczenia oraz samosiewy drzew liściastych. Stan zagospodarowania określono jako słaby.</w:t>
            </w:r>
          </w:p>
        </w:tc>
        <w:tc>
          <w:tcPr>
            <w:tcW w:w="1985" w:type="dxa"/>
          </w:tcPr>
          <w:p w:rsidR="0036130A" w:rsidRPr="00495638" w:rsidRDefault="00922141" w:rsidP="00922141">
            <w:pPr>
              <w:rPr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 xml:space="preserve">Działka znajduje się na terenach </w:t>
            </w:r>
            <w:r w:rsidR="00670DB4" w:rsidRPr="00495638">
              <w:rPr>
                <w:b/>
                <w:sz w:val="20"/>
                <w:szCs w:val="20"/>
              </w:rPr>
              <w:t>leśnych oraz łąkowo</w:t>
            </w:r>
            <w:r w:rsidR="00D22427" w:rsidRPr="00495638">
              <w:rPr>
                <w:b/>
                <w:sz w:val="20"/>
                <w:szCs w:val="20"/>
              </w:rPr>
              <w:t xml:space="preserve"> </w:t>
            </w:r>
            <w:r w:rsidR="00670DB4" w:rsidRPr="00495638">
              <w:rPr>
                <w:b/>
                <w:sz w:val="20"/>
                <w:szCs w:val="20"/>
              </w:rPr>
              <w:t xml:space="preserve">-leśnych, źródliskowych, </w:t>
            </w:r>
            <w:r w:rsidR="00A6289E" w:rsidRPr="00495638">
              <w:rPr>
                <w:b/>
                <w:sz w:val="20"/>
                <w:szCs w:val="20"/>
              </w:rPr>
              <w:t>(</w:t>
            </w:r>
            <w:proofErr w:type="spellStart"/>
            <w:r w:rsidR="00A6289E" w:rsidRPr="00495638">
              <w:rPr>
                <w:b/>
                <w:sz w:val="20"/>
                <w:szCs w:val="20"/>
              </w:rPr>
              <w:t>ozn</w:t>
            </w:r>
            <w:proofErr w:type="spellEnd"/>
            <w:r w:rsidR="00A6289E" w:rsidRPr="00495638">
              <w:rPr>
                <w:b/>
                <w:sz w:val="20"/>
                <w:szCs w:val="20"/>
              </w:rPr>
              <w:t xml:space="preserve">. symbolem RZ-RL), </w:t>
            </w:r>
            <w:r w:rsidR="00670DB4" w:rsidRPr="00495638">
              <w:rPr>
                <w:b/>
                <w:sz w:val="20"/>
                <w:szCs w:val="20"/>
              </w:rPr>
              <w:t>oraz znajduje się w strefie obszaru chronionego krajobrazu „Doliny Rzeki Jeziorki”</w:t>
            </w:r>
          </w:p>
        </w:tc>
        <w:tc>
          <w:tcPr>
            <w:tcW w:w="1275" w:type="dxa"/>
          </w:tcPr>
          <w:p w:rsidR="00484AF1" w:rsidRPr="00495638" w:rsidRDefault="00495638" w:rsidP="00484A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13 600,00</w:t>
            </w:r>
          </w:p>
        </w:tc>
        <w:tc>
          <w:tcPr>
            <w:tcW w:w="1843" w:type="dxa"/>
          </w:tcPr>
          <w:p w:rsidR="00922141" w:rsidRPr="00495638" w:rsidRDefault="00922141" w:rsidP="00922141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 xml:space="preserve">W drodze przetargu </w:t>
            </w:r>
            <w:r w:rsidR="00670DB4" w:rsidRPr="00495638">
              <w:rPr>
                <w:b/>
                <w:sz w:val="20"/>
                <w:szCs w:val="20"/>
              </w:rPr>
              <w:t xml:space="preserve">ustnego </w:t>
            </w:r>
            <w:r w:rsidRPr="00495638">
              <w:rPr>
                <w:b/>
                <w:sz w:val="20"/>
                <w:szCs w:val="20"/>
              </w:rPr>
              <w:t>ograniczonego</w:t>
            </w:r>
            <w:r w:rsidR="00A6289E" w:rsidRPr="00495638">
              <w:rPr>
                <w:b/>
                <w:sz w:val="20"/>
                <w:szCs w:val="20"/>
              </w:rPr>
              <w:t xml:space="preserve"> tj. dla właśc</w:t>
            </w:r>
            <w:r w:rsidR="00495638">
              <w:rPr>
                <w:b/>
                <w:sz w:val="20"/>
                <w:szCs w:val="20"/>
              </w:rPr>
              <w:t>icieli nieruchomości sąsiednich</w:t>
            </w:r>
          </w:p>
          <w:p w:rsidR="000A754C" w:rsidRPr="00495638" w:rsidRDefault="000A754C" w:rsidP="00D20EAA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0A754C" w:rsidRPr="00495638" w:rsidRDefault="00922141" w:rsidP="00495638">
            <w:pPr>
              <w:rPr>
                <w:b/>
                <w:sz w:val="20"/>
                <w:szCs w:val="20"/>
              </w:rPr>
            </w:pPr>
            <w:r w:rsidRPr="00495638">
              <w:rPr>
                <w:b/>
                <w:sz w:val="20"/>
                <w:szCs w:val="20"/>
              </w:rPr>
              <w:t>Jednorazowo przed sporządzeniem aktu notarialnego</w:t>
            </w:r>
          </w:p>
        </w:tc>
      </w:tr>
    </w:tbl>
    <w:p w:rsidR="00F15228" w:rsidRDefault="00F15228" w:rsidP="00E61E48">
      <w:pPr>
        <w:spacing w:after="0"/>
        <w:rPr>
          <w:b/>
          <w:sz w:val="24"/>
          <w:szCs w:val="24"/>
        </w:rPr>
      </w:pPr>
    </w:p>
    <w:p w:rsidR="00F15228" w:rsidRDefault="00F15228" w:rsidP="00E61E48">
      <w:pPr>
        <w:spacing w:after="0"/>
        <w:rPr>
          <w:b/>
          <w:sz w:val="24"/>
          <w:szCs w:val="24"/>
        </w:rPr>
      </w:pPr>
    </w:p>
    <w:p w:rsidR="00F15228" w:rsidRDefault="00F15228" w:rsidP="00E61E48">
      <w:pPr>
        <w:spacing w:after="0"/>
        <w:rPr>
          <w:b/>
          <w:sz w:val="24"/>
          <w:szCs w:val="24"/>
        </w:rPr>
      </w:pPr>
    </w:p>
    <w:p w:rsidR="00F15228" w:rsidRDefault="00F15228" w:rsidP="00E61E48">
      <w:pPr>
        <w:spacing w:after="0"/>
        <w:rPr>
          <w:b/>
          <w:sz w:val="24"/>
          <w:szCs w:val="24"/>
        </w:rPr>
      </w:pPr>
    </w:p>
    <w:p w:rsidR="00E61E48" w:rsidRDefault="00397723" w:rsidP="00E61E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Działka znajduje</w:t>
      </w:r>
      <w:r w:rsidR="000A754C">
        <w:rPr>
          <w:b/>
          <w:sz w:val="24"/>
          <w:szCs w:val="24"/>
        </w:rPr>
        <w:t xml:space="preserve"> się w strefie obszaru chronionego krajobrazu „Doliny Rzeki Jeziorki</w:t>
      </w:r>
      <w:r w:rsidR="00E61E48">
        <w:rPr>
          <w:b/>
          <w:sz w:val="24"/>
          <w:szCs w:val="24"/>
        </w:rPr>
        <w:t xml:space="preserve">, w powiecie grójeckim, woj. mazowieckie </w:t>
      </w:r>
    </w:p>
    <w:p w:rsidR="00AD5DFE" w:rsidRDefault="00E61E48" w:rsidP="004E71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 odległości ok. 40 km od Warszawy.</w:t>
      </w:r>
    </w:p>
    <w:p w:rsidR="000A754C" w:rsidRDefault="00C41C84" w:rsidP="004E717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Termin składania wniosków</w:t>
      </w:r>
      <w:r w:rsidR="000A754C">
        <w:rPr>
          <w:b/>
          <w:sz w:val="24"/>
          <w:szCs w:val="24"/>
        </w:rPr>
        <w:t xml:space="preserve"> przez osoby, którym przysługuje </w:t>
      </w:r>
      <w:r w:rsidR="00FC46A9">
        <w:rPr>
          <w:b/>
          <w:sz w:val="24"/>
          <w:szCs w:val="24"/>
        </w:rPr>
        <w:t xml:space="preserve">pierwszeństwo w nabyciu nieruchomości na podstawie art. 34 ust. 1 pkt 1 </w:t>
      </w:r>
      <w:r w:rsidR="000B017A">
        <w:rPr>
          <w:b/>
          <w:sz w:val="24"/>
          <w:szCs w:val="24"/>
        </w:rPr>
        <w:br/>
      </w:r>
      <w:r w:rsidR="00FC46A9">
        <w:rPr>
          <w:b/>
          <w:sz w:val="24"/>
          <w:szCs w:val="24"/>
        </w:rPr>
        <w:t>i pkt 2 ustawy z dnia 21 sierpnia 1997 r. o gospodarce</w:t>
      </w:r>
      <w:r w:rsidR="00D22427">
        <w:rPr>
          <w:b/>
          <w:sz w:val="24"/>
          <w:szCs w:val="24"/>
        </w:rPr>
        <w:t xml:space="preserve"> nieruchomościami (Dz. U. z 2016</w:t>
      </w:r>
      <w:r w:rsidR="00B3572E">
        <w:rPr>
          <w:b/>
          <w:sz w:val="24"/>
          <w:szCs w:val="24"/>
        </w:rPr>
        <w:t xml:space="preserve"> r. poz. </w:t>
      </w:r>
      <w:r w:rsidR="00773AD2">
        <w:rPr>
          <w:b/>
          <w:sz w:val="24"/>
          <w:szCs w:val="24"/>
        </w:rPr>
        <w:t>2147</w:t>
      </w:r>
      <w:r w:rsidR="00FC46A9">
        <w:rPr>
          <w:b/>
          <w:sz w:val="24"/>
          <w:szCs w:val="24"/>
        </w:rPr>
        <w:t xml:space="preserve"> z </w:t>
      </w:r>
      <w:proofErr w:type="spellStart"/>
      <w:r w:rsidR="00FC46A9">
        <w:rPr>
          <w:b/>
          <w:sz w:val="24"/>
          <w:szCs w:val="24"/>
        </w:rPr>
        <w:t>późn</w:t>
      </w:r>
      <w:proofErr w:type="spellEnd"/>
      <w:r w:rsidR="00FC46A9">
        <w:rPr>
          <w:b/>
          <w:sz w:val="24"/>
          <w:szCs w:val="24"/>
        </w:rPr>
        <w:t>. zm.) upływa po 6 tygodniach, licząc od dnia wywieszenia wykazu</w:t>
      </w:r>
      <w:r w:rsidR="0020504B">
        <w:rPr>
          <w:b/>
          <w:sz w:val="24"/>
          <w:szCs w:val="24"/>
        </w:rPr>
        <w:t>.</w:t>
      </w:r>
    </w:p>
    <w:p w:rsidR="0020504B" w:rsidRDefault="0020504B" w:rsidP="004E71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Niniejszy wykaz podlega wywieszeniu przez okres 21 dni na tablicy ogłoszeń Urzędu Gm</w:t>
      </w:r>
      <w:r w:rsidR="00C41C84">
        <w:rPr>
          <w:sz w:val="24"/>
          <w:szCs w:val="24"/>
        </w:rPr>
        <w:t>iny Pniewy, dodatkowo na stronach internetowych</w:t>
      </w:r>
      <w:r>
        <w:rPr>
          <w:sz w:val="24"/>
          <w:szCs w:val="24"/>
        </w:rPr>
        <w:t xml:space="preserve"> Urzędu </w:t>
      </w:r>
      <w:hyperlink r:id="rId4" w:history="1">
        <w:r>
          <w:rPr>
            <w:rStyle w:val="Hipercze"/>
            <w:sz w:val="24"/>
            <w:szCs w:val="24"/>
          </w:rPr>
          <w:t>www.pniewy.pl</w:t>
        </w:r>
      </w:hyperlink>
      <w:r>
        <w:rPr>
          <w:sz w:val="24"/>
          <w:szCs w:val="24"/>
        </w:rPr>
        <w:t xml:space="preserve">, </w:t>
      </w:r>
      <w:r w:rsidR="00C41C84">
        <w:rPr>
          <w:sz w:val="24"/>
          <w:szCs w:val="24"/>
        </w:rPr>
        <w:t>bip.pniewy.pl</w:t>
      </w:r>
      <w:r>
        <w:rPr>
          <w:sz w:val="24"/>
          <w:szCs w:val="24"/>
        </w:rPr>
        <w:t>, w prasie oraz w sposób zwyczajowo przyjęty w danej miejscowości.</w:t>
      </w:r>
    </w:p>
    <w:p w:rsidR="0079144B" w:rsidRDefault="0079144B" w:rsidP="00AD5DFE">
      <w:pPr>
        <w:rPr>
          <w:sz w:val="24"/>
          <w:szCs w:val="24"/>
        </w:rPr>
      </w:pPr>
      <w:r>
        <w:rPr>
          <w:sz w:val="24"/>
          <w:szCs w:val="24"/>
        </w:rPr>
        <w:t>Urząd Gminy Pniewy</w:t>
      </w:r>
      <w:r w:rsidR="00BF6937">
        <w:rPr>
          <w:sz w:val="24"/>
          <w:szCs w:val="24"/>
        </w:rPr>
        <w:t xml:space="preserve"> - Adres:</w:t>
      </w:r>
      <w:r>
        <w:rPr>
          <w:sz w:val="24"/>
          <w:szCs w:val="24"/>
        </w:rPr>
        <w:t xml:space="preserve"> Pniewy 2, 05-652 Pniewy, tel. 48 6686424</w:t>
      </w:r>
      <w:r w:rsidR="009B0606">
        <w:rPr>
          <w:sz w:val="24"/>
          <w:szCs w:val="24"/>
        </w:rPr>
        <w:t xml:space="preserve"> w. 105.</w:t>
      </w:r>
      <w:r w:rsidR="00BF6937">
        <w:rPr>
          <w:sz w:val="24"/>
          <w:szCs w:val="24"/>
        </w:rPr>
        <w:t xml:space="preserve">  </w:t>
      </w:r>
    </w:p>
    <w:p w:rsidR="00505EFF" w:rsidRPr="0020504B" w:rsidRDefault="00BF6937" w:rsidP="004E717D">
      <w:pPr>
        <w:spacing w:after="0"/>
        <w:ind w:left="8910"/>
        <w:rPr>
          <w:sz w:val="24"/>
          <w:szCs w:val="24"/>
        </w:rPr>
      </w:pPr>
      <w:r>
        <w:rPr>
          <w:sz w:val="24"/>
          <w:szCs w:val="24"/>
        </w:rPr>
        <w:t xml:space="preserve">Wójt Gminy Pniewy                                                                                                                                                                   </w:t>
      </w:r>
      <w:r w:rsidR="004E717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/-/ Wiesław Nasiłowski</w:t>
      </w:r>
    </w:p>
    <w:sectPr w:rsidR="00505EFF" w:rsidRPr="0020504B" w:rsidSect="00495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F6"/>
    <w:rsid w:val="0006575E"/>
    <w:rsid w:val="000A754C"/>
    <w:rsid w:val="000B017A"/>
    <w:rsid w:val="001A6752"/>
    <w:rsid w:val="001C3D6F"/>
    <w:rsid w:val="0020504B"/>
    <w:rsid w:val="002A69DD"/>
    <w:rsid w:val="002C76AE"/>
    <w:rsid w:val="002E35DF"/>
    <w:rsid w:val="0033524C"/>
    <w:rsid w:val="003567C3"/>
    <w:rsid w:val="0036130A"/>
    <w:rsid w:val="00392F9F"/>
    <w:rsid w:val="00397723"/>
    <w:rsid w:val="003B0297"/>
    <w:rsid w:val="003F702B"/>
    <w:rsid w:val="00484AF1"/>
    <w:rsid w:val="00495638"/>
    <w:rsid w:val="004E6EDB"/>
    <w:rsid w:val="004E717D"/>
    <w:rsid w:val="004F6E2B"/>
    <w:rsid w:val="00505EFF"/>
    <w:rsid w:val="00522140"/>
    <w:rsid w:val="00593A37"/>
    <w:rsid w:val="005D4949"/>
    <w:rsid w:val="00615A13"/>
    <w:rsid w:val="00670DB4"/>
    <w:rsid w:val="00745C82"/>
    <w:rsid w:val="00773AD2"/>
    <w:rsid w:val="0079144B"/>
    <w:rsid w:val="007A2BEF"/>
    <w:rsid w:val="007E781B"/>
    <w:rsid w:val="008810C0"/>
    <w:rsid w:val="008B1584"/>
    <w:rsid w:val="008F0B34"/>
    <w:rsid w:val="00922141"/>
    <w:rsid w:val="009716AC"/>
    <w:rsid w:val="00975211"/>
    <w:rsid w:val="009B0606"/>
    <w:rsid w:val="00A00B29"/>
    <w:rsid w:val="00A1648E"/>
    <w:rsid w:val="00A6289E"/>
    <w:rsid w:val="00A95B8F"/>
    <w:rsid w:val="00AD5DFE"/>
    <w:rsid w:val="00B3572E"/>
    <w:rsid w:val="00BA2EC7"/>
    <w:rsid w:val="00BF6937"/>
    <w:rsid w:val="00C311F8"/>
    <w:rsid w:val="00C41C84"/>
    <w:rsid w:val="00C54D92"/>
    <w:rsid w:val="00C77D32"/>
    <w:rsid w:val="00D061C7"/>
    <w:rsid w:val="00D168B1"/>
    <w:rsid w:val="00D20EAA"/>
    <w:rsid w:val="00D22427"/>
    <w:rsid w:val="00DB78F6"/>
    <w:rsid w:val="00DC558F"/>
    <w:rsid w:val="00DC6CA4"/>
    <w:rsid w:val="00E61E48"/>
    <w:rsid w:val="00F15228"/>
    <w:rsid w:val="00F833B0"/>
    <w:rsid w:val="00F91004"/>
    <w:rsid w:val="00FC46A9"/>
    <w:rsid w:val="00FD59CC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307F0-E361-4872-BF69-53834ABD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050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i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2015-06-29T09:10:00Z</cp:lastPrinted>
  <dcterms:created xsi:type="dcterms:W3CDTF">2017-04-19T10:14:00Z</dcterms:created>
  <dcterms:modified xsi:type="dcterms:W3CDTF">2017-05-23T06:18:00Z</dcterms:modified>
</cp:coreProperties>
</file>