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0445C">
        <w:rPr>
          <w:rFonts w:ascii="Times New Roman" w:hAnsi="Times New Roman"/>
          <w:sz w:val="20"/>
          <w:szCs w:val="20"/>
        </w:rPr>
        <w:t>Mirosław Szmalec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35D">
        <w:rPr>
          <w:rFonts w:ascii="Times New Roman" w:hAnsi="Times New Roman"/>
          <w:i/>
          <w:color w:val="000000"/>
          <w:sz w:val="24"/>
          <w:szCs w:val="24"/>
          <w:highlight w:val="white"/>
        </w:rPr>
        <w:t>Remonty cząstkowe dróg o nawierzchni emulsyjno-grysowej i asfaltowej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20445C"/>
    <w:rsid w:val="004176FA"/>
    <w:rsid w:val="005750DA"/>
    <w:rsid w:val="0073217A"/>
    <w:rsid w:val="008773C5"/>
    <w:rsid w:val="00A63DA5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Mirek</cp:lastModifiedBy>
  <cp:revision>2</cp:revision>
  <dcterms:created xsi:type="dcterms:W3CDTF">2017-05-16T08:13:00Z</dcterms:created>
  <dcterms:modified xsi:type="dcterms:W3CDTF">2017-05-16T08:13:00Z</dcterms:modified>
</cp:coreProperties>
</file>