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6" w:rsidRDefault="00B61F66" w:rsidP="00B61F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B61F66" w:rsidRDefault="00B61F66" w:rsidP="00B61F66"/>
    <w:p w:rsidR="00B61F66" w:rsidRDefault="00B61F66" w:rsidP="00B61F66"/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/..../2012</w:t>
      </w:r>
    </w:p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zawarta w dniu ……………. 2013</w:t>
      </w:r>
      <w:r w:rsidR="00B61F66">
        <w:t xml:space="preserve"> r. pomiędzy: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reprezentowanym przez: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zwanym dalej „WYKONAWCĄ”.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B61F66" w:rsidRPr="002A0919" w:rsidRDefault="00B61F66" w:rsidP="00B61F66">
      <w:pPr>
        <w:jc w:val="both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 w:rsidR="00601329">
        <w:rPr>
          <w:sz w:val="22"/>
          <w:szCs w:val="22"/>
        </w:rPr>
        <w:t>anie pn. „Modernizacja nawierzchni</w:t>
      </w:r>
      <w:r>
        <w:rPr>
          <w:sz w:val="22"/>
          <w:szCs w:val="22"/>
        </w:rPr>
        <w:t xml:space="preserve"> </w:t>
      </w:r>
      <w:r w:rsidRPr="002A0919">
        <w:rPr>
          <w:sz w:val="22"/>
          <w:szCs w:val="22"/>
        </w:rPr>
        <w:t xml:space="preserve"> drogi </w:t>
      </w:r>
      <w:r w:rsidR="00601329">
        <w:rPr>
          <w:sz w:val="22"/>
          <w:szCs w:val="22"/>
        </w:rPr>
        <w:t>dojazdowej do gruntów rolnych ul. Spółdzielczej w m. Gwoździany</w:t>
      </w:r>
      <w:r w:rsidRPr="002A0919">
        <w:rPr>
          <w:sz w:val="22"/>
          <w:szCs w:val="22"/>
        </w:rPr>
        <w:t xml:space="preserve">” zgodnie  z  wymaganiami określonymi przez Zamawiającego i zasadami wiedzy technicznej, na warunkach wskazanych w ofercie z dnia………..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B61F66" w:rsidRPr="002A0919" w:rsidRDefault="00B61F66" w:rsidP="00B61F66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>roz</w:t>
      </w:r>
      <w:r w:rsidR="00601329">
        <w:rPr>
          <w:rFonts w:cs="Arial"/>
        </w:rPr>
        <w:t>poczęcie robót: po</w:t>
      </w:r>
      <w:r w:rsidRPr="002A0919">
        <w:rPr>
          <w:rFonts w:cs="Arial"/>
        </w:rPr>
        <w:t xml:space="preserve"> podpisania umowy </w:t>
      </w:r>
      <w:r w:rsidRPr="002A0919">
        <w:rPr>
          <w:rFonts w:cs="Arial"/>
          <w:bCs/>
        </w:rPr>
        <w:t>,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 w:rsidR="00601329">
        <w:rPr>
          <w:rFonts w:cs="Arial"/>
          <w:b/>
        </w:rPr>
        <w:t>2</w:t>
      </w:r>
      <w:r>
        <w:rPr>
          <w:rFonts w:cs="Arial"/>
          <w:b/>
        </w:rPr>
        <w:t>0 września</w:t>
      </w:r>
      <w:r w:rsidRPr="002A0919">
        <w:rPr>
          <w:rFonts w:cs="Arial"/>
          <w:b/>
        </w:rPr>
        <w:t xml:space="preserve"> 2012 r.</w:t>
      </w:r>
    </w:p>
    <w:p w:rsidR="00B61F66" w:rsidRPr="00320675" w:rsidRDefault="00B61F66" w:rsidP="00B61F66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dokumentacji technicznej, specyfikacji technicznej wykonania i odbioru robót, które Zamawiający przekaże Wykonawcy w ciągu siedmiu dni od daty podpisania umowy.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B61F66" w:rsidRDefault="00B61F66" w:rsidP="00B61F66">
      <w:pPr>
        <w:ind w:left="720"/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Pr="00B27FB1" w:rsidRDefault="00B61F66" w:rsidP="00B61F66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B61F66" w:rsidRPr="00BE10D8" w:rsidRDefault="00B61F66" w:rsidP="00B61F66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B61F66" w:rsidRPr="00BE10D8" w:rsidRDefault="00B61F66" w:rsidP="00B61F66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>Podstawą wystawienia faktur jest bezusterkowy protokół odbioru wykonanych robót, 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lastRenderedPageBreak/>
        <w:t xml:space="preserve">Wykonawca nie może pod rygorem nieważności – bez pisemnej i uprzedniej zgody Zamawiającego przenieść na osobę trzecią żadnej wierzytelności wynikającej z niniejszej umowy. 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B61F66" w:rsidRDefault="00B61F66" w:rsidP="00B61F66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inwentaryzację geodezyjną powykonawczą wraz z zestawieniem długości i średnic poszczególnych robót podpisanym przez geodetę;</w:t>
      </w:r>
    </w:p>
    <w:p w:rsidR="00B61F66" w:rsidRPr="00C752D7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 dokumenty niezbędne do odbioru wykonanych robót.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B61F66" w:rsidRDefault="00B61F66" w:rsidP="00B61F66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zapewni ustalenie w umowach z podwykonawcami takiego okresu odpowiedzialności za wady, aby nie był on krótszy od okresu odpowiedzialności za wady Wykonawcy wobec Zamawiającego.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Umowę sporządzono w trz</w:t>
      </w:r>
      <w:r w:rsidR="00B61F66">
        <w:t>ech j</w:t>
      </w:r>
      <w:r>
        <w:t>ednobrzmiących egzemplarzach, z czego</w:t>
      </w:r>
      <w:r w:rsidR="00B61F66">
        <w:t xml:space="preserve"> dwa </w:t>
      </w:r>
      <w:r>
        <w:t>egzemplarze otrzymuje Zamawiający a jeden Wykonawca</w:t>
      </w:r>
      <w:r w:rsidR="00B61F66">
        <w:t>.</w:t>
      </w: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B61F66" w:rsidRDefault="00B61F66" w:rsidP="00B61F66">
      <w:pPr>
        <w:jc w:val="both"/>
      </w:pPr>
    </w:p>
    <w:p w:rsidR="00B61F66" w:rsidRDefault="00B61F66" w:rsidP="00B61F66">
      <w:pPr>
        <w:pStyle w:val="NormalnyWeb1"/>
        <w:spacing w:before="0" w:beforeAutospacing="0" w:after="0"/>
      </w:pPr>
    </w:p>
    <w:p w:rsidR="00B61F66" w:rsidRPr="007556C5" w:rsidRDefault="00B61F66" w:rsidP="00B61F66"/>
    <w:p w:rsidR="00B61F66" w:rsidRDefault="00B61F66" w:rsidP="00B61F66"/>
    <w:p w:rsidR="00CF49FE" w:rsidRDefault="00CF49FE"/>
    <w:sectPr w:rsidR="00CF49FE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F66"/>
    <w:rsid w:val="00601329"/>
    <w:rsid w:val="00B61F66"/>
    <w:rsid w:val="00BD2A40"/>
    <w:rsid w:val="00C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1F66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1F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B61F66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B61F66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B61F6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2390</Words>
  <Characters>14345</Characters>
  <Application>Microsoft Office Word</Application>
  <DocSecurity>0</DocSecurity>
  <Lines>119</Lines>
  <Paragraphs>33</Paragraphs>
  <ScaleCrop>false</ScaleCrop>
  <Company>Urząd Gminy Pawonków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4</cp:revision>
  <dcterms:created xsi:type="dcterms:W3CDTF">2012-07-30T12:57:00Z</dcterms:created>
  <dcterms:modified xsi:type="dcterms:W3CDTF">2013-07-08T12:18:00Z</dcterms:modified>
</cp:coreProperties>
</file>