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"/>
        <w:spacing w:lineRule="auto" w:line="276" w:before="0" w:after="0"/>
        <w:rPr/>
      </w:pPr>
      <w:r>
        <w:rPr>
          <w:rStyle w:val="Domylnaczcionkaakapitu"/>
          <w:rFonts w:eastAsia="Times New Roman" w:ascii="Times New Roman" w:hAnsi="Times New Roman"/>
          <w:b/>
          <w:kern w:val="0"/>
          <w:sz w:val="22"/>
          <w:szCs w:val="22"/>
          <w:lang w:eastAsia="ar-SA"/>
        </w:rPr>
        <w:t xml:space="preserve">Wójt Gminy Ostrów Mazowiecka                                </w:t>
      </w:r>
      <w:r>
        <w:rPr>
          <w:rStyle w:val="Domylnaczcionkaakapitu"/>
          <w:rFonts w:eastAsia="Times New Roman" w:ascii="Times New Roman" w:hAnsi="Times New Roman"/>
          <w:b w:val="false"/>
          <w:bCs w:val="false"/>
          <w:kern w:val="0"/>
          <w:sz w:val="22"/>
          <w:szCs w:val="22"/>
          <w:lang w:eastAsia="ar-SA"/>
        </w:rPr>
        <w:t xml:space="preserve">  Ostrów Mazowiecka, dnia 7 czerwca 2024 r.</w:t>
      </w:r>
    </w:p>
    <w:p>
      <w:pPr>
        <w:pStyle w:val="Normalny"/>
        <w:spacing w:lineRule="auto" w:line="276" w:before="0" w:after="0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kern w:val="0"/>
          <w:sz w:val="22"/>
          <w:szCs w:val="22"/>
          <w:lang w:eastAsia="ar-SA"/>
        </w:rPr>
        <w:t>ul. gen. Władysława Sikorskiego 5</w:t>
      </w:r>
    </w:p>
    <w:p>
      <w:pPr>
        <w:pStyle w:val="Normalny"/>
        <w:spacing w:lineRule="auto" w:line="276" w:before="0" w:after="0"/>
        <w:rPr/>
      </w:pPr>
      <w:r>
        <w:rPr>
          <w:rStyle w:val="Domylnaczcionkaakapitu"/>
          <w:rFonts w:eastAsia="Times New Roman" w:ascii="Times New Roman" w:hAnsi="Times New Roman"/>
          <w:b/>
          <w:kern w:val="0"/>
          <w:sz w:val="22"/>
          <w:szCs w:val="22"/>
          <w:lang w:eastAsia="ar-SA"/>
        </w:rPr>
        <w:t xml:space="preserve">07-300 Ostrów Mazowiecka                                            </w:t>
      </w:r>
    </w:p>
    <w:p>
      <w:pPr>
        <w:pStyle w:val="Normalny"/>
        <w:spacing w:lineRule="auto" w:line="276" w:before="0" w:after="0"/>
        <w:rPr>
          <w:rFonts w:ascii="Times New Roman" w:hAnsi="Times New Roman" w:eastAsia="Times New Roman"/>
          <w:b/>
          <w:kern w:val="0"/>
          <w:sz w:val="22"/>
          <w:szCs w:val="22"/>
          <w:lang w:eastAsia="ar-SA"/>
        </w:rPr>
      </w:pPr>
      <w:r>
        <w:rPr>
          <w:rFonts w:eastAsia="Times New Roman" w:ascii="Times New Roman" w:hAnsi="Times New Roman"/>
          <w:b/>
          <w:kern w:val="0"/>
          <w:sz w:val="22"/>
          <w:szCs w:val="22"/>
          <w:lang w:eastAsia="ar-SA"/>
        </w:rPr>
      </w:r>
    </w:p>
    <w:p>
      <w:pPr>
        <w:pStyle w:val="Normalny"/>
        <w:spacing w:lineRule="auto" w:line="276" w:before="0" w:after="0"/>
        <w:rPr>
          <w:rFonts w:ascii="Times New Roman" w:hAnsi="Times New Roman"/>
        </w:rPr>
      </w:pPr>
      <w:bookmarkStart w:id="0" w:name="_Hlk95212834"/>
      <w:bookmarkEnd w:id="0"/>
      <w:r>
        <w:rPr>
          <w:rFonts w:eastAsia="Times New Roman" w:ascii="Times New Roman" w:hAnsi="Times New Roman"/>
          <w:b/>
          <w:kern w:val="0"/>
          <w:sz w:val="22"/>
          <w:szCs w:val="22"/>
          <w:lang w:eastAsia="ar-SA"/>
        </w:rPr>
        <w:t>R.6220.6.2024</w:t>
      </w:r>
    </w:p>
    <w:p>
      <w:pPr>
        <w:pStyle w:val="Normalny"/>
        <w:spacing w:lineRule="auto" w:line="276" w:before="0" w:after="0"/>
        <w:rPr>
          <w:rFonts w:ascii="Times New Roman" w:hAnsi="Times New Roman"/>
        </w:rPr>
      </w:pPr>
      <w:bookmarkStart w:id="1" w:name="_Hlk95212834_kopia_1"/>
      <w:bookmarkEnd w:id="1"/>
      <w:r>
        <w:rPr>
          <w:rFonts w:eastAsia="Times New Roman" w:ascii="Times New Roman" w:hAnsi="Times New Roman"/>
          <w:kern w:val="0"/>
          <w:sz w:val="22"/>
          <w:szCs w:val="22"/>
          <w:lang w:eastAsia="ar-SA"/>
        </w:rPr>
        <w:tab/>
        <w:tab/>
      </w:r>
    </w:p>
    <w:p>
      <w:pPr>
        <w:pStyle w:val="Normalny"/>
        <w:spacing w:lineRule="auto" w:line="276" w:before="0" w:after="0"/>
        <w:jc w:val="right"/>
        <w:rPr>
          <w:rFonts w:ascii="Times New Roman" w:hAnsi="Times New Roman"/>
        </w:rPr>
      </w:pPr>
      <w:r>
        <w:rPr>
          <w:rFonts w:eastAsia="Times New Roman" w:ascii="Times New Roman" w:hAnsi="Times New Roman"/>
          <w:kern w:val="0"/>
          <w:sz w:val="24"/>
          <w:szCs w:val="24"/>
          <w:lang w:eastAsia="ar-SA"/>
        </w:rPr>
        <w:tab/>
        <w:tab/>
      </w:r>
    </w:p>
    <w:p>
      <w:pPr>
        <w:pStyle w:val="Normalny"/>
        <w:keepNext w:val="true"/>
        <w:numPr>
          <w:ilvl w:val="1"/>
          <w:numId w:val="1"/>
        </w:numPr>
        <w:tabs>
          <w:tab w:val="clear" w:pos="709"/>
          <w:tab w:val="left" w:pos="0" w:leader="none"/>
        </w:tabs>
        <w:spacing w:lineRule="auto" w:line="276" w:before="0" w:after="0"/>
        <w:jc w:val="center"/>
        <w:outlineLvl w:val="1"/>
        <w:rPr>
          <w:rFonts w:ascii="Times New Roman" w:hAnsi="Times New Roman"/>
        </w:rPr>
      </w:pPr>
      <w:bookmarkStart w:id="2" w:name="_Hlk95212972"/>
      <w:r>
        <w:rPr>
          <w:rFonts w:eastAsia="Times New Roman" w:ascii="Times New Roman" w:hAnsi="Times New Roman"/>
          <w:b/>
          <w:bCs/>
          <w:iCs/>
          <w:kern w:val="0"/>
          <w:sz w:val="24"/>
          <w:szCs w:val="24"/>
          <w:lang w:eastAsia="ar-SA"/>
        </w:rPr>
        <w:t>ZAWIADOMIENIE-OBWIESZCZENIE</w:t>
      </w:r>
      <w:bookmarkEnd w:id="2"/>
      <w:r>
        <w:rPr>
          <w:rFonts w:eastAsia="Times New Roman" w:ascii="Times New Roman" w:hAnsi="Times New Roman"/>
          <w:b/>
          <w:bCs/>
          <w:iCs/>
          <w:kern w:val="0"/>
          <w:sz w:val="22"/>
          <w:szCs w:val="22"/>
          <w:lang w:eastAsia="ar-SA"/>
        </w:rPr>
        <w:br/>
        <w:t xml:space="preserve">o wszczęciu postępowania administracyjnego w sprawie wydania </w:t>
        <w:br/>
        <w:t>decyzji o środowiskowych uwarunkowaniach</w:t>
      </w:r>
    </w:p>
    <w:p>
      <w:pPr>
        <w:pStyle w:val="Normalny"/>
        <w:spacing w:lineRule="auto" w:line="276" w:before="0" w:after="0"/>
        <w:jc w:val="center"/>
        <w:rPr>
          <w:rFonts w:ascii="Times New Roman" w:hAnsi="Times New Roman" w:eastAsia="Times New Roman"/>
          <w:b/>
          <w:kern w:val="0"/>
          <w:sz w:val="22"/>
          <w:szCs w:val="22"/>
          <w:lang w:eastAsia="ar-SA"/>
        </w:rPr>
      </w:pPr>
      <w:r>
        <w:rPr>
          <w:rFonts w:eastAsia="Times New Roman" w:ascii="Times New Roman" w:hAnsi="Times New Roman"/>
          <w:b/>
          <w:kern w:val="0"/>
          <w:sz w:val="22"/>
          <w:szCs w:val="22"/>
          <w:lang w:eastAsia="ar-SA"/>
        </w:rPr>
      </w:r>
    </w:p>
    <w:p>
      <w:pPr>
        <w:pStyle w:val="Normalny"/>
        <w:spacing w:lineRule="auto" w:line="276" w:before="0" w:after="0"/>
        <w:ind w:firstLine="708"/>
        <w:jc w:val="both"/>
        <w:rPr/>
      </w:pPr>
      <w:r>
        <w:rPr>
          <w:rStyle w:val="Domylnaczcionkaakapitu"/>
          <w:rFonts w:eastAsia="Times New Roman" w:ascii="Times New Roman" w:hAnsi="Times New Roman"/>
          <w:bCs/>
          <w:kern w:val="0"/>
          <w:sz w:val="22"/>
          <w:szCs w:val="22"/>
          <w:lang w:eastAsia="ar-SA"/>
        </w:rPr>
        <w:t xml:space="preserve">Zgodnie z art. 61 § 4 i art. 49 ustawy z dnia 14 czerwca 1960 r. - Kodeks postępowania administracyjnego (t.j. Dz. U. z 2024 r. poz. 572), </w:t>
      </w:r>
      <w:r>
        <w:rPr>
          <w:rStyle w:val="Domylnaczcionkaakapitu"/>
          <w:rFonts w:eastAsia="Times New Roman" w:ascii="Times New Roman" w:hAnsi="Times New Roman"/>
          <w:kern w:val="0"/>
          <w:sz w:val="22"/>
          <w:szCs w:val="22"/>
          <w:lang w:eastAsia="ar-SA"/>
        </w:rPr>
        <w:t>w związku z art. 74 ust. 3 ustawy z dnia</w:t>
        <w:br/>
        <w:t>3 października 2008 r. o udostępnianiu informacji o środowisku i jego ochronie, udziale społeczeństwa w ochronie środowiska oraz o ocenach oddziaływania na środowisko (</w:t>
      </w:r>
      <w:bookmarkStart w:id="3" w:name="_Hlk146101511"/>
      <w:r>
        <w:rPr>
          <w:rStyle w:val="Domylnaczcionkaakapitu"/>
          <w:rFonts w:eastAsia="Times New Roman" w:ascii="Times New Roman" w:hAnsi="Times New Roman"/>
          <w:kern w:val="0"/>
          <w:sz w:val="22"/>
          <w:szCs w:val="22"/>
          <w:lang w:eastAsia="ar-SA"/>
        </w:rPr>
        <w:t>Dz. U. z 2023 r. poz. 1094 z późn. zm.</w:t>
      </w:r>
      <w:bookmarkEnd w:id="3"/>
      <w:r>
        <w:rPr>
          <w:rStyle w:val="Domylnaczcionkaakapitu"/>
          <w:rFonts w:eastAsia="Times New Roman" w:ascii="Times New Roman" w:hAnsi="Times New Roman"/>
          <w:kern w:val="0"/>
          <w:sz w:val="22"/>
          <w:szCs w:val="22"/>
          <w:lang w:eastAsia="ar-SA"/>
        </w:rPr>
        <w:t>), Wójt Gminy Ostrów Mazowiecka,</w:t>
      </w:r>
    </w:p>
    <w:p>
      <w:pPr>
        <w:pStyle w:val="Normalny"/>
        <w:spacing w:lineRule="auto" w:line="276" w:before="0" w:after="0"/>
        <w:ind w:firstLine="708"/>
        <w:jc w:val="both"/>
        <w:rPr>
          <w:rFonts w:ascii="Times New Roman" w:hAnsi="Times New Roman" w:eastAsia="Times New Roman"/>
          <w:bCs/>
          <w:kern w:val="0"/>
          <w:sz w:val="22"/>
          <w:szCs w:val="22"/>
          <w:lang w:eastAsia="ar-SA"/>
        </w:rPr>
      </w:pPr>
      <w:r>
        <w:rPr>
          <w:rFonts w:eastAsia="Times New Roman" w:ascii="Times New Roman" w:hAnsi="Times New Roman"/>
          <w:bCs/>
          <w:kern w:val="0"/>
          <w:sz w:val="22"/>
          <w:szCs w:val="22"/>
          <w:lang w:eastAsia="ar-SA"/>
        </w:rPr>
      </w:r>
    </w:p>
    <w:p>
      <w:pPr>
        <w:pStyle w:val="Normalny"/>
        <w:spacing w:lineRule="auto" w:line="276" w:before="0" w:after="0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kern w:val="0"/>
          <w:sz w:val="22"/>
          <w:szCs w:val="22"/>
          <w:lang w:eastAsia="ar-SA"/>
        </w:rPr>
        <w:t>zawiadamia strony postępowania</w:t>
      </w:r>
    </w:p>
    <w:p>
      <w:pPr>
        <w:pStyle w:val="Normalny"/>
        <w:spacing w:lineRule="auto" w:line="276" w:before="0" w:after="0"/>
        <w:jc w:val="center"/>
        <w:rPr>
          <w:rFonts w:ascii="Times New Roman" w:hAnsi="Times New Roman" w:eastAsia="Times New Roman"/>
          <w:b/>
          <w:kern w:val="0"/>
          <w:sz w:val="22"/>
          <w:szCs w:val="22"/>
          <w:lang w:eastAsia="ar-SA"/>
        </w:rPr>
      </w:pPr>
      <w:r>
        <w:rPr>
          <w:rFonts w:eastAsia="Times New Roman" w:ascii="Times New Roman" w:hAnsi="Times New Roman"/>
          <w:b/>
          <w:kern w:val="0"/>
          <w:sz w:val="22"/>
          <w:szCs w:val="22"/>
          <w:lang w:eastAsia="ar-SA"/>
        </w:rPr>
      </w:r>
    </w:p>
    <w:p>
      <w:pPr>
        <w:pStyle w:val="Normalny"/>
        <w:spacing w:lineRule="auto" w:line="276" w:before="0" w:after="0"/>
        <w:jc w:val="both"/>
        <w:rPr/>
      </w:pPr>
      <w:r>
        <w:rPr>
          <w:rStyle w:val="Domylnaczcionkaakapitu"/>
          <w:rFonts w:eastAsia="Times New Roman" w:ascii="Times New Roman" w:hAnsi="Times New Roman"/>
          <w:kern w:val="0"/>
          <w:sz w:val="22"/>
          <w:szCs w:val="22"/>
          <w:lang w:eastAsia="ar-SA"/>
        </w:rPr>
        <w:t xml:space="preserve">że w dniu 4 czerwca 2024 r. zostało wszczęte postępowanie administracyjne w sprawie wydania decyzji o środowiskowych uwarunkowaniach zgody na realizację </w:t>
      </w:r>
      <w:bookmarkStart w:id="4" w:name="_Hlk95213223"/>
      <w:r>
        <w:rPr>
          <w:rStyle w:val="Domylnaczcionkaakapitu"/>
          <w:rFonts w:eastAsia="Times New Roman" w:ascii="Times New Roman" w:hAnsi="Times New Roman"/>
          <w:kern w:val="0"/>
          <w:sz w:val="22"/>
          <w:szCs w:val="22"/>
          <w:lang w:eastAsia="ar-SA"/>
        </w:rPr>
        <w:t xml:space="preserve">przedsięwzięcia pn. </w:t>
      </w:r>
      <w:bookmarkEnd w:id="4"/>
      <w:r>
        <w:rPr>
          <w:rStyle w:val="Domylnaczcionkaakapitu"/>
          <w:rFonts w:eastAsia="Calibri" w:ascii="Times New Roman" w:hAnsi="Times New Roman"/>
          <w:b/>
          <w:bCs/>
          <w:i/>
          <w:kern w:val="0"/>
          <w:sz w:val="22"/>
          <w:szCs w:val="22"/>
          <w:lang w:eastAsia="ar-SA"/>
        </w:rPr>
        <w:t>„</w:t>
      </w:r>
      <w:r>
        <w:rPr>
          <w:rStyle w:val="Domylnaczcionkaakapitu"/>
          <w:rFonts w:eastAsia="Times New Roman" w:ascii="Times New Roman" w:hAnsi="Times New Roman"/>
          <w:b/>
          <w:bCs/>
          <w:i/>
          <w:kern w:val="0"/>
          <w:sz w:val="22"/>
          <w:szCs w:val="22"/>
          <w:lang w:eastAsia="ar-SA"/>
        </w:rPr>
        <w:t xml:space="preserve">Rozbudowa </w:t>
      </w:r>
      <w:r>
        <w:rPr>
          <w:rStyle w:val="Domylnaczcionkaakapitu"/>
          <w:rFonts w:eastAsia="Times New Roman" w:ascii="Times New Roman" w:hAnsi="Times New Roman"/>
          <w:b/>
          <w:bCs/>
          <w:i/>
          <w:kern w:val="0"/>
          <w:sz w:val="22"/>
          <w:szCs w:val="22"/>
          <w:lang w:eastAsia="ar-SA"/>
        </w:rPr>
        <w:t>obory</w:t>
      </w:r>
      <w:r>
        <w:rPr>
          <w:rStyle w:val="Domylnaczcionkaakapitu"/>
          <w:rFonts w:eastAsia="Times New Roman" w:ascii="Times New Roman" w:hAnsi="Times New Roman"/>
          <w:b/>
          <w:bCs/>
          <w:i/>
          <w:kern w:val="0"/>
          <w:sz w:val="22"/>
          <w:szCs w:val="22"/>
          <w:lang w:eastAsia="ar-SA"/>
        </w:rPr>
        <w:t xml:space="preserve"> wielostanowiskowej dla bydła mlecznego wraz z niezbędną infrastrukturą towarzyszącą na terenie nieruchomości oznaczonej numerem ew. 318/9, 318/1 położonej w Sielc, gmina Ostrów Mazowiecka, powiat ostrowski, województwo mazowieckie”.</w:t>
      </w:r>
    </w:p>
    <w:p>
      <w:pPr>
        <w:pStyle w:val="Normalny"/>
        <w:spacing w:lineRule="auto" w:line="276" w:before="0" w:after="0"/>
        <w:ind w:firstLine="708"/>
        <w:jc w:val="both"/>
        <w:textAlignment w:val="auto"/>
        <w:rPr>
          <w:rFonts w:ascii="Times New Roman" w:hAnsi="Times New Roman"/>
        </w:rPr>
      </w:pPr>
      <w:r>
        <w:rPr>
          <w:rFonts w:eastAsia="Times New Roman" w:ascii="Times New Roman" w:hAnsi="Times New Roman"/>
          <w:kern w:val="0"/>
          <w:sz w:val="22"/>
          <w:szCs w:val="22"/>
          <w:lang w:eastAsia="ar-SA"/>
        </w:rPr>
        <w:t xml:space="preserve">Jednocześnie informuje się strony postępowania, że Wójt Gminy Ostrów Mazowiecka wystąpił w dniu </w:t>
      </w:r>
      <w:r>
        <w:rPr>
          <w:rFonts w:eastAsia="Times New Roman" w:ascii="Times New Roman" w:hAnsi="Times New Roman"/>
          <w:kern w:val="0"/>
          <w:sz w:val="22"/>
          <w:szCs w:val="22"/>
          <w:lang w:eastAsia="ar-SA"/>
        </w:rPr>
        <w:t>7</w:t>
      </w:r>
      <w:r>
        <w:rPr>
          <w:rFonts w:eastAsia="Times New Roman" w:ascii="Times New Roman" w:hAnsi="Times New Roman"/>
          <w:kern w:val="0"/>
          <w:sz w:val="22"/>
          <w:szCs w:val="22"/>
          <w:lang w:eastAsia="ar-SA"/>
        </w:rPr>
        <w:t xml:space="preserve"> czerwca 2024 r. do Regionalnego Dyrektora Ochrony Środowiska w Warszawie, Państwowego Powiatowego Inspektora Sanitarnego w Ostrowi Mazowieckiej oraz Dyrektora Regionalnego Zarządu Gospodarki Wodnej w </w:t>
      </w:r>
      <w:r>
        <w:rPr>
          <w:rFonts w:eastAsia="Times New Roman" w:ascii="Times New Roman" w:hAnsi="Times New Roman"/>
          <w:kern w:val="0"/>
          <w:sz w:val="22"/>
          <w:szCs w:val="22"/>
          <w:lang w:eastAsia="ar-SA"/>
        </w:rPr>
        <w:t>Białymstoku</w:t>
      </w:r>
      <w:r>
        <w:rPr>
          <w:rFonts w:eastAsia="Times New Roman" w:ascii="Times New Roman" w:hAnsi="Times New Roman"/>
          <w:kern w:val="0"/>
          <w:sz w:val="22"/>
          <w:szCs w:val="22"/>
          <w:lang w:eastAsia="ar-SA"/>
        </w:rPr>
        <w:t xml:space="preserve"> o opinię co do konieczności przeprowadzenia oceny oddziaływania przedsięwzięcia na środowisko, a w przypadku stwierdzenia takiego obowiązku, o określenie zakresu raportu o oddziaływaniu na środowisko wnioskowanego przedsięwzięcia. </w:t>
      </w:r>
    </w:p>
    <w:p>
      <w:pPr>
        <w:pStyle w:val="Normalny"/>
        <w:spacing w:lineRule="auto" w:line="276" w:before="0" w:after="0"/>
        <w:ind w:firstLine="708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kern w:val="0"/>
          <w:sz w:val="22"/>
          <w:szCs w:val="22"/>
          <w:lang w:eastAsia="ar-SA"/>
        </w:rPr>
        <w:t>W związku z powyższym, w terminie 14 dni od daty otrzymania zawiadomienia strony mogą zapoznać się z aktami sprawy, wnieść swoje uwagi i zastrzeżenia w Urzędzie Gminy w Ostrowi Mazowieckiej, ul. gen. Władysława Sikorskiego 5, w pokoju nr 3 – w godzinach pracy urzędu.</w:t>
      </w:r>
    </w:p>
    <w:p>
      <w:pPr>
        <w:pStyle w:val="Normalny"/>
        <w:spacing w:lineRule="auto" w:line="276" w:before="0" w:after="0"/>
        <w:jc w:val="both"/>
        <w:rPr>
          <w:rFonts w:ascii="Times New Roman" w:hAnsi="Times New Roman" w:eastAsia="Times New Roman"/>
          <w:kern w:val="0"/>
          <w:sz w:val="22"/>
          <w:szCs w:val="22"/>
          <w:lang w:eastAsia="ar-SA"/>
        </w:rPr>
      </w:pPr>
      <w:r>
        <w:rPr>
          <w:rFonts w:eastAsia="Times New Roman" w:ascii="Times New Roman" w:hAnsi="Times New Roman"/>
          <w:kern w:val="0"/>
          <w:sz w:val="22"/>
          <w:szCs w:val="22"/>
          <w:lang w:eastAsia="ar-SA"/>
        </w:rPr>
      </w:r>
    </w:p>
    <w:p>
      <w:pPr>
        <w:pStyle w:val="Normalny"/>
        <w:spacing w:lineRule="auto" w:line="276" w:before="0" w:after="0"/>
        <w:jc w:val="both"/>
        <w:rPr>
          <w:rFonts w:ascii="Times New Roman" w:hAnsi="Times New Roman" w:eastAsia="Times New Roman"/>
          <w:kern w:val="0"/>
          <w:sz w:val="22"/>
          <w:szCs w:val="22"/>
          <w:lang w:eastAsia="ar-SA"/>
        </w:rPr>
      </w:pPr>
      <w:r>
        <w:rPr>
          <w:rFonts w:eastAsia="Times New Roman" w:ascii="Times New Roman" w:hAnsi="Times New Roman"/>
          <w:kern w:val="0"/>
          <w:sz w:val="22"/>
          <w:szCs w:val="22"/>
          <w:lang w:eastAsia="ar-SA"/>
        </w:rPr>
      </w:r>
    </w:p>
    <w:p>
      <w:pPr>
        <w:pStyle w:val="Normalny"/>
        <w:spacing w:lineRule="auto" w:line="276" w:before="0" w:after="0"/>
        <w:jc w:val="both"/>
        <w:rPr>
          <w:rFonts w:ascii="Times New Roman" w:hAnsi="Times New Roman" w:eastAsia="Times New Roman"/>
          <w:b/>
          <w:kern w:val="0"/>
          <w:sz w:val="20"/>
          <w:szCs w:val="20"/>
          <w:lang w:eastAsia="ar-SA"/>
        </w:rPr>
      </w:pPr>
      <w:r>
        <w:rPr>
          <w:rFonts w:eastAsia="Times New Roman" w:ascii="Times New Roman" w:hAnsi="Times New Roman"/>
          <w:b/>
          <w:kern w:val="0"/>
          <w:sz w:val="20"/>
          <w:szCs w:val="20"/>
          <w:lang w:eastAsia="ar-SA"/>
        </w:rPr>
      </w:r>
    </w:p>
    <w:p>
      <w:pPr>
        <w:pStyle w:val="Normalny"/>
        <w:spacing w:lineRule="auto" w:line="276" w:before="0" w:after="0"/>
        <w:jc w:val="both"/>
        <w:rPr>
          <w:rFonts w:ascii="Times New Roman" w:hAnsi="Times New Roman" w:eastAsia="Times New Roman"/>
          <w:b/>
          <w:kern w:val="0"/>
          <w:sz w:val="20"/>
          <w:szCs w:val="20"/>
          <w:lang w:eastAsia="ar-SA"/>
        </w:rPr>
      </w:pPr>
      <w:r>
        <w:rPr>
          <w:rFonts w:eastAsia="Times New Roman" w:ascii="Times New Roman" w:hAnsi="Times New Roman"/>
          <w:b/>
          <w:kern w:val="0"/>
          <w:sz w:val="20"/>
          <w:szCs w:val="20"/>
          <w:lang w:eastAsia="ar-SA"/>
        </w:rPr>
      </w:r>
    </w:p>
    <w:p>
      <w:pPr>
        <w:pStyle w:val="Normalny"/>
        <w:spacing w:lineRule="auto" w:line="276" w:before="0" w:after="0"/>
        <w:jc w:val="both"/>
        <w:rPr>
          <w:rFonts w:ascii="Times New Roman" w:hAnsi="Times New Roman" w:eastAsia="Times New Roman"/>
          <w:b/>
          <w:kern w:val="0"/>
          <w:sz w:val="20"/>
          <w:szCs w:val="20"/>
          <w:lang w:eastAsia="ar-SA"/>
        </w:rPr>
      </w:pPr>
      <w:r>
        <w:rPr>
          <w:rFonts w:eastAsia="Times New Roman" w:ascii="Times New Roman" w:hAnsi="Times New Roman"/>
          <w:b/>
          <w:kern w:val="0"/>
          <w:sz w:val="20"/>
          <w:szCs w:val="20"/>
          <w:lang w:eastAsia="ar-SA"/>
        </w:rPr>
      </w:r>
    </w:p>
    <w:p>
      <w:pPr>
        <w:pStyle w:val="Normalny"/>
        <w:spacing w:lineRule="auto" w:line="276" w:before="0" w:after="0"/>
        <w:jc w:val="both"/>
        <w:rPr>
          <w:rFonts w:ascii="Times New Roman" w:hAnsi="Times New Roman"/>
        </w:rPr>
      </w:pPr>
      <w:bookmarkStart w:id="5" w:name="_Hlk124412004"/>
      <w:bookmarkEnd w:id="5"/>
      <w:r>
        <w:rPr>
          <w:rFonts w:eastAsia="Times New Roman" w:ascii="Times New Roman" w:hAnsi="Times New Roman"/>
          <w:b/>
          <w:kern w:val="0"/>
          <w:sz w:val="20"/>
          <w:szCs w:val="20"/>
          <w:u w:val="single"/>
          <w:lang w:eastAsia="ar-SA"/>
        </w:rPr>
        <w:t>Otrzymują:</w:t>
      </w:r>
    </w:p>
    <w:p>
      <w:pPr>
        <w:pStyle w:val="Normalny"/>
        <w:numPr>
          <w:ilvl w:val="0"/>
          <w:numId w:val="2"/>
        </w:numPr>
        <w:spacing w:lineRule="auto" w:line="276" w:before="0" w:after="0"/>
        <w:rPr>
          <w:rFonts w:ascii="Times New Roman" w:hAnsi="Times New Roman"/>
        </w:rPr>
      </w:pPr>
      <w:r>
        <w:rPr>
          <w:rFonts w:eastAsia="Times New Roman" w:ascii="Times New Roman" w:hAnsi="Times New Roman"/>
          <w:kern w:val="0"/>
          <w:sz w:val="20"/>
          <w:szCs w:val="20"/>
          <w:lang w:eastAsia="ar-SA"/>
        </w:rPr>
        <w:t>Inwestor</w:t>
      </w:r>
    </w:p>
    <w:p>
      <w:pPr>
        <w:pStyle w:val="Normalny"/>
        <w:numPr>
          <w:ilvl w:val="0"/>
          <w:numId w:val="2"/>
        </w:numPr>
        <w:spacing w:lineRule="auto" w:line="276" w:before="0" w:after="0"/>
        <w:rPr>
          <w:rFonts w:ascii="Times New Roman" w:hAnsi="Times New Roman"/>
        </w:rPr>
      </w:pPr>
      <w:r>
        <w:rPr>
          <w:rFonts w:eastAsia="Times New Roman" w:ascii="Times New Roman" w:hAnsi="Times New Roman"/>
          <w:kern w:val="0"/>
          <w:sz w:val="20"/>
          <w:szCs w:val="20"/>
          <w:lang w:eastAsia="ar-SA"/>
        </w:rPr>
        <w:t>Strony postępowania zawiadamiane zgodnie z art. 49 K.p.a.</w:t>
      </w:r>
    </w:p>
    <w:p>
      <w:pPr>
        <w:pStyle w:val="Normalny"/>
        <w:numPr>
          <w:ilvl w:val="0"/>
          <w:numId w:val="2"/>
        </w:numPr>
        <w:spacing w:lineRule="auto" w:line="276" w:before="0" w:after="200"/>
        <w:rPr>
          <w:rFonts w:ascii="Times New Roman" w:hAnsi="Times New Roman"/>
        </w:rPr>
      </w:pPr>
      <w:r>
        <w:rPr>
          <w:rFonts w:eastAsia="Times New Roman" w:ascii="Times New Roman" w:hAnsi="Times New Roman"/>
          <w:kern w:val="0"/>
          <w:sz w:val="20"/>
          <w:szCs w:val="20"/>
          <w:lang w:eastAsia="ar-SA"/>
        </w:rPr>
        <w:t>Aa</w:t>
      </w:r>
    </w:p>
    <w:p>
      <w:pPr>
        <w:pStyle w:val="Normalny"/>
        <w:spacing w:lineRule="auto" w:line="276"/>
        <w:rPr>
          <w:rFonts w:ascii="Times New Roman" w:hAnsi="Times New Roman" w:eastAsia="Times New Roman"/>
          <w:kern w:val="0"/>
          <w:sz w:val="20"/>
          <w:szCs w:val="20"/>
          <w:lang w:eastAsia="ar-SA"/>
        </w:rPr>
      </w:pPr>
      <w:r>
        <w:rPr>
          <w:rFonts w:eastAsia="Times New Roman" w:ascii="Times New Roman" w:hAnsi="Times New Roman"/>
          <w:kern w:val="0"/>
          <w:sz w:val="20"/>
          <w:szCs w:val="20"/>
          <w:lang w:eastAsia="ar-SA"/>
        </w:rPr>
      </w:r>
      <w:bookmarkStart w:id="6" w:name="_Hlk124412004_kopia_1"/>
      <w:bookmarkStart w:id="7" w:name="_Hlk124412004_kopia_1"/>
      <w:bookmarkEnd w:id="7"/>
    </w:p>
    <w:p>
      <w:pPr>
        <w:pStyle w:val="Normalny"/>
        <w:tabs>
          <w:tab w:val="clear" w:pos="709"/>
          <w:tab w:val="center" w:pos="4536" w:leader="none"/>
          <w:tab w:val="right" w:pos="9072" w:leader="none"/>
        </w:tabs>
        <w:spacing w:lineRule="auto" w:line="276" w:before="0" w:after="0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i/>
          <w:kern w:val="0"/>
          <w:sz w:val="20"/>
          <w:szCs w:val="20"/>
          <w:u w:val="single"/>
          <w:lang w:eastAsia="pl-PL"/>
        </w:rPr>
        <w:t>Sporządziła:</w:t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uppressAutoHyphens w:val="false"/>
        <w:bidi w:val="0"/>
        <w:spacing w:lineRule="auto" w:line="276"/>
        <w:jc w:val="left"/>
        <w:rPr/>
      </w:pPr>
      <w:bookmarkStart w:id="8" w:name="_Hlk91584131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  <w:lang w:eastAsia="pl-PL"/>
        </w:rPr>
        <w:t xml:space="preserve">mgr inż. Aleksandra Król </w:t>
      </w:r>
      <w:bookmarkEnd w:id="8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  <w:lang w:eastAsia="pl-PL"/>
        </w:rPr>
        <w:br/>
      </w:r>
      <w:bookmarkStart w:id="9" w:name="_Hlk146002248_kopia_1"/>
      <w:bookmarkStart w:id="10" w:name="_Hlk145935695_kopia_1"/>
      <w:r>
        <w:rPr>
          <w:rStyle w:val="Domylnaczcionkaakapitu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0"/>
          <w:szCs w:val="20"/>
          <w:lang w:eastAsia="pl-PL"/>
        </w:rPr>
        <w:t xml:space="preserve">tel. 29 74 68 600 w. 22, e-mail: </w:t>
      </w:r>
      <w:bookmarkEnd w:id="9"/>
      <w:bookmarkEnd w:id="10"/>
      <w:r>
        <w:rPr>
          <w:rStyle w:val="Domylnaczcionkaakapitu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0"/>
          <w:szCs w:val="20"/>
          <w:lang w:eastAsia="pl-PL"/>
        </w:rPr>
        <w:t>a.krol@gminaostrowmaz.home.pl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ny">
    <w:name w:val="Normalny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1</Pages>
  <Words>299</Words>
  <Characters>1847</Characters>
  <CharactersWithSpaces>2212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2024-06-07T13:35:51Z</dcterms:created>
  <dc:creator/>
  <dc:description/>
  <dc:language>pl-PL</dc:language>
  <cp:lastModifiedBy/>
  <dcterms:modified xsi:type="dcterms:W3CDTF">2024-06-07T13:36:23Z</dcterms:modified>
  <cp:revision>1</cp:revision>
  <dc:subject/>
  <dc:title/>
</cp:coreProperties>
</file>