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BD" w:rsidRDefault="007506BD">
      <w:pPr>
        <w:spacing w:after="160" w:line="276" w:lineRule="auto"/>
      </w:pPr>
    </w:p>
    <w:p w:rsidR="007506BD" w:rsidRDefault="000F2D5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</w:t>
      </w:r>
    </w:p>
    <w:p w:rsidR="007506BD" w:rsidRDefault="007506BD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506BD" w:rsidRDefault="007506BD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506BD" w:rsidRDefault="007506BD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506BD" w:rsidRDefault="000F2D5C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MINISTERSTWO</w:t>
      </w:r>
    </w:p>
    <w:p w:rsidR="007506BD" w:rsidRDefault="000F2D5C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RODZINY I POLITYKI SPOŁECZNEJ</w:t>
      </w:r>
    </w:p>
    <w:p w:rsidR="007506BD" w:rsidRDefault="000F2D5C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>
        <w:rPr>
          <w:rFonts w:cstheme="minorHAnsi"/>
          <w:b/>
          <w:i/>
          <w:color w:val="FF0000"/>
          <w:sz w:val="36"/>
          <w:szCs w:val="36"/>
        </w:rPr>
        <w:t xml:space="preserve">Program „Asystent osobisty osoby niepełnosprawnej” </w:t>
      </w:r>
    </w:p>
    <w:p w:rsidR="007506BD" w:rsidRDefault="000F2D5C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i/>
          <w:color w:val="FF0000"/>
          <w:sz w:val="36"/>
          <w:szCs w:val="36"/>
        </w:rPr>
        <w:t>– edycja 2023</w:t>
      </w:r>
      <w:bookmarkStart w:id="0" w:name="_GoBack"/>
      <w:bookmarkEnd w:id="0"/>
    </w:p>
    <w:p w:rsidR="007506BD" w:rsidRDefault="000F2D5C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Warszawa, październik 2022 r.</w:t>
      </w:r>
    </w:p>
    <w:p w:rsidR="007506BD" w:rsidRDefault="007506BD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</w:p>
    <w:p w:rsidR="007506BD" w:rsidRDefault="007506B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dt>
      <w:sdtPr>
        <w:id w:val="-228232285"/>
        <w:docPartObj>
          <w:docPartGallery w:val="Table of Contents"/>
          <w:docPartUnique/>
        </w:docPartObj>
      </w:sdtPr>
      <w:sdtEndPr/>
      <w:sdtContent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r>
            <w:fldChar w:fldCharType="begin"/>
          </w:r>
          <w:r>
            <w:rPr>
              <w:rStyle w:val="czeindeksu"/>
              <w:rFonts w:cs="Calibri"/>
              <w:webHidden/>
              <w:sz w:val="24"/>
              <w:szCs w:val="24"/>
            </w:rPr>
            <w:instrText xml:space="preserve"> TOC \z \o "1-3" \u \h</w:instrText>
          </w:r>
          <w:r>
            <w:rPr>
              <w:rStyle w:val="czeindeksu"/>
              <w:rFonts w:cs="Calibri"/>
            </w:rPr>
            <w:fldChar w:fldCharType="separate"/>
          </w:r>
          <w:hyperlink w:anchor="_Toc84328131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Wstęp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3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2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I. Podstawa prawna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4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3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II. Diagnoza sytuacji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4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4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 xml:space="preserve">III. Cele i adresaci </w:t>
            </w:r>
            <w:r>
              <w:rPr>
                <w:rStyle w:val="czeindeksu"/>
                <w:rFonts w:cstheme="minorHAnsi"/>
                <w:sz w:val="24"/>
                <w:szCs w:val="24"/>
              </w:rPr>
              <w:t>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6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5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IV. Zakres podmiotowy i przedmiotowy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7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6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V. Kwalifikowalność kosztów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11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7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VI. Finansowanie Programu oraz warunki przyznawania gminom/powiatom środkó</w:t>
            </w:r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w  Funduszu przeznaczonych na realizację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14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8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VII. Terminy i warunki realizacji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15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9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VIII. Tryb przystąpienia do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17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0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IX. Kryteria</w:t>
            </w:r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 xml:space="preserve"> naboru wniosków przez wojewodę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18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1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X. Przetwarzanie danych osobowych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19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2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XI. Zadania podmiotów realizujących Program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21</w:t>
          </w:r>
        </w:p>
        <w:p w:rsidR="007506BD" w:rsidRDefault="000F2D5C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3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XII. Monitoring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25</w:t>
          </w:r>
          <w:r>
            <w:rPr>
              <w:sz w:val="24"/>
              <w:szCs w:val="24"/>
            </w:rPr>
            <w:fldChar w:fldCharType="end"/>
          </w:r>
        </w:p>
      </w:sdtContent>
    </w:sdt>
    <w:p w:rsidR="007506BD" w:rsidRDefault="007506BD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506BD" w:rsidRDefault="000F2D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„Asystent osobisty osoby niepełnosprawnej” – edycja 2023, zwany dalej „Programem”, ma na celu zapewnienie dostępności do usług asystencji osobistej,</w:t>
      </w:r>
      <w:r>
        <w:rPr>
          <w:rFonts w:cstheme="minorHAnsi"/>
          <w:color w:val="000000" w:themeColor="text1"/>
          <w:sz w:val="24"/>
          <w:szCs w:val="24"/>
        </w:rPr>
        <w:t xml:space="preserve"> tj. wsparcia w wykonywaniu codziennych czynności</w:t>
      </w:r>
      <w:r>
        <w:rPr>
          <w:rFonts w:cstheme="minorHAnsi"/>
          <w:sz w:val="24"/>
          <w:szCs w:val="24"/>
        </w:rPr>
        <w:t xml:space="preserve"> oraz funkcjonowaniu w życiu społecznym osób niepełnosprawnych. Usługi asystencji osobistej były formą wsparcia finansowaną w ramach poprzednich edycji tego Programu w latach 2019 ‒ 2022 oraz Programu „Asystent osobisty osoby z niepełnosprawnościami” – edy</w:t>
      </w:r>
      <w:r>
        <w:rPr>
          <w:rFonts w:cstheme="minorHAnsi"/>
          <w:sz w:val="24"/>
          <w:szCs w:val="24"/>
        </w:rPr>
        <w:t>cja 2020 ‒ 2022.</w:t>
      </w:r>
    </w:p>
    <w:p w:rsidR="007506BD" w:rsidRDefault="000F2D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jest elementem polityki społecznej państwa w zakresie:</w:t>
      </w:r>
    </w:p>
    <w:p w:rsidR="007506BD" w:rsidRDefault="000F2D5C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:rsidR="007506BD" w:rsidRDefault="000F2D5C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wsparcia osób niepełnosprawnych oraz zapewnienia pomocy</w:t>
      </w:r>
      <w:r>
        <w:rPr>
          <w:rFonts w:cstheme="minorHAnsi"/>
          <w:color w:val="000000" w:themeColor="text1"/>
          <w:sz w:val="24"/>
          <w:szCs w:val="24"/>
        </w:rPr>
        <w:t xml:space="preserve"> adekwatnej do potrzeb;</w:t>
      </w:r>
    </w:p>
    <w:p w:rsidR="007506BD" w:rsidRDefault="000F2D5C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uczestnictwa osób niepełnosprawnych w wydarzeniach społecznych, kulturalnych, rozrywkowych lub sportowych itp.; </w:t>
      </w:r>
    </w:p>
    <w:p w:rsidR="007506BD" w:rsidRDefault="000F2D5C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dofinansowania jednostek samorządu terytorialnego w ramach realizowanych zadań mających na celu wsparcie społeczne osób</w:t>
      </w:r>
      <w:r>
        <w:rPr>
          <w:rFonts w:cstheme="minorHAnsi"/>
          <w:color w:val="000000" w:themeColor="text1"/>
          <w:sz w:val="24"/>
          <w:szCs w:val="24"/>
        </w:rPr>
        <w:t xml:space="preserve"> niepełnosprawnych;</w:t>
      </w:r>
    </w:p>
    <w:p w:rsidR="007506BD" w:rsidRDefault="000F2D5C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zwiększenia wsparcia asystenckiego dla niepełnosprawnych uczniów ze specjalnymi potrzebami edukacyjnymi, także w innych wymiarach życia i funkcjonowania społecznego.</w:t>
      </w:r>
    </w:p>
    <w:p w:rsidR="007506BD" w:rsidRDefault="000F2D5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000000" w:themeColor="text1"/>
          <w:sz w:val="24"/>
          <w:szCs w:val="24"/>
        </w:rPr>
        <w:t>W ostatnich latach obserwuje się wzrost zainteresowania jednostek samo</w:t>
      </w:r>
      <w:r>
        <w:rPr>
          <w:rFonts w:cstheme="minorHAnsi"/>
          <w:color w:val="000000" w:themeColor="text1"/>
          <w:sz w:val="24"/>
          <w:szCs w:val="24"/>
        </w:rPr>
        <w:t>rządu terytorialnego realizacją usług asystencji osobistej. Mimo to nadal wiele osób niepełnosprawnych nie ma możliwości skorzystania z ww. usługi. Jednym z celów Programu jest objęcie zasięgiem jak największej liczby jednostek samorządu terytorialnego (zw</w:t>
      </w:r>
      <w:r>
        <w:rPr>
          <w:rFonts w:cstheme="minorHAnsi"/>
          <w:color w:val="000000" w:themeColor="text1"/>
          <w:sz w:val="24"/>
          <w:szCs w:val="24"/>
        </w:rPr>
        <w:t>iększenie liczby jednostek samorządu terytorialnego w stosunku do liczby jednostek, które realizowały Program w roku poprzednim), w których usługi asystencji osobistej dla osób niepełnosprawnych jeszcze nie były realizowane, przy jednoczesnym zachowaniu ci</w:t>
      </w:r>
      <w:r>
        <w:rPr>
          <w:rFonts w:cstheme="minorHAnsi"/>
          <w:color w:val="000000" w:themeColor="text1"/>
          <w:sz w:val="24"/>
          <w:szCs w:val="24"/>
        </w:rPr>
        <w:t>ągłości usług asystencji osobistej w jednostkach samorządu terytorialnego, które dotychczas Program realizowały.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506BD" w:rsidRDefault="000F2D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Podstawą prawną Programu jest art. 7 ust. 5 oraz art. 13 ustawy z dnia 23 października </w:t>
      </w:r>
      <w:r>
        <w:rPr>
          <w:rFonts w:cstheme="minorHAnsi"/>
          <w:sz w:val="24"/>
          <w:szCs w:val="24"/>
        </w:rPr>
        <w:br/>
        <w:t>2018 r. o Funduszu Solidar</w:t>
      </w:r>
      <w:r>
        <w:rPr>
          <w:rFonts w:cstheme="minorHAnsi"/>
          <w:sz w:val="24"/>
          <w:szCs w:val="24"/>
        </w:rPr>
        <w:t>nościowym (Dz. U. z 2020 r. poz. 1787, z późn. zm.).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506BD" w:rsidRDefault="000F2D5C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zapewni wsparcie następującym osobom, zwanym dalej również „uczestnikami” lub „uczestnikiem”, w wykonywaniu codziennych czynności oraz funkcjonowaniu w życiu społecznym:</w:t>
      </w:r>
    </w:p>
    <w:p w:rsidR="007506BD" w:rsidRDefault="000F2D5C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</w:t>
      </w:r>
      <w:r>
        <w:rPr>
          <w:rFonts w:cstheme="minorHAnsi"/>
          <w:sz w:val="24"/>
          <w:szCs w:val="24"/>
        </w:rPr>
        <w:t>ieciom do 16. roku życia z orzeczeniem o niepełnosprawności łącznie ze wskazaniami: konieczności stałej lub długotrwałej opieki lub pomocy innej osoby w związku ze znacznie ograniczoną możliwością samodzielnej egzystencji oraz konieczności stałego współudz</w:t>
      </w:r>
      <w:r>
        <w:rPr>
          <w:rFonts w:cstheme="minorHAnsi"/>
          <w:sz w:val="24"/>
          <w:szCs w:val="24"/>
        </w:rPr>
        <w:t>iału na co dzień opiekuna dziecka w procesie jego leczenia, rehabilitacji i edukacji oraz</w:t>
      </w:r>
    </w:p>
    <w:p w:rsidR="007506BD" w:rsidRDefault="000F2D5C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osobom niepełnosprawnym posiadającym orzeczenie:</w:t>
      </w:r>
    </w:p>
    <w:p w:rsidR="007506BD" w:rsidRDefault="000F2D5C">
      <w:pPr>
        <w:pStyle w:val="Akapitzlist"/>
        <w:numPr>
          <w:ilvl w:val="0"/>
          <w:numId w:val="27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znacznym stopniu niepełnosprawności albo</w:t>
      </w:r>
    </w:p>
    <w:p w:rsidR="007506BD" w:rsidRDefault="000F2D5C">
      <w:pPr>
        <w:pStyle w:val="Akapitzlist"/>
        <w:numPr>
          <w:ilvl w:val="0"/>
          <w:numId w:val="27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umiarkowanym stopniu niepełnosprawności albo</w:t>
      </w:r>
    </w:p>
    <w:p w:rsidR="007506BD" w:rsidRDefault="000F2D5C">
      <w:pPr>
        <w:pStyle w:val="Akapitzlist"/>
        <w:numPr>
          <w:ilvl w:val="0"/>
          <w:numId w:val="27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traktowane na równi z orzeczeniami wymienionymi w lit. a i b, </w:t>
      </w:r>
      <w:r>
        <w:rPr>
          <w:rFonts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>
        <w:rPr>
          <w:rFonts w:cstheme="minorHAnsi"/>
          <w:color w:val="000000" w:themeColor="text1"/>
          <w:sz w:val="24"/>
          <w:szCs w:val="24"/>
        </w:rPr>
        <w:t>. U. z 2021 r. poz. 573, z późn. zm.).</w:t>
      </w:r>
    </w:p>
    <w:p w:rsidR="007506BD" w:rsidRDefault="000F2D5C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Usługi asys</w:t>
      </w:r>
      <w:r>
        <w:rPr>
          <w:rFonts w:cstheme="minorHAnsi"/>
          <w:color w:val="000000" w:themeColor="text1"/>
          <w:sz w:val="24"/>
          <w:szCs w:val="24"/>
        </w:rPr>
        <w:t>tencji osobistej wpisują się w jeden z głównych celów Funduszu, tj. wsparcie społeczne osób niepełnosprawnych.</w:t>
      </w:r>
    </w:p>
    <w:p w:rsidR="007506BD" w:rsidRDefault="000F2D5C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Celem rozpowszechnienia usług asystencji osobistej jest zwiększenie szans osób niepełnoprawnych na prowadzenie bardziej niezależnego/samodzielneg</w:t>
      </w:r>
      <w:r>
        <w:rPr>
          <w:rFonts w:cstheme="minorHAnsi"/>
          <w:color w:val="000000" w:themeColor="text1"/>
          <w:sz w:val="24"/>
          <w:szCs w:val="24"/>
        </w:rPr>
        <w:t>o i aktywnego życia. Tak więc, nadrzędnym celem usług asystencji osobistej powinno być dążenie do poprawy funkcjonowania osoby niepełnosprawnej w jej środowisku, zwiększenia możliwości zaspokajania jej potrzeb oraz włączenia jej w życie społeczne.</w:t>
      </w:r>
    </w:p>
    <w:p w:rsidR="007506BD" w:rsidRDefault="000F2D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Usługi a</w:t>
      </w:r>
      <w:r>
        <w:rPr>
          <w:rFonts w:cstheme="minorHAnsi"/>
          <w:sz w:val="24"/>
          <w:szCs w:val="24"/>
        </w:rPr>
        <w:t xml:space="preserve">systencji osobistej są powszechną formą wsparcia osób niepełnosprawnych w takich krajach jak: Szwecja, Wielka Brytania, Austria, Dania, Francja, Hiszpania. </w:t>
      </w:r>
    </w:p>
    <w:p w:rsidR="007506BD" w:rsidRDefault="000F2D5C">
      <w:pPr>
        <w:pStyle w:val="Tekstprzypisudolnego"/>
        <w:spacing w:line="360" w:lineRule="auto"/>
      </w:pPr>
      <w:r>
        <w:rPr>
          <w:rFonts w:cstheme="minorHAnsi"/>
          <w:sz w:val="24"/>
          <w:szCs w:val="24"/>
        </w:rPr>
        <w:t>Asystencja osobista jest kluczową usługą kierowaną do osób z niepełnosprawnościami, do której odnos</w:t>
      </w:r>
      <w:r>
        <w:rPr>
          <w:rFonts w:cstheme="minorHAnsi"/>
          <w:sz w:val="24"/>
          <w:szCs w:val="24"/>
        </w:rPr>
        <w:t xml:space="preserve">i się art. 19 lit. b. Konwencji o prawach osób niepełnosprawnych, sporządzonej </w:t>
      </w:r>
      <w:r>
        <w:rPr>
          <w:rFonts w:cstheme="minorHAnsi"/>
          <w:sz w:val="24"/>
          <w:szCs w:val="24"/>
        </w:rPr>
        <w:lastRenderedPageBreak/>
        <w:t xml:space="preserve">w Nowym Jorku dnia 13 grudnia 2006 r. (Dz. U. z 2012 r. poz. 1169, z późn. zm.). Kwestia m.in. potrzeby jej upowszechnienie znalazła swoje odzwierciedlenie w pierwszej w Polsce </w:t>
      </w:r>
      <w:r>
        <w:rPr>
          <w:rFonts w:cstheme="minorHAnsi"/>
          <w:sz w:val="24"/>
          <w:szCs w:val="24"/>
        </w:rPr>
        <w:t xml:space="preserve">Strategii na rzecz Osób z Niepełnosprawnościami 2021‒2030, przyjętej uchwałą nr 27 Rady Ministrów z dnia 16 lutego 2021 r. w sprawie przyjęcia dokumentu Strategia na rzecz Osób z Niepełnosprawnościami 2021–2030 (M.P. poz. 218). </w:t>
      </w:r>
      <w:r>
        <w:rPr>
          <w:sz w:val="24"/>
          <w:szCs w:val="24"/>
        </w:rPr>
        <w:t>Zgodnie z jej założeniami za</w:t>
      </w:r>
      <w:r>
        <w:rPr>
          <w:sz w:val="24"/>
          <w:szCs w:val="24"/>
        </w:rPr>
        <w:t>kres usług asystencji osobistej będzie ściśle dostosowany do potrzeb danej osoby z niepełnosprawnością, która to osoba będzie kierowała realizacją świadczonych dla niej usług asystencji osobistej.</w:t>
      </w:r>
    </w:p>
    <w:p w:rsidR="007506BD" w:rsidRDefault="000F2D5C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liczbowe:</w:t>
      </w:r>
    </w:p>
    <w:p w:rsidR="007506BD" w:rsidRDefault="000F2D5C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Według danych z Elektronicznego Krajowego </w:t>
      </w:r>
      <w:r>
        <w:rPr>
          <w:rFonts w:cstheme="minorHAnsi"/>
          <w:color w:val="000000" w:themeColor="text1"/>
          <w:sz w:val="24"/>
          <w:szCs w:val="24"/>
        </w:rPr>
        <w:t>Systemu Monitorowania i Orzekania o Niepełnosprawności (stan na dzień 14 września 2022 r.) liczba:</w:t>
      </w:r>
    </w:p>
    <w:p w:rsidR="007506BD" w:rsidRDefault="000F2D5C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1)</w:t>
      </w:r>
      <w:r>
        <w:rPr>
          <w:rFonts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</w:t>
      </w:r>
      <w:r>
        <w:rPr>
          <w:rFonts w:cstheme="minorHAnsi"/>
          <w:color w:val="000000" w:themeColor="text1"/>
          <w:sz w:val="24"/>
          <w:szCs w:val="24"/>
        </w:rPr>
        <w:t xml:space="preserve">wiązku ze znacznie ograniczoną możliwością samodzielnej egzystencji oraz konieczności stałego współudziału na co dzień opiekuna dziecka w procesie jego leczenia, rehabilitacji i edukacji, w wieku poniżej 16. lat wynosi </w:t>
      </w:r>
      <w:r>
        <w:rPr>
          <w:rFonts w:cstheme="minorHAnsi"/>
          <w:bCs/>
          <w:color w:val="000000" w:themeColor="text1"/>
          <w:sz w:val="24"/>
          <w:szCs w:val="24"/>
        </w:rPr>
        <w:t>101 521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:rsidR="007506BD" w:rsidRDefault="000F2D5C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2)</w:t>
      </w:r>
      <w:r>
        <w:rPr>
          <w:rFonts w:cstheme="minorHAnsi"/>
          <w:color w:val="000000" w:themeColor="text1"/>
          <w:sz w:val="24"/>
          <w:szCs w:val="24"/>
        </w:rPr>
        <w:tab/>
        <w:t>osób zaliczonych do znacz</w:t>
      </w:r>
      <w:r>
        <w:rPr>
          <w:rFonts w:cstheme="minorHAnsi"/>
          <w:color w:val="000000" w:themeColor="text1"/>
          <w:sz w:val="24"/>
          <w:szCs w:val="24"/>
        </w:rPr>
        <w:t xml:space="preserve">nego lub umiarkowanego stopnia niepełnosprawności zgodnie z prawomocnym orzeczeniem lub wyrokiem sądu, z uwzględnieniem stopnia niepełnosprawności osób pomiędzy 16. a 18. rokiem życia wynosi łącznie </w:t>
      </w:r>
      <w:r>
        <w:rPr>
          <w:rFonts w:cstheme="minorHAnsi"/>
          <w:bCs/>
          <w:color w:val="000000" w:themeColor="text1"/>
          <w:sz w:val="24"/>
          <w:szCs w:val="24"/>
        </w:rPr>
        <w:t>67 369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:rsidR="007506BD" w:rsidRDefault="000F2D5C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3)</w:t>
      </w:r>
      <w:r>
        <w:rPr>
          <w:rFonts w:cstheme="minorHAnsi"/>
          <w:color w:val="000000" w:themeColor="text1"/>
          <w:sz w:val="24"/>
          <w:szCs w:val="24"/>
        </w:rPr>
        <w:tab/>
        <w:t>osób zaliczonych do znacznego stopnia niepełno</w:t>
      </w:r>
      <w:r>
        <w:rPr>
          <w:rFonts w:cstheme="minorHAnsi"/>
          <w:color w:val="000000" w:themeColor="text1"/>
          <w:sz w:val="24"/>
          <w:szCs w:val="24"/>
        </w:rPr>
        <w:t xml:space="preserve">sprawności, zgodnie z prawomocnym orzeczeniem lub wyrokiem sądu, z uwzględnieniem stopnia niepełnosprawności osób po 18. roku życia wynosi </w:t>
      </w:r>
      <w:r>
        <w:rPr>
          <w:rFonts w:cstheme="minorHAnsi"/>
          <w:bCs/>
          <w:color w:val="000000" w:themeColor="text1"/>
          <w:sz w:val="24"/>
          <w:szCs w:val="24"/>
        </w:rPr>
        <w:t>947 867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:rsidR="007506BD" w:rsidRDefault="000F2D5C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4)</w:t>
      </w:r>
      <w:r>
        <w:rPr>
          <w:rFonts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</w:t>
      </w:r>
      <w:r>
        <w:rPr>
          <w:rFonts w:cstheme="minorHAnsi"/>
          <w:color w:val="000000" w:themeColor="text1"/>
          <w:sz w:val="24"/>
          <w:szCs w:val="24"/>
        </w:rPr>
        <w:t xml:space="preserve">iem sądu, z uwzględnieniem stopnia niepełnosprawności osób po 18. roku życia wynosi </w:t>
      </w:r>
      <w:r>
        <w:rPr>
          <w:rFonts w:cstheme="minorHAnsi"/>
          <w:bCs/>
          <w:color w:val="000000" w:themeColor="text1"/>
          <w:sz w:val="24"/>
          <w:szCs w:val="24"/>
        </w:rPr>
        <w:t>1 386 320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>
        <w:rPr>
          <w:rFonts w:asciiTheme="minorHAnsi" w:eastAsia="Times New Roman" w:hAnsiTheme="minorHAnsi" w:cstheme="minorHAnsi"/>
          <w:b/>
          <w:sz w:val="28"/>
          <w:szCs w:val="28"/>
        </w:rPr>
        <w:t>Cele i adresaci 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7506BD" w:rsidRDefault="000F2D5C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Głównym celem Programu jest wprowadzenie usług asystencji osobistej jako formy ogólnodostępnego wsparcia w wykonywaniu codziennych czynności oraz funkcjonowaniu w życiu społecznym, </w:t>
      </w:r>
      <w:r>
        <w:rPr>
          <w:rFonts w:cstheme="minorHAnsi"/>
          <w:sz w:val="24"/>
          <w:szCs w:val="24"/>
        </w:rPr>
        <w:t>których adresatami są:</w:t>
      </w:r>
    </w:p>
    <w:p w:rsidR="007506BD" w:rsidRDefault="000F2D5C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dzieci do 16. roku życia z orzeczeniem o niepełnospr</w:t>
      </w:r>
      <w:r>
        <w:rPr>
          <w:rFonts w:cstheme="minorHAnsi"/>
          <w:sz w:val="24"/>
          <w:szCs w:val="24"/>
        </w:rPr>
        <w:t>awności łącznie ze wskazaniami: konieczności stałej lub długotrwałej opieki lub pomocy innej osoby w związku ze znacznie ograniczoną możliwością samodzielnej egzystencji oraz konieczności stałego współudziału na co dzień opiekuna dziecka w procesie jego le</w:t>
      </w:r>
      <w:r>
        <w:rPr>
          <w:rFonts w:cstheme="minorHAnsi"/>
          <w:sz w:val="24"/>
          <w:szCs w:val="24"/>
        </w:rPr>
        <w:t>czenia, rehabilitacji i edukacji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oraz</w:t>
      </w:r>
    </w:p>
    <w:p w:rsidR="007506BD" w:rsidRDefault="000F2D5C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osoby niepełnosprawne posiadające orzeczenie:</w:t>
      </w:r>
    </w:p>
    <w:p w:rsidR="007506BD" w:rsidRDefault="000F2D5C">
      <w:pPr>
        <w:pStyle w:val="Tekstkomentarza"/>
        <w:numPr>
          <w:ilvl w:val="0"/>
          <w:numId w:val="26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znacznym stopniu niepełnosprawności </w:t>
      </w:r>
      <w:r>
        <w:rPr>
          <w:rFonts w:cstheme="minorHAnsi"/>
          <w:color w:val="000000" w:themeColor="text1"/>
          <w:sz w:val="24"/>
          <w:szCs w:val="24"/>
        </w:rPr>
        <w:t>albo</w:t>
      </w:r>
    </w:p>
    <w:p w:rsidR="007506BD" w:rsidRDefault="000F2D5C">
      <w:pPr>
        <w:pStyle w:val="Tekstkomentarza"/>
        <w:numPr>
          <w:ilvl w:val="0"/>
          <w:numId w:val="26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umiarkowanym stopniu niepełnosprawności albo</w:t>
      </w:r>
    </w:p>
    <w:p w:rsidR="007506BD" w:rsidRDefault="000F2D5C">
      <w:pPr>
        <w:pStyle w:val="Tekstkomentarza"/>
        <w:numPr>
          <w:ilvl w:val="0"/>
          <w:numId w:val="26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traktowane na równi z orzeczeniami wymienionymi w lit. a i b,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zgodnie z art. 5 i a</w:t>
      </w:r>
      <w:r>
        <w:rPr>
          <w:rFonts w:cstheme="minorHAnsi"/>
          <w:color w:val="000000" w:themeColor="text1"/>
          <w:sz w:val="24"/>
          <w:szCs w:val="24"/>
        </w:rPr>
        <w:t>rt. 62 ustawy z dnia 27 sierpnia 1997 r. o rehabilitacji zawodowej i społecznej oraz zatrudnianiu osób niepełnosprawnych.</w:t>
      </w:r>
    </w:p>
    <w:p w:rsidR="007506BD" w:rsidRDefault="000F2D5C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 ramach Programu planuje się wprowadzić usługi asystencji osobistej dla osób niepełnosprawnych w łącznej liczbie nie mniejszej niż</w:t>
      </w:r>
      <w:r>
        <w:rPr>
          <w:sz w:val="24"/>
          <w:szCs w:val="24"/>
        </w:rPr>
        <w:t xml:space="preserve"> 15 000 osób.</w:t>
      </w:r>
    </w:p>
    <w:p w:rsidR="007506BD" w:rsidRDefault="000F2D5C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>Dodatkowym założeniem jest, aby minimum 70% uczestników Programu stanowiły osoby wymagające wysokiego poziomu wsparcia tj.:</w:t>
      </w:r>
    </w:p>
    <w:p w:rsidR="007506BD" w:rsidRDefault="000F2D5C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osoby ze znacznym stopniem niepełnosprawności oraz</w:t>
      </w:r>
    </w:p>
    <w:p w:rsidR="007506BD" w:rsidRDefault="000F2D5C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  <w:t xml:space="preserve">dzieci niepełnosprawne z orzeczeniem o niepełnosprawności </w:t>
      </w:r>
      <w:r>
        <w:rPr>
          <w:rFonts w:cstheme="minorHAnsi"/>
          <w:sz w:val="24"/>
          <w:szCs w:val="24"/>
        </w:rPr>
        <w:t>łącznie ze wskazaniami w pkt 7 i 8 w orzeczeniu o niepełnosprawności: konieczności stałej lub długotrwałej opieki lub pomocy innej osoby w związku ze znacznie ograniczoną możliwością samodzielnej egzystencji oraz konieczności stałego współudziału na co dzi</w:t>
      </w:r>
      <w:r>
        <w:rPr>
          <w:rFonts w:cstheme="minorHAnsi"/>
          <w:sz w:val="24"/>
          <w:szCs w:val="24"/>
        </w:rPr>
        <w:t>eń opiekuna dziecka w procesie jego leczenia, rehabilitacji i edukacji)</w:t>
      </w:r>
    </w:p>
    <w:p w:rsidR="007506BD" w:rsidRDefault="000F2D5C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 tym osoby z niepełnosprawnościami sprzężonymi </w:t>
      </w:r>
      <w:r>
        <w:rPr>
          <w:rFonts w:cs="Calibri"/>
          <w:sz w:val="24"/>
          <w:szCs w:val="24"/>
        </w:rPr>
        <w:t>(</w:t>
      </w:r>
      <w:r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>
        <w:rPr>
          <w:rFonts w:cs="Calibr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tr</w:t>
      </w:r>
      <w:r>
        <w:rPr>
          <w:rFonts w:cstheme="minorHAnsi"/>
          <w:sz w:val="24"/>
          <w:szCs w:val="24"/>
        </w:rPr>
        <w:t>udnościami związanymi z mobilnością i komunikacją.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zapewnia usługi asystencji osobistej świadczone uczestnikom przez asystenta osobistego osoby niepełnosprawnej, zwanego dalej także „asystentem”.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zakłada wsparcie finansowe dla gmin/powiatów w zakresie świadczenia usług asystencji osobistej, które będą dostosowane do potrzeb uczestnika, mieszkającego na terenie danej gminy/powiatu.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Usługi asystencji osobistej mogą świadczyć osoby, niebędące </w:t>
      </w:r>
      <w:r>
        <w:rPr>
          <w:rFonts w:cstheme="minorHAnsi"/>
          <w:sz w:val="24"/>
          <w:szCs w:val="24"/>
        </w:rPr>
        <w:t>członkami rodziny uczestnika:</w:t>
      </w:r>
    </w:p>
    <w:p w:rsidR="007506BD" w:rsidRDefault="000F2D5C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posiadające dokument potwierdzający uzyskanie kwalifikacji w następujących kierunkach: asystent osoby niepełnosprawnej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sz w:val="24"/>
          <w:szCs w:val="24"/>
        </w:rPr>
        <w:t xml:space="preserve">, opiekun osoby starszej, opiekun medyczny, </w:t>
      </w:r>
      <w:r>
        <w:rPr>
          <w:rFonts w:cstheme="minorHAnsi"/>
          <w:color w:val="000000" w:themeColor="text1"/>
          <w:sz w:val="24"/>
          <w:szCs w:val="24"/>
        </w:rPr>
        <w:t>pedagog, psycholog, terapeuta zajęciowy, pielęgniarka, fizjote</w:t>
      </w:r>
      <w:r>
        <w:rPr>
          <w:rFonts w:cstheme="minorHAnsi"/>
          <w:color w:val="000000" w:themeColor="text1"/>
          <w:sz w:val="24"/>
          <w:szCs w:val="24"/>
        </w:rPr>
        <w:t xml:space="preserve">rapeuta; </w:t>
      </w:r>
      <w:r>
        <w:rPr>
          <w:rFonts w:cstheme="minorHAnsi"/>
          <w:sz w:val="24"/>
          <w:szCs w:val="24"/>
        </w:rPr>
        <w:t>lub</w:t>
      </w:r>
    </w:p>
    <w:p w:rsidR="007506BD" w:rsidRDefault="000F2D5C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niepełnosprawnym w formie wolontariatu; lub</w:t>
      </w:r>
    </w:p>
    <w:p w:rsidR="007506BD" w:rsidRDefault="000F2D5C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wskazane przez ucze</w:t>
      </w:r>
      <w:r>
        <w:rPr>
          <w:rFonts w:cstheme="minorHAnsi"/>
          <w:sz w:val="24"/>
          <w:szCs w:val="24"/>
        </w:rPr>
        <w:t>stnika lub jego opiekuna prawnego, pod warunkiem, że osoba wskazana spełnia przynajmniej jeden z warunków, o których mowa w pkt 1 lub 2.</w:t>
      </w:r>
    </w:p>
    <w:p w:rsidR="007506BD" w:rsidRDefault="000F2D5C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Posiadanie doświadczenia, o którym mowa w pkt 2, może zostać udokumentowane pisemnym oświadczeniem podmiotu, który zlec</w:t>
      </w:r>
      <w:r>
        <w:rPr>
          <w:rFonts w:cstheme="minorHAnsi"/>
          <w:sz w:val="24"/>
          <w:szCs w:val="24"/>
        </w:rPr>
        <w:t>ał udzielanie bezpośredniej pomocy osobom niepełnosprawnym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  <w:sz w:val="24"/>
          <w:szCs w:val="24"/>
        </w:rPr>
        <w:t>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Na potrzeby realizacji Programu, za członków rodziny uczestnika uznaje się wstępnych lub zstępnych, małżonka, rodzeństwo, teściów, macochę, ojczyma oraz osobę pozostającą we wspólnym pożyciu, a t</w:t>
      </w:r>
      <w:r>
        <w:rPr>
          <w:rFonts w:cstheme="minorHAnsi"/>
          <w:sz w:val="24"/>
          <w:szCs w:val="24"/>
        </w:rPr>
        <w:t>akże osobę pozostającą w stosunku przysposobienia z uczestnikiem.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 pierwszej kolejności, asystentem może zostać osoba wskazana przez uczestnika lub jego opiekuna prawnego, z uwzględnieniem postanowień ust. 3 pkt 3. Jeżeli asystent nie zostanie wskazany pr</w:t>
      </w:r>
      <w:r>
        <w:rPr>
          <w:rFonts w:cstheme="minorHAnsi"/>
          <w:sz w:val="24"/>
          <w:szCs w:val="24"/>
        </w:rPr>
        <w:t>zez uczestnika lub jego opiekuna prawnego, asystenta wskazuje gmina/powiat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inny podmiot, któremu gmina/powiat zleciła realizację Programu, z uwzględnieniem postanowień ust. 3 pkt 1 lub 2.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przypadku, gdy usługi asystencji osobistej będą świadczone na </w:t>
      </w:r>
      <w:r>
        <w:rPr>
          <w:rFonts w:cstheme="minorHAnsi"/>
          <w:sz w:val="24"/>
          <w:szCs w:val="24"/>
        </w:rPr>
        <w:t xml:space="preserve">rzecz dzieci niepełnosprawnych do 16. roku życia z orzeczeniem o niepełnosprawności, w </w:t>
      </w:r>
      <w:r>
        <w:rPr>
          <w:rFonts w:cstheme="minorHAnsi"/>
          <w:sz w:val="24"/>
          <w:szCs w:val="24"/>
        </w:rPr>
        <w:lastRenderedPageBreak/>
        <w:t>odniesieniu do osoby, która ma świadczyć usługi asystencji osobistej, wymagane jest także:</w:t>
      </w:r>
    </w:p>
    <w:p w:rsidR="007506BD" w:rsidRDefault="000F2D5C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zaświadczenie o niekaralności;</w:t>
      </w:r>
    </w:p>
    <w:p w:rsidR="007506BD" w:rsidRDefault="000F2D5C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niefigurowaniu w Rejestrze Sprawcó</w:t>
      </w:r>
      <w:r>
        <w:rPr>
          <w:rFonts w:cstheme="minorHAnsi"/>
          <w:sz w:val="24"/>
          <w:szCs w:val="24"/>
        </w:rPr>
        <w:t>w Przestępstw na Tle Seksualnym w postaci wydruku pobranej informacji z Rejestru;</w:t>
      </w:r>
    </w:p>
    <w:p w:rsidR="007506BD" w:rsidRDefault="000F2D5C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pisemna akceptacja osoby asystenta ze strony rodzica lub opiekuna prawnego dziecka z niepełnosprawnością.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Gmina/powiat przyznaje usługi asystencji osobistej na podstawie Kart</w:t>
      </w:r>
      <w:r>
        <w:rPr>
          <w:rFonts w:cstheme="minorHAnsi"/>
          <w:sz w:val="24"/>
          <w:szCs w:val="24"/>
        </w:rPr>
        <w:t>y zgłoszenia do Programu „Asystent osobisty osoby niepełnosprawnej” – edycja 2023, której wzór stanowi załącznik nr 7 do Programu.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Usługi asystencji osobistej polegają w szczególności na pomocy asystenta w:</w:t>
      </w:r>
    </w:p>
    <w:p w:rsidR="007506BD" w:rsidRDefault="000F2D5C">
      <w:pPr>
        <w:pStyle w:val="Akapitzlist"/>
        <w:numPr>
          <w:ilvl w:val="0"/>
          <w:numId w:val="28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wykonywaniu przez uczestnika czynności dnia codzi</w:t>
      </w:r>
      <w:r>
        <w:rPr>
          <w:rFonts w:cstheme="minorHAnsi"/>
          <w:sz w:val="24"/>
          <w:szCs w:val="24"/>
        </w:rPr>
        <w:t>ennego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:rsidR="007506BD" w:rsidRDefault="000F2D5C">
      <w:pPr>
        <w:pStyle w:val="Akapitzlist"/>
        <w:numPr>
          <w:ilvl w:val="0"/>
          <w:numId w:val="28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:rsidR="007506BD" w:rsidRDefault="000F2D5C">
      <w:pPr>
        <w:pStyle w:val="Akapitzlist"/>
        <w:numPr>
          <w:ilvl w:val="0"/>
          <w:numId w:val="28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załatwianiu przez uczestnika spraw urzędowych;</w:t>
      </w:r>
    </w:p>
    <w:p w:rsidR="007506BD" w:rsidRDefault="000F2D5C">
      <w:pPr>
        <w:pStyle w:val="Akapitzlist"/>
        <w:numPr>
          <w:ilvl w:val="0"/>
          <w:numId w:val="2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korzystaniu przez uczestnika z dóbr kultury (np. muzeum, teatr, kino, galeria sztuki, wystawa)</w:t>
      </w:r>
      <w:r>
        <w:rPr>
          <w:rFonts w:cstheme="minorHAnsi"/>
          <w:sz w:val="24"/>
          <w:szCs w:val="24"/>
        </w:rPr>
        <w:t>;</w:t>
      </w:r>
    </w:p>
    <w:p w:rsidR="007506BD" w:rsidRDefault="000F2D5C">
      <w:pPr>
        <w:pStyle w:val="Akapitzlist"/>
        <w:numPr>
          <w:ilvl w:val="0"/>
          <w:numId w:val="2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zaprowadzaniu i odebra</w:t>
      </w:r>
      <w:r>
        <w:rPr>
          <w:rFonts w:cstheme="minorHAnsi"/>
          <w:sz w:val="24"/>
          <w:szCs w:val="24"/>
        </w:rPr>
        <w:t>niu dzieci z orzeczeniem o niepełnosprawności do placówki oświatowej.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karty zakresu czynności w ramach usługi asystencji </w:t>
      </w:r>
      <w:r>
        <w:rPr>
          <w:rFonts w:cstheme="minorHAnsi"/>
          <w:sz w:val="24"/>
          <w:szCs w:val="24"/>
        </w:rPr>
        <w:t>osobistej do Programu stanowi załącznik nr 8 do Programu.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Zadaniem asystenta nie jest podejmowanie decyzji za osobę niepełnosprawną, lecz wyłącznie udzielenie jej pomocy lub wsparcia w realizacji osobistych celów.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Asystent realizuje usługi wyłącznie na rze</w:t>
      </w:r>
      <w:r>
        <w:rPr>
          <w:rFonts w:cstheme="minorHAnsi"/>
          <w:sz w:val="24"/>
          <w:szCs w:val="24"/>
        </w:rPr>
        <w:t>cz osoby niepełnosprawnej, na podstawie jej decyzji lub decyzji opiekuna prawnego, a nie dla osób trzecich, w tym członków rodziny osoby niepełnosprawnej.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trakcie realizacji usług asystencji osobistej nie mogą być świadczone usługi opiekuńcze lub specjal</w:t>
      </w:r>
      <w:r>
        <w:rPr>
          <w:rFonts w:cstheme="minorHAnsi"/>
          <w:color w:val="000000" w:themeColor="text1"/>
          <w:sz w:val="24"/>
          <w:szCs w:val="24"/>
        </w:rPr>
        <w:t xml:space="preserve">istyczne usługi opiekuńcze, o których mowa w ustawie z dnia 12 marca 2004 r. o pomocy społecznej (Dz. U. z 2021 r. poz. 2268, z późn. zm.), inne usługi </w:t>
      </w:r>
      <w:r>
        <w:rPr>
          <w:rFonts w:cstheme="minorHAnsi"/>
          <w:color w:val="000000" w:themeColor="text1"/>
          <w:sz w:val="24"/>
          <w:szCs w:val="24"/>
        </w:rPr>
        <w:lastRenderedPageBreak/>
        <w:t>finansowane w ramach Funduszu lub usługi obejmujące analogiczne wsparcie, o którym mowa w ust. 8, finans</w:t>
      </w:r>
      <w:r>
        <w:rPr>
          <w:rFonts w:cstheme="minorHAnsi"/>
          <w:color w:val="000000" w:themeColor="text1"/>
          <w:sz w:val="24"/>
          <w:szCs w:val="24"/>
        </w:rPr>
        <w:t>owane ze środków publicznych.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Usługi asystencji osobistej mogą być realizowane przez 24 godziny na dobę, 7 dni w tygodniu, przy czym przez tą samą osobę maksymalnie do 12 godzin na dobę. Przez dobę należy rozumieć 24 kolejne godziny, poczynając od godziny,</w:t>
      </w:r>
      <w:r>
        <w:rPr>
          <w:rFonts w:cstheme="minorHAnsi"/>
          <w:sz w:val="24"/>
          <w:szCs w:val="24"/>
        </w:rPr>
        <w:t xml:space="preserve"> w której asystent rozpoczyna realizację usługi asystencji osobistej</w:t>
      </w:r>
      <w:r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>
        <w:rPr>
          <w:rFonts w:cstheme="minorHAnsi"/>
          <w:sz w:val="24"/>
          <w:szCs w:val="24"/>
        </w:rPr>
        <w:t>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 czasu realizacji usług asystencji osobistej wlicza się czas oczekiwania/gotowości na ś</w:t>
      </w:r>
      <w:r>
        <w:rPr>
          <w:rFonts w:cstheme="minorHAnsi"/>
          <w:color w:val="000000" w:themeColor="text1"/>
          <w:sz w:val="24"/>
          <w:szCs w:val="24"/>
        </w:rPr>
        <w:t>wiadczenie usług nie dłuższy niż 90 minut Jeżeli czas oczekiwania wynosi więcej niż 90 minut, wówczas usługę dojazdu do wybranego miejsca i powrotu z niego rozlicza się jako dwie odrębne usługi powiększone łącznie o 90 minut trwania.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Rodzaje usług i ich za</w:t>
      </w:r>
      <w:r>
        <w:rPr>
          <w:rFonts w:cstheme="minorHAnsi"/>
          <w:color w:val="000000" w:themeColor="text1"/>
          <w:sz w:val="24"/>
          <w:szCs w:val="24"/>
        </w:rPr>
        <w:t>kres godzinowy powinny być uzależnione od osobistej sytuacji osoby niepełnosprawnej, z uwzględnieniem stopnia i rodzaju niepełnosprawności uczestnika, z zastrzeżeniem ust. 17.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Limit godzin usług asystencji osobistej finansowanych ze środków Funduszu przypa</w:t>
      </w:r>
      <w:r>
        <w:rPr>
          <w:rFonts w:cstheme="minorHAnsi"/>
          <w:color w:val="000000" w:themeColor="text1"/>
          <w:sz w:val="24"/>
          <w:szCs w:val="24"/>
        </w:rPr>
        <w:t>dających na jedną osobę z niepełnosprawnością w danym roku kalendarzowym wynosi nie więcej niż</w:t>
      </w:r>
      <w:r>
        <w:rPr>
          <w:rStyle w:val="Odwoanieprzypisudolnego"/>
          <w:rFonts w:cstheme="minorHAnsi"/>
          <w:color w:val="000000" w:themeColor="text1"/>
        </w:rPr>
        <w:footnoteReference w:id="3"/>
      </w:r>
      <w:r>
        <w:rPr>
          <w:rFonts w:cstheme="minorHAnsi"/>
          <w:color w:val="000000" w:themeColor="text1"/>
          <w:sz w:val="24"/>
          <w:szCs w:val="24"/>
        </w:rPr>
        <w:t>:</w:t>
      </w:r>
    </w:p>
    <w:p w:rsidR="007506BD" w:rsidRDefault="000F2D5C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sprzężoną;</w:t>
      </w:r>
    </w:p>
    <w:p w:rsidR="007506BD" w:rsidRDefault="000F2D5C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720 godzin roczni</w:t>
      </w:r>
      <w:r>
        <w:rPr>
          <w:rFonts w:cstheme="minorHAnsi"/>
          <w:color w:val="000000" w:themeColor="text1"/>
          <w:sz w:val="24"/>
          <w:szCs w:val="24"/>
        </w:rPr>
        <w:t>e dla osób niepełnosprawnych posiadających orzeczenie o znacznym stopniu niepełnosprawności;</w:t>
      </w:r>
    </w:p>
    <w:p w:rsidR="007506BD" w:rsidRDefault="000F2D5C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:rsidR="007506BD" w:rsidRDefault="000F2D5C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360 godzin roczni</w:t>
      </w:r>
      <w:r>
        <w:rPr>
          <w:rFonts w:cstheme="minorHAnsi"/>
          <w:color w:val="000000" w:themeColor="text1"/>
          <w:sz w:val="24"/>
          <w:szCs w:val="24"/>
        </w:rPr>
        <w:t>e dla:</w:t>
      </w:r>
    </w:p>
    <w:p w:rsidR="007506BD" w:rsidRDefault="000F2D5C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:rsidR="007506BD" w:rsidRDefault="000F2D5C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dzieci do 16. roku życia </w:t>
      </w:r>
      <w:r>
        <w:rPr>
          <w:rFonts w:cstheme="minorHAnsi"/>
          <w:sz w:val="24"/>
          <w:szCs w:val="24"/>
        </w:rPr>
        <w:t>z orzeczeniem o niepełnosprawności łącznie ze wskazaniami: konieczności stałej lub długotrwałej opieki lub pomocy innej osoby w związ</w:t>
      </w:r>
      <w:r>
        <w:rPr>
          <w:rFonts w:cstheme="minorHAnsi"/>
          <w:sz w:val="24"/>
          <w:szCs w:val="24"/>
        </w:rPr>
        <w:t xml:space="preserve">ku ze znacznie ograniczoną możliwością samodzielnej egzystencji </w:t>
      </w:r>
      <w:r>
        <w:rPr>
          <w:rFonts w:cstheme="minorHAnsi"/>
          <w:sz w:val="24"/>
          <w:szCs w:val="24"/>
        </w:rPr>
        <w:lastRenderedPageBreak/>
        <w:t>oraz konieczności stałego współudziału na co dzień opiekuna dziecka w procesie jego leczenia, rehabilitacji i edukacji.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 realizację usługi asystencji osobistej, uczestnik nie ponosi odpłatno</w:t>
      </w:r>
      <w:r>
        <w:rPr>
          <w:rFonts w:cstheme="minorHAnsi"/>
          <w:color w:val="000000" w:themeColor="text1"/>
          <w:sz w:val="24"/>
          <w:szCs w:val="24"/>
        </w:rPr>
        <w:t>ści.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 środki Funduszu na realizację zadań w ramach Programu mogą ubiegać się jednostki samorządu terytorialnego szczebla gminnego i powiatowego.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ramach Programu gmina/powiat może otrzymać wsparcie finansowe do wysokości 100% kosztów realizacji przez </w:t>
      </w:r>
      <w:r>
        <w:rPr>
          <w:rFonts w:cstheme="minorHAnsi"/>
          <w:color w:val="000000" w:themeColor="text1"/>
          <w:sz w:val="24"/>
          <w:szCs w:val="24"/>
        </w:rPr>
        <w:t>asystenta usługi asystencji osobistej.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Koszt jednej godziny zegarowej wynagrodzenia asystenta za zrealizowaną usługę asystencji osobistej nie może przekroczyć 40 zł brutto wraz z kosztami pracy zatrudniającego</w:t>
      </w:r>
      <w:r>
        <w:rPr>
          <w:rStyle w:val="Odwoanieprzypisudolnego"/>
          <w:rFonts w:cstheme="minorHAnsi"/>
          <w:color w:val="000000"/>
        </w:rPr>
        <w:footnoteReference w:id="4"/>
      </w:r>
      <w:r>
        <w:rPr>
          <w:rFonts w:cstheme="minorHAnsi"/>
          <w:color w:val="000000"/>
          <w:sz w:val="24"/>
          <w:szCs w:val="24"/>
        </w:rPr>
        <w:t>. Nie jest dopuszczalne pokrywanie z tej kwoty</w:t>
      </w:r>
      <w:r>
        <w:rPr>
          <w:rFonts w:cstheme="minorHAnsi"/>
          <w:color w:val="000000"/>
          <w:sz w:val="24"/>
          <w:szCs w:val="24"/>
        </w:rPr>
        <w:t xml:space="preserve"> kosztów administracyjnych gminy/powiatu lub innego podmiotu, któremu gmina/powiat zleciła realizację Programu, zwanych dalej także „realizatorem Programu”.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Gmina/powiat dokonuje rozliczenia usług asystencji osobistej na podstawie wypełnionej Karty realiza</w:t>
      </w:r>
      <w:r>
        <w:rPr>
          <w:rFonts w:cstheme="minorHAnsi"/>
          <w:color w:val="000000" w:themeColor="text1"/>
          <w:sz w:val="24"/>
          <w:szCs w:val="24"/>
        </w:rPr>
        <w:t>cji usług asystencji osobistej, której wzór stanowi załącznik nr 9 do Programu.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 ramach Programu gmina/powiat może otrzymać środki Funduszu na realizację usług asystencji osobistej, jeżeli:</w:t>
      </w:r>
    </w:p>
    <w:p w:rsidR="007506BD" w:rsidRDefault="000F2D5C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usługi realizuje samodzielnie, tj. przez osoby zatrudnione w ośrodku pomocy społecznej </w:t>
      </w:r>
      <w:r>
        <w:rPr>
          <w:sz w:val="24"/>
          <w:szCs w:val="24"/>
        </w:rPr>
        <w:t xml:space="preserve">albo w centrum usług społecznych, o którym mowa w ustawie z dnia 19 lipca 2019 r. o realizowaniu usług społecznych przez centrum usług społecznych </w:t>
      </w:r>
      <w:r>
        <w:rPr>
          <w:sz w:val="24"/>
          <w:szCs w:val="24"/>
        </w:rPr>
        <w:br/>
        <w:t>(Dz. U. z 2019 r. poz</w:t>
      </w:r>
      <w:r>
        <w:rPr>
          <w:sz w:val="24"/>
          <w:szCs w:val="24"/>
        </w:rPr>
        <w:t>. 1818)</w:t>
      </w:r>
      <w:r>
        <w:rPr>
          <w:rFonts w:cstheme="minorHAnsi"/>
          <w:sz w:val="24"/>
          <w:szCs w:val="24"/>
        </w:rPr>
        <w:t>, urzędzie gminy/powiatu lub w gminnych/powiatowych jednostkach organizacyjnych, bez względu na formę zatrudnienia;</w:t>
      </w:r>
    </w:p>
    <w:p w:rsidR="007506BD" w:rsidRDefault="000F2D5C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zleca realizację usług organizacjom pozarządowym, o których mowa w art. 3 ust. 2 ustawy z dnia 24 kwietnia 2003 r. o działalności poż</w:t>
      </w:r>
      <w:r>
        <w:rPr>
          <w:rFonts w:cstheme="minorHAnsi"/>
          <w:sz w:val="24"/>
          <w:szCs w:val="24"/>
        </w:rPr>
        <w:t>ytku publicznego i wolontariacie (Dz. U. z 2022 r. poz. 1327) oraz podmiotom, o których mowa w art. 3 ust. 3 tej ustawy;</w:t>
      </w:r>
    </w:p>
    <w:p w:rsidR="007506BD" w:rsidRDefault="000F2D5C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zatrudnia asystenta wskazanego przez uczestnika w formie ustalonej przez gminę/powiat;</w:t>
      </w:r>
    </w:p>
    <w:p w:rsidR="007506BD" w:rsidRDefault="000F2D5C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nabywa usługi asystencji osobistej od podmiotów </w:t>
      </w:r>
      <w:r>
        <w:rPr>
          <w:sz w:val="24"/>
          <w:szCs w:val="24"/>
        </w:rPr>
        <w:t>sektora prywatnego, z zastrzeżeniem klauzul społecznych.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Decyzję w zakresie wyboru formy zatrudnienia asystentów podejmuje realizator Programu.</w:t>
      </w:r>
    </w:p>
    <w:p w:rsidR="007506BD" w:rsidRDefault="000F2D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Realizator Programu obowiązany jest dokonywać doraźnych kontroli i monitorowania świadczonych usług asystencji o</w:t>
      </w:r>
      <w:r>
        <w:rPr>
          <w:rFonts w:cstheme="minorHAnsi"/>
          <w:sz w:val="24"/>
          <w:szCs w:val="24"/>
        </w:rPr>
        <w:t>sobistej. Czynności w zakresie kontroli i monitorowania, dokonywane i dokumentowane są bezpośrednio w miejscu realizacji usług asystencji osobistej.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462299089"/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środków Funduszu będą pokrywane koszty związane bezpośrednio z realizacją u</w:t>
      </w:r>
      <w:r>
        <w:rPr>
          <w:rFonts w:cstheme="minorHAnsi"/>
          <w:sz w:val="24"/>
          <w:szCs w:val="24"/>
        </w:rPr>
        <w:t>sług asystencji osobistej, o których mowa w ust. 3.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Niedozwolone jest podwójne finansowanie tego samego wydatku związanego z realizacją usług asystencji osobistej, zarówno w ramach Programu, jak i w ramach innych programów lub projektów finansowanych ze śr</w:t>
      </w:r>
      <w:r>
        <w:rPr>
          <w:rFonts w:cstheme="minorHAnsi"/>
          <w:sz w:val="24"/>
          <w:szCs w:val="24"/>
        </w:rPr>
        <w:t>odków publicznych.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Kosztami związanymi bezpośrednio z realizacją usług asystencji osobistej są:</w:t>
      </w:r>
    </w:p>
    <w:p w:rsidR="007506BD" w:rsidRDefault="000F2D5C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asystenta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cstheme="minorHAnsi"/>
          <w:sz w:val="24"/>
          <w:szCs w:val="24"/>
        </w:rPr>
        <w:t>za wykonaną usługę asystencji osobistej;</w:t>
      </w:r>
    </w:p>
    <w:p w:rsidR="007506BD" w:rsidRDefault="000F2D5C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koszt zakupu jednorazowych biletów komunikacji publicznej/prywatnej dla asystenta towarzysząceg</w:t>
      </w:r>
      <w:r>
        <w:rPr>
          <w:rFonts w:cstheme="minorHAnsi"/>
          <w:sz w:val="24"/>
          <w:szCs w:val="24"/>
        </w:rPr>
        <w:t xml:space="preserve">o uczestnikowi oraz </w:t>
      </w:r>
      <w:r>
        <w:rPr>
          <w:rFonts w:cstheme="minorHAnsi"/>
          <w:color w:val="000000" w:themeColor="text1"/>
          <w:sz w:val="24"/>
          <w:szCs w:val="24"/>
        </w:rPr>
        <w:t>koszt przejazdów asystentów własnym/udostępnionym przez osobę trzecią/innym środkiem transportu np. taksówką w związku z wyjazdami, które dotyczą realizacji usług wymienionych w treści Programu;</w:t>
      </w:r>
    </w:p>
    <w:p w:rsidR="007506BD" w:rsidRDefault="000F2D5C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koszt zakupu biletów wstępu na wydarzenia</w:t>
      </w:r>
      <w:r>
        <w:rPr>
          <w:rFonts w:cstheme="minorHAnsi"/>
          <w:sz w:val="24"/>
          <w:szCs w:val="24"/>
        </w:rPr>
        <w:t xml:space="preserve"> kulturalne, rozrywkowe, sportowe lub społeczne itp. dla asystenta towarzyszącego uczestnikowi;</w:t>
      </w:r>
    </w:p>
    <w:p w:rsidR="007506BD" w:rsidRDefault="000F2D5C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koszt ubezpieczeń OC oraz NNW asystentów związanych ze świadczeniem usług asystencji osobistej, w wysokości nie większej niż 150 zł rocznie, przy czym zapewnien</w:t>
      </w:r>
      <w:r>
        <w:rPr>
          <w:rFonts w:cstheme="minorHAnsi"/>
          <w:color w:val="000000" w:themeColor="text1"/>
          <w:sz w:val="24"/>
          <w:szCs w:val="24"/>
        </w:rPr>
        <w:t>ie ubezpieczenia OC jest obowiązkiem realizatora Programu.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Koszty, o których mowa w ust. 3 pkt 2 i 3, mogą zostać uwzględnione w wysokości:</w:t>
      </w:r>
    </w:p>
    <w:p w:rsidR="007506BD" w:rsidRDefault="000F2D5C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nie większej niż 300 zł miesięcznie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cstheme="minorHAnsi"/>
          <w:sz w:val="24"/>
          <w:szCs w:val="24"/>
        </w:rPr>
        <w:t xml:space="preserve">na asystenta wykonującego usługę asystencji osobistej dla jednej osoby </w:t>
      </w:r>
      <w:r>
        <w:rPr>
          <w:rFonts w:cstheme="minorHAnsi"/>
          <w:sz w:val="24"/>
          <w:szCs w:val="24"/>
        </w:rPr>
        <w:t>niepełnosprawnej;</w:t>
      </w:r>
    </w:p>
    <w:p w:rsidR="007506BD" w:rsidRDefault="000F2D5C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  <w:t xml:space="preserve">nie większej niż 500 zł miesięcznie na asystenta pod warunkiem, że wykonuje on usługę asystencji osobistej dla więcej niż jednej osoby niepełnosprawnej oraz gdy, </w:t>
      </w:r>
      <w:r>
        <w:rPr>
          <w:rFonts w:cstheme="minorHAnsi"/>
          <w:sz w:val="24"/>
          <w:szCs w:val="24"/>
        </w:rPr>
        <w:lastRenderedPageBreak/>
        <w:t>koszty te związane są ze świadczeniem usług asystencji osobistej dla więc</w:t>
      </w:r>
      <w:r>
        <w:rPr>
          <w:rFonts w:cstheme="minorHAnsi"/>
          <w:sz w:val="24"/>
          <w:szCs w:val="24"/>
        </w:rPr>
        <w:t>ej niż jednej osoby niepełnosprawnej.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będą kwalifikowane, jeżeli:</w:t>
      </w:r>
    </w:p>
    <w:p w:rsidR="007506BD" w:rsidRDefault="000F2D5C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usługi asystencji osobistej u jednego asystenta w tym samym czasie będzie korzystać jeden uczestnik;</w:t>
      </w:r>
    </w:p>
    <w:p w:rsidR="007506BD" w:rsidRDefault="000F2D5C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koszt </w:t>
      </w:r>
      <w:r>
        <w:rPr>
          <w:rFonts w:cstheme="minorHAnsi"/>
          <w:sz w:val="24"/>
          <w:szCs w:val="24"/>
        </w:rPr>
        <w:t xml:space="preserve">przejazdu asystentów własnym/udostępnionym przez osobę trzecią/innym </w:t>
      </w:r>
      <w:r>
        <w:rPr>
          <w:rFonts w:cstheme="minorHAnsi"/>
          <w:sz w:val="24"/>
          <w:szCs w:val="24"/>
        </w:rPr>
        <w:t>środkiem transportu np. taksówką w związku z wyjazdami, które dotyczą realizacji usług wymienionych w treści Programu,</w:t>
      </w:r>
      <w:r>
        <w:rPr>
          <w:rFonts w:cstheme="minorHAnsi"/>
          <w:color w:val="000000"/>
          <w:sz w:val="24"/>
          <w:szCs w:val="24"/>
        </w:rPr>
        <w:t xml:space="preserve"> jest wliczony w czas pracy asystenta wyłącznie w przypadku jednoczesnego przejazdu asystenta i uczestnika;</w:t>
      </w:r>
    </w:p>
    <w:p w:rsidR="007506BD" w:rsidRDefault="000F2D5C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będzie prowadzona ewidencja bi</w:t>
      </w:r>
      <w:r>
        <w:rPr>
          <w:rFonts w:cstheme="minorHAnsi"/>
          <w:sz w:val="24"/>
          <w:szCs w:val="24"/>
        </w:rPr>
        <w:t>letów komunikacji publicznej/prywatnej jednorazowych, zawierająca m.in. informacje dotyczące: daty pobrania biletów, liczby pobranych biletów, danych asystenta, daty i celu podróży (załącznik nr 10a do Programu – Wzór ewidencji biletów komunikacyjnych w ra</w:t>
      </w:r>
      <w:r>
        <w:rPr>
          <w:rFonts w:cstheme="minorHAnsi"/>
          <w:sz w:val="24"/>
          <w:szCs w:val="24"/>
        </w:rPr>
        <w:t>mach Programu „Asystent osobisty osoby niepełnosprawnej” – edycja 2023);</w:t>
      </w:r>
    </w:p>
    <w:p w:rsidR="007506BD" w:rsidRDefault="000F2D5C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będzie prowadzona ewidencja przebiegu pojazdu stanowiącego własność asystenta/udostępnionego przez osobę trzecią (załącznik nr 10 do Programu - Wzór ewidencji przebiegu pojazdu w rama</w:t>
      </w:r>
      <w:r>
        <w:rPr>
          <w:rFonts w:cstheme="minorHAnsi"/>
          <w:sz w:val="24"/>
          <w:szCs w:val="24"/>
        </w:rPr>
        <w:t xml:space="preserve">ch Programu „Asystent osobisty osoby niepełnosprawnej” – edycja 2023) lub ewidencja kosztów przejazdu innym środkiem transportu np. taksówką, zawierająca następujące informacje: dane asystenta, datę i cel podróży, do której należy dołączyć dowód </w:t>
      </w:r>
      <w:r>
        <w:rPr>
          <w:rFonts w:cstheme="minorHAnsi"/>
          <w:color w:val="000000" w:themeColor="text1"/>
          <w:sz w:val="24"/>
          <w:szCs w:val="24"/>
        </w:rPr>
        <w:t>poniesieni</w:t>
      </w:r>
      <w:r>
        <w:rPr>
          <w:rFonts w:cstheme="minorHAnsi"/>
          <w:color w:val="000000" w:themeColor="text1"/>
          <w:sz w:val="24"/>
          <w:szCs w:val="24"/>
        </w:rPr>
        <w:t>a wydatku np. rachunek, paragon, fakturę dokumentującą ww. przejazd.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</w:rPr>
        <w:t>Wydatki będą kwalifikowalne, jeżeli zostaną poniesione w okresie realizacji Programu, tj. od dnia 1 stycznia 2023 r. do 31 grudnia 2023 r.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</w:rPr>
        <w:t>W przypadku zawarcia umowy po dniu rozpoczęcia r</w:t>
      </w:r>
      <w:r>
        <w:rPr>
          <w:rFonts w:cstheme="minorHAnsi"/>
          <w:color w:val="000000"/>
          <w:sz w:val="24"/>
        </w:rPr>
        <w:t>ealizacji Programu, wydatki kwalifikowalne poniesione w związku z realizacją Programu od dnia 1 stycznia 2023 r. do dnia zawarcia umowy, zostaną zrefundowane ze środków Funduszu.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datę poniesienia kosztu przyjmuje się w przypadku wydatków pieniężnych:</w:t>
      </w:r>
    </w:p>
    <w:p w:rsidR="007506BD" w:rsidRDefault="000F2D5C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</w:t>
      </w:r>
      <w:r>
        <w:rPr>
          <w:rFonts w:cstheme="minorHAnsi"/>
          <w:sz w:val="24"/>
          <w:szCs w:val="24"/>
        </w:rPr>
        <w:t>noszonych przelewem lub obciążeniową kartą płatniczą − datę obciążenia rachunku bankowego podmiotu realizującego usługi asystencji osobistej, tj. datę księgowania operacji;</w:t>
      </w:r>
    </w:p>
    <w:p w:rsidR="007506BD" w:rsidRDefault="000F2D5C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ponoszonych kartą kredytową lub innym instrumentem płatniczym o odroczonej płatnośc</w:t>
      </w:r>
      <w:r>
        <w:rPr>
          <w:rFonts w:cstheme="minorHAnsi"/>
          <w:sz w:val="24"/>
          <w:szCs w:val="24"/>
        </w:rPr>
        <w:t xml:space="preserve">i − datę transakcji skutkującej obciążeniem rachunku karty kredytowej lub </w:t>
      </w:r>
      <w:r>
        <w:rPr>
          <w:rFonts w:cstheme="minorHAnsi"/>
          <w:sz w:val="24"/>
          <w:szCs w:val="24"/>
        </w:rPr>
        <w:lastRenderedPageBreak/>
        <w:t>innego instrumentu, pod warunkiem dokonania spłaty tej należności do końca okresu rozliczeniowego danego instrumentu płatniczego.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Środki Funduszu, przyznane na realizację Programu, m</w:t>
      </w:r>
      <w:r>
        <w:rPr>
          <w:rFonts w:cstheme="minorHAnsi"/>
          <w:sz w:val="24"/>
          <w:szCs w:val="24"/>
        </w:rPr>
        <w:t>uszą być wykorzystane zgodnie z Programem oraz umową zawartą pomiędzy wojewodą a gminą/powiatem.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Gminy/powiaty, które uzyskały środki Funduszu, są zobowiązane do ich rozliczenia w sposób i w terminach wskazanych w umowie zawartej z wojewodą, a także do zwr</w:t>
      </w:r>
      <w:r>
        <w:rPr>
          <w:rFonts w:cstheme="minorHAnsi"/>
          <w:sz w:val="24"/>
          <w:szCs w:val="24"/>
        </w:rPr>
        <w:t xml:space="preserve">otu niewykorzystanej części przyznanych środków Funduszu w terminach określonych w umowie, zgodnie z ustawą z dnia 23 października 2018 r. o Funduszu Solidarnościowym oraz ustawą z dnia 27 sierpnia 2009 r. o finansach publicznych </w:t>
      </w:r>
      <w:r>
        <w:rPr>
          <w:rFonts w:eastAsia="Arial Unicode MS" w:cstheme="minorHAnsi"/>
          <w:sz w:val="24"/>
          <w:szCs w:val="24"/>
        </w:rPr>
        <w:t>(Dz. U. z 2022 r. poz. 163</w:t>
      </w:r>
      <w:r>
        <w:rPr>
          <w:rFonts w:eastAsia="Arial Unicode MS" w:cstheme="minorHAnsi"/>
          <w:sz w:val="24"/>
          <w:szCs w:val="24"/>
        </w:rPr>
        <w:t>4, z późn. zm.).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 realizujący zadanie wynikające z umowy zawartej w ramach Programu i otrzymujący środki Funduszu jest obowiązany do ich rozliczenia, a także do zwrotu niewykorzystanej ich części, w sposób i terminach wskazanych w umowie zawartej z </w:t>
      </w:r>
      <w:r>
        <w:rPr>
          <w:rFonts w:cstheme="minorHAnsi"/>
          <w:sz w:val="24"/>
          <w:szCs w:val="24"/>
        </w:rPr>
        <w:t>gminą/powiatem.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Kosztami niekwalifikowanymi zadania (w przypadku jednostek samorządu terytorialnego − wydatkami) są w szczególności: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odsetki od zadłużenia;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kwoty i koszty pożyczki lub kredytu;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i grzywny;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wpłaty na Państwowy Fundusz Rehabilitacji Osób </w:t>
      </w:r>
      <w:r>
        <w:rPr>
          <w:rFonts w:cstheme="minorHAnsi"/>
          <w:sz w:val="24"/>
          <w:szCs w:val="24"/>
        </w:rPr>
        <w:t>Niepełnosprawnych;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podatek VAT, który może zostać odzyskany na podstawie przepisów ustawy </w:t>
      </w:r>
      <w:r>
        <w:rPr>
          <w:rFonts w:cstheme="minorHAnsi"/>
          <w:sz w:val="24"/>
          <w:szCs w:val="24"/>
        </w:rPr>
        <w:br/>
        <w:t>z dnia 11 marca 2004 r. o podatku od towarów i usług (Dz. U. z 2022 r. poz. 931, z późn. zm.) oraz aktów wykonawczych do tej ustawy;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odsetki za opóźnienie w regulowa</w:t>
      </w:r>
      <w:r>
        <w:rPr>
          <w:rFonts w:cstheme="minorHAnsi"/>
          <w:sz w:val="24"/>
          <w:szCs w:val="24"/>
        </w:rPr>
        <w:t xml:space="preserve">niu zobowiązań oraz odsetki za zwłokę z tytułu nieterminowych wpłat należności budżetowych i innych należności, </w:t>
      </w:r>
      <w:r>
        <w:rPr>
          <w:rFonts w:cstheme="minorHAnsi"/>
          <w:sz w:val="24"/>
          <w:szCs w:val="24"/>
        </w:rPr>
        <w:br/>
        <w:t>do których stosuje się przepisy ustawy z dnia 29 sierpnia 1997 r. − Ordynacja podatkowa (Dz. U. z 2021 r. poz. 1540, z późn. zm.);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nagrody, pre</w:t>
      </w:r>
      <w:r>
        <w:rPr>
          <w:rFonts w:cstheme="minorHAnsi"/>
          <w:sz w:val="24"/>
          <w:szCs w:val="24"/>
        </w:rPr>
        <w:t>mie, ekwiwalent za urlop, zasiłki chorobowe i koszt przejazdu asystenta do i od uczestnika;</w:t>
      </w:r>
    </w:p>
    <w:p w:rsidR="007506BD" w:rsidRDefault="000F2D5C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usługi asystencji osobistej świadczone przez członków rodziny, opiekunów prawnych lub osoby faktycznie zamieszkujące razem z uczestnikiem.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Decyzję o kwalifikowalnoś</w:t>
      </w:r>
      <w:r>
        <w:rPr>
          <w:rFonts w:cstheme="minorHAnsi"/>
          <w:sz w:val="24"/>
          <w:szCs w:val="24"/>
        </w:rPr>
        <w:t>ci kosztów podejmuje wojewoda.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Zmiana wniosku gminy/powiatu </w:t>
      </w:r>
      <w:r>
        <w:rPr>
          <w:rFonts w:cstheme="minorHAnsi"/>
          <w:color w:val="000000"/>
          <w:sz w:val="24"/>
          <w:szCs w:val="24"/>
        </w:rPr>
        <w:t xml:space="preserve">na środki finansowe z Programu </w:t>
      </w:r>
      <w:r>
        <w:rPr>
          <w:rFonts w:cstheme="minorHAnsi"/>
          <w:sz w:val="24"/>
          <w:szCs w:val="24"/>
        </w:rPr>
        <w:t>wymaga akceptacji wojewody, wyrażonej w formie pisemnej pod rygorem nieważności, z zastrzeżeniem ust. 15-17.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wystąpienia oszczędności w ramach kosztów, o</w:t>
      </w:r>
      <w:r>
        <w:rPr>
          <w:rFonts w:cstheme="minorHAnsi"/>
          <w:sz w:val="24"/>
          <w:szCs w:val="24"/>
        </w:rPr>
        <w:t xml:space="preserve"> których mowa w ust. 3 pkt 2-4, istnieje możliwość przesunięcia ich do kategorii kosztów, o której mowa w ust. 3 pkt 1, z zastrzeżeniem części IV ust. 21. Zmiana, o której mowa w zdaniu poprzedzającym, wymaga uprzedniego, pisemnego zgłoszenia do wojewody.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Zmiany, o których mowa w ust. 14 i 15, mogą zostać dokonane wyłącznie do wysokości środków Funduszu przyznanych gminie/powiatowi na realizację Programu. </w:t>
      </w:r>
    </w:p>
    <w:p w:rsidR="007506BD" w:rsidRDefault="000F2D5C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Niedozwolona jest zmiana wniosku gminy/powiatu na środki finansowe z Programu, prowadząca do przesunię</w:t>
      </w:r>
      <w:r>
        <w:rPr>
          <w:rFonts w:cstheme="minorHAnsi"/>
          <w:sz w:val="24"/>
          <w:szCs w:val="24"/>
        </w:rPr>
        <w:t>cia środków Funduszu pomiędzy kosztami realizacji usługi asystencji osobistej (kolumna 10 wniosku gminy/powiatu na środki finansowe z Programu) a kosztami obsługi Programu (kolumna 11 wniosku gminy/powiatu na środki finansowe z Programu).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>
        <w:rPr>
          <w:rFonts w:asciiTheme="minorHAnsi" w:eastAsia="Times New Roman" w:hAnsiTheme="minorHAnsi" w:cstheme="minorHAnsi"/>
          <w:b/>
          <w:sz w:val="28"/>
          <w:szCs w:val="28"/>
        </w:rPr>
        <w:t>Finansowanie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Programu oraz warunki przyznawania gminom/powiatom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Źródłem finansowania Programu są środki ujęte w planie finansowym Funduszu na 2023 r. w kwocie 505 mln zł. Dysponentem środków Funduszu jest minister</w:t>
      </w:r>
      <w:r>
        <w:rPr>
          <w:rFonts w:cstheme="minorHAnsi"/>
          <w:color w:val="000000"/>
          <w:sz w:val="24"/>
          <w:szCs w:val="24"/>
        </w:rPr>
        <w:t xml:space="preserve"> właściwy do spraw zabezpieczenia społecznego, zwany dalej „Ministrem”.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Nabór wniosków gmin/powiatów, w celu uzyskania środków Funduszu na realizację Programu jest dokonywany przez wojewodów.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Wojewoda</w:t>
      </w:r>
      <w:r>
        <w:rPr>
          <w:rFonts w:cstheme="minorHAnsi"/>
          <w:color w:val="000000"/>
          <w:sz w:val="24"/>
          <w:szCs w:val="24"/>
        </w:rPr>
        <w:t xml:space="preserve"> sporządza i przekazuje Ministrowi wniosek wojewody na środki finansowe z Programu wraz z listą rekomendowanych wniosków.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weryfikuje i zatwierdza listę rekomendowanych wniosków, z uwzględnieniem części VII ust. 8 Programu.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Wojewoda zamieszcza list</w:t>
      </w:r>
      <w:r>
        <w:rPr>
          <w:rFonts w:cstheme="minorHAnsi"/>
          <w:color w:val="000000"/>
          <w:sz w:val="24"/>
          <w:szCs w:val="24"/>
        </w:rPr>
        <w:t>ę podmiotów, których wnioski zostały zatwierdzone, wraz z kwotą przyznanych środków na swojej stronie internetowej oraz na swojej stronie podmiotowej w Biuletynie Informacji Publicznej, niezwłocznie po opublikowaniu przez Ministra zatwierdzonej listy rekom</w:t>
      </w:r>
      <w:r>
        <w:rPr>
          <w:rFonts w:cstheme="minorHAnsi"/>
          <w:color w:val="000000"/>
          <w:sz w:val="24"/>
          <w:szCs w:val="24"/>
        </w:rPr>
        <w:t>endowanych wniosków.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 sprawie przyznania środków Funduszu w ramach Programu.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Podmioty realizujące zadania w</w:t>
      </w:r>
      <w:r>
        <w:rPr>
          <w:rFonts w:cstheme="minorHAnsi"/>
          <w:color w:val="000000"/>
          <w:sz w:val="24"/>
          <w:szCs w:val="24"/>
        </w:rPr>
        <w:t xml:space="preserve">ynikające z umów zawartych w ramach Programu są obowiązane do posiadania wyodrębnionego rachunku bankowego dla środków z Funduszu oraz prowadzenia wyodrębnionej ewidencji księgowej otrzymanych środków i dokonywanych z tych środków wydatków, zgodnie z art. </w:t>
      </w:r>
      <w:r>
        <w:rPr>
          <w:rFonts w:cstheme="minorHAnsi"/>
          <w:color w:val="000000"/>
          <w:sz w:val="24"/>
          <w:szCs w:val="24"/>
        </w:rPr>
        <w:t>17 ustawy z dnia 23 października 2018 r. o Funduszu Solidarnościowym.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większej niż 2% środków przekazanych na realizację tego Programu.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>
        <w:rPr>
          <w:rFonts w:cstheme="minorHAnsi"/>
          <w:color w:val="000000" w:themeColor="text1"/>
          <w:sz w:val="24"/>
          <w:szCs w:val="24"/>
        </w:rPr>
        <w:t>ójt, burmistrz, prezydent miasta/starosta może przekazać podmiotom wskazanym w części IV ust. 23 pkt 2 i 4 Programu środki stanowiące nie więcej niż 2% przekazanych środków Funduszu, w celu pokrycia wszelkich kosztów obsługi księgowej, kadrowej lub adminis</w:t>
      </w:r>
      <w:r>
        <w:rPr>
          <w:rFonts w:cstheme="minorHAnsi"/>
          <w:color w:val="000000" w:themeColor="text1"/>
          <w:sz w:val="24"/>
          <w:szCs w:val="24"/>
        </w:rPr>
        <w:t>tracyjnej, które pojawią się w związku z realizacją usług w ramach Programu.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Wojewoda może pokryć koszty obsługi Programu w wysokości faktycznie poniesionej, nie więcej niż 0,5% przekazanych środków Funduszu.</w:t>
      </w:r>
    </w:p>
    <w:p w:rsidR="007506BD" w:rsidRDefault="000F2D5C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Minister może pokryć koszty działań </w:t>
      </w:r>
      <w:r>
        <w:rPr>
          <w:rFonts w:cstheme="minorHAnsi"/>
          <w:color w:val="000000" w:themeColor="text1"/>
          <w:sz w:val="24"/>
          <w:szCs w:val="24"/>
        </w:rPr>
        <w:t>promocyjno-informacyjnych związanych z Programem w wysokości nieprzekraczającej kwoty 100 tys. zł, w ramach planu finansowego Funduszu na 2023 r. w pozycji „koszty realizacji zadań związanych z promowaniem i wspieraniem systemu wsparcia osób niepełnosprawn</w:t>
      </w:r>
      <w:r>
        <w:rPr>
          <w:rFonts w:cstheme="minorHAnsi"/>
          <w:color w:val="000000" w:themeColor="text1"/>
          <w:sz w:val="24"/>
          <w:szCs w:val="24"/>
        </w:rPr>
        <w:t>ych”.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będzie realizowany od dnia 1 stycznia 2023 r. do dnia 31 grudnia 2023 r.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Złożenie wniosku gminy/powiatu na środki finansowe z Programu nie jest równoznaczne z przyznaniem środków Funduszu w wysokośc</w:t>
      </w:r>
      <w:r>
        <w:rPr>
          <w:rFonts w:cstheme="minorHAnsi"/>
          <w:color w:val="000000"/>
          <w:sz w:val="24"/>
          <w:szCs w:val="24"/>
        </w:rPr>
        <w:t>i wskazanej we wniosku.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Wniosek gminy/powiatu na środki finansowe z Programu jest składany w postaci elektronicznej i należy przes</w:t>
      </w:r>
      <w:r>
        <w:rPr>
          <w:rFonts w:cstheme="minorHAnsi"/>
          <w:color w:val="000000"/>
          <w:sz w:val="24"/>
          <w:szCs w:val="24"/>
        </w:rPr>
        <w:t xml:space="preserve">łać go za pośrednictwem platformy ePUAP. Wniosek musi być opatrzony kwalifikowanym podpisem elektronicznym, podpisem zaufanym albo podpisem osobistym. Minister zastrzega sobie prawo do umożliwienia lub zobowiązania </w:t>
      </w:r>
      <w:r>
        <w:rPr>
          <w:rFonts w:cstheme="minorHAnsi"/>
          <w:color w:val="000000"/>
          <w:sz w:val="24"/>
          <w:szCs w:val="24"/>
        </w:rPr>
        <w:lastRenderedPageBreak/>
        <w:t>gmin/powiatów do składania wniosków i spr</w:t>
      </w:r>
      <w:r>
        <w:rPr>
          <w:rFonts w:cstheme="minorHAnsi"/>
          <w:color w:val="000000"/>
          <w:sz w:val="24"/>
          <w:szCs w:val="24"/>
        </w:rPr>
        <w:t>awozdań poprzez Generator obsługi Programów Funduszu Solidarnościowego.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przypadku stwierdzenia braków formalnych lub błędów merytorycznych we wniosku gminy/powiatu na środki finansowe z Programu, wojewoda informuje wnioskodawcę o nieprawidłowościach (</w:t>
      </w:r>
      <w:r>
        <w:rPr>
          <w:rFonts w:asciiTheme="minorHAnsi" w:hAnsiTheme="minorHAnsi"/>
          <w:sz w:val="24"/>
          <w:szCs w:val="24"/>
        </w:rPr>
        <w:t>np.</w:t>
      </w:r>
      <w:r>
        <w:rPr>
          <w:rFonts w:asciiTheme="minorHAnsi" w:hAnsiTheme="minorHAnsi"/>
          <w:sz w:val="24"/>
          <w:szCs w:val="24"/>
        </w:rPr>
        <w:t xml:space="preserve"> o oczywistych omyłkach pisarskich lub oczywistych omyłkach rachunkowych, z uwzględnieniem konsekwencji rachunkowych dokonanych poprawek) </w:t>
      </w:r>
      <w:r>
        <w:rPr>
          <w:rFonts w:cstheme="minorHAnsi"/>
          <w:color w:val="000000"/>
          <w:sz w:val="24"/>
          <w:szCs w:val="24"/>
        </w:rPr>
        <w:t>i wzywa do poprawienia wniosku w wyznaczonym terminie, nie dłuższym jednak niż 3 dni robocze</w:t>
      </w:r>
      <w:r>
        <w:rPr>
          <w:rStyle w:val="Odwoanieprzypisudolnego"/>
          <w:rFonts w:cstheme="minorHAnsi"/>
          <w:color w:val="000000"/>
        </w:rPr>
        <w:footnoteReference w:id="5"/>
      </w:r>
      <w:r>
        <w:rPr>
          <w:rFonts w:cstheme="minorHAnsi"/>
          <w:color w:val="000000"/>
          <w:sz w:val="24"/>
          <w:szCs w:val="24"/>
        </w:rPr>
        <w:t xml:space="preserve">, pod rygorem odrzucenia </w:t>
      </w:r>
      <w:r>
        <w:rPr>
          <w:rFonts w:cstheme="minorHAnsi"/>
          <w:color w:val="000000"/>
          <w:sz w:val="24"/>
          <w:szCs w:val="24"/>
        </w:rPr>
        <w:t>wniosku (decyduje data wpływu do wojewody).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Wojewoda, po dokonaniu oceny wniosków, przekazuje Ministrowi listę rekomendowanych wniosków w terminie i na zasadach określonych w ogłoszeniu o naborze wniosków do Programu.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 trakcie weryfikacji listy r</w:t>
      </w:r>
      <w:r>
        <w:rPr>
          <w:rFonts w:cstheme="minorHAnsi"/>
          <w:color w:val="000000"/>
          <w:sz w:val="24"/>
          <w:szCs w:val="24"/>
        </w:rPr>
        <w:t>ekomendowanych wniosków może zażądać od wojewody dodatkowych wyjaśnień w zakresie kalkulacji kosztów realizacji Programu oraz przekazania dokumentacji otrzymanej przez wojewodę od gmin/powiatów w ramach naboru wniosków do Programu. Minister może wyłączyć w</w:t>
      </w:r>
      <w:r>
        <w:rPr>
          <w:rFonts w:cstheme="minorHAnsi"/>
          <w:color w:val="000000"/>
          <w:sz w:val="24"/>
          <w:szCs w:val="24"/>
        </w:rPr>
        <w:t>niosek gminy/powiatu z listy rekomendowanych wniosków ze względów formalnych. W takim przypadku, konieczna jest aktualizacja listy rekomendowanych wniosków przez wojewodę.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weryfikuje listę rekomendowanych wniosków przesłanych przez wojewodów i prz</w:t>
      </w:r>
      <w:r>
        <w:rPr>
          <w:rFonts w:cstheme="minorHAnsi"/>
          <w:color w:val="000000"/>
          <w:sz w:val="24"/>
          <w:szCs w:val="24"/>
        </w:rPr>
        <w:t>yznaje środki Funduszu do wyczerpania limitu środków przeznaczonych na realizację Programu.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Kwota przyznanych środków Funduszu może być niższa od wskazanej we wniosku wojewody na środki finansowe z Programu.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>Minister zastrzega sobie prawo zaproponowania in</w:t>
      </w:r>
      <w:r>
        <w:rPr>
          <w:rFonts w:cstheme="minorHAnsi"/>
          <w:color w:val="000000"/>
          <w:sz w:val="24"/>
          <w:szCs w:val="24"/>
        </w:rPr>
        <w:t xml:space="preserve">nej kwoty wsparcia finansowego niż wnioskowana przez wojewodę. W takim przypadku wojewoda zobowiązany będzie do dokonania </w:t>
      </w:r>
      <w:r>
        <w:rPr>
          <w:rFonts w:cstheme="minorHAnsi"/>
          <w:color w:val="000000" w:themeColor="text1"/>
          <w:sz w:val="24"/>
          <w:szCs w:val="24"/>
        </w:rPr>
        <w:t xml:space="preserve">podziału </w:t>
      </w:r>
      <w:r>
        <w:rPr>
          <w:rFonts w:cstheme="minorHAnsi"/>
          <w:color w:val="000000"/>
          <w:sz w:val="24"/>
          <w:szCs w:val="24"/>
        </w:rPr>
        <w:t xml:space="preserve">środków pomiędzy gminy/powiaty, których wnioski zostały zatwierdzone. Decyzję w zakresie zastosowanych kryteriów podziału </w:t>
      </w:r>
      <w:r>
        <w:rPr>
          <w:rFonts w:cstheme="minorHAnsi"/>
          <w:color w:val="000000"/>
          <w:sz w:val="24"/>
          <w:szCs w:val="24"/>
        </w:rPr>
        <w:t xml:space="preserve">środków i wysokości wsparcia dla gmin/powiatów podejmuje Wojewoda, z uwzględnieniem m.in. wysokości wykorzystanych środków </w:t>
      </w:r>
      <w:r>
        <w:rPr>
          <w:rFonts w:cstheme="minorHAnsi"/>
          <w:color w:val="000000"/>
          <w:sz w:val="24"/>
          <w:szCs w:val="24"/>
        </w:rPr>
        <w:lastRenderedPageBreak/>
        <w:t>Funduszu w poprzednich edycjach Programu. W sytuacji, o której mowa w zdaniu powyżej, konieczna jest aktualizacja wniosków gminy/powi</w:t>
      </w:r>
      <w:r>
        <w:rPr>
          <w:rFonts w:cstheme="minorHAnsi"/>
          <w:color w:val="000000"/>
          <w:sz w:val="24"/>
          <w:szCs w:val="24"/>
        </w:rPr>
        <w:t>atu oraz wojewody, przed zawarciem umowy.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>Do środków Funduszu przekazanych na realizację Programu stosuje się odpowiednio art. 60-67 i art. 169 ustawy z dnia 27 sierpnia 2009 r. o finansach publicznych, z tym że organem właściwym do umarzania, odraczania t</w:t>
      </w:r>
      <w:r>
        <w:rPr>
          <w:rFonts w:eastAsia="Arial Unicode MS" w:cstheme="minorHAnsi"/>
          <w:color w:val="000000"/>
          <w:sz w:val="24"/>
          <w:szCs w:val="24"/>
        </w:rPr>
        <w:t>erminów zapłaty lub rozkładania na raty spłat należności Funduszu, a także wydania decyzji o zwrocie całości lub części należności w związku z wykorzystaniem środków niezgodnie z przeznaczeniem albo pobrania ich nienależnie lub w nadmiernej wysokości, jest</w:t>
      </w:r>
      <w:r>
        <w:rPr>
          <w:rFonts w:eastAsia="Arial Unicode MS" w:cstheme="minorHAnsi"/>
          <w:color w:val="000000"/>
          <w:sz w:val="24"/>
          <w:szCs w:val="24"/>
        </w:rPr>
        <w:t xml:space="preserve"> wojewoda.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Środki będą przekazywane zgodnie z zawartymi umowami w sprawie wysokości i trybu przekazywania środków Funduszu, których wzory stanowią odpowiednio: załącznik nr 13 do Programu (Wzór umowy pomiędzy Ministrem a Wojewodą) oraz załącznik nr 14 do P</w:t>
      </w:r>
      <w:r>
        <w:rPr>
          <w:rFonts w:cstheme="minorHAnsi"/>
          <w:color w:val="000000"/>
          <w:sz w:val="24"/>
          <w:szCs w:val="24"/>
        </w:rPr>
        <w:t>rogramu (Wzór umowy pomiędzy Wojewodą a Gminą/Powiatem).</w:t>
      </w:r>
    </w:p>
    <w:p w:rsidR="007506BD" w:rsidRDefault="000F2D5C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Umowa, o której mowa w ust. 11, powinna zawierać szczegółowe postanowienia dotyczące warunków przekazywania i rozliczania środków w układzie rocznym. Środki Funduszu mogą być wykorzystywane na zasadz</w:t>
      </w:r>
      <w:r>
        <w:rPr>
          <w:rFonts w:cstheme="minorHAnsi"/>
          <w:color w:val="000000"/>
          <w:sz w:val="24"/>
          <w:szCs w:val="24"/>
        </w:rPr>
        <w:t>ie refundacji poniesionych wydatków lub na zasadzie zaliczki na sfinansowanie wydatków na realizację Programu, w sposób umożliwiający terminową realizację płatności za zrealizowane usługi asystencji osobistej. Refundacja wydatków na realizację zadania, moż</w:t>
      </w:r>
      <w:r>
        <w:rPr>
          <w:rFonts w:cstheme="minorHAnsi"/>
          <w:color w:val="000000"/>
          <w:sz w:val="24"/>
          <w:szCs w:val="24"/>
        </w:rPr>
        <w:t>e dotyczyć wyłącznie sytuacji, gdy realizator Programu rozpoczął realizację zadania przed otrzymaniem środków Funduszu, nie wcześniej jednak niż od dnia 1 stycznia 2023 r.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462299092"/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VIII. </w:t>
      </w:r>
      <w:bookmarkEnd w:id="84"/>
      <w:r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7506BD" w:rsidRDefault="000F2D5C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Gminy/powiaty, składając do właściwego wojewod</w:t>
      </w:r>
      <w:r>
        <w:rPr>
          <w:rFonts w:cstheme="minorHAnsi"/>
          <w:color w:val="000000"/>
          <w:sz w:val="24"/>
          <w:szCs w:val="24"/>
        </w:rPr>
        <w:t>y wniosek na środki finansowe z Programu, którego wzór stanowi załącznik nr 1 do Programu, uwzględniają w nim w szczególności przewidywaną liczbę uczestników opartą na przeprowadzonej diagnozie potrzeb i koszt realizacji usług asystencji osobistej.</w:t>
      </w:r>
    </w:p>
    <w:p w:rsidR="007506BD" w:rsidRDefault="000F2D5C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Wojewod</w:t>
      </w:r>
      <w:r>
        <w:rPr>
          <w:rFonts w:cstheme="minorHAnsi"/>
          <w:sz w:val="24"/>
          <w:szCs w:val="24"/>
        </w:rPr>
        <w:t>a po dokonaniu oceny wniosków złożonych przez gminy/powiaty sporządza listę rekomendowanych wniosków i przekazuje ją Ministrowi do weryfikacji i zatwierdzenia.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IX. </w:t>
      </w:r>
      <w:bookmarkEnd w:id="94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Każdy wniosek złożony w ramach Programu musi </w:t>
      </w:r>
      <w:r>
        <w:rPr>
          <w:rFonts w:cstheme="minorHAnsi"/>
          <w:sz w:val="24"/>
          <w:szCs w:val="24"/>
        </w:rPr>
        <w:t>spełnić kryteria formalne, określone w ust. 2.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oceny formalnej (0-1 pkt):</w:t>
      </w:r>
    </w:p>
    <w:p w:rsidR="007506BD" w:rsidRDefault="000F2D5C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kompletnie wypełniony wniosek zgodnie z obowiązującym wzorem, przesłany w terminie, we właściwej formie i na właściwy adres;</w:t>
      </w:r>
    </w:p>
    <w:p w:rsidR="007506BD" w:rsidRDefault="000F2D5C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został złożony przez uprawniony podmiot </w:t>
      </w:r>
      <w:r>
        <w:rPr>
          <w:rFonts w:cstheme="minorHAnsi"/>
          <w:sz w:val="24"/>
          <w:szCs w:val="24"/>
        </w:rPr>
        <w:t>i został podpisany przez osoby uprawnione;</w:t>
      </w:r>
    </w:p>
    <w:p w:rsidR="007506BD" w:rsidRDefault="000F2D5C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wniosku zostały załączone wymagane załączniki (kalkulacja kosztów oraz informacje opisowe).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Wniosek, który nie spełnia wymogów formalnych, będzie zwracany do uzupełnienia w wyznaczonym przez wojewodę terminie, </w:t>
      </w:r>
      <w:r>
        <w:rPr>
          <w:rFonts w:cstheme="minorHAnsi"/>
          <w:sz w:val="24"/>
          <w:szCs w:val="24"/>
        </w:rPr>
        <w:t>nie dłuższym jednak niż 3 dni robocze. Błędne uzupełnienie lub jego brak będzie skutkować odrzuceniem wniosku bez obowiązku poinformowania wnioskodawcy. Przez nieuzupełnienie wniosku należy rozumieć także przekazanie uzupełnionego wniosku po wyznaczonym pr</w:t>
      </w:r>
      <w:r>
        <w:rPr>
          <w:rFonts w:cstheme="minorHAnsi"/>
          <w:sz w:val="24"/>
          <w:szCs w:val="24"/>
        </w:rPr>
        <w:t>zez wojewodę terminie.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:rsidR="007506BD" w:rsidRDefault="000F2D5C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zakwalifikowany do oceny merytorycznej – w przypadku spe</w:t>
      </w:r>
      <w:r>
        <w:rPr>
          <w:rFonts w:cstheme="minorHAnsi"/>
          <w:sz w:val="24"/>
          <w:szCs w:val="24"/>
        </w:rPr>
        <w:t>łnienia wszystkich kryteriów formalnych;</w:t>
      </w:r>
    </w:p>
    <w:p w:rsidR="007506BD" w:rsidRDefault="000F2D5C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Ocenie merytorycznej podlegają wyłącznie wnioski spełniające kryteria formalne.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mery</w:t>
      </w:r>
      <w:r>
        <w:rPr>
          <w:rFonts w:cstheme="minorHAnsi"/>
          <w:sz w:val="24"/>
          <w:szCs w:val="24"/>
        </w:rPr>
        <w:t>toryczne:</w:t>
      </w:r>
    </w:p>
    <w:p w:rsidR="007506BD" w:rsidRDefault="000F2D5C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6.1.</w:t>
      </w:r>
      <w:r>
        <w:rPr>
          <w:rFonts w:cstheme="minorHAnsi"/>
          <w:sz w:val="24"/>
          <w:szCs w:val="24"/>
        </w:rPr>
        <w:tab/>
        <w:t>Kryteria oceny zostały określone w art. 13 ust. 6 ustawy z dnia 23 października 2018 r. o Funduszu Solidarnościowym; przy ocenie wniosku bierze się pod uwagę:</w:t>
      </w:r>
    </w:p>
    <w:p w:rsidR="007506BD" w:rsidRDefault="000F2D5C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adekwatność wniosku w odniesieniu do celów Programu;</w:t>
      </w:r>
    </w:p>
    <w:p w:rsidR="007506BD" w:rsidRDefault="000F2D5C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potencjalny wpływ zadań na be</w:t>
      </w:r>
      <w:r>
        <w:rPr>
          <w:rFonts w:cstheme="minorHAnsi"/>
          <w:sz w:val="24"/>
          <w:szCs w:val="24"/>
        </w:rPr>
        <w:t>neficjentów, w tym także trwałość rezultatów zadań zawartych we wniosku;</w:t>
      </w:r>
    </w:p>
    <w:p w:rsidR="007506BD" w:rsidRDefault="000F2D5C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zasadność wysokości wnioskowanych środków w stosunku do celu, rezultatów i zakresu zadań, które obejmuje wniosek;</w:t>
      </w:r>
    </w:p>
    <w:p w:rsidR="007506BD" w:rsidRDefault="000F2D5C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zdolność organizacyjną wnioskodawcy oraz przygotowanie instytucjonaln</w:t>
      </w:r>
      <w:r>
        <w:rPr>
          <w:rFonts w:cstheme="minorHAnsi"/>
          <w:sz w:val="24"/>
          <w:szCs w:val="24"/>
        </w:rPr>
        <w:t>e do realizacji zadań.</w:t>
      </w:r>
    </w:p>
    <w:p w:rsidR="007506BD" w:rsidRDefault="000F2D5C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liczba możliwych do uzyskania punktów za spełnienie kryteriów, o których mowa powyżej wynosi </w:t>
      </w:r>
      <w:r>
        <w:rPr>
          <w:rFonts w:cstheme="minorHAnsi"/>
          <w:b/>
          <w:sz w:val="24"/>
          <w:szCs w:val="24"/>
        </w:rPr>
        <w:t>12 pkt</w:t>
      </w:r>
      <w:r>
        <w:rPr>
          <w:rFonts w:cstheme="minorHAnsi"/>
          <w:sz w:val="24"/>
          <w:szCs w:val="24"/>
        </w:rPr>
        <w:t xml:space="preserve"> (0-3 pkt za spełnienie każdego kryterium).</w:t>
      </w:r>
    </w:p>
    <w:p w:rsidR="007506BD" w:rsidRDefault="000F2D5C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6.2.</w:t>
      </w:r>
      <w:r>
        <w:rPr>
          <w:rFonts w:cstheme="minorHAnsi"/>
          <w:sz w:val="24"/>
          <w:szCs w:val="24"/>
        </w:rPr>
        <w:tab/>
        <w:t>Ponadto, uwzględniona zostanie</w:t>
      </w:r>
      <w:r>
        <w:rPr>
          <w:rFonts w:cstheme="minorHAnsi"/>
          <w:color w:val="000000"/>
          <w:sz w:val="24"/>
          <w:szCs w:val="24"/>
        </w:rPr>
        <w:t xml:space="preserve"> ocena kalkulacji kosztów realizacji usług asyst</w:t>
      </w:r>
      <w:r>
        <w:rPr>
          <w:rFonts w:cstheme="minorHAnsi"/>
          <w:color w:val="000000"/>
          <w:sz w:val="24"/>
          <w:szCs w:val="24"/>
        </w:rPr>
        <w:t xml:space="preserve">encji osobistej pod względem spójności z opisem działań, a także adekwatności i celowości w odniesieniu do przedstawionego we wniosku zakresu rzeczowego zadania </w:t>
      </w:r>
      <w:r>
        <w:rPr>
          <w:rFonts w:cstheme="minorHAnsi"/>
          <w:sz w:val="24"/>
          <w:szCs w:val="24"/>
        </w:rPr>
        <w:t>(0-3 pkt).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>
        <w:rPr>
          <w:rFonts w:cstheme="minorHAnsi"/>
          <w:b/>
          <w:bCs/>
          <w:sz w:val="24"/>
          <w:szCs w:val="24"/>
        </w:rPr>
        <w:t>16 pkt</w:t>
      </w:r>
      <w:r>
        <w:rPr>
          <w:rFonts w:cstheme="minorHAnsi"/>
          <w:bCs/>
          <w:sz w:val="24"/>
          <w:szCs w:val="24"/>
        </w:rPr>
        <w:t>.</w:t>
      </w:r>
    </w:p>
    <w:p w:rsidR="007506BD" w:rsidRDefault="000F2D5C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Rekomendacji podlegają wnioski, które w ramach każdego kryterium oceny, o którym mowa w ust. 6.1 i ust. 6.2 uzyskają co najmniej 1 pkt.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7" w:name="_Toc81227460"/>
      <w:bookmarkStart w:id="98" w:name="_Toc84328141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Przetwarzanie danych osobowych</w:t>
      </w:r>
      <w:bookmarkEnd w:id="97"/>
      <w:bookmarkEnd w:id="98"/>
    </w:p>
    <w:p w:rsidR="007506BD" w:rsidRDefault="000F2D5C">
      <w:pPr>
        <w:pStyle w:val="Default"/>
        <w:numPr>
          <w:ilvl w:val="0"/>
          <w:numId w:val="37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związku z realizacją przedmiotu umowy zaistnieje potrzeba przetwarzania danych osobowych osób fizycznych przez gminę/powiat lub inny podmiot, któremu gmina/powiat zleciła realizację Programu, obowiązki administratora</w:t>
      </w:r>
      <w:r>
        <w:rPr>
          <w:rFonts w:asciiTheme="minorHAnsi" w:hAnsiTheme="minorHAnsi" w:cstheme="minorHAnsi"/>
        </w:rPr>
        <w:t xml:space="preserve"> danych osobowych tych osób będą wykonywane zgodnie z przepisami prawa powszechnie obowiązującego, w tym ustawą z dnia 10 maja 2018 r. o ochronie danych osobowych (Dz. U. z 2019 r. poz. 1781) oraz rozporządzeniem Parlamentu Europejskiego i Rady (UE) 2016/6</w:t>
      </w:r>
      <w:r>
        <w:rPr>
          <w:rFonts w:asciiTheme="minorHAnsi" w:hAnsiTheme="minorHAnsi" w:cstheme="minorHAnsi"/>
        </w:rPr>
        <w:t>79 z dnia 27 kwietnia 2016 r. w sprawie ochrony osób fizycznych w związku z przetwarzaniem danych osobowych i w sprawie swobodnego przepływu takich danych oraz uchylenia dyrektywy 95/46/WE (ogólne rozporządzenie o ochronie danych) (Urz. UE L 119 z 04.05.20</w:t>
      </w:r>
      <w:r>
        <w:rPr>
          <w:rFonts w:asciiTheme="minorHAnsi" w:hAnsiTheme="minorHAnsi" w:cstheme="minorHAnsi"/>
        </w:rPr>
        <w:t>16, str. 1, z późn. zm.), zwanego dalej „RODO”. W szczególności gmina/powiat lub inny podmiot, któremu gmina/powiat zleciła realizację Programu, przekaże tym osobom informacje, o których mowa w art. 13 lub w art. 14 RODO. W tym celu gmina/powiat lub inny p</w:t>
      </w:r>
      <w:r>
        <w:rPr>
          <w:rFonts w:asciiTheme="minorHAnsi" w:hAnsiTheme="minorHAnsi" w:cstheme="minorHAnsi"/>
        </w:rPr>
        <w:t xml:space="preserve">odmiot, któremu gmina/powiat zleciła realizację Programu, przekaże osobie fizycznej, o której mowa w zdaniu pierwszym, pisemną informację o przetwarzaniu jej danych osobowych, co może nastąpić w szczególności poprzez przekazanie osobie fizycznej </w:t>
      </w:r>
      <w:r>
        <w:rPr>
          <w:rFonts w:asciiTheme="minorHAnsi" w:hAnsiTheme="minorHAnsi" w:cstheme="minorHAnsi"/>
          <w:bCs/>
        </w:rPr>
        <w:t>formularza</w:t>
      </w:r>
      <w:r>
        <w:rPr>
          <w:rFonts w:asciiTheme="minorHAnsi" w:hAnsiTheme="minorHAnsi" w:cstheme="minorHAnsi"/>
          <w:bCs/>
        </w:rPr>
        <w:t xml:space="preserve"> przetwarzania danych osobowych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zgodnego z ustalonym wzorem przez gminę/powiat lub inny podmiot, któremu gmina/powiat zleciła realizację Programu. Podpisany egzemplarz informacji lub formularza, gmina/powiat lub inny podmiot, </w:t>
      </w:r>
      <w:r>
        <w:rPr>
          <w:rFonts w:asciiTheme="minorHAnsi" w:hAnsiTheme="minorHAnsi" w:cstheme="minorHAnsi"/>
        </w:rPr>
        <w:lastRenderedPageBreak/>
        <w:t>któremu gmina/powiat zleciła r</w:t>
      </w:r>
      <w:r>
        <w:rPr>
          <w:rFonts w:asciiTheme="minorHAnsi" w:hAnsiTheme="minorHAnsi" w:cstheme="minorHAnsi"/>
        </w:rPr>
        <w:t xml:space="preserve">ealizację Programu zachowa w dokumentacji finansowo-rzeczowej dotyczącej realizacji umowy. </w:t>
      </w:r>
    </w:p>
    <w:p w:rsidR="007506BD" w:rsidRDefault="000F2D5C">
      <w:pPr>
        <w:pStyle w:val="Default"/>
        <w:numPr>
          <w:ilvl w:val="0"/>
          <w:numId w:val="38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gmina/powiat lub inny podmiot, któremu gmina/powiat </w:t>
      </w:r>
      <w:r>
        <w:rPr>
          <w:rFonts w:asciiTheme="minorHAnsi" w:hAnsiTheme="minorHAnsi" w:cstheme="minorHAnsi"/>
        </w:rPr>
        <w:t>zleciła realizację Programu.</w:t>
      </w:r>
    </w:p>
    <w:p w:rsidR="007506BD" w:rsidRDefault="000F2D5C">
      <w:pPr>
        <w:pStyle w:val="Default"/>
        <w:numPr>
          <w:ilvl w:val="0"/>
          <w:numId w:val="39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Gmina/powiat lub inny podmiot, któremu gmina/powiat zleciła realizację Programu będzie przetwarzać dane osobowe, o których mowa w ust. 1, w celach dotyczących: zadania realizowanego w interesie publicznym, realizacji świadczeń </w:t>
      </w:r>
      <w:r>
        <w:rPr>
          <w:rFonts w:asciiTheme="minorHAnsi" w:hAnsiTheme="minorHAnsi" w:cstheme="minorHAnsi"/>
        </w:rPr>
        <w:t>związanych z wykonaniem przedmiotu umowy, realizacji obowiązków wynikających z umowy, rozliczenia otrzymanych środków Funduszu lub wypełniania obowiązku prawnego.</w:t>
      </w:r>
    </w:p>
    <w:p w:rsidR="007506BD" w:rsidRDefault="000F2D5C">
      <w:pPr>
        <w:pStyle w:val="Default"/>
        <w:numPr>
          <w:ilvl w:val="0"/>
          <w:numId w:val="40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osób fizycznych przetwarzane przez gminę/powiat lub inny podmiot, któremu gmina/powiat z</w:t>
      </w:r>
      <w:r>
        <w:rPr>
          <w:rFonts w:asciiTheme="minorHAnsi" w:hAnsiTheme="minorHAnsi" w:cstheme="minorHAnsi"/>
        </w:rPr>
        <w:t>leciła realizację Programu, w szczególności dane uczestników, mogą być udostępniane Ministrowi lub wojewodzie do celów sprawozdawczych, kontrolnych oraz nadzoru.</w:t>
      </w:r>
    </w:p>
    <w:p w:rsidR="007506BD" w:rsidRDefault="000F2D5C">
      <w:pPr>
        <w:pStyle w:val="Default"/>
        <w:numPr>
          <w:ilvl w:val="0"/>
          <w:numId w:val="41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udostępniania Ministrowi lub wojewodzie danych osób, o których mowa w ust. 4, gmin</w:t>
      </w:r>
      <w:r>
        <w:rPr>
          <w:rFonts w:asciiTheme="minorHAnsi" w:hAnsiTheme="minorHAnsi" w:cstheme="minorHAnsi"/>
        </w:rPr>
        <w:t>a/powiat lub inny podmiot, któremu gmina/powiat zleciła realizację Programu, zrealizuje w imieniu Ministra lub wojewody obowiązek wynikający z art. 14 RODO oraz poinformuje te osoby o przetwarzaniu ich danych przez Ministra lub wojewodę. Wzór Klauzuli info</w:t>
      </w:r>
      <w:r>
        <w:rPr>
          <w:rFonts w:asciiTheme="minorHAnsi" w:hAnsiTheme="minorHAnsi" w:cstheme="minorHAnsi"/>
        </w:rPr>
        <w:t>rmacyjnej RODO w ramach Programu „Asystent osobisty osoby niepełnosprawnej” – edycja 2023 Ministra Rodziny i Polityki Społecznej dotyczący realizacji obowiązku poinformowania osoby o przetwarzaniu ich danych przez Ministra stanowi Załącznik nr 12 do Progra</w:t>
      </w:r>
      <w:r>
        <w:rPr>
          <w:rFonts w:asciiTheme="minorHAnsi" w:hAnsiTheme="minorHAnsi" w:cstheme="minorHAnsi"/>
        </w:rPr>
        <w:t>mu.</w:t>
      </w:r>
    </w:p>
    <w:p w:rsidR="007506BD" w:rsidRDefault="000F2D5C">
      <w:pPr>
        <w:pStyle w:val="Default"/>
        <w:numPr>
          <w:ilvl w:val="0"/>
          <w:numId w:val="42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Zasady, o których mowa w ust. 1-5, mają odpowiednie zastosowanie do przetwarzania danych osobowych przez wojewodę. 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9" w:name="_Toc81227461"/>
      <w:bookmarkStart w:id="100" w:name="_Toc84328142"/>
      <w:bookmarkStart w:id="101" w:name="_Toc11156371"/>
      <w:bookmarkStart w:id="102" w:name="_Toc11157018"/>
      <w:bookmarkStart w:id="103" w:name="_Toc13231237"/>
      <w:bookmarkStart w:id="104" w:name="_Toc14098680"/>
      <w:bookmarkStart w:id="105" w:name="_Toc14163163"/>
      <w:bookmarkStart w:id="106" w:name="_Toc14779260"/>
      <w:bookmarkStart w:id="107" w:name="_Toc14868082"/>
      <w:r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7506BD" w:rsidRDefault="000F2D5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Ministra należy: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 Programu.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Ogłoszenie Programu oraz zamieszczenie </w:t>
      </w:r>
      <w:r>
        <w:rPr>
          <w:rFonts w:cstheme="minorHAnsi"/>
          <w:color w:val="000000"/>
          <w:sz w:val="24"/>
          <w:szCs w:val="24"/>
        </w:rPr>
        <w:t>ogłoszenia o naborze wniosków w Biuletynie Informacji Publicznej na stronie podmiotowej Ministra.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Weryfikowanie złożonych przez wojewodów list rekomendowanych wniosków i ich zatwierdzenie do finansowania w ramach Programu, w ramach oceny formalnej:</w:t>
      </w:r>
    </w:p>
    <w:p w:rsidR="007506BD" w:rsidRDefault="000F2D5C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z w:val="24"/>
          <w:szCs w:val="24"/>
        </w:rPr>
        <w:t xml:space="preserve"> został kompletnie i prawidłowo wypełniony, zgodnie z obowiązującym wzorem, przesłany w terminie, we właściwej formie i na właściwy adres;</w:t>
      </w:r>
    </w:p>
    <w:p w:rsidR="007506BD" w:rsidRDefault="000F2D5C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został złożony przez uprawniony podmiot.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Opublikowanie w Biuletynie Informacji Publicznej na stronie podmioto</w:t>
      </w:r>
      <w:r>
        <w:rPr>
          <w:rFonts w:cstheme="minorHAnsi"/>
          <w:color w:val="000000"/>
          <w:sz w:val="24"/>
          <w:szCs w:val="24"/>
        </w:rPr>
        <w:t>wej Ministra zatwierdzonej listy rekomendowanych wniosków do finansowania w ramach Programu.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Zawieranie umów z wojewodami w sprawie przekazania środków Funduszu przyznanych w ramach Programu.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Przygotowanie wzorów: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wniosku gminy/powiatu na środki finansowe </w:t>
      </w:r>
      <w:r>
        <w:rPr>
          <w:rFonts w:cstheme="minorHAnsi"/>
          <w:sz w:val="24"/>
          <w:szCs w:val="24"/>
        </w:rPr>
        <w:t>z Programu „Asystent osobisty osoby niepełnosprawnej” – edycja 2023 wraz z kalkulacją przewidywanych kosztów realizacji zdania, który stanowi załącznik nr 1 do Programu;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 wojewody na środki finansowe z Programu „Asystent osobisty osoby niepełnospraw</w:t>
      </w:r>
      <w:r>
        <w:rPr>
          <w:rFonts w:cstheme="minorHAnsi"/>
          <w:sz w:val="24"/>
          <w:szCs w:val="24"/>
        </w:rPr>
        <w:t>nej” – edycja 2023, który stanowi załącznik nr 2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listy rekomendowanych wniosków do finansowania w ramach Programu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„Asystent osobisty osoby niepełnosprawnej” – edycja 2023, który stanowi załącznik nr 3 do Programu;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gmin/powiatów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realizacji Programu „Asystent osobisty osoby niepełnosprawnej” – edycja 2023, który stanowi załącznik nr 4 do Programu;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wojewody z realizacji Programu „Asystent osobisty osoby niepełnosprawnej” – edycja 2023, który stanowi załącznik nr 5 do Pr</w:t>
      </w:r>
      <w:r>
        <w:rPr>
          <w:rFonts w:cstheme="minorHAnsi"/>
          <w:sz w:val="24"/>
          <w:szCs w:val="24"/>
        </w:rPr>
        <w:t>ogramu;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oświadczenia o przyjęciu środków finansowych z Programu „Asystent osobisty osoby niepełnosprawnej” – edycja 2023, który stanowi załącznik nr 6 do Programu;</w:t>
      </w:r>
    </w:p>
    <w:p w:rsidR="007506BD" w:rsidRDefault="000F2D5C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zgłoszenia do Programu „Asystent osobisty osoby niepełnosprawnej” – edycja 2023, który</w:t>
      </w:r>
      <w:r>
        <w:rPr>
          <w:rFonts w:cstheme="minorHAnsi"/>
          <w:sz w:val="24"/>
          <w:szCs w:val="24"/>
        </w:rPr>
        <w:t xml:space="preserve"> stanowi załącznik nr 7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zakresu czynności w ramach usługi asystencji osobistej do Programu „Asystent osobisty osoby niepełnosprawnej” – edycja 2023, który stanowi załącznik nr 8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karty realizacji usług asystencji osobistej w </w:t>
      </w:r>
      <w:r>
        <w:rPr>
          <w:rFonts w:cstheme="minorHAnsi"/>
          <w:sz w:val="24"/>
          <w:szCs w:val="24"/>
        </w:rPr>
        <w:t>ramach Programu „Asystent osobisty osoby niepełnosprawnej” – edycja 2023, który stanowi załącznik nr 9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ewidencji przebiegu pojazdu w ramach Programu „Asystent osobisty osoby niepełnosprawnej” – edycja 2023, który stanowi załącznik nr 10 do Pro</w:t>
      </w:r>
      <w:r>
        <w:rPr>
          <w:rFonts w:cstheme="minorHAnsi"/>
          <w:sz w:val="24"/>
          <w:szCs w:val="24"/>
        </w:rPr>
        <w:t>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ewidencji biletów komunikacyjnych w ramach Programu „Asystent osobisty osoby niepełnosprawnej” – edycja 2023, który stanowi załącznik nr 10a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karty oceny wniosku gminy/powiatu w ramach Programu „Asystent osobisty osoby niepełnosprawnej” </w:t>
      </w:r>
      <w:r>
        <w:rPr>
          <w:rFonts w:cstheme="minorHAnsi"/>
          <w:color w:val="000000"/>
          <w:sz w:val="24"/>
          <w:szCs w:val="24"/>
        </w:rPr>
        <w:t>– edycja 2023, który stanowi załącznik nr 11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Uwydatnienie1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>
        <w:rPr>
          <w:rFonts w:cstheme="minorHAnsi"/>
          <w:color w:val="000000"/>
          <w:sz w:val="24"/>
          <w:szCs w:val="24"/>
        </w:rPr>
        <w:t xml:space="preserve">klauzuli </w:t>
      </w:r>
      <w:r>
        <w:rPr>
          <w:rStyle w:val="Uwydatnienie1"/>
          <w:rFonts w:cstheme="minorHAnsi"/>
          <w:i w:val="0"/>
          <w:sz w:val="24"/>
          <w:szCs w:val="24"/>
        </w:rPr>
        <w:t xml:space="preserve">informacyjnej w ramach Programu </w:t>
      </w:r>
      <w:r>
        <w:rPr>
          <w:rFonts w:cstheme="minorHAnsi"/>
          <w:iCs/>
          <w:sz w:val="24"/>
          <w:szCs w:val="24"/>
        </w:rPr>
        <w:t xml:space="preserve">„Asystent osobisty osoby niepełnosprawnej” – edycja 2023 </w:t>
      </w:r>
      <w:r>
        <w:rPr>
          <w:rStyle w:val="Uwydatnienie1"/>
          <w:rFonts w:cstheme="minorHAnsi"/>
          <w:i w:val="0"/>
          <w:sz w:val="24"/>
          <w:szCs w:val="24"/>
        </w:rPr>
        <w:t xml:space="preserve">Ministra Rodziny i Polityki Społecznej, </w:t>
      </w:r>
      <w:r>
        <w:rPr>
          <w:rFonts w:cstheme="minorHAnsi"/>
          <w:color w:val="000000"/>
          <w:sz w:val="24"/>
          <w:szCs w:val="24"/>
        </w:rPr>
        <w:t>który stanowi załącznik nr 12 do Programu</w:t>
      </w:r>
      <w:r>
        <w:rPr>
          <w:rStyle w:val="Uwydatnienie1"/>
          <w:rFonts w:cstheme="minorHAnsi"/>
          <w:b/>
          <w:i w:val="0"/>
        </w:rPr>
        <w:t>;</w:t>
      </w:r>
      <w:bookmarkEnd w:id="108"/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umowy pomiędzy </w:t>
      </w:r>
      <w:r>
        <w:rPr>
          <w:rFonts w:cstheme="minorHAnsi"/>
          <w:color w:val="000000"/>
          <w:sz w:val="24"/>
          <w:szCs w:val="24"/>
        </w:rPr>
        <w:t>Ministrem a Wojewodą, który stanowi załącznik nr 13 do Programu;</w:t>
      </w:r>
    </w:p>
    <w:p w:rsidR="007506BD" w:rsidRDefault="000F2D5C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umowy pomiędzy Wojewodą a Gminą/Powiatem, który stanowi załącznik nr 14 do Programu.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Monitorowanie i kontrola realizacji zadań wojewodów wynikających z Programu.</w:t>
      </w:r>
    </w:p>
    <w:p w:rsidR="007506BD" w:rsidRDefault="000F2D5C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Akceptowanie sprawozdań skład</w:t>
      </w:r>
      <w:r>
        <w:rPr>
          <w:rFonts w:cstheme="minorHAnsi"/>
          <w:sz w:val="24"/>
          <w:szCs w:val="24"/>
        </w:rPr>
        <w:t>anych przez wojewodów.</w:t>
      </w:r>
    </w:p>
    <w:p w:rsidR="007506BD" w:rsidRDefault="000F2D5C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Sporządzanie zbiorczego sprawozdania z realizacji Programu na podstawie sprawozdań przekazanych przez wojewodów.</w:t>
      </w:r>
    </w:p>
    <w:p w:rsidR="007506BD" w:rsidRDefault="007506BD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:rsidR="007506BD" w:rsidRDefault="000F2D5C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wojewody należy: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Ogłoszenie </w:t>
      </w:r>
      <w:r>
        <w:rPr>
          <w:rFonts w:cstheme="minorHAnsi"/>
          <w:color w:val="000000"/>
          <w:sz w:val="24"/>
          <w:szCs w:val="24"/>
        </w:rPr>
        <w:t xml:space="preserve">o naborze wniosków w Biuletynie Informacji Publicznej na stronie podmiotowej </w:t>
      </w:r>
      <w:r>
        <w:rPr>
          <w:rFonts w:cstheme="minorHAnsi"/>
          <w:color w:val="000000"/>
          <w:sz w:val="24"/>
          <w:szCs w:val="24"/>
        </w:rPr>
        <w:t>właściwego wojewody.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Przekazanie informacji o naborze wszystkim gminom/powiatom z terenu danego województwa wraz z zobowiązaniem do ich upublicznienia co najmniej w Biuletynie Informacji Publicznej na stronie podmiotowej danej gminy/powiatu oraz ośrodka po</w:t>
      </w:r>
      <w:r>
        <w:rPr>
          <w:rFonts w:cstheme="minorHAnsi"/>
          <w:sz w:val="24"/>
          <w:szCs w:val="24"/>
        </w:rPr>
        <w:t>mocy społecznej w danej gminy/powiatu albo centrum usług społecznych, o którym mowa w ustawie z dnia 19 lipca 2019 r. o realizowaniu usług społecznych przez centrum usług społecznych.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Udzielanie informacji o zasadach Programu i warunkach naboru wniosków.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rzeprowadzenie naboru wniosków.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Ocena wniosków gmin/powiatów na środki finansowe z Programu pod względem formalnym, merytorycznym, z uwzględnieniem racjonalnego i celowego planowanego wydatkowania środków publicznych.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Ocena wniosków gmin/powiatów, o której</w:t>
      </w:r>
      <w:r>
        <w:rPr>
          <w:rFonts w:cstheme="minorHAnsi"/>
          <w:color w:val="000000"/>
          <w:sz w:val="24"/>
          <w:szCs w:val="24"/>
        </w:rPr>
        <w:t xml:space="preserve"> mowa w pkt 5, powinna być dokonana na podstawie Karty oceny wniosku gminy/powiatu w ramach Programu „Asystent osobisty osoby niepełnosprawnej” – edycja 2023, stanowiącej załącznik nr 11 do Programu.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Sporządzenie i przekazanie Ministrowi wniosku wojewody n</w:t>
      </w:r>
      <w:r>
        <w:rPr>
          <w:rFonts w:cstheme="minorHAnsi"/>
          <w:color w:val="000000"/>
          <w:sz w:val="24"/>
          <w:szCs w:val="24"/>
        </w:rPr>
        <w:t>a środki finansowe z Programu wraz z listą rekomendowanych wniosków, zgodnie z wzorami stanowiącymi odpowiednio załącznik nr 2 i 3 do Programu.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Informowanie gmin/powiatów o obowiązku i terminie złożenia oświadczenia o przyjęciu lub rezygnacji ze środków pr</w:t>
      </w:r>
      <w:r>
        <w:rPr>
          <w:rFonts w:cstheme="minorHAnsi"/>
          <w:color w:val="000000"/>
          <w:sz w:val="24"/>
          <w:szCs w:val="24"/>
        </w:rPr>
        <w:t>zyznanych w ramach Programu.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Zawieranie umów z właściwymi gminami/powiatami niezwłocznie, nie później jednak niż w terminie 30 dni od podpisania umowy z Ministrem.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Przekazanie gminom/powiatom środków finansowych, w terminach określonych w umowach zawartych</w:t>
      </w:r>
      <w:r>
        <w:rPr>
          <w:rFonts w:cstheme="minorHAnsi"/>
          <w:color w:val="000000"/>
          <w:sz w:val="24"/>
          <w:szCs w:val="24"/>
        </w:rPr>
        <w:t xml:space="preserve"> z gminami/powiatami.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Analizowanie sprawozdań i innych uzyskanych informacji o realizowanych przez gminy/powiaty zadaniach oraz rozliczanie środków finansowych przyznanych gminom/powiatom na realizację Programu, w tym koszty jego obsługi.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Przekazanie </w:t>
      </w:r>
      <w:r>
        <w:rPr>
          <w:rFonts w:cstheme="minorHAnsi"/>
          <w:color w:val="000000"/>
          <w:sz w:val="24"/>
          <w:szCs w:val="24"/>
        </w:rPr>
        <w:t>Ministrowi rocznego sprawozdania wojewody z realizacji Programu,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według wzoru stanowiącego załącznik nr 5 do Programu.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Koordynacja, nadzór oraz kontrola zadań realizowanych przez gminę/powiat w ramach Programu.</w:t>
      </w:r>
    </w:p>
    <w:p w:rsidR="007506BD" w:rsidRDefault="000F2D5C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Umarzanie, odraczanie terminów płatności lub </w:t>
      </w:r>
      <w:r>
        <w:rPr>
          <w:rFonts w:cstheme="minorHAnsi"/>
          <w:sz w:val="24"/>
          <w:szCs w:val="24"/>
        </w:rPr>
        <w:t>rozkładanie na raty spłat należności Funduszu, a także wydanie decyzji o zwrocie w związku z wykorzystaniem środków niezgodnie z przeznaczeniem albo pobranie ich nienależnie lub w nadmiernej wysokości.</w:t>
      </w:r>
    </w:p>
    <w:p w:rsidR="007506BD" w:rsidRDefault="007506BD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:rsidR="007506BD" w:rsidRDefault="000F2D5C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gminy/powiatu należy: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Poinformowanie o ogłos</w:t>
      </w:r>
      <w:r>
        <w:rPr>
          <w:rFonts w:cstheme="minorHAnsi"/>
          <w:color w:val="000000"/>
          <w:sz w:val="24"/>
          <w:szCs w:val="24"/>
        </w:rPr>
        <w:t>zeniu o naborze wniosków na stronie podmiotowej wszystkich gmin/powiatów.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Składanie wniosku gmin/powiatu na środki finansowe z Programu do właściwego wojewody.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Niezwłocznie po ogłoszeniu wyników naboru wniosków złożenie do wojewody oświadczenia o przyjęciu</w:t>
      </w:r>
      <w:r>
        <w:rPr>
          <w:rFonts w:cstheme="minorHAnsi"/>
          <w:color w:val="000000"/>
          <w:sz w:val="24"/>
          <w:szCs w:val="24"/>
        </w:rPr>
        <w:t xml:space="preserve"> bądź rezygnacji ze środków finansowych przyznanych w ramach Programu.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Koordynowanie realizacji Programu w gminie/powiecie</w:t>
      </w:r>
      <w:r>
        <w:rPr>
          <w:rFonts w:eastAsia="Calibri" w:cs="Calibri"/>
          <w:sz w:val="24"/>
          <w:szCs w:val="24"/>
        </w:rPr>
        <w:t xml:space="preserve"> oraz </w:t>
      </w:r>
      <w:r>
        <w:rPr>
          <w:rFonts w:cstheme="minorHAnsi"/>
          <w:color w:val="000000"/>
          <w:sz w:val="24"/>
          <w:szCs w:val="24"/>
        </w:rPr>
        <w:t>informowanie wojewody o trudnościach w realizacji Programu, mających wpływ na wykorzystanie środków.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działań mających n</w:t>
      </w:r>
      <w:r>
        <w:rPr>
          <w:rFonts w:cstheme="minorHAnsi"/>
          <w:sz w:val="24"/>
          <w:szCs w:val="24"/>
        </w:rPr>
        <w:t>a celu rozpoczęcie realizacji zadania, niezwłocznie po złożeniu oświadczenia o przyjęciu środków jednak nie później niż w dniu podpisania umowy z wojewodą.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Realizowanie zadań zgodnie z Programem oraz zgodnie z zawartymi umowami w zakresie wysokości i trybu</w:t>
      </w:r>
      <w:r>
        <w:rPr>
          <w:rFonts w:cstheme="minorHAnsi"/>
          <w:color w:val="000000"/>
          <w:sz w:val="24"/>
          <w:szCs w:val="24"/>
        </w:rPr>
        <w:t xml:space="preserve"> przekazywania środków Funduszu.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Rozliczenie z wojewodą otrzymanych środków finansowych oraz poddanie się kontroli zgodnie z umową.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Przedstawienie na żądanie wojewody wyjaśnień, informacji i dokumentów dotyczących zadań realizowanych w ramach Programu.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</w:t>
      </w:r>
      <w:r>
        <w:rPr>
          <w:rFonts w:cstheme="minorHAnsi"/>
          <w:color w:val="000000"/>
          <w:sz w:val="24"/>
          <w:szCs w:val="24"/>
        </w:rPr>
        <w:t>ekazywanie, właściwemu wojewodzie, sprawozdania z realizacji Programu według wzoru stanowiącego załącznik nr 4 Programu.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przypadku zlecania realizacji usług asystencji osobistej przez gminę/powiat podmiotom, o których mowa w części IV, gmina/powiat są ob</w:t>
      </w:r>
      <w:r>
        <w:rPr>
          <w:rFonts w:cstheme="minorHAnsi"/>
          <w:color w:val="000000"/>
          <w:sz w:val="24"/>
          <w:szCs w:val="24"/>
        </w:rPr>
        <w:t>owiązane do koordynacji, nadzoru, kontroli zadań oraz sposobu wykorzystania środków zgodnie z Programem. Ponadto gmina/powiat są obowiązane do zawarcia umów z ww. podmiotami, w których zobowiąże ten podmiot do stosowania obowiązków informacyjnych określony</w:t>
      </w:r>
      <w:r>
        <w:rPr>
          <w:rFonts w:cstheme="minorHAnsi"/>
          <w:color w:val="000000"/>
          <w:sz w:val="24"/>
          <w:szCs w:val="24"/>
        </w:rPr>
        <w:t>ch w ust. 12–14 oraz do przetwarzania danych osobowych zgodnie z częścią X (umowy powinny zawierać wzory sprawozdań).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Prowadzenie dokumentacji potwierdzającej realizację Programu, w tym obowiązkowe korzystanie z załączników do Programu.</w:t>
      </w:r>
    </w:p>
    <w:p w:rsidR="007506BD" w:rsidRDefault="000F2D5C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rFonts w:cs="Calibri"/>
          <w:sz w:val="24"/>
          <w:szCs w:val="24"/>
        </w:rPr>
        <w:t>Informowanie, że za</w:t>
      </w:r>
      <w:r>
        <w:rPr>
          <w:rFonts w:cs="Calibri"/>
          <w:sz w:val="24"/>
          <w:szCs w:val="24"/>
        </w:rPr>
        <w:t>danie publiczne jest współfinansowane ze środków Funduszu Solidarnościowego otrzymanych od Ministra. Informacja na ten temat powinna się znaleźć we wszystkich materiałach, publikacjach, informacjach dla mediów, w mediach społecznościowych, ogłoszeniach ora</w:t>
      </w:r>
      <w:r>
        <w:rPr>
          <w:rFonts w:cs="Calibri"/>
          <w:sz w:val="24"/>
          <w:szCs w:val="24"/>
        </w:rPr>
        <w:t>z wystąpieniach publicznych dotyczących realizowanego zadania publicznego. Gmina/powiat zobowiązana jest do oznaczania profili prowadzonych przez Ministerstwo Rodziny i Polityki Społecznej w podejmowanych działaniach informacyjnych i promocyjnych w mediach</w:t>
      </w:r>
      <w:r>
        <w:rPr>
          <w:rFonts w:cs="Calibri"/>
          <w:sz w:val="24"/>
          <w:szCs w:val="24"/>
        </w:rPr>
        <w:t xml:space="preserve"> społecznościowych.</w:t>
      </w:r>
    </w:p>
    <w:p w:rsidR="007506BD" w:rsidRDefault="000F2D5C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Umieszczanie logo Ministra na wszystkich materiałach, w szczególności promocyjnych, informacyjnych, szkoleniowych i edukacyjnych, dotyczących realizowanego zadania </w:t>
      </w:r>
      <w:r>
        <w:rPr>
          <w:rFonts w:cs="Calibri"/>
          <w:sz w:val="24"/>
          <w:szCs w:val="24"/>
        </w:rPr>
        <w:lastRenderedPageBreak/>
        <w:t>publicznego oraz zakupionych środkach trwałych, proporcjonalnie do wielk</w:t>
      </w:r>
      <w:r>
        <w:rPr>
          <w:rFonts w:cs="Calibri"/>
          <w:sz w:val="24"/>
          <w:szCs w:val="24"/>
        </w:rPr>
        <w:t>ości innych oznaczeń, w sposób zapewniający jego dobrą widoczność.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ramach informowania, o którym mowa w ust. 12, gmina/powiat </w:t>
      </w:r>
      <w:r>
        <w:rPr>
          <w:rFonts w:cstheme="minorHAnsi"/>
          <w:spacing w:val="-4"/>
          <w:sz w:val="24"/>
          <w:szCs w:val="24"/>
        </w:rPr>
        <w:t xml:space="preserve">jest obowiązana do podejmowania działań informacyjnych dotyczących finansowania zadania ze środków </w:t>
      </w:r>
      <w:r>
        <w:rPr>
          <w:rFonts w:cstheme="minorHAnsi"/>
          <w:sz w:val="24"/>
          <w:szCs w:val="24"/>
        </w:rPr>
        <w:t>Funduszu przyznanych w ramach</w:t>
      </w:r>
      <w:r>
        <w:rPr>
          <w:rFonts w:cstheme="minorHAnsi"/>
          <w:sz w:val="24"/>
          <w:szCs w:val="24"/>
        </w:rPr>
        <w:t xml:space="preserve"> Programu,</w:t>
      </w:r>
      <w:r>
        <w:rPr>
          <w:rFonts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pacing w:val="-4"/>
          <w:sz w:val="24"/>
          <w:szCs w:val="24"/>
        </w:rPr>
        <w:t>rozporządzeniem Rady Ministrów z dnia 7 maja 2021 r. w sprawie określenia działań informacyjnych podejmowanych przez podmioty realizujące zadania finansowan</w:t>
      </w:r>
      <w:r>
        <w:rPr>
          <w:rFonts w:cstheme="minorHAnsi"/>
          <w:spacing w:val="-4"/>
          <w:sz w:val="24"/>
          <w:szCs w:val="24"/>
        </w:rPr>
        <w:t>e lub dofinansowane z budżetu państwa lub z państwowych funduszy celowych (Dz. U. poz. 953, z późn. zm.). W szczególności, gmina/powiat przy</w:t>
      </w:r>
      <w:bookmarkStart w:id="116" w:name="highlightHit_26"/>
      <w:bookmarkEnd w:id="116"/>
      <w:r>
        <w:rPr>
          <w:rFonts w:cstheme="minorHAnsi"/>
          <w:spacing w:val="-4"/>
          <w:sz w:val="24"/>
          <w:szCs w:val="24"/>
        </w:rPr>
        <w:t xml:space="preserve"> podejmowaniu</w:t>
      </w:r>
      <w:bookmarkStart w:id="117" w:name="highlightHit_27"/>
      <w:bookmarkEnd w:id="117"/>
      <w:r>
        <w:rPr>
          <w:rFonts w:cstheme="minorHAnsi"/>
          <w:spacing w:val="-4"/>
          <w:sz w:val="24"/>
          <w:szCs w:val="24"/>
        </w:rPr>
        <w:t xml:space="preserve"> działań</w:t>
      </w:r>
      <w:bookmarkStart w:id="118" w:name="highlightHit_28"/>
      <w:bookmarkEnd w:id="118"/>
      <w:r>
        <w:rPr>
          <w:rFonts w:cstheme="minorHAnsi"/>
          <w:spacing w:val="-4"/>
          <w:sz w:val="24"/>
          <w:szCs w:val="24"/>
        </w:rPr>
        <w:t xml:space="preserve"> informacyjnych używa wzorów plakatów</w:t>
      </w:r>
      <w:bookmarkStart w:id="119" w:name="highlightHit_29"/>
      <w:bookmarkEnd w:id="119"/>
      <w:r>
        <w:rPr>
          <w:rFonts w:cstheme="minorHAnsi"/>
          <w:spacing w:val="-4"/>
          <w:sz w:val="24"/>
          <w:szCs w:val="24"/>
        </w:rPr>
        <w:t xml:space="preserve"> informacyjnych,</w:t>
      </w:r>
      <w:bookmarkStart w:id="120" w:name="highlightHit_30"/>
      <w:bookmarkEnd w:id="120"/>
      <w:r>
        <w:rPr>
          <w:rFonts w:cstheme="minorHAnsi"/>
          <w:spacing w:val="-4"/>
          <w:sz w:val="24"/>
          <w:szCs w:val="24"/>
        </w:rPr>
        <w:t xml:space="preserve"> określonych w załączniku nr 1 do ww. rozp</w:t>
      </w:r>
      <w:r>
        <w:rPr>
          <w:rFonts w:cstheme="minorHAnsi"/>
          <w:spacing w:val="-4"/>
          <w:sz w:val="24"/>
          <w:szCs w:val="24"/>
        </w:rPr>
        <w:t>orządzenia. Edytowalne pliki cyfrowe plakatów informacyjnych udostępnione są na stronie Biuletynu Informacji Publicznej Kancelarii Prezesa Rady Ministrów pod adresem https://www.gov.pl/web/premier/dzialania-informacyjne.</w:t>
      </w:r>
    </w:p>
    <w:p w:rsidR="007506BD" w:rsidRDefault="000F2D5C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Rozpowszechnianie w dowolnej formie</w:t>
      </w:r>
      <w:r>
        <w:rPr>
          <w:rFonts w:cstheme="minorHAnsi"/>
          <w:sz w:val="24"/>
          <w:szCs w:val="24"/>
        </w:rPr>
        <w:t>, w prasie, radiu, telewizji, Internecie oraz innych publikacjach nazwy Programu, przedmiotu i celu, na który przyznano wsparcie finansowe oraz informacji o wysokości przyznanego wsparcia finansowego.</w:t>
      </w:r>
    </w:p>
    <w:p w:rsidR="007506BD" w:rsidRDefault="007506B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506BD" w:rsidRDefault="000F2D5C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7506BD" w:rsidRDefault="000F2D5C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 xml:space="preserve">Gmina/powiat przekazuje do </w:t>
      </w:r>
      <w:r>
        <w:rPr>
          <w:rFonts w:cstheme="minorHAnsi"/>
          <w:color w:val="000000"/>
          <w:sz w:val="24"/>
          <w:szCs w:val="24"/>
        </w:rPr>
        <w:t>wojewody sprawozdanie z realizacji Programu, obejmujące rozliczenie środków Funduszu w zakresie rzeczowym i finansowym, w terminie 30 dni od dnia zakończenia realizacji Programu.</w:t>
      </w:r>
    </w:p>
    <w:p w:rsidR="007506BD" w:rsidRDefault="000F2D5C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Wojewoda przekazuje do Ministra sprawozdanie z realizacji Programu, obejmując</w:t>
      </w:r>
      <w:r>
        <w:rPr>
          <w:rFonts w:cstheme="minorHAnsi"/>
          <w:color w:val="000000"/>
          <w:sz w:val="24"/>
          <w:szCs w:val="24"/>
        </w:rPr>
        <w:t>e rozliczenie środków Funduszu w zakresie rzeczowym i finansowym, w terminie 30 dni od dnia zakończenia realizacji zadania.</w:t>
      </w:r>
    </w:p>
    <w:p w:rsidR="007506BD" w:rsidRDefault="000F2D5C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Akceptacja sprawozdań złożonych przez wojewodów następuje w terminie do dnia 30 kwietnia 2024 r.</w:t>
      </w:r>
    </w:p>
    <w:p w:rsidR="007506BD" w:rsidRDefault="000F2D5C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  <w:sectPr w:rsidR="007506BD">
          <w:footerReference w:type="default" r:id="rId8"/>
          <w:headerReference w:type="first" r:id="rId9"/>
          <w:pgSz w:w="11906" w:h="16838"/>
          <w:pgMar w:top="1417" w:right="1417" w:bottom="1417" w:left="1417" w:header="600" w:footer="708" w:gutter="0"/>
          <w:cols w:space="708"/>
          <w:formProt w:val="0"/>
          <w:titlePg/>
          <w:docGrid w:linePitch="360"/>
        </w:sectPr>
      </w:pPr>
      <w:r>
        <w:rPr>
          <w:rFonts w:cstheme="minorHAnsi"/>
          <w:color w:val="000000"/>
          <w:sz w:val="24"/>
          <w:szCs w:val="24"/>
        </w:rPr>
        <w:t>Sp</w:t>
      </w:r>
      <w:r>
        <w:rPr>
          <w:rFonts w:cstheme="minorHAnsi"/>
          <w:color w:val="000000"/>
          <w:sz w:val="24"/>
          <w:szCs w:val="24"/>
        </w:rPr>
        <w:t>orządzenie sprawozdania zbiorczego z realizacji Programu następuje w terminie do dnia 30 czerwca 2024 r.</w:t>
      </w:r>
    </w:p>
    <w:p w:rsidR="007506BD" w:rsidRDefault="000F2D5C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lastRenderedPageBreak/>
        <w:t>Załączniki do Programu: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 xml:space="preserve">Wzór wniosku gminy/powiatu na środki finansowe z Programu „Asystent osobisty osoby niepełnosprawnej” – edycja 2023 (załącznik </w:t>
      </w:r>
      <w:r>
        <w:rPr>
          <w:rFonts w:cstheme="minorHAnsi"/>
          <w:sz w:val="24"/>
        </w:rPr>
        <w:t>nr 1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wniosku wojewody na środki finansowe z Programu „Asystent osobisty osoby niepełnosprawnej” – edycja 2023 (załącznik nr 2 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 xml:space="preserve">Wzór listy rekomendowanych wniosków do finansowania w ramach Programu „Asystent osobisty osoby </w:t>
      </w:r>
      <w:r>
        <w:rPr>
          <w:rFonts w:cstheme="minorHAnsi"/>
          <w:sz w:val="24"/>
        </w:rPr>
        <w:t>niepełnosprawnej” – edycja 2023 (załącznik nr 3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sprawozdania gminy/powiatu z realizacji Programu „Asystent osobisty osoby niepełnosprawnej” ‒ edycja 2023 (załącznik nr 4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sz w:val="24"/>
        </w:rPr>
      </w:pPr>
      <w:r>
        <w:rPr>
          <w:rFonts w:cstheme="minorHAnsi"/>
          <w:sz w:val="24"/>
        </w:rPr>
        <w:t>Wzór sprawozdania wojewody z realizacji Pr</w:t>
      </w:r>
      <w:r>
        <w:rPr>
          <w:sz w:val="24"/>
        </w:rPr>
        <w:t>ogramu „Asy</w:t>
      </w:r>
      <w:r>
        <w:rPr>
          <w:sz w:val="24"/>
        </w:rPr>
        <w:t>stent osobisty osoby niepełnosprawnej” – edycja 2023 (załącznik nr 5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oświadczenia o przyjęciu środków finansowych z Programu „Asystent osobisty osoby niepełnosprawnej” – edycja 2023 (załącznik nr 6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 xml:space="preserve">Wzór karty zgłoszenia do </w:t>
      </w:r>
      <w:r>
        <w:rPr>
          <w:rFonts w:cstheme="minorHAnsi"/>
          <w:sz w:val="24"/>
        </w:rPr>
        <w:t>Programu „Asystent osobisty osoby niepełnosprawnej” – edycja 2023 (załącznik nr 7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karty zakresu czynności w ramach usługi asystencji osobistej do Programu „Asystent osobisty osoby niepełnosprawnej” – edycja 2023 (załącznik nr 8 do Progra</w:t>
      </w:r>
      <w:r>
        <w:rPr>
          <w:rFonts w:cstheme="minorHAnsi"/>
          <w:sz w:val="24"/>
        </w:rPr>
        <w:t>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karty realizacji usług asystencji osobistej w ramach Programu „Asystent osobisty osoby niepełnosprawnej" – edycja 2023 (załącznik nr 9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ewidencji przebiegu pojazdu w ramach Programu „Asystent osobisty osoby niepełnosprawnej” – e</w:t>
      </w:r>
      <w:r>
        <w:rPr>
          <w:rFonts w:cstheme="minorHAnsi"/>
          <w:sz w:val="24"/>
        </w:rPr>
        <w:t>dycja 2023 (załącznik nr 10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ewidencji biletów komunikacyjnych w ramach Programu „Asystent osobisty osoby niepełnosprawnej” – edycja 2023 (załącznik nr 10a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karty oceny wniosku gminy/powiatu w ramach Programu „Asystent o</w:t>
      </w:r>
      <w:r>
        <w:rPr>
          <w:rFonts w:cstheme="minorHAnsi"/>
          <w:color w:val="000000"/>
          <w:sz w:val="24"/>
        </w:rPr>
        <w:t>sobisty osoby niepełnosprawnej” – edycja 2023 (załącznik nr 11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color w:val="000000"/>
          <w:sz w:val="24"/>
        </w:rPr>
        <w:lastRenderedPageBreak/>
        <w:t>Wzór klauzuli informacyjnej w ramach Programu „Asystent osobisty osoby niepełnosprawnej” – edycja 2023 Ministra Rodziny i Polityki Społecznej (załącznik nr 12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u</w:t>
      </w:r>
      <w:r>
        <w:rPr>
          <w:rFonts w:cstheme="minorHAnsi"/>
          <w:color w:val="000000"/>
          <w:sz w:val="24"/>
        </w:rPr>
        <w:t>mowy w sprawie wysokości i trybu przekazywania w 2023 roku środków Funduszu Solidarnościowego, na realizację zadania w ramach resortowego Programu Ministra Rodziny i Polityki Społecznej „Asystent osobisty osoby niepełnosprawnej” – edycja 2023, zawartej pom</w:t>
      </w:r>
      <w:r>
        <w:rPr>
          <w:rFonts w:cstheme="minorHAnsi"/>
          <w:color w:val="000000"/>
          <w:sz w:val="24"/>
        </w:rPr>
        <w:t>iędzy Ministrem Rodziny i Polityki Społecznej a wojewodą (załącznik nr 13 do Programu);</w:t>
      </w:r>
    </w:p>
    <w:p w:rsidR="007506BD" w:rsidRDefault="000F2D5C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</w:t>
      </w:r>
      <w:r>
        <w:rPr>
          <w:rFonts w:cstheme="minorHAnsi"/>
          <w:color w:val="000000"/>
          <w:sz w:val="24"/>
        </w:rPr>
        <w:t>y i Polityki Społecznej „Asystent osobisty osoby niepełnosprawnej” – edycja 2023, zawartej pomiędzy wojewodą a gminą/powiatem (załącznik nr 14 do Programu).</w:t>
      </w:r>
    </w:p>
    <w:sectPr w:rsidR="007506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5C" w:rsidRDefault="000F2D5C">
      <w:r>
        <w:separator/>
      </w:r>
    </w:p>
  </w:endnote>
  <w:endnote w:type="continuationSeparator" w:id="0">
    <w:p w:rsidR="000F2D5C" w:rsidRDefault="000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0F2D5C">
    <w:pPr>
      <w:pStyle w:val="Stopka"/>
      <w:jc w:val="center"/>
      <w:rPr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C1554C">
      <w:rPr>
        <w:noProof/>
      </w:rPr>
      <w:t>2</w:t>
    </w:r>
    <w:r>
      <w:fldChar w:fldCharType="end"/>
    </w:r>
  </w:p>
  <w:p w:rsidR="007506BD" w:rsidRDefault="007506BD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0F2D5C">
    <w:pPr>
      <w:pStyle w:val="Stopka"/>
      <w:jc w:val="center"/>
      <w:rPr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C1554C">
      <w:rPr>
        <w:noProof/>
      </w:rPr>
      <w:t>27</w:t>
    </w:r>
    <w:r>
      <w:fldChar w:fldCharType="end"/>
    </w:r>
  </w:p>
  <w:p w:rsidR="007506BD" w:rsidRDefault="007506BD">
    <w:pPr>
      <w:pStyle w:val="Stopk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7506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5C" w:rsidRDefault="000F2D5C">
      <w:pPr>
        <w:rPr>
          <w:sz w:val="12"/>
        </w:rPr>
      </w:pPr>
      <w:r>
        <w:separator/>
      </w:r>
    </w:p>
  </w:footnote>
  <w:footnote w:type="continuationSeparator" w:id="0">
    <w:p w:rsidR="000F2D5C" w:rsidRDefault="000F2D5C">
      <w:pPr>
        <w:rPr>
          <w:sz w:val="12"/>
        </w:rPr>
      </w:pPr>
      <w:r>
        <w:continuationSeparator/>
      </w:r>
    </w:p>
  </w:footnote>
  <w:footnote w:id="1">
    <w:p w:rsidR="007506BD" w:rsidRDefault="000F2D5C">
      <w:pPr>
        <w:jc w:val="both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  <w:vertAlign w:val="superscript"/>
        </w:rPr>
        <w:t xml:space="preserve">) </w:t>
      </w:r>
      <w:r>
        <w:rPr>
          <w:rFonts w:cstheme="minorHAnsi"/>
        </w:rPr>
        <w:t>Zawód asystenta osoby niepełnosprawnej jest wymieniony w rozporządzeniu Mini</w:t>
      </w:r>
      <w:r>
        <w:rPr>
          <w:rFonts w:cstheme="minorHAnsi"/>
        </w:rPr>
        <w:t>stra Pracy i Polityki Społecznej z dnia 7 sierpnia 2014 r. w sprawie klasyfikacji zawodów i specjalności na potrzeby rynku pracy oraz zakresu jej stosowania (Dz. U. z 2018 r. poz. 227, z późn. zm.) pod symbolem 341201 w ramach grupy: Pracownicy wsparcia ro</w:t>
      </w:r>
      <w:r>
        <w:rPr>
          <w:rFonts w:cstheme="minorHAnsi"/>
        </w:rPr>
        <w:t xml:space="preserve">dziny, pomocy społecznej i pracy socjalnej (symbol 3412). </w:t>
      </w:r>
    </w:p>
  </w:footnote>
  <w:footnote w:id="2">
    <w:p w:rsidR="007506BD" w:rsidRDefault="000F2D5C">
      <w:pPr>
        <w:pStyle w:val="Tekstprzypisudolnego"/>
      </w:pPr>
      <w:r>
        <w:rPr>
          <w:rStyle w:val="Znakiprzypiswdolnych"/>
        </w:rPr>
        <w:footnoteRef/>
      </w:r>
      <w:r>
        <w:t xml:space="preserve"> Przez podmiot, który zlecał udzielanie bezpośredniej pomocy osobie niepełnosprawnej, należy również rozumieć osobę fizyczną, która zleciła udzielenie bezpośredniej pomocy osobie niepełnosprawnej </w:t>
      </w:r>
      <w:r>
        <w:t>lub opiekuna prawnego. Przez zlecenie należy rozumieć, nie tylko umowy cywilnoprawne ale również umowy o pracę.</w:t>
      </w:r>
    </w:p>
  </w:footnote>
  <w:footnote w:id="3">
    <w:p w:rsidR="007506BD" w:rsidRDefault="000F2D5C">
      <w:pPr>
        <w:pStyle w:val="Tekstprzypisudolnego"/>
      </w:pPr>
      <w:r>
        <w:rPr>
          <w:rStyle w:val="Znakiprzypiswdolnych"/>
        </w:rPr>
        <w:footnoteRef/>
      </w:r>
      <w:r>
        <w:t xml:space="preserve"> Limit dotyczy godzin usług asystencji osobistej świadczonych w ramach wszystkich programów Ministra w zakresie usług asystencji osobistej.</w:t>
      </w:r>
    </w:p>
  </w:footnote>
  <w:footnote w:id="4">
    <w:p w:rsidR="007506BD" w:rsidRDefault="000F2D5C">
      <w:pPr>
        <w:pStyle w:val="Tekstprzypisudolnego"/>
      </w:pPr>
      <w:r>
        <w:rPr>
          <w:rStyle w:val="Znakiprzypiswdolnych"/>
        </w:rPr>
        <w:footnoteRef/>
      </w:r>
      <w:r>
        <w:t xml:space="preserve"> P</w:t>
      </w:r>
      <w:r>
        <w:t>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:rsidR="007506BD" w:rsidRDefault="000F2D5C">
      <w:pPr>
        <w:pStyle w:val="Tekstprzypisudolnego"/>
      </w:pPr>
      <w:r>
        <w:rPr>
          <w:rStyle w:val="Znakiprzypiswdolnych"/>
        </w:rPr>
        <w:footnoteRef/>
      </w:r>
      <w:r>
        <w:t xml:space="preserve"> Przez dzień roboczy, w rozumieniu Pro</w:t>
      </w:r>
      <w:r>
        <w:t>gramu, należy rozumieć dzień tygodnia od poniedziałku do piątku, z wyłączeniem dni wolnych od pracy wskazanych w art. 1 ust. 1 ustawy z dnia 18 stycznia 1951 r. o dniach wolnych od pracy (Dz. U. z 2020 r. poz. 1920).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0F2D5C">
    <w:pPr>
      <w:pStyle w:val="Nagwek"/>
      <w:rPr>
        <w:i/>
        <w:iCs/>
      </w:rPr>
    </w:pPr>
    <w:r>
      <w:rPr>
        <w:i/>
        <w:iCs/>
      </w:rPr>
      <w:t xml:space="preserve">                                                                                                                            </w:t>
    </w:r>
    <w:r>
      <w:rPr>
        <w:rFonts w:ascii="Times New Roman" w:hAnsi="Times New Roman"/>
        <w:i/>
        <w:iCs/>
      </w:rPr>
      <w:t xml:space="preserve">  Załącznik Nr 2 do Zarządzenia Nr 480/23</w:t>
    </w:r>
  </w:p>
  <w:p w:rsidR="007506BD" w:rsidRDefault="000F2D5C">
    <w:pPr>
      <w:pStyle w:val="Nagwek"/>
      <w:rPr>
        <w:rFonts w:ascii="Times New Roman" w:hAnsi="Times New Roman"/>
      </w:rPr>
    </w:pPr>
    <w:r>
      <w:rPr>
        <w:rFonts w:ascii="Times New Roman" w:hAnsi="Times New Roman"/>
        <w:i/>
        <w:iCs/>
      </w:rPr>
      <w:t xml:space="preserve">                                                       </w:t>
    </w:r>
    <w:r>
      <w:rPr>
        <w:rFonts w:ascii="Times New Roman" w:hAnsi="Times New Roman"/>
        <w:i/>
        <w:iCs/>
      </w:rPr>
      <w:t xml:space="preserve">                                                           Wójta Gminy Ostrów Mazowiecka </w:t>
    </w:r>
  </w:p>
  <w:p w:rsidR="007506BD" w:rsidRDefault="000F2D5C">
    <w:pPr>
      <w:pStyle w:val="Nagwek"/>
      <w:rPr>
        <w:rFonts w:ascii="Times New Roman" w:hAnsi="Times New Roman"/>
      </w:rPr>
    </w:pPr>
    <w:r>
      <w:rPr>
        <w:rFonts w:ascii="Times New Roman" w:hAnsi="Times New Roman"/>
        <w:i/>
        <w:iCs/>
      </w:rPr>
      <w:t xml:space="preserve">                                                                                                                   z dnia 09 marca 2023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7506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BD" w:rsidRDefault="007506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9AB"/>
    <w:multiLevelType w:val="multilevel"/>
    <w:tmpl w:val="BC1AD6F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BC41D8A"/>
    <w:multiLevelType w:val="multilevel"/>
    <w:tmpl w:val="F29E5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8A4783"/>
    <w:multiLevelType w:val="multilevel"/>
    <w:tmpl w:val="8068A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07CA2"/>
    <w:multiLevelType w:val="multilevel"/>
    <w:tmpl w:val="70DE8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88538C"/>
    <w:multiLevelType w:val="multilevel"/>
    <w:tmpl w:val="DAC8A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335075"/>
    <w:multiLevelType w:val="multilevel"/>
    <w:tmpl w:val="DBF4B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AE87C41"/>
    <w:multiLevelType w:val="multilevel"/>
    <w:tmpl w:val="43BC05F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BD873A9"/>
    <w:multiLevelType w:val="multilevel"/>
    <w:tmpl w:val="DB7EEEC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E5E448C"/>
    <w:multiLevelType w:val="multilevel"/>
    <w:tmpl w:val="DEC60C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FC73AFC"/>
    <w:multiLevelType w:val="multilevel"/>
    <w:tmpl w:val="082496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DE6BA0"/>
    <w:multiLevelType w:val="multilevel"/>
    <w:tmpl w:val="3DE00F6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1" w15:restartNumberingAfterBreak="0">
    <w:nsid w:val="273A0747"/>
    <w:multiLevelType w:val="multilevel"/>
    <w:tmpl w:val="C888AF5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9A31526"/>
    <w:multiLevelType w:val="multilevel"/>
    <w:tmpl w:val="08DEAA7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8" w:hanging="180"/>
      </w:pPr>
    </w:lvl>
  </w:abstractNum>
  <w:abstractNum w:abstractNumId="13" w15:restartNumberingAfterBreak="0">
    <w:nsid w:val="2BB864C8"/>
    <w:multiLevelType w:val="multilevel"/>
    <w:tmpl w:val="53229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CD81F08"/>
    <w:multiLevelType w:val="multilevel"/>
    <w:tmpl w:val="5BB0C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526103"/>
    <w:multiLevelType w:val="multilevel"/>
    <w:tmpl w:val="E48427A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2F2F58F1"/>
    <w:multiLevelType w:val="multilevel"/>
    <w:tmpl w:val="CF241D6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333C4202"/>
    <w:multiLevelType w:val="multilevel"/>
    <w:tmpl w:val="ECF2A7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7" w:hanging="180"/>
      </w:pPr>
    </w:lvl>
  </w:abstractNum>
  <w:abstractNum w:abstractNumId="18" w15:restartNumberingAfterBreak="0">
    <w:nsid w:val="34C402BB"/>
    <w:multiLevelType w:val="multilevel"/>
    <w:tmpl w:val="E4EE1B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190DD6"/>
    <w:multiLevelType w:val="multilevel"/>
    <w:tmpl w:val="EC6EF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AFF7AE5"/>
    <w:multiLevelType w:val="multilevel"/>
    <w:tmpl w:val="05167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EDF2AB0"/>
    <w:multiLevelType w:val="multilevel"/>
    <w:tmpl w:val="CB26FB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3FD06051"/>
    <w:multiLevelType w:val="multilevel"/>
    <w:tmpl w:val="8042E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400D070C"/>
    <w:multiLevelType w:val="multilevel"/>
    <w:tmpl w:val="FE7C8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8E32D2"/>
    <w:multiLevelType w:val="multilevel"/>
    <w:tmpl w:val="BA4A34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A2956BB"/>
    <w:multiLevelType w:val="multilevel"/>
    <w:tmpl w:val="202CA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C010C8A"/>
    <w:multiLevelType w:val="multilevel"/>
    <w:tmpl w:val="61B25D9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62A94B45"/>
    <w:multiLevelType w:val="multilevel"/>
    <w:tmpl w:val="AAFABB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87F0C82"/>
    <w:multiLevelType w:val="multilevel"/>
    <w:tmpl w:val="37CAB9A2"/>
    <w:lvl w:ilvl="0">
      <w:start w:val="1"/>
      <w:numFmt w:val="decimal"/>
      <w:lvlText w:val="%1."/>
      <w:lvlJc w:val="left"/>
      <w:pPr>
        <w:tabs>
          <w:tab w:val="num" w:pos="0"/>
        </w:tabs>
        <w:ind w:left="33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6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97" w:hanging="180"/>
      </w:pPr>
    </w:lvl>
  </w:abstractNum>
  <w:abstractNum w:abstractNumId="29" w15:restartNumberingAfterBreak="0">
    <w:nsid w:val="6C46004A"/>
    <w:multiLevelType w:val="multilevel"/>
    <w:tmpl w:val="8E3613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2573280"/>
    <w:multiLevelType w:val="multilevel"/>
    <w:tmpl w:val="4D288A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4A407FE"/>
    <w:multiLevelType w:val="multilevel"/>
    <w:tmpl w:val="AA16B9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56F79BA"/>
    <w:multiLevelType w:val="multilevel"/>
    <w:tmpl w:val="547C8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7653C69"/>
    <w:multiLevelType w:val="multilevel"/>
    <w:tmpl w:val="A18E4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E820CD8"/>
    <w:multiLevelType w:val="multilevel"/>
    <w:tmpl w:val="CCD20806"/>
    <w:lvl w:ilvl="0">
      <w:start w:val="1"/>
      <w:numFmt w:val="decimal"/>
      <w:lvlText w:val="%1)"/>
      <w:lvlJc w:val="left"/>
      <w:pPr>
        <w:tabs>
          <w:tab w:val="num" w:pos="0"/>
        </w:tabs>
        <w:ind w:left="7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35" w15:restartNumberingAfterBreak="0">
    <w:nsid w:val="7F886666"/>
    <w:multiLevelType w:val="multilevel"/>
    <w:tmpl w:val="5C6AA9A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16"/>
  </w:num>
  <w:num w:numId="5">
    <w:abstractNumId w:val="30"/>
  </w:num>
  <w:num w:numId="6">
    <w:abstractNumId w:val="33"/>
  </w:num>
  <w:num w:numId="7">
    <w:abstractNumId w:val="35"/>
  </w:num>
  <w:num w:numId="8">
    <w:abstractNumId w:val="28"/>
  </w:num>
  <w:num w:numId="9">
    <w:abstractNumId w:val="3"/>
  </w:num>
  <w:num w:numId="10">
    <w:abstractNumId w:val="7"/>
  </w:num>
  <w:num w:numId="11">
    <w:abstractNumId w:val="19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24"/>
  </w:num>
  <w:num w:numId="17">
    <w:abstractNumId w:val="12"/>
  </w:num>
  <w:num w:numId="18">
    <w:abstractNumId w:val="34"/>
  </w:num>
  <w:num w:numId="19">
    <w:abstractNumId w:val="9"/>
  </w:num>
  <w:num w:numId="20">
    <w:abstractNumId w:val="1"/>
  </w:num>
  <w:num w:numId="21">
    <w:abstractNumId w:val="31"/>
  </w:num>
  <w:num w:numId="22">
    <w:abstractNumId w:val="6"/>
  </w:num>
  <w:num w:numId="23">
    <w:abstractNumId w:val="5"/>
  </w:num>
  <w:num w:numId="24">
    <w:abstractNumId w:val="20"/>
  </w:num>
  <w:num w:numId="25">
    <w:abstractNumId w:val="15"/>
  </w:num>
  <w:num w:numId="26">
    <w:abstractNumId w:val="17"/>
  </w:num>
  <w:num w:numId="27">
    <w:abstractNumId w:val="18"/>
  </w:num>
  <w:num w:numId="28">
    <w:abstractNumId w:val="26"/>
  </w:num>
  <w:num w:numId="29">
    <w:abstractNumId w:val="27"/>
  </w:num>
  <w:num w:numId="30">
    <w:abstractNumId w:val="21"/>
  </w:num>
  <w:num w:numId="31">
    <w:abstractNumId w:val="32"/>
  </w:num>
  <w:num w:numId="32">
    <w:abstractNumId w:val="13"/>
  </w:num>
  <w:num w:numId="33">
    <w:abstractNumId w:val="22"/>
  </w:num>
  <w:num w:numId="34">
    <w:abstractNumId w:val="29"/>
  </w:num>
  <w:num w:numId="35">
    <w:abstractNumId w:val="8"/>
  </w:num>
  <w:num w:numId="36">
    <w:abstractNumId w:val="2"/>
  </w:num>
  <w:num w:numId="37">
    <w:abstractNumId w:val="21"/>
    <w:lvlOverride w:ilvl="0">
      <w:startOverride w:val="1"/>
    </w:lvlOverride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BD"/>
    <w:rsid w:val="000F2D5C"/>
    <w:rsid w:val="007506BD"/>
    <w:rsid w:val="00C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58E4-A652-440F-ACE7-4336E54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wydatnienie1">
    <w:name w:val="Uwydatnienie1"/>
    <w:basedOn w:val="Domylnaczcionkaakapitu"/>
    <w:uiPriority w:val="99"/>
    <w:qFormat/>
    <w:locked/>
    <w:rsid w:val="00470177"/>
    <w:rPr>
      <w:rFonts w:ascii="Times New Roman" w:hAnsi="Times New Roman" w:cs="Times New Roman"/>
      <w:i/>
      <w:iCs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qFormat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StopkaZnak">
    <w:name w:val="Stopka Znak"/>
    <w:basedOn w:val="Domylnaczcionkaakapitu"/>
    <w:link w:val="Stopka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qFormat/>
    <w:rPr>
      <w:w w:val="100"/>
      <w:sz w:val="16"/>
      <w:szCs w:val="16"/>
      <w:shd w:val="clear" w:color="auto" w:fil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character" w:customStyle="1" w:styleId="TekstdymkaZnak">
    <w:name w:val="Tekst dymka Znak"/>
    <w:basedOn w:val="Domylnaczcionkaakapitu"/>
    <w:link w:val="Tekstdymka"/>
    <w:semiHidden/>
    <w:qFormat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  <w:qFormat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Znakiprzypiswkocowych">
    <w:name w:val="Znaki przypisów końcowych"/>
    <w:semiHidden/>
    <w:unhideWhenUsed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g-binding">
    <w:name w:val="ng-binding"/>
    <w:basedOn w:val="Domylnaczcionkaakapitu"/>
    <w:qFormat/>
    <w:rsid w:val="004F4A17"/>
  </w:style>
  <w:style w:type="character" w:customStyle="1" w:styleId="AkapitzlistZnak">
    <w:name w:val="Akapit z listą Znak"/>
    <w:link w:val="Akapitzlist"/>
    <w:uiPriority w:val="34"/>
    <w:qFormat/>
    <w:locked/>
    <w:rsid w:val="005A53B3"/>
    <w:rPr>
      <w:rFonts w:eastAsia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paragraph" w:styleId="Tekstprzypisudolnego">
    <w:name w:val="footnote text"/>
    <w:basedOn w:val="Normalny"/>
    <w:link w:val="TekstprzypisudolnegoZnak"/>
    <w:unhideWhenUsed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Pr>
      <w:b/>
    </w:rPr>
  </w:style>
  <w:style w:type="paragraph" w:styleId="Tekstdymka">
    <w:name w:val="Balloon Text"/>
    <w:basedOn w:val="Normalny"/>
    <w:link w:val="TekstdymkaZnak"/>
    <w:semiHidden/>
    <w:unhideWhenUsed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paragraph" w:customStyle="1" w:styleId="Standard">
    <w:name w:val="Standard"/>
    <w:qFormat/>
    <w:rsid w:val="009A52BF"/>
    <w:pPr>
      <w:widowControl w:val="0"/>
    </w:pPr>
    <w:rPr>
      <w:rFonts w:ascii="Times New Roman" w:eastAsia="Lucida Sans Unicode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4D48-1A54-42A0-94DC-F67E00B1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7083</Words>
  <Characters>42498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„Asystent osobisty osoby niepełnosprawnej</vt:lpstr>
    </vt:vector>
  </TitlesOfParts>
  <Company>MRiPS</Company>
  <LinksUpToDate>false</LinksUpToDate>
  <CharactersWithSpaces>49483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dc:description/>
  <cp:lastModifiedBy>Konto Microsoft</cp:lastModifiedBy>
  <cp:revision>2</cp:revision>
  <cp:lastPrinted>2021-09-30T09:16:00Z</cp:lastPrinted>
  <dcterms:created xsi:type="dcterms:W3CDTF">2023-03-09T13:46:00Z</dcterms:created>
  <dcterms:modified xsi:type="dcterms:W3CDTF">2023-03-09T13:46:00Z</dcterms:modified>
  <dc:language>pl-PL</dc:language>
</cp:coreProperties>
</file>