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XX/160/20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Gminy Ostrów Mazowiecka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30 września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budżetowej na 2020 rok</w:t>
      </w:r>
    </w:p>
    <w:p w:rsidR="00A77B3E">
      <w:pPr>
        <w:keepNext w:val="0"/>
        <w:keepLines w:val="0"/>
        <w:spacing w:before="120" w:after="120" w:line="36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713)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221, 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235,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236,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237, art.239,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869,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2245, 2019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1649, 2020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284,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374,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568,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695,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1175);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uchwala się, co następuje: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Zmniejsza się dochody budżetu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kwotę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494,14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 wysokości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64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129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889,12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 xml:space="preserve">zł, 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tego: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dochody bieżące po zmianie wynoszą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62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023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458,30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dochody majątkowe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106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430,82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1.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Zmniejsza się wydatki budżetu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kwotę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470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612,17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 wysokości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64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829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889,12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tego: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wydatki bieżące po zmianie wynoszą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59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292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516,49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wydatki majątkowe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537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372,63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załącznikami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 a.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Deficyt budżetu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wysokości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700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sfinansowany zostanie przychodami pochodzącymi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zaciągniętej  pożyczki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700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przychody 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777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147,41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 xml:space="preserve">zł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tytułu: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zaciągniętej  pożyczki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700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000,00  zł.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niewykorzystanych środków pieniężnych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2019 roku,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tytułu wydawania zezwoleń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sprzedaż napojów alkoholowych przeznaczonych na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realizacją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Gminnym Programie Profilaktyki Rozwiązywania Problemów Alkoholowych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Gminnym Programie Przeciwdziałania Narkomanii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29 683,07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wolnych środków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047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464,34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-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3.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077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147,41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tytułu: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588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817,65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spłaty pożyczek otrzymanych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488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329,76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3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limit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tytułu zaciągniętej pożyczki na sfinansowanie planowanego deficytu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 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700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Zmienia się dochody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 budżetu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zakresu administracji rządowej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innych zadań zleconych ustawami,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załącznikami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ab/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plan  dotacji udzielonych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budżetu gminy podmiotom należącym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 należącym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sektora finansów publicznych -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6.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 Ostrów Mazowiecka.</w:t>
      </w:r>
    </w:p>
    <w:p w:rsidR="00A77B3E">
      <w:pPr>
        <w:keepNext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Dzienniku Urzędowym Województwa Mazowieckiego.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99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uchwały Nr XX/160/20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września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Zestawienie zmian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dochodach budżetu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drawing>
          <wp:inline>
            <wp:extent cx="8403816" cy="4874404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958341" name=""/>
                    <pic:cNvPicPr/>
                  </pic:nvPicPr>
                  <pic:blipFill>
                    <a:blip xmlns:r="http://schemas.openxmlformats.org/officeDocument/2006/relationships"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03816" cy="487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99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uchwały Nr XX/160/20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września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Zestawienie zmian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wydatkach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drawing>
          <wp:inline>
            <wp:extent cx="9334500" cy="5248275"/>
            <wp:docPr id="10000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201662" name=""/>
                    <pic:cNvPicPr/>
                  </pic:nvPicPr>
                  <pic:blipFill>
                    <a:blip xmlns:r="http://schemas.openxmlformats.org/officeDocument/2006/relationships"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drawing>
          <wp:inline>
            <wp:extent cx="9334500" cy="5248275"/>
            <wp:docPr id="10000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21827" name=""/>
                    <pic:cNvPicPr/>
                  </pic:nvPicPr>
                  <pic:blipFill>
                    <a:blip xmlns:r="http://schemas.openxmlformats.org/officeDocument/2006/relationships"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12"/>
          <w:endnotePr>
            <w:numFmt w:val="decimal"/>
          </w:endnotePr>
          <w:type w:val="nextPage"/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98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2a do uchwały Nr XX/160/20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września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Zestawienie zmian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wydatkach inwestycyjnych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drawing>
          <wp:inline>
            <wp:extent cx="9205088" cy="5017488"/>
            <wp:docPr id="10000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294170" name=""/>
                    <pic:cNvPicPr/>
                  </pic:nvPicPr>
                  <pic:blipFill>
                    <a:blip xmlns:r="http://schemas.openxmlformats.org/officeDocument/2006/relationships"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05088" cy="501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drawing>
          <wp:inline>
            <wp:extent cx="9395867" cy="6047695"/>
            <wp:docPr id="10000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06294" name=""/>
                    <pic:cNvPicPr/>
                  </pic:nvPicPr>
                  <pic:blipFill>
                    <a:blip xmlns:r="http://schemas.openxmlformats.org/officeDocument/2006/relationships"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395867" cy="60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drawing>
          <wp:inline>
            <wp:extent cx="9395867" cy="6047695"/>
            <wp:docPr id="10000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95019" name=""/>
                    <pic:cNvPicPr/>
                  </pic:nvPicPr>
                  <pic:blipFill>
                    <a:blip xmlns:r="http://schemas.openxmlformats.org/officeDocument/2006/relationships"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395867" cy="60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drawing>
          <wp:inline>
            <wp:extent cx="9395867" cy="2365660"/>
            <wp:docPr id="100007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20643" name=""/>
                    <pic:cNvPicPr/>
                  </pic:nvPicPr>
                  <pic:blipFill>
                    <a:blip xmlns:r="http://schemas.openxmlformats.org/officeDocument/2006/relationships"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395867" cy="236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21"/>
          <w:endnotePr>
            <w:numFmt w:val="decimal"/>
          </w:endnotePr>
          <w:type w:val="nextPage"/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0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uchwały Nr XX/160/20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września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rochody budżetu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drawing>
          <wp:inline>
            <wp:extent cx="6200775" cy="3857625"/>
            <wp:docPr id="100008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66309" name=""/>
                    <pic:cNvPicPr/>
                  </pic:nvPicPr>
                  <pic:blipFill>
                    <a:blip xmlns:r="http://schemas.openxmlformats.org/officeDocument/2006/relationships"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24"/>
          <w:endnotePr>
            <w:numFmt w:val="decimal"/>
          </w:endnotePr>
          <w:type w:val="nextPage"/>
          <w:pgSz w:w="11906" w:h="16838" w:orient="portrait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99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uchwały Nr XX/160/20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września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Zestawienie zmian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dochodach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zakresu administracji rządowej oraz innych zadań zleconych ustawami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drawing>
          <wp:inline>
            <wp:extent cx="9363075" cy="1695450"/>
            <wp:docPr id="100009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10524" name=""/>
                    <pic:cNvPicPr/>
                  </pic:nvPicPr>
                  <pic:blipFill>
                    <a:blip xmlns:r="http://schemas.openxmlformats.org/officeDocument/2006/relationships"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3630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27"/>
          <w:endnotePr>
            <w:numFmt w:val="decimal"/>
          </w:endnotePr>
          <w:type w:val="nextPage"/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99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uchwały Nr XX/160/20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września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Zestawienie zmian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wydatkach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zakresu administracji rządowej oraz innych zadań zleconych ustawami</w:t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drawing>
          <wp:inline>
            <wp:extent cx="9353550" cy="2038350"/>
            <wp:docPr id="100010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287460" name=""/>
                    <pic:cNvPicPr/>
                  </pic:nvPicPr>
                  <pic:blipFill>
                    <a:blip xmlns:r="http://schemas.openxmlformats.org/officeDocument/2006/relationships"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120" w:after="120" w:line="36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30"/>
          <w:endnotePr>
            <w:numFmt w:val="decimal"/>
          </w:endnotePr>
          <w:type w:val="nextPage"/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99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uchwały Nr XX/160/20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września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Plan dotacji udzielonych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budżetu podmiotom należącym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nienależącym do sektora finansów publicznych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98"/>
        <w:gridCol w:w="3854"/>
        <w:gridCol w:w="4520"/>
        <w:gridCol w:w="1950"/>
        <w:gridCol w:w="1981"/>
        <w:gridCol w:w="18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3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5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Kwota dotacji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podmiotowej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przedmiotowej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celowej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9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i/>
                <w:sz w:val="20"/>
              </w:rPr>
              <w:t>Jednostki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60014 – Drogi publiczne powiatowe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Powiat Ostrowski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123 884,00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71095 – Pozostała działalność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Samorząd Województwa Mazowieckiego</w:t>
            </w:r>
          </w:p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Regionalne partnerstwo samorządów Mazowsza </w:t>
            </w: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dla aktywizacji społeczeństwa informacyjnego </w:t>
            </w: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w zakresie – administracji i geoinformacji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2 828,63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92116 – Biblioteki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Gminna Biblioteka Publiczna w Ostrowi Mazowieckiej z siedzibą w Nagoszewie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615.300,00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i/>
                <w:sz w:val="20"/>
              </w:rPr>
              <w:t>Razem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i/>
                <w:sz w:val="20"/>
              </w:rPr>
              <w:t>742 012,63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i/>
                <w:sz w:val="20"/>
              </w:rPr>
              <w:t>615.300,00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i/>
                <w:sz w:val="20"/>
              </w:rPr>
              <w:t>126 712,63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9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i/>
                <w:sz w:val="20"/>
              </w:rPr>
              <w:t>Jednostki spoza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01008 – Melioracje wodne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Dotacja na dofinansowanie zadań zleconych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do realizacji pozostałym jednostkom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31.250,00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75412 – Ochotnicze straże pożarne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Dotacja na dofinansowanie zadań zleconych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do realizacji stowarzyszeniom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1 050,00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85154 – Przeciwdziałanie alkoholizmowi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Dotacja celowa udzielona w trybie art. 221 ustawy na finansowanie lub dofinansowanie zadań zleconych do realizacji organizacjom prowadzącym działalność pożytku publicznego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15 000,00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80101 – Szkoły podstawowe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Dotacje dla niepublicznych jednostek systemu oświaty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247 361,43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80153 – Zapewnienie uczniom prawa do bezpłatnego dostępu do podręczników, materiałów edukacyjnych lub materiałów ćwiczeniowych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Dotacje dla niepublicznych jednostek systemu oświaty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11 963,79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85228 – Usługi opiekuńcze i specjalistyczne usługi opiekuńcze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Dotacja celowa udzielona w trybie art. 221 ustawy na finansowanie lub dofinansowanie zadań zleconych do realizacji organizacjom prowadzącym działalność pożytku publicznego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487 430,00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6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i/>
                <w:sz w:val="20"/>
              </w:rPr>
              <w:t>Razem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i/>
                <w:sz w:val="20"/>
              </w:rPr>
              <w:t>794 055,22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i/>
                <w:sz w:val="20"/>
              </w:rPr>
              <w:t>247 361,43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i/>
                <w:sz w:val="20"/>
              </w:rPr>
              <w:t>546 693,79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1.536 067,85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862 661,43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673 406,42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31"/>
      <w:endnotePr>
        <w:numFmt w:val="decimal"/>
      </w:endnotePr>
      <w:type w:val="nextPage"/>
      <w:pgSz w:w="16838" w:h="11906" w:orient="landscape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lef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>Id: 7ED43416-9276-44D5-A4F2-7B02269D9F2D.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righ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begin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instrText>PAGE</w:instrTex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end"/>
          </w:r>
        </w:p>
      </w:tc>
    </w:tr>
  </w:tbl>
  <w:p>
    <w:pPr>
      <w:rPr>
        <w:rFonts w:ascii="Bahnschrift Light" w:eastAsia="Bahnschrift Light" w:hAnsi="Bahnschrift Light" w:cs="Bahnschrift Light"/>
        <w:b w:val="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lef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>Id: 7ED43416-9276-44D5-A4F2-7B02269D9F2D.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righ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begin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instrText>PAGE</w:instrTex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end"/>
          </w:r>
        </w:p>
      </w:tc>
    </w:tr>
  </w:tbl>
  <w:p>
    <w:pPr>
      <w:rPr>
        <w:rFonts w:ascii="Bahnschrift Light" w:eastAsia="Bahnschrift Light" w:hAnsi="Bahnschrift Light" w:cs="Bahnschrift Light"/>
        <w:b w:val="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lef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>Id: 7ED43416-9276-44D5-A4F2-7B02269D9F2D.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righ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begin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instrText>PAGE</w:instrTex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end"/>
          </w:r>
        </w:p>
      </w:tc>
    </w:tr>
  </w:tbl>
  <w:p>
    <w:pPr>
      <w:rPr>
        <w:rFonts w:ascii="Bahnschrift Light" w:eastAsia="Bahnschrift Light" w:hAnsi="Bahnschrift Light" w:cs="Bahnschrift Light"/>
        <w:b w:val="0"/>
        <w:sz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lef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>Id: 7ED43416-9276-44D5-A4F2-7B02269D9F2D.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righ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begin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instrText>PAGE</w:instrTex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end"/>
          </w:r>
        </w:p>
      </w:tc>
    </w:tr>
  </w:tbl>
  <w:p>
    <w:pPr>
      <w:rPr>
        <w:rFonts w:ascii="Bahnschrift Light" w:eastAsia="Bahnschrift Light" w:hAnsi="Bahnschrift Light" w:cs="Bahnschrift Light"/>
        <w:b w:val="0"/>
        <w:sz w:val="2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lef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>Id: 7ED43416-9276-44D5-A4F2-7B02269D9F2D.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righ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begin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instrText>PAGE</w:instrTex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end"/>
          </w:r>
        </w:p>
      </w:tc>
    </w:tr>
  </w:tbl>
  <w:p>
    <w:pPr>
      <w:rPr>
        <w:rFonts w:ascii="Bahnschrift Light" w:eastAsia="Bahnschrift Light" w:hAnsi="Bahnschrift Light" w:cs="Bahnschrift Light"/>
        <w:b w:val="0"/>
        <w:sz w:val="24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lef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>Id: 7ED43416-9276-44D5-A4F2-7B02269D9F2D.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righ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begin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instrText>PAGE</w:instrTex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end"/>
          </w:r>
        </w:p>
      </w:tc>
    </w:tr>
  </w:tbl>
  <w:p>
    <w:pPr>
      <w:rPr>
        <w:rFonts w:ascii="Bahnschrift Light" w:eastAsia="Bahnschrift Light" w:hAnsi="Bahnschrift Light" w:cs="Bahnschrift Light"/>
        <w:b w:val="0"/>
        <w:sz w:val="24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lef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>Id: 7ED43416-9276-44D5-A4F2-7B02269D9F2D.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righ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begin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instrText>PAGE</w:instrTex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end"/>
          </w:r>
        </w:p>
      </w:tc>
    </w:tr>
  </w:tbl>
  <w:p>
    <w:pPr>
      <w:rPr>
        <w:rFonts w:ascii="Bahnschrift Light" w:eastAsia="Bahnschrift Light" w:hAnsi="Bahnschrift Light" w:cs="Bahnschrift Light"/>
        <w:b w:val="0"/>
        <w:sz w:val="24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lef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>Id: 7ED43416-9276-44D5-A4F2-7B02269D9F2D.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righ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begin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instrText>PAGE</w:instrTex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end"/>
          </w:r>
        </w:p>
      </w:tc>
    </w:tr>
  </w:tbl>
  <w:p>
    <w:pPr>
      <w:rPr>
        <w:rFonts w:ascii="Bahnschrift Light" w:eastAsia="Bahnschrift Light" w:hAnsi="Bahnschrift Light" w:cs="Bahnschrift Light"/>
        <w:b w:val="0"/>
        <w:sz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ZalacznikC71FF2FC-D2D9-4B23-86F8-EDDA1EF2BD0A.jpg" TargetMode="External" /><Relationship Id="rId12" Type="http://schemas.openxmlformats.org/officeDocument/2006/relationships/footer" Target="footer3.xml" /><Relationship Id="rId13" Type="http://schemas.openxmlformats.org/officeDocument/2006/relationships/image" Target="media/image4.png" /><Relationship Id="rId14" Type="http://schemas.openxmlformats.org/officeDocument/2006/relationships/image" Target="Zalacznik4DFD7601-5D5C-41D0-AE67-9A14AC2EEB7C.png" TargetMode="External" /><Relationship Id="rId15" Type="http://schemas.openxmlformats.org/officeDocument/2006/relationships/image" Target="media/image5.png" /><Relationship Id="rId16" Type="http://schemas.openxmlformats.org/officeDocument/2006/relationships/image" Target="Zalacznik3F8FA189-F659-4778-888B-9A20EA23487C.png" TargetMode="External" /><Relationship Id="rId17" Type="http://schemas.openxmlformats.org/officeDocument/2006/relationships/image" Target="media/image6.png" /><Relationship Id="rId18" Type="http://schemas.openxmlformats.org/officeDocument/2006/relationships/image" Target="Zalacznik673C9473-2EE6-49B5-809C-79887DED428D.png" TargetMode="External" /><Relationship Id="rId19" Type="http://schemas.openxmlformats.org/officeDocument/2006/relationships/image" Target="media/image7.png" /><Relationship Id="rId2" Type="http://schemas.openxmlformats.org/officeDocument/2006/relationships/webSettings" Target="webSettings.xml" /><Relationship Id="rId20" Type="http://schemas.openxmlformats.org/officeDocument/2006/relationships/image" Target="ZalacznikCE34B505-8AB7-4E33-B61E-EA967DDE38F7.png" TargetMode="External" /><Relationship Id="rId21" Type="http://schemas.openxmlformats.org/officeDocument/2006/relationships/footer" Target="footer4.xml" /><Relationship Id="rId22" Type="http://schemas.openxmlformats.org/officeDocument/2006/relationships/image" Target="media/image8.png" /><Relationship Id="rId23" Type="http://schemas.openxmlformats.org/officeDocument/2006/relationships/image" Target="ZalacznikA471F799-6CE0-479B-8D61-D8B8B571A138.png" TargetMode="External" /><Relationship Id="rId24" Type="http://schemas.openxmlformats.org/officeDocument/2006/relationships/footer" Target="footer5.xml" /><Relationship Id="rId25" Type="http://schemas.openxmlformats.org/officeDocument/2006/relationships/image" Target="media/image9.png" /><Relationship Id="rId26" Type="http://schemas.openxmlformats.org/officeDocument/2006/relationships/image" Target="Zalacznik597DF1CC-4DC0-46A5-9D9A-9F32E670B470.png" TargetMode="External" /><Relationship Id="rId27" Type="http://schemas.openxmlformats.org/officeDocument/2006/relationships/footer" Target="footer6.xml" /><Relationship Id="rId28" Type="http://schemas.openxmlformats.org/officeDocument/2006/relationships/image" Target="media/image10.png" /><Relationship Id="rId29" Type="http://schemas.openxmlformats.org/officeDocument/2006/relationships/image" Target="Zalacznik42BC21D6-D043-4FCD-9365-896C417A3DCD.png" TargetMode="External" /><Relationship Id="rId3" Type="http://schemas.openxmlformats.org/officeDocument/2006/relationships/fontTable" Target="fontTable.xml" /><Relationship Id="rId30" Type="http://schemas.openxmlformats.org/officeDocument/2006/relationships/footer" Target="footer7.xml" /><Relationship Id="rId31" Type="http://schemas.openxmlformats.org/officeDocument/2006/relationships/footer" Target="footer8.xml" /><Relationship Id="rId32" Type="http://schemas.openxmlformats.org/officeDocument/2006/relationships/styles" Target="styles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image" Target="ZalacznikF19D0C32-48A1-4817-8198-2314CF45D858.png" TargetMode="External" /><Relationship Id="rId7" Type="http://schemas.openxmlformats.org/officeDocument/2006/relationships/footer" Target="footer2.xml" /><Relationship Id="rId8" Type="http://schemas.openxmlformats.org/officeDocument/2006/relationships/image" Target="media/image2.png" /><Relationship Id="rId9" Type="http://schemas.openxmlformats.org/officeDocument/2006/relationships/image" Target="Zalacznik8EDA249A-B8EB-445F-A207-24E34D5BED05.jp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XX/160/20 z dnia 30 września 2020 r.</dc:title>
  <dc:subject>w sprawie zmiany uchwały budżetowej na 2020^rok</dc:subject>
  <dc:creator>user</dc:creator>
  <cp:lastModifiedBy>user</cp:lastModifiedBy>
  <cp:revision>1</cp:revision>
  <dcterms:created xsi:type="dcterms:W3CDTF">2020-10-08T14:22:44Z</dcterms:created>
  <dcterms:modified xsi:type="dcterms:W3CDTF">2020-10-08T14:22:44Z</dcterms:modified>
  <cp:category>Akt prawny</cp:category>
</cp:coreProperties>
</file>