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III/10/18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21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ustalenia wykazu wydatków, które nie wygasają z upływem roku budżetowego 2018</w:t>
      </w:r>
    </w:p>
    <w:p w:rsidR="00A77B3E">
      <w:pPr>
        <w:keepNext w:val="0"/>
        <w:keepLines/>
        <w:spacing w:before="120" w:after="24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994,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1000,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1432)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1000,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62, 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1366,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1669),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, co następuje: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wykaz wydatków,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wygasają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upływem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na łączną kwotę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 (słownie: czterdzieści jeden tysięcy trzysta dziewięćdziesiąt złotych), 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niniejszej uchwały.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plan finansowy wydatków,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niniejszej uchwały.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Określa się ostateczny termin realizacji wydatków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czerwca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mocą obowiązującą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III/10/18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wydatków, które 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wygasają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upływem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7"/>
        <w:gridCol w:w="4715"/>
        <w:gridCol w:w="1983"/>
        <w:gridCol w:w="249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Zadanie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Kwota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Ostateczny termin dokonania wydatku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Sprzęt szkolny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meble do Publicznej Szkoły Podstawowej 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Komorowie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390,00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 czerwca 2019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0" w:right="0" w:firstLine="45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120" w:after="120" w:line="240" w:lineRule="auto"/>
        <w:ind w:left="0" w:right="0" w:firstLine="45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III/10/18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Ostrów Mazowiecka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finansowy wydatków, które 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wygasają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upływem roku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51"/>
        <w:gridCol w:w="941"/>
        <w:gridCol w:w="5038"/>
        <w:gridCol w:w="20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words" w:color="000000"/>
                <w:vertAlign w:val="baseline"/>
              </w:rPr>
              <w:t>DZIAŁ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ROZDZIAŁ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§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TREŚĆ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5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wychowanie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80101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Szkoły podstawowe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4210</w:t>
            </w:r>
          </w:p>
        </w:tc>
        <w:tc>
          <w:tcPr>
            <w:tcW w:w="5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Zakup materiałów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wyposażenia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Sprzęt szkolny i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meble do PSP w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Komorowie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Razem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390,00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0" w:right="0" w:firstLine="45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120" w:after="120" w:line="240" w:lineRule="auto"/>
        <w:ind w:left="0" w:right="0" w:firstLine="45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Krystyna Kossowska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33B728D3-73D6-4CDB-9BC5-12D32EC3F1D5.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33B728D3-73D6-4CDB-9BC5-12D32EC3F1D5.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33B728D3-73D6-4CDB-9BC5-12D32EC3F1D5.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III/10/18 z dnia 21 grudnia 2018 r.</dc:title>
  <dc:subject>w sprawie ustalenia wykazu wydatków, które nie^wygasają z^upływem roku budżetowego 2018</dc:subject>
  <dc:creator>user</dc:creator>
  <cp:lastModifiedBy>user</cp:lastModifiedBy>
  <cp:revision>1</cp:revision>
  <dcterms:created xsi:type="dcterms:W3CDTF">2019-01-04T13:42:17Z</dcterms:created>
  <dcterms:modified xsi:type="dcterms:W3CDTF">2019-01-04T13:42:17Z</dcterms:modified>
  <cp:category>Akt prawny</cp:category>
</cp:coreProperties>
</file>