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ody>
    <w:p w:rsidR="00A77B3E">
      <w:pPr>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val="0"/>
          <w:sz w:val="22"/>
        </w:rPr>
        <w:t xml:space="preserve"> Nr XXXV/330/18</w:t>
      </w:r>
      <w:r>
        <w:rPr>
          <w:rFonts w:ascii="Times New Roman" w:eastAsia="Times New Roman" w:hAnsi="Times New Roman" w:cs="Times New Roman"/>
          <w:b/>
          <w:caps w:val="0"/>
          <w:sz w:val="22"/>
        </w:rPr>
        <w:br/>
      </w:r>
      <w:r>
        <w:rPr>
          <w:rFonts w:ascii="Times New Roman" w:eastAsia="Times New Roman" w:hAnsi="Times New Roman" w:cs="Times New Roman"/>
          <w:b/>
          <w:caps w:val="0"/>
          <w:sz w:val="22"/>
        </w:rPr>
        <w:br/>
      </w:r>
      <w:r>
        <w:rPr>
          <w:rFonts w:ascii="Times New Roman" w:eastAsia="Times New Roman" w:hAnsi="Times New Roman" w:cs="Times New Roman"/>
          <w:b/>
          <w:caps/>
          <w:sz w:val="22"/>
        </w:rPr>
        <w:t>Rady Gminy Ostrów Mazowiecka</w:t>
      </w:r>
    </w:p>
    <w:p w:rsidR="00A77B3E">
      <w:pPr>
        <w:spacing w:before="280" w:after="280"/>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30 maja 2018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zmiany uchwały Rady Gminy Ostrów Mazowiecka z dnia 23 marca 2018 r. Nr XXXIII/309/18  w sprawie uchwalenia wieloletniego programu gospodarowania mieszkaniowym zasobem gminy Ostrów Mazowiecka na lata 2018-2023</w:t>
      </w:r>
    </w:p>
    <w:p w:rsidR="00A77B3E">
      <w:pPr>
        <w:keepNext w:val="0"/>
        <w:keepLines/>
        <w:spacing w:before="120" w:after="240" w:line="360" w:lineRule="auto"/>
        <w:ind w:left="0" w:right="0" w:firstLine="454"/>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val="0"/>
          <w:i w:val="0"/>
          <w:caps w:val="0"/>
          <w:strike w:val="0"/>
          <w:color w:val="auto"/>
          <w:sz w:val="22"/>
          <w:u w:val="none"/>
          <w:vertAlign w:val="baseline"/>
        </w:rPr>
        <w:t>Na podstawie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pkt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15,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40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oraz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41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 xml:space="preserve">marca </w:t>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b w:val="0"/>
          <w:i w:val="0"/>
          <w:caps w:val="0"/>
          <w:strike w:val="0"/>
          <w:color w:val="auto"/>
          <w:sz w:val="22"/>
          <w:u w:val="none"/>
          <w:vertAlign w:val="baseline"/>
        </w:rPr>
        <w:t>1990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samorządzie gminnym (Dz.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2018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994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1000) oraz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pkt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oraz 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21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czerwca 2001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ochronie praw lokatorów, mieszkaniowym zasobie gminy</w:t>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b w:val="0"/>
          <w:i w:val="0"/>
          <w:caps w:val="0"/>
          <w:strike w:val="0"/>
          <w:color w:val="auto"/>
          <w:sz w:val="22"/>
          <w:u w:val="none"/>
          <w:vertAlign w:val="baseline"/>
        </w:rPr>
        <w:t>i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zmianie kodeksu cywilnego (Dz.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2016</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1610</w:t>
      </w:r>
      <w:r>
        <w:rPr>
          <w:rStyle w:val="FootnoteReference"/>
        </w:rPr>
        <w:footnoteReference w:id="0"/>
      </w:r>
      <w:r>
        <w:rPr>
          <w:vertAlign w:val="superscript"/>
        </w:rPr>
        <w:t>)</w:t>
      </w:r>
      <w:r>
        <w:rPr>
          <w:rFonts w:ascii="Times New Roman" w:eastAsia="Times New Roman" w:hAnsi="Times New Roman" w:cs="Times New Roman"/>
          <w:b w:val="0"/>
          <w:i w:val="0"/>
          <w:caps w:val="0"/>
          <w:strike w:val="0"/>
          <w:color w:val="000000"/>
          <w:sz w:val="24"/>
          <w:u w:val="none" w:color="000000"/>
          <w:vertAlign w:val="baseline"/>
        </w:rPr>
        <w:t xml:space="preserve">) </w:t>
      </w:r>
      <w:r>
        <w:rPr>
          <w:rFonts w:ascii="Times New Roman" w:eastAsia="Times New Roman" w:hAnsi="Times New Roman" w:cs="Times New Roman"/>
          <w:b/>
          <w:i w:val="0"/>
          <w:caps w:val="0"/>
          <w:strike w:val="0"/>
          <w:color w:val="000000"/>
          <w:sz w:val="24"/>
          <w:u w:val="none" w:color="000000"/>
          <w:vertAlign w:val="baseline"/>
        </w:rPr>
        <w:t>uchwala się, co następuje:</w:t>
      </w:r>
    </w:p>
    <w:p w:rsidR="00A77B3E">
      <w:pPr>
        <w:keepNext w:val="0"/>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1. </w:t>
      </w:r>
      <w:r>
        <w:rPr>
          <w:rFonts w:ascii="Times New Roman" w:eastAsia="Times New Roman" w:hAnsi="Times New Roman" w:cs="Times New Roman"/>
          <w:b w:val="0"/>
          <w:i w:val="0"/>
          <w:caps w:val="0"/>
          <w:strike w:val="0"/>
          <w:color w:val="000000"/>
          <w:sz w:val="24"/>
          <w:u w:val="none" w:color="000000"/>
          <w:vertAlign w:val="baseline"/>
        </w:rPr>
        <w:t>Załącznik do uchwały Rady Gminy Ostrów Mazowiecka z</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dnia 23</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marca 2018</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r.                                 Nr XXXIII/309/18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sprawie uchwalenia wieloletniego programu gospodarowania mieszkaniowym zasobem gminy Ostrów Mazowiecka na lata 2018-2023 otrzymuje brzmienie  jak załącznik do niniejszej uchwały.</w:t>
      </w:r>
    </w:p>
    <w:p w:rsidR="00A77B3E">
      <w:pPr>
        <w:keepNext w:val="0"/>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2. </w:t>
      </w:r>
      <w:r>
        <w:rPr>
          <w:rFonts w:ascii="Times New Roman" w:eastAsia="Times New Roman" w:hAnsi="Times New Roman" w:cs="Times New Roman"/>
          <w:b w:val="0"/>
          <w:i w:val="0"/>
          <w:caps w:val="0"/>
          <w:strike w:val="0"/>
          <w:color w:val="000000"/>
          <w:sz w:val="24"/>
          <w:u w:val="none" w:color="000000"/>
          <w:vertAlign w:val="baseline"/>
        </w:rPr>
        <w:t>Wykonanie uchwały powierza się Wójtowi Gminy Ostrów Mazowiecka.</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3. </w:t>
      </w:r>
      <w:r>
        <w:rPr>
          <w:rFonts w:ascii="Times New Roman" w:eastAsia="Times New Roman" w:hAnsi="Times New Roman" w:cs="Times New Roman"/>
          <w:b w:val="0"/>
          <w:i w:val="0"/>
          <w:caps w:val="0"/>
          <w:strike w:val="0"/>
          <w:color w:val="000000"/>
          <w:sz w:val="24"/>
          <w:u w:val="none" w:color="000000"/>
          <w:vertAlign w:val="baseline"/>
        </w:rPr>
        <w:t>Uchwała wchodzi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życie po upływie 14</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dni od dnia ogłoszenia w</w:t>
      </w:r>
      <w:r>
        <w:rPr>
          <w:rFonts w:ascii="Times New Roman" w:eastAsia="Times New Roman" w:hAnsi="Times New Roman" w:cs="Times New Roman"/>
          <w:b w:val="0"/>
          <w:i w:val="0"/>
          <w:caps w:val="0"/>
          <w:strike w:val="0"/>
          <w:color w:val="000000"/>
          <w:sz w:val="24"/>
          <w:u w:val="none" w:color="000000"/>
          <w:vertAlign w:val="baseline"/>
        </w:rPr>
        <w:t> </w:t>
      </w:r>
      <w:r>
        <w:rPr>
          <w:rFonts w:ascii="Times New Roman" w:eastAsia="Times New Roman" w:hAnsi="Times New Roman" w:cs="Times New Roman"/>
          <w:b w:val="0"/>
          <w:i w:val="0"/>
          <w:caps w:val="0"/>
          <w:strike w:val="0"/>
          <w:color w:val="000000"/>
          <w:sz w:val="24"/>
          <w:u w:val="none" w:color="000000"/>
          <w:vertAlign w:val="baseline"/>
        </w:rPr>
        <w:t>Dzienniku Urzędowym Województwa Mazowieckiego.</w:t>
      </w:r>
    </w:p>
    <w:p w:rsidR="00A77B3E">
      <w:pPr>
        <w:keepNext/>
        <w:keepLines/>
        <w:spacing w:before="120" w:after="120" w:line="360" w:lineRule="auto"/>
        <w:ind w:left="454" w:right="0" w:firstLine="0"/>
        <w:jc w:val="both"/>
        <w:rPr>
          <w:rFonts w:ascii="Times New Roman" w:eastAsia="Times New Roman" w:hAnsi="Times New Roman" w:cs="Times New Roman"/>
          <w:b w:val="0"/>
          <w:i w:val="0"/>
          <w:caps w:val="0"/>
          <w:strike w:val="0"/>
          <w:color w:val="000000"/>
          <w:sz w:val="24"/>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tcPr>
          <w:p>
            <w:pPr>
              <w:keepNext/>
              <w:keepLines/>
              <w:jc w:val="left"/>
              <w:rPr>
                <w:rFonts w:ascii="Times New Roman" w:eastAsia="Times New Roman" w:hAnsi="Times New Roman" w:cs="Times New Roman"/>
                <w:b w:val="0"/>
                <w:bCs w:val="0"/>
                <w:i w:val="0"/>
                <w:iCs w:val="0"/>
                <w:smallCaps w:val="0"/>
                <w:color w:val="000000"/>
                <w:sz w:val="24"/>
              </w:rPr>
            </w:pPr>
          </w:p>
        </w:tc>
        <w:tc>
          <w:tcPr>
            <w:tcW w:w="2500" w:type="pct"/>
            <w:noWrap w:val="0"/>
            <w:tcMar>
              <w:top w:w="0" w:type="dxa"/>
              <w:left w:w="0" w:type="dxa"/>
              <w:bottom w:w="0" w:type="dxa"/>
              <w:right w:w="0" w:type="dxa"/>
            </w:tcMar>
            <w:vAlign w:val="top"/>
          </w:tcPr>
          <w:p>
            <w:pPr>
              <w:keepNext/>
              <w:keepLines/>
              <w:spacing w:before="300" w:after="0"/>
              <w:ind w:left="0" w:right="0" w:firstLine="0"/>
              <w:jc w:val="center"/>
              <w:rPr>
                <w:rFonts w:ascii="Times New Roman" w:eastAsia="Times New Roman" w:hAnsi="Times New Roman" w:cs="Times New Roman"/>
                <w:b w:val="0"/>
                <w:bCs w:val="0"/>
                <w:i w:val="0"/>
                <w:iCs w:val="0"/>
                <w:smallCaps w:val="0"/>
                <w:color w:val="000000"/>
                <w:sz w:val="24"/>
              </w:rPr>
            </w:pPr>
            <w:r>
              <w:rPr>
                <w:rFonts w:ascii="Times New Roman" w:eastAsia="Times New Roman" w:hAnsi="Times New Roman" w:cs="Times New Roman"/>
                <w:b w:val="0"/>
                <w:bCs w:val="0"/>
                <w:i w:val="0"/>
                <w:iCs w:val="0"/>
                <w:smallCaps w:val="0"/>
                <w:color w:val="000000"/>
                <w:sz w:val="24"/>
              </w:rPr>
              <w:t>Przewodniczący Rady Gminy</w:t>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b/>
                <w:i w:val="0"/>
              </w:rPr>
              <w:t>mgr Sylwester Rozumek</w:t>
            </w:r>
          </w:p>
        </w:tc>
      </w:tr>
    </w:tbl>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sectPr>
          <w:endnotePr>
            <w:numFmt w:val="decimal"/>
          </w:endnotePr>
          <w:pgSz w:w="11906" w:h="16838"/>
          <w:pgMar w:top="1417" w:right="1020" w:bottom="992" w:left="1020" w:header="708" w:footer="708" w:gutter="0"/>
          <w:cols w:space="708"/>
          <w:docGrid w:linePitch="360"/>
        </w:sectPr>
      </w:pP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rStyle w:val="DefaultParagraphFont"/>
          <w:b w:val="0"/>
          <w:i w:val="0"/>
          <w:caps w:val="0"/>
          <w:strike w:val="0"/>
          <w:noProof w:val="0"/>
          <w:vanish w:val="0"/>
          <w:color w:val="auto"/>
          <w:u w:val="none"/>
          <w:shd w:val="clear" w:color="auto" w:fill="auto"/>
          <w:vertAlign w:val="baseline"/>
        </w:rPr>
      </w:pPr>
    </w:p>
    <w:p>
      <w:pPr>
        <w:pStyle w:val="Normal0"/>
        <w:keepNext/>
        <w:keepLines w:val="0"/>
        <w:widowControl/>
        <w:suppressLineNumbers w:val="0"/>
        <w:shd w:val="clear" w:color="auto" w:fill="auto"/>
        <w:suppressAutoHyphens w:val="0"/>
        <w:spacing w:before="120" w:beforeAutospacing="0" w:after="120" w:afterAutospacing="0" w:line="360" w:lineRule="auto"/>
        <w:ind w:left="4535" w:right="0" w:firstLine="0"/>
        <w:contextualSpacing w:val="0"/>
        <w:jc w:val="left"/>
        <w:rPr>
          <w:rStyle w:val="DefaultParagraphFont"/>
          <w:rFonts w:ascii="Times New Roman" w:hAnsi="Times New Roman"/>
          <w:b w:val="0"/>
          <w:i w:val="0"/>
          <w:caps w:val="0"/>
          <w:strike w:val="0"/>
          <w:noProof w:val="0"/>
          <w:vanish w:val="0"/>
          <w:color w:val="auto"/>
          <w:sz w:val="24"/>
          <w:u w:val="none"/>
          <w:shd w:val="clear" w:color="auto" w:fill="auto"/>
          <w:vertAlign w:val="baseline"/>
        </w:rPr>
      </w:pPr>
      <w:r>
        <w:rPr>
          <w:rStyle w:val="DefaultParagraphFont"/>
          <w:rFonts w:ascii="Times New Roman" w:hAnsi="Times New Roman"/>
          <w:b w:val="0"/>
          <w:i w:val="0"/>
          <w:caps w:val="0"/>
          <w:strike w:val="0"/>
          <w:noProof w:val="0"/>
          <w:vanish w:val="0"/>
          <w:color w:val="auto"/>
          <w:sz w:val="24"/>
          <w:u w:val="none"/>
          <w:shd w:val="clear" w:color="auto" w:fill="auto"/>
          <w:vertAlign w:val="baseline"/>
        </w:rPr>
        <w:t>Załącznik do uchwały Nr XXXV/330/18</w:t>
        <w:br/>
        <w:t>Rady Gminy Ostrów Mazowiecka</w:t>
        <w:br/>
        <w:t>z dnia 30 maja 2018 r.</w:t>
      </w:r>
    </w:p>
    <w:p>
      <w:pPr>
        <w:pStyle w:val="Normal0"/>
        <w:keepNext/>
        <w:keepLines w:val="0"/>
        <w:widowControl/>
        <w:suppressLineNumbers w:val="0"/>
        <w:shd w:val="clear" w:color="auto" w:fill="auto"/>
        <w:suppressAutoHyphens w:val="0"/>
        <w:spacing w:before="0" w:beforeAutospacing="0" w:after="48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auto"/>
          <w:sz w:val="24"/>
          <w:u w:val="none"/>
          <w:shd w:val="clear" w:color="auto" w:fill="auto"/>
          <w:vertAlign w:val="baseline"/>
        </w:rPr>
      </w:pPr>
      <w:r>
        <w:rPr>
          <w:rStyle w:val="DefaultParagraphFont"/>
          <w:rFonts w:ascii="Times New Roman" w:hAnsi="Times New Roman"/>
          <w:b/>
          <w:i w:val="0"/>
          <w:caps w:val="0"/>
          <w:strike w:val="0"/>
          <w:noProof w:val="0"/>
          <w:vanish w:val="0"/>
          <w:color w:val="auto"/>
          <w:sz w:val="24"/>
          <w:u w:val="none"/>
          <w:shd w:val="clear" w:color="auto" w:fill="auto"/>
          <w:vertAlign w:val="baseline"/>
        </w:rPr>
        <w:t>WIELOLETNI PROGRAM GOSPODAROWANIA MIESZKANIOWYM ZASOBEM GMINY OSTRÓW MAZOWIECKA NA LATA 2018-2023</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auto"/>
          <w:sz w:val="24"/>
          <w:u w:val="none"/>
          <w:shd w:val="clear" w:color="auto" w:fill="auto"/>
          <w:vertAlign w:val="baseline"/>
        </w:rPr>
        <w:t>Rozdział 1</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Wprowadzenie</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xml:space="preserve">§ 1.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 xml:space="preserve">1. Głównym celem wieloletniego programu gospodarowania mieszkaniowym zasobem Gminy Ostrów Mazowiecka na lata 2018- 2023 jest określenie kierunków działania Gminy </w:t>
        <w:br/>
        <w:t>w zakresie racjonalnego i efektywnego gospodarowania posiadanym zasobem mieszkaniowym.</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Działania dotyczące polityki mieszkaniowej Gminy Ostrów Mazowiecka mają za zadanie:</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dążenie do zaspokojenia niezbędnych potrzeb mieszkaniowych mieszkańców Gminy</w:t>
        <w:br/>
        <w:t>w zakresie lokali mieszkalnych wynajmowanych na czas nieoznaczony, lokali socjalnych</w:t>
        <w:br/>
        <w:t>i zamiennych oraz pomieszczeń tymczasowych,</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stopniową poprawę stanu technicznego zasobu mieszkaniowego,</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tworzenie warunków do poprawy sytuacji mieszkaniowej mieszkańców Gminy.</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Wieloletni program gospodarowania mieszkaniowym zasobem Gminy Ostrów Mazowiecka na lata 2018-2023 określa w szczególności:</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prognozę dotyczącą wielkości oraz stanu technicznego zasobu mieszkaniowego Gminy</w:t>
        <w:br/>
        <w:t>w latach 2018-2023, z podziałem na lokale socjalne i pozostałe lokale mieszkalne,</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analizę potrzeb oraz plan remontów i modernizacji wynikający ze stanu technicznego budynków i lokali,</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planowaną sprzedaż lokali w latach 2018-2023,</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4) zasady polityki czynszowej oraz warunki obniżania czynszu,</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5) sposób i zasady zarządzania lokalami i budynkami wchodzącymi w skład mieszkaniowego zasobu gminy oraz przewidywane zmiany w zakresie zarządzania mieszkaniowym zasobem gminy w latach 2018-2023,</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6) źródła finansowania gospodarki mieszkaniowej w latach 2018-2023,</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7) wysokość wydatków w latach 2018-2023,</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8) opis innych działań mających na celu poprawę wykorzystania i racjonalizację gospodarowania mieszkaniowym zasobem gminy.</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Dla opracowania programu przyjęto wielkość zasobu mieszkaniowego Gminy  Ostrów Mazowiecka według stanu na dzień 31 grudnia 2017 r.</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2.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Ilekroć w uchwale jest mowa o:</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programie - należy przez to rozumieć wieloletni program gospodarowania mieszkaniowym zasobem Gminy Ostrów Mazowiecka na lata 2018-2023, określony w niniejszej uchwale;</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mieszkaniowym zasobie gminy - należy przez to rozumieć lokale mieszkalne i socjalne stanowiące własność Gminy Ostrów Mazowiecka;</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ustawie o ochronie praw lokatorów - należy przez to rozumieć ustawę z dnia 21 czerwca 2001 r. o ochronie praw lokatorów, mieszkaniowym zasobie gminy i o zmianie Kodeksu cywilnego.</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i w:val="0"/>
          <w:caps w:val="0"/>
          <w:strike w:val="0"/>
          <w:noProof w:val="0"/>
          <w:vanish w:val="0"/>
          <w:color w:val="000000"/>
          <w:sz w:val="24"/>
          <w:u w:val="none" w:color="000000"/>
          <w:shd w:val="clear" w:color="auto" w:fill="auto"/>
          <w:vertAlign w:val="baseline"/>
        </w:rPr>
      </w:pP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Rozdział 2</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xml:space="preserve">Prognoza dotycząca wielkości oraz stanu technicznego zasobu mieszkaniowego Gminy </w:t>
        <w:br/>
        <w:t>w latach 2018 – 2023, z podziałem na lokale socjalne i pozostałe lokale mieszkalne</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3.</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 xml:space="preserve"> Mieszkaniowy zasób Gminy Ostrów Mazowiecka tworzą lokale mieszkalne położone </w:t>
        <w:br/>
        <w:t>w budynkach stanowiących własność Gminy.</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4.</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 xml:space="preserve"> Mieszkaniowy zasób Gminy Ostrów Mazowiecka oraz jego stan techniczny na dzień </w:t>
        <w:br/>
        <w:t>31 grudnia 2017 r. przedstawia tabela nr 1.</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24"/>
          <w:u w:val="none" w:color="000000"/>
          <w:shd w:val="clear" w:color="auto" w:fill="auto"/>
          <w:vertAlign w:val="baseline"/>
        </w:rPr>
        <w:t>Tabela nr 1</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56"/>
        <w:gridCol w:w="3451"/>
        <w:gridCol w:w="1770"/>
        <w:gridCol w:w="1620"/>
        <w:gridCol w:w="1290"/>
        <w:gridCol w:w="13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525"/>
        </w:trPr>
        <w:tc>
          <w:tcPr>
            <w:tcW w:w="555" w:type="dxa"/>
            <w:tcBorders>
              <w:top w:val="single" w:sz="4"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18"/>
                <w:u w:val="none" w:color="000000"/>
                <w:shd w:val="clear" w:color="auto" w:fill="auto"/>
                <w:vertAlign w:val="baseline"/>
              </w:rPr>
              <w:t>Lp.</w:t>
            </w:r>
          </w:p>
        </w:tc>
        <w:tc>
          <w:tcPr>
            <w:tcW w:w="3450" w:type="dxa"/>
            <w:tcBorders>
              <w:top w:val="single" w:sz="4"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18"/>
                <w:u w:val="none" w:color="000000"/>
                <w:shd w:val="clear" w:color="auto" w:fill="auto"/>
                <w:vertAlign w:val="baseline"/>
              </w:rPr>
              <w:t>Adres lokalu</w:t>
            </w:r>
          </w:p>
        </w:tc>
        <w:tc>
          <w:tcPr>
            <w:tcW w:w="1770" w:type="dxa"/>
            <w:tcBorders>
              <w:top w:val="single" w:sz="4"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18"/>
                <w:u w:val="none" w:color="000000"/>
                <w:shd w:val="clear" w:color="auto" w:fill="auto"/>
                <w:vertAlign w:val="baseline"/>
              </w:rPr>
              <w:t>Powierzchnia użytkowa</w:t>
            </w:r>
          </w:p>
        </w:tc>
        <w:tc>
          <w:tcPr>
            <w:tcW w:w="1620" w:type="dxa"/>
            <w:tcBorders>
              <w:top w:val="single" w:sz="4"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18"/>
                <w:u w:val="none" w:color="000000"/>
                <w:shd w:val="clear" w:color="auto" w:fill="auto"/>
                <w:vertAlign w:val="baseline"/>
              </w:rPr>
              <w:t>Wyposażenie</w:t>
            </w:r>
          </w:p>
        </w:tc>
        <w:tc>
          <w:tcPr>
            <w:tcW w:w="1290" w:type="dxa"/>
            <w:tcBorders>
              <w:top w:val="single" w:sz="4"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18"/>
                <w:u w:val="none" w:color="000000"/>
                <w:shd w:val="clear" w:color="auto" w:fill="auto"/>
                <w:vertAlign w:val="baseline"/>
              </w:rPr>
              <w:t>Przybliżony rok budowy</w:t>
            </w:r>
          </w:p>
        </w:tc>
        <w:tc>
          <w:tcPr>
            <w:tcW w:w="1395" w:type="dxa"/>
            <w:tcBorders>
              <w:top w:val="single" w:sz="4"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18"/>
                <w:u w:val="none" w:color="000000"/>
                <w:shd w:val="clear" w:color="auto" w:fill="auto"/>
                <w:vertAlign w:val="baseline"/>
              </w:rPr>
              <w:t>Stan techniczny</w:t>
            </w:r>
          </w:p>
        </w:tc>
      </w:tr>
      <w:tr>
        <w:tblPrEx>
          <w:tblW w:w="5000" w:type="pct"/>
          <w:tblLayout w:type="fixed"/>
          <w:tblCellMar>
            <w:left w:w="108" w:type="dxa"/>
            <w:right w:w="108" w:type="dxa"/>
          </w:tblCellMar>
        </w:tblPrEx>
        <w:trPr>
          <w:trHeight w:hRule="exact" w:val="454"/>
        </w:trPr>
        <w:tc>
          <w:tcPr>
            <w:tcW w:w="555" w:type="dxa"/>
            <w:tcBorders>
              <w:top w:val="single" w:sz="4"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1</w:t>
            </w:r>
          </w:p>
        </w:tc>
        <w:tc>
          <w:tcPr>
            <w:tcW w:w="3450" w:type="dxa"/>
            <w:tcBorders>
              <w:top w:val="single" w:sz="4"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Biel 89 </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07-300 Ostrów Mazowiecka</w:t>
            </w:r>
          </w:p>
        </w:tc>
        <w:tc>
          <w:tcPr>
            <w:tcW w:w="1770" w:type="dxa"/>
            <w:tcBorders>
              <w:top w:val="single" w:sz="4"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43,50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4"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paliwa stałe, woda, WC</w:t>
            </w:r>
          </w:p>
        </w:tc>
        <w:tc>
          <w:tcPr>
            <w:tcW w:w="1290" w:type="dxa"/>
            <w:tcBorders>
              <w:top w:val="single" w:sz="4"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67</w:t>
            </w:r>
          </w:p>
        </w:tc>
        <w:tc>
          <w:tcPr>
            <w:tcW w:w="1395" w:type="dxa"/>
            <w:tcBorders>
              <w:top w:val="single" w:sz="4"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dobry</w:t>
            </w:r>
          </w:p>
        </w:tc>
      </w:tr>
      <w:tr>
        <w:tblPrEx>
          <w:tblW w:w="5000" w:type="pct"/>
          <w:tblLayout w:type="fixed"/>
          <w:tblCellMar>
            <w:left w:w="108" w:type="dxa"/>
            <w:right w:w="108" w:type="dxa"/>
          </w:tblCellMar>
        </w:tblPrEx>
        <w:trPr>
          <w:trHeight w:hRule="exact" w:val="454"/>
        </w:trPr>
        <w:tc>
          <w:tcPr>
            <w:tcW w:w="555" w:type="dxa"/>
            <w:tcBorders>
              <w:top w:val="nil"/>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2</w:t>
            </w:r>
          </w:p>
        </w:tc>
        <w:tc>
          <w:tcPr>
            <w:tcW w:w="3450" w:type="dxa"/>
            <w:tcBorders>
              <w:top w:val="nil"/>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Guty Bujno 37</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07 – 304 Ostrów  Mazowiecka</w:t>
            </w:r>
          </w:p>
        </w:tc>
        <w:tc>
          <w:tcPr>
            <w:tcW w:w="1770" w:type="dxa"/>
            <w:tcBorders>
              <w:top w:val="nil"/>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83,56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nil"/>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paliwa stałe, woda,</w:t>
            </w:r>
          </w:p>
        </w:tc>
        <w:tc>
          <w:tcPr>
            <w:tcW w:w="1290" w:type="dxa"/>
            <w:tcBorders>
              <w:top w:val="nil"/>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57</w:t>
            </w:r>
          </w:p>
        </w:tc>
        <w:tc>
          <w:tcPr>
            <w:tcW w:w="1395" w:type="dxa"/>
            <w:tcBorders>
              <w:top w:val="nil"/>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dostateczny</w:t>
            </w:r>
          </w:p>
        </w:tc>
      </w:tr>
      <w:tr>
        <w:tblPrEx>
          <w:tblW w:w="5000" w:type="pct"/>
          <w:tblLayout w:type="fixed"/>
          <w:tblCellMar>
            <w:left w:w="108" w:type="dxa"/>
            <w:right w:w="108" w:type="dxa"/>
          </w:tblCellMar>
        </w:tblPrEx>
        <w:trPr>
          <w:trHeight w:hRule="exact" w:val="454"/>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3</w:t>
            </w: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Jelonki 17/1</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 xml:space="preserve">07-302 Ostrów Mazowiecka </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55,00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CO - olej, woda, WC</w:t>
            </w:r>
          </w:p>
        </w:tc>
        <w:tc>
          <w:tcPr>
            <w:tcW w:w="129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52</w:t>
            </w: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dobry</w:t>
            </w:r>
          </w:p>
        </w:tc>
      </w:tr>
      <w:tr>
        <w:tblPrEx>
          <w:tblW w:w="5000" w:type="pct"/>
          <w:tblLayout w:type="fixed"/>
          <w:tblCellMar>
            <w:left w:w="108" w:type="dxa"/>
            <w:right w:w="108" w:type="dxa"/>
          </w:tblCellMar>
        </w:tblPrEx>
        <w:trPr>
          <w:trHeight w:hRule="exact" w:val="454"/>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4</w:t>
            </w: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Jelonki 17/2</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 xml:space="preserve">07-302 Ostrów Mazowiecka </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38,00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CO - olej, woda, WC</w:t>
            </w:r>
          </w:p>
        </w:tc>
        <w:tc>
          <w:tcPr>
            <w:tcW w:w="129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52</w:t>
            </w: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dobry</w:t>
            </w:r>
          </w:p>
        </w:tc>
      </w:tr>
      <w:tr>
        <w:tblPrEx>
          <w:tblW w:w="5000" w:type="pct"/>
          <w:tblLayout w:type="fixed"/>
          <w:tblCellMar>
            <w:left w:w="108" w:type="dxa"/>
            <w:right w:w="108" w:type="dxa"/>
          </w:tblCellMar>
        </w:tblPrEx>
        <w:trPr>
          <w:trHeight w:hRule="exact" w:val="454"/>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5</w:t>
            </w: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Jelonki 17/3</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 xml:space="preserve">07-302 Ostrów Mazowiecka </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55,00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CO - olej, woda, WC</w:t>
            </w:r>
          </w:p>
        </w:tc>
        <w:tc>
          <w:tcPr>
            <w:tcW w:w="129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52</w:t>
            </w: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dobry</w:t>
            </w:r>
          </w:p>
        </w:tc>
      </w:tr>
      <w:tr>
        <w:tblPrEx>
          <w:tblW w:w="5000" w:type="pct"/>
          <w:tblLayout w:type="fixed"/>
          <w:tblCellMar>
            <w:left w:w="108" w:type="dxa"/>
            <w:right w:w="108" w:type="dxa"/>
          </w:tblCellMar>
        </w:tblPrEx>
        <w:trPr>
          <w:trHeight w:hRule="exact" w:val="454"/>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6</w:t>
            </w: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Jelonki 17/4</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 xml:space="preserve">07-302 Ostrów Mazowiecka </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38,00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CO - olej, woda, WC</w:t>
            </w:r>
          </w:p>
        </w:tc>
        <w:tc>
          <w:tcPr>
            <w:tcW w:w="129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52</w:t>
            </w: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dobry</w:t>
            </w:r>
          </w:p>
        </w:tc>
      </w:tr>
      <w:tr>
        <w:tblPrEx>
          <w:tblW w:w="5000" w:type="pct"/>
          <w:tblLayout w:type="fixed"/>
          <w:tblCellMar>
            <w:left w:w="108" w:type="dxa"/>
            <w:right w:w="108" w:type="dxa"/>
          </w:tblCellMar>
        </w:tblPrEx>
        <w:trPr>
          <w:trHeight w:hRule="exact" w:val="454"/>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7</w:t>
            </w: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Koziki 1/1</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07-300 Ostrów Mazowiecka</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38,00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paliwa stałe, woda, WC</w:t>
            </w:r>
          </w:p>
        </w:tc>
        <w:tc>
          <w:tcPr>
            <w:tcW w:w="129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52</w:t>
            </w: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dobry</w:t>
            </w:r>
          </w:p>
        </w:tc>
      </w:tr>
      <w:tr>
        <w:tblPrEx>
          <w:tblW w:w="5000" w:type="pct"/>
          <w:tblLayout w:type="fixed"/>
          <w:tblCellMar>
            <w:left w:w="108" w:type="dxa"/>
            <w:right w:w="108" w:type="dxa"/>
          </w:tblCellMar>
        </w:tblPrEx>
        <w:trPr>
          <w:trHeight w:hRule="exact" w:val="454"/>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8</w:t>
            </w: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Koziki 1/2</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07-300 Ostrów Mazowiecka</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38,00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paliwa stałe, woda, WC</w:t>
            </w:r>
          </w:p>
        </w:tc>
        <w:tc>
          <w:tcPr>
            <w:tcW w:w="129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52</w:t>
            </w: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dobry</w:t>
            </w:r>
          </w:p>
        </w:tc>
      </w:tr>
      <w:tr>
        <w:tblPrEx>
          <w:tblW w:w="5000" w:type="pct"/>
          <w:tblLayout w:type="fixed"/>
          <w:tblCellMar>
            <w:left w:w="108" w:type="dxa"/>
            <w:right w:w="108" w:type="dxa"/>
          </w:tblCellMar>
        </w:tblPrEx>
        <w:trPr>
          <w:trHeight w:hRule="exact" w:val="454"/>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9</w:t>
            </w: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Koziki 1/3</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07-300 Ostrów Mazowiecka</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38,00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paliwa stałe, woda, WC</w:t>
            </w:r>
          </w:p>
        </w:tc>
        <w:tc>
          <w:tcPr>
            <w:tcW w:w="129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52</w:t>
            </w: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dobry</w:t>
            </w:r>
          </w:p>
        </w:tc>
      </w:tr>
      <w:tr>
        <w:tblPrEx>
          <w:tblW w:w="5000" w:type="pct"/>
          <w:tblLayout w:type="fixed"/>
          <w:tblCellMar>
            <w:left w:w="108" w:type="dxa"/>
            <w:right w:w="108" w:type="dxa"/>
          </w:tblCellMar>
        </w:tblPrEx>
        <w:trPr>
          <w:trHeight w:hRule="exact" w:val="454"/>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10</w:t>
            </w: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Nagoszewo 82/1</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07-300 Ostrów Mazowiecka</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22,00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paliwa stałe, woda,</w:t>
            </w:r>
          </w:p>
        </w:tc>
        <w:tc>
          <w:tcPr>
            <w:tcW w:w="129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67</w:t>
            </w: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dostateczny</w:t>
            </w:r>
          </w:p>
        </w:tc>
      </w:tr>
      <w:tr>
        <w:tblPrEx>
          <w:tblW w:w="5000" w:type="pct"/>
          <w:tblLayout w:type="fixed"/>
          <w:tblCellMar>
            <w:left w:w="108" w:type="dxa"/>
            <w:right w:w="108" w:type="dxa"/>
          </w:tblCellMar>
        </w:tblPrEx>
        <w:trPr>
          <w:trHeight w:hRule="exact" w:val="454"/>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11</w:t>
            </w: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Nagoszewo 82/2</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07-300 Ostrów Mazowiecka</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25,00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paliwa stałe, woda,</w:t>
            </w:r>
          </w:p>
        </w:tc>
        <w:tc>
          <w:tcPr>
            <w:tcW w:w="129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67</w:t>
            </w: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dostateczny</w:t>
            </w:r>
          </w:p>
        </w:tc>
      </w:tr>
      <w:tr>
        <w:tblPrEx>
          <w:tblW w:w="5000" w:type="pct"/>
          <w:tblLayout w:type="fixed"/>
          <w:tblCellMar>
            <w:left w:w="108" w:type="dxa"/>
            <w:right w:w="108" w:type="dxa"/>
          </w:tblCellMar>
        </w:tblPrEx>
        <w:trPr>
          <w:trHeight w:hRule="exact" w:val="454"/>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12</w:t>
            </w: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Nagoszewo 82/2</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07-300 Ostrów Mazowiecka</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22,00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paliwa stałe, woda,</w:t>
            </w:r>
          </w:p>
        </w:tc>
        <w:tc>
          <w:tcPr>
            <w:tcW w:w="129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67</w:t>
            </w: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dostateczny</w:t>
            </w:r>
          </w:p>
        </w:tc>
      </w:tr>
      <w:tr>
        <w:tblPrEx>
          <w:tblW w:w="5000" w:type="pct"/>
          <w:tblLayout w:type="fixed"/>
          <w:tblCellMar>
            <w:left w:w="108" w:type="dxa"/>
            <w:right w:w="108" w:type="dxa"/>
          </w:tblCellMar>
        </w:tblPrEx>
        <w:trPr>
          <w:trHeight w:hRule="exact" w:val="454"/>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13</w:t>
            </w: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 xml:space="preserve"> Turka 39A/1</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07-300 Ostrów Mazowiecka</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52,00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CO - olej, woda, WC</w:t>
            </w:r>
          </w:p>
        </w:tc>
        <w:tc>
          <w:tcPr>
            <w:tcW w:w="129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52</w:t>
            </w: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dobry</w:t>
            </w:r>
          </w:p>
        </w:tc>
      </w:tr>
      <w:tr>
        <w:tblPrEx>
          <w:tblW w:w="5000" w:type="pct"/>
          <w:tblLayout w:type="fixed"/>
          <w:tblCellMar>
            <w:left w:w="108" w:type="dxa"/>
            <w:right w:w="108" w:type="dxa"/>
          </w:tblCellMar>
        </w:tblPrEx>
        <w:trPr>
          <w:trHeight w:hRule="exact" w:val="454"/>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14</w:t>
            </w: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Nowa Osuchowa, ul. Szkolna 52/1</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07-308 Poręba</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40,00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CO – paliwa stałe, woda, WC</w:t>
            </w:r>
          </w:p>
        </w:tc>
        <w:tc>
          <w:tcPr>
            <w:tcW w:w="129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52</w:t>
            </w: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dobry</w:t>
            </w:r>
          </w:p>
        </w:tc>
      </w:tr>
      <w:tr>
        <w:tblPrEx>
          <w:tblW w:w="5000" w:type="pct"/>
          <w:tblLayout w:type="fixed"/>
          <w:tblCellMar>
            <w:left w:w="108" w:type="dxa"/>
            <w:right w:w="108" w:type="dxa"/>
          </w:tblCellMar>
        </w:tblPrEx>
        <w:trPr>
          <w:trHeight w:hRule="exact" w:val="454"/>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15</w:t>
            </w: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Nowa Osuchowa, ul. Szkolna 52/2</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07-308 Poręba</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40,00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CO – paliwa stałe, woda, WC</w:t>
            </w:r>
          </w:p>
        </w:tc>
        <w:tc>
          <w:tcPr>
            <w:tcW w:w="129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52</w:t>
            </w: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dobry</w:t>
            </w:r>
          </w:p>
        </w:tc>
      </w:tr>
      <w:tr>
        <w:tblPrEx>
          <w:tblW w:w="5000" w:type="pct"/>
          <w:tblLayout w:type="fixed"/>
          <w:tblCellMar>
            <w:left w:w="108" w:type="dxa"/>
            <w:right w:w="108" w:type="dxa"/>
          </w:tblCellMar>
        </w:tblPrEx>
        <w:trPr>
          <w:trHeight w:hRule="exact" w:val="454"/>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16</w:t>
            </w: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Nowa Osuchowa, ul. Szkolna 52/3</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07-308 Poręba</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44,00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CO – paliwa stałe, woda, WC</w:t>
            </w:r>
          </w:p>
        </w:tc>
        <w:tc>
          <w:tcPr>
            <w:tcW w:w="129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52</w:t>
            </w: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dobry</w:t>
            </w:r>
          </w:p>
        </w:tc>
      </w:tr>
      <w:tr>
        <w:tblPrEx>
          <w:tblW w:w="5000" w:type="pct"/>
          <w:tblLayout w:type="fixed"/>
          <w:tblCellMar>
            <w:left w:w="108" w:type="dxa"/>
            <w:right w:w="108" w:type="dxa"/>
          </w:tblCellMar>
        </w:tblPrEx>
        <w:trPr>
          <w:trHeight w:val="467"/>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17</w:t>
            </w: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Pałapus 20/1</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 xml:space="preserve">07 - 300 Ostrów Mazowiecka </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47,39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CO - olej, woda, WC</w:t>
            </w:r>
          </w:p>
        </w:tc>
        <w:tc>
          <w:tcPr>
            <w:tcW w:w="129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47</w:t>
            </w: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dobry</w:t>
            </w:r>
          </w:p>
        </w:tc>
      </w:tr>
      <w:tr>
        <w:tblPrEx>
          <w:tblW w:w="5000" w:type="pct"/>
          <w:tblLayout w:type="fixed"/>
          <w:tblCellMar>
            <w:left w:w="108" w:type="dxa"/>
            <w:right w:w="108" w:type="dxa"/>
          </w:tblCellMar>
        </w:tblPrEx>
        <w:trPr>
          <w:trHeight w:val="467"/>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18</w:t>
            </w: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Pałapus 20/2</w:t>
            </w:r>
          </w:p>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 xml:space="preserve">07 - 300 Ostrów Mazowiecka </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32,07 m</w:t>
            </w:r>
            <w:r>
              <w:rPr>
                <w:rStyle w:val="DefaultParagraphFont"/>
                <w:rFonts w:ascii="Times New Roman" w:hAnsi="Times New Roman"/>
                <w:b w:val="0"/>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CO - olej, woda, WC</w:t>
            </w:r>
          </w:p>
        </w:tc>
        <w:tc>
          <w:tcPr>
            <w:tcW w:w="129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47</w:t>
            </w: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8"/>
                <w:u w:val="none" w:color="000000"/>
                <w:shd w:val="clear" w:color="auto" w:fill="auto"/>
                <w:vertAlign w:val="baseline"/>
              </w:rPr>
              <w:t>dobry</w:t>
            </w:r>
          </w:p>
        </w:tc>
      </w:tr>
      <w:tr>
        <w:tblPrEx>
          <w:tblW w:w="5000" w:type="pct"/>
          <w:tblLayout w:type="fixed"/>
          <w:tblCellMar>
            <w:left w:w="108" w:type="dxa"/>
            <w:right w:w="108" w:type="dxa"/>
          </w:tblCellMar>
        </w:tblPrEx>
        <w:trPr>
          <w:trHeight w:val="467"/>
        </w:trPr>
        <w:tc>
          <w:tcPr>
            <w:tcW w:w="555"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p>
        </w:tc>
        <w:tc>
          <w:tcPr>
            <w:tcW w:w="3450" w:type="dxa"/>
            <w:tcBorders>
              <w:top w:val="single" w:sz="2" w:space="0" w:color="auto"/>
              <w:left w:val="single" w:sz="4" w:space="0" w:color="auto"/>
              <w:bottom w:val="single" w:sz="4"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18"/>
                <w:u w:val="none" w:color="000000"/>
                <w:shd w:val="clear" w:color="auto" w:fill="auto"/>
                <w:vertAlign w:val="baseline"/>
              </w:rPr>
              <w:t>RAZEM</w:t>
            </w:r>
          </w:p>
        </w:tc>
        <w:tc>
          <w:tcPr>
            <w:tcW w:w="1770"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18"/>
                <w:u w:val="none" w:color="000000"/>
                <w:shd w:val="clear" w:color="auto" w:fill="auto"/>
                <w:vertAlign w:val="baseline"/>
              </w:rPr>
              <w:t>751,52 m</w:t>
            </w:r>
            <w:r>
              <w:rPr>
                <w:rStyle w:val="DefaultParagraphFont"/>
                <w:rFonts w:ascii="Times New Roman" w:hAnsi="Times New Roman"/>
                <w:b/>
                <w:i w:val="0"/>
                <w:caps w:val="0"/>
                <w:strike w:val="0"/>
                <w:noProof w:val="0"/>
                <w:vanish w:val="0"/>
                <w:color w:val="000000"/>
                <w:sz w:val="18"/>
                <w:u w:val="none" w:color="000000"/>
                <w:shd w:val="clear" w:color="auto" w:fill="auto"/>
                <w:vertAlign w:val="superscript"/>
              </w:rPr>
              <w:t>2</w:t>
            </w:r>
          </w:p>
        </w:tc>
        <w:tc>
          <w:tcPr>
            <w:tcW w:w="1620"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p>
        </w:tc>
        <w:tc>
          <w:tcPr>
            <w:tcW w:w="1290"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p>
        </w:tc>
        <w:tc>
          <w:tcPr>
            <w:tcW w:w="1395" w:type="dxa"/>
            <w:tcBorders>
              <w:top w:val="single" w:sz="2" w:space="0" w:color="auto"/>
              <w:left w:val="single" w:sz="4" w:space="0" w:color="auto"/>
              <w:bottom w:val="single" w:sz="4"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p>
        </w:tc>
      </w:tr>
    </w:tbl>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5</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 1. W latach 2018-2023 wielkość zasobu może ulegać zmianie w szczególności poprzez:</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przekazanie nieodpłatnie na rzecz Gminy lokali przez osoby fizyczne i prawne,</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wybudowanie lokali przez Gminę bądź ich uzyskanie w drodze adaptacji lub przebudowy innych pomieszczeń</w:t>
      </w: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nadbudowę, przebudowę lub rozbudowę pomieszczeń niemieszkalnych</w:t>
      </w: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4) nabycie odpłatne lokalu,</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5) zbycie lokalu,</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6) zmianę statusu lokali mieszkalnych na socjalne,</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7) zmianę przeznaczenia lokalu mieszkalnego na cele niezbędne do realizacji zadań Gminy Ostrów Mazowiecka.</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Zasadniczym problemem Gminy  jest niewystarczająca liczba lokali socjalnych niezbędna do płynnego dostarczania takich mieszkań zarówno z tytułu niezaspokojonych potrzeb mieszkaniowych osobom posiadającym bardzo niskie dochody, jak również osobom uprawnionym do przydziału takiego lokalu na mocy orzeczonych wyroków eksmisyjnych, czy osobom opuszczającym zakład karny. Mając na uwadze deficyt lokali socjalnych Gmina podejmie działania mające na celu realizację uregulowań ustawowych.</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Przyjmuje się prognozę wielkości zasobu mieszkaniowego w latach 2018-2023 z podziałem na lokale wynajmowane, jako socjalne i pozostałe lokale mieszkalne:</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24"/>
          <w:u w:val="none" w:color="000000"/>
          <w:shd w:val="clear" w:color="auto" w:fill="auto"/>
          <w:vertAlign w:val="baseline"/>
        </w:rPr>
        <w:t>Tabela nr 2</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256"/>
        <w:gridCol w:w="1186"/>
        <w:gridCol w:w="1155"/>
        <w:gridCol w:w="1155"/>
        <w:gridCol w:w="1155"/>
        <w:gridCol w:w="1155"/>
        <w:gridCol w:w="10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45"/>
        </w:trPr>
        <w:tc>
          <w:tcPr>
            <w:tcW w:w="3255" w:type="dxa"/>
            <w:tcBorders>
              <w:top w:val="single" w:sz="2" w:space="0" w:color="auto"/>
              <w:left w:val="single" w:sz="4"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Rok</w:t>
            </w:r>
          </w:p>
        </w:tc>
        <w:tc>
          <w:tcPr>
            <w:tcW w:w="1185" w:type="dxa"/>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2018</w:t>
            </w:r>
          </w:p>
        </w:tc>
        <w:tc>
          <w:tcPr>
            <w:tcW w:w="1155" w:type="dxa"/>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2019</w:t>
            </w:r>
          </w:p>
        </w:tc>
        <w:tc>
          <w:tcPr>
            <w:tcW w:w="1155" w:type="dxa"/>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2020</w:t>
            </w:r>
          </w:p>
        </w:tc>
        <w:tc>
          <w:tcPr>
            <w:tcW w:w="1155" w:type="dxa"/>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2021</w:t>
            </w:r>
          </w:p>
        </w:tc>
        <w:tc>
          <w:tcPr>
            <w:tcW w:w="1155" w:type="dxa"/>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2022</w:t>
            </w:r>
          </w:p>
        </w:tc>
        <w:tc>
          <w:tcPr>
            <w:tcW w:w="1020" w:type="dxa"/>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2023</w:t>
            </w:r>
          </w:p>
        </w:tc>
      </w:tr>
      <w:tr>
        <w:tblPrEx>
          <w:tblW w:w="5000" w:type="pct"/>
          <w:tblLayout w:type="fixed"/>
          <w:tblCellMar>
            <w:left w:w="108" w:type="dxa"/>
            <w:right w:w="108" w:type="dxa"/>
          </w:tblCellMar>
        </w:tblPrEx>
        <w:trPr>
          <w:trHeight w:val="45"/>
        </w:trPr>
        <w:tc>
          <w:tcPr>
            <w:tcW w:w="3255"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Liczba lokali ogółem:</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18</w:t>
            </w:r>
          </w:p>
        </w:tc>
        <w:tc>
          <w:tcPr>
            <w:tcW w:w="11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18</w:t>
            </w:r>
          </w:p>
        </w:tc>
        <w:tc>
          <w:tcPr>
            <w:tcW w:w="11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18</w:t>
            </w:r>
          </w:p>
        </w:tc>
        <w:tc>
          <w:tcPr>
            <w:tcW w:w="11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48</w:t>
            </w:r>
          </w:p>
        </w:tc>
        <w:tc>
          <w:tcPr>
            <w:tcW w:w="11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48</w:t>
            </w:r>
          </w:p>
        </w:tc>
        <w:tc>
          <w:tcPr>
            <w:tcW w:w="102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48</w:t>
            </w:r>
          </w:p>
        </w:tc>
      </w:tr>
      <w:tr>
        <w:tblPrEx>
          <w:tblW w:w="5000" w:type="pct"/>
          <w:tblLayout w:type="fixed"/>
          <w:tblCellMar>
            <w:left w:w="108" w:type="dxa"/>
            <w:right w:w="108" w:type="dxa"/>
          </w:tblCellMar>
        </w:tblPrEx>
        <w:trPr>
          <w:trHeight w:val="45"/>
        </w:trPr>
        <w:tc>
          <w:tcPr>
            <w:tcW w:w="3255"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Lokale mieszkalne</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18</w:t>
            </w:r>
          </w:p>
        </w:tc>
        <w:tc>
          <w:tcPr>
            <w:tcW w:w="11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18</w:t>
            </w:r>
          </w:p>
        </w:tc>
        <w:tc>
          <w:tcPr>
            <w:tcW w:w="11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18</w:t>
            </w:r>
          </w:p>
        </w:tc>
        <w:tc>
          <w:tcPr>
            <w:tcW w:w="11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18</w:t>
            </w:r>
          </w:p>
        </w:tc>
        <w:tc>
          <w:tcPr>
            <w:tcW w:w="11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18</w:t>
            </w:r>
          </w:p>
        </w:tc>
        <w:tc>
          <w:tcPr>
            <w:tcW w:w="102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18</w:t>
            </w:r>
          </w:p>
        </w:tc>
      </w:tr>
      <w:tr>
        <w:tblPrEx>
          <w:tblW w:w="5000" w:type="pct"/>
          <w:tblLayout w:type="fixed"/>
          <w:tblCellMar>
            <w:left w:w="108" w:type="dxa"/>
            <w:right w:w="108" w:type="dxa"/>
          </w:tblCellMar>
        </w:tblPrEx>
        <w:trPr>
          <w:trHeight w:val="45"/>
        </w:trPr>
        <w:tc>
          <w:tcPr>
            <w:tcW w:w="3255"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Lokale socjalne</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11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11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11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30</w:t>
            </w:r>
          </w:p>
        </w:tc>
        <w:tc>
          <w:tcPr>
            <w:tcW w:w="11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30</w:t>
            </w:r>
          </w:p>
        </w:tc>
        <w:tc>
          <w:tcPr>
            <w:tcW w:w="102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30</w:t>
            </w:r>
          </w:p>
        </w:tc>
      </w:tr>
    </w:tbl>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4.  Prognoza stanu technicznego zasobu mieszkaniowego Gminy Ostrów Mazowiecka w latach               2018 – 2023 przedstawia się następująco:</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24"/>
          <w:u w:val="none" w:color="000000"/>
          <w:shd w:val="clear" w:color="auto" w:fill="auto"/>
          <w:vertAlign w:val="baseline"/>
        </w:rPr>
        <w:t>Tabela nr 3</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81"/>
        <w:gridCol w:w="1456"/>
        <w:gridCol w:w="1830"/>
        <w:gridCol w:w="930"/>
        <w:gridCol w:w="930"/>
        <w:gridCol w:w="1185"/>
        <w:gridCol w:w="930"/>
        <w:gridCol w:w="1200"/>
        <w:gridCol w:w="11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c>
          <w:tcPr>
            <w:tcW w:w="48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8"/>
                <w:u w:val="none" w:color="000000"/>
                <w:shd w:val="clear" w:color="auto" w:fill="auto"/>
                <w:vertAlign w:val="baseline"/>
              </w:rPr>
              <w:t>Lp.</w:t>
            </w:r>
          </w:p>
        </w:tc>
        <w:tc>
          <w:tcPr>
            <w:tcW w:w="1455" w:type="dxa"/>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8"/>
                <w:u w:val="none" w:color="000000"/>
                <w:shd w:val="clear" w:color="auto" w:fill="auto"/>
                <w:vertAlign w:val="baseline"/>
              </w:rPr>
              <w:t>Adres nieruchomości</w:t>
            </w:r>
          </w:p>
        </w:tc>
        <w:tc>
          <w:tcPr>
            <w:tcW w:w="1830" w:type="dxa"/>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8"/>
                <w:u w:val="none" w:color="000000"/>
                <w:shd w:val="clear" w:color="auto" w:fill="auto"/>
                <w:vertAlign w:val="baseline"/>
              </w:rPr>
              <w:t>Wyposażenie lokalu</w:t>
            </w:r>
          </w:p>
        </w:tc>
        <w:tc>
          <w:tcPr>
            <w:tcW w:w="930" w:type="dxa"/>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8"/>
                <w:u w:val="none" w:color="000000"/>
                <w:shd w:val="clear" w:color="auto" w:fill="auto"/>
                <w:vertAlign w:val="baseline"/>
              </w:rPr>
              <w:t>2018</w:t>
            </w:r>
          </w:p>
        </w:tc>
        <w:tc>
          <w:tcPr>
            <w:tcW w:w="930" w:type="dxa"/>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8"/>
                <w:u w:val="none" w:color="000000"/>
                <w:shd w:val="clear" w:color="auto" w:fill="auto"/>
                <w:vertAlign w:val="baseline"/>
              </w:rPr>
              <w:t>2019</w:t>
            </w:r>
          </w:p>
        </w:tc>
        <w:tc>
          <w:tcPr>
            <w:tcW w:w="1185" w:type="dxa"/>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8"/>
                <w:u w:val="none" w:color="000000"/>
                <w:shd w:val="clear" w:color="auto" w:fill="auto"/>
                <w:vertAlign w:val="baseline"/>
              </w:rPr>
              <w:t>2020</w:t>
            </w:r>
          </w:p>
        </w:tc>
        <w:tc>
          <w:tcPr>
            <w:tcW w:w="930" w:type="dxa"/>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8"/>
                <w:u w:val="none" w:color="000000"/>
                <w:shd w:val="clear" w:color="auto" w:fill="auto"/>
                <w:vertAlign w:val="baseline"/>
              </w:rPr>
              <w:t>2021</w:t>
            </w:r>
          </w:p>
        </w:tc>
        <w:tc>
          <w:tcPr>
            <w:tcW w:w="1200" w:type="dxa"/>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8"/>
                <w:u w:val="none" w:color="000000"/>
                <w:shd w:val="clear" w:color="auto" w:fill="auto"/>
                <w:vertAlign w:val="baseline"/>
              </w:rPr>
              <w:t>2022</w:t>
            </w:r>
          </w:p>
        </w:tc>
        <w:tc>
          <w:tcPr>
            <w:tcW w:w="1140" w:type="dxa"/>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8"/>
                <w:u w:val="none" w:color="000000"/>
                <w:shd w:val="clear" w:color="auto" w:fill="auto"/>
                <w:vertAlign w:val="baseline"/>
              </w:rPr>
              <w:t>2023</w:t>
            </w:r>
          </w:p>
        </w:tc>
      </w:tr>
      <w:tr>
        <w:tblPrEx>
          <w:tblW w:w="5000" w:type="pct"/>
          <w:tblLayout w:type="fixed"/>
          <w:tblCellMar>
            <w:left w:w="108" w:type="dxa"/>
            <w:right w:w="108" w:type="dxa"/>
          </w:tblCellMar>
        </w:tblPrEx>
        <w:trPr>
          <w:trHeight w:val="411"/>
        </w:trPr>
        <w:tc>
          <w:tcPr>
            <w:tcW w:w="480"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1</w:t>
            </w:r>
          </w:p>
        </w:tc>
        <w:tc>
          <w:tcPr>
            <w:tcW w:w="14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Biel 89 </w:t>
            </w:r>
          </w:p>
        </w:tc>
        <w:tc>
          <w:tcPr>
            <w:tcW w:w="18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paliwa stałe, woda, WC</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20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4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r>
      <w:tr>
        <w:tblPrEx>
          <w:tblW w:w="5000" w:type="pct"/>
          <w:tblLayout w:type="fixed"/>
          <w:tblCellMar>
            <w:left w:w="108" w:type="dxa"/>
            <w:right w:w="108" w:type="dxa"/>
          </w:tblCellMar>
        </w:tblPrEx>
        <w:trPr>
          <w:trHeight w:val="391"/>
        </w:trPr>
        <w:tc>
          <w:tcPr>
            <w:tcW w:w="480"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2</w:t>
            </w:r>
          </w:p>
        </w:tc>
        <w:tc>
          <w:tcPr>
            <w:tcW w:w="14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Guty Bujno 37</w:t>
            </w:r>
          </w:p>
        </w:tc>
        <w:tc>
          <w:tcPr>
            <w:tcW w:w="18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paliwa stałe, woda</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 (wykonanie WC)</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20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4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r>
      <w:tr>
        <w:tblPrEx>
          <w:tblW w:w="5000" w:type="pct"/>
          <w:tblLayout w:type="fixed"/>
          <w:tblCellMar>
            <w:left w:w="108" w:type="dxa"/>
            <w:right w:w="108" w:type="dxa"/>
          </w:tblCellMar>
        </w:tblPrEx>
        <w:tc>
          <w:tcPr>
            <w:tcW w:w="480"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3</w:t>
            </w:r>
          </w:p>
        </w:tc>
        <w:tc>
          <w:tcPr>
            <w:tcW w:w="14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Jelonki 17/1</w:t>
            </w:r>
          </w:p>
        </w:tc>
        <w:tc>
          <w:tcPr>
            <w:tcW w:w="18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CO - olej, woda, WC</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20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4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r>
      <w:tr>
        <w:tblPrEx>
          <w:tblW w:w="5000" w:type="pct"/>
          <w:tblLayout w:type="fixed"/>
          <w:tblCellMar>
            <w:left w:w="108" w:type="dxa"/>
            <w:right w:w="108" w:type="dxa"/>
          </w:tblCellMar>
        </w:tblPrEx>
        <w:tc>
          <w:tcPr>
            <w:tcW w:w="480"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4</w:t>
            </w:r>
          </w:p>
        </w:tc>
        <w:tc>
          <w:tcPr>
            <w:tcW w:w="14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Jelonki 17/2</w:t>
            </w:r>
          </w:p>
        </w:tc>
        <w:tc>
          <w:tcPr>
            <w:tcW w:w="18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CO - olej, woda, WC</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20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4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r>
      <w:tr>
        <w:tblPrEx>
          <w:tblW w:w="5000" w:type="pct"/>
          <w:tblLayout w:type="fixed"/>
          <w:tblCellMar>
            <w:left w:w="108" w:type="dxa"/>
            <w:right w:w="108" w:type="dxa"/>
          </w:tblCellMar>
        </w:tblPrEx>
        <w:tc>
          <w:tcPr>
            <w:tcW w:w="480"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5</w:t>
            </w:r>
          </w:p>
        </w:tc>
        <w:tc>
          <w:tcPr>
            <w:tcW w:w="14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Jelonki 17/3</w:t>
            </w:r>
          </w:p>
        </w:tc>
        <w:tc>
          <w:tcPr>
            <w:tcW w:w="18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CO - olej, woda, WC</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20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4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r>
      <w:tr>
        <w:tblPrEx>
          <w:tblW w:w="5000" w:type="pct"/>
          <w:tblLayout w:type="fixed"/>
          <w:tblCellMar>
            <w:left w:w="108" w:type="dxa"/>
            <w:right w:w="108" w:type="dxa"/>
          </w:tblCellMar>
        </w:tblPrEx>
        <w:tc>
          <w:tcPr>
            <w:tcW w:w="480"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6</w:t>
            </w:r>
          </w:p>
        </w:tc>
        <w:tc>
          <w:tcPr>
            <w:tcW w:w="14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Jelonki 17/4</w:t>
            </w:r>
          </w:p>
        </w:tc>
        <w:tc>
          <w:tcPr>
            <w:tcW w:w="18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CO - olej, woda, WC</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20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4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r>
      <w:tr>
        <w:tblPrEx>
          <w:tblW w:w="5000" w:type="pct"/>
          <w:tblLayout w:type="fixed"/>
          <w:tblCellMar>
            <w:left w:w="108" w:type="dxa"/>
            <w:right w:w="108" w:type="dxa"/>
          </w:tblCellMar>
        </w:tblPrEx>
        <w:tc>
          <w:tcPr>
            <w:tcW w:w="480"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7</w:t>
            </w:r>
          </w:p>
        </w:tc>
        <w:tc>
          <w:tcPr>
            <w:tcW w:w="14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Koziki 1/1</w:t>
            </w:r>
          </w:p>
        </w:tc>
        <w:tc>
          <w:tcPr>
            <w:tcW w:w="18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paliwa stałe, woda, WC</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20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4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r>
      <w:tr>
        <w:tblPrEx>
          <w:tblW w:w="5000" w:type="pct"/>
          <w:tblLayout w:type="fixed"/>
          <w:tblCellMar>
            <w:left w:w="108" w:type="dxa"/>
            <w:right w:w="108" w:type="dxa"/>
          </w:tblCellMar>
        </w:tblPrEx>
        <w:tc>
          <w:tcPr>
            <w:tcW w:w="480"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8</w:t>
            </w:r>
          </w:p>
        </w:tc>
        <w:tc>
          <w:tcPr>
            <w:tcW w:w="14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Koziki 1/2</w:t>
            </w:r>
          </w:p>
        </w:tc>
        <w:tc>
          <w:tcPr>
            <w:tcW w:w="18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paliwa stałe, woda, WC</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20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4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r>
      <w:tr>
        <w:tblPrEx>
          <w:tblW w:w="5000" w:type="pct"/>
          <w:tblLayout w:type="fixed"/>
          <w:tblCellMar>
            <w:left w:w="108" w:type="dxa"/>
            <w:right w:w="108" w:type="dxa"/>
          </w:tblCellMar>
        </w:tblPrEx>
        <w:tc>
          <w:tcPr>
            <w:tcW w:w="480"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9</w:t>
            </w:r>
          </w:p>
        </w:tc>
        <w:tc>
          <w:tcPr>
            <w:tcW w:w="14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Koziki 1/3</w:t>
            </w:r>
          </w:p>
        </w:tc>
        <w:tc>
          <w:tcPr>
            <w:tcW w:w="18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paliwa stałe, woda, WC</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20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4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r>
      <w:tr>
        <w:tblPrEx>
          <w:tblW w:w="5000" w:type="pct"/>
          <w:tblLayout w:type="fixed"/>
          <w:tblCellMar>
            <w:left w:w="108" w:type="dxa"/>
            <w:right w:w="108" w:type="dxa"/>
          </w:tblCellMar>
        </w:tblPrEx>
        <w:tc>
          <w:tcPr>
            <w:tcW w:w="480"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10</w:t>
            </w:r>
          </w:p>
        </w:tc>
        <w:tc>
          <w:tcPr>
            <w:tcW w:w="14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Nagoszewo 82/1</w:t>
            </w:r>
          </w:p>
        </w:tc>
        <w:tc>
          <w:tcPr>
            <w:tcW w:w="18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paliwa stałe, woda,</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120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114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r>
      <w:tr>
        <w:tblPrEx>
          <w:tblW w:w="5000" w:type="pct"/>
          <w:tblLayout w:type="fixed"/>
          <w:tblCellMar>
            <w:left w:w="108" w:type="dxa"/>
            <w:right w:w="108" w:type="dxa"/>
          </w:tblCellMar>
        </w:tblPrEx>
        <w:tc>
          <w:tcPr>
            <w:tcW w:w="480"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11</w:t>
            </w:r>
          </w:p>
        </w:tc>
        <w:tc>
          <w:tcPr>
            <w:tcW w:w="14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Nagoszewo 82/2</w:t>
            </w:r>
          </w:p>
        </w:tc>
        <w:tc>
          <w:tcPr>
            <w:tcW w:w="18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paliwa stałe, woda,</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120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114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r>
      <w:tr>
        <w:tblPrEx>
          <w:tblW w:w="5000" w:type="pct"/>
          <w:tblLayout w:type="fixed"/>
          <w:tblCellMar>
            <w:left w:w="108" w:type="dxa"/>
            <w:right w:w="108" w:type="dxa"/>
          </w:tblCellMar>
        </w:tblPrEx>
        <w:tc>
          <w:tcPr>
            <w:tcW w:w="480"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12</w:t>
            </w:r>
          </w:p>
        </w:tc>
        <w:tc>
          <w:tcPr>
            <w:tcW w:w="14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Nagoszewo 82/2</w:t>
            </w:r>
          </w:p>
        </w:tc>
        <w:tc>
          <w:tcPr>
            <w:tcW w:w="18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paliwa stałe, woda,</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120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c>
          <w:tcPr>
            <w:tcW w:w="114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dostateczny</w:t>
            </w:r>
          </w:p>
        </w:tc>
      </w:tr>
      <w:tr>
        <w:tblPrEx>
          <w:tblW w:w="5000" w:type="pct"/>
          <w:tblLayout w:type="fixed"/>
          <w:tblCellMar>
            <w:left w:w="108" w:type="dxa"/>
            <w:right w:w="108" w:type="dxa"/>
          </w:tblCellMar>
        </w:tblPrEx>
        <w:tc>
          <w:tcPr>
            <w:tcW w:w="480"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13</w:t>
            </w:r>
          </w:p>
        </w:tc>
        <w:tc>
          <w:tcPr>
            <w:tcW w:w="14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 xml:space="preserve"> Turka 39A/1</w:t>
            </w:r>
          </w:p>
        </w:tc>
        <w:tc>
          <w:tcPr>
            <w:tcW w:w="18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CO - olej, woda, WC</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20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4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r>
      <w:tr>
        <w:tblPrEx>
          <w:tblW w:w="5000" w:type="pct"/>
          <w:tblLayout w:type="fixed"/>
          <w:tblCellMar>
            <w:left w:w="108" w:type="dxa"/>
            <w:right w:w="108" w:type="dxa"/>
          </w:tblCellMar>
        </w:tblPrEx>
        <w:tc>
          <w:tcPr>
            <w:tcW w:w="480" w:type="dxa"/>
            <w:tcBorders>
              <w:top w:val="nil"/>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14</w:t>
            </w:r>
          </w:p>
        </w:tc>
        <w:tc>
          <w:tcPr>
            <w:tcW w:w="145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Nowa Osuchowa, ul. Szkolna 52/1</w:t>
            </w:r>
          </w:p>
        </w:tc>
        <w:tc>
          <w:tcPr>
            <w:tcW w:w="18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CO – paliwa stałe, woda, WC</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85"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20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40" w:type="dxa"/>
            <w:tcBorders>
              <w:top w:val="nil"/>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r>
      <w:tr>
        <w:tblPrEx>
          <w:tblW w:w="5000" w:type="pct"/>
          <w:tblLayout w:type="fixed"/>
          <w:tblCellMar>
            <w:left w:w="108" w:type="dxa"/>
            <w:right w:w="108" w:type="dxa"/>
          </w:tblCellMar>
        </w:tblPrEx>
        <w:tc>
          <w:tcPr>
            <w:tcW w:w="48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15</w:t>
            </w:r>
          </w:p>
        </w:tc>
        <w:tc>
          <w:tcPr>
            <w:tcW w:w="1455"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Nowa Osuchowa, ul. Szkolna 52/2</w:t>
            </w:r>
          </w:p>
        </w:tc>
        <w:tc>
          <w:tcPr>
            <w:tcW w:w="18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CO – paliwa stałe, woda, WC</w:t>
            </w:r>
          </w:p>
        </w:tc>
        <w:tc>
          <w:tcPr>
            <w:tcW w:w="9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85"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20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4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r>
      <w:tr>
        <w:tblPrEx>
          <w:tblW w:w="5000" w:type="pct"/>
          <w:tblLayout w:type="fixed"/>
          <w:tblCellMar>
            <w:left w:w="108" w:type="dxa"/>
            <w:right w:w="108" w:type="dxa"/>
          </w:tblCellMar>
        </w:tblPrEx>
        <w:trPr>
          <w:trHeight w:val="534"/>
        </w:trPr>
        <w:tc>
          <w:tcPr>
            <w:tcW w:w="48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16</w:t>
            </w:r>
          </w:p>
        </w:tc>
        <w:tc>
          <w:tcPr>
            <w:tcW w:w="1455"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Nowa Osuchowa, ul. Szkolna 52/3</w:t>
            </w:r>
          </w:p>
        </w:tc>
        <w:tc>
          <w:tcPr>
            <w:tcW w:w="18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CO – paliwa stałe, woda, WC</w:t>
            </w:r>
          </w:p>
        </w:tc>
        <w:tc>
          <w:tcPr>
            <w:tcW w:w="9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85"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20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4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r>
      <w:tr>
        <w:tblPrEx>
          <w:tblW w:w="5000" w:type="pct"/>
          <w:tblLayout w:type="fixed"/>
          <w:tblCellMar>
            <w:left w:w="108" w:type="dxa"/>
            <w:right w:w="108" w:type="dxa"/>
          </w:tblCellMar>
        </w:tblPrEx>
        <w:tc>
          <w:tcPr>
            <w:tcW w:w="48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17</w:t>
            </w:r>
          </w:p>
        </w:tc>
        <w:tc>
          <w:tcPr>
            <w:tcW w:w="1455"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Pałapus 20/1</w:t>
            </w:r>
          </w:p>
        </w:tc>
        <w:tc>
          <w:tcPr>
            <w:tcW w:w="18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CO - olej, woda, WC</w:t>
            </w:r>
          </w:p>
        </w:tc>
        <w:tc>
          <w:tcPr>
            <w:tcW w:w="9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85"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20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4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r>
      <w:tr>
        <w:tblPrEx>
          <w:tblW w:w="5000" w:type="pct"/>
          <w:tblLayout w:type="fixed"/>
          <w:tblCellMar>
            <w:left w:w="108" w:type="dxa"/>
            <w:right w:w="108" w:type="dxa"/>
          </w:tblCellMar>
        </w:tblPrEx>
        <w:tc>
          <w:tcPr>
            <w:tcW w:w="48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18</w:t>
            </w:r>
          </w:p>
        </w:tc>
        <w:tc>
          <w:tcPr>
            <w:tcW w:w="1455"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Pałapus 20/2</w:t>
            </w:r>
          </w:p>
        </w:tc>
        <w:tc>
          <w:tcPr>
            <w:tcW w:w="18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CO - olej, woda, WC</w:t>
            </w:r>
          </w:p>
        </w:tc>
        <w:tc>
          <w:tcPr>
            <w:tcW w:w="9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85"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20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4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r>
      <w:tr>
        <w:tblPrEx>
          <w:tblW w:w="5000" w:type="pct"/>
          <w:tblLayout w:type="fixed"/>
          <w:tblCellMar>
            <w:left w:w="108" w:type="dxa"/>
            <w:right w:w="108" w:type="dxa"/>
          </w:tblCellMar>
        </w:tblPrEx>
        <w:trPr>
          <w:trHeight w:val="128"/>
        </w:trPr>
        <w:tc>
          <w:tcPr>
            <w:tcW w:w="48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16"/>
                <w:u w:val="none" w:color="000000"/>
                <w:shd w:val="clear" w:color="auto" w:fill="auto"/>
                <w:vertAlign w:val="baseline"/>
              </w:rPr>
              <w:t>19</w:t>
            </w:r>
          </w:p>
        </w:tc>
        <w:tc>
          <w:tcPr>
            <w:tcW w:w="1455"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Nowe lokale</w:t>
            </w:r>
          </w:p>
        </w:tc>
        <w:tc>
          <w:tcPr>
            <w:tcW w:w="18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6"/>
                <w:u w:val="none" w:color="000000"/>
                <w:shd w:val="clear" w:color="auto" w:fill="auto"/>
                <w:vertAlign w:val="baseline"/>
              </w:rPr>
              <w:t>CO – olej, woda WC</w:t>
            </w:r>
          </w:p>
        </w:tc>
        <w:tc>
          <w:tcPr>
            <w:tcW w:w="9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p>
        </w:tc>
        <w:tc>
          <w:tcPr>
            <w:tcW w:w="9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p>
        </w:tc>
        <w:tc>
          <w:tcPr>
            <w:tcW w:w="1185"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93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20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c>
          <w:tcPr>
            <w:tcW w:w="1140" w:type="dxa"/>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14"/>
                <w:u w:val="none" w:color="000000"/>
                <w:shd w:val="clear" w:color="auto" w:fill="auto"/>
                <w:vertAlign w:val="baseline"/>
              </w:rPr>
              <w:t>dobry</w:t>
            </w:r>
          </w:p>
        </w:tc>
      </w:tr>
    </w:tbl>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5. Prognozowane wielkości mają wyłącznie charakter szacunkowy.</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jc w:val="center"/>
        <w:rPr>
          <w:rStyle w:val="DefaultParagraphFont"/>
          <w:rFonts w:ascii="Times New Roman" w:hAnsi="Times New Roman"/>
          <w:b/>
          <w:i w:val="0"/>
          <w:caps w:val="0"/>
          <w:strike w:val="0"/>
          <w:noProof w:val="0"/>
          <w:vanish w:val="0"/>
          <w:color w:val="000000"/>
          <w:sz w:val="24"/>
          <w:u w:val="none" w:color="000000"/>
          <w:shd w:val="clear" w:color="auto" w:fill="auto"/>
          <w:vertAlign w:val="baseline"/>
        </w:rPr>
      </w:pP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jc w:val="center"/>
        <w:rPr>
          <w:rStyle w:val="DefaultParagraphFont"/>
          <w:rFonts w:ascii="Times New Roman" w:hAnsi="Times New Roman"/>
          <w:b/>
          <w:i w:val="0"/>
          <w:caps w:val="0"/>
          <w:strike w:val="0"/>
          <w:noProof w:val="0"/>
          <w:vanish w:val="0"/>
          <w:color w:val="000000"/>
          <w:sz w:val="24"/>
          <w:u w:val="none" w:color="000000"/>
          <w:shd w:val="clear" w:color="auto" w:fill="auto"/>
          <w:vertAlign w:val="baseline"/>
        </w:rPr>
      </w:pP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Rozdział 3</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Analiza potrzeb oraz plan remontów i modernizacji wynikający ze stanu technicznego budynków i lokali z podziałem na kolejne lata</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xml:space="preserve">§ 6.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W latach 2018-2023 prowadzone będą bieżące naprawy oraz remonty i modernizacje budynków mieszkalnych celem polepszenia ich stanu technicznego oraz warunków mieszkaniowych lokatorów. Decyzje w sprawie remontów oraz modernizacji budynków mieszkalnych będą podejmowane przez Wójta Gminy Ostrów Mazowiecka  w granicach środków określonych corocznie w budżecie Gminy. Potrzeby remontowe budynków i lokali będą wynikały z konieczności:</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utrzymania stanu technicznego na poziomie zapewniającym bezpieczeństwo ludzi i mienia,</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zapewnienia użytkowania budynku i znajdujących się w nim pomieszczeń oraz urządzeń związanych z budynkiem zgodnie z przeznaczeniem,</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utrzymania wymaganego stanu estetycznego budynku.</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7.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w:t>
      </w: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xml:space="preserve">.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 xml:space="preserve">Priorytetem przy realizacji inwestycji i remontów budynków mieszkalnych będzie w pierwszej kolejności usuwanie stanów awaryjnych w budynkach zagrażających bezpieczeństwu mieszkańców oraz konstrukcji technicznej budynków, a w dalszej kolejności działań podnoszących standard zamieszkania (modernizacja budynków). Zakres oraz kolejność remontów i modernizacji ustala Wójt Gminy Ostrów Mazowiecka po zapoznaniu się ze zgłoszeniami od lokatorów oraz od pracowników Urzędu Gminy. </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Podstawę do planów remontów i modernizacji stanowić będą:</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wyniki okresowych przeglądów budynków, instalacji elektrycznej i odgromowej, elementy konstrukcyjne obiektów urządzeń grzewczo - kominowych i wentylacyjnych,</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remonty lokali zwolnionych w drodze naturalnego ruchu mieszkańców,</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niezbędne remonty w lokalach zajętych przez najemców.</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Plan remontów i modernizacji wynikający ze stanu technicznego budynków i lokali</w:t>
        <w:br/>
        <w:t>z podziałem na kolejne lata przedstawia poniższa tabela</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24"/>
          <w:u w:val="none" w:color="000000"/>
          <w:shd w:val="clear" w:color="auto" w:fill="auto"/>
          <w:vertAlign w:val="baseline"/>
        </w:rPr>
        <w:t>Tabela nr 4</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41"/>
        <w:gridCol w:w="961"/>
        <w:gridCol w:w="975"/>
        <w:gridCol w:w="1200"/>
        <w:gridCol w:w="990"/>
        <w:gridCol w:w="1215"/>
        <w:gridCol w:w="810"/>
        <w:gridCol w:w="1335"/>
        <w:gridCol w:w="525"/>
        <w:gridCol w:w="123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45"/>
        </w:trPr>
        <w:tc>
          <w:tcPr>
            <w:tcW w:w="840" w:type="dxa"/>
            <w:vMerge w:val="restart"/>
            <w:tcBorders>
              <w:top w:val="single" w:sz="2" w:space="0" w:color="auto"/>
              <w:left w:val="single" w:sz="2" w:space="0" w:color="auto"/>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Rok</w:t>
            </w:r>
          </w:p>
        </w:tc>
        <w:tc>
          <w:tcPr>
            <w:tcW w:w="960" w:type="dxa"/>
            <w:vMerge w:val="restart"/>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14"/>
                <w:u w:val="none" w:color="000000"/>
                <w:shd w:val="clear" w:color="auto" w:fill="auto"/>
                <w:vertAlign w:val="baseline"/>
              </w:rPr>
              <w:t>Liczba budynków</w:t>
            </w:r>
          </w:p>
        </w:tc>
        <w:tc>
          <w:tcPr>
            <w:tcW w:w="2175" w:type="dxa"/>
            <w:gridSpan w:val="2"/>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Liczba lokali</w:t>
            </w:r>
          </w:p>
        </w:tc>
        <w:tc>
          <w:tcPr>
            <w:tcW w:w="2205" w:type="dxa"/>
            <w:gridSpan w:val="2"/>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Powierzchnia lokali m</w:t>
            </w:r>
            <w:r>
              <w:rPr>
                <w:rStyle w:val="DefaultParagraphFont"/>
                <w:rFonts w:ascii="Times New Roman" w:hAnsi="Times New Roman"/>
                <w:b/>
                <w:i w:val="0"/>
                <w:caps w:val="0"/>
                <w:strike w:val="0"/>
                <w:noProof w:val="0"/>
                <w:vanish w:val="0"/>
                <w:color w:val="000000"/>
                <w:sz w:val="22"/>
                <w:u w:val="none" w:color="000000"/>
                <w:shd w:val="clear" w:color="auto" w:fill="auto"/>
                <w:vertAlign w:val="superscript"/>
              </w:rPr>
              <w:t>2</w:t>
            </w:r>
          </w:p>
        </w:tc>
        <w:tc>
          <w:tcPr>
            <w:tcW w:w="2670" w:type="dxa"/>
            <w:gridSpan w:val="3"/>
            <w:tcBorders>
              <w:top w:val="single" w:sz="2" w:space="0" w:color="auto"/>
              <w:left w:val="nil"/>
              <w:bottom w:val="single" w:sz="4"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Stan techniczny mieszkaniowego zasobu gminy - liczba lokali</w:t>
            </w:r>
          </w:p>
        </w:tc>
        <w:tc>
          <w:tcPr>
            <w:tcW w:w="1230" w:type="dxa"/>
            <w:vMerge w:val="restart"/>
            <w:tcBorders>
              <w:top w:val="single" w:sz="2" w:space="0" w:color="auto"/>
              <w:left w:val="nil"/>
              <w:bottom w:val="nil"/>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0"/>
                <w:u w:val="none" w:color="000000"/>
                <w:shd w:val="clear" w:color="auto" w:fill="auto"/>
                <w:vertAlign w:val="baseline"/>
              </w:rPr>
              <w:t>Planowane remonty</w:t>
            </w:r>
          </w:p>
        </w:tc>
      </w:tr>
      <w:tr>
        <w:tblPrEx>
          <w:tblW w:w="5000" w:type="pct"/>
          <w:tblLayout w:type="fixed"/>
          <w:tblCellMar>
            <w:left w:w="108" w:type="dxa"/>
            <w:right w:w="108" w:type="dxa"/>
          </w:tblCellMar>
        </w:tblPrEx>
        <w:trPr>
          <w:trHeight w:val="45"/>
        </w:trPr>
        <w:tc>
          <w:tcPr>
            <w:tcW w:w="840" w:type="dxa"/>
            <w:vMerge/>
            <w:tcBorders>
              <w:top w:val="nil"/>
              <w:left w:val="single" w:sz="2" w:space="0" w:color="auto"/>
              <w:bottom w:val="single" w:sz="2"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p>
        </w:tc>
        <w:tc>
          <w:tcPr>
            <w:tcW w:w="960" w:type="dxa"/>
            <w:vMerge/>
            <w:tcBorders>
              <w:top w:val="nil"/>
              <w:left w:val="nil"/>
              <w:bottom w:val="single" w:sz="2"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p>
        </w:tc>
        <w:tc>
          <w:tcPr>
            <w:tcW w:w="97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18"/>
                <w:u w:val="none" w:color="000000"/>
                <w:shd w:val="clear" w:color="auto" w:fill="auto"/>
                <w:vertAlign w:val="baseline"/>
              </w:rPr>
              <w:t>Socjalne</w:t>
            </w:r>
          </w:p>
        </w:tc>
        <w:tc>
          <w:tcPr>
            <w:tcW w:w="120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18"/>
                <w:u w:val="none" w:color="000000"/>
                <w:shd w:val="clear" w:color="auto" w:fill="auto"/>
                <w:vertAlign w:val="baseline"/>
              </w:rPr>
              <w:t>Pozostałe mieszkalne</w:t>
            </w:r>
          </w:p>
        </w:tc>
        <w:tc>
          <w:tcPr>
            <w:tcW w:w="99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18"/>
                <w:u w:val="none" w:color="000000"/>
                <w:shd w:val="clear" w:color="auto" w:fill="auto"/>
                <w:vertAlign w:val="baseline"/>
              </w:rPr>
              <w:t>Socjalne</w:t>
            </w:r>
          </w:p>
        </w:tc>
        <w:tc>
          <w:tcPr>
            <w:tcW w:w="121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18"/>
                <w:u w:val="none" w:color="000000"/>
                <w:shd w:val="clear" w:color="auto" w:fill="auto"/>
                <w:vertAlign w:val="baseline"/>
              </w:rPr>
              <w:t>Pozostałe mieszkalne</w:t>
            </w:r>
          </w:p>
        </w:tc>
        <w:tc>
          <w:tcPr>
            <w:tcW w:w="81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18"/>
                <w:u w:val="none" w:color="000000"/>
                <w:shd w:val="clear" w:color="auto" w:fill="auto"/>
                <w:vertAlign w:val="baseline"/>
              </w:rPr>
              <w:t xml:space="preserve">Dobry </w:t>
            </w:r>
          </w:p>
        </w:tc>
        <w:tc>
          <w:tcPr>
            <w:tcW w:w="133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18"/>
                <w:u w:val="none" w:color="000000"/>
                <w:shd w:val="clear" w:color="auto" w:fill="auto"/>
                <w:vertAlign w:val="baseline"/>
              </w:rPr>
              <w:t>Dostateczny</w:t>
            </w:r>
          </w:p>
        </w:tc>
        <w:tc>
          <w:tcPr>
            <w:tcW w:w="52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18"/>
                <w:u w:val="none" w:color="000000"/>
                <w:shd w:val="clear" w:color="auto" w:fill="auto"/>
                <w:vertAlign w:val="baseline"/>
              </w:rPr>
              <w:t>Zły</w:t>
            </w:r>
          </w:p>
        </w:tc>
        <w:tc>
          <w:tcPr>
            <w:tcW w:w="1230" w:type="dxa"/>
            <w:vMerge/>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p>
        </w:tc>
      </w:tr>
      <w:tr>
        <w:tblPrEx>
          <w:tblW w:w="5000" w:type="pct"/>
          <w:tblLayout w:type="fixed"/>
          <w:tblCellMar>
            <w:left w:w="108" w:type="dxa"/>
            <w:right w:w="108" w:type="dxa"/>
          </w:tblCellMar>
        </w:tblPrEx>
        <w:trPr>
          <w:trHeight w:val="45"/>
        </w:trPr>
        <w:tc>
          <w:tcPr>
            <w:tcW w:w="840" w:type="dxa"/>
            <w:tcBorders>
              <w:top w:val="nil"/>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2018</w:t>
            </w:r>
          </w:p>
        </w:tc>
        <w:tc>
          <w:tcPr>
            <w:tcW w:w="96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8</w:t>
            </w:r>
          </w:p>
        </w:tc>
        <w:tc>
          <w:tcPr>
            <w:tcW w:w="97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120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18</w:t>
            </w:r>
          </w:p>
        </w:tc>
        <w:tc>
          <w:tcPr>
            <w:tcW w:w="99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121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751,52</w:t>
            </w:r>
          </w:p>
        </w:tc>
        <w:tc>
          <w:tcPr>
            <w:tcW w:w="81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14</w:t>
            </w:r>
          </w:p>
        </w:tc>
        <w:tc>
          <w:tcPr>
            <w:tcW w:w="133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4</w:t>
            </w:r>
          </w:p>
        </w:tc>
        <w:tc>
          <w:tcPr>
            <w:tcW w:w="52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1230" w:type="dxa"/>
            <w:tcBorders>
              <w:top w:val="nil"/>
              <w:left w:val="nil"/>
              <w:bottom w:val="single" w:sz="2"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r>
      <w:tr>
        <w:tblPrEx>
          <w:tblW w:w="5000" w:type="pct"/>
          <w:tblLayout w:type="fixed"/>
          <w:tblCellMar>
            <w:left w:w="108" w:type="dxa"/>
            <w:right w:w="108" w:type="dxa"/>
          </w:tblCellMar>
        </w:tblPrEx>
        <w:trPr>
          <w:trHeight w:val="45"/>
        </w:trPr>
        <w:tc>
          <w:tcPr>
            <w:tcW w:w="840" w:type="dxa"/>
            <w:tcBorders>
              <w:top w:val="nil"/>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2019</w:t>
            </w:r>
          </w:p>
        </w:tc>
        <w:tc>
          <w:tcPr>
            <w:tcW w:w="96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8</w:t>
            </w:r>
          </w:p>
        </w:tc>
        <w:tc>
          <w:tcPr>
            <w:tcW w:w="97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120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18</w:t>
            </w:r>
          </w:p>
        </w:tc>
        <w:tc>
          <w:tcPr>
            <w:tcW w:w="99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121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751,52</w:t>
            </w:r>
          </w:p>
        </w:tc>
        <w:tc>
          <w:tcPr>
            <w:tcW w:w="81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14</w:t>
            </w:r>
          </w:p>
        </w:tc>
        <w:tc>
          <w:tcPr>
            <w:tcW w:w="133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4</w:t>
            </w:r>
          </w:p>
        </w:tc>
        <w:tc>
          <w:tcPr>
            <w:tcW w:w="52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1230" w:type="dxa"/>
            <w:tcBorders>
              <w:top w:val="nil"/>
              <w:left w:val="nil"/>
              <w:bottom w:val="single" w:sz="2"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r>
      <w:tr>
        <w:tblPrEx>
          <w:tblW w:w="5000" w:type="pct"/>
          <w:tblLayout w:type="fixed"/>
          <w:tblCellMar>
            <w:left w:w="108" w:type="dxa"/>
            <w:right w:w="108" w:type="dxa"/>
          </w:tblCellMar>
        </w:tblPrEx>
        <w:trPr>
          <w:trHeight w:val="45"/>
        </w:trPr>
        <w:tc>
          <w:tcPr>
            <w:tcW w:w="840" w:type="dxa"/>
            <w:tcBorders>
              <w:top w:val="nil"/>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2020</w:t>
            </w:r>
          </w:p>
        </w:tc>
        <w:tc>
          <w:tcPr>
            <w:tcW w:w="96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8</w:t>
            </w:r>
          </w:p>
        </w:tc>
        <w:tc>
          <w:tcPr>
            <w:tcW w:w="97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120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18</w:t>
            </w:r>
          </w:p>
        </w:tc>
        <w:tc>
          <w:tcPr>
            <w:tcW w:w="99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121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751,52</w:t>
            </w:r>
          </w:p>
        </w:tc>
        <w:tc>
          <w:tcPr>
            <w:tcW w:w="81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17</w:t>
            </w:r>
          </w:p>
        </w:tc>
        <w:tc>
          <w:tcPr>
            <w:tcW w:w="133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w:t>
            </w:r>
          </w:p>
        </w:tc>
        <w:tc>
          <w:tcPr>
            <w:tcW w:w="52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1230" w:type="dxa"/>
            <w:tcBorders>
              <w:top w:val="nil"/>
              <w:left w:val="nil"/>
              <w:bottom w:val="single" w:sz="2"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3</w:t>
            </w:r>
          </w:p>
        </w:tc>
      </w:tr>
      <w:tr>
        <w:tblPrEx>
          <w:tblW w:w="5000" w:type="pct"/>
          <w:tblLayout w:type="fixed"/>
          <w:tblCellMar>
            <w:left w:w="108" w:type="dxa"/>
            <w:right w:w="108" w:type="dxa"/>
          </w:tblCellMar>
        </w:tblPrEx>
        <w:trPr>
          <w:trHeight w:val="45"/>
        </w:trPr>
        <w:tc>
          <w:tcPr>
            <w:tcW w:w="840" w:type="dxa"/>
            <w:tcBorders>
              <w:top w:val="nil"/>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2021</w:t>
            </w:r>
          </w:p>
        </w:tc>
        <w:tc>
          <w:tcPr>
            <w:tcW w:w="96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9</w:t>
            </w:r>
          </w:p>
        </w:tc>
        <w:tc>
          <w:tcPr>
            <w:tcW w:w="97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30</w:t>
            </w:r>
          </w:p>
        </w:tc>
        <w:tc>
          <w:tcPr>
            <w:tcW w:w="120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18</w:t>
            </w:r>
          </w:p>
        </w:tc>
        <w:tc>
          <w:tcPr>
            <w:tcW w:w="99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900</w:t>
            </w:r>
          </w:p>
        </w:tc>
        <w:tc>
          <w:tcPr>
            <w:tcW w:w="121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751,52</w:t>
            </w:r>
          </w:p>
        </w:tc>
        <w:tc>
          <w:tcPr>
            <w:tcW w:w="81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47</w:t>
            </w:r>
          </w:p>
        </w:tc>
        <w:tc>
          <w:tcPr>
            <w:tcW w:w="133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w:t>
            </w:r>
          </w:p>
        </w:tc>
        <w:tc>
          <w:tcPr>
            <w:tcW w:w="52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1230" w:type="dxa"/>
            <w:tcBorders>
              <w:top w:val="nil"/>
              <w:left w:val="nil"/>
              <w:bottom w:val="single" w:sz="2"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w:t>
            </w:r>
          </w:p>
        </w:tc>
      </w:tr>
      <w:tr>
        <w:tblPrEx>
          <w:tblW w:w="5000" w:type="pct"/>
          <w:tblLayout w:type="fixed"/>
          <w:tblCellMar>
            <w:left w:w="108" w:type="dxa"/>
            <w:right w:w="108" w:type="dxa"/>
          </w:tblCellMar>
        </w:tblPrEx>
        <w:trPr>
          <w:trHeight w:val="45"/>
        </w:trPr>
        <w:tc>
          <w:tcPr>
            <w:tcW w:w="840" w:type="dxa"/>
            <w:tcBorders>
              <w:top w:val="nil"/>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2022</w:t>
            </w:r>
          </w:p>
        </w:tc>
        <w:tc>
          <w:tcPr>
            <w:tcW w:w="96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9</w:t>
            </w:r>
          </w:p>
        </w:tc>
        <w:tc>
          <w:tcPr>
            <w:tcW w:w="97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30</w:t>
            </w:r>
          </w:p>
        </w:tc>
        <w:tc>
          <w:tcPr>
            <w:tcW w:w="120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18</w:t>
            </w:r>
          </w:p>
        </w:tc>
        <w:tc>
          <w:tcPr>
            <w:tcW w:w="99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900</w:t>
            </w:r>
          </w:p>
        </w:tc>
        <w:tc>
          <w:tcPr>
            <w:tcW w:w="121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751,52</w:t>
            </w:r>
          </w:p>
        </w:tc>
        <w:tc>
          <w:tcPr>
            <w:tcW w:w="81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48</w:t>
            </w:r>
          </w:p>
        </w:tc>
        <w:tc>
          <w:tcPr>
            <w:tcW w:w="133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52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1230" w:type="dxa"/>
            <w:tcBorders>
              <w:top w:val="nil"/>
              <w:left w:val="nil"/>
              <w:bottom w:val="single" w:sz="2"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r>
      <w:tr>
        <w:tblPrEx>
          <w:tblW w:w="5000" w:type="pct"/>
          <w:tblLayout w:type="fixed"/>
          <w:tblCellMar>
            <w:left w:w="108" w:type="dxa"/>
            <w:right w:w="108" w:type="dxa"/>
          </w:tblCellMar>
        </w:tblPrEx>
        <w:trPr>
          <w:trHeight w:val="45"/>
        </w:trPr>
        <w:tc>
          <w:tcPr>
            <w:tcW w:w="840" w:type="dxa"/>
            <w:tcBorders>
              <w:top w:val="single" w:sz="2" w:space="0" w:color="auto"/>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2023</w:t>
            </w:r>
          </w:p>
        </w:tc>
        <w:tc>
          <w:tcPr>
            <w:tcW w:w="960" w:type="dxa"/>
            <w:tcBorders>
              <w:top w:val="single" w:sz="2" w:space="0" w:color="auto"/>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9</w:t>
            </w:r>
          </w:p>
        </w:tc>
        <w:tc>
          <w:tcPr>
            <w:tcW w:w="975" w:type="dxa"/>
            <w:tcBorders>
              <w:top w:val="single" w:sz="2" w:space="0" w:color="auto"/>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30</w:t>
            </w:r>
          </w:p>
        </w:tc>
        <w:tc>
          <w:tcPr>
            <w:tcW w:w="1200" w:type="dxa"/>
            <w:tcBorders>
              <w:top w:val="single" w:sz="2" w:space="0" w:color="auto"/>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18</w:t>
            </w:r>
          </w:p>
        </w:tc>
        <w:tc>
          <w:tcPr>
            <w:tcW w:w="990" w:type="dxa"/>
            <w:tcBorders>
              <w:top w:val="single" w:sz="2" w:space="0" w:color="auto"/>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900</w:t>
            </w:r>
          </w:p>
        </w:tc>
        <w:tc>
          <w:tcPr>
            <w:tcW w:w="1215" w:type="dxa"/>
            <w:tcBorders>
              <w:top w:val="single" w:sz="2" w:space="0" w:color="auto"/>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751,52</w:t>
            </w:r>
          </w:p>
        </w:tc>
        <w:tc>
          <w:tcPr>
            <w:tcW w:w="810" w:type="dxa"/>
            <w:tcBorders>
              <w:top w:val="single" w:sz="2" w:space="0" w:color="auto"/>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48</w:t>
            </w:r>
          </w:p>
        </w:tc>
        <w:tc>
          <w:tcPr>
            <w:tcW w:w="1335" w:type="dxa"/>
            <w:tcBorders>
              <w:top w:val="single" w:sz="2" w:space="0" w:color="auto"/>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525" w:type="dxa"/>
            <w:tcBorders>
              <w:top w:val="single" w:sz="2" w:space="0" w:color="auto"/>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c>
          <w:tcPr>
            <w:tcW w:w="1230" w:type="dxa"/>
            <w:tcBorders>
              <w:top w:val="single" w:sz="2" w:space="0" w:color="auto"/>
              <w:left w:val="single" w:sz="2" w:space="0" w:color="auto"/>
              <w:bottom w:val="single" w:sz="2"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0</w:t>
            </w:r>
          </w:p>
        </w:tc>
      </w:tr>
    </w:tbl>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xml:space="preserve">§ 8.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Planowane nakłady finansowe na remonty budynków mieszkalnych w kolejnych latach</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i/>
          <w:caps w:val="0"/>
          <w:strike w:val="0"/>
          <w:noProof w:val="0"/>
          <w:vanish w:val="0"/>
          <w:color w:val="000000"/>
          <w:sz w:val="24"/>
          <w:u w:val="none" w:color="000000"/>
          <w:shd w:val="clear" w:color="auto" w:fill="auto"/>
          <w:vertAlign w:val="baseline"/>
        </w:rPr>
      </w:pP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24"/>
          <w:u w:val="none" w:color="000000"/>
          <w:shd w:val="clear" w:color="auto" w:fill="auto"/>
          <w:vertAlign w:val="baseline"/>
        </w:rPr>
        <w:t>Tabela nr 5</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071"/>
        <w:gridCol w:w="1426"/>
        <w:gridCol w:w="1290"/>
        <w:gridCol w:w="1290"/>
        <w:gridCol w:w="1425"/>
        <w:gridCol w:w="1290"/>
        <w:gridCol w:w="12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336"/>
        </w:trPr>
        <w:tc>
          <w:tcPr>
            <w:tcW w:w="2070" w:type="dxa"/>
            <w:tcBorders>
              <w:top w:val="single" w:sz="2" w:space="0" w:color="auto"/>
              <w:left w:val="single" w:sz="2" w:space="0" w:color="auto"/>
              <w:bottom w:val="single" w:sz="2"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Rok</w:t>
            </w:r>
          </w:p>
        </w:tc>
        <w:tc>
          <w:tcPr>
            <w:tcW w:w="1425" w:type="dxa"/>
            <w:tcBorders>
              <w:top w:val="single" w:sz="2" w:space="0" w:color="auto"/>
              <w:left w:val="single" w:sz="2" w:space="0" w:color="auto"/>
              <w:bottom w:val="single" w:sz="2"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2018</w:t>
            </w:r>
          </w:p>
        </w:tc>
        <w:tc>
          <w:tcPr>
            <w:tcW w:w="1290" w:type="dxa"/>
            <w:tcBorders>
              <w:top w:val="single" w:sz="2" w:space="0" w:color="auto"/>
              <w:left w:val="single" w:sz="2" w:space="0" w:color="auto"/>
              <w:bottom w:val="single" w:sz="2"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2019</w:t>
            </w:r>
          </w:p>
        </w:tc>
        <w:tc>
          <w:tcPr>
            <w:tcW w:w="1290" w:type="dxa"/>
            <w:tcBorders>
              <w:top w:val="single" w:sz="2" w:space="0" w:color="auto"/>
              <w:left w:val="single" w:sz="2" w:space="0" w:color="auto"/>
              <w:bottom w:val="single" w:sz="2"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2020</w:t>
            </w:r>
          </w:p>
        </w:tc>
        <w:tc>
          <w:tcPr>
            <w:tcW w:w="1425" w:type="dxa"/>
            <w:tcBorders>
              <w:top w:val="single" w:sz="2" w:space="0" w:color="auto"/>
              <w:left w:val="single" w:sz="2" w:space="0" w:color="auto"/>
              <w:bottom w:val="single" w:sz="2"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2021</w:t>
            </w:r>
          </w:p>
        </w:tc>
        <w:tc>
          <w:tcPr>
            <w:tcW w:w="1290" w:type="dxa"/>
            <w:tcBorders>
              <w:top w:val="single" w:sz="2" w:space="0" w:color="auto"/>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2022</w:t>
            </w:r>
          </w:p>
        </w:tc>
        <w:tc>
          <w:tcPr>
            <w:tcW w:w="1290" w:type="dxa"/>
            <w:tcBorders>
              <w:top w:val="single" w:sz="2" w:space="0" w:color="auto"/>
              <w:left w:val="single" w:sz="2" w:space="0" w:color="auto"/>
              <w:bottom w:val="single" w:sz="2" w:space="0" w:color="auto"/>
              <w:right w:val="single" w:sz="2" w:space="0" w:color="auto"/>
            </w:tcBorders>
            <w:noWrap w:val="0"/>
            <w:textDirection w:val="lrTb"/>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2"/>
                <w:u w:val="none" w:color="000000"/>
                <w:shd w:val="clear" w:color="auto" w:fill="auto"/>
                <w:vertAlign w:val="baseline"/>
              </w:rPr>
              <w:t>2023</w:t>
            </w:r>
          </w:p>
        </w:tc>
      </w:tr>
      <w:tr>
        <w:tblPrEx>
          <w:tblW w:w="5000" w:type="pct"/>
          <w:tblLayout w:type="fixed"/>
          <w:tblCellMar>
            <w:left w:w="108" w:type="dxa"/>
            <w:right w:w="108" w:type="dxa"/>
          </w:tblCellMar>
        </w:tblPrEx>
        <w:trPr>
          <w:trHeight w:val="336"/>
        </w:trPr>
        <w:tc>
          <w:tcPr>
            <w:tcW w:w="2070" w:type="dxa"/>
            <w:tcBorders>
              <w:top w:val="nil"/>
              <w:left w:val="single" w:sz="2" w:space="0" w:color="auto"/>
              <w:bottom w:val="single" w:sz="2"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 xml:space="preserve">Nakłady finansowe na remonty budynków mieszkaniowych </w:t>
            </w:r>
          </w:p>
        </w:tc>
        <w:tc>
          <w:tcPr>
            <w:tcW w:w="1425" w:type="dxa"/>
            <w:tcBorders>
              <w:top w:val="nil"/>
              <w:left w:val="single" w:sz="2" w:space="0" w:color="auto"/>
              <w:bottom w:val="single" w:sz="2"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 xml:space="preserve">250.000, zł </w:t>
            </w:r>
          </w:p>
        </w:tc>
        <w:tc>
          <w:tcPr>
            <w:tcW w:w="1290" w:type="dxa"/>
            <w:tcBorders>
              <w:top w:val="nil"/>
              <w:left w:val="single" w:sz="2" w:space="0" w:color="auto"/>
              <w:bottom w:val="single" w:sz="2"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5000,00 zł</w:t>
            </w:r>
          </w:p>
        </w:tc>
        <w:tc>
          <w:tcPr>
            <w:tcW w:w="1290" w:type="dxa"/>
            <w:tcBorders>
              <w:top w:val="nil"/>
              <w:left w:val="single" w:sz="2" w:space="0" w:color="auto"/>
              <w:bottom w:val="single" w:sz="2"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5000,00 zł</w:t>
            </w:r>
          </w:p>
        </w:tc>
        <w:tc>
          <w:tcPr>
            <w:tcW w:w="1425" w:type="dxa"/>
            <w:tcBorders>
              <w:top w:val="nil"/>
              <w:left w:val="single" w:sz="2" w:space="0" w:color="auto"/>
              <w:bottom w:val="single" w:sz="2" w:space="0" w:color="auto"/>
              <w:right w:val="nil"/>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5000,00 zł</w:t>
            </w:r>
          </w:p>
        </w:tc>
        <w:tc>
          <w:tcPr>
            <w:tcW w:w="1290" w:type="dxa"/>
            <w:tcBorders>
              <w:top w:val="nil"/>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5000,00 zł</w:t>
            </w:r>
          </w:p>
        </w:tc>
        <w:tc>
          <w:tcPr>
            <w:tcW w:w="1290" w:type="dxa"/>
            <w:tcBorders>
              <w:top w:val="nil"/>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2"/>
                <w:u w:val="none" w:color="000000"/>
                <w:shd w:val="clear" w:color="auto" w:fill="auto"/>
                <w:vertAlign w:val="baseline"/>
              </w:rPr>
              <w:t>5000,00 zł</w:t>
            </w:r>
          </w:p>
        </w:tc>
      </w:tr>
    </w:tbl>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jc w:val="center"/>
        <w:rPr>
          <w:rStyle w:val="DefaultParagraphFont"/>
          <w:rFonts w:ascii="Times New Roman" w:hAnsi="Times New Roman"/>
          <w:b/>
          <w:i w:val="0"/>
          <w:caps w:val="0"/>
          <w:strike w:val="0"/>
          <w:noProof w:val="0"/>
          <w:vanish w:val="0"/>
          <w:color w:val="000000"/>
          <w:sz w:val="24"/>
          <w:u w:val="none" w:color="000000"/>
          <w:shd w:val="clear" w:color="auto" w:fill="auto"/>
          <w:vertAlign w:val="baseline"/>
        </w:rPr>
      </w:pP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Rozdział 4</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Planowana sprzedaż lokali</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xml:space="preserve">§ 9.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 xml:space="preserve">W okresie objętym planem nie przewiduje się sprzedaży lokali będących własnością gminy. Jednakże w razie ewentualnego planowania sprzedaży lokali mieszkalnych w kolejnych latach należy brać pod uwagę: </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wielkość zasobu, który może być objęty,</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ocenę dotychczasowej sprzedaży,</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zapisy ustawy o ochronie praw lokatorów umożliwiające wypowiadanie umów najmu</w:t>
        <w:br/>
        <w:t>lokatorom oraz ustawy o gospodarce nieruchomościami,</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4) działania zmierzające do poprawy wykorzystania zasobu mieszkaniowego gminy.</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jc w:val="center"/>
        <w:rPr>
          <w:rStyle w:val="DefaultParagraphFont"/>
          <w:rFonts w:ascii="Times New Roman" w:hAnsi="Times New Roman"/>
          <w:b/>
          <w:i w:val="0"/>
          <w:caps w:val="0"/>
          <w:strike w:val="0"/>
          <w:noProof w:val="0"/>
          <w:vanish w:val="0"/>
          <w:color w:val="000000"/>
          <w:sz w:val="24"/>
          <w:u w:val="none" w:color="000000"/>
          <w:shd w:val="clear" w:color="auto" w:fill="auto"/>
          <w:vertAlign w:val="baseline"/>
        </w:rPr>
      </w:pP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Rozdział 5</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Zasady polityki czynszowej  oraz warunki obniżania czynszu</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10.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Ustala się następujące rodzaje czynszów:</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za lokale mieszkalne,</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za lokale socjalne</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11.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Stawkę bazową czynszu za 1 m</w:t>
      </w:r>
      <w:r>
        <w:rPr>
          <w:rStyle w:val="DefaultParagraphFont"/>
          <w:rFonts w:ascii="Times New Roman" w:hAnsi="Times New Roman"/>
          <w:b w:val="0"/>
          <w:i w:val="0"/>
          <w:caps w:val="0"/>
          <w:strike w:val="0"/>
          <w:noProof w:val="0"/>
          <w:vanish w:val="0"/>
          <w:color w:val="000000"/>
          <w:sz w:val="24"/>
          <w:u w:val="none" w:color="000000"/>
          <w:shd w:val="clear" w:color="auto" w:fill="auto"/>
          <w:vertAlign w:val="superscript"/>
        </w:rPr>
        <w:t xml:space="preserve">2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powierzchni użytkowej lokalu mieszkalnego należących do mieszkaniowego zasobu Gminy ustala w drodze zarządzenia Wójt Gminy Ostrów Mazowiecka, zgodnie z zasadami określonymi w niniejszym programie oraz ustawą.</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Stawka czynszu za 1m</w:t>
      </w:r>
      <w:r>
        <w:rPr>
          <w:rStyle w:val="DefaultParagraphFont"/>
          <w:rFonts w:ascii="Times New Roman" w:hAnsi="Times New Roman"/>
          <w:b w:val="0"/>
          <w:i w:val="0"/>
          <w:caps w:val="0"/>
          <w:strike w:val="0"/>
          <w:noProof w:val="0"/>
          <w:vanish w:val="0"/>
          <w:color w:val="000000"/>
          <w:sz w:val="24"/>
          <w:u w:val="none" w:color="000000"/>
          <w:shd w:val="clear" w:color="auto" w:fill="auto"/>
          <w:vertAlign w:val="superscript"/>
        </w:rPr>
        <w:t xml:space="preserve">2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powierzchni użytkowej lokalu z zasobu mieszkaniowego gminy obejmuje stawkę bazową podwyższoną o czynniki podwyższające wartość użytkową lokalu lub obniżoną o czynniki obniżające wartość użytkową lokalu.</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Stawka czynszu za lokal socjalny będzie wynosiła połowę stawki najniższego czynszu</w:t>
        <w:br/>
        <w:t>w gminnym zasobie mieszkaniowym.</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4. Czynniki podwyższające i obniżające stawkę bazową czynszu nie dotyczą czynszu</w:t>
        <w:br/>
        <w:t>za lokale socjalne.</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12.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Podwyższanie czynszu nie może być dokonywane częściej, niż co 6 miesięcy.</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Podwyższenie czynszu może nastąpić z uwzględnieniem następujących czynników</w:t>
        <w:br/>
        <w:t>i ich wysokości:</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ciepła woda dostarczana do lokalu – powoduje wzrost stawki bazowej o 15%</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gaz - powoduje zwiększenie stawki bazowej o 15%</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CO - powoduje zwiększenie stawki bazowej o 15%</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4) łazienka - powoduje zwiększenie stawki bazowej o 15%</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Obniżenie czynszu może nastąpić z uwagi, iż lokal jest bez WC, co powodować będzie obniżenie stawki bazowej o 15%.</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xml:space="preserve">§ 13.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 xml:space="preserve">Wójt Gminy Ostrów Mazowiecka na wniosek najemcy może obniżyć czynsz najmu </w:t>
        <w:br/>
        <w:t>z uwagi na kryteria dochodowe. Ustala się następujące obniżki czynszu:</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przy dochodzie na 1 osobę w gospodarstwie domowym wynoszącym od 0% do 50% najniższej emerytury można czynsz obniżyć maksymalnie o 50%,</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przy dochodzie na 1 osobę w gospodarstwie domowym wynoszącym od 50% do 100% najniższej emerytury można czynsz obniżyć maksymalnie o 25%.</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14.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Polityka czynszowa Gminy Ostrów Mazowiecka  w latach 2018-2023 powinna zmierzać do zapewnienia samowystarczalności finansowej gospodarki mieszkaniowej. Należy dążyć do zminimalizowania dopłaty z budżetu gminy do utrzymani zasobu mieszkaniowego.</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jc w:val="center"/>
        <w:rPr>
          <w:rStyle w:val="DefaultParagraphFont"/>
          <w:rFonts w:ascii="Times New Roman" w:hAnsi="Times New Roman"/>
          <w:b/>
          <w:i w:val="0"/>
          <w:caps w:val="0"/>
          <w:strike w:val="0"/>
          <w:noProof w:val="0"/>
          <w:vanish w:val="0"/>
          <w:color w:val="000000"/>
          <w:sz w:val="24"/>
          <w:u w:val="none" w:color="000000"/>
          <w:shd w:val="clear" w:color="auto" w:fill="auto"/>
          <w:vertAlign w:val="baseline"/>
        </w:rPr>
      </w:pP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Rozdział 6</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Sposób i zasady zarządzania lokalami i budynkami wchodzącymi w skład mieszkaniowego zasobu Gminy oraz przewidywane zmiany  w zakresie zarządzania mieszkaniowym zasobem gminy w latach 2018 - 2023</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xml:space="preserve">§ 15.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Zarząd nad lokalami i budynkami wchodzącymi w skład mieszkaniowego zasobu Gminy Ostrów Mazowiecka sprawuje Wójt Gminy.</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Zarządzanie mieszkaniowym zasobem Gminy polega w szczególności na:</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zawieraniu umów najmu lokali;</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określaniu wysokości czynszu;</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wyrażaniu zgody na wykonywanie w lokalu ulepszeń przez lokatorów oraz określaniu rozliczeń z tego tytułu, sprawowanie funkcji kontrolnych w zakresie utrzymania czystości i porządku w obrębie budynków;</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4) utrzymywaniu obiektów w należytym stanie technicznym oraz zapewnienie sprawnego działania istniejących w budynku instalacji technicznych w ramach posiadanych środków.</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Nie przewiduje się zmian w zakresie zarządzania mieszkaniowym zasobem gminy.</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jc w:val="center"/>
        <w:rPr>
          <w:rStyle w:val="DefaultParagraphFont"/>
          <w:rFonts w:ascii="Times New Roman" w:hAnsi="Times New Roman"/>
          <w:b/>
          <w:i w:val="0"/>
          <w:caps w:val="0"/>
          <w:strike w:val="0"/>
          <w:noProof w:val="0"/>
          <w:vanish w:val="0"/>
          <w:color w:val="000000"/>
          <w:sz w:val="24"/>
          <w:u w:val="none" w:color="000000"/>
          <w:shd w:val="clear" w:color="auto" w:fill="auto"/>
          <w:vertAlign w:val="baseline"/>
        </w:rPr>
      </w:pP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Rozdział 7</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Źródła finansowania gospodarki mieszkaniowej w latach 2018 - 2023</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xml:space="preserve">§ 16.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Podstawowym źródłem finansowania gospodarki mieszkaniowej są przychody z tytułu:</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czynszu za najem lokali mieszkalnych;</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czynszu za najem lokali użytkowych.</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Dodatkowym źródłem finansowania są:</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budżet państwa;</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dotacja gminy;</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kredyty;</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4)   fundusze Unii Europejskiej;</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5)   inne źródła finansowania.</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Rozdział 8</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Wysokość wydatków w kolejnych latach, z podziałem na koszty bieżącej eksploatacji, koszty remontów oraz koszty modernizacji lokali i budynków wchodzących w skład mieszkaniowego zasobu gminy, koszty zarządu nieruchomościami wspólnymi, których gmina jest jednym ze współwłaścicieli, a także wydatki inwestycyjne</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17.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Wysokość wydatków na remonty i zadania inwestycyjne związane z zasobem mieszkaniowym będą określane corocznie w uchwale budżetowej.</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Prognozuje się  następujące wysokości wydatków w kolejnych latach, z podziałem na koszty    bieżącej eksploatacji, koszty remontów oraz koszty modernizacji lokali i budynków wchodzących w skład mieszkaniowego zasobu Gminy Ostrów Mazowiecka, a także wydatki inwestycyjne:</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left"/>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caps w:val="0"/>
          <w:strike w:val="0"/>
          <w:noProof w:val="0"/>
          <w:vanish w:val="0"/>
          <w:color w:val="000000"/>
          <w:sz w:val="24"/>
          <w:u w:val="none" w:color="000000"/>
          <w:shd w:val="clear" w:color="auto" w:fill="auto"/>
          <w:vertAlign w:val="baseline"/>
        </w:rPr>
        <w:t>Tabela nr 6</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85"/>
        <w:gridCol w:w="1050"/>
        <w:gridCol w:w="3196"/>
        <w:gridCol w:w="2130"/>
        <w:gridCol w:w="312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45"/>
        </w:trPr>
        <w:tc>
          <w:tcPr>
            <w:tcW w:w="585" w:type="dxa"/>
            <w:vMerge w:val="restart"/>
            <w:tcBorders>
              <w:top w:val="single" w:sz="2" w:space="0" w:color="auto"/>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0"/>
                <w:u w:val="none" w:color="000000"/>
                <w:shd w:val="clear" w:color="auto" w:fill="auto"/>
                <w:vertAlign w:val="baseline"/>
              </w:rPr>
              <w:t>Lp.</w:t>
            </w:r>
          </w:p>
        </w:tc>
        <w:tc>
          <w:tcPr>
            <w:tcW w:w="1050" w:type="dxa"/>
            <w:vMerge w:val="restart"/>
            <w:tcBorders>
              <w:top w:val="single" w:sz="2" w:space="0" w:color="auto"/>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0"/>
                <w:u w:val="none" w:color="000000"/>
                <w:shd w:val="clear" w:color="auto" w:fill="auto"/>
                <w:vertAlign w:val="baseline"/>
              </w:rPr>
              <w:t>Rok</w:t>
            </w:r>
          </w:p>
        </w:tc>
        <w:tc>
          <w:tcPr>
            <w:tcW w:w="8445" w:type="dxa"/>
            <w:gridSpan w:val="3"/>
            <w:tcBorders>
              <w:top w:val="single" w:sz="2" w:space="0" w:color="auto"/>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0"/>
                <w:u w:val="none" w:color="000000"/>
                <w:shd w:val="clear" w:color="auto" w:fill="auto"/>
                <w:vertAlign w:val="baseline"/>
              </w:rPr>
              <w:t>Wydatki na:</w:t>
            </w:r>
          </w:p>
        </w:tc>
      </w:tr>
      <w:tr>
        <w:tblPrEx>
          <w:tblW w:w="5000" w:type="pct"/>
          <w:tblLayout w:type="fixed"/>
          <w:tblCellMar>
            <w:left w:w="108" w:type="dxa"/>
            <w:right w:w="108" w:type="dxa"/>
          </w:tblCellMar>
        </w:tblPrEx>
        <w:trPr>
          <w:trHeight w:val="45"/>
        </w:trPr>
        <w:tc>
          <w:tcPr>
            <w:tcW w:w="585" w:type="dxa"/>
            <w:vMerge/>
            <w:tcBorders>
              <w:top w:val="nil"/>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p>
        </w:tc>
        <w:tc>
          <w:tcPr>
            <w:tcW w:w="1050" w:type="dxa"/>
            <w:vMerge/>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p>
        </w:tc>
        <w:tc>
          <w:tcPr>
            <w:tcW w:w="319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0"/>
                <w:u w:val="none" w:color="000000"/>
                <w:shd w:val="clear" w:color="auto" w:fill="auto"/>
                <w:vertAlign w:val="baseline"/>
              </w:rPr>
              <w:t>bieżąca eksploatacja</w:t>
            </w:r>
          </w:p>
        </w:tc>
        <w:tc>
          <w:tcPr>
            <w:tcW w:w="213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0"/>
                <w:u w:val="none" w:color="000000"/>
                <w:shd w:val="clear" w:color="auto" w:fill="auto"/>
                <w:vertAlign w:val="baseline"/>
              </w:rPr>
              <w:t>remonty</w:t>
            </w:r>
          </w:p>
        </w:tc>
        <w:tc>
          <w:tcPr>
            <w:tcW w:w="312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0"/>
                <w:u w:val="none" w:color="000000"/>
                <w:shd w:val="clear" w:color="auto" w:fill="auto"/>
                <w:vertAlign w:val="baseline"/>
              </w:rPr>
              <w:t>modernizacje i inwestycje</w:t>
            </w:r>
          </w:p>
        </w:tc>
      </w:tr>
      <w:tr>
        <w:tblPrEx>
          <w:tblW w:w="5000" w:type="pct"/>
          <w:tblLayout w:type="fixed"/>
          <w:tblCellMar>
            <w:left w:w="108" w:type="dxa"/>
            <w:right w:w="108" w:type="dxa"/>
          </w:tblCellMar>
        </w:tblPrEx>
        <w:trPr>
          <w:trHeight w:val="45"/>
        </w:trPr>
        <w:tc>
          <w:tcPr>
            <w:tcW w:w="585" w:type="dxa"/>
            <w:tcBorders>
              <w:top w:val="nil"/>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1.</w:t>
            </w:r>
          </w:p>
        </w:tc>
        <w:tc>
          <w:tcPr>
            <w:tcW w:w="105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2018</w:t>
            </w:r>
          </w:p>
        </w:tc>
        <w:tc>
          <w:tcPr>
            <w:tcW w:w="319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2000,00 zł</w:t>
            </w:r>
          </w:p>
        </w:tc>
        <w:tc>
          <w:tcPr>
            <w:tcW w:w="213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250000,00 zł</w:t>
            </w:r>
          </w:p>
        </w:tc>
        <w:tc>
          <w:tcPr>
            <w:tcW w:w="312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0,00 zł</w:t>
            </w:r>
          </w:p>
        </w:tc>
      </w:tr>
      <w:tr>
        <w:tblPrEx>
          <w:tblW w:w="5000" w:type="pct"/>
          <w:tblLayout w:type="fixed"/>
          <w:tblCellMar>
            <w:left w:w="108" w:type="dxa"/>
            <w:right w:w="108" w:type="dxa"/>
          </w:tblCellMar>
        </w:tblPrEx>
        <w:trPr>
          <w:trHeight w:val="45"/>
        </w:trPr>
        <w:tc>
          <w:tcPr>
            <w:tcW w:w="585" w:type="dxa"/>
            <w:tcBorders>
              <w:top w:val="nil"/>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2.</w:t>
            </w:r>
          </w:p>
        </w:tc>
        <w:tc>
          <w:tcPr>
            <w:tcW w:w="105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2019</w:t>
            </w:r>
          </w:p>
        </w:tc>
        <w:tc>
          <w:tcPr>
            <w:tcW w:w="319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2000,00 zł</w:t>
            </w:r>
          </w:p>
        </w:tc>
        <w:tc>
          <w:tcPr>
            <w:tcW w:w="213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5000,00 zł</w:t>
            </w:r>
          </w:p>
        </w:tc>
        <w:tc>
          <w:tcPr>
            <w:tcW w:w="312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0,00 zł</w:t>
            </w:r>
          </w:p>
        </w:tc>
      </w:tr>
      <w:tr>
        <w:tblPrEx>
          <w:tblW w:w="5000" w:type="pct"/>
          <w:tblLayout w:type="fixed"/>
          <w:tblCellMar>
            <w:left w:w="108" w:type="dxa"/>
            <w:right w:w="108" w:type="dxa"/>
          </w:tblCellMar>
        </w:tblPrEx>
        <w:trPr>
          <w:trHeight w:val="45"/>
        </w:trPr>
        <w:tc>
          <w:tcPr>
            <w:tcW w:w="585" w:type="dxa"/>
            <w:tcBorders>
              <w:top w:val="nil"/>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3.</w:t>
            </w:r>
          </w:p>
        </w:tc>
        <w:tc>
          <w:tcPr>
            <w:tcW w:w="105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2020</w:t>
            </w:r>
          </w:p>
        </w:tc>
        <w:tc>
          <w:tcPr>
            <w:tcW w:w="319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2000,00 zł</w:t>
            </w:r>
          </w:p>
        </w:tc>
        <w:tc>
          <w:tcPr>
            <w:tcW w:w="213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5000,00 zł</w:t>
            </w:r>
          </w:p>
        </w:tc>
        <w:tc>
          <w:tcPr>
            <w:tcW w:w="312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0,00 zł</w:t>
            </w:r>
          </w:p>
        </w:tc>
      </w:tr>
      <w:tr>
        <w:tblPrEx>
          <w:tblW w:w="5000" w:type="pct"/>
          <w:tblLayout w:type="fixed"/>
          <w:tblCellMar>
            <w:left w:w="108" w:type="dxa"/>
            <w:right w:w="108" w:type="dxa"/>
          </w:tblCellMar>
        </w:tblPrEx>
        <w:trPr>
          <w:trHeight w:val="45"/>
        </w:trPr>
        <w:tc>
          <w:tcPr>
            <w:tcW w:w="585" w:type="dxa"/>
            <w:tcBorders>
              <w:top w:val="nil"/>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4.</w:t>
            </w:r>
          </w:p>
        </w:tc>
        <w:tc>
          <w:tcPr>
            <w:tcW w:w="105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2021</w:t>
            </w:r>
          </w:p>
        </w:tc>
        <w:tc>
          <w:tcPr>
            <w:tcW w:w="319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2000,00 zł</w:t>
            </w:r>
          </w:p>
        </w:tc>
        <w:tc>
          <w:tcPr>
            <w:tcW w:w="213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5000,00 zł</w:t>
            </w:r>
          </w:p>
        </w:tc>
        <w:tc>
          <w:tcPr>
            <w:tcW w:w="312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0,00 zł</w:t>
            </w:r>
          </w:p>
        </w:tc>
      </w:tr>
      <w:tr>
        <w:tblPrEx>
          <w:tblW w:w="5000" w:type="pct"/>
          <w:tblLayout w:type="fixed"/>
          <w:tblCellMar>
            <w:left w:w="108" w:type="dxa"/>
            <w:right w:w="108" w:type="dxa"/>
          </w:tblCellMar>
        </w:tblPrEx>
        <w:trPr>
          <w:trHeight w:val="45"/>
        </w:trPr>
        <w:tc>
          <w:tcPr>
            <w:tcW w:w="585" w:type="dxa"/>
            <w:tcBorders>
              <w:top w:val="nil"/>
              <w:left w:val="single" w:sz="2" w:space="0" w:color="auto"/>
              <w:bottom w:val="nil"/>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5.</w:t>
            </w:r>
          </w:p>
        </w:tc>
        <w:tc>
          <w:tcPr>
            <w:tcW w:w="1050" w:type="dxa"/>
            <w:tcBorders>
              <w:top w:val="nil"/>
              <w:left w:val="nil"/>
              <w:bottom w:val="nil"/>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2022</w:t>
            </w:r>
          </w:p>
        </w:tc>
        <w:tc>
          <w:tcPr>
            <w:tcW w:w="3195" w:type="dxa"/>
            <w:tcBorders>
              <w:top w:val="nil"/>
              <w:left w:val="nil"/>
              <w:bottom w:val="nil"/>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2000,00 zł</w:t>
            </w:r>
          </w:p>
        </w:tc>
        <w:tc>
          <w:tcPr>
            <w:tcW w:w="2130" w:type="dxa"/>
            <w:tcBorders>
              <w:top w:val="nil"/>
              <w:left w:val="nil"/>
              <w:bottom w:val="nil"/>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5000,00 zł</w:t>
            </w:r>
          </w:p>
        </w:tc>
        <w:tc>
          <w:tcPr>
            <w:tcW w:w="3120" w:type="dxa"/>
            <w:tcBorders>
              <w:top w:val="nil"/>
              <w:left w:val="nil"/>
              <w:bottom w:val="nil"/>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0,00 zł</w:t>
            </w:r>
          </w:p>
        </w:tc>
      </w:tr>
      <w:tr>
        <w:tblPrEx>
          <w:tblW w:w="5000" w:type="pct"/>
          <w:tblLayout w:type="fixed"/>
          <w:tblCellMar>
            <w:left w:w="108" w:type="dxa"/>
            <w:right w:w="108" w:type="dxa"/>
          </w:tblCellMar>
        </w:tblPrEx>
        <w:trPr>
          <w:trHeight w:val="45"/>
        </w:trPr>
        <w:tc>
          <w:tcPr>
            <w:tcW w:w="585" w:type="dxa"/>
            <w:tcBorders>
              <w:top w:val="nil"/>
              <w:left w:val="single" w:sz="2" w:space="0" w:color="auto"/>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6.</w:t>
            </w:r>
          </w:p>
        </w:tc>
        <w:tc>
          <w:tcPr>
            <w:tcW w:w="105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2023</w:t>
            </w:r>
          </w:p>
        </w:tc>
        <w:tc>
          <w:tcPr>
            <w:tcW w:w="3195"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2000,00 zł</w:t>
            </w:r>
          </w:p>
        </w:tc>
        <w:tc>
          <w:tcPr>
            <w:tcW w:w="213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5000,00 zł</w:t>
            </w:r>
          </w:p>
        </w:tc>
        <w:tc>
          <w:tcPr>
            <w:tcW w:w="3120" w:type="dxa"/>
            <w:tcBorders>
              <w:top w:val="nil"/>
              <w:left w:val="nil"/>
              <w:bottom w:val="single" w:sz="2" w:space="0" w:color="auto"/>
              <w:right w:val="single" w:sz="2" w:space="0" w:color="auto"/>
            </w:tcBorders>
            <w:noWrap w:val="0"/>
            <w:textDirection w:val="lrTb"/>
            <w:vAlign w:val="center"/>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0"/>
                <w:u w:val="none" w:color="000000"/>
                <w:shd w:val="clear" w:color="auto" w:fill="auto"/>
                <w:vertAlign w:val="baseline"/>
              </w:rPr>
              <w:t>0,00 zł</w:t>
            </w:r>
          </w:p>
        </w:tc>
      </w:tr>
    </w:tbl>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i w:val="0"/>
          <w:caps w:val="0"/>
          <w:strike w:val="0"/>
          <w:noProof w:val="0"/>
          <w:vanish w:val="0"/>
          <w:color w:val="000000"/>
          <w:sz w:val="24"/>
          <w:u w:val="none" w:color="000000"/>
          <w:shd w:val="clear" w:color="auto" w:fill="auto"/>
          <w:vertAlign w:val="baseline"/>
        </w:rPr>
      </w:pP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i w:val="0"/>
          <w:caps w:val="0"/>
          <w:strike w:val="0"/>
          <w:noProof w:val="0"/>
          <w:vanish w:val="0"/>
          <w:color w:val="000000"/>
          <w:sz w:val="24"/>
          <w:u w:val="none" w:color="000000"/>
          <w:shd w:val="clear" w:color="auto" w:fill="auto"/>
          <w:vertAlign w:val="baseline"/>
        </w:rPr>
      </w:pP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Rozdział 9</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cente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Opis działań mających na celu poprawę wykorzystania i racjonalizację gospodarowania mieszkaniowym zasobem gminy</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i w:val="0"/>
          <w:caps w:val="0"/>
          <w:strike w:val="0"/>
          <w:noProof w:val="0"/>
          <w:vanish w:val="0"/>
          <w:color w:val="000000"/>
          <w:sz w:val="24"/>
          <w:u w:val="none" w:color="000000"/>
          <w:shd w:val="clear" w:color="auto" w:fill="auto"/>
          <w:vertAlign w:val="baseline"/>
        </w:rPr>
        <w:t>§ 18. </w:t>
      </w: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Za niezbędne uznaje się działania zmierzające do poprawy wykorzystania</w:t>
        <w:br/>
        <w:t xml:space="preserve"> i racjonalizacji gospodarowania mieszkaniowym zasobem, w szczególności polegające na:</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1)   prowadzeniu systemowej zamiany lokali, mającej na celu zapewnienie lokali zamiennych osobom zamieszkujących  w budynkach mieszkalnych:</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a)  przeznaczonych do wyłączenia z użytkowania ze względu na zagrożenie życia lub zdrowia mieszkańców,</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b)  przeznaczonych do rozbiórki z uwagi na inwestycje celu publicznego,</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c)  przeznaczonych do zbycia;</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2)   inicjowaniu i prowadzeniu efektywnej zamiany lokali mającej na celu zapewnienie możliwości bieżącego regulowania opłat związanych z najmem lokalu oraz zmniejszenie liczby dłużników;</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3)   zapewnieniu lokali i pomieszczeń tymczasowych w celu bieżącej realizacji wyroków eksmisyjnych;</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4)   poprawie stanu technicznego mieszkaniowego zasobu Gminy;</w:t>
      </w:r>
    </w:p>
    <w:p>
      <w:pPr>
        <w:pStyle w:val="Normal0"/>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5)   rozwoju budownictwa mieszkaniowego;</w:t>
      </w:r>
    </w:p>
    <w:p>
      <w:pPr>
        <w:pStyle w:val="Normal0"/>
        <w:keepNext/>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both"/>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t>6)   zapewnieniu regularnego i terminowego otrzymywania należności z tytułu czynszu.</w:t>
      </w:r>
    </w:p>
    <w:p>
      <w:pPr>
        <w:pStyle w:val="Normal0"/>
        <w:keepNext/>
        <w:keepLines w:val="0"/>
        <w:widowControl/>
        <w:suppressLineNumbers w:val="0"/>
        <w:shd w:val="clear" w:color="auto" w:fill="auto"/>
        <w:suppressAutoHyphens w:val="0"/>
        <w:spacing w:before="0" w:beforeAutospacing="0" w:after="0" w:afterAutospacing="0" w:line="240" w:lineRule="auto"/>
        <w:ind w:left="0" w:right="0" w:firstLine="0"/>
        <w:contextualSpacing w:val="0"/>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r>
        <w:rPr>
          <w:rStyle w:val="DefaultParagraphFont"/>
          <w:b w:val="0"/>
          <w:i w:val="0"/>
          <w:caps w:val="0"/>
          <w:strike w:val="0"/>
          <w:noProof w:val="0"/>
          <w:vanish w:val="0"/>
          <w:color w:val="000000"/>
          <w:u w:val="none"/>
          <w:shd w:val="clear" w:color="auto" w:fill="auto"/>
          <w:vertAlign w:val="baseline"/>
        </w:rPr>
        <w:t> </w:t>
      </w:r>
    </w:p>
    <w:tbl>
      <w:tblPr>
        <w:tblStyle w:val="TableNormal"/>
        <w:tblW w:w="5000" w:type="pct"/>
        <w:tblLayout w:type="fixed"/>
        <w:tblCellMar>
          <w:top w:w="0" w:type="dxa"/>
          <w:left w:w="0" w:type="dxa"/>
          <w:bottom w:w="0" w:type="dxa"/>
          <w:right w:w="0" w:type="dxa"/>
        </w:tblCellMar>
      </w:tblPr>
      <w:tblGrid>
        <w:gridCol w:w="4933"/>
        <w:gridCol w:w="4933"/>
      </w:tblGrid>
      <w:tr>
        <w:tblPrEx>
          <w:tblW w:w="5000" w:type="pct"/>
          <w:tblLayout w:type="fixed"/>
          <w:tblCellMar>
            <w:top w:w="0" w:type="dxa"/>
            <w:left w:w="0" w:type="dxa"/>
            <w:bottom w:w="0" w:type="dxa"/>
            <w:right w:w="0" w:type="dxa"/>
          </w:tblCellMar>
        </w:tblPrEx>
        <w:tc>
          <w:tcPr>
            <w:tcW w:w="4935" w:type="dxa"/>
            <w:noWrap w:val="0"/>
            <w:tcMar>
              <w:top w:w="0" w:type="dxa"/>
              <w:left w:w="0" w:type="dxa"/>
              <w:bottom w:w="0" w:type="dxa"/>
              <w:right w:w="0" w:type="dxa"/>
            </w:tcMar>
            <w:vAlign w:val="top"/>
          </w:tcPr>
          <w:p>
            <w:pPr>
              <w:pStyle w:val="Normal0"/>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rStyle w:val="DefaultParagraphFont"/>
                <w:rFonts w:ascii="Times New Roman" w:hAnsi="Times New Roman"/>
                <w:b w:val="0"/>
                <w:i w:val="0"/>
                <w:caps w:val="0"/>
                <w:strike w:val="0"/>
                <w:noProof w:val="0"/>
                <w:vanish w:val="0"/>
                <w:color w:val="000000"/>
                <w:sz w:val="24"/>
                <w:u w:val="none"/>
                <w:shd w:val="clear" w:color="auto" w:fill="auto"/>
                <w:vertAlign w:val="baseline"/>
              </w:rPr>
            </w:pPr>
          </w:p>
        </w:tc>
        <w:tc>
          <w:tcPr>
            <w:tcW w:w="4935" w:type="dxa"/>
            <w:noWrap w:val="0"/>
            <w:tcMar>
              <w:top w:w="0" w:type="dxa"/>
              <w:left w:w="0" w:type="dxa"/>
              <w:bottom w:w="0" w:type="dxa"/>
              <w:right w:w="0" w:type="dxa"/>
            </w:tcMar>
            <w:vAlign w:val="top"/>
          </w:tcPr>
          <w:p>
            <w:pPr>
              <w:pStyle w:val="Normal0"/>
              <w:keepNext/>
              <w:keepLines/>
              <w:widowControl/>
              <w:suppressLineNumbers w:val="0"/>
              <w:shd w:val="clear" w:color="auto" w:fill="auto"/>
              <w:suppressAutoHyphens w:val="0"/>
              <w:spacing w:before="300" w:beforeAutospacing="0" w:after="0" w:afterAutospacing="0" w:line="240" w:lineRule="auto"/>
              <w:ind w:left="0" w:right="0" w:firstLine="0"/>
              <w:contextualSpacing w:val="0"/>
              <w:jc w:val="center"/>
              <w:rPr>
                <w:rStyle w:val="DefaultParagraphFont"/>
                <w:rFonts w:ascii="Times New Roman" w:hAnsi="Times New Roman"/>
                <w:b/>
                <w:i w:val="0"/>
                <w:caps w:val="0"/>
                <w:strike w:val="0"/>
                <w:noProof w:val="0"/>
                <w:vanish w:val="0"/>
                <w:color w:val="000000"/>
                <w:sz w:val="24"/>
                <w:u w:val="none"/>
                <w:shd w:val="clear" w:color="auto" w:fill="auto"/>
                <w:vertAlign w:val="baseline"/>
              </w:rPr>
            </w:pPr>
            <w:r>
              <w:rPr>
                <w:rStyle w:val="DefaultParagraphFont"/>
                <w:rFonts w:ascii="Times New Roman" w:hAnsi="Times New Roman"/>
                <w:b w:val="0"/>
                <w:i w:val="0"/>
                <w:caps w:val="0"/>
                <w:strike w:val="0"/>
                <w:noProof w:val="0"/>
                <w:vanish w:val="0"/>
                <w:color w:val="000000"/>
                <w:sz w:val="24"/>
                <w:u w:val="none"/>
                <w:shd w:val="clear" w:color="auto" w:fill="auto"/>
                <w:vertAlign w:val="baseline"/>
              </w:rPr>
              <w:fldChar w:fldCharType="begin"/>
            </w:r>
            <w:r>
              <w:rPr>
                <w:rStyle w:val="DefaultParagraphFont"/>
                <w:rFonts w:ascii="Times New Roman" w:hAnsi="Times New Roman"/>
                <w:b w:val="0"/>
                <w:i w:val="0"/>
                <w:caps w:val="0"/>
                <w:strike w:val="0"/>
                <w:noProof w:val="0"/>
                <w:vanish w:val="0"/>
                <w:color w:val="000000"/>
                <w:sz w:val="24"/>
                <w:u w:val="none"/>
                <w:shd w:val="clear" w:color="auto" w:fill="auto"/>
                <w:vertAlign w:val="baseline"/>
              </w:rPr>
              <w:instrText>MERGEFIELD SIGNATURE_0_0__FUNCTION \* MERGEFORMAT</w:instrText>
            </w:r>
            <w:r>
              <w:rPr>
                <w:rStyle w:val="DefaultParagraphFont"/>
                <w:rFonts w:ascii="Times New Roman" w:hAnsi="Times New Roman"/>
                <w:b w:val="0"/>
                <w:i w:val="0"/>
                <w:caps w:val="0"/>
                <w:strike w:val="0"/>
                <w:noProof w:val="0"/>
                <w:vanish w:val="0"/>
                <w:color w:val="000000"/>
                <w:sz w:val="24"/>
                <w:u w:val="none"/>
                <w:shd w:val="clear" w:color="auto" w:fill="auto"/>
                <w:vertAlign w:val="baseline"/>
              </w:rPr>
              <w:fldChar w:fldCharType="separate"/>
            </w:r>
            <w:r>
              <w:rPr>
                <w:rStyle w:val="DefaultParagraphFont"/>
                <w:rFonts w:ascii="Times New Roman" w:hAnsi="Times New Roman"/>
                <w:b w:val="0"/>
                <w:i w:val="0"/>
                <w:caps w:val="0"/>
                <w:strike w:val="0"/>
                <w:noProof w:val="0"/>
                <w:vanish w:val="0"/>
                <w:color w:val="000000"/>
                <w:sz w:val="24"/>
                <w:u w:val="none"/>
                <w:shd w:val="clear" w:color="auto" w:fill="auto"/>
                <w:vertAlign w:val="baseline"/>
              </w:rPr>
              <w:t>Przewodniczący Rady Gminy</w:t>
            </w:r>
            <w:r>
              <w:rPr>
                <w:rStyle w:val="DefaultParagraphFont"/>
                <w:rFonts w:ascii="Times New Roman" w:hAnsi="Times New Roman"/>
                <w:b w:val="0"/>
                <w:i w:val="0"/>
                <w:caps w:val="0"/>
                <w:strike w:val="0"/>
                <w:noProof w:val="0"/>
                <w:vanish w:val="0"/>
                <w:color w:val="000000"/>
                <w:sz w:val="24"/>
                <w:u w:val="none"/>
                <w:shd w:val="clear" w:color="auto" w:fill="auto"/>
                <w:vertAlign w:val="baseline"/>
              </w:rPr>
              <w:fldChar w:fldCharType="end"/>
            </w:r>
            <w:r>
              <w:rPr>
                <w:rStyle w:val="DefaultParagraphFont"/>
                <w:rFonts w:ascii="Times New Roman" w:hAnsi="Times New Roman"/>
                <w:b w:val="0"/>
                <w:i w:val="0"/>
                <w:caps w:val="0"/>
                <w:strike w:val="0"/>
                <w:noProof w:val="0"/>
                <w:vanish w:val="0"/>
                <w:color w:val="000000"/>
                <w:sz w:val="24"/>
                <w:u w:val="none"/>
                <w:shd w:val="clear" w:color="auto" w:fill="auto"/>
                <w:vertAlign w:val="baseline"/>
              </w:rPr>
              <w:br/>
              <w:br/>
              <w:br/>
            </w:r>
            <w:r>
              <w:rPr>
                <w:rStyle w:val="DefaultParagraphFont"/>
                <w:rFonts w:ascii="Times New Roman" w:hAnsi="Times New Roman"/>
                <w:b/>
                <w:i w:val="0"/>
                <w:caps w:val="0"/>
                <w:strike w:val="0"/>
                <w:noProof w:val="0"/>
                <w:vanish w:val="0"/>
                <w:color w:val="000000"/>
                <w:sz w:val="24"/>
                <w:u w:val="none"/>
                <w:shd w:val="clear" w:color="auto" w:fill="auto"/>
                <w:vertAlign w:val="baseline"/>
              </w:rPr>
              <w:fldChar w:fldCharType="begin"/>
            </w:r>
            <w:r>
              <w:rPr>
                <w:rStyle w:val="DefaultParagraphFont"/>
                <w:rFonts w:ascii="Times New Roman" w:hAnsi="Times New Roman"/>
                <w:b/>
                <w:i w:val="0"/>
                <w:caps w:val="0"/>
                <w:strike w:val="0"/>
                <w:noProof w:val="0"/>
                <w:vanish w:val="0"/>
                <w:color w:val="000000"/>
                <w:sz w:val="24"/>
                <w:u w:val="none"/>
                <w:shd w:val="clear" w:color="auto" w:fill="auto"/>
                <w:vertAlign w:val="baseline"/>
              </w:rPr>
              <w:instrText>MERGEFIELD SIGNATURE_0_0_TITLE \* MERGEFORMAT</w:instrText>
            </w:r>
            <w:r>
              <w:rPr>
                <w:rStyle w:val="DefaultParagraphFont"/>
                <w:rFonts w:ascii="Times New Roman" w:hAnsi="Times New Roman"/>
                <w:b/>
                <w:i w:val="0"/>
                <w:caps w:val="0"/>
                <w:strike w:val="0"/>
                <w:noProof w:val="0"/>
                <w:vanish w:val="0"/>
                <w:color w:val="000000"/>
                <w:sz w:val="24"/>
                <w:u w:val="none"/>
                <w:shd w:val="clear" w:color="auto" w:fill="auto"/>
                <w:vertAlign w:val="baseline"/>
              </w:rPr>
              <w:fldChar w:fldCharType="separate"/>
            </w:r>
            <w:r>
              <w:rPr>
                <w:rStyle w:val="DefaultParagraphFont"/>
                <w:rFonts w:ascii="Times New Roman" w:hAnsi="Times New Roman"/>
                <w:b/>
                <w:i w:val="0"/>
                <w:caps w:val="0"/>
                <w:strike w:val="0"/>
                <w:noProof w:val="0"/>
                <w:vanish w:val="0"/>
                <w:color w:val="000000"/>
                <w:sz w:val="24"/>
                <w:u w:val="none"/>
                <w:shd w:val="clear" w:color="auto" w:fill="auto"/>
                <w:vertAlign w:val="baseline"/>
              </w:rPr>
              <w:t>mgr</w:t>
            </w:r>
            <w:r>
              <w:rPr>
                <w:rStyle w:val="DefaultParagraphFont"/>
                <w:rFonts w:ascii="Times New Roman" w:hAnsi="Times New Roman"/>
                <w:b/>
                <w:i w:val="0"/>
                <w:caps w:val="0"/>
                <w:strike w:val="0"/>
                <w:noProof w:val="0"/>
                <w:vanish w:val="0"/>
                <w:color w:val="000000"/>
                <w:sz w:val="24"/>
                <w:u w:val="none"/>
                <w:shd w:val="clear" w:color="auto" w:fill="auto"/>
                <w:vertAlign w:val="baseline"/>
              </w:rPr>
              <w:fldChar w:fldCharType="end"/>
            </w:r>
            <w:r>
              <w:rPr>
                <w:rStyle w:val="DefaultParagraphFont"/>
                <w:rFonts w:ascii="Times New Roman" w:hAnsi="Times New Roman"/>
                <w:b/>
                <w:i w:val="0"/>
                <w:caps w:val="0"/>
                <w:strike w:val="0"/>
                <w:noProof w:val="0"/>
                <w:vanish w:val="0"/>
                <w:color w:val="000000"/>
                <w:sz w:val="24"/>
                <w:u w:val="none"/>
                <w:shd w:val="clear" w:color="auto" w:fill="auto"/>
                <w:vertAlign w:val="baseline"/>
              </w:rPr>
              <w:t> </w:t>
            </w:r>
            <w:r>
              <w:rPr>
                <w:rStyle w:val="DefaultParagraphFont"/>
                <w:rFonts w:ascii="Times New Roman" w:hAnsi="Times New Roman"/>
                <w:b/>
                <w:i w:val="0"/>
                <w:caps w:val="0"/>
                <w:strike w:val="0"/>
                <w:noProof w:val="0"/>
                <w:vanish w:val="0"/>
                <w:color w:val="000000"/>
                <w:sz w:val="24"/>
                <w:u w:val="none"/>
                <w:shd w:val="clear" w:color="auto" w:fill="auto"/>
                <w:vertAlign w:val="baseline"/>
              </w:rPr>
              <w:fldChar w:fldCharType="begin"/>
            </w:r>
            <w:r>
              <w:rPr>
                <w:rStyle w:val="DefaultParagraphFont"/>
                <w:rFonts w:ascii="Times New Roman" w:hAnsi="Times New Roman"/>
                <w:b/>
                <w:i w:val="0"/>
                <w:caps w:val="0"/>
                <w:strike w:val="0"/>
                <w:noProof w:val="0"/>
                <w:vanish w:val="0"/>
                <w:color w:val="000000"/>
                <w:sz w:val="24"/>
                <w:u w:val="none"/>
                <w:shd w:val="clear" w:color="auto" w:fill="auto"/>
                <w:vertAlign w:val="baseline"/>
              </w:rPr>
              <w:instrText>MERGEFIELD SIGNATURE_0_0_FIRSTNAME \* MERGEFORMAT</w:instrText>
            </w:r>
            <w:r>
              <w:rPr>
                <w:rStyle w:val="DefaultParagraphFont"/>
                <w:rFonts w:ascii="Times New Roman" w:hAnsi="Times New Roman"/>
                <w:b/>
                <w:i w:val="0"/>
                <w:caps w:val="0"/>
                <w:strike w:val="0"/>
                <w:noProof w:val="0"/>
                <w:vanish w:val="0"/>
                <w:color w:val="000000"/>
                <w:sz w:val="24"/>
                <w:u w:val="none"/>
                <w:shd w:val="clear" w:color="auto" w:fill="auto"/>
                <w:vertAlign w:val="baseline"/>
              </w:rPr>
              <w:fldChar w:fldCharType="separate"/>
            </w:r>
            <w:r>
              <w:rPr>
                <w:rStyle w:val="DefaultParagraphFont"/>
                <w:rFonts w:ascii="Times New Roman" w:hAnsi="Times New Roman"/>
                <w:b/>
                <w:i w:val="0"/>
                <w:caps w:val="0"/>
                <w:strike w:val="0"/>
                <w:noProof w:val="0"/>
                <w:vanish w:val="0"/>
                <w:color w:val="000000"/>
                <w:sz w:val="24"/>
                <w:u w:val="none"/>
                <w:shd w:val="clear" w:color="auto" w:fill="auto"/>
                <w:vertAlign w:val="baseline"/>
              </w:rPr>
              <w:t>Sylwester</w:t>
            </w:r>
            <w:r>
              <w:rPr>
                <w:rStyle w:val="DefaultParagraphFont"/>
                <w:rFonts w:ascii="Times New Roman" w:hAnsi="Times New Roman"/>
                <w:b/>
                <w:i w:val="0"/>
                <w:caps w:val="0"/>
                <w:strike w:val="0"/>
                <w:noProof w:val="0"/>
                <w:vanish w:val="0"/>
                <w:color w:val="000000"/>
                <w:sz w:val="24"/>
                <w:u w:val="none"/>
                <w:shd w:val="clear" w:color="auto" w:fill="auto"/>
                <w:vertAlign w:val="baseline"/>
              </w:rPr>
              <w:fldChar w:fldCharType="end"/>
            </w:r>
            <w:r>
              <w:rPr>
                <w:rStyle w:val="DefaultParagraphFont"/>
                <w:rFonts w:ascii="Times New Roman" w:hAnsi="Times New Roman"/>
                <w:b/>
                <w:i w:val="0"/>
                <w:caps w:val="0"/>
                <w:strike w:val="0"/>
                <w:noProof w:val="0"/>
                <w:vanish w:val="0"/>
                <w:color w:val="000000"/>
                <w:sz w:val="24"/>
                <w:u w:val="none"/>
                <w:shd w:val="clear" w:color="auto" w:fill="auto"/>
                <w:vertAlign w:val="baseline"/>
              </w:rPr>
              <w:t> </w:t>
            </w:r>
            <w:r>
              <w:rPr>
                <w:rStyle w:val="DefaultParagraphFont"/>
                <w:rFonts w:ascii="Times New Roman" w:hAnsi="Times New Roman"/>
                <w:b/>
                <w:i w:val="0"/>
                <w:caps w:val="0"/>
                <w:strike w:val="0"/>
                <w:noProof w:val="0"/>
                <w:vanish w:val="0"/>
                <w:color w:val="000000"/>
                <w:sz w:val="24"/>
                <w:u w:val="none"/>
                <w:shd w:val="clear" w:color="auto" w:fill="auto"/>
                <w:vertAlign w:val="baseline"/>
              </w:rPr>
              <w:fldChar w:fldCharType="begin"/>
            </w:r>
            <w:r>
              <w:rPr>
                <w:rStyle w:val="DefaultParagraphFont"/>
                <w:rFonts w:ascii="Times New Roman" w:hAnsi="Times New Roman"/>
                <w:b/>
                <w:i w:val="0"/>
                <w:caps w:val="0"/>
                <w:strike w:val="0"/>
                <w:noProof w:val="0"/>
                <w:vanish w:val="0"/>
                <w:color w:val="000000"/>
                <w:sz w:val="24"/>
                <w:u w:val="none"/>
                <w:shd w:val="clear" w:color="auto" w:fill="auto"/>
                <w:vertAlign w:val="baseline"/>
              </w:rPr>
              <w:instrText>MERGEFIELD SIGNATURE_0_0_LASTNAME \* MERGEFORMAT</w:instrText>
            </w:r>
            <w:r>
              <w:rPr>
                <w:rStyle w:val="DefaultParagraphFont"/>
                <w:rFonts w:ascii="Times New Roman" w:hAnsi="Times New Roman"/>
                <w:b/>
                <w:i w:val="0"/>
                <w:caps w:val="0"/>
                <w:strike w:val="0"/>
                <w:noProof w:val="0"/>
                <w:vanish w:val="0"/>
                <w:color w:val="000000"/>
                <w:sz w:val="24"/>
                <w:u w:val="none"/>
                <w:shd w:val="clear" w:color="auto" w:fill="auto"/>
                <w:vertAlign w:val="baseline"/>
              </w:rPr>
              <w:fldChar w:fldCharType="separate"/>
            </w:r>
            <w:r>
              <w:rPr>
                <w:rStyle w:val="DefaultParagraphFont"/>
                <w:rFonts w:ascii="Times New Roman" w:hAnsi="Times New Roman"/>
                <w:b/>
                <w:i w:val="0"/>
                <w:caps w:val="0"/>
                <w:strike w:val="0"/>
                <w:noProof w:val="0"/>
                <w:vanish w:val="0"/>
                <w:color w:val="000000"/>
                <w:sz w:val="24"/>
                <w:u w:val="none"/>
                <w:shd w:val="clear" w:color="auto" w:fill="auto"/>
                <w:vertAlign w:val="baseline"/>
              </w:rPr>
              <w:t>Rozumek</w:t>
            </w:r>
            <w:r>
              <w:rPr>
                <w:rStyle w:val="DefaultParagraphFont"/>
                <w:rFonts w:ascii="Times New Roman" w:hAnsi="Times New Roman"/>
                <w:b/>
                <w:i w:val="0"/>
                <w:caps w:val="0"/>
                <w:strike w:val="0"/>
                <w:noProof w:val="0"/>
                <w:vanish w:val="0"/>
                <w:color w:val="000000"/>
                <w:sz w:val="24"/>
                <w:u w:val="none"/>
                <w:shd w:val="clear" w:color="auto" w:fill="auto"/>
                <w:vertAlign w:val="baseline"/>
              </w:rPr>
              <w:fldChar w:fldCharType="end"/>
            </w:r>
            <w:r>
              <w:rPr>
                <w:rStyle w:val="DefaultParagraphFont"/>
                <w:rFonts w:ascii="Times New Roman" w:hAnsi="Times New Roman"/>
                <w:b/>
                <w:i w:val="0"/>
                <w:caps w:val="0"/>
                <w:strike w:val="0"/>
                <w:noProof w:val="0"/>
                <w:vanish w:val="0"/>
                <w:color w:val="000000"/>
                <w:sz w:val="24"/>
                <w:u w:val="none"/>
                <w:shd w:val="clear" w:color="auto" w:fill="auto"/>
                <w:vertAlign w:val="baseline"/>
              </w:rPr>
              <w:t> </w:t>
            </w:r>
          </w:p>
        </w:tc>
      </w:tr>
    </w:tbl>
    <w:p>
      <w:pPr>
        <w:pStyle w:val="Normal0"/>
        <w:keepNext/>
        <w:keepLines w:val="0"/>
        <w:widowControl/>
        <w:suppressLineNumbers w:val="0"/>
        <w:shd w:val="clear" w:color="auto" w:fill="auto"/>
        <w:suppressAutoHyphens w:val="0"/>
        <w:spacing w:before="0" w:beforeAutospacing="0" w:after="0" w:afterAutospacing="0" w:line="240" w:lineRule="auto"/>
        <w:ind w:left="0" w:right="0" w:firstLine="0"/>
        <w:contextualSpacing w:val="0"/>
        <w:rPr>
          <w:rStyle w:val="DefaultParagraphFont"/>
          <w:rFonts w:ascii="Times New Roman" w:hAnsi="Times New Roman"/>
          <w:b w:val="0"/>
          <w:i w:val="0"/>
          <w:caps w:val="0"/>
          <w:strike w:val="0"/>
          <w:noProof w:val="0"/>
          <w:vanish w:val="0"/>
          <w:color w:val="000000"/>
          <w:sz w:val="24"/>
          <w:u w:val="none" w:color="000000"/>
          <w:shd w:val="clear" w:color="auto" w:fill="auto"/>
          <w:vertAlign w:val="baseline"/>
        </w:rPr>
      </w:pPr>
    </w:p>
    <w:sectPr>
      <w:endnotePr>
        <w:numFmt w:val="decimal"/>
      </w:endnotePr>
      <w:type w:val="nextPage"/>
      <w:pgSz w:w="11906" w:h="16838" w:code="0"/>
      <w:pgMar w:top="1417" w:right="1020" w:bottom="992" w:left="10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rPr>
        <w:footnoteRef/>
      </w:r>
      <w:r>
        <w:rPr>
          <w:vertAlign w:val="superscript"/>
        </w:rPr>
        <w:t>) </w:t>
      </w:r>
      <w:r>
        <w:rPr>
          <w:rFonts w:ascii="Times New Roman" w:eastAsia="Times New Roman" w:hAnsi="Times New Roman" w:cs="Times New Roman"/>
          <w:b w:val="0"/>
          <w:caps w:val="0"/>
          <w:sz w:val="20"/>
        </w:rPr>
        <w:t>Zmiany tekstu jednolitego wymienionej ustawy zostały ogłoszone w Dz. U. z 2017 poz. 1442, Dz. U. z 2017 poz. 1529, Dz. U i z  2018 poz. 374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 w:type="paragraph" w:customStyle="1" w:styleId="Normal0">
    <w:name w:val="Normal_0"/>
    <w:qFormat/>
    <w:pPr>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Gminy Ostrów Mazowiecka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XXXV/330/18 z dnia 30 maja 2018 r.</dc:title>
  <dc:subject>w sprawie zmiany uchwały Rady Gminy Ostrów Mazowiecka z^dnia 23^marca 2018^r. Nr XXXIII/309/18  w^sprawie uchwalenia wieloletniego programu gospodarowania mieszkaniowym zasobem gminy Ostrów Mazowiecka na lata 2018-2023</dc:subject>
  <dc:creator>user</dc:creator>
  <cp:lastModifiedBy>user</cp:lastModifiedBy>
  <cp:revision>1</cp:revision>
  <dcterms:created xsi:type="dcterms:W3CDTF">2018-06-01T14:38:05Z</dcterms:created>
  <dcterms:modified xsi:type="dcterms:W3CDTF">2018-06-01T14:38:05Z</dcterms:modified>
  <cp:category>Akt prawny</cp:category>
</cp:coreProperties>
</file>