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BB8" w:rsidRPr="00275B28" w:rsidRDefault="00A47BB8" w:rsidP="00A47BB8">
      <w:pPr>
        <w:spacing w:after="0"/>
        <w:ind w:left="5664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42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1758D2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A47BB8" w:rsidRPr="00275B28" w:rsidRDefault="00A47BB8" w:rsidP="00A47BB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A47BB8" w:rsidRDefault="00A47BB8" w:rsidP="00A47BB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1758D2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A47BB8" w:rsidRPr="00A47BB8" w:rsidRDefault="00A47BB8" w:rsidP="00A47BB8">
      <w:pPr>
        <w:spacing w:after="0"/>
        <w:rPr>
          <w:rFonts w:ascii="Times New Roman" w:hAnsi="Times New Roman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334"/>
      </w:tblGrid>
      <w:tr w:rsidR="00984565" w:rsidRPr="003E6717" w:rsidTr="003F0690">
        <w:trPr>
          <w:tblCellSpacing w:w="0" w:type="dxa"/>
        </w:trPr>
        <w:tc>
          <w:tcPr>
            <w:tcW w:w="0" w:type="auto"/>
            <w:vAlign w:val="center"/>
            <w:hideMark/>
          </w:tcPr>
          <w:p w:rsidR="00984565" w:rsidRPr="001F4F07" w:rsidRDefault="00984565" w:rsidP="003F069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984565" w:rsidRPr="003E6717" w:rsidRDefault="00984565" w:rsidP="00984565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257"/>
      </w:tblGrid>
      <w:tr w:rsidR="00984565" w:rsidRPr="003E6717" w:rsidTr="003E3E43">
        <w:trPr>
          <w:tblCellSpacing w:w="37" w:type="dxa"/>
        </w:trPr>
        <w:tc>
          <w:tcPr>
            <w:tcW w:w="4920" w:type="pct"/>
            <w:vAlign w:val="center"/>
            <w:hideMark/>
          </w:tcPr>
          <w:p w:rsidR="00984565" w:rsidRPr="00B30F14" w:rsidRDefault="00014EE6" w:rsidP="003F06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STATUT</w:t>
            </w:r>
            <w:r w:rsidR="00984565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OSIEDLA WOJSKOWEGO</w:t>
            </w:r>
            <w:r w:rsidR="00984565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 KOMOROWO</w:t>
            </w:r>
          </w:p>
          <w:p w:rsidR="00984565" w:rsidRDefault="00984565" w:rsidP="003F06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Default="00984565" w:rsidP="003F0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984565" w:rsidRPr="00563261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Default="00014EE6" w:rsidP="003F0690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Ogół mieszkańców Osiedla Wojskowego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Komorowo</w:t>
            </w:r>
            <w:r w:rsidR="00984565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tworz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 samorząd mieszkańców Osiedla Wojskowego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Komorowo</w:t>
            </w:r>
            <w:r w:rsidR="00984565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563261" w:rsidRDefault="00014EE6" w:rsidP="003F0690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osiedla brzmi: 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Osiedle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Wojskowe 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Komorowo</w:t>
            </w:r>
            <w:r w:rsidR="00984565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984565" w:rsidRPr="00563261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Default="00984565" w:rsidP="003F0690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Osiedle </w:t>
            </w:r>
            <w:r w:rsidR="00014EE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Wojskowe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Komorowo</w:t>
            </w:r>
            <w:r w:rsidR="00014EE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zwane dalej Osiedlem,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984565" w:rsidRDefault="00014EE6" w:rsidP="003F0690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Osiedle </w:t>
            </w:r>
            <w:r w:rsidR="00984565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działa na podstawie przepisów prawa, a w szczególności: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984565" w:rsidRPr="00A47BB8" w:rsidRDefault="00984565" w:rsidP="003F0690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47B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3.</w:t>
            </w:r>
          </w:p>
          <w:p w:rsidR="00984565" w:rsidRPr="00563261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Pr="00A47BB8" w:rsidRDefault="00A47BB8" w:rsidP="00A47BB8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Osiedle</w:t>
            </w:r>
            <w:r w:rsidR="00984565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984565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 w:rsidR="00C66D7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</w:t>
            </w:r>
            <w:r w:rsidR="00C66D7D" w:rsidRPr="00C66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teren ulic:</w:t>
            </w:r>
            <w:r w:rsidR="00C66D7D" w:rsidRPr="00C66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K</w:t>
            </w:r>
            <w:r w:rsidR="00C66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ościelnej – numery 3, 4, 5, 6</w:t>
            </w:r>
            <w:r w:rsidR="00C66D7D" w:rsidRPr="00C66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; Cegielnianej – numery 90A, 90B, </w:t>
            </w:r>
            <w:smartTag w:uri="urn:schemas-microsoft-com:office:smarttags" w:element="metricconverter">
              <w:smartTagPr>
                <w:attr w:name="ProductID" w:val="90C"/>
              </w:smartTagPr>
              <w:r w:rsidR="00C66D7D" w:rsidRPr="00C66D7D">
                <w:rPr>
                  <w:rFonts w:ascii="Times New Roman" w:hAnsi="Times New Roman"/>
                  <w:b/>
                  <w:bCs/>
                  <w:iCs/>
                  <w:sz w:val="24"/>
                  <w:szCs w:val="24"/>
                </w:rPr>
                <w:t>90C</w:t>
              </w:r>
            </w:smartTag>
            <w:r w:rsidR="00C66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, 90D</w:t>
            </w:r>
            <w:r w:rsidR="00C66D7D" w:rsidRPr="00C66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; Bociańskiego </w:t>
            </w:r>
            <w:r w:rsidR="00C66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– numer </w:t>
            </w:r>
            <w:r w:rsidR="00C66D7D" w:rsidRPr="00C66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  <w:r w:rsidR="00C66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w miejscowości Komorowo.</w:t>
            </w:r>
          </w:p>
          <w:p w:rsidR="00A47BB8" w:rsidRPr="00A47BB8" w:rsidRDefault="00A47BB8" w:rsidP="00A47BB8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</w:p>
          <w:p w:rsidR="00984565" w:rsidRPr="00563261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984565" w:rsidRDefault="00984565" w:rsidP="003F06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="00C66D7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Osiedle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984565" w:rsidRDefault="00984565" w:rsidP="00A4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Default="00984565" w:rsidP="00A4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</w:t>
            </w:r>
            <w:r w:rsidR="00C66D7D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iałania, cele i zadania osiedla</w:t>
            </w:r>
          </w:p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Pr="00563261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984565" w:rsidRPr="00563261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Default="00C66D7D" w:rsidP="003F0690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Osiedle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wykonuje</w:t>
            </w:r>
            <w:r w:rsidR="00984565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984565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984565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zastrzeż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984565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984565" w:rsidRDefault="00C66D7D" w:rsidP="003F0690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osiedla</w:t>
            </w:r>
            <w:r w:rsidR="00984565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jest podejmowanie działań na rzecz wspierania i upowszechniania idei samorzą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dowej wśród jego mieszkańców</w:t>
            </w:r>
            <w:r w:rsidR="00984565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203454" w:rsidRDefault="00984565" w:rsidP="003F0690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Do </w:t>
            </w:r>
            <w:r w:rsidR="00C66D7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zadań osiedla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984565" w:rsidRPr="00C66D7D" w:rsidRDefault="00984565" w:rsidP="00C66D7D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udział mieszkańców w rozpatrywaniu spraw istotnych dla</w:t>
            </w:r>
            <w:r w:rsidR="00C66D7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prawidłowego działania osiedla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w tym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84565" w:rsidRDefault="00984565" w:rsidP="00984565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opiniowanie spraw należący</w:t>
            </w:r>
            <w:r w:rsidR="00C66D7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ch do zakresu działania osiedla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</w:p>
          <w:p w:rsidR="00984565" w:rsidRDefault="00984565" w:rsidP="00984565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C66D7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osiedla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984565" w:rsidRPr="00B44890" w:rsidRDefault="00984565" w:rsidP="00984565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D17510" w:rsidRDefault="00984565" w:rsidP="003F06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84565" w:rsidRPr="00D17510" w:rsidRDefault="00984565" w:rsidP="003F06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84565" w:rsidRDefault="00C66D7D" w:rsidP="003F06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Osiedla.</w:t>
            </w:r>
          </w:p>
          <w:p w:rsidR="00984565" w:rsidRPr="00D17510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84565" w:rsidRPr="00036F20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984565" w:rsidRPr="00472EBF" w:rsidRDefault="00984565" w:rsidP="003F06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Pr="00B44890" w:rsidRDefault="00C66D7D" w:rsidP="003F06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osiedla</w:t>
            </w:r>
            <w:r w:rsidR="00984565"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są:</w:t>
            </w:r>
          </w:p>
          <w:p w:rsidR="00984565" w:rsidRPr="00D90CB7" w:rsidRDefault="00B46D7B" w:rsidP="00D90CB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 zebranie mieszkańców</w:t>
            </w:r>
            <w:r w:rsidR="00984565"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984565" w:rsidRDefault="00B46D7B" w:rsidP="003F06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90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 osiedla</w:t>
            </w:r>
            <w:r w:rsidR="00D90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na czele któr</w:t>
            </w:r>
            <w:r w:rsidR="00910E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ego stoi przewodniczący zarządu;</w:t>
            </w:r>
          </w:p>
          <w:p w:rsidR="00910E4E" w:rsidRPr="00D90CB7" w:rsidRDefault="00910E4E" w:rsidP="003F06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rewizyjna.</w:t>
            </w:r>
          </w:p>
          <w:p w:rsidR="00984565" w:rsidRPr="00D17510" w:rsidRDefault="00984565" w:rsidP="003F069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984565" w:rsidRPr="00472EBF" w:rsidRDefault="00984565" w:rsidP="003F069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Pr="00036F20" w:rsidRDefault="00444ADF" w:rsidP="003F069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 zebranie mieszkańców</w:t>
            </w:r>
            <w:r w:rsidR="00984565"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jest or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ganem uchwałodawczym osiedla</w:t>
            </w:r>
            <w:r w:rsidR="00984565"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</w:t>
            </w:r>
            <w:r w:rsidR="00444A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ogólnym zebraniu mieszkańców</w:t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444A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mają wszyscy mieszkańcy osiedla</w:t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stałe w nim zamieszkujący i posiadający czynne prawo wyborcze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444ADF" w:rsidP="003F069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 zebranie mieszkańców</w:t>
            </w:r>
            <w:r w:rsidR="00984565"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podejmuje uchwały we wszystkich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sprawach należących do kompetencji osiedla.</w:t>
            </w:r>
            <w:r w:rsidR="00984565"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 wyłącznej właściwości </w:t>
            </w:r>
            <w:r w:rsidR="00444A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ogólnego zebrania mieszkańców</w:t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należy:</w:t>
            </w:r>
          </w:p>
          <w:p w:rsidR="00984565" w:rsidRDefault="00D90CB7" w:rsidP="003F0690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przewodniczącego zarządu</w:t>
            </w:r>
            <w:r w:rsidR="00D862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osiedla,</w:t>
            </w:r>
            <w:r w:rsidR="00661D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zarządu</w:t>
            </w:r>
            <w:r w:rsidR="00444A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osiedla</w:t>
            </w:r>
            <w:r w:rsidR="00D862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komisji rewizyjnej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ich odwołanie,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="00444A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osiedlu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984565" w:rsidRPr="00472EBF" w:rsidRDefault="00984565" w:rsidP="003F0690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661D6A" w:rsidRPr="00661D6A" w:rsidRDefault="005D1304" w:rsidP="00425602">
            <w:pPr>
              <w:pStyle w:val="Akapitzlist"/>
              <w:numPr>
                <w:ilvl w:val="0"/>
                <w:numId w:val="2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61D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</w:t>
            </w:r>
            <w:r w:rsidR="00661D6A" w:rsidRPr="00661D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anem wykonawczym osiedla jest zarząd</w:t>
            </w:r>
            <w:r w:rsidRPr="00661D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osiedla</w:t>
            </w:r>
            <w:r w:rsidR="00F932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zwany dalej zarządem</w:t>
            </w:r>
            <w:r w:rsidR="00984565" w:rsidRPr="00661D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8E4725" w:rsidRDefault="00F932DF" w:rsidP="00425602">
            <w:pPr>
              <w:pStyle w:val="Akapitzlist"/>
              <w:numPr>
                <w:ilvl w:val="0"/>
                <w:numId w:val="2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skład zarządu  </w:t>
            </w:r>
            <w:r w:rsidR="009040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wchodzi 5 osób: przewodniczący zarządu, jego zastępca, sekretarz, skarbnik i jeden członek zarządu.</w:t>
            </w:r>
          </w:p>
          <w:p w:rsidR="00C65973" w:rsidRPr="00C65973" w:rsidRDefault="00C65973" w:rsidP="00425602">
            <w:pPr>
              <w:pStyle w:val="Akapitzlist"/>
              <w:numPr>
                <w:ilvl w:val="0"/>
                <w:numId w:val="2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ów i kompetencji zarządu</w:t>
            </w: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należy:</w:t>
            </w:r>
          </w:p>
          <w:p w:rsidR="00C65973" w:rsidRPr="00C65973" w:rsidRDefault="00C65973" w:rsidP="00425602">
            <w:pPr>
              <w:numPr>
                <w:ilvl w:val="1"/>
                <w:numId w:val="24"/>
              </w:numPr>
              <w:tabs>
                <w:tab w:val="clear" w:pos="1440"/>
                <w:tab w:val="num" w:pos="993"/>
              </w:tabs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i koordynacja inicjatyw i przedsięwzięć lokalnych mających na celu poprawę warunków życia społeczności osiedla,</w:t>
            </w:r>
          </w:p>
          <w:p w:rsidR="00C65973" w:rsidRDefault="00C65973" w:rsidP="00425602">
            <w:pPr>
              <w:numPr>
                <w:ilvl w:val="1"/>
                <w:numId w:val="24"/>
              </w:numPr>
              <w:tabs>
                <w:tab w:val="clear" w:pos="1440"/>
                <w:tab w:val="num" w:pos="993"/>
              </w:tabs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przygotowywanie projektów uchwał zebrania ogólnego mieszkańców,</w:t>
            </w:r>
          </w:p>
          <w:p w:rsidR="00C65973" w:rsidRPr="00C65973" w:rsidRDefault="00323414" w:rsidP="00425602">
            <w:pPr>
              <w:numPr>
                <w:ilvl w:val="1"/>
                <w:numId w:val="24"/>
              </w:numPr>
              <w:tabs>
                <w:tab w:val="clear" w:pos="1440"/>
                <w:tab w:val="num" w:pos="993"/>
              </w:tabs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215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realizacja</w:t>
            </w:r>
            <w:r w:rsidR="00C65973"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uchwał zebrania ogólnego mieszkańców</w:t>
            </w:r>
            <w:r w:rsidR="00B21526" w:rsidRPr="00B215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uchwał i zarządzeń organów gminy;</w:t>
            </w:r>
          </w:p>
          <w:p w:rsidR="00C65973" w:rsidRDefault="00C65973" w:rsidP="00425602">
            <w:pPr>
              <w:numPr>
                <w:ilvl w:val="1"/>
                <w:numId w:val="24"/>
              </w:numPr>
              <w:tabs>
                <w:tab w:val="clear" w:pos="1440"/>
                <w:tab w:val="num" w:pos="993"/>
              </w:tabs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składanie informacji ze swej działalności na zebraniach ogólnych mieszkańców,</w:t>
            </w:r>
          </w:p>
          <w:p w:rsidR="00323414" w:rsidRPr="00C65973" w:rsidRDefault="00323414" w:rsidP="00425602">
            <w:pPr>
              <w:numPr>
                <w:ilvl w:val="1"/>
                <w:numId w:val="24"/>
              </w:numPr>
              <w:tabs>
                <w:tab w:val="clear" w:pos="1440"/>
                <w:tab w:val="num" w:pos="993"/>
              </w:tabs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usu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publicznego na terenie osiedla;</w:t>
            </w:r>
          </w:p>
          <w:p w:rsidR="00C65973" w:rsidRPr="00C65973" w:rsidRDefault="00C65973" w:rsidP="00425602">
            <w:pPr>
              <w:numPr>
                <w:ilvl w:val="1"/>
                <w:numId w:val="24"/>
              </w:numPr>
              <w:tabs>
                <w:tab w:val="clear" w:pos="1440"/>
                <w:tab w:val="num" w:pos="993"/>
              </w:tabs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zarządzanie, zgodnie z przepisami prawa, środkami finansowymi i gospodarowanie składnikami mienia, które rada gminy przekazała osiedlu,</w:t>
            </w:r>
          </w:p>
          <w:p w:rsidR="00C65973" w:rsidRPr="00C65973" w:rsidRDefault="00C65973" w:rsidP="00425602">
            <w:pPr>
              <w:numPr>
                <w:ilvl w:val="1"/>
                <w:numId w:val="24"/>
              </w:numPr>
              <w:tabs>
                <w:tab w:val="clear" w:pos="1440"/>
                <w:tab w:val="num" w:pos="993"/>
              </w:tabs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wykonywanie innych zadań wynikających z przepisów prawa,</w:t>
            </w:r>
          </w:p>
          <w:p w:rsidR="00B21526" w:rsidRPr="00C65973" w:rsidRDefault="00C65973" w:rsidP="00425602">
            <w:pPr>
              <w:numPr>
                <w:ilvl w:val="1"/>
                <w:numId w:val="24"/>
              </w:numPr>
              <w:tabs>
                <w:tab w:val="clear" w:pos="1440"/>
                <w:tab w:val="num" w:pos="993"/>
              </w:tabs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współpraca </w:t>
            </w:r>
            <w:r w:rsidR="00323414"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 radnymi </w:t>
            </w:r>
            <w:r w:rsidR="0032341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szczególności</w:t>
            </w:r>
            <w:r w:rsidRPr="00C659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 terenu osiedla </w:t>
            </w:r>
          </w:p>
          <w:p w:rsidR="00B21526" w:rsidRDefault="00B21526" w:rsidP="00425602">
            <w:pPr>
              <w:pStyle w:val="Akapitzlist"/>
              <w:numPr>
                <w:ilvl w:val="0"/>
                <w:numId w:val="2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215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Posiedzenia zarządu odbywają się co najmniej raz na pół roku.</w:t>
            </w:r>
          </w:p>
          <w:p w:rsidR="006C1F04" w:rsidRDefault="006C1F04" w:rsidP="00425602">
            <w:pPr>
              <w:pStyle w:val="Akapitzlist"/>
              <w:numPr>
                <w:ilvl w:val="0"/>
                <w:numId w:val="2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 posiedzenia zarządu </w:t>
            </w:r>
            <w:r w:rsidR="00AC350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sporządza się protokół, do którego załącza się podjęte uchwały.</w:t>
            </w:r>
          </w:p>
          <w:p w:rsidR="00A66D97" w:rsidRDefault="00A66D97" w:rsidP="00425602">
            <w:pPr>
              <w:pStyle w:val="Akapitzlist"/>
              <w:numPr>
                <w:ilvl w:val="0"/>
                <w:numId w:val="2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Uchwały </w:t>
            </w:r>
            <w:r w:rsidR="006C1F0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arządu zapadają zwykłą większością głosów przy</w:t>
            </w:r>
            <w:r w:rsidR="006C1F0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obecności co najmniej połowy członków.</w:t>
            </w:r>
          </w:p>
          <w:p w:rsidR="00425602" w:rsidRPr="008D2A45" w:rsidRDefault="00425602" w:rsidP="00425602">
            <w:pPr>
              <w:pStyle w:val="Akapitzlist"/>
              <w:spacing w:after="0"/>
              <w:ind w:left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B21526" w:rsidRPr="00425602" w:rsidRDefault="00425602" w:rsidP="0034239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425602" w:rsidRDefault="00425602" w:rsidP="00425602">
            <w:pPr>
              <w:pStyle w:val="Akapitzlist"/>
              <w:spacing w:after="0"/>
              <w:ind w:left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342397" w:rsidRPr="00342397" w:rsidRDefault="00342397" w:rsidP="00342397">
            <w:pPr>
              <w:pStyle w:val="Akapitzlist"/>
              <w:numPr>
                <w:ilvl w:val="0"/>
                <w:numId w:val="25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Przewodniczący </w:t>
            </w:r>
            <w:r w:rsid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arządu</w:t>
            </w:r>
            <w:r w:rsid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</w:t>
            </w:r>
            <w:r w:rsidRPr="003423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siedla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zwany dalej przewodniczącym, stoi na czele zarządu.</w:t>
            </w:r>
          </w:p>
          <w:p w:rsidR="00984565" w:rsidRPr="00342397" w:rsidRDefault="00984565" w:rsidP="00342397">
            <w:pPr>
              <w:pStyle w:val="Akapitzlist"/>
              <w:numPr>
                <w:ilvl w:val="0"/>
                <w:numId w:val="25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423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</w:t>
            </w:r>
            <w:r w:rsidR="00444ADF" w:rsidRPr="003423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akresu praw i </w:t>
            </w:r>
            <w:r w:rsidR="003423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obowiązków przewodniczącego </w:t>
            </w:r>
            <w:r w:rsidRPr="003423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należy:</w:t>
            </w:r>
          </w:p>
          <w:p w:rsidR="00984565" w:rsidRDefault="00444ADF" w:rsidP="00062F08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423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reprezentowanie osiedla</w:t>
            </w:r>
            <w:r w:rsidR="00984565" w:rsidRPr="003423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zewnątrz;</w:t>
            </w:r>
          </w:p>
          <w:p w:rsidR="00FC379B" w:rsidRPr="000B4379" w:rsidRDefault="00FC379B" w:rsidP="00062F08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C379B">
              <w:rPr>
                <w:rFonts w:ascii="Times New Roman" w:hAnsi="Times New Roman"/>
                <w:sz w:val="24"/>
                <w:szCs w:val="24"/>
              </w:rPr>
              <w:t>zwoływanie i prowadzenie zebrania ogólnego mieszkańców osie</w:t>
            </w:r>
            <w:r w:rsidR="00CF4170">
              <w:rPr>
                <w:rFonts w:ascii="Times New Roman" w:hAnsi="Times New Roman"/>
                <w:sz w:val="24"/>
                <w:szCs w:val="24"/>
              </w:rPr>
              <w:t>dla z zastrzeżeniem zapisów § 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ust.2;</w:t>
            </w:r>
          </w:p>
          <w:p w:rsidR="000B4379" w:rsidRPr="000B4379" w:rsidRDefault="000B4379" w:rsidP="000B4379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4379">
              <w:rPr>
                <w:rFonts w:ascii="Times New Roman" w:hAnsi="Times New Roman"/>
                <w:sz w:val="24"/>
                <w:szCs w:val="24"/>
              </w:rPr>
              <w:t>składania informacji o działalności zarządu osiedla na zebraniu ogólnym mieszkańców.</w:t>
            </w:r>
          </w:p>
          <w:p w:rsidR="00342397" w:rsidRDefault="00FC379B" w:rsidP="00062F08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C379B">
              <w:rPr>
                <w:rFonts w:ascii="Times New Roman" w:hAnsi="Times New Roman"/>
                <w:sz w:val="24"/>
                <w:szCs w:val="24"/>
              </w:rPr>
              <w:t xml:space="preserve">zwoływanie i prowadzenie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posiedzeń</w:t>
            </w:r>
            <w:r w:rsidR="00062F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zarządu;</w:t>
            </w:r>
          </w:p>
          <w:p w:rsidR="00984565" w:rsidRDefault="00984565" w:rsidP="00062F08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62F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kierowanie realizacją uchwał </w:t>
            </w:r>
            <w:r w:rsidR="00444ADF" w:rsidRPr="00062F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ogólnego zebrania mieszkańców </w:t>
            </w:r>
            <w:r w:rsidRPr="00062F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oraz uchwał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62F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zarządzeń organów gminy;</w:t>
            </w:r>
          </w:p>
          <w:p w:rsidR="00984565" w:rsidRDefault="00984565" w:rsidP="00FC379B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C379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</w:t>
            </w:r>
            <w:r w:rsidR="005D1304" w:rsidRPr="00FC379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zestniczenie w naradach</w:t>
            </w:r>
            <w:r w:rsidRPr="00FC379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zwoływanych przez wójta;</w:t>
            </w:r>
          </w:p>
          <w:p w:rsidR="00984565" w:rsidRDefault="00984565" w:rsidP="000B4379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5D1304"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osiedla</w:t>
            </w:r>
            <w:r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B4379" w:rsidRDefault="00984565" w:rsidP="000B4379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</w:t>
            </w:r>
            <w:r w:rsidR="005D1304"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rzedmiocie działalności osiedla</w:t>
            </w:r>
            <w:r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984565" w:rsidRDefault="00984565" w:rsidP="000B4379">
            <w:pPr>
              <w:pStyle w:val="Akapitzlist"/>
              <w:numPr>
                <w:ilvl w:val="0"/>
                <w:numId w:val="26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głosowania, z prawem zabierania głosu</w:t>
            </w:r>
            <w:r w:rsid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984565" w:rsidRPr="00C90A05" w:rsidRDefault="00342397" w:rsidP="00C90A05">
            <w:pPr>
              <w:pStyle w:val="Akapitzlist"/>
              <w:numPr>
                <w:ilvl w:val="0"/>
                <w:numId w:val="25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90A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G</w:t>
            </w:r>
            <w:r w:rsidR="00984565" w:rsidRPr="00C90A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miny może ustanowić zasady na jakich </w:t>
            </w:r>
            <w:r w:rsidRPr="00C90A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przewodniczącemu</w:t>
            </w:r>
            <w:r w:rsidR="00984565" w:rsidRPr="00C90A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będzie przysługiwała dieta oraz zwrot kosztów podróży służbowej.</w:t>
            </w:r>
          </w:p>
          <w:p w:rsidR="00C90A05" w:rsidRDefault="00C90A05" w:rsidP="00C90A05">
            <w:pPr>
              <w:pStyle w:val="Akapitzlist"/>
              <w:numPr>
                <w:ilvl w:val="0"/>
                <w:numId w:val="25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Przewodniczący</w:t>
            </w:r>
            <w:r w:rsid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Zarządu Osiedla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legitymuje się zaświadczeniem wydanym przez</w:t>
            </w:r>
            <w:r w:rsid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Przewodniczącego Rady Gminy.</w:t>
            </w:r>
          </w:p>
          <w:p w:rsidR="005D1304" w:rsidRDefault="00342397" w:rsidP="000B412D">
            <w:pPr>
              <w:pStyle w:val="Akapitzlist"/>
              <w:numPr>
                <w:ilvl w:val="0"/>
                <w:numId w:val="25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Przewodniczący</w:t>
            </w:r>
            <w:r w:rsidR="00984565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korzysta z ochrony prawnej przysługujące</w:t>
            </w:r>
            <w:r w:rsidR="005D1304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</w:t>
            </w:r>
            <w:r w:rsidR="00984565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publicznym.</w:t>
            </w:r>
          </w:p>
          <w:p w:rsidR="00984565" w:rsidRPr="000B412D" w:rsidRDefault="00C53A57" w:rsidP="000B412D">
            <w:pPr>
              <w:pStyle w:val="Akapitzlist"/>
              <w:numPr>
                <w:ilvl w:val="0"/>
                <w:numId w:val="25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Kadencja przewodniczącego,</w:t>
            </w:r>
            <w:r w:rsidR="000B4379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zarządu</w:t>
            </w:r>
            <w:r w:rsidR="00812DB4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osiedla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komisji rewizyjnej</w:t>
            </w:r>
            <w:r w:rsidR="00984565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trwa 4 lata od dnia wyboru</w:t>
            </w:r>
            <w:r w:rsidR="00812DB4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</w:t>
            </w:r>
            <w:r w:rsidR="000B4379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dniem wyboru przewodniczącego</w:t>
            </w:r>
            <w:r w:rsidR="00984565" w:rsidRPr="000B41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kadencję.</w:t>
            </w:r>
          </w:p>
          <w:p w:rsidR="00984565" w:rsidRPr="00A84619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984565" w:rsidRPr="00472EBF" w:rsidRDefault="00984565" w:rsidP="003F0690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984565" w:rsidRPr="00A84619" w:rsidRDefault="00984565" w:rsidP="003F0690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</w:t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aniu zadań i kompetencji przewodniczącego rady osiedla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spowodowanej jedną z następujących okoliczności:</w:t>
            </w:r>
          </w:p>
          <w:p w:rsidR="00984565" w:rsidRPr="00A84619" w:rsidRDefault="00984565" w:rsidP="003F0690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tymczasowym aresztowaniem,</w:t>
            </w:r>
          </w:p>
          <w:p w:rsidR="00984565" w:rsidRPr="00A84619" w:rsidRDefault="00984565" w:rsidP="003F0690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984565" w:rsidRPr="00A84619" w:rsidRDefault="00984565" w:rsidP="003F0690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984565" w:rsidRPr="000B4379" w:rsidRDefault="00984565" w:rsidP="000B4379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  <w:r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- jego zadania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</w:t>
            </w:r>
            <w:r w:rsidR="005647E4"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encje przejmuje zastępca przewodniczącego</w:t>
            </w:r>
            <w:r w:rsidRP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Zastępca </w:t>
            </w:r>
            <w:r w:rsid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przewodniczącego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wykonu</w:t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je zadania i kompetencje </w:t>
            </w:r>
            <w:r w:rsid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przewodniczącego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550B29" w:rsidRPr="00550B29" w:rsidRDefault="00550B29" w:rsidP="00550B29">
            <w:pPr>
              <w:pStyle w:val="Akapitzlist"/>
              <w:spacing w:after="0" w:line="240" w:lineRule="auto"/>
              <w:ind w:left="284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Pr="00A84619" w:rsidRDefault="00984565" w:rsidP="003F0690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</w:t>
            </w:r>
            <w:r w:rsidR="005967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984565" w:rsidRPr="00A84619" w:rsidRDefault="00984565" w:rsidP="003F0690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wskazanego w wezwaniu do stawienia się w zakładzie karnym do dnia zwolnienia - w przypadku okoliczności, o których mowa </w:t>
            </w:r>
            <w:r w:rsidR="005967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984565" w:rsidRPr="00814F2F" w:rsidRDefault="00984565" w:rsidP="00814F2F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okresie wskazanym w zaświadczeniu lekarskim - w przypadku okol</w:t>
            </w:r>
            <w:r w:rsidR="005967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iczności,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5967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której mowa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  <w:r w:rsidRPr="00814F2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- jednak nie dłużej niż do d</w:t>
            </w:r>
            <w:r w:rsidR="005647E4" w:rsidRPr="00814F2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nia zakończenia kadenc</w:t>
            </w:r>
            <w:r w:rsidR="005967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ji przewodniczącego</w:t>
            </w:r>
            <w:r w:rsidRPr="00814F2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A84619" w:rsidRDefault="005647E4" w:rsidP="000B437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przewodniczącego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 okres, w kt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órym wykonywał obowiązki przewodniczącego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przysługuje dieta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</w:t>
            </w:r>
            <w:r w:rsid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ak przewodniczącemu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określonej odrębną uchwałą Rady Gminy.</w:t>
            </w:r>
          </w:p>
          <w:p w:rsidR="00984565" w:rsidRPr="00550B29" w:rsidRDefault="00984565" w:rsidP="00550B29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10E4E" w:rsidRPr="0027762E" w:rsidRDefault="00910E4E" w:rsidP="00910E4E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910E4E" w:rsidRPr="00910E4E" w:rsidRDefault="00910E4E" w:rsidP="00550B29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C53A57" w:rsidRDefault="00C53A57" w:rsidP="00C53A57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Organem kontrolnym osiedla jest komisja rewizyjna.</w:t>
            </w:r>
          </w:p>
          <w:p w:rsidR="00C53A57" w:rsidRDefault="006F27AA" w:rsidP="00C53A57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rewizyjna składa się z trzech osób</w:t>
            </w:r>
            <w:r w:rsidR="00424E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wybranych przez ogólne zebranie mieszkańców. Komisja rewizyjna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wybiera spośród siebie przewodniczącego komisji.</w:t>
            </w:r>
          </w:p>
          <w:p w:rsidR="00D8627B" w:rsidRPr="006F27AA" w:rsidRDefault="00910E4E" w:rsidP="00D8627B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F27A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 w:rsidRPr="006F27A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ewizyjna</w:t>
            </w:r>
            <w:r w:rsidR="00D8627B" w:rsidRPr="006F27A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Pr="006F27A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910E4E" w:rsidRPr="00D8627B" w:rsidRDefault="00910E4E" w:rsidP="006F27AA">
            <w:pPr>
              <w:pStyle w:val="Akapitzlist"/>
              <w:numPr>
                <w:ilvl w:val="2"/>
                <w:numId w:val="11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2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kontroluje </w:t>
            </w:r>
            <w:r w:rsidR="00D8627B" w:rsidRPr="00D862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prawidłowość </w:t>
            </w:r>
            <w:r w:rsidRPr="00D862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gospodarowania finansami i majątkiem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Pr="00D862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siedla.</w:t>
            </w:r>
          </w:p>
          <w:p w:rsidR="00D8627B" w:rsidRPr="00D8627B" w:rsidRDefault="00D8627B" w:rsidP="006F27AA">
            <w:pPr>
              <w:pStyle w:val="Akapitzlist"/>
              <w:numPr>
                <w:ilvl w:val="2"/>
                <w:numId w:val="11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27B">
              <w:rPr>
                <w:rFonts w:ascii="Times New Roman" w:hAnsi="Times New Roman"/>
                <w:sz w:val="24"/>
                <w:szCs w:val="24"/>
              </w:rPr>
              <w:t>p</w:t>
            </w:r>
            <w:r w:rsidR="003E3E43">
              <w:rPr>
                <w:rFonts w:ascii="Times New Roman" w:hAnsi="Times New Roman"/>
                <w:sz w:val="24"/>
                <w:szCs w:val="24"/>
              </w:rPr>
              <w:t xml:space="preserve">rzedstawia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3E3E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gólnemu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</w:t>
            </w:r>
            <w:r w:rsidR="003E3E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ebraniu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</w:t>
            </w:r>
            <w:r w:rsidR="003E3E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ieszkańców</w:t>
            </w:r>
            <w:r w:rsidRPr="00D8627B">
              <w:rPr>
                <w:rFonts w:ascii="Times New Roman" w:hAnsi="Times New Roman"/>
                <w:sz w:val="24"/>
                <w:szCs w:val="24"/>
              </w:rPr>
              <w:t xml:space="preserve"> sp</w:t>
            </w:r>
            <w:r>
              <w:rPr>
                <w:rFonts w:ascii="Times New Roman" w:hAnsi="Times New Roman"/>
                <w:sz w:val="24"/>
                <w:szCs w:val="24"/>
              </w:rPr>
              <w:t>rawozdanie ze swej działalności;</w:t>
            </w:r>
          </w:p>
          <w:p w:rsidR="00D8627B" w:rsidRDefault="00D8627B" w:rsidP="006F27AA">
            <w:pPr>
              <w:pStyle w:val="Akapitzlist"/>
              <w:numPr>
                <w:ilvl w:val="2"/>
                <w:numId w:val="11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D8627B">
              <w:rPr>
                <w:rFonts w:ascii="Times New Roman" w:hAnsi="Times New Roman"/>
                <w:sz w:val="24"/>
                <w:szCs w:val="24"/>
              </w:rPr>
              <w:t xml:space="preserve"> razie stwierdzenia nieprawidłowości w zarządzaniu funduszami or</w:t>
            </w:r>
            <w:r w:rsidR="003E3E43">
              <w:rPr>
                <w:rFonts w:ascii="Times New Roman" w:hAnsi="Times New Roman"/>
                <w:sz w:val="24"/>
                <w:szCs w:val="24"/>
              </w:rPr>
              <w:t>az majątkiem O</w:t>
            </w:r>
            <w:r w:rsidRPr="00D8627B">
              <w:rPr>
                <w:rFonts w:ascii="Times New Roman" w:hAnsi="Times New Roman"/>
                <w:sz w:val="24"/>
                <w:szCs w:val="24"/>
              </w:rPr>
              <w:t>siedla</w:t>
            </w:r>
            <w:r w:rsidR="003E3E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20ED">
              <w:rPr>
                <w:rFonts w:ascii="Times New Roman" w:hAnsi="Times New Roman"/>
                <w:sz w:val="24"/>
                <w:szCs w:val="24"/>
              </w:rPr>
              <w:t>niezgodn</w:t>
            </w:r>
            <w:r w:rsidR="00E120ED" w:rsidRPr="00D8627B">
              <w:rPr>
                <w:rFonts w:ascii="Times New Roman" w:hAnsi="Times New Roman"/>
                <w:sz w:val="24"/>
                <w:szCs w:val="24"/>
              </w:rPr>
              <w:t>e</w:t>
            </w:r>
            <w:r w:rsidR="00E120ED">
              <w:rPr>
                <w:rFonts w:ascii="Times New Roman" w:hAnsi="Times New Roman"/>
                <w:sz w:val="24"/>
                <w:szCs w:val="24"/>
              </w:rPr>
              <w:t>j</w:t>
            </w:r>
            <w:r w:rsidR="00E120ED" w:rsidRPr="00D8627B">
              <w:rPr>
                <w:rFonts w:ascii="Times New Roman" w:hAnsi="Times New Roman"/>
                <w:sz w:val="24"/>
                <w:szCs w:val="24"/>
              </w:rPr>
              <w:t xml:space="preserve"> ze statutem lub przepisami prawa</w:t>
            </w:r>
            <w:r w:rsidRPr="00D862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3E43">
              <w:rPr>
                <w:rFonts w:ascii="Times New Roman" w:hAnsi="Times New Roman"/>
                <w:sz w:val="24"/>
                <w:szCs w:val="24"/>
              </w:rPr>
              <w:t xml:space="preserve">działalności </w:t>
            </w:r>
            <w:r w:rsidR="00E120ED">
              <w:rPr>
                <w:rFonts w:ascii="Times New Roman" w:hAnsi="Times New Roman"/>
                <w:sz w:val="24"/>
                <w:szCs w:val="24"/>
              </w:rPr>
              <w:t>z</w:t>
            </w:r>
            <w:r w:rsidR="003E3E43">
              <w:rPr>
                <w:rFonts w:ascii="Times New Roman" w:hAnsi="Times New Roman"/>
                <w:sz w:val="24"/>
                <w:szCs w:val="24"/>
              </w:rPr>
              <w:t xml:space="preserve">arządu, </w:t>
            </w:r>
            <w:r w:rsidR="00E120ED">
              <w:rPr>
                <w:rFonts w:ascii="Times New Roman" w:hAnsi="Times New Roman"/>
                <w:sz w:val="24"/>
                <w:szCs w:val="24"/>
              </w:rPr>
              <w:t>k</w:t>
            </w:r>
            <w:r w:rsidRPr="00D8627B">
              <w:rPr>
                <w:rFonts w:ascii="Times New Roman" w:hAnsi="Times New Roman"/>
                <w:sz w:val="24"/>
                <w:szCs w:val="24"/>
              </w:rPr>
              <w:t>omisja niezwło</w:t>
            </w:r>
            <w:r w:rsidR="003E3E43">
              <w:rPr>
                <w:rFonts w:ascii="Times New Roman" w:hAnsi="Times New Roman"/>
                <w:sz w:val="24"/>
                <w:szCs w:val="24"/>
              </w:rPr>
              <w:t>cznie informuje o tym</w:t>
            </w:r>
            <w:r w:rsidRPr="00D862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3E3E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gólne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</w:t>
            </w:r>
            <w:r w:rsidR="003E3E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ebranie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</w:t>
            </w:r>
            <w:r w:rsidR="003E3E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ieszkańców</w:t>
            </w:r>
            <w:r w:rsidR="00C53A5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Wójta.</w:t>
            </w:r>
          </w:p>
          <w:p w:rsidR="006D189E" w:rsidRDefault="006D189E" w:rsidP="006D189E">
            <w:pPr>
              <w:pStyle w:val="Akapitzlist"/>
              <w:numPr>
                <w:ilvl w:val="0"/>
                <w:numId w:val="28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Posiedzenia komisji rewizyjnej</w:t>
            </w:r>
            <w:r w:rsidRPr="00B215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odby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wają się co najmniej raz na rok</w:t>
            </w:r>
            <w:r w:rsidRPr="00B215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10E4E" w:rsidRPr="00550B29" w:rsidRDefault="00910E4E" w:rsidP="00550B2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Pr="0027762E" w:rsidRDefault="00910E4E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 w:rsidR="00984565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984565" w:rsidRDefault="00984565" w:rsidP="00550B2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</w:t>
            </w:r>
            <w:r w:rsidR="000B437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at przewodniczącego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członka zarządu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komisji rewizyjnej 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wygasa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przypadku:</w:t>
            </w:r>
          </w:p>
          <w:p w:rsidR="00550B29" w:rsidRPr="00550B29" w:rsidRDefault="00550B29" w:rsidP="00550B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Default="00984565" w:rsidP="003F0690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1)  śmierci,</w:t>
            </w:r>
          </w:p>
          <w:p w:rsidR="00984565" w:rsidRDefault="00984565" w:rsidP="00EE7BDF">
            <w:pPr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</w:t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czenia się pełnienia funkcji przewodni</w:t>
            </w:r>
            <w:r w:rsidR="00EE7B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czącego, 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członka zarządu</w:t>
            </w:r>
            <w:r w:rsidR="00EE7B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lub członka komisji rewizyjnej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984565" w:rsidRDefault="00984565" w:rsidP="003F0690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984565" w:rsidRDefault="00984565" w:rsidP="003F0690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4)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984565" w:rsidRDefault="00984565" w:rsidP="003F069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2. W przypadku wygaśnięcia mandatu 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przewodniczącego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jego zadania i kompet</w:t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encje przejmuje zastępca przewodniczącego, do czasu wyboru nowe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 przewodniczącego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984565" w:rsidP="003F069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</w:t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 wnioskiem o odwołanie przewodniczącego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lub członka zarządu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może wystąpić do </w:t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ogólnego zebrania mieszkańców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wójt lub grupa co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najmniej 2</w:t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 mieszkańców osiedla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którym przysługuje prawo wybierania do rady gminy. </w:t>
            </w:r>
          </w:p>
          <w:p w:rsidR="00DF7F06" w:rsidRDefault="00DF7F06" w:rsidP="003F069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24ED1" w:rsidRDefault="00984565" w:rsidP="00B87665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4. Uchwała w sprawie odwołania jest podejmowana w głosowaniu tajnym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06CF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15-17 niniejszego statutu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5647E4" w:rsidP="003F069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</w:t>
            </w:r>
            <w:r w:rsidR="00E06CF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przewodniczącego,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zarządu</w:t>
            </w:r>
            <w:r w:rsidR="00984565"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06CF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i komisji rewizyjnej </w:t>
            </w:r>
            <w:r w:rsidR="00984565"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przeprowadza się na zasadach określonych w niniejszym statucie.</w:t>
            </w:r>
          </w:p>
          <w:p w:rsidR="00984565" w:rsidRDefault="005647E4" w:rsidP="003F069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 przewodniczącego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nie przeprowadza się, jeżeli data wyborów przedterminowych miałaby przypaść w okresie 6 miesięcy przed zakończeniem kadencji.</w:t>
            </w:r>
          </w:p>
          <w:p w:rsidR="00984565" w:rsidRPr="00550B29" w:rsidRDefault="00984565" w:rsidP="003F069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Pr="00550B29" w:rsidRDefault="00984565" w:rsidP="003F069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Pr="00FD57FA" w:rsidRDefault="00984565" w:rsidP="003F0690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984565" w:rsidRPr="00FC646C" w:rsidRDefault="005647E4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ogólnych </w:t>
            </w:r>
            <w:r w:rsidR="00984565"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984565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mieszkańców</w:t>
            </w:r>
          </w:p>
          <w:p w:rsidR="00984565" w:rsidRDefault="00984565" w:rsidP="00550B2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C64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B876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Default="002470C4" w:rsidP="003F0690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 z</w:t>
            </w:r>
            <w:r w:rsidR="005647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ebranie mieszkańców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zwo</w:t>
            </w:r>
            <w:r w:rsidR="00931A8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łuje przewodniczący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 </w:t>
            </w:r>
            <w:r w:rsidR="00931A8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własnej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inicjaty</w:t>
            </w:r>
            <w:r w:rsidR="00931A8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wy lub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931A8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 wniosek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wójta, rady gminy</w:t>
            </w:r>
            <w:r w:rsidR="00931A8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zarządu osiedla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lub na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9459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pisemny wniosek co najmniej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9459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</w:t>
            </w:r>
            <w:r w:rsidR="00C74D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osiedla 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uprawnionych do udziału w głosowaniu, nie później niż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terminie 14 dni od dnia zgłoszenia wniosku.</w:t>
            </w:r>
          </w:p>
          <w:p w:rsidR="00984565" w:rsidRDefault="002470C4" w:rsidP="003F0690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 zebranie mieszkańców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odbywa się w miarę istniejących potrzeb, jednak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rzadziej niż raz w roku.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ogólnym zebraniu mieszkańców mieszkańcy osiedla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winni być powiadomieni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co najmniej 3 dni przed jego terminem. Zawiadomienie powinno zawierać określenie daty, godziny i miejsca zebrania oraz określenie proponowanego porządku obrad.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984565" w:rsidRPr="004A4101" w:rsidRDefault="00984565" w:rsidP="003F0690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Uchwały 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ogólnego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zebrania 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mieszkańców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zapadają zwykłą większością</w:t>
            </w:r>
            <w:r w:rsidR="00424E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głosów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424E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obecności co najmniej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szkańców osiedla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uprawnionych do głosowania.</w:t>
            </w:r>
          </w:p>
          <w:p w:rsidR="00254986" w:rsidRPr="00550B29" w:rsidRDefault="00254986" w:rsidP="003F0690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Default="00521285" w:rsidP="003F0690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B87665" w:rsidRDefault="00984565" w:rsidP="003F0690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Default="002470C4" w:rsidP="003F0690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ogólnym zebraniu mieszkańców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mogą brać udział radni rady gminy, wójt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984565" w:rsidRPr="004A4101" w:rsidRDefault="00984565" w:rsidP="003F0690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 każdego 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ogólnego zebrania mieszkańców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sporządza się protokół, który powinien zawierać:</w:t>
            </w:r>
          </w:p>
          <w:p w:rsidR="00984565" w:rsidRPr="00551962" w:rsidRDefault="00984565" w:rsidP="003F0690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</w:t>
            </w:r>
            <w:r w:rsidR="00B0485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727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zebrania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a także protokolanta;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osób zaproszonych na zebranie i oznaczenie ich funkcji;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24ED1" w:rsidRPr="00550B29" w:rsidRDefault="00424ED1" w:rsidP="003F06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Default="00E120ED" w:rsidP="003F06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lastRenderedPageBreak/>
              <w:t>V. Wybór przewodniczącego,</w:t>
            </w:r>
            <w:r w:rsidR="007276E3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zarządu osiedla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i komisji rewizyjnej</w:t>
            </w:r>
          </w:p>
          <w:p w:rsidR="00984565" w:rsidRPr="00DF7F06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84565" w:rsidRPr="00FC646C" w:rsidRDefault="00521285" w:rsidP="00FC64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FC646C" w:rsidRDefault="00984565" w:rsidP="00FC646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B4882" w:rsidRPr="00FC646C" w:rsidRDefault="002470C4" w:rsidP="00FC646C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ry przewodniczącego,</w:t>
            </w:r>
            <w:r w:rsidR="00727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osiedla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komisji rewizyjnej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zarządza Rada Gminy Ostrów Mazowiecka.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ogólne zebranie mieszkańców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y,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których mowa w ust. 1.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 wyborczego zebrania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podaje się do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wiadomości mieszkańców osiedla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sposób zwyczajowo przyjęty.</w:t>
            </w:r>
          </w:p>
          <w:p w:rsidR="00984565" w:rsidRPr="005A0459" w:rsidRDefault="00984565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Dla 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dokonania ważnego wybo</w:t>
            </w:r>
            <w:r w:rsidR="007B49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ru przewodniczącego,</w:t>
            </w:r>
            <w:r w:rsidR="00727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zarządu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osiedla</w:t>
            </w:r>
            <w:r w:rsidR="007B49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komisji rewizyjnej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ogólnym zebraniu mieszkańców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wym</w:t>
            </w:r>
            <w:r w:rsidR="00424E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agana jest obecność co najmniej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424E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głosowania mieszkańców osiedla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984565" w:rsidRPr="005E58CD" w:rsidRDefault="00984565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wybo</w:t>
            </w:r>
            <w:r w:rsidR="00727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ry przewodniczącego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następnie wybory zarządu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potem komisji rewizyjnej.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Uprawnieni uczestnicy zebrania wyborczego, po podpisaniu listy obecności, otrzymują karty d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głosowania (dla wybo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ru przewodniczącego,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wyboru zarządu</w:t>
            </w:r>
            <w:r w:rsidR="00E120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wyboru komisji rewizyjnej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opatrzone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pieczęcią Gminy Ostrów Mazowiecka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984565" w:rsidP="00D17510">
            <w:pPr>
              <w:pStyle w:val="Akapitzlist"/>
              <w:numPr>
                <w:ilvl w:val="0"/>
                <w:numId w:val="8"/>
              </w:numPr>
              <w:spacing w:after="0"/>
              <w:ind w:left="426" w:right="-19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</w:t>
            </w:r>
            <w:r w:rsidR="00424E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że być osoba</w:t>
            </w:r>
            <w:r w:rsidR="002470C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kandydująca na przewodni</w:t>
            </w:r>
            <w:r w:rsidR="00424E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czącego,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członka zarządu</w:t>
            </w:r>
            <w:r w:rsidR="00D1751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lub</w:t>
            </w:r>
            <w:r w:rsidR="00424E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członka komisji rewizyjne</w:t>
            </w:r>
            <w:r w:rsidR="00D1751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</w:t>
            </w:r>
            <w:r w:rsidR="00B876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Default="002470C4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 przewodniczącego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mogą zgłaszać się sami lub być zgłaszani przez uczestników uprawnionych do głosowania (kandydat musi wyrazić zgodę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kandydowanie) spośród mieszkańców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osiedla</w:t>
            </w:r>
            <w:r w:rsidR="009845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posiadających </w:t>
            </w:r>
            <w:r w:rsidR="00984565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w porządku alfabetycznym nazwiska i imiona zgłoszonych kandydatów na 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przewodniczącego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984565" w:rsidRPr="005A0459" w:rsidRDefault="00984565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984565" w:rsidRPr="00DF7F06" w:rsidRDefault="00984565" w:rsidP="00962C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84565" w:rsidRPr="00FC646C" w:rsidRDefault="0052128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="00984565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FC646C" w:rsidRDefault="00984565" w:rsidP="00962C11">
            <w:pPr>
              <w:pStyle w:val="Akapitzlist"/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Pr="005A0459" w:rsidRDefault="00984565" w:rsidP="003F0690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pr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zeprowadza wybory zarządu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przyjmuje w tym celu zgłoszenia kandydatów. Kandydaci mogą się zgłaszać sami lub być zgłaszani przez uprawnionych uczestników zebrania (kandydat musi wyrazić zgodę na 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ydowanie na członka zarządu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spośród mieszkańców 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osiedla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984565" w:rsidRDefault="00984565" w:rsidP="003F0690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zarządu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5A0459" w:rsidRDefault="00984565" w:rsidP="003F0690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na</w:t>
            </w:r>
            <w:r w:rsidR="00A219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czterech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trzech, dwóch lub jednego kandydata. </w:t>
            </w:r>
          </w:p>
          <w:p w:rsidR="00984565" w:rsidRPr="00FC646C" w:rsidRDefault="00A219F5" w:rsidP="003F0690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Członkami zarządu zostaje czterech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kandydatów</w:t>
            </w:r>
            <w:r w:rsidR="00984565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którzy uzyskali największą liczbę głosów ważnych. W przypadku, gdy dwóch lub więcej kandydatów uzyskało równą liczbę 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głosów i zajęło ex </w:t>
            </w:r>
            <w:proofErr w:type="spellStart"/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aequo</w:t>
            </w:r>
            <w:proofErr w:type="spellEnd"/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czwarte i 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piąte</w:t>
            </w:r>
            <w:r w:rsidR="00984565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miejsce, komisja przeprowadza ponowne głosowanie dla tych kandydatów w omawianym trybie.</w:t>
            </w:r>
          </w:p>
          <w:p w:rsidR="00521285" w:rsidRPr="00DA6983" w:rsidRDefault="00521285" w:rsidP="00FC64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21285" w:rsidRPr="00962C11" w:rsidRDefault="00521285" w:rsidP="00962C11">
            <w:pPr>
              <w:pStyle w:val="Akapitzlist"/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21285" w:rsidRPr="00521285" w:rsidRDefault="00521285" w:rsidP="00521285">
            <w:pPr>
              <w:pStyle w:val="Akapitzlist"/>
              <w:numPr>
                <w:ilvl w:val="0"/>
                <w:numId w:val="2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pr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zeprowadza wybory komisji rewizyjnej</w:t>
            </w:r>
            <w:r w:rsidRP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przyjmuje w tym celu zgłoszenia kandydatów. Kandydaci mogą się zgłaszać sami lub być zgłaszani przez uprawnionych uczestników zebrania (kandydat musi wyrazić zgodę na kand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ydowanie na członka komisji rewizyjnej</w:t>
            </w:r>
            <w:r w:rsidRP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spośród mieszkańców osiedla posiadających bierne prawo wyborcze.</w:t>
            </w:r>
          </w:p>
          <w:p w:rsidR="00521285" w:rsidRDefault="00521285" w:rsidP="00521285">
            <w:pPr>
              <w:pStyle w:val="Akapitzlist"/>
              <w:numPr>
                <w:ilvl w:val="0"/>
                <w:numId w:val="2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Głosowanie jest tajne. Komisja skrutacyjna wpisuje na karcie do głosowania w porządku alfabetycznym nazwiska i imiona zgłoszonyc</w:t>
            </w:r>
            <w:r w:rsidR="006E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komisji rewizyjnej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21285" w:rsidRPr="005A0459" w:rsidRDefault="00521285" w:rsidP="00521285">
            <w:pPr>
              <w:pStyle w:val="Akapitzlist"/>
              <w:numPr>
                <w:ilvl w:val="0"/>
                <w:numId w:val="2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na</w:t>
            </w:r>
            <w:r w:rsidR="006E1A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trzech, dwóch lub jednego kandydata. </w:t>
            </w:r>
          </w:p>
          <w:p w:rsidR="00521285" w:rsidRPr="006B0BA9" w:rsidRDefault="006E1A26" w:rsidP="00521285">
            <w:pPr>
              <w:pStyle w:val="Akapitzlist"/>
              <w:numPr>
                <w:ilvl w:val="0"/>
                <w:numId w:val="2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Członkami komisji rewizyjnej zostaje trz</w:t>
            </w:r>
            <w:r w:rsid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ech kandydatów</w:t>
            </w:r>
            <w:r w:rsidR="00521285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którzy uzyskali największą liczbę głosów ważnych. W przypadku, gdy dwóch lub więcej kandydatów uzyskało równą liczbę </w:t>
            </w:r>
            <w:r w:rsid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głosów i zajęło ex </w:t>
            </w:r>
            <w:proofErr w:type="spellStart"/>
            <w:r w:rsid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aequo</w:t>
            </w:r>
            <w:proofErr w:type="spellEnd"/>
            <w:r w:rsid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trzecie i </w:t>
            </w:r>
            <w:r w:rsidR="0052128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czwart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</w:t>
            </w:r>
            <w:r w:rsidR="00521285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miejsce, komisja przeprowadza ponowne głosowanie dla tych kandydatów w omawianym trybie.</w:t>
            </w:r>
          </w:p>
          <w:p w:rsidR="00521285" w:rsidRDefault="00521285" w:rsidP="003F069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84565" w:rsidRDefault="00B87665" w:rsidP="003F069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="00984565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FC646C" w:rsidRDefault="00984565" w:rsidP="00FC646C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Pr="000B4882" w:rsidRDefault="00984565" w:rsidP="000B4882">
            <w:pPr>
              <w:pStyle w:val="Akapitzlist"/>
              <w:numPr>
                <w:ilvl w:val="0"/>
                <w:numId w:val="3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488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984565" w:rsidRPr="00921599" w:rsidRDefault="00984565" w:rsidP="000B4882">
            <w:pPr>
              <w:pStyle w:val="Akapitzlist"/>
              <w:numPr>
                <w:ilvl w:val="0"/>
                <w:numId w:val="3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984565" w:rsidRPr="00742D8B" w:rsidRDefault="00984565" w:rsidP="00984565">
            <w:pPr>
              <w:pStyle w:val="Akapitzlist"/>
              <w:numPr>
                <w:ilvl w:val="1"/>
                <w:numId w:val="18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984565" w:rsidRPr="00742D8B" w:rsidRDefault="00984565" w:rsidP="00984565">
            <w:pPr>
              <w:pStyle w:val="Akapitzlist"/>
              <w:numPr>
                <w:ilvl w:val="1"/>
                <w:numId w:val="18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datę przeprowadzonych wyborów, </w:t>
            </w:r>
          </w:p>
          <w:p w:rsidR="00984565" w:rsidRPr="00742D8B" w:rsidRDefault="00984565" w:rsidP="00984565">
            <w:pPr>
              <w:pStyle w:val="Akapitzlist"/>
              <w:numPr>
                <w:ilvl w:val="1"/>
                <w:numId w:val="18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ch w wyborczym ogólnym zebraniu mieszkańców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</w:p>
          <w:p w:rsidR="00984565" w:rsidRPr="00742D8B" w:rsidRDefault="00984565" w:rsidP="00984565">
            <w:pPr>
              <w:pStyle w:val="Akapitzlist"/>
              <w:numPr>
                <w:ilvl w:val="1"/>
                <w:numId w:val="18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984565" w:rsidRPr="00742D8B" w:rsidRDefault="00984565" w:rsidP="00984565">
            <w:pPr>
              <w:pStyle w:val="Akapitzlist"/>
              <w:numPr>
                <w:ilvl w:val="1"/>
                <w:numId w:val="18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liczbę oddanych głosów ważnych i nieważnych, </w:t>
            </w:r>
          </w:p>
          <w:p w:rsidR="00984565" w:rsidRPr="00742D8B" w:rsidRDefault="00984565" w:rsidP="00984565">
            <w:pPr>
              <w:pStyle w:val="Akapitzlist"/>
              <w:numPr>
                <w:ilvl w:val="1"/>
                <w:numId w:val="18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liczbę głosów ważnych oddanych na poszczególnych kandydatów, </w:t>
            </w:r>
          </w:p>
          <w:p w:rsidR="00984565" w:rsidRDefault="00984565" w:rsidP="00984565">
            <w:pPr>
              <w:pStyle w:val="Akapitzlist"/>
              <w:numPr>
                <w:ilvl w:val="1"/>
                <w:numId w:val="18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984565" w:rsidRDefault="00984565" w:rsidP="00984565">
            <w:pPr>
              <w:pStyle w:val="Akapitzlist"/>
              <w:numPr>
                <w:ilvl w:val="1"/>
                <w:numId w:val="18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</w:t>
            </w:r>
            <w:r w:rsidR="000B488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członków komisji skrutacyjnej.</w:t>
            </w:r>
          </w:p>
          <w:p w:rsidR="00EB6508" w:rsidRPr="00FC646C" w:rsidRDefault="000B4882" w:rsidP="000B4882">
            <w:p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0B488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</w:t>
            </w:r>
            <w:r w:rsidR="00EB6508" w:rsidRPr="000B488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 protokółu komisji skrutacyjnej dołącza się w zamkniętych kopertach karty </w:t>
            </w:r>
            <w:r w:rsidR="00DF7F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EB6508" w:rsidRPr="000B488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głosowania.</w:t>
            </w:r>
          </w:p>
          <w:p w:rsidR="00984565" w:rsidRPr="00FC646C" w:rsidRDefault="00984565" w:rsidP="003F0690">
            <w:pPr>
              <w:spacing w:after="0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984565" w:rsidRPr="006B0BA9" w:rsidRDefault="00984565" w:rsidP="00FC64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C646C">
              <w:rPr>
                <w:rFonts w:ascii="Times New Roman" w:eastAsia="Times New Roman" w:hAnsi="Times New Roman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VI. Mienie </w:t>
            </w:r>
            <w:r w:rsidR="00812DB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osiedla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984565" w:rsidRDefault="000B4882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="00984565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FC646C" w:rsidRDefault="00984565" w:rsidP="00FC64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Default="00812DB4" w:rsidP="00EB650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Osiedle</w:t>
            </w:r>
            <w:r w:rsidR="00984565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zarządza powierzonym mieniem komunalnym w zakresie zwykłego zarządu:</w:t>
            </w:r>
          </w:p>
          <w:p w:rsidR="00984565" w:rsidRDefault="00984565" w:rsidP="003F0690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984565" w:rsidRPr="00FC646C" w:rsidRDefault="00984565" w:rsidP="003F0690">
            <w:pPr>
              <w:spacing w:after="0"/>
              <w:ind w:firstLine="567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Pr="00FC646C">
              <w:rPr>
                <w:rFonts w:ascii="Times New Roman" w:eastAsia="Times New Roman" w:hAnsi="Times New Roman"/>
                <w:lang w:eastAsia="pl-PL"/>
              </w:rPr>
              <w:br/>
            </w:r>
          </w:p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FC646C">
              <w:rPr>
                <w:rFonts w:ascii="Times New Roman" w:eastAsia="Times New Roman" w:hAnsi="Times New Roman"/>
                <w:b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</w:t>
            </w:r>
            <w:r w:rsidR="00812DB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Gospodarka finansowa osiedla</w:t>
            </w:r>
          </w:p>
          <w:p w:rsidR="00984565" w:rsidRPr="006B0BA9" w:rsidRDefault="00984565" w:rsidP="00B06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984565" w:rsidRDefault="00FC646C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="00984565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FC646C" w:rsidRDefault="00984565" w:rsidP="00FC64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984565" w:rsidRDefault="00984565" w:rsidP="00984565">
            <w:pPr>
              <w:pStyle w:val="Akapitzlist"/>
              <w:numPr>
                <w:ilvl w:val="0"/>
                <w:numId w:val="19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984565" w:rsidRPr="00DD2D72" w:rsidRDefault="00984565" w:rsidP="00984565">
            <w:pPr>
              <w:pStyle w:val="Akapitzlist"/>
              <w:numPr>
                <w:ilvl w:val="0"/>
                <w:numId w:val="19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984565" w:rsidRPr="006B0BA9" w:rsidRDefault="00984565" w:rsidP="003F0690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FC646C" w:rsidRPr="006B0BA9" w:rsidRDefault="00984565" w:rsidP="00B066F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. Nadzór nad </w:t>
            </w:r>
            <w:r w:rsidR="00812DB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osiedlem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984565" w:rsidRDefault="006A6D2A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21</w:t>
            </w:r>
            <w:r w:rsidR="00984565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984565" w:rsidRPr="006B0BA9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84565" w:rsidRDefault="00984565" w:rsidP="00984565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adzór nad działalnością osiedla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sprawuje rada gminy.</w:t>
            </w:r>
          </w:p>
          <w:p w:rsidR="00984565" w:rsidRDefault="00984565" w:rsidP="00984565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 bieżącą działalnością osiedla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podstawie kryterium zgodności z prawem, celowości, rzetelności i gospodarności sprawuje wójt.</w:t>
            </w:r>
          </w:p>
          <w:p w:rsidR="00984565" w:rsidRDefault="00984565" w:rsidP="00984565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Organy nadzoru i kontroli mają prawo żądania niezbędnych informacji i wyjaśnień dot</w:t>
            </w:r>
            <w:r w:rsidR="00812D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yczących funkcjonowania osiedla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4986" w:rsidRPr="00962C11" w:rsidRDefault="00254986" w:rsidP="003F0690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FC646C" w:rsidRPr="00B066F9" w:rsidRDefault="00984565" w:rsidP="00B066F9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2C1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="00254986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X</w:t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984565" w:rsidRDefault="006A6D2A" w:rsidP="003F06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22</w:t>
            </w:r>
            <w:r w:rsidR="00984565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C90A05" w:rsidRPr="00962C11" w:rsidRDefault="00C90A05" w:rsidP="003F06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C90A05" w:rsidRDefault="00984565" w:rsidP="00C90A05">
            <w:pPr>
              <w:pStyle w:val="Akapitzlist"/>
              <w:numPr>
                <w:ilvl w:val="0"/>
                <w:numId w:val="27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90A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nieuregulowanych w niniejszym statucie zastosowanie mają przepisy Statutu Gminy Ostrów Mazowiecka oraz obowiązujące ustawy.</w:t>
            </w:r>
          </w:p>
          <w:p w:rsidR="00984565" w:rsidRPr="00C90A05" w:rsidRDefault="00984565" w:rsidP="00C90A05">
            <w:pPr>
              <w:pStyle w:val="Akapitzlist"/>
              <w:numPr>
                <w:ilvl w:val="0"/>
                <w:numId w:val="27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90A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Zmian statutu</w:t>
            </w:r>
            <w:r w:rsidR="00254986" w:rsidRPr="00C90A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osiedla</w:t>
            </w:r>
            <w:r w:rsidRPr="00C90A0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 w drodze odrębnej uchwały, po przeprowadzeniu konsultacji z mieszkańcami.</w:t>
            </w:r>
          </w:p>
          <w:p w:rsidR="00C90A05" w:rsidRDefault="00C90A05" w:rsidP="00C90A05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84565" w:rsidRDefault="00984565" w:rsidP="003F069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984565" w:rsidRPr="0025554E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962C1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984565" w:rsidRPr="0025554E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984565" w:rsidRPr="003E6717" w:rsidTr="003E3E43">
        <w:trPr>
          <w:tblCellSpacing w:w="37" w:type="dxa"/>
        </w:trPr>
        <w:tc>
          <w:tcPr>
            <w:tcW w:w="4920" w:type="pct"/>
            <w:vAlign w:val="center"/>
          </w:tcPr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984565" w:rsidRPr="003E6717" w:rsidTr="003E3E43">
        <w:trPr>
          <w:tblCellSpacing w:w="37" w:type="dxa"/>
        </w:trPr>
        <w:tc>
          <w:tcPr>
            <w:tcW w:w="4920" w:type="pct"/>
            <w:vAlign w:val="center"/>
          </w:tcPr>
          <w:p w:rsidR="00984565" w:rsidRDefault="00984565" w:rsidP="003F06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3B1B5A" w:rsidRDefault="003B1B5A"/>
    <w:sectPr w:rsidR="003B1B5A" w:rsidSect="00D17510">
      <w:footerReference w:type="default" r:id="rId8"/>
      <w:pgSz w:w="11906" w:h="16838" w:code="9"/>
      <w:pgMar w:top="1134" w:right="1361" w:bottom="1134" w:left="136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101" w:rsidRDefault="00395101" w:rsidP="00C65973">
      <w:pPr>
        <w:spacing w:after="0" w:line="240" w:lineRule="auto"/>
      </w:pPr>
      <w:r>
        <w:separator/>
      </w:r>
    </w:p>
  </w:endnote>
  <w:endnote w:type="continuationSeparator" w:id="0">
    <w:p w:rsidR="00395101" w:rsidRDefault="00395101" w:rsidP="00C65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09188"/>
      <w:docPartObj>
        <w:docPartGallery w:val="Page Numbers (Bottom of Page)"/>
        <w:docPartUnique/>
      </w:docPartObj>
    </w:sdtPr>
    <w:sdtContent>
      <w:p w:rsidR="00C65973" w:rsidRDefault="001250A1">
        <w:pPr>
          <w:pStyle w:val="Stopka"/>
          <w:jc w:val="center"/>
        </w:pPr>
        <w:fldSimple w:instr=" PAGE   \* MERGEFORMAT ">
          <w:r w:rsidR="00DF7F06">
            <w:rPr>
              <w:noProof/>
            </w:rPr>
            <w:t>8</w:t>
          </w:r>
        </w:fldSimple>
      </w:p>
    </w:sdtContent>
  </w:sdt>
  <w:p w:rsidR="00C65973" w:rsidRDefault="00C659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101" w:rsidRDefault="00395101" w:rsidP="00C65973">
      <w:pPr>
        <w:spacing w:after="0" w:line="240" w:lineRule="auto"/>
      </w:pPr>
      <w:r>
        <w:separator/>
      </w:r>
    </w:p>
  </w:footnote>
  <w:footnote w:type="continuationSeparator" w:id="0">
    <w:p w:rsidR="00395101" w:rsidRDefault="00395101" w:rsidP="00C65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0583"/>
    <w:multiLevelType w:val="hybridMultilevel"/>
    <w:tmpl w:val="A8381872"/>
    <w:lvl w:ilvl="0" w:tplc="8B7473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B7E71"/>
    <w:multiLevelType w:val="hybridMultilevel"/>
    <w:tmpl w:val="4DA404B2"/>
    <w:lvl w:ilvl="0" w:tplc="2B605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94C01"/>
    <w:multiLevelType w:val="hybridMultilevel"/>
    <w:tmpl w:val="59DEF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D10E3"/>
    <w:multiLevelType w:val="hybridMultilevel"/>
    <w:tmpl w:val="12BE46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0">
    <w:nsid w:val="24F80570"/>
    <w:multiLevelType w:val="hybridMultilevel"/>
    <w:tmpl w:val="AC441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76C1C38"/>
    <w:multiLevelType w:val="hybridMultilevel"/>
    <w:tmpl w:val="28FC94F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F070E8"/>
    <w:multiLevelType w:val="hybridMultilevel"/>
    <w:tmpl w:val="F8406B10"/>
    <w:lvl w:ilvl="0" w:tplc="3850CC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5119BA"/>
    <w:multiLevelType w:val="hybridMultilevel"/>
    <w:tmpl w:val="67DE34B4"/>
    <w:lvl w:ilvl="0" w:tplc="3CBC8D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06676B"/>
    <w:multiLevelType w:val="multilevel"/>
    <w:tmpl w:val="842A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1333E2"/>
    <w:multiLevelType w:val="hybridMultilevel"/>
    <w:tmpl w:val="639A6078"/>
    <w:lvl w:ilvl="0" w:tplc="D7161D68">
      <w:start w:val="1"/>
      <w:numFmt w:val="decimal"/>
      <w:lvlText w:val="%1."/>
      <w:lvlJc w:val="left"/>
      <w:pPr>
        <w:ind w:left="27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54" w:hanging="360"/>
      </w:pPr>
    </w:lvl>
    <w:lvl w:ilvl="2" w:tplc="0415001B">
      <w:start w:val="1"/>
      <w:numFmt w:val="lowerRoman"/>
      <w:lvlText w:val="%3."/>
      <w:lvlJc w:val="right"/>
      <w:pPr>
        <w:ind w:left="4174" w:hanging="180"/>
      </w:pPr>
    </w:lvl>
    <w:lvl w:ilvl="3" w:tplc="0415000F" w:tentative="1">
      <w:start w:val="1"/>
      <w:numFmt w:val="decimal"/>
      <w:lvlText w:val="%4."/>
      <w:lvlJc w:val="left"/>
      <w:pPr>
        <w:ind w:left="4894" w:hanging="360"/>
      </w:pPr>
    </w:lvl>
    <w:lvl w:ilvl="4" w:tplc="04150019" w:tentative="1">
      <w:start w:val="1"/>
      <w:numFmt w:val="lowerLetter"/>
      <w:lvlText w:val="%5."/>
      <w:lvlJc w:val="left"/>
      <w:pPr>
        <w:ind w:left="5614" w:hanging="360"/>
      </w:pPr>
    </w:lvl>
    <w:lvl w:ilvl="5" w:tplc="0415001B" w:tentative="1">
      <w:start w:val="1"/>
      <w:numFmt w:val="lowerRoman"/>
      <w:lvlText w:val="%6."/>
      <w:lvlJc w:val="right"/>
      <w:pPr>
        <w:ind w:left="6334" w:hanging="180"/>
      </w:pPr>
    </w:lvl>
    <w:lvl w:ilvl="6" w:tplc="0415000F" w:tentative="1">
      <w:start w:val="1"/>
      <w:numFmt w:val="decimal"/>
      <w:lvlText w:val="%7."/>
      <w:lvlJc w:val="left"/>
      <w:pPr>
        <w:ind w:left="7054" w:hanging="360"/>
      </w:pPr>
    </w:lvl>
    <w:lvl w:ilvl="7" w:tplc="04150019" w:tentative="1">
      <w:start w:val="1"/>
      <w:numFmt w:val="lowerLetter"/>
      <w:lvlText w:val="%8."/>
      <w:lvlJc w:val="left"/>
      <w:pPr>
        <w:ind w:left="7774" w:hanging="360"/>
      </w:pPr>
    </w:lvl>
    <w:lvl w:ilvl="8" w:tplc="0415001B" w:tentative="1">
      <w:start w:val="1"/>
      <w:numFmt w:val="lowerRoman"/>
      <w:lvlText w:val="%9."/>
      <w:lvlJc w:val="right"/>
      <w:pPr>
        <w:ind w:left="8494" w:hanging="180"/>
      </w:pPr>
    </w:lvl>
  </w:abstractNum>
  <w:abstractNum w:abstractNumId="26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2"/>
  </w:num>
  <w:num w:numId="4">
    <w:abstractNumId w:val="4"/>
  </w:num>
  <w:num w:numId="5">
    <w:abstractNumId w:val="12"/>
  </w:num>
  <w:num w:numId="6">
    <w:abstractNumId w:val="21"/>
  </w:num>
  <w:num w:numId="7">
    <w:abstractNumId w:val="29"/>
  </w:num>
  <w:num w:numId="8">
    <w:abstractNumId w:val="5"/>
  </w:num>
  <w:num w:numId="9">
    <w:abstractNumId w:val="23"/>
  </w:num>
  <w:num w:numId="10">
    <w:abstractNumId w:val="19"/>
  </w:num>
  <w:num w:numId="11">
    <w:abstractNumId w:val="11"/>
  </w:num>
  <w:num w:numId="12">
    <w:abstractNumId w:val="28"/>
  </w:num>
  <w:num w:numId="13">
    <w:abstractNumId w:val="20"/>
  </w:num>
  <w:num w:numId="14">
    <w:abstractNumId w:val="8"/>
  </w:num>
  <w:num w:numId="15">
    <w:abstractNumId w:val="14"/>
  </w:num>
  <w:num w:numId="16">
    <w:abstractNumId w:val="22"/>
  </w:num>
  <w:num w:numId="17">
    <w:abstractNumId w:val="15"/>
  </w:num>
  <w:num w:numId="18">
    <w:abstractNumId w:val="17"/>
  </w:num>
  <w:num w:numId="19">
    <w:abstractNumId w:val="6"/>
  </w:num>
  <w:num w:numId="20">
    <w:abstractNumId w:val="26"/>
  </w:num>
  <w:num w:numId="21">
    <w:abstractNumId w:val="9"/>
  </w:num>
  <w:num w:numId="22">
    <w:abstractNumId w:val="7"/>
  </w:num>
  <w:num w:numId="23">
    <w:abstractNumId w:val="3"/>
  </w:num>
  <w:num w:numId="24">
    <w:abstractNumId w:val="24"/>
  </w:num>
  <w:num w:numId="25">
    <w:abstractNumId w:val="1"/>
  </w:num>
  <w:num w:numId="26">
    <w:abstractNumId w:val="16"/>
  </w:num>
  <w:num w:numId="27">
    <w:abstractNumId w:val="10"/>
  </w:num>
  <w:num w:numId="28">
    <w:abstractNumId w:val="18"/>
  </w:num>
  <w:num w:numId="29">
    <w:abstractNumId w:val="0"/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984565"/>
    <w:rsid w:val="00014EE6"/>
    <w:rsid w:val="00062F08"/>
    <w:rsid w:val="00076D91"/>
    <w:rsid w:val="000B412D"/>
    <w:rsid w:val="000B4379"/>
    <w:rsid w:val="000B4882"/>
    <w:rsid w:val="001250A1"/>
    <w:rsid w:val="001758D2"/>
    <w:rsid w:val="00177418"/>
    <w:rsid w:val="00221934"/>
    <w:rsid w:val="002470C4"/>
    <w:rsid w:val="00254986"/>
    <w:rsid w:val="002703C5"/>
    <w:rsid w:val="00323414"/>
    <w:rsid w:val="00342397"/>
    <w:rsid w:val="00395101"/>
    <w:rsid w:val="003B1B5A"/>
    <w:rsid w:val="003E3E43"/>
    <w:rsid w:val="00424ED1"/>
    <w:rsid w:val="00425602"/>
    <w:rsid w:val="00444ADF"/>
    <w:rsid w:val="00480E9D"/>
    <w:rsid w:val="00521285"/>
    <w:rsid w:val="00550B29"/>
    <w:rsid w:val="005572E0"/>
    <w:rsid w:val="005647E4"/>
    <w:rsid w:val="0059675F"/>
    <w:rsid w:val="005D1304"/>
    <w:rsid w:val="00661D6A"/>
    <w:rsid w:val="0067777B"/>
    <w:rsid w:val="006A6D2A"/>
    <w:rsid w:val="006C1F04"/>
    <w:rsid w:val="006D189E"/>
    <w:rsid w:val="006E1A26"/>
    <w:rsid w:val="006F27AA"/>
    <w:rsid w:val="007276E3"/>
    <w:rsid w:val="00767A1A"/>
    <w:rsid w:val="007B4965"/>
    <w:rsid w:val="007F7436"/>
    <w:rsid w:val="00812DB4"/>
    <w:rsid w:val="00814F2F"/>
    <w:rsid w:val="00836A92"/>
    <w:rsid w:val="008D2A45"/>
    <w:rsid w:val="008E4725"/>
    <w:rsid w:val="00904052"/>
    <w:rsid w:val="00910E4E"/>
    <w:rsid w:val="00931A84"/>
    <w:rsid w:val="009459A6"/>
    <w:rsid w:val="009530A9"/>
    <w:rsid w:val="00962C11"/>
    <w:rsid w:val="00984565"/>
    <w:rsid w:val="009E3ED6"/>
    <w:rsid w:val="00A219F5"/>
    <w:rsid w:val="00A47BB8"/>
    <w:rsid w:val="00A66D97"/>
    <w:rsid w:val="00AC3509"/>
    <w:rsid w:val="00AE52F9"/>
    <w:rsid w:val="00B04853"/>
    <w:rsid w:val="00B05694"/>
    <w:rsid w:val="00B066F9"/>
    <w:rsid w:val="00B21526"/>
    <w:rsid w:val="00B46D7B"/>
    <w:rsid w:val="00B70FDC"/>
    <w:rsid w:val="00B87665"/>
    <w:rsid w:val="00BC7BEB"/>
    <w:rsid w:val="00C26B59"/>
    <w:rsid w:val="00C53A57"/>
    <w:rsid w:val="00C65973"/>
    <w:rsid w:val="00C66D7D"/>
    <w:rsid w:val="00C74DF6"/>
    <w:rsid w:val="00C90A05"/>
    <w:rsid w:val="00CC33E9"/>
    <w:rsid w:val="00CF4170"/>
    <w:rsid w:val="00D151B4"/>
    <w:rsid w:val="00D17510"/>
    <w:rsid w:val="00D8627B"/>
    <w:rsid w:val="00D90CB7"/>
    <w:rsid w:val="00DC7104"/>
    <w:rsid w:val="00DE104B"/>
    <w:rsid w:val="00DF7F06"/>
    <w:rsid w:val="00E06CFC"/>
    <w:rsid w:val="00E120ED"/>
    <w:rsid w:val="00E50D57"/>
    <w:rsid w:val="00EB6508"/>
    <w:rsid w:val="00EB7530"/>
    <w:rsid w:val="00EE7571"/>
    <w:rsid w:val="00EE7BDF"/>
    <w:rsid w:val="00F73618"/>
    <w:rsid w:val="00F932DF"/>
    <w:rsid w:val="00FA40B7"/>
    <w:rsid w:val="00FC379B"/>
    <w:rsid w:val="00FC646C"/>
    <w:rsid w:val="00FF6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5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5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65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597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5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97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15F4C-B13C-4379-AD28-5B1194485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8</Pages>
  <Words>2271</Words>
  <Characters>13630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23</cp:revision>
  <cp:lastPrinted>2011-03-14T12:41:00Z</cp:lastPrinted>
  <dcterms:created xsi:type="dcterms:W3CDTF">2011-02-21T14:54:00Z</dcterms:created>
  <dcterms:modified xsi:type="dcterms:W3CDTF">2011-06-21T09:57:00Z</dcterms:modified>
</cp:coreProperties>
</file>