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D9" w:rsidRDefault="003613D9">
      <w:pPr>
        <w:pStyle w:val="Normalny10"/>
        <w:jc w:val="center"/>
      </w:pPr>
    </w:p>
    <w:p w:rsidR="003613D9" w:rsidRDefault="000B092A">
      <w:pPr>
        <w:pStyle w:val="Normalny10"/>
        <w:jc w:val="center"/>
      </w:pPr>
      <w:r>
        <w:rPr>
          <w:noProof/>
          <w:lang w:eastAsia="pl-PL"/>
        </w:rPr>
        <w:drawing>
          <wp:inline distT="0" distB="0" distL="0" distR="0">
            <wp:extent cx="1086485" cy="1457325"/>
            <wp:effectExtent l="0" t="0" r="0" b="0"/>
            <wp:docPr id="1" name="Picture" descr="https://upload.wikimedia.org/wikipedia/commons/thumb/a/a9/POL_Lw%C3%B3wek_%C5%9Al%C4%85ski_COA.svg/220px-POL_Lw%C3%B3wek_%C5%9Al%C4%85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upload.wikimedia.org/wikipedia/commons/thumb/a/a9/POL_Lw%C3%B3wek_%C5%9Al%C4%85ski_COA.svg/220px-POL_Lw%C3%B3wek_%C5%9Al%C4%85ski_COA.svg.png"/>
                    <pic:cNvPicPr>
                      <a:picLocks noChangeAspect="1" noChangeArrowheads="1"/>
                    </pic:cNvPicPr>
                  </pic:nvPicPr>
                  <pic:blipFill>
                    <a:blip r:embed="rId9"/>
                    <a:stretch>
                      <a:fillRect/>
                    </a:stretch>
                  </pic:blipFill>
                  <pic:spPr bwMode="auto">
                    <a:xfrm>
                      <a:off x="0" y="0"/>
                      <a:ext cx="1086485" cy="1457325"/>
                    </a:xfrm>
                    <a:prstGeom prst="rect">
                      <a:avLst/>
                    </a:prstGeom>
                    <a:noFill/>
                    <a:ln w="9525">
                      <a:noFill/>
                      <a:miter lim="800000"/>
                      <a:headEnd/>
                      <a:tailEnd/>
                    </a:ln>
                  </pic:spPr>
                </pic:pic>
              </a:graphicData>
            </a:graphic>
          </wp:inline>
        </w:drawing>
      </w:r>
    </w:p>
    <w:p w:rsidR="003613D9" w:rsidRDefault="003613D9">
      <w:pPr>
        <w:pStyle w:val="Normalny10"/>
        <w:jc w:val="center"/>
      </w:pPr>
    </w:p>
    <w:p w:rsidR="003613D9" w:rsidRDefault="003613D9">
      <w:pPr>
        <w:pStyle w:val="Normalny10"/>
        <w:spacing w:line="276" w:lineRule="auto"/>
        <w:jc w:val="center"/>
        <w:rPr>
          <w:rFonts w:cs="Times New Roman"/>
        </w:rPr>
      </w:pPr>
    </w:p>
    <w:tbl>
      <w:tblPr>
        <w:tblW w:w="9072"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7" w:type="dxa"/>
          <w:bottom w:w="55" w:type="dxa"/>
          <w:right w:w="55" w:type="dxa"/>
        </w:tblCellMar>
        <w:tblLook w:val="04A0" w:firstRow="1" w:lastRow="0" w:firstColumn="1" w:lastColumn="0" w:noHBand="0" w:noVBand="1"/>
      </w:tblPr>
      <w:tblGrid>
        <w:gridCol w:w="9072"/>
      </w:tblGrid>
      <w:tr w:rsidR="003613D9">
        <w:trPr>
          <w:jc w:val="center"/>
        </w:trPr>
        <w:tc>
          <w:tcPr>
            <w:tcW w:w="9072"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613D9" w:rsidRDefault="000B092A">
            <w:pPr>
              <w:pStyle w:val="Normalny10"/>
              <w:spacing w:line="276" w:lineRule="auto"/>
              <w:jc w:val="center"/>
              <w:rPr>
                <w:rFonts w:ascii="Times New Roman" w:hAnsi="Times New Roman" w:cs="Times New Roman"/>
                <w:b/>
                <w:bCs/>
                <w:i/>
                <w:iCs/>
              </w:rPr>
            </w:pPr>
            <w:r>
              <w:rPr>
                <w:rFonts w:ascii="Times New Roman" w:hAnsi="Times New Roman" w:cs="Times New Roman"/>
                <w:b/>
                <w:bCs/>
                <w:i/>
                <w:iCs/>
              </w:rPr>
              <w:t>Nazwa Zamówienia:</w:t>
            </w:r>
          </w:p>
          <w:p w:rsidR="003613D9" w:rsidRDefault="000B092A">
            <w:pPr>
              <w:pStyle w:val="Normalny10"/>
              <w:spacing w:line="276" w:lineRule="auto"/>
              <w:jc w:val="center"/>
              <w:rPr>
                <w:rFonts w:ascii="Times New Roman" w:hAnsi="Times New Roman" w:cs="Times New Roman"/>
                <w:b/>
                <w:bCs/>
                <w:i/>
                <w:iCs/>
              </w:rPr>
            </w:pPr>
            <w:r>
              <w:rPr>
                <w:rFonts w:ascii="Times New Roman" w:hAnsi="Times New Roman" w:cs="Times New Roman"/>
                <w:b/>
                <w:bCs/>
                <w:i/>
                <w:iCs/>
              </w:rPr>
              <w:t>Osiągnięcie efektywności energetycznej poprzez modernizację oświetlenia ulicznego oraz dobudowę nowych punktów oświetleniowych na terenie Gminy i Miasta Lwówek Śląski wraz z zapewnieniem finansowania.</w:t>
            </w:r>
          </w:p>
        </w:tc>
      </w:tr>
      <w:tr w:rsidR="003613D9">
        <w:trPr>
          <w:jc w:val="center"/>
        </w:trPr>
        <w:tc>
          <w:tcPr>
            <w:tcW w:w="9072"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613D9" w:rsidRDefault="000B092A">
            <w:pPr>
              <w:pStyle w:val="Normalny10"/>
              <w:spacing w:line="276" w:lineRule="auto"/>
              <w:jc w:val="center"/>
              <w:rPr>
                <w:rFonts w:ascii="Times New Roman" w:hAnsi="Times New Roman" w:cs="Times New Roman"/>
              </w:rPr>
            </w:pPr>
            <w:r>
              <w:rPr>
                <w:rFonts w:ascii="Times New Roman" w:hAnsi="Times New Roman" w:cs="Times New Roman"/>
              </w:rPr>
              <w:t>Miejsce wykonania zamówienia</w:t>
            </w:r>
            <w:r>
              <w:rPr>
                <w:rFonts w:ascii="Times New Roman" w:hAnsi="Times New Roman" w:cs="Times New Roman"/>
                <w:b/>
              </w:rPr>
              <w:t>: Gmina i Miasto Lwówek Śląski</w:t>
            </w:r>
          </w:p>
        </w:tc>
      </w:tr>
      <w:tr w:rsidR="003613D9">
        <w:trPr>
          <w:trHeight w:val="2950"/>
          <w:jc w:val="center"/>
        </w:trPr>
        <w:tc>
          <w:tcPr>
            <w:tcW w:w="9072"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613D9" w:rsidRDefault="000B092A">
            <w:pPr>
              <w:pStyle w:val="Normalny10"/>
              <w:spacing w:line="276" w:lineRule="auto"/>
              <w:jc w:val="center"/>
              <w:rPr>
                <w:rFonts w:ascii="Times New Roman" w:hAnsi="Times New Roman" w:cs="Times New Roman"/>
              </w:rPr>
            </w:pPr>
            <w:r>
              <w:rPr>
                <w:rFonts w:ascii="Times New Roman" w:hAnsi="Times New Roman" w:cs="Times New Roman"/>
              </w:rPr>
              <w:t>Wspólny Słownik Zamówień Publicznych:</w:t>
            </w:r>
          </w:p>
          <w:p w:rsidR="003613D9" w:rsidRPr="00FD5214" w:rsidRDefault="000B092A">
            <w:pPr>
              <w:pStyle w:val="Tretekstu"/>
              <w:spacing w:before="58" w:after="58" w:line="276" w:lineRule="auto"/>
              <w:rPr>
                <w:color w:val="auto"/>
              </w:rPr>
            </w:pPr>
            <w:r w:rsidRPr="00FD5214">
              <w:rPr>
                <w:rFonts w:ascii="Times New Roman" w:hAnsi="Times New Roman" w:cs="Times New Roman"/>
                <w:color w:val="auto"/>
              </w:rPr>
              <w:t>45311200-2 Roboty w zakresie instalacji elektrycznych</w:t>
            </w:r>
          </w:p>
          <w:p w:rsidR="003613D9" w:rsidRPr="00FD5214" w:rsidRDefault="000B092A">
            <w:pPr>
              <w:pStyle w:val="Normalny10"/>
              <w:spacing w:after="44" w:line="276" w:lineRule="auto"/>
              <w:rPr>
                <w:rFonts w:ascii="Times New Roman" w:hAnsi="Times New Roman" w:cs="Times New Roman"/>
                <w:color w:val="auto"/>
              </w:rPr>
            </w:pPr>
            <w:r w:rsidRPr="00FD5214">
              <w:rPr>
                <w:rFonts w:ascii="Times New Roman" w:hAnsi="Times New Roman" w:cs="Times New Roman"/>
                <w:color w:val="auto"/>
              </w:rPr>
              <w:t>71320000-7 Usługi inżynieryjne w zakresie projektowania</w:t>
            </w:r>
          </w:p>
          <w:p w:rsidR="003613D9" w:rsidRPr="00FD5214" w:rsidRDefault="000B092A">
            <w:pPr>
              <w:pStyle w:val="Tretekstu"/>
              <w:spacing w:after="62" w:line="276" w:lineRule="auto"/>
              <w:rPr>
                <w:rFonts w:ascii="Times New Roman" w:hAnsi="Times New Roman" w:cs="Times New Roman"/>
                <w:color w:val="auto"/>
              </w:rPr>
            </w:pPr>
            <w:r w:rsidRPr="00FD5214">
              <w:rPr>
                <w:rFonts w:ascii="Times New Roman" w:hAnsi="Times New Roman" w:cs="Times New Roman"/>
                <w:color w:val="auto"/>
              </w:rPr>
              <w:t>45316110-9 Instalowanie urządzeń oświetlenia drogowego</w:t>
            </w:r>
          </w:p>
          <w:p w:rsidR="003613D9" w:rsidRPr="00FD5214" w:rsidRDefault="000B092A">
            <w:pPr>
              <w:pStyle w:val="Tretekstu"/>
              <w:spacing w:before="58" w:after="58" w:line="276" w:lineRule="auto"/>
              <w:rPr>
                <w:color w:val="auto"/>
              </w:rPr>
            </w:pPr>
            <w:r w:rsidRPr="00FD5214">
              <w:rPr>
                <w:rFonts w:ascii="Times New Roman" w:hAnsi="Times New Roman" w:cs="Times New Roman"/>
                <w:color w:val="auto"/>
              </w:rPr>
              <w:t>31520000-7 Lampy i oprawy oświetleniowe</w:t>
            </w:r>
          </w:p>
          <w:p w:rsidR="003613D9" w:rsidRPr="00FD5214" w:rsidRDefault="000B092A">
            <w:pPr>
              <w:pStyle w:val="Tretekstu"/>
              <w:spacing w:before="58" w:after="58" w:line="276" w:lineRule="auto"/>
              <w:rPr>
                <w:rFonts w:ascii="Times New Roman" w:hAnsi="Times New Roman" w:cs="Times New Roman"/>
                <w:color w:val="auto"/>
              </w:rPr>
            </w:pPr>
            <w:r w:rsidRPr="00FD5214">
              <w:rPr>
                <w:rFonts w:ascii="Times New Roman" w:hAnsi="Times New Roman" w:cs="Times New Roman"/>
                <w:color w:val="auto"/>
              </w:rPr>
              <w:t>66133000-1 Usługi w zakresie przetwarzania i rozliczania</w:t>
            </w:r>
          </w:p>
          <w:p w:rsidR="003613D9" w:rsidRPr="00FD5214" w:rsidRDefault="000B092A">
            <w:pPr>
              <w:pStyle w:val="Tretekstu"/>
              <w:spacing w:after="0" w:line="276" w:lineRule="auto"/>
              <w:rPr>
                <w:rFonts w:ascii="Times New Roman" w:hAnsi="Times New Roman" w:cs="Times New Roman"/>
                <w:b/>
                <w:color w:val="auto"/>
              </w:rPr>
            </w:pPr>
            <w:r w:rsidRPr="00FD5214">
              <w:rPr>
                <w:rStyle w:val="Mocnowyrniony"/>
                <w:rFonts w:ascii="Times New Roman" w:hAnsi="Times New Roman" w:cs="Times New Roman"/>
                <w:b w:val="0"/>
                <w:color w:val="auto"/>
              </w:rPr>
              <w:t>66515000-3</w:t>
            </w:r>
            <w:r w:rsidRPr="00FD5214">
              <w:rPr>
                <w:rFonts w:ascii="Times New Roman" w:hAnsi="Times New Roman" w:cs="Times New Roman"/>
                <w:b/>
                <w:color w:val="auto"/>
              </w:rPr>
              <w:t xml:space="preserve"> </w:t>
            </w:r>
            <w:r w:rsidRPr="00FD5214">
              <w:rPr>
                <w:rStyle w:val="Mocnowyrniony"/>
                <w:rFonts w:ascii="Times New Roman" w:hAnsi="Times New Roman" w:cs="Times New Roman"/>
                <w:b w:val="0"/>
                <w:color w:val="auto"/>
              </w:rPr>
              <w:t>Usługi ubezpieczenia od uszkodzenia lub utraty</w:t>
            </w:r>
          </w:p>
          <w:p w:rsidR="003613D9" w:rsidRDefault="003613D9">
            <w:pPr>
              <w:pStyle w:val="Normalny10"/>
              <w:spacing w:line="276" w:lineRule="auto"/>
              <w:rPr>
                <w:rFonts w:ascii="Times New Roman" w:hAnsi="Times New Roman" w:cs="Times New Roman"/>
                <w:color w:val="000000"/>
              </w:rPr>
            </w:pPr>
          </w:p>
        </w:tc>
      </w:tr>
      <w:tr w:rsidR="003613D9">
        <w:trPr>
          <w:jc w:val="center"/>
        </w:trPr>
        <w:tc>
          <w:tcPr>
            <w:tcW w:w="9072"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613D9" w:rsidRDefault="000B092A">
            <w:pPr>
              <w:pStyle w:val="Normalny10"/>
              <w:spacing w:after="0" w:line="276" w:lineRule="auto"/>
              <w:jc w:val="center"/>
              <w:rPr>
                <w:rFonts w:ascii="Times New Roman" w:hAnsi="Times New Roman" w:cs="Times New Roman"/>
              </w:rPr>
            </w:pPr>
            <w:r>
              <w:rPr>
                <w:rFonts w:ascii="Times New Roman" w:hAnsi="Times New Roman" w:cs="Times New Roman"/>
              </w:rPr>
              <w:t xml:space="preserve">Zamawiający: </w:t>
            </w:r>
          </w:p>
          <w:p w:rsidR="003613D9" w:rsidRDefault="000B092A">
            <w:pPr>
              <w:pStyle w:val="Normalny10"/>
              <w:spacing w:after="0"/>
              <w:jc w:val="center"/>
              <w:rPr>
                <w:rFonts w:ascii="Calibri" w:hAnsi="Calibri"/>
                <w:sz w:val="24"/>
                <w:szCs w:val="24"/>
              </w:rPr>
            </w:pPr>
            <w:r>
              <w:rPr>
                <w:rFonts w:ascii="Times New Roman" w:hAnsi="Times New Roman" w:cs="Times New Roman"/>
                <w:b/>
                <w:sz w:val="24"/>
                <w:szCs w:val="24"/>
              </w:rPr>
              <w:t>Gmina i Miasto Lwówek Śląski</w:t>
            </w:r>
            <w:r>
              <w:rPr>
                <w:sz w:val="24"/>
                <w:szCs w:val="24"/>
              </w:rPr>
              <w:t xml:space="preserve"> </w:t>
            </w:r>
          </w:p>
          <w:p w:rsidR="003613D9" w:rsidRDefault="000B092A">
            <w:pPr>
              <w:pStyle w:val="Normalny10"/>
              <w:spacing w:after="0" w:line="276" w:lineRule="auto"/>
              <w:jc w:val="center"/>
              <w:rPr>
                <w:sz w:val="20"/>
                <w:szCs w:val="20"/>
              </w:rPr>
            </w:pPr>
            <w:r>
              <w:rPr>
                <w:rFonts w:ascii="Times New Roman" w:hAnsi="Times New Roman" w:cs="Times New Roman"/>
                <w:b/>
                <w:sz w:val="24"/>
                <w:szCs w:val="24"/>
              </w:rPr>
              <w:t>Al. Wojska Polskiego 25A, 59-600 Lwówek Śląski</w:t>
            </w:r>
            <w:r>
              <w:rPr>
                <w:sz w:val="20"/>
                <w:szCs w:val="20"/>
              </w:rPr>
              <w:t xml:space="preserve"> </w:t>
            </w:r>
          </w:p>
          <w:p w:rsidR="003613D9" w:rsidRDefault="000B092A">
            <w:pPr>
              <w:pStyle w:val="Normalny1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Telefon: (75) 64 77 888, fax. (75) 64 77 889</w:t>
            </w:r>
          </w:p>
        </w:tc>
      </w:tr>
    </w:tbl>
    <w:p w:rsidR="003613D9" w:rsidRDefault="003613D9">
      <w:pPr>
        <w:pStyle w:val="Normalny10"/>
        <w:spacing w:line="276" w:lineRule="auto"/>
        <w:jc w:val="center"/>
        <w:rPr>
          <w:rFonts w:ascii="Times New Roman" w:hAnsi="Times New Roman" w:cs="Times New Roman"/>
        </w:rPr>
      </w:pPr>
    </w:p>
    <w:p w:rsidR="003613D9" w:rsidRDefault="000B092A">
      <w:pPr>
        <w:pStyle w:val="Normalny10"/>
        <w:spacing w:line="276" w:lineRule="auto"/>
        <w:jc w:val="center"/>
        <w:rPr>
          <w:rFonts w:ascii="Times New Roman" w:hAnsi="Times New Roman" w:cs="Times New Roman"/>
        </w:rPr>
      </w:pPr>
      <w:r>
        <w:rPr>
          <w:rFonts w:ascii="Times New Roman" w:hAnsi="Times New Roman" w:cs="Times New Roman"/>
        </w:rPr>
        <w:t xml:space="preserve">Lwówek Śląski, </w:t>
      </w:r>
      <w:r w:rsidR="00FD5214">
        <w:rPr>
          <w:rFonts w:ascii="Times New Roman" w:hAnsi="Times New Roman" w:cs="Times New Roman"/>
        </w:rPr>
        <w:t>20.12.</w:t>
      </w:r>
      <w:r>
        <w:rPr>
          <w:rFonts w:ascii="Times New Roman" w:hAnsi="Times New Roman" w:cs="Times New Roman"/>
        </w:rPr>
        <w:t>2017 r.</w:t>
      </w:r>
    </w:p>
    <w:p w:rsidR="003613D9" w:rsidRDefault="003613D9">
      <w:pPr>
        <w:pStyle w:val="Normalny10"/>
        <w:jc w:val="center"/>
      </w:pPr>
    </w:p>
    <w:p w:rsidR="003613D9" w:rsidRDefault="003613D9">
      <w:pPr>
        <w:pStyle w:val="Normalny10"/>
        <w:jc w:val="center"/>
      </w:pPr>
    </w:p>
    <w:p w:rsidR="003613D9" w:rsidRDefault="003613D9">
      <w:pPr>
        <w:pStyle w:val="Normalny10"/>
        <w:jc w:val="center"/>
      </w:pPr>
    </w:p>
    <w:p w:rsidR="003613D9" w:rsidRDefault="003613D9">
      <w:pPr>
        <w:pStyle w:val="Normalny10"/>
        <w:jc w:val="center"/>
      </w:pPr>
    </w:p>
    <w:p w:rsidR="003613D9" w:rsidRDefault="003613D9">
      <w:pPr>
        <w:pStyle w:val="Normalny10"/>
        <w:spacing w:line="276" w:lineRule="auto"/>
        <w:rPr>
          <w:rFonts w:ascii="Times New Roman" w:hAnsi="Times New Roman" w:cs="Times New Roman"/>
        </w:rPr>
      </w:pPr>
    </w:p>
    <w:p w:rsidR="003613D9" w:rsidRDefault="003613D9">
      <w:pPr>
        <w:pStyle w:val="Normalny10"/>
        <w:spacing w:line="276" w:lineRule="auto"/>
        <w:rPr>
          <w:rFonts w:ascii="Times New Roman" w:hAnsi="Times New Roman" w:cs="Times New Roman"/>
        </w:rPr>
      </w:pPr>
    </w:p>
    <w:p w:rsidR="003613D9" w:rsidRDefault="000B092A">
      <w:pPr>
        <w:pStyle w:val="Normalny10"/>
        <w:spacing w:line="276" w:lineRule="auto"/>
        <w:rPr>
          <w:rFonts w:ascii="Times New Roman" w:hAnsi="Times New Roman" w:cs="Times New Roman"/>
        </w:rPr>
      </w:pPr>
      <w:r>
        <w:rPr>
          <w:rFonts w:ascii="Times New Roman" w:hAnsi="Times New Roman" w:cs="Times New Roman"/>
        </w:rPr>
        <w:t>Spis treści:</w:t>
      </w:r>
    </w:p>
    <w:p w:rsidR="003613D9" w:rsidRDefault="000B092A">
      <w:pPr>
        <w:pStyle w:val="Normalny10"/>
        <w:numPr>
          <w:ilvl w:val="0"/>
          <w:numId w:val="1"/>
        </w:numPr>
        <w:spacing w:after="0" w:line="276" w:lineRule="auto"/>
        <w:ind w:left="360"/>
        <w:jc w:val="both"/>
        <w:rPr>
          <w:rFonts w:ascii="Times New Roman" w:hAnsi="Times New Roman" w:cs="Times New Roman"/>
        </w:rPr>
      </w:pPr>
      <w:r>
        <w:rPr>
          <w:rFonts w:ascii="Times New Roman" w:hAnsi="Times New Roman" w:cs="Times New Roman"/>
        </w:rPr>
        <w:t>Część opisowa..........................................................................................................................3</w:t>
      </w: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rPr>
        <w:t>1.1. Przedmiot Zamówienia............................................................................................................3</w:t>
      </w: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rPr>
        <w:t>1.2. Wymagania Zamawiającego w stosunku do przedmiotu zamówienia....................................5</w:t>
      </w:r>
    </w:p>
    <w:p w:rsidR="003613D9" w:rsidRDefault="000B092A">
      <w:pPr>
        <w:pStyle w:val="Normalny10"/>
        <w:spacing w:after="0" w:line="276" w:lineRule="auto"/>
        <w:rPr>
          <w:rFonts w:ascii="Times New Roman" w:hAnsi="Times New Roman" w:cs="Times New Roman"/>
        </w:rPr>
      </w:pPr>
      <w:r>
        <w:rPr>
          <w:rFonts w:ascii="Times New Roman" w:hAnsi="Times New Roman" w:cs="Times New Roman"/>
        </w:rPr>
        <w:t>1.2.1. Wymagania odnośnie dokumentacji...................................................................................</w:t>
      </w:r>
      <w:r w:rsidR="00FD5214">
        <w:rPr>
          <w:rFonts w:ascii="Times New Roman" w:hAnsi="Times New Roman" w:cs="Times New Roman"/>
        </w:rPr>
        <w:t>.........</w:t>
      </w:r>
      <w:r>
        <w:rPr>
          <w:rFonts w:ascii="Times New Roman" w:hAnsi="Times New Roman" w:cs="Times New Roman"/>
        </w:rPr>
        <w:t>..5</w:t>
      </w: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rPr>
        <w:t xml:space="preserve">1.2.2. Wymagania odnośnie realizacji............................................................................................6  </w:t>
      </w: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rPr>
        <w:t>1.3. Wymagania odnośnie sprzętu, materiałów, urządzeń..............................................................6</w:t>
      </w: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rPr>
        <w:t>1.3.1. Słupy, Fundamenty i Wysięgniki..........................................................................................9</w:t>
      </w: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rPr>
        <w:t>1.3.2. Linia kablowa………..........................................................................................................10</w:t>
      </w: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rPr>
        <w:t>1.3.3 Oprawy oświetleniowe.........................................................................................................10</w:t>
      </w: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rPr>
        <w:t>1.4. Uwarunkowania wykonania przedmiotu zamówienia...........................................................13</w:t>
      </w:r>
    </w:p>
    <w:p w:rsidR="003613D9" w:rsidRDefault="000B092A">
      <w:pPr>
        <w:pStyle w:val="Normalny10"/>
        <w:numPr>
          <w:ilvl w:val="0"/>
          <w:numId w:val="1"/>
        </w:numPr>
        <w:spacing w:after="0" w:line="276" w:lineRule="auto"/>
        <w:ind w:left="360"/>
        <w:jc w:val="both"/>
        <w:rPr>
          <w:rFonts w:ascii="Times New Roman" w:hAnsi="Times New Roman" w:cs="Times New Roman"/>
        </w:rPr>
      </w:pPr>
      <w:r>
        <w:rPr>
          <w:rFonts w:ascii="Times New Roman" w:hAnsi="Times New Roman" w:cs="Times New Roman"/>
        </w:rPr>
        <w:t>Część informacyjna............................................................................................................... 13</w:t>
      </w:r>
    </w:p>
    <w:p w:rsidR="003613D9" w:rsidRDefault="000B092A">
      <w:pPr>
        <w:pStyle w:val="Normalny10"/>
        <w:tabs>
          <w:tab w:val="left" w:pos="9180"/>
          <w:tab w:val="left" w:pos="9360"/>
        </w:tabs>
        <w:spacing w:after="0" w:line="276" w:lineRule="auto"/>
        <w:jc w:val="both"/>
        <w:rPr>
          <w:rFonts w:ascii="Times New Roman" w:hAnsi="Times New Roman" w:cs="Times New Roman"/>
        </w:rPr>
      </w:pPr>
      <w:r>
        <w:rPr>
          <w:rFonts w:ascii="Times New Roman" w:hAnsi="Times New Roman" w:cs="Times New Roman"/>
        </w:rPr>
        <w:t>2.1. Wykaz załączników do PFU………………………………...……………………………</w:t>
      </w:r>
      <w:r w:rsidR="00FD5214">
        <w:rPr>
          <w:rFonts w:ascii="Times New Roman" w:hAnsi="Times New Roman" w:cs="Times New Roman"/>
        </w:rPr>
        <w:t>…</w:t>
      </w:r>
      <w:r>
        <w:rPr>
          <w:rFonts w:ascii="Times New Roman" w:hAnsi="Times New Roman" w:cs="Times New Roman"/>
        </w:rPr>
        <w:t>...13</w:t>
      </w:r>
    </w:p>
    <w:p w:rsidR="003613D9" w:rsidRDefault="000B092A">
      <w:pPr>
        <w:pStyle w:val="Normalny10"/>
        <w:tabs>
          <w:tab w:val="left" w:pos="9180"/>
          <w:tab w:val="left" w:pos="9360"/>
        </w:tabs>
        <w:spacing w:after="0" w:line="276" w:lineRule="auto"/>
        <w:jc w:val="both"/>
        <w:rPr>
          <w:rFonts w:ascii="Times New Roman" w:hAnsi="Times New Roman" w:cs="Times New Roman"/>
        </w:rPr>
      </w:pPr>
      <w:r>
        <w:rPr>
          <w:rFonts w:ascii="Times New Roman" w:hAnsi="Times New Roman" w:cs="Times New Roman"/>
        </w:rPr>
        <w:t>2.2. Podstawy prawne...................................................................................................................13</w:t>
      </w:r>
    </w:p>
    <w:p w:rsidR="003613D9" w:rsidRDefault="003613D9">
      <w:pPr>
        <w:pStyle w:val="Normalny10"/>
        <w:spacing w:line="276" w:lineRule="auto"/>
        <w:jc w:val="both"/>
        <w:rPr>
          <w:rFonts w:ascii="Times New Roman" w:hAnsi="Times New Roman" w:cs="Times New Roman"/>
        </w:rPr>
      </w:pPr>
    </w:p>
    <w:p w:rsidR="003613D9" w:rsidRDefault="003613D9">
      <w:pPr>
        <w:pStyle w:val="Normalny10"/>
        <w:spacing w:line="276" w:lineRule="auto"/>
        <w:jc w:val="both"/>
        <w:rPr>
          <w:rFonts w:ascii="Times New Roman" w:hAnsi="Times New Roman" w:cs="Times New Roman"/>
          <w:strike/>
        </w:rPr>
      </w:pPr>
    </w:p>
    <w:p w:rsidR="003613D9" w:rsidRDefault="003613D9">
      <w:pPr>
        <w:pStyle w:val="Normalny10"/>
        <w:spacing w:line="276" w:lineRule="auto"/>
        <w:jc w:val="center"/>
        <w:rPr>
          <w:rFonts w:ascii="Times New Roman" w:hAnsi="Times New Roman" w:cs="Times New Roman"/>
        </w:rPr>
      </w:pPr>
    </w:p>
    <w:p w:rsidR="003613D9" w:rsidRDefault="003613D9">
      <w:pPr>
        <w:pStyle w:val="Normalny10"/>
        <w:spacing w:line="276" w:lineRule="auto"/>
        <w:jc w:val="center"/>
        <w:rPr>
          <w:rFonts w:ascii="Times New Roman" w:hAnsi="Times New Roman" w:cs="Times New Roman"/>
        </w:rPr>
      </w:pPr>
    </w:p>
    <w:p w:rsidR="003613D9" w:rsidRDefault="003613D9">
      <w:pPr>
        <w:pStyle w:val="Normalny10"/>
        <w:spacing w:line="276" w:lineRule="auto"/>
        <w:jc w:val="center"/>
        <w:rPr>
          <w:rFonts w:ascii="Times New Roman" w:hAnsi="Times New Roman" w:cs="Times New Roman"/>
        </w:rPr>
      </w:pPr>
    </w:p>
    <w:p w:rsidR="003613D9" w:rsidRDefault="003613D9">
      <w:pPr>
        <w:pStyle w:val="Normalny10"/>
        <w:spacing w:line="276" w:lineRule="auto"/>
        <w:jc w:val="center"/>
        <w:rPr>
          <w:rFonts w:ascii="Times New Roman" w:hAnsi="Times New Roman" w:cs="Times New Roman"/>
        </w:rPr>
      </w:pPr>
    </w:p>
    <w:p w:rsidR="003613D9" w:rsidRDefault="003613D9">
      <w:pPr>
        <w:pStyle w:val="Normalny10"/>
        <w:spacing w:line="276" w:lineRule="auto"/>
        <w:jc w:val="center"/>
        <w:rPr>
          <w:rFonts w:ascii="Times New Roman" w:hAnsi="Times New Roman" w:cs="Times New Roman"/>
        </w:rPr>
      </w:pPr>
    </w:p>
    <w:p w:rsidR="003613D9" w:rsidRDefault="003613D9">
      <w:pPr>
        <w:pStyle w:val="Normalny10"/>
        <w:spacing w:line="276" w:lineRule="auto"/>
        <w:jc w:val="center"/>
        <w:rPr>
          <w:rFonts w:ascii="Times New Roman" w:hAnsi="Times New Roman" w:cs="Times New Roman"/>
        </w:rPr>
      </w:pPr>
    </w:p>
    <w:p w:rsidR="003613D9" w:rsidRDefault="003613D9">
      <w:pPr>
        <w:pStyle w:val="Normalny10"/>
        <w:spacing w:line="276" w:lineRule="auto"/>
        <w:jc w:val="center"/>
        <w:rPr>
          <w:rFonts w:ascii="Times New Roman" w:hAnsi="Times New Roman" w:cs="Times New Roman"/>
        </w:rPr>
      </w:pPr>
    </w:p>
    <w:p w:rsidR="003613D9" w:rsidRDefault="003613D9">
      <w:pPr>
        <w:pStyle w:val="Normalny10"/>
        <w:spacing w:line="276" w:lineRule="auto"/>
        <w:jc w:val="center"/>
        <w:rPr>
          <w:rFonts w:ascii="Times New Roman" w:hAnsi="Times New Roman" w:cs="Times New Roman"/>
          <w:b/>
          <w:bCs/>
        </w:rPr>
      </w:pPr>
    </w:p>
    <w:p w:rsidR="003613D9" w:rsidRDefault="003613D9">
      <w:pPr>
        <w:pStyle w:val="Normalny10"/>
        <w:spacing w:line="276" w:lineRule="auto"/>
        <w:jc w:val="center"/>
        <w:rPr>
          <w:rFonts w:ascii="Times New Roman" w:hAnsi="Times New Roman" w:cs="Times New Roman"/>
          <w:b/>
          <w:bCs/>
        </w:rPr>
      </w:pPr>
    </w:p>
    <w:p w:rsidR="003613D9" w:rsidRDefault="003613D9">
      <w:pPr>
        <w:pStyle w:val="Normalny10"/>
        <w:spacing w:line="276" w:lineRule="auto"/>
        <w:jc w:val="center"/>
        <w:rPr>
          <w:rFonts w:ascii="Times New Roman" w:hAnsi="Times New Roman" w:cs="Times New Roman"/>
          <w:b/>
          <w:bCs/>
        </w:rPr>
      </w:pPr>
    </w:p>
    <w:p w:rsidR="003613D9" w:rsidRDefault="003613D9">
      <w:pPr>
        <w:pStyle w:val="Normalny10"/>
        <w:spacing w:line="276" w:lineRule="auto"/>
        <w:jc w:val="center"/>
        <w:rPr>
          <w:rFonts w:ascii="Times New Roman" w:hAnsi="Times New Roman" w:cs="Times New Roman"/>
          <w:b/>
          <w:bCs/>
        </w:rPr>
      </w:pPr>
    </w:p>
    <w:p w:rsidR="003613D9" w:rsidRDefault="003613D9">
      <w:pPr>
        <w:pStyle w:val="Normalny10"/>
        <w:spacing w:line="276" w:lineRule="auto"/>
        <w:jc w:val="center"/>
        <w:rPr>
          <w:rFonts w:ascii="Times New Roman" w:hAnsi="Times New Roman" w:cs="Times New Roman"/>
          <w:b/>
          <w:bCs/>
        </w:rPr>
      </w:pPr>
    </w:p>
    <w:p w:rsidR="003613D9" w:rsidRDefault="003613D9">
      <w:pPr>
        <w:pStyle w:val="Normalny10"/>
        <w:spacing w:line="276" w:lineRule="auto"/>
        <w:jc w:val="center"/>
        <w:rPr>
          <w:rFonts w:ascii="Times New Roman" w:hAnsi="Times New Roman" w:cs="Times New Roman"/>
          <w:b/>
          <w:bCs/>
        </w:rPr>
      </w:pPr>
    </w:p>
    <w:p w:rsidR="003613D9" w:rsidRDefault="003613D9">
      <w:pPr>
        <w:pStyle w:val="Normalny10"/>
        <w:spacing w:line="276" w:lineRule="auto"/>
        <w:jc w:val="center"/>
        <w:rPr>
          <w:rFonts w:ascii="Times New Roman" w:hAnsi="Times New Roman" w:cs="Times New Roman"/>
          <w:b/>
          <w:bCs/>
        </w:rPr>
      </w:pPr>
    </w:p>
    <w:p w:rsidR="003613D9" w:rsidRDefault="003613D9">
      <w:pPr>
        <w:pStyle w:val="Normalny10"/>
        <w:spacing w:line="276" w:lineRule="auto"/>
        <w:jc w:val="center"/>
        <w:rPr>
          <w:rFonts w:ascii="Times New Roman" w:hAnsi="Times New Roman" w:cs="Times New Roman"/>
          <w:b/>
          <w:bCs/>
        </w:rPr>
      </w:pPr>
    </w:p>
    <w:p w:rsidR="003613D9" w:rsidRDefault="003613D9">
      <w:pPr>
        <w:pStyle w:val="Normalny10"/>
        <w:spacing w:line="276" w:lineRule="auto"/>
        <w:jc w:val="center"/>
        <w:rPr>
          <w:rFonts w:ascii="Times New Roman" w:hAnsi="Times New Roman" w:cs="Times New Roman"/>
          <w:b/>
          <w:bCs/>
        </w:rPr>
      </w:pPr>
    </w:p>
    <w:p w:rsidR="003613D9" w:rsidRDefault="003613D9">
      <w:pPr>
        <w:pStyle w:val="Normalny10"/>
        <w:spacing w:line="276" w:lineRule="auto"/>
        <w:jc w:val="center"/>
        <w:rPr>
          <w:rFonts w:ascii="Times New Roman" w:hAnsi="Times New Roman" w:cs="Times New Roman"/>
          <w:b/>
          <w:bCs/>
        </w:rPr>
      </w:pPr>
    </w:p>
    <w:p w:rsidR="003613D9" w:rsidRDefault="003613D9">
      <w:pPr>
        <w:pStyle w:val="Normalny10"/>
        <w:spacing w:line="276" w:lineRule="auto"/>
        <w:jc w:val="center"/>
        <w:rPr>
          <w:rFonts w:ascii="Times New Roman" w:hAnsi="Times New Roman" w:cs="Times New Roman"/>
          <w:b/>
          <w:bCs/>
        </w:rPr>
      </w:pPr>
    </w:p>
    <w:p w:rsidR="003613D9" w:rsidRDefault="000B092A">
      <w:pPr>
        <w:pStyle w:val="Normalny10"/>
        <w:spacing w:line="276" w:lineRule="auto"/>
        <w:jc w:val="both"/>
        <w:rPr>
          <w:rFonts w:ascii="Times New Roman" w:hAnsi="Times New Roman" w:cs="Times New Roman"/>
          <w:b/>
          <w:bCs/>
        </w:rPr>
      </w:pPr>
      <w:r>
        <w:rPr>
          <w:rFonts w:ascii="Times New Roman" w:hAnsi="Times New Roman" w:cs="Times New Roman"/>
          <w:b/>
          <w:bCs/>
        </w:rPr>
        <w:t>1. Część opisowa</w:t>
      </w:r>
    </w:p>
    <w:p w:rsidR="003613D9" w:rsidRDefault="000B092A">
      <w:pPr>
        <w:pStyle w:val="Normalny10"/>
        <w:spacing w:line="276" w:lineRule="auto"/>
        <w:jc w:val="both"/>
        <w:rPr>
          <w:rFonts w:ascii="Times New Roman" w:hAnsi="Times New Roman" w:cs="Times New Roman"/>
          <w:b/>
          <w:bCs/>
        </w:rPr>
      </w:pPr>
      <w:r>
        <w:rPr>
          <w:rFonts w:ascii="Times New Roman" w:hAnsi="Times New Roman" w:cs="Times New Roman"/>
          <w:b/>
          <w:bCs/>
        </w:rPr>
        <w:t>1.1 Przedmiot Zamówienia</w:t>
      </w:r>
    </w:p>
    <w:p w:rsidR="003613D9" w:rsidRDefault="000B092A">
      <w:pPr>
        <w:pStyle w:val="Normalny10"/>
        <w:spacing w:line="276" w:lineRule="auto"/>
        <w:jc w:val="both"/>
        <w:rPr>
          <w:rFonts w:ascii="Times New Roman" w:hAnsi="Times New Roman" w:cs="Times New Roman"/>
          <w:b/>
          <w:bCs/>
        </w:rPr>
      </w:pPr>
      <w:r>
        <w:rPr>
          <w:rFonts w:ascii="Times New Roman" w:hAnsi="Times New Roman" w:cs="Times New Roman"/>
          <w:b/>
          <w:bCs/>
        </w:rPr>
        <w:t>Przedmiotem zamówienia jest osiągnięcie efektywności energetycznej poprzez modernizację oświetlenia ulicznego oraz dobudowę nowych punktów oświetleniowych na terenie Gminy i Miasta Lwówek Śląski wraz z zapewnieniem finansowania.</w:t>
      </w:r>
    </w:p>
    <w:p w:rsidR="003613D9" w:rsidRDefault="000B092A">
      <w:pPr>
        <w:pStyle w:val="Akapitzlist"/>
        <w:numPr>
          <w:ilvl w:val="2"/>
          <w:numId w:val="20"/>
        </w:numPr>
        <w:spacing w:after="160"/>
        <w:contextualSpacing/>
        <w:jc w:val="both"/>
      </w:pPr>
      <w:r>
        <w:rPr>
          <w:rFonts w:ascii="Times New Roman" w:hAnsi="Times New Roman" w:cs="Times New Roman"/>
          <w:b/>
          <w:bCs/>
        </w:rPr>
        <w:t xml:space="preserve">Wymiana istniejących opraw </w:t>
      </w:r>
      <w:r>
        <w:rPr>
          <w:rFonts w:ascii="Times New Roman" w:hAnsi="Times New Roman" w:cs="Times New Roman"/>
        </w:rPr>
        <w:t xml:space="preserve">oświetlenia ulicznego starego typu </w:t>
      </w:r>
      <w:r>
        <w:rPr>
          <w:rFonts w:ascii="Times New Roman" w:hAnsi="Times New Roman" w:cs="Times New Roman"/>
          <w:b/>
          <w:bCs/>
        </w:rPr>
        <w:t>na oprawy LED w ilości 1644 szt</w:t>
      </w:r>
      <w:r>
        <w:rPr>
          <w:rFonts w:ascii="Times New Roman" w:hAnsi="Times New Roman" w:cs="Times New Roman"/>
        </w:rPr>
        <w:t xml:space="preserve">. na terenie Gminy i Miasta Lwówek Śląski, w tym 215 opraw parkowych ozdobnych i 195 opraw parkowych, zgodnie z załącznikiem </w:t>
      </w:r>
      <w:r w:rsidRPr="0036143B">
        <w:rPr>
          <w:rFonts w:ascii="Times New Roman" w:hAnsi="Times New Roman" w:cs="Times New Roman"/>
          <w:color w:val="auto"/>
        </w:rPr>
        <w:t>nr 6 - Programem Funkcjonalno-Użytkowym (zwanym w dalszej części PFU), załącznikiem nr 7 do</w:t>
      </w:r>
      <w:r w:rsidR="0036143B">
        <w:rPr>
          <w:rFonts w:ascii="Times New Roman" w:hAnsi="Times New Roman" w:cs="Times New Roman"/>
          <w:color w:val="auto"/>
        </w:rPr>
        <w:t xml:space="preserve"> umowy </w:t>
      </w:r>
      <w:r w:rsidRPr="0036143B">
        <w:rPr>
          <w:rFonts w:ascii="Times New Roman" w:hAnsi="Times New Roman" w:cs="Times New Roman"/>
          <w:color w:val="auto"/>
        </w:rPr>
        <w:t>pn. „Tabela równoważności dla opraw oświetlenia drogowego”</w:t>
      </w:r>
      <w:r>
        <w:rPr>
          <w:rFonts w:ascii="Times New Roman" w:hAnsi="Times New Roman" w:cs="Times New Roman"/>
        </w:rPr>
        <w:t xml:space="preserve"> oraz</w:t>
      </w:r>
      <w:r>
        <w:rPr>
          <w:rFonts w:ascii="Times New Roman" w:hAnsi="Times New Roman" w:cs="Times New Roman"/>
          <w:bCs/>
        </w:rPr>
        <w:t xml:space="preserve"> wskazaniami w załączniku </w:t>
      </w:r>
      <w:r w:rsidRPr="0036143B">
        <w:rPr>
          <w:rFonts w:ascii="Times New Roman" w:hAnsi="Times New Roman" w:cs="Times New Roman"/>
          <w:bCs/>
          <w:color w:val="auto"/>
        </w:rPr>
        <w:t xml:space="preserve">nr 8 - Inwentaryzacja </w:t>
      </w:r>
      <w:r>
        <w:rPr>
          <w:rFonts w:ascii="Times New Roman" w:hAnsi="Times New Roman" w:cs="Times New Roman"/>
          <w:bCs/>
        </w:rPr>
        <w:t>punktów oświetleniowych w Gminie i Mieście Lwówek Śląski.</w:t>
      </w:r>
      <w:r>
        <w:rPr>
          <w:rFonts w:ascii="Times New Roman" w:hAnsi="Times New Roman" w:cs="Times New Roman"/>
        </w:rPr>
        <w:t xml:space="preserve"> Dla opraw ozdobnych Zamawiający dopuszcza wymianę źródła światła wraz z układem zasilającym, bez wymiany obudowy i klosza oprawy, jeżeli stan techniczny klosza i obudowy na</w:t>
      </w:r>
      <w:bookmarkStart w:id="0" w:name="_GoBack"/>
      <w:bookmarkEnd w:id="0"/>
      <w:r>
        <w:rPr>
          <w:rFonts w:ascii="Times New Roman" w:hAnsi="Times New Roman" w:cs="Times New Roman"/>
        </w:rPr>
        <w:t xml:space="preserve"> to pozwalają, a Wykonawca udzieli gwarancji na całość oprawy.</w:t>
      </w:r>
      <w:r w:rsidRPr="0036143B">
        <w:rPr>
          <w:rFonts w:ascii="Times New Roman" w:hAnsi="Times New Roman" w:cs="Times New Roman"/>
          <w:color w:val="auto"/>
        </w:rPr>
        <w:t xml:space="preserve"> Jeżeli obudowa i klosz oprawy wymagają wymiany, Zamawiający wymaga od Wykonawcy zastosowania obudowy, klosza oprawy o wyglądzie zbliżonym do istniejących. Obecne </w:t>
      </w:r>
      <w:r>
        <w:rPr>
          <w:rFonts w:ascii="Times New Roman" w:hAnsi="Times New Roman" w:cs="Times New Roman"/>
        </w:rPr>
        <w:t>łączne zużycie energii elektrycznej przez 1644 oprawy to 897 420 kWh. Wykonawca jest zobowiązany dostosować istniejący wysięgnik do zakładanej, nowej oprawy LED. Zamawiający zakłada, że wymianie podlegać będzie ilość 1198 wysięgników</w:t>
      </w:r>
      <w:r w:rsidR="0036143B">
        <w:rPr>
          <w:rFonts w:ascii="Times New Roman" w:hAnsi="Times New Roman" w:cs="Times New Roman"/>
        </w:rPr>
        <w:t xml:space="preserve"> standardowych i 25 wysięgników rurowych</w:t>
      </w:r>
      <w:r>
        <w:rPr>
          <w:rFonts w:ascii="Times New Roman" w:hAnsi="Times New Roman" w:cs="Times New Roman"/>
        </w:rPr>
        <w:t xml:space="preserve"> i należy to wkalkulować w cenę zadania. Wykonawca odpowiada za demontaż obecnie zamontowanych opraw sodowych i rtęciowych oraz ich utylizację</w:t>
      </w:r>
      <w:r w:rsidR="0036143B">
        <w:rPr>
          <w:rFonts w:ascii="Times New Roman" w:hAnsi="Times New Roman" w:cs="Times New Roman"/>
        </w:rPr>
        <w:t>,</w:t>
      </w:r>
      <w:r>
        <w:rPr>
          <w:rFonts w:ascii="Times New Roman" w:hAnsi="Times New Roman" w:cs="Times New Roman"/>
        </w:rPr>
        <w:t xml:space="preserve"> a także montaż nowych opraw oświetlenia ulicznego LED. </w:t>
      </w:r>
      <w:r w:rsidRPr="0036143B">
        <w:rPr>
          <w:rFonts w:ascii="Times New Roman" w:hAnsi="Times New Roman" w:cs="Times New Roman"/>
          <w:color w:val="auto"/>
        </w:rPr>
        <w:t xml:space="preserve">Wykonawca zobowiązany jest do przedłożenia Zamawiającemu dokumentów potwierdzających zgodne z obowiązującymi przepisami właściwe zagospodarowanie (utylizację/składowanie na wysypisku) powstających w trakcie realizacji robót odpadów: zdemontowanych materiałów, gruzu i innych odpadów z terenu budowy). Zamawiający wymaga przed przystąpieniem do prac budowlanych  opracowania przez </w:t>
      </w:r>
      <w:r>
        <w:rPr>
          <w:rFonts w:ascii="Times New Roman" w:hAnsi="Times New Roman" w:cs="Times New Roman"/>
        </w:rPr>
        <w:t>Wykonawcę projektu modernizacji oświetlenia uwzględniającego klasy dróg i kategorie oświetlenia, zapewniającego osiągnięcie wymaganych normami parametrów (spełnienie wymagań określonych w normie oświetlenia drogowego PN-EN 13201 lub równoważnego systemu odniesienia) wraz z uzgodnieniami i obliczeniami fotometrycznymi.</w:t>
      </w:r>
    </w:p>
    <w:p w:rsidR="003613D9" w:rsidRDefault="000B092A">
      <w:pPr>
        <w:pStyle w:val="Akapitzlist"/>
        <w:numPr>
          <w:ilvl w:val="2"/>
          <w:numId w:val="20"/>
        </w:numPr>
        <w:spacing w:after="0"/>
        <w:ind w:right="23"/>
        <w:contextualSpacing/>
        <w:jc w:val="both"/>
        <w:rPr>
          <w:rFonts w:ascii="Times New Roman" w:hAnsi="Times New Roman" w:cs="Times New Roman"/>
        </w:rPr>
      </w:pPr>
      <w:r>
        <w:rPr>
          <w:rFonts w:ascii="Times New Roman" w:hAnsi="Times New Roman" w:cs="Times New Roman"/>
          <w:b/>
          <w:bCs/>
        </w:rPr>
        <w:t>Dobudowa oświetlenia</w:t>
      </w:r>
      <w:r>
        <w:rPr>
          <w:rFonts w:ascii="Times New Roman" w:hAnsi="Times New Roman" w:cs="Times New Roman"/>
        </w:rPr>
        <w:t xml:space="preserve"> na terenie Gminy i Miasta Lwówek Śląski (słupy ocynkowane, wysięgniki, linia kablowa, oprawa LED), w tym:</w:t>
      </w:r>
    </w:p>
    <w:p w:rsidR="003613D9" w:rsidRDefault="000B092A">
      <w:pPr>
        <w:pStyle w:val="Normalny1"/>
        <w:spacing w:line="276" w:lineRule="auto"/>
        <w:ind w:left="703" w:right="23" w:hanging="703"/>
        <w:jc w:val="both"/>
      </w:pPr>
      <w:bookmarkStart w:id="1" w:name="_Hlk499071003"/>
      <w:bookmarkEnd w:id="1"/>
      <w:r>
        <w:rPr>
          <w:rFonts w:ascii="Times New Roman" w:hAnsi="Times New Roman" w:cs="Times New Roman"/>
          <w:b/>
          <w:bCs/>
        </w:rPr>
        <w:t>3.1.2.1</w:t>
      </w:r>
      <w:r>
        <w:rPr>
          <w:rFonts w:ascii="Times New Roman" w:hAnsi="Times New Roman" w:cs="Times New Roman"/>
          <w:b/>
          <w:bCs/>
        </w:rPr>
        <w:tab/>
      </w:r>
      <w:bookmarkStart w:id="2" w:name="_Hlk499070942"/>
      <w:r w:rsidR="0036143B">
        <w:rPr>
          <w:rFonts w:ascii="Times New Roman" w:hAnsi="Times New Roman" w:cs="Times New Roman"/>
          <w:b/>
          <w:bCs/>
          <w:lang w:eastAsia="pl-PL"/>
        </w:rPr>
        <w:t>Ł</w:t>
      </w:r>
      <w:r>
        <w:rPr>
          <w:rFonts w:ascii="Times New Roman" w:hAnsi="Times New Roman" w:cs="Times New Roman"/>
          <w:b/>
          <w:bCs/>
          <w:lang w:eastAsia="pl-PL"/>
        </w:rPr>
        <w:t xml:space="preserve">ącznie 325 </w:t>
      </w:r>
      <w:proofErr w:type="spellStart"/>
      <w:r>
        <w:rPr>
          <w:rFonts w:ascii="Times New Roman" w:hAnsi="Times New Roman" w:cs="Times New Roman"/>
          <w:b/>
          <w:bCs/>
          <w:lang w:eastAsia="pl-PL"/>
        </w:rPr>
        <w:t>mb</w:t>
      </w:r>
      <w:proofErr w:type="spellEnd"/>
      <w:r>
        <w:rPr>
          <w:rFonts w:ascii="Times New Roman" w:hAnsi="Times New Roman" w:cs="Times New Roman"/>
          <w:b/>
          <w:bCs/>
          <w:lang w:eastAsia="pl-PL"/>
        </w:rPr>
        <w:t xml:space="preserve"> nowej linii kablowej dla 7 nowych punktów świetlnych na 7 słupach, według projektów budowlanych, zawartych w dokumentacji stanowiącej Załącznik Nr </w:t>
      </w:r>
      <w:r w:rsidRPr="0036143B">
        <w:rPr>
          <w:rFonts w:ascii="Times New Roman" w:hAnsi="Times New Roman" w:cs="Times New Roman"/>
          <w:b/>
          <w:bCs/>
          <w:color w:val="auto"/>
          <w:lang w:eastAsia="pl-PL"/>
        </w:rPr>
        <w:t>9b</w:t>
      </w:r>
      <w:r w:rsidRPr="0036143B">
        <w:rPr>
          <w:rFonts w:ascii="Times New Roman" w:hAnsi="Times New Roman" w:cs="Times New Roman"/>
          <w:color w:val="auto"/>
          <w:lang w:eastAsia="pl-PL"/>
        </w:rPr>
        <w:t xml:space="preserve">, oraz zgodnie z załącznikiem nr 7 </w:t>
      </w:r>
      <w:bookmarkEnd w:id="2"/>
      <w:r w:rsidRPr="0036143B">
        <w:rPr>
          <w:rFonts w:ascii="Times New Roman" w:hAnsi="Times New Roman" w:cs="Times New Roman"/>
          <w:color w:val="auto"/>
          <w:lang w:eastAsia="pl-PL"/>
        </w:rPr>
        <w:t xml:space="preserve">- „Tabela równoważności dla opraw oświetlenia drogowego”. </w:t>
      </w:r>
      <w:r>
        <w:rPr>
          <w:rFonts w:ascii="Times New Roman" w:hAnsi="Times New Roman" w:cs="Times New Roman"/>
          <w:lang w:eastAsia="pl-PL"/>
        </w:rPr>
        <w:t xml:space="preserve">Zamawiający posiada uzgodnienia z TAURON SA w zakresie dobudowy nowych punktów, uzyskanie wszelkich pozostałych niezbędnych zgód, </w:t>
      </w:r>
      <w:proofErr w:type="spellStart"/>
      <w:r>
        <w:rPr>
          <w:rFonts w:ascii="Times New Roman" w:hAnsi="Times New Roman" w:cs="Times New Roman"/>
          <w:lang w:eastAsia="pl-PL"/>
        </w:rPr>
        <w:t>dopuszczeń</w:t>
      </w:r>
      <w:proofErr w:type="spellEnd"/>
      <w:r>
        <w:rPr>
          <w:rFonts w:ascii="Times New Roman" w:hAnsi="Times New Roman" w:cs="Times New Roman"/>
          <w:lang w:eastAsia="pl-PL"/>
        </w:rPr>
        <w:t xml:space="preserve"> i uzgodnień leży po stronie Wykonawcy, jak również uzyskanie późniejszych odbiorów i zatwierdzeń. Wykonawca odpowiada również za ewentualny demontaż obecnie zamontowanych opraw i słupów oraz linii oraz ich utylizację; </w:t>
      </w:r>
    </w:p>
    <w:p w:rsidR="003613D9" w:rsidRDefault="0036143B">
      <w:pPr>
        <w:pStyle w:val="Normalny10"/>
        <w:spacing w:after="0" w:line="276" w:lineRule="auto"/>
        <w:ind w:left="703" w:right="23" w:hanging="703"/>
        <w:jc w:val="both"/>
      </w:pPr>
      <w:r>
        <w:rPr>
          <w:rFonts w:ascii="Times New Roman" w:hAnsi="Times New Roman" w:cs="Times New Roman"/>
          <w:b/>
          <w:bCs/>
        </w:rPr>
        <w:lastRenderedPageBreak/>
        <w:t>3.1.2.2  Ł</w:t>
      </w:r>
      <w:r w:rsidR="000B092A">
        <w:rPr>
          <w:rFonts w:ascii="Times New Roman" w:hAnsi="Times New Roman" w:cs="Times New Roman"/>
          <w:b/>
          <w:bCs/>
        </w:rPr>
        <w:t>ącznie około 500 nowych punktów świetlnych (ilość szacunkowa) jako linii zamiennych w miejsce istniejących słupów sieci przesyłowej TAURON</w:t>
      </w:r>
      <w:r w:rsidR="000B092A">
        <w:rPr>
          <w:rFonts w:ascii="Times New Roman" w:hAnsi="Times New Roman" w:cs="Times New Roman"/>
        </w:rPr>
        <w:t xml:space="preserve">, zgodnie z załącznikiem nr 7 </w:t>
      </w:r>
      <w:r w:rsidR="000B092A" w:rsidRPr="0036143B">
        <w:rPr>
          <w:rFonts w:ascii="Times New Roman" w:hAnsi="Times New Roman" w:cs="Times New Roman"/>
          <w:color w:val="auto"/>
        </w:rPr>
        <w:t xml:space="preserve">„Tabela równoważności dla opraw oświetlenia drogowego”. </w:t>
      </w:r>
      <w:r w:rsidR="000B092A">
        <w:rPr>
          <w:rFonts w:ascii="Times New Roman" w:hAnsi="Times New Roman" w:cs="Times New Roman"/>
        </w:rPr>
        <w:t xml:space="preserve">Zamawiający nie posiada uzgodnień z TAURON SA w zakresie dobudowy nowych punktów, uzyskanie wszelkich niezbędnych zgód i uzgodnień leży po stronie Wykonawcy, jak również uzyskanie późniejszych odbiorów i zatwierdzeń. Wykonawca odpowiada również za ewentualny demontaż obecnie zamontowanych opraw, słupów i linii oraz ich utylizację. </w:t>
      </w:r>
      <w:r w:rsidR="000B092A" w:rsidRPr="0036143B">
        <w:rPr>
          <w:rFonts w:ascii="Times New Roman" w:hAnsi="Times New Roman" w:cs="Times New Roman"/>
          <w:color w:val="auto"/>
        </w:rPr>
        <w:t>Wykonawca zobowiązany jest do przedłożenia Zamawiającemu dokumentów potwierdzających zgodne z obowiązującymi przepisami właściwe zagospodarowanie (utylizację/składowanie na wysypisku) powstających w trakcie realizacji robót odpadów: zdemontowanych materiałów, gruzu i innych odpadów z terenu budowy).</w:t>
      </w:r>
    </w:p>
    <w:p w:rsidR="003613D9" w:rsidRDefault="000B092A">
      <w:pPr>
        <w:pStyle w:val="Akapitzlist"/>
        <w:numPr>
          <w:ilvl w:val="3"/>
          <w:numId w:val="21"/>
        </w:numPr>
        <w:spacing w:after="160"/>
        <w:ind w:left="737" w:hanging="737"/>
        <w:contextualSpacing/>
        <w:jc w:val="both"/>
      </w:pPr>
      <w:r>
        <w:rPr>
          <w:rFonts w:ascii="Times New Roman" w:hAnsi="Times New Roman" w:cs="Times New Roman"/>
          <w:b/>
          <w:bCs/>
        </w:rPr>
        <w:t xml:space="preserve">Łącznie </w:t>
      </w:r>
      <w:r w:rsidRPr="0036143B">
        <w:rPr>
          <w:rFonts w:ascii="Times New Roman" w:hAnsi="Times New Roman" w:cs="Times New Roman"/>
          <w:b/>
          <w:bCs/>
          <w:color w:val="auto"/>
        </w:rPr>
        <w:t>nie mniej niż 8</w:t>
      </w:r>
      <w:r>
        <w:rPr>
          <w:rFonts w:ascii="Times New Roman" w:hAnsi="Times New Roman" w:cs="Times New Roman"/>
          <w:b/>
          <w:bCs/>
        </w:rPr>
        <w:t xml:space="preserve">.600 </w:t>
      </w:r>
      <w:proofErr w:type="spellStart"/>
      <w:r>
        <w:rPr>
          <w:rFonts w:ascii="Times New Roman" w:hAnsi="Times New Roman" w:cs="Times New Roman"/>
          <w:b/>
          <w:bCs/>
        </w:rPr>
        <w:t>mb</w:t>
      </w:r>
      <w:proofErr w:type="spellEnd"/>
      <w:r>
        <w:rPr>
          <w:rFonts w:ascii="Times New Roman" w:hAnsi="Times New Roman" w:cs="Times New Roman"/>
          <w:b/>
          <w:bCs/>
        </w:rPr>
        <w:t xml:space="preserve"> nowych linii kablowych dla nowych</w:t>
      </w:r>
      <w:r>
        <w:rPr>
          <w:rFonts w:ascii="Times New Roman" w:hAnsi="Times New Roman" w:cs="Times New Roman"/>
        </w:rPr>
        <w:t xml:space="preserve"> </w:t>
      </w:r>
      <w:r>
        <w:rPr>
          <w:rFonts w:ascii="Times New Roman" w:hAnsi="Times New Roman" w:cs="Times New Roman"/>
          <w:b/>
        </w:rPr>
        <w:t>punktów świetlnych na nowych</w:t>
      </w:r>
      <w:r>
        <w:rPr>
          <w:rFonts w:ascii="Times New Roman" w:hAnsi="Times New Roman" w:cs="Times New Roman"/>
        </w:rPr>
        <w:t xml:space="preserve"> </w:t>
      </w:r>
      <w:r>
        <w:rPr>
          <w:rFonts w:ascii="Times New Roman" w:hAnsi="Times New Roman" w:cs="Times New Roman"/>
          <w:b/>
        </w:rPr>
        <w:t>liniach</w:t>
      </w:r>
      <w:r>
        <w:rPr>
          <w:rFonts w:ascii="Times New Roman" w:hAnsi="Times New Roman" w:cs="Times New Roman"/>
        </w:rPr>
        <w:t xml:space="preserve"> (ilość szacunkowa), </w:t>
      </w:r>
      <w:r>
        <w:rPr>
          <w:rFonts w:ascii="Times New Roman" w:hAnsi="Times New Roman" w:cs="Times New Roman"/>
          <w:b/>
          <w:bCs/>
        </w:rPr>
        <w:t>zgodnie z PFU</w:t>
      </w:r>
      <w:r>
        <w:rPr>
          <w:rFonts w:ascii="Times New Roman" w:hAnsi="Times New Roman" w:cs="Times New Roman"/>
        </w:rPr>
        <w:t xml:space="preserve"> i załącznikami do </w:t>
      </w:r>
      <w:r w:rsidR="0036143B">
        <w:rPr>
          <w:rFonts w:ascii="Times New Roman" w:hAnsi="Times New Roman" w:cs="Times New Roman"/>
        </w:rPr>
        <w:t>umowy</w:t>
      </w:r>
      <w:r>
        <w:rPr>
          <w:rFonts w:ascii="Times New Roman" w:hAnsi="Times New Roman" w:cs="Times New Roman"/>
        </w:rPr>
        <w:t xml:space="preserve"> (załącznik </w:t>
      </w:r>
      <w:r w:rsidRPr="0036143B">
        <w:rPr>
          <w:rFonts w:ascii="Times New Roman" w:hAnsi="Times New Roman" w:cs="Times New Roman"/>
          <w:color w:val="auto"/>
        </w:rPr>
        <w:t>nr 9a – lokalizacja nowych punktów świetlnych na nowych liniach oraz załącznik nr 7 - „Tabela równoważności dla opraw oświetlenia drogowego”, w systemie „zaprojektuj i wybuduj”;</w:t>
      </w:r>
    </w:p>
    <w:p w:rsidR="003613D9" w:rsidRDefault="000B092A">
      <w:pPr>
        <w:pStyle w:val="Akapitzlist"/>
        <w:numPr>
          <w:ilvl w:val="3"/>
          <w:numId w:val="21"/>
        </w:numPr>
        <w:tabs>
          <w:tab w:val="left" w:pos="3825"/>
        </w:tabs>
        <w:spacing w:after="160"/>
        <w:ind w:left="720" w:right="23"/>
        <w:contextualSpacing/>
        <w:jc w:val="both"/>
      </w:pPr>
      <w:r>
        <w:rPr>
          <w:rFonts w:ascii="Times New Roman" w:hAnsi="Times New Roman" w:cs="Times New Roman"/>
          <w:b/>
          <w:bCs/>
        </w:rPr>
        <w:t>Wymiana 206 sztuk slupów, zgodnie z PFU</w:t>
      </w:r>
      <w:r>
        <w:rPr>
          <w:rFonts w:ascii="Times New Roman" w:hAnsi="Times New Roman" w:cs="Times New Roman"/>
          <w:bCs/>
        </w:rPr>
        <w:t xml:space="preserve"> i wskazaniami w </w:t>
      </w:r>
      <w:r w:rsidRPr="00773080">
        <w:rPr>
          <w:rFonts w:ascii="Times New Roman" w:hAnsi="Times New Roman" w:cs="Times New Roman"/>
          <w:bCs/>
          <w:color w:val="auto"/>
        </w:rPr>
        <w:t xml:space="preserve">załączniku nr 8 - </w:t>
      </w:r>
      <w:r>
        <w:rPr>
          <w:rFonts w:ascii="Times New Roman" w:hAnsi="Times New Roman" w:cs="Times New Roman"/>
          <w:bCs/>
        </w:rPr>
        <w:t>Inwentaryzacja punktów oświetleniowych w Gminie i Mieście Lwówek Śląski;</w:t>
      </w:r>
    </w:p>
    <w:p w:rsidR="003613D9" w:rsidRPr="0036143B" w:rsidRDefault="000B092A">
      <w:pPr>
        <w:pStyle w:val="Akapitzlist"/>
        <w:numPr>
          <w:ilvl w:val="3"/>
          <w:numId w:val="21"/>
        </w:numPr>
        <w:spacing w:after="160"/>
        <w:ind w:left="720"/>
        <w:contextualSpacing/>
        <w:jc w:val="both"/>
        <w:rPr>
          <w:color w:val="auto"/>
        </w:rPr>
      </w:pPr>
      <w:r>
        <w:rPr>
          <w:rFonts w:ascii="Times New Roman" w:hAnsi="Times New Roman" w:cs="Times New Roman"/>
          <w:b/>
          <w:bCs/>
        </w:rPr>
        <w:t>Łącznie</w:t>
      </w:r>
      <w:r>
        <w:rPr>
          <w:rFonts w:ascii="Times New Roman" w:hAnsi="Times New Roman" w:cs="Times New Roman"/>
          <w:b/>
          <w:bCs/>
          <w:color w:val="FF0000"/>
        </w:rPr>
        <w:t xml:space="preserve"> </w:t>
      </w:r>
      <w:r w:rsidRPr="0036143B">
        <w:rPr>
          <w:rFonts w:ascii="Times New Roman" w:hAnsi="Times New Roman" w:cs="Times New Roman"/>
          <w:b/>
          <w:bCs/>
          <w:color w:val="auto"/>
        </w:rPr>
        <w:t>około 16</w:t>
      </w:r>
      <w:r w:rsidRPr="0036143B">
        <w:rPr>
          <w:rFonts w:ascii="Times New Roman" w:hAnsi="Times New Roman" w:cs="Times New Roman"/>
          <w:color w:val="auto"/>
        </w:rPr>
        <w:t xml:space="preserve"> </w:t>
      </w:r>
      <w:r w:rsidRPr="0036143B">
        <w:rPr>
          <w:rFonts w:ascii="Times New Roman" w:hAnsi="Times New Roman" w:cs="Times New Roman"/>
          <w:b/>
          <w:color w:val="auto"/>
        </w:rPr>
        <w:t xml:space="preserve">nowych szafek oświetleniowych SOU (ilość szacunkowa ) w miejsce dotychczasowych szafek zabudowanych w stacjach transformatorowych (wymóg TAURON SA), </w:t>
      </w:r>
      <w:r w:rsidRPr="0036143B">
        <w:rPr>
          <w:rFonts w:ascii="Times New Roman" w:hAnsi="Times New Roman" w:cs="Times New Roman"/>
          <w:b/>
          <w:bCs/>
          <w:color w:val="auto"/>
        </w:rPr>
        <w:t xml:space="preserve">zgodnie z PFU </w:t>
      </w:r>
      <w:r w:rsidRPr="0036143B">
        <w:rPr>
          <w:rFonts w:ascii="Times New Roman" w:hAnsi="Times New Roman" w:cs="Times New Roman"/>
          <w:bCs/>
          <w:color w:val="auto"/>
        </w:rPr>
        <w:t xml:space="preserve">i wskazaniami w załączniku nr 8a </w:t>
      </w:r>
      <w:r>
        <w:rPr>
          <w:rFonts w:ascii="Times New Roman" w:hAnsi="Times New Roman" w:cs="Times New Roman"/>
          <w:bCs/>
        </w:rPr>
        <w:t>- Inwentaryzacja szafek oświetleniowych w Gminie i Mieście Lwówek Śląski</w:t>
      </w:r>
      <w:r>
        <w:rPr>
          <w:rFonts w:ascii="Times New Roman" w:hAnsi="Times New Roman" w:cs="Times New Roman"/>
          <w:b/>
        </w:rPr>
        <w:t>.</w:t>
      </w:r>
      <w:r>
        <w:rPr>
          <w:rFonts w:ascii="Times New Roman" w:hAnsi="Times New Roman" w:cs="Times New Roman"/>
        </w:rPr>
        <w:t xml:space="preserve"> Zamawiający wymaga, aby Wykonawca w terminie 30 dni od podpisania umowy</w:t>
      </w:r>
      <w:r>
        <w:rPr>
          <w:rFonts w:ascii="Times New Roman" w:hAnsi="Times New Roman" w:cs="Times New Roman"/>
          <w:bCs/>
        </w:rPr>
        <w:t xml:space="preserve"> zaproponował zmniejszenie liczby istniejących szafek SOU poprzez połączenie niektórych obwodów zasilania i redukcję ilości liczników. </w:t>
      </w:r>
      <w:r w:rsidRPr="0036143B">
        <w:rPr>
          <w:rFonts w:ascii="Times New Roman" w:hAnsi="Times New Roman" w:cs="Times New Roman"/>
          <w:bCs/>
          <w:color w:val="auto"/>
        </w:rPr>
        <w:t xml:space="preserve">Ostateczną propozycję wyniesienia szafek SOU oraz redukcji obwodów zasilania zatwierdzi Zamawiający. Po wykonaniu montażu Zamawiający oczekuje od Wykonawcy sporządzenia inwentaryzacji powykonawczej, określającej ilości szafek SOU oraz poziomy zainstalowanej mocy opraw na każdym indywidualnym obwodzie z szafką SOU. Wykonawca zobowiązany jest do wystąpienia do OSD </w:t>
      </w:r>
      <w:r w:rsidR="00A142B0" w:rsidRPr="0036143B">
        <w:rPr>
          <w:rFonts w:ascii="Times New Roman" w:hAnsi="Times New Roman" w:cs="Times New Roman"/>
          <w:bCs/>
          <w:color w:val="auto"/>
        </w:rPr>
        <w:t xml:space="preserve">w imieniu Zamawiającego </w:t>
      </w:r>
      <w:r w:rsidRPr="0036143B">
        <w:rPr>
          <w:rFonts w:ascii="Times New Roman" w:hAnsi="Times New Roman" w:cs="Times New Roman"/>
          <w:bCs/>
          <w:color w:val="auto"/>
        </w:rPr>
        <w:t xml:space="preserve">z wnioskiem o redukcję mocy zainstalowanej. </w:t>
      </w:r>
    </w:p>
    <w:p w:rsidR="003613D9" w:rsidRDefault="000B092A">
      <w:pPr>
        <w:pStyle w:val="Akapitzlist"/>
        <w:numPr>
          <w:ilvl w:val="3"/>
          <w:numId w:val="21"/>
        </w:numPr>
        <w:spacing w:after="160"/>
        <w:ind w:left="720" w:right="23"/>
        <w:contextualSpacing/>
        <w:jc w:val="both"/>
      </w:pPr>
      <w:r w:rsidRPr="0036143B">
        <w:rPr>
          <w:rFonts w:ascii="Times New Roman" w:hAnsi="Times New Roman" w:cs="Times New Roman"/>
          <w:b/>
          <w:bCs/>
          <w:color w:val="auto"/>
          <w:lang w:eastAsia="pl-PL"/>
        </w:rPr>
        <w:t xml:space="preserve">Łącznie nie mniej niż </w:t>
      </w:r>
      <w:r>
        <w:rPr>
          <w:rFonts w:ascii="Times New Roman" w:hAnsi="Times New Roman" w:cs="Times New Roman"/>
          <w:b/>
          <w:bCs/>
          <w:lang w:eastAsia="pl-PL"/>
        </w:rPr>
        <w:t>50 instalacji wyprowadzających zasilanie do opraw ozdobnych lub okazjonalnych we wskazanych przez Zamawiającego punktach (ilość szacunkowa)</w:t>
      </w:r>
      <w:r>
        <w:rPr>
          <w:rFonts w:ascii="Times New Roman" w:hAnsi="Times New Roman" w:cs="Times New Roman"/>
          <w:lang w:eastAsia="pl-PL"/>
        </w:rPr>
        <w:t xml:space="preserve">. Zamawiający wymaga, aby wyprowadzenia przewodów zasilających pozwoliły na podpięcie pod zasilanie opraw ozdób świątecznych i innych okazjonalnych instalacji. Przewidywana wysokość punktu zasilania ozdób: </w:t>
      </w:r>
      <w:r w:rsidR="0036143B">
        <w:rPr>
          <w:rFonts w:ascii="Times New Roman" w:hAnsi="Times New Roman" w:cs="Times New Roman"/>
          <w:lang w:eastAsia="pl-PL"/>
        </w:rPr>
        <w:t xml:space="preserve">około </w:t>
      </w:r>
      <w:r>
        <w:rPr>
          <w:rFonts w:ascii="Times New Roman" w:hAnsi="Times New Roman" w:cs="Times New Roman"/>
          <w:lang w:eastAsia="pl-PL"/>
        </w:rPr>
        <w:t>4, 5 m.</w:t>
      </w:r>
    </w:p>
    <w:p w:rsidR="003613D9" w:rsidRDefault="003613D9">
      <w:pPr>
        <w:pStyle w:val="Akapitzlist"/>
        <w:spacing w:after="160"/>
        <w:ind w:right="23"/>
        <w:contextualSpacing/>
        <w:jc w:val="both"/>
        <w:rPr>
          <w:rFonts w:ascii="Times New Roman" w:hAnsi="Times New Roman" w:cs="Times New Roman"/>
        </w:rPr>
      </w:pPr>
      <w:bookmarkStart w:id="3" w:name="_Hlk4990710031"/>
      <w:bookmarkStart w:id="4" w:name="_Hlk498248005"/>
      <w:bookmarkEnd w:id="3"/>
      <w:bookmarkEnd w:id="4"/>
    </w:p>
    <w:p w:rsidR="003613D9" w:rsidRDefault="000B092A">
      <w:pPr>
        <w:pStyle w:val="Akapitzlist"/>
        <w:numPr>
          <w:ilvl w:val="2"/>
          <w:numId w:val="21"/>
        </w:numPr>
        <w:spacing w:after="160"/>
        <w:ind w:left="720" w:right="23"/>
        <w:contextualSpacing/>
        <w:jc w:val="both"/>
      </w:pPr>
      <w:r>
        <w:rPr>
          <w:rFonts w:ascii="Times New Roman" w:hAnsi="Times New Roman" w:cs="Times New Roman"/>
          <w:b/>
          <w:bCs/>
        </w:rPr>
        <w:t>Ubezpieczenie na okres 36 miesięcy</w:t>
      </w:r>
      <w:r>
        <w:rPr>
          <w:rFonts w:ascii="Times New Roman" w:hAnsi="Times New Roman" w:cs="Times New Roman"/>
        </w:rPr>
        <w:t xml:space="preserve"> od daty odbioru końcowego inwestycji, obejmujące zamontowane oprawy oświetleniowe oraz nowe słupy i wszystkie pozostałe elementy zadania objętego niniejszym postępowaniem. Cena za w/w ubezpieczenie musi być ujęta w cenie oferty. Zamawiający wymaga, aby Wykonawca przed podpisaniem umowy złożył promesę instytucji ubezpieczeniowej potwierdzającą gotowość zawarcia umowy ubezpieczenia w formie polisy płatnej jednorazowo za okres 3 lat, bez regresu i zmiany stawki w tym okresie. Promesa powinna zawierać informację o bazowej wartości procentowej ubezpieczenia w stosunku do wartości inwestycji. Ubezpieczenie powinno obejmować co najmniej:</w:t>
      </w:r>
    </w:p>
    <w:p w:rsidR="003613D9" w:rsidRDefault="000B092A">
      <w:pPr>
        <w:pStyle w:val="Normalny10"/>
        <w:spacing w:line="276" w:lineRule="auto"/>
        <w:ind w:left="708" w:right="23"/>
        <w:jc w:val="both"/>
        <w:rPr>
          <w:rFonts w:ascii="Times New Roman" w:hAnsi="Times New Roman" w:cs="Times New Roman"/>
        </w:rPr>
      </w:pPr>
      <w:r>
        <w:rPr>
          <w:rFonts w:ascii="Times New Roman" w:hAnsi="Times New Roman" w:cs="Times New Roman"/>
        </w:rPr>
        <w:lastRenderedPageBreak/>
        <w:t>Zdarzenia i katastrofy naturalne: powódź, huragan, gradobicie, uderzenie pioruna, trzęsienie ziemi, osunięcie lub zapadanie się ziemi, lawina, napór śniegu lub lodu, zalanie cieczami, eksplozja, pożar, mróz, dym, sadza, upadek drzewa lub innych elementów naturalnych;</w:t>
      </w:r>
    </w:p>
    <w:p w:rsidR="003613D9" w:rsidRDefault="000B092A">
      <w:pPr>
        <w:pStyle w:val="Normalny10"/>
        <w:spacing w:line="276" w:lineRule="auto"/>
        <w:ind w:left="600" w:right="23" w:firstLine="108"/>
        <w:jc w:val="both"/>
        <w:rPr>
          <w:rFonts w:ascii="Times New Roman" w:hAnsi="Times New Roman" w:cs="Times New Roman"/>
        </w:rPr>
      </w:pPr>
      <w:r>
        <w:rPr>
          <w:rFonts w:ascii="Times New Roman" w:hAnsi="Times New Roman" w:cs="Times New Roman"/>
        </w:rPr>
        <w:t>Wandalizm, rabunek, celowe uszkodzenie oraz kradzież z włamaniem,</w:t>
      </w:r>
    </w:p>
    <w:p w:rsidR="003613D9" w:rsidRDefault="000B092A">
      <w:pPr>
        <w:pStyle w:val="Normalny10"/>
        <w:spacing w:line="276" w:lineRule="auto"/>
        <w:ind w:left="708" w:right="23"/>
        <w:jc w:val="both"/>
        <w:rPr>
          <w:rFonts w:ascii="Times New Roman" w:hAnsi="Times New Roman" w:cs="Times New Roman"/>
        </w:rPr>
      </w:pPr>
      <w:r>
        <w:rPr>
          <w:rFonts w:ascii="Times New Roman" w:hAnsi="Times New Roman" w:cs="Times New Roman"/>
        </w:rPr>
        <w:t>Katastrofa budowlana, upadek lub osunięcie się kominów, budynków, masztów, dźwigów oraz innych elementów architektury i wytworów człowieka,</w:t>
      </w:r>
    </w:p>
    <w:p w:rsidR="003613D9" w:rsidRDefault="000B092A">
      <w:pPr>
        <w:pStyle w:val="Normalny10"/>
        <w:spacing w:line="276" w:lineRule="auto"/>
        <w:ind w:left="600" w:right="23" w:firstLine="108"/>
        <w:jc w:val="both"/>
        <w:rPr>
          <w:rFonts w:ascii="Times New Roman" w:hAnsi="Times New Roman" w:cs="Times New Roman"/>
        </w:rPr>
      </w:pPr>
      <w:r>
        <w:rPr>
          <w:rFonts w:ascii="Times New Roman" w:hAnsi="Times New Roman" w:cs="Times New Roman"/>
        </w:rPr>
        <w:t>Uderzenie pojazdu, uderzenie fali dźwiękowej,</w:t>
      </w:r>
    </w:p>
    <w:p w:rsidR="003613D9" w:rsidRDefault="000B092A">
      <w:pPr>
        <w:pStyle w:val="Normalny10"/>
        <w:spacing w:line="276" w:lineRule="auto"/>
        <w:ind w:left="600" w:right="23" w:firstLine="108"/>
        <w:jc w:val="both"/>
        <w:rPr>
          <w:rFonts w:ascii="Times New Roman" w:hAnsi="Times New Roman" w:cs="Times New Roman"/>
          <w:color w:val="FF0000"/>
        </w:rPr>
      </w:pPr>
      <w:r>
        <w:rPr>
          <w:rFonts w:ascii="Times New Roman" w:hAnsi="Times New Roman" w:cs="Times New Roman"/>
        </w:rPr>
        <w:t xml:space="preserve">Inne nienazwane ryzyka. </w:t>
      </w:r>
    </w:p>
    <w:p w:rsidR="003613D9" w:rsidRDefault="000B092A">
      <w:pPr>
        <w:pStyle w:val="Akapitzlist"/>
        <w:numPr>
          <w:ilvl w:val="2"/>
          <w:numId w:val="21"/>
        </w:numPr>
        <w:spacing w:after="160"/>
        <w:ind w:left="720" w:right="23"/>
        <w:contextualSpacing/>
        <w:jc w:val="both"/>
        <w:rPr>
          <w:rFonts w:ascii="Times New Roman" w:hAnsi="Times New Roman" w:cs="Times New Roman"/>
        </w:rPr>
      </w:pPr>
      <w:r>
        <w:rPr>
          <w:rFonts w:ascii="Times New Roman" w:hAnsi="Times New Roman" w:cs="Times New Roman"/>
          <w:b/>
          <w:bCs/>
        </w:rPr>
        <w:t>Dokumentacja powykonawcza</w:t>
      </w:r>
      <w:r>
        <w:rPr>
          <w:rFonts w:ascii="Times New Roman" w:hAnsi="Times New Roman" w:cs="Times New Roman"/>
        </w:rPr>
        <w:t xml:space="preserve"> zawierającą szczegółową inwentaryzację nowobudowanego i istniejącego oświetlania, stacji zasilających oraz linii drogowego oświetlenia.</w:t>
      </w:r>
    </w:p>
    <w:p w:rsidR="003613D9" w:rsidRDefault="003613D9">
      <w:pPr>
        <w:pStyle w:val="Normalny10"/>
        <w:spacing w:after="0"/>
        <w:ind w:left="425" w:right="23"/>
        <w:jc w:val="both"/>
        <w:rPr>
          <w:rFonts w:ascii="Times New Roman" w:hAnsi="Times New Roman" w:cs="Times New Roman"/>
          <w:lang w:eastAsia="pl-PL"/>
        </w:rPr>
      </w:pPr>
    </w:p>
    <w:p w:rsidR="003613D9" w:rsidRDefault="000B092A">
      <w:pPr>
        <w:pStyle w:val="Akapitzlist"/>
        <w:numPr>
          <w:ilvl w:val="0"/>
          <w:numId w:val="19"/>
        </w:numPr>
        <w:spacing w:after="5"/>
        <w:ind w:right="5"/>
        <w:rPr>
          <w:rFonts w:ascii="Times New Roman" w:hAnsi="Times New Roman" w:cs="Times New Roman"/>
          <w:lang w:eastAsia="pl-PL"/>
        </w:rPr>
      </w:pPr>
      <w:r>
        <w:rPr>
          <w:rFonts w:ascii="Times New Roman" w:hAnsi="Times New Roman" w:cs="Times New Roman"/>
          <w:b/>
          <w:bCs/>
          <w:lang w:eastAsia="pl-PL"/>
        </w:rPr>
        <w:t xml:space="preserve"> Uwagi dotyczące wykonania robót. </w:t>
      </w:r>
    </w:p>
    <w:p w:rsidR="003613D9" w:rsidRDefault="000B092A">
      <w:pPr>
        <w:pStyle w:val="Normalny10"/>
        <w:numPr>
          <w:ilvl w:val="0"/>
          <w:numId w:val="6"/>
        </w:numPr>
        <w:spacing w:after="5" w:line="276" w:lineRule="auto"/>
        <w:ind w:left="567" w:right="53" w:hanging="567"/>
        <w:jc w:val="both"/>
      </w:pPr>
      <w:r>
        <w:rPr>
          <w:rFonts w:ascii="Times New Roman" w:hAnsi="Times New Roman" w:cs="Times New Roman"/>
          <w:lang w:eastAsia="pl-PL"/>
        </w:rPr>
        <w:t>Zamawiający nie posiada obecnie niezbędnych uzgodnień z firmą TAURON SA, Polską Spółką Gazownictwa</w:t>
      </w:r>
      <w:r w:rsidRPr="0036143B">
        <w:rPr>
          <w:rFonts w:ascii="Times New Roman" w:hAnsi="Times New Roman" w:cs="Times New Roman"/>
          <w:color w:val="auto"/>
          <w:lang w:eastAsia="pl-PL"/>
        </w:rPr>
        <w:t xml:space="preserve">, Przedsiębiorstwem Wodociągów i Kanalizacji Sp. z o.o., Telekomunikacją i innymi </w:t>
      </w:r>
      <w:r>
        <w:rPr>
          <w:rFonts w:ascii="Times New Roman" w:hAnsi="Times New Roman" w:cs="Times New Roman"/>
          <w:lang w:eastAsia="pl-PL"/>
        </w:rPr>
        <w:t xml:space="preserve">właścicielami sieci znajdującymi się w pasie drogi. Wszelkie prace w sąsiedztwie sieci należy wykonać zgodnie z uzyskanymi uzgodnieniami. W przypadku wystąpienia awarii spowodowanej pracami ziemnymi wszelkie koszty naprawcze i odszkodowawcze ponosi Wykonawca.   </w:t>
      </w:r>
    </w:p>
    <w:p w:rsidR="003613D9" w:rsidRDefault="000B092A">
      <w:pPr>
        <w:pStyle w:val="Normalny10"/>
        <w:numPr>
          <w:ilvl w:val="0"/>
          <w:numId w:val="6"/>
        </w:numPr>
        <w:spacing w:after="5" w:line="276" w:lineRule="auto"/>
        <w:ind w:left="567" w:right="53" w:hanging="567"/>
        <w:jc w:val="both"/>
      </w:pPr>
      <w:r>
        <w:rPr>
          <w:rFonts w:ascii="Times New Roman" w:hAnsi="Times New Roman" w:cs="Times New Roman"/>
          <w:lang w:eastAsia="pl-PL"/>
        </w:rPr>
        <w:t>Wykonawca składając ofertę ma obowiązek dokonać wyceny wszystkich robót oraz nakładów koniecznych dla wykonania robót zgodnie z przygotowanymi materiałami.</w:t>
      </w:r>
    </w:p>
    <w:p w:rsidR="003613D9" w:rsidRDefault="000B092A">
      <w:pPr>
        <w:pStyle w:val="Normalny10"/>
        <w:numPr>
          <w:ilvl w:val="0"/>
          <w:numId w:val="6"/>
        </w:numPr>
        <w:spacing w:after="5" w:line="276" w:lineRule="auto"/>
        <w:ind w:left="567" w:right="53" w:hanging="567"/>
        <w:jc w:val="both"/>
      </w:pPr>
      <w:r>
        <w:rPr>
          <w:rFonts w:ascii="Times New Roman" w:hAnsi="Times New Roman" w:cs="Times New Roman"/>
          <w:b/>
          <w:bCs/>
          <w:lang w:eastAsia="pl-PL"/>
        </w:rPr>
        <w:t xml:space="preserve">Po stronie Wykonawcy leży wykonanie dokumentacji </w:t>
      </w:r>
      <w:r>
        <w:rPr>
          <w:rFonts w:ascii="Times New Roman" w:hAnsi="Times New Roman" w:cs="Times New Roman"/>
          <w:b/>
          <w:bCs/>
        </w:rPr>
        <w:t xml:space="preserve">powykonawczej wraz z wszelkimi </w:t>
      </w:r>
      <w:r>
        <w:rPr>
          <w:rFonts w:ascii="Times New Roman" w:hAnsi="Times New Roman" w:cs="Times New Roman"/>
          <w:color w:val="0000FF"/>
        </w:rPr>
        <w:t xml:space="preserve"> </w:t>
      </w:r>
    </w:p>
    <w:p w:rsidR="003613D9" w:rsidRDefault="000B092A">
      <w:pPr>
        <w:pStyle w:val="Normalny10"/>
        <w:spacing w:after="5" w:line="276" w:lineRule="auto"/>
        <w:ind w:left="360" w:right="53"/>
        <w:jc w:val="both"/>
        <w:rPr>
          <w:rFonts w:ascii="Times New Roman" w:hAnsi="Times New Roman" w:cs="Times New Roman"/>
          <w:color w:val="0000FF"/>
        </w:rPr>
      </w:pPr>
      <w:r>
        <w:rPr>
          <w:rFonts w:ascii="Times New Roman" w:hAnsi="Times New Roman" w:cs="Times New Roman"/>
          <w:color w:val="0000FF"/>
        </w:rPr>
        <w:t xml:space="preserve">   </w:t>
      </w:r>
      <w:r>
        <w:rPr>
          <w:rFonts w:ascii="Times New Roman" w:hAnsi="Times New Roman" w:cs="Times New Roman"/>
          <w:b/>
          <w:bCs/>
        </w:rPr>
        <w:t>niezbędnymi opracowaniami i uzgodnieniami, w tym dokumentem z badania zgodności</w:t>
      </w:r>
    </w:p>
    <w:p w:rsidR="003613D9" w:rsidRDefault="000B092A">
      <w:pPr>
        <w:pStyle w:val="Normalny10"/>
        <w:spacing w:after="5" w:line="276" w:lineRule="auto"/>
        <w:ind w:left="360" w:right="53"/>
        <w:jc w:val="both"/>
        <w:rPr>
          <w:rFonts w:ascii="Times New Roman" w:hAnsi="Times New Roman" w:cs="Times New Roman"/>
          <w:color w:val="0000FF"/>
        </w:rPr>
      </w:pPr>
      <w:r>
        <w:rPr>
          <w:rFonts w:ascii="Times New Roman" w:hAnsi="Times New Roman" w:cs="Times New Roman"/>
          <w:b/>
          <w:bCs/>
        </w:rPr>
        <w:t xml:space="preserve">   strumienia z deklarowanym w kartach technicznych. </w:t>
      </w:r>
    </w:p>
    <w:p w:rsidR="003613D9" w:rsidRDefault="000B092A">
      <w:pPr>
        <w:pStyle w:val="Normalny10"/>
        <w:numPr>
          <w:ilvl w:val="0"/>
          <w:numId w:val="6"/>
        </w:numPr>
        <w:spacing w:after="0" w:line="276" w:lineRule="auto"/>
        <w:ind w:left="567" w:right="23" w:hanging="575"/>
        <w:jc w:val="both"/>
        <w:rPr>
          <w:rFonts w:ascii="Times New Roman" w:hAnsi="Times New Roman" w:cs="Times New Roman"/>
          <w:lang w:eastAsia="pl-PL"/>
        </w:rPr>
      </w:pPr>
      <w:r>
        <w:rPr>
          <w:rFonts w:ascii="Times New Roman" w:hAnsi="Times New Roman" w:cs="Times New Roman"/>
          <w:lang w:eastAsia="pl-PL"/>
        </w:rPr>
        <w:t>Wszędzie tam, gdzie przedmiot niniejszej umowy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Zamawiający dopuszcza różnice do 5% w wynikach obliczeń fotometrycznych.</w:t>
      </w:r>
    </w:p>
    <w:p w:rsidR="003613D9" w:rsidRDefault="000B092A">
      <w:pPr>
        <w:pStyle w:val="Normalny10"/>
        <w:numPr>
          <w:ilvl w:val="0"/>
          <w:numId w:val="6"/>
        </w:numPr>
        <w:spacing w:after="42" w:line="276" w:lineRule="auto"/>
        <w:ind w:left="567" w:right="23" w:hanging="575"/>
        <w:jc w:val="both"/>
        <w:rPr>
          <w:rFonts w:ascii="Times New Roman" w:hAnsi="Times New Roman" w:cs="Times New Roman"/>
          <w:lang w:eastAsia="pl-PL"/>
        </w:rPr>
      </w:pPr>
      <w:r>
        <w:rPr>
          <w:rFonts w:ascii="Times New Roman" w:hAnsi="Times New Roman" w:cs="Times New Roman"/>
          <w:lang w:eastAsia="pl-PL"/>
        </w:rPr>
        <w:t xml:space="preserve">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ich ocenie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w:t>
      </w:r>
      <w:r>
        <w:rPr>
          <w:rFonts w:ascii="Times New Roman" w:hAnsi="Times New Roman" w:cs="Times New Roman"/>
          <w:lang w:eastAsia="pl-PL"/>
        </w:rPr>
        <w:lastRenderedPageBreak/>
        <w:t xml:space="preserve">techniczne i funkcjonalne nie gorsze od określonych w dokumentacji projektowej oraz posiadać stosowne dopuszczenia i atesty. </w:t>
      </w:r>
    </w:p>
    <w:p w:rsidR="003613D9" w:rsidRDefault="000B092A">
      <w:pPr>
        <w:pStyle w:val="Normalny10"/>
        <w:numPr>
          <w:ilvl w:val="0"/>
          <w:numId w:val="6"/>
        </w:numPr>
        <w:spacing w:after="0" w:line="276" w:lineRule="auto"/>
        <w:ind w:left="567" w:right="23" w:hanging="575"/>
        <w:jc w:val="both"/>
        <w:rPr>
          <w:rFonts w:ascii="Times New Roman" w:hAnsi="Times New Roman" w:cs="Times New Roman"/>
          <w:lang w:eastAsia="pl-PL"/>
        </w:rPr>
      </w:pPr>
      <w:r>
        <w:rPr>
          <w:rFonts w:ascii="Times New Roman" w:hAnsi="Times New Roman" w:cs="Times New Roman"/>
          <w:lang w:eastAsia="pl-PL"/>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rsidR="003613D9" w:rsidRDefault="000B092A">
      <w:pPr>
        <w:pStyle w:val="Normalny10"/>
        <w:numPr>
          <w:ilvl w:val="0"/>
          <w:numId w:val="6"/>
        </w:numPr>
        <w:spacing w:after="0" w:line="276" w:lineRule="auto"/>
        <w:ind w:left="567" w:right="23" w:hanging="575"/>
        <w:jc w:val="both"/>
        <w:rPr>
          <w:rFonts w:ascii="Times New Roman" w:hAnsi="Times New Roman" w:cs="Times New Roman"/>
          <w:lang w:eastAsia="pl-PL"/>
        </w:rPr>
      </w:pPr>
      <w:r>
        <w:rPr>
          <w:rFonts w:ascii="Times New Roman" w:hAnsi="Times New Roman" w:cs="Times New Roman"/>
          <w:lang w:eastAsia="pl-PL"/>
        </w:rPr>
        <w:t xml:space="preserve">Materiały zastosowane przez Wykonawcę przy wykonywaniu robót muszą być nowe i nieużywane, odpowiadać wymaganiom norm i przepisów wymienionych w SIWZ, posiadać wymagane polskimi przepisami atesty i certyfikaty, w tym również świadectwa dopuszczenia do obrotu oraz certyfikaty bezpieczeństwa i karty katalogowe. </w:t>
      </w:r>
    </w:p>
    <w:p w:rsidR="003613D9" w:rsidRDefault="003613D9">
      <w:pPr>
        <w:pStyle w:val="Normalny10"/>
        <w:spacing w:after="0" w:line="276" w:lineRule="auto"/>
        <w:jc w:val="both"/>
        <w:rPr>
          <w:rFonts w:ascii="Times New Roman" w:hAnsi="Times New Roman" w:cs="Times New Roman"/>
          <w:b/>
          <w:bCs/>
          <w:color w:val="000000"/>
          <w:lang w:eastAsia="pl-PL"/>
        </w:rPr>
      </w:pPr>
    </w:p>
    <w:p w:rsidR="003613D9" w:rsidRDefault="000B092A">
      <w:pPr>
        <w:pStyle w:val="Normalny10"/>
        <w:spacing w:after="0" w:line="276" w:lineRule="auto"/>
        <w:jc w:val="both"/>
        <w:rPr>
          <w:rFonts w:ascii="Times New Roman" w:hAnsi="Times New Roman" w:cs="Times New Roman"/>
          <w:b/>
          <w:bCs/>
        </w:rPr>
      </w:pPr>
      <w:r>
        <w:rPr>
          <w:rFonts w:ascii="Times New Roman" w:hAnsi="Times New Roman" w:cs="Times New Roman"/>
          <w:b/>
          <w:bCs/>
        </w:rPr>
        <w:t>1.2 Wymagania Zamawiającego w stosunku do przedmiotu zamówienia</w:t>
      </w:r>
    </w:p>
    <w:p w:rsidR="003613D9" w:rsidRDefault="000B092A">
      <w:pPr>
        <w:pStyle w:val="Normalny10"/>
        <w:spacing w:after="0" w:line="276" w:lineRule="auto"/>
        <w:jc w:val="both"/>
        <w:rPr>
          <w:rFonts w:ascii="Times New Roman" w:hAnsi="Times New Roman" w:cs="Times New Roman"/>
          <w:b/>
          <w:bCs/>
        </w:rPr>
      </w:pPr>
      <w:r>
        <w:rPr>
          <w:rFonts w:ascii="Times New Roman" w:hAnsi="Times New Roman" w:cs="Times New Roman"/>
          <w:b/>
          <w:bCs/>
        </w:rPr>
        <w:t>1.2.1 Wymagania odnośnie dokumentacji</w:t>
      </w:r>
    </w:p>
    <w:p w:rsidR="003613D9" w:rsidRDefault="000B092A">
      <w:pPr>
        <w:pStyle w:val="Normalny10"/>
        <w:numPr>
          <w:ilvl w:val="0"/>
          <w:numId w:val="2"/>
        </w:numPr>
        <w:tabs>
          <w:tab w:val="left" w:pos="360"/>
        </w:tabs>
        <w:spacing w:after="0" w:line="276" w:lineRule="auto"/>
        <w:ind w:left="375" w:hanging="375"/>
        <w:jc w:val="both"/>
        <w:rPr>
          <w:rFonts w:ascii="Times New Roman" w:hAnsi="Times New Roman" w:cs="Times New Roman"/>
        </w:rPr>
      </w:pPr>
      <w:r>
        <w:rPr>
          <w:rFonts w:ascii="Times New Roman" w:hAnsi="Times New Roman" w:cs="Times New Roman"/>
        </w:rPr>
        <w:t>Zamawiający przekaże wybranemu w postępowaniu przetargowym Wykonawcy komplet posiadanej dokumentacji dotyczącej terenów objętych projektowanymi liniami. Wykonawca, zgodnie z zapisami SIWZ, ma prawo modyfikacji ilości punktów świetlnych oraz ich parametrów pod warunkiem zachowania właściwego według norm poziomu natężenia oświetlenia na drogach objętych projektami. Zamawiający każdorazowo musi wyrazić pisemną</w:t>
      </w:r>
      <w:r>
        <w:rPr>
          <w:rFonts w:ascii="Times New Roman" w:hAnsi="Times New Roman" w:cs="Times New Roman"/>
          <w:color w:val="0000FF"/>
        </w:rPr>
        <w:t xml:space="preserve"> </w:t>
      </w:r>
      <w:r>
        <w:rPr>
          <w:rFonts w:ascii="Times New Roman" w:hAnsi="Times New Roman" w:cs="Times New Roman"/>
        </w:rPr>
        <w:t xml:space="preserve">zgodę na taką zmianę. </w:t>
      </w:r>
    </w:p>
    <w:p w:rsidR="003613D9" w:rsidRDefault="000B092A">
      <w:pPr>
        <w:pStyle w:val="Normalny10"/>
        <w:numPr>
          <w:ilvl w:val="0"/>
          <w:numId w:val="2"/>
        </w:numPr>
        <w:tabs>
          <w:tab w:val="left" w:pos="360"/>
        </w:tabs>
        <w:spacing w:after="0" w:line="276" w:lineRule="auto"/>
        <w:ind w:left="375" w:hanging="375"/>
        <w:jc w:val="both"/>
        <w:rPr>
          <w:rFonts w:ascii="Times New Roman" w:hAnsi="Times New Roman" w:cs="Times New Roman"/>
        </w:rPr>
      </w:pPr>
      <w:r>
        <w:rPr>
          <w:rFonts w:ascii="Times New Roman" w:hAnsi="Times New Roman" w:cs="Times New Roman"/>
        </w:rPr>
        <w:t>Na podstawie Ustawy z dnia 7 lipca 1994 roku Prawo Budowlane (</w:t>
      </w:r>
      <w:proofErr w:type="spellStart"/>
      <w:r>
        <w:rPr>
          <w:rFonts w:ascii="Times New Roman" w:hAnsi="Times New Roman" w:cs="Times New Roman"/>
        </w:rPr>
        <w:t>t.j</w:t>
      </w:r>
      <w:proofErr w:type="spellEnd"/>
      <w:r>
        <w:rPr>
          <w:rFonts w:ascii="Times New Roman" w:hAnsi="Times New Roman" w:cs="Times New Roman"/>
        </w:rPr>
        <w:t>. Dz. U. z 2016 r., poz. 290 z późn. zm.) roboty budowlane w rozumieniu Ustawy art.3 ust.7 polegające na instalowaniu urządzeń, jakimi są oprawy oświetleniowe wraz z osprzętem elektrycznym (złącza bezpiecznikowe i zaciski przyłączeniowe) oraz mechanicznym (wysięgniki), na obiektach budowlanych jakimi są istniejące słupy sieci elektroenergetycznej niskiego napięcia, nie wymagają Pozwolenia na Budowę według przepisów Ustawy art. 29ust. 2 pkt 15.</w:t>
      </w:r>
    </w:p>
    <w:p w:rsidR="003613D9" w:rsidRDefault="000B092A">
      <w:pPr>
        <w:pStyle w:val="Normalny10"/>
        <w:numPr>
          <w:ilvl w:val="0"/>
          <w:numId w:val="2"/>
        </w:numPr>
        <w:tabs>
          <w:tab w:val="left" w:pos="360"/>
        </w:tabs>
        <w:spacing w:after="0" w:line="276" w:lineRule="auto"/>
        <w:ind w:left="375" w:hanging="375"/>
        <w:jc w:val="both"/>
      </w:pPr>
      <w:r>
        <w:rPr>
          <w:rFonts w:ascii="Times New Roman" w:hAnsi="Times New Roman" w:cs="Times New Roman"/>
        </w:rPr>
        <w:t>Wykonawca zobowiązany będzie do uzgadniania na każdym etapie zmian projektowych oraz przyjętych rozwiązań z Zamawiającym. Dokumentacja projektowa powinna być sporządzona przez projektanta posiadającego odpowiednie uprawnienia. Wykonawca będzie zobowiązany zapewnić pełną obsługę geodezyjną oraz po zakończeniu robót budowlanych opracować dokumentację powykonawczą, zgodnie z zapisami umowy.</w:t>
      </w:r>
    </w:p>
    <w:p w:rsidR="003613D9" w:rsidRDefault="000B092A">
      <w:pPr>
        <w:pStyle w:val="Normalny10"/>
        <w:numPr>
          <w:ilvl w:val="0"/>
          <w:numId w:val="2"/>
        </w:numPr>
        <w:tabs>
          <w:tab w:val="left" w:pos="360"/>
        </w:tabs>
        <w:spacing w:after="0" w:line="276" w:lineRule="auto"/>
        <w:ind w:left="390"/>
        <w:jc w:val="both"/>
        <w:rPr>
          <w:rFonts w:ascii="Times New Roman" w:hAnsi="Times New Roman" w:cs="Times New Roman"/>
        </w:rPr>
      </w:pPr>
      <w:r>
        <w:rPr>
          <w:rFonts w:ascii="Times New Roman" w:hAnsi="Times New Roman" w:cs="Times New Roman"/>
        </w:rPr>
        <w:t>Należy przewidzieć i zaprojektować najbardziej optymalny sposób zasilania</w:t>
      </w:r>
      <w:r>
        <w:rPr>
          <w:rFonts w:ascii="Times New Roman" w:hAnsi="Times New Roman" w:cs="Times New Roman"/>
        </w:rPr>
        <w:br/>
        <w:t>oświetlenia w pierwszej kolejności uwzględniając możliwość podłączenia projektowanego oświetlenia na zasadzie rozbudowy już istniejącego wraz z uwzględnieniem zmian wartości mocy przyłączeniowych. W przeciwnym wypadku należy uwzględnić dogodną lokalizację szaf pomiarowo – sterowniczych.</w:t>
      </w:r>
    </w:p>
    <w:p w:rsidR="003613D9" w:rsidRDefault="000B092A">
      <w:pPr>
        <w:pStyle w:val="Normalny10"/>
        <w:numPr>
          <w:ilvl w:val="0"/>
          <w:numId w:val="2"/>
        </w:numPr>
        <w:tabs>
          <w:tab w:val="left" w:pos="360"/>
        </w:tabs>
        <w:spacing w:after="0" w:line="276" w:lineRule="auto"/>
        <w:ind w:left="390"/>
        <w:jc w:val="both"/>
        <w:rPr>
          <w:rFonts w:ascii="Times New Roman" w:hAnsi="Times New Roman" w:cs="Times New Roman"/>
        </w:rPr>
      </w:pPr>
      <w:r>
        <w:rPr>
          <w:rFonts w:ascii="Times New Roman" w:hAnsi="Times New Roman" w:cs="Times New Roman"/>
        </w:rPr>
        <w:t>W przypadku kontynuacji istniejącego oświetlenia drogowego lub do niego nawiązania, zastosować należy słupy oraz oprawy o wyglądzie zbliżonym do istniejących.</w:t>
      </w:r>
    </w:p>
    <w:p w:rsidR="003613D9" w:rsidRDefault="000B092A">
      <w:pPr>
        <w:pStyle w:val="Normalny10"/>
        <w:numPr>
          <w:ilvl w:val="0"/>
          <w:numId w:val="2"/>
        </w:numPr>
        <w:tabs>
          <w:tab w:val="left" w:pos="360"/>
        </w:tabs>
        <w:spacing w:after="0" w:line="276" w:lineRule="auto"/>
        <w:ind w:left="375" w:hanging="375"/>
        <w:jc w:val="both"/>
        <w:rPr>
          <w:rFonts w:ascii="Times New Roman" w:hAnsi="Times New Roman" w:cs="Times New Roman"/>
        </w:rPr>
      </w:pPr>
      <w:r>
        <w:rPr>
          <w:rFonts w:ascii="Times New Roman" w:hAnsi="Times New Roman" w:cs="Times New Roman"/>
        </w:rPr>
        <w:t>Wykonawca dostarczy instrukcje techniczne zamontowanych urządzeń dla potrzeb eksploatacji i konserwacji – jeżeli będą wymagane.</w:t>
      </w:r>
    </w:p>
    <w:p w:rsidR="003613D9" w:rsidRDefault="000B092A">
      <w:pPr>
        <w:pStyle w:val="Normalny10"/>
        <w:numPr>
          <w:ilvl w:val="0"/>
          <w:numId w:val="2"/>
        </w:numPr>
        <w:tabs>
          <w:tab w:val="left" w:pos="360"/>
        </w:tabs>
        <w:spacing w:after="0" w:line="276" w:lineRule="auto"/>
        <w:ind w:left="375" w:hanging="375"/>
        <w:jc w:val="both"/>
        <w:rPr>
          <w:rFonts w:ascii="Times New Roman" w:hAnsi="Times New Roman" w:cs="Times New Roman"/>
        </w:rPr>
      </w:pPr>
      <w:r>
        <w:rPr>
          <w:rFonts w:ascii="Times New Roman" w:hAnsi="Times New Roman" w:cs="Times New Roman"/>
        </w:rPr>
        <w:t>Wykonawca sporządzi taką ilość egzemplarzy poszczególnych opracowań projektowych, jaka jest potrzebna do uzyskania wymaganych opinii, uzgodnień i decyzji oraz dla potrzeb wykonawstwa robót oraz dla Zamawiającego.</w:t>
      </w:r>
    </w:p>
    <w:p w:rsidR="003613D9" w:rsidRDefault="000B092A">
      <w:pPr>
        <w:pStyle w:val="Normalny10"/>
        <w:numPr>
          <w:ilvl w:val="0"/>
          <w:numId w:val="2"/>
        </w:numPr>
        <w:spacing w:after="0" w:line="276" w:lineRule="auto"/>
        <w:ind w:left="375" w:hanging="375"/>
        <w:jc w:val="both"/>
        <w:rPr>
          <w:rFonts w:ascii="Times New Roman" w:hAnsi="Times New Roman" w:cs="Times New Roman"/>
        </w:rPr>
      </w:pPr>
      <w:r>
        <w:rPr>
          <w:rFonts w:ascii="Times New Roman" w:hAnsi="Times New Roman" w:cs="Times New Roman"/>
        </w:rPr>
        <w:t>Oraz inne wymagane przepisami prawa informacje.</w:t>
      </w:r>
    </w:p>
    <w:p w:rsidR="003613D9" w:rsidRDefault="003613D9">
      <w:pPr>
        <w:pStyle w:val="Normalny10"/>
        <w:spacing w:after="0" w:line="276" w:lineRule="auto"/>
        <w:ind w:left="375"/>
        <w:jc w:val="both"/>
        <w:rPr>
          <w:rFonts w:ascii="Times New Roman" w:hAnsi="Times New Roman" w:cs="Times New Roman"/>
        </w:rPr>
      </w:pPr>
    </w:p>
    <w:p w:rsidR="00A142B0" w:rsidRDefault="00A142B0">
      <w:pPr>
        <w:pStyle w:val="Normalny10"/>
        <w:spacing w:after="0" w:line="276" w:lineRule="auto"/>
        <w:ind w:left="375"/>
        <w:jc w:val="both"/>
        <w:rPr>
          <w:rFonts w:ascii="Times New Roman" w:hAnsi="Times New Roman" w:cs="Times New Roman"/>
        </w:rPr>
      </w:pPr>
    </w:p>
    <w:p w:rsidR="003613D9" w:rsidRDefault="000B092A">
      <w:pPr>
        <w:pStyle w:val="Normalny10"/>
        <w:shd w:val="clear" w:color="000000" w:fill="FFFFFF"/>
        <w:tabs>
          <w:tab w:val="left" w:pos="990"/>
        </w:tabs>
        <w:spacing w:after="0" w:line="276" w:lineRule="auto"/>
        <w:jc w:val="both"/>
      </w:pPr>
      <w:r>
        <w:rPr>
          <w:rFonts w:ascii="Times New Roman" w:hAnsi="Times New Roman" w:cs="Times New Roman"/>
          <w:b/>
          <w:bCs/>
        </w:rPr>
        <w:lastRenderedPageBreak/>
        <w:t>1.2.2 Wymagania odnośnie realizacji</w:t>
      </w:r>
    </w:p>
    <w:p w:rsidR="003613D9" w:rsidRDefault="000B092A">
      <w:pPr>
        <w:pStyle w:val="Normalny10"/>
        <w:numPr>
          <w:ilvl w:val="0"/>
          <w:numId w:val="7"/>
        </w:numPr>
        <w:tabs>
          <w:tab w:val="left" w:pos="420"/>
        </w:tabs>
        <w:spacing w:after="0" w:line="276" w:lineRule="auto"/>
        <w:jc w:val="both"/>
        <w:rPr>
          <w:rFonts w:ascii="Times New Roman" w:hAnsi="Times New Roman" w:cs="Times New Roman"/>
          <w:b/>
          <w:bCs/>
        </w:rPr>
      </w:pPr>
      <w:r>
        <w:rPr>
          <w:rFonts w:ascii="Times New Roman" w:hAnsi="Times New Roman" w:cs="Times New Roman"/>
          <w:b/>
          <w:bCs/>
        </w:rPr>
        <w:t>Wymiana istniejących opraw</w:t>
      </w:r>
    </w:p>
    <w:p w:rsidR="003613D9" w:rsidRDefault="000B092A">
      <w:pPr>
        <w:pStyle w:val="Normalny10"/>
        <w:numPr>
          <w:ilvl w:val="0"/>
          <w:numId w:val="8"/>
        </w:numPr>
        <w:tabs>
          <w:tab w:val="left" w:pos="420"/>
        </w:tabs>
        <w:spacing w:after="0" w:line="276" w:lineRule="auto"/>
        <w:ind w:left="1134" w:hanging="680"/>
        <w:jc w:val="both"/>
      </w:pPr>
      <w:r>
        <w:rPr>
          <w:rFonts w:ascii="Times New Roman" w:hAnsi="Times New Roman" w:cs="Times New Roman"/>
        </w:rPr>
        <w:t>Montaż nowych opraw LED na istniejących wysięgnikach w ilości 1644 sztuk, według klas dróg określonych w inwentaryzacji i zg</w:t>
      </w:r>
      <w:r w:rsidRPr="0036143B">
        <w:rPr>
          <w:rFonts w:ascii="Times New Roman" w:hAnsi="Times New Roman" w:cs="Times New Roman"/>
          <w:color w:val="auto"/>
        </w:rPr>
        <w:t xml:space="preserve">odnie z tabelą równoważności dla opraw oświetlenia drogowego. Wymiana zacisków prądowych AI/Cu dla wszystkich opraw na liniach napowietrznych, przy </w:t>
      </w:r>
      <w:r>
        <w:rPr>
          <w:rFonts w:ascii="Times New Roman" w:hAnsi="Times New Roman" w:cs="Times New Roman"/>
        </w:rPr>
        <w:t>złączu na linii nieizolowanej zastosować zacisk przystosowany do montażu na liniach nieizolowanych, przy złączu na linii izolowanej zacisk przystosowany do montażu na linii izolowanej. Montaż zabezpieczeń dla wszystkich opraw. Dla linii napowietrznej oraz dla linii kablowej - wkładka topikowa 6A. Wykonanie projektów czasowej organizacji ruchu wraz z jej wprowadzeniem – jeśli wymagane. Wykonaniu dokumentacji powykonawczej zgodnie z zapisami umowy.</w:t>
      </w:r>
    </w:p>
    <w:p w:rsidR="003613D9" w:rsidRDefault="000B092A">
      <w:pPr>
        <w:pStyle w:val="Normalny10"/>
        <w:numPr>
          <w:ilvl w:val="0"/>
          <w:numId w:val="8"/>
        </w:numPr>
        <w:tabs>
          <w:tab w:val="left" w:pos="420"/>
        </w:tabs>
        <w:spacing w:after="0" w:line="276" w:lineRule="auto"/>
        <w:ind w:left="1080"/>
        <w:jc w:val="both"/>
      </w:pPr>
      <w:r>
        <w:rPr>
          <w:rFonts w:ascii="Times New Roman" w:hAnsi="Times New Roman" w:cs="Times New Roman"/>
        </w:rPr>
        <w:t>Demontaż oraz utylizacja starych opraw oświetleniowych, zgodnie z obowiązującym prawem w tym zakresie. Zamawiający zachowuje sobie prawo do wskazania części opraw w celu zdeponowania ich w określonym przez Zamawiającego miejscu, do zabezpieczenia innych potrzeb Zamawiającego. Zamawiający na etapie przetargu przewiduje wymianę 1198 standardowych wysięgników oraz 25 wysięgników rurowych. Jeżeli w trakcie prac demontażowych/montażowych Wykonawca zgłosi konieczność wymiany wysięgnika, Zamawiający każdorazowo ustosunkuje się do takiego wniosku, i po wyrażeniu zgody na wymianę ustali sposób rozliczenia jako prac. Ewentualne przepięcie istniejących szafek SOU do wspólnych obwodów, demontaż zbędnych liczników w połączonych obwodach.</w:t>
      </w:r>
    </w:p>
    <w:p w:rsidR="003613D9" w:rsidRDefault="000B092A">
      <w:pPr>
        <w:pStyle w:val="Normalny10"/>
        <w:numPr>
          <w:ilvl w:val="0"/>
          <w:numId w:val="7"/>
        </w:numPr>
        <w:tabs>
          <w:tab w:val="left" w:pos="420"/>
        </w:tabs>
        <w:spacing w:after="0" w:line="276" w:lineRule="auto"/>
        <w:ind w:left="720" w:hanging="36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Budowa nowych punktów i linii oświetleniowych</w:t>
      </w:r>
    </w:p>
    <w:p w:rsidR="003613D9" w:rsidRPr="0036143B" w:rsidRDefault="000B092A">
      <w:pPr>
        <w:pStyle w:val="Normalny1"/>
        <w:numPr>
          <w:ilvl w:val="0"/>
          <w:numId w:val="22"/>
        </w:numPr>
        <w:shd w:val="clear" w:color="000000" w:fill="FFFFFF"/>
        <w:tabs>
          <w:tab w:val="left" w:pos="420"/>
        </w:tabs>
        <w:spacing w:after="0" w:line="276" w:lineRule="auto"/>
        <w:ind w:left="737"/>
        <w:jc w:val="both"/>
        <w:rPr>
          <w:color w:val="auto"/>
        </w:rPr>
      </w:pPr>
      <w:r>
        <w:rPr>
          <w:rFonts w:ascii="Times New Roman" w:hAnsi="Times New Roman" w:cs="Times New Roman"/>
          <w:b/>
          <w:bCs/>
        </w:rPr>
        <w:t xml:space="preserve">Dobudowa nowych punktów oświetleniowych </w:t>
      </w:r>
      <w:r>
        <w:rPr>
          <w:rFonts w:ascii="Times New Roman" w:hAnsi="Times New Roman" w:cs="Times New Roman"/>
          <w:b/>
          <w:bCs/>
          <w:lang w:eastAsia="pl-PL"/>
        </w:rPr>
        <w:t xml:space="preserve">według projektów budowlanych, zawartych w dokumentacji stanowiącej Załącznik Nr </w:t>
      </w:r>
      <w:r w:rsidRPr="0036143B">
        <w:rPr>
          <w:rFonts w:ascii="Times New Roman" w:hAnsi="Times New Roman" w:cs="Times New Roman"/>
          <w:b/>
          <w:bCs/>
          <w:color w:val="auto"/>
          <w:lang w:eastAsia="pl-PL"/>
        </w:rPr>
        <w:t>9b</w:t>
      </w:r>
      <w:r w:rsidRPr="0036143B">
        <w:rPr>
          <w:rFonts w:ascii="Times New Roman" w:hAnsi="Times New Roman" w:cs="Times New Roman"/>
          <w:b/>
          <w:bCs/>
          <w:color w:val="auto"/>
        </w:rPr>
        <w:t xml:space="preserve"> </w:t>
      </w:r>
      <w:r w:rsidRPr="0036143B">
        <w:rPr>
          <w:rFonts w:ascii="Times New Roman" w:hAnsi="Times New Roman" w:cs="Times New Roman"/>
          <w:color w:val="auto"/>
        </w:rPr>
        <w:t>na terenie Miasta i Gminy Lwówek Śląski, szacowana ilość punktów świetlnych: 7 szt.</w:t>
      </w:r>
    </w:p>
    <w:p w:rsidR="003613D9" w:rsidRPr="0036143B" w:rsidRDefault="000B092A">
      <w:pPr>
        <w:pStyle w:val="Normalny1"/>
        <w:tabs>
          <w:tab w:val="left" w:pos="420"/>
        </w:tabs>
        <w:spacing w:after="0" w:line="276" w:lineRule="auto"/>
        <w:ind w:left="737"/>
        <w:jc w:val="both"/>
        <w:rPr>
          <w:color w:val="auto"/>
        </w:rPr>
      </w:pPr>
      <w:r w:rsidRPr="0036143B">
        <w:rPr>
          <w:rFonts w:ascii="Times New Roman" w:hAnsi="Times New Roman" w:cs="Times New Roman"/>
          <w:color w:val="auto"/>
        </w:rPr>
        <w:t xml:space="preserve">Wykonawca jest zobowiązany do uzyskania w tym zakresie ewentualnych zgód właściwych organów. Każdorazowo projekt zmian wymaga zatwierdzenia przez Zamawiającego. </w:t>
      </w:r>
    </w:p>
    <w:p w:rsidR="003613D9" w:rsidRDefault="000B092A">
      <w:pPr>
        <w:pStyle w:val="Normalny1"/>
        <w:tabs>
          <w:tab w:val="left" w:pos="420"/>
        </w:tabs>
        <w:spacing w:after="0" w:line="276" w:lineRule="auto"/>
        <w:ind w:left="737"/>
        <w:jc w:val="both"/>
        <w:rPr>
          <w:rFonts w:ascii="Times New Roman" w:hAnsi="Times New Roman" w:cs="Times New Roman"/>
        </w:rPr>
      </w:pPr>
      <w:r>
        <w:rPr>
          <w:rFonts w:ascii="Times New Roman" w:hAnsi="Times New Roman" w:cs="Times New Roman"/>
        </w:rPr>
        <w:t>Wykonawca zobowiązany jest  zabezpieczyć plac budowy. Realizacja powyższego zakresu winna być wykonana w oparciu o obowiązujące przepisy, a w szczególności ustawy Prawo budowlane wraz z przepisami wykonawczymi, przez Wykonawcę posiadającego stosowne doświadczenie i potencjał wykonawczy,</w:t>
      </w:r>
    </w:p>
    <w:p w:rsidR="003613D9" w:rsidRDefault="000B092A">
      <w:pPr>
        <w:pStyle w:val="Normalny1"/>
        <w:shd w:val="clear" w:color="auto" w:fill="FFFFFF"/>
        <w:tabs>
          <w:tab w:val="left" w:pos="426"/>
        </w:tabs>
        <w:spacing w:line="276" w:lineRule="auto"/>
        <w:ind w:left="737"/>
        <w:jc w:val="both"/>
        <w:rPr>
          <w:rFonts w:ascii="Times New Roman" w:hAnsi="Times New Roman" w:cs="Times New Roman"/>
        </w:rPr>
      </w:pPr>
      <w:r>
        <w:rPr>
          <w:rFonts w:ascii="Times New Roman" w:hAnsi="Times New Roman" w:cs="Times New Roman"/>
        </w:rPr>
        <w:t>Wykonanie projektów czasowej organizacji ruchu wraz z jej wprowadzeniem – jeśli wymagane.</w:t>
      </w:r>
    </w:p>
    <w:p w:rsidR="003613D9" w:rsidRDefault="000B092A">
      <w:pPr>
        <w:pStyle w:val="Normalny1"/>
        <w:shd w:val="clear" w:color="auto" w:fill="FFFFFF"/>
        <w:tabs>
          <w:tab w:val="left" w:pos="426"/>
        </w:tabs>
        <w:spacing w:line="276" w:lineRule="auto"/>
        <w:ind w:left="737"/>
        <w:jc w:val="both"/>
        <w:rPr>
          <w:rFonts w:ascii="Times New Roman" w:hAnsi="Times New Roman" w:cs="Times New Roman"/>
          <w:lang w:eastAsia="pl-PL"/>
        </w:rPr>
      </w:pPr>
      <w:r>
        <w:rPr>
          <w:rFonts w:ascii="Times New Roman" w:hAnsi="Times New Roman" w:cs="Times New Roman"/>
          <w:lang w:eastAsia="pl-PL"/>
        </w:rPr>
        <w:t>Wykonanie dokumentacji powykonawczej, zgodnie z zapisami umowy.</w:t>
      </w:r>
    </w:p>
    <w:p w:rsidR="003613D9" w:rsidRDefault="000B092A">
      <w:pPr>
        <w:pStyle w:val="Normalny10"/>
        <w:numPr>
          <w:ilvl w:val="0"/>
          <w:numId w:val="22"/>
        </w:numPr>
        <w:tabs>
          <w:tab w:val="left" w:pos="420"/>
        </w:tabs>
        <w:spacing w:after="0" w:line="276" w:lineRule="auto"/>
        <w:jc w:val="both"/>
        <w:rPr>
          <w:rFonts w:ascii="Times New Roman" w:hAnsi="Times New Roman" w:cs="Times New Roman"/>
        </w:rPr>
      </w:pPr>
      <w:r>
        <w:rPr>
          <w:rFonts w:ascii="Times New Roman" w:hAnsi="Times New Roman" w:cs="Times New Roman"/>
          <w:b/>
          <w:bCs/>
        </w:rPr>
        <w:t xml:space="preserve">Dobudowa </w:t>
      </w:r>
      <w:r>
        <w:rPr>
          <w:rFonts w:ascii="Times New Roman" w:hAnsi="Times New Roman" w:cs="Times New Roman"/>
          <w:b/>
          <w:bCs/>
          <w:lang w:eastAsia="pl-PL"/>
        </w:rPr>
        <w:t>nowych punktów świetlnych jako linii zamiennych w miejsce istniejących słupów sieci przesyłowej TAURON</w:t>
      </w:r>
      <w:r>
        <w:rPr>
          <w:rFonts w:ascii="Times New Roman" w:hAnsi="Times New Roman" w:cs="Times New Roman"/>
          <w:b/>
          <w:bCs/>
        </w:rPr>
        <w:t xml:space="preserve"> </w:t>
      </w:r>
      <w:r>
        <w:rPr>
          <w:rFonts w:ascii="Times New Roman" w:hAnsi="Times New Roman" w:cs="Times New Roman"/>
        </w:rPr>
        <w:t>na terenie Gminy i Miasta Lwówek Śląski, szacowana ilość punktów świetlnych: 500 szt.</w:t>
      </w:r>
    </w:p>
    <w:p w:rsidR="003613D9" w:rsidRPr="0036143B" w:rsidRDefault="000B092A">
      <w:pPr>
        <w:pStyle w:val="Normalny10"/>
        <w:tabs>
          <w:tab w:val="left" w:pos="420"/>
        </w:tabs>
        <w:spacing w:after="0" w:line="276" w:lineRule="auto"/>
        <w:ind w:left="708"/>
        <w:jc w:val="both"/>
        <w:rPr>
          <w:color w:val="auto"/>
        </w:rPr>
      </w:pPr>
      <w:r w:rsidRPr="0036143B">
        <w:rPr>
          <w:rFonts w:ascii="Times New Roman" w:hAnsi="Times New Roman" w:cs="Times New Roman"/>
          <w:bCs/>
          <w:color w:val="auto"/>
        </w:rPr>
        <w:t xml:space="preserve">Przed rozpoczęciem prac Wykonawca jest zobowiązany dokonać inwentaryzacji istniejących punktów na liniach przesyłowych TAURON Dystrybucja SA i </w:t>
      </w:r>
      <w:r w:rsidRPr="0036143B">
        <w:rPr>
          <w:rFonts w:ascii="Times New Roman" w:hAnsi="Times New Roman" w:cs="Times New Roman"/>
          <w:bCs/>
          <w:color w:val="auto"/>
          <w:lang w:eastAsia="pl-PL"/>
        </w:rPr>
        <w:t>zaproponować wyliczony zakres dobudowy. Ostateczną propozycję ilości punktów zamiennych zatwierdzi Zamawiający.</w:t>
      </w:r>
    </w:p>
    <w:p w:rsidR="003613D9" w:rsidRDefault="000B092A">
      <w:pPr>
        <w:pStyle w:val="Normalny10"/>
        <w:tabs>
          <w:tab w:val="left" w:pos="420"/>
        </w:tabs>
        <w:spacing w:after="0" w:line="276" w:lineRule="auto"/>
        <w:ind w:left="708"/>
        <w:jc w:val="both"/>
        <w:rPr>
          <w:rFonts w:ascii="Times New Roman" w:hAnsi="Times New Roman" w:cs="Times New Roman"/>
        </w:rPr>
      </w:pPr>
      <w:r>
        <w:rPr>
          <w:rFonts w:ascii="Times New Roman" w:hAnsi="Times New Roman" w:cs="Times New Roman"/>
        </w:rPr>
        <w:t xml:space="preserve">Wykonawca zobowiązany jest  zrealizować zadanie zgodnie z opracowaną przez siebie i zatwierdzoną przez Zamawiającego oraz właściwe organy administracji państwowej dokumentacją projektową i techniczną. Wykonawca zobowiązany jest zabezpieczyć plac budowy. Realizacja powyższego zakresu winna być wykonana w oparciu o obowiązujące </w:t>
      </w:r>
      <w:r>
        <w:rPr>
          <w:rFonts w:ascii="Times New Roman" w:hAnsi="Times New Roman" w:cs="Times New Roman"/>
        </w:rPr>
        <w:lastRenderedPageBreak/>
        <w:t>przepisy, a w szczególności ustawy Prawo budowlane wraz z przepisami wykonawczymi, przez Wykonawcę posiadającego stosowne doświadczenie i potencjał wykonawczy,</w:t>
      </w:r>
    </w:p>
    <w:p w:rsidR="003613D9" w:rsidRDefault="000B092A">
      <w:pPr>
        <w:pStyle w:val="Normalny10"/>
        <w:shd w:val="clear" w:color="auto" w:fill="FFFFFF"/>
        <w:tabs>
          <w:tab w:val="left" w:pos="420"/>
        </w:tabs>
        <w:spacing w:after="0"/>
        <w:jc w:val="both"/>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t>Wykonanie dokumentacji powykonawczej, zgodnie z zapisami umowy.</w:t>
      </w:r>
    </w:p>
    <w:p w:rsidR="003613D9" w:rsidRDefault="000B092A">
      <w:pPr>
        <w:pStyle w:val="Normalny10"/>
        <w:spacing w:after="0" w:line="276" w:lineRule="auto"/>
        <w:ind w:left="708"/>
        <w:jc w:val="both"/>
        <w:rPr>
          <w:rFonts w:ascii="Times New Roman" w:hAnsi="Times New Roman" w:cs="Times New Roman"/>
        </w:rPr>
      </w:pPr>
      <w:r>
        <w:rPr>
          <w:rFonts w:ascii="Times New Roman" w:hAnsi="Times New Roman" w:cs="Times New Roman"/>
        </w:rPr>
        <w:t>Zamawiający wymaga, aby Wykonawca w imieniu Zamawiającego wystąpił o Dziennik Budowy, a rozpoczęcie robót budowlanych było podjęte po uzyskaniu stosownego pozwolenia na budowę – jeśli wymagane.</w:t>
      </w:r>
    </w:p>
    <w:p w:rsidR="003613D9" w:rsidRDefault="000B092A">
      <w:pPr>
        <w:pStyle w:val="Normalny10"/>
        <w:spacing w:after="0" w:line="276" w:lineRule="auto"/>
        <w:ind w:left="708"/>
        <w:jc w:val="both"/>
      </w:pPr>
      <w:r>
        <w:rPr>
          <w:rFonts w:ascii="Times New Roman" w:hAnsi="Times New Roman" w:cs="Times New Roman"/>
        </w:rPr>
        <w:t>Przed złożeniem wniosku o wydanie pozwolenia na budowę (jeśli wymagane) Wykonawca jest zobowiązany uzyskać akceptację Zamawiającego w zakresie przyjętych rozwiązań projektowych i zastosowanych materiałów oraz właściciela sieci energetycznej w zakresie zgodności z wydanymi warunkami technicznymi przyłączenia.</w:t>
      </w:r>
    </w:p>
    <w:p w:rsidR="003613D9" w:rsidRDefault="000B092A">
      <w:pPr>
        <w:pStyle w:val="Normalny10"/>
        <w:spacing w:after="0" w:line="276" w:lineRule="auto"/>
        <w:ind w:left="708"/>
        <w:jc w:val="both"/>
      </w:pPr>
      <w:r>
        <w:rPr>
          <w:rFonts w:ascii="Times New Roman" w:hAnsi="Times New Roman" w:cs="Times New Roman"/>
        </w:rPr>
        <w:t>Wszelkie zmiany uzgodnionych już z Zamawiającym rozwiązań technicznych i materiałowych wymagają ponownego uzgodnienia.</w:t>
      </w:r>
    </w:p>
    <w:p w:rsidR="003613D9" w:rsidRDefault="000B092A">
      <w:pPr>
        <w:pStyle w:val="Normalny10"/>
        <w:spacing w:after="0" w:line="276" w:lineRule="auto"/>
        <w:ind w:left="708"/>
        <w:jc w:val="both"/>
        <w:rPr>
          <w:rFonts w:ascii="Times New Roman" w:hAnsi="Times New Roman" w:cs="Times New Roman"/>
        </w:rPr>
      </w:pPr>
      <w:r>
        <w:rPr>
          <w:rFonts w:ascii="Times New Roman" w:hAnsi="Times New Roman" w:cs="Times New Roman"/>
        </w:rPr>
        <w:t>Prowadzenie prac w pasie drogowym wymaga przygotowania przez Wykonawcę robót projektu organizacji ruchu oraz uzyskania jego zatwierdzenia (jeżeli będzie konieczne).</w:t>
      </w:r>
    </w:p>
    <w:p w:rsidR="003613D9" w:rsidRDefault="000B092A">
      <w:pPr>
        <w:pStyle w:val="Normalny10"/>
        <w:spacing w:after="0" w:line="276" w:lineRule="auto"/>
        <w:ind w:left="708"/>
        <w:jc w:val="both"/>
      </w:pPr>
      <w:r>
        <w:rPr>
          <w:rFonts w:ascii="Times New Roman" w:hAnsi="Times New Roman" w:cs="Times New Roman"/>
        </w:rPr>
        <w:t>Wykonawca złoży do Powiatowego Inspektora Nadzoru Budowlanego zawiadomienie o zakończeniu robót oraz wniosek o pozwolenie na użytkowanie (jeżeli będzie wymagane).</w:t>
      </w:r>
    </w:p>
    <w:p w:rsidR="003613D9" w:rsidRDefault="000B092A">
      <w:pPr>
        <w:pStyle w:val="Akapitzlist"/>
        <w:numPr>
          <w:ilvl w:val="0"/>
          <w:numId w:val="22"/>
        </w:numPr>
        <w:shd w:val="clear" w:color="auto" w:fill="FFFFFF"/>
        <w:tabs>
          <w:tab w:val="left" w:pos="426"/>
        </w:tabs>
        <w:spacing w:after="0"/>
        <w:jc w:val="both"/>
        <w:rPr>
          <w:rFonts w:ascii="Times New Roman" w:hAnsi="Times New Roman" w:cs="Times New Roman"/>
        </w:rPr>
      </w:pPr>
      <w:r>
        <w:rPr>
          <w:rFonts w:ascii="Times New Roman" w:hAnsi="Times New Roman" w:cs="Times New Roman"/>
          <w:b/>
          <w:bCs/>
        </w:rPr>
        <w:t xml:space="preserve">Dobudowa nowych punktów oświetleniowych na nowych liniach </w:t>
      </w:r>
      <w:r>
        <w:rPr>
          <w:rFonts w:ascii="Times New Roman" w:hAnsi="Times New Roman" w:cs="Times New Roman"/>
        </w:rPr>
        <w:t xml:space="preserve">na terenie Gminy i Miasta Lwówek Śląski, szacowana długość nowych linii kablowych: 8.600 </w:t>
      </w:r>
      <w:proofErr w:type="spellStart"/>
      <w:r>
        <w:rPr>
          <w:rFonts w:ascii="Times New Roman" w:hAnsi="Times New Roman" w:cs="Times New Roman"/>
        </w:rPr>
        <w:t>mb</w:t>
      </w:r>
      <w:proofErr w:type="spellEnd"/>
    </w:p>
    <w:p w:rsidR="003613D9" w:rsidRDefault="000B092A">
      <w:pPr>
        <w:pStyle w:val="Normalny10"/>
        <w:tabs>
          <w:tab w:val="left" w:pos="420"/>
        </w:tabs>
        <w:spacing w:after="0" w:line="276" w:lineRule="auto"/>
        <w:ind w:left="708"/>
        <w:jc w:val="both"/>
        <w:rPr>
          <w:rFonts w:ascii="Times New Roman" w:hAnsi="Times New Roman" w:cs="Times New Roman"/>
        </w:rPr>
      </w:pPr>
      <w:r>
        <w:rPr>
          <w:rFonts w:ascii="Times New Roman" w:hAnsi="Times New Roman" w:cs="Times New Roman"/>
          <w:bCs/>
        </w:rPr>
        <w:t>Wykonanie projektów technicznych nowych linii, uzyskanie niezbędnych uzgodnień i zatwierdzeń oraz dokonanie zgłoszeń – według wymogów.</w:t>
      </w:r>
    </w:p>
    <w:p w:rsidR="003613D9" w:rsidRDefault="000B092A">
      <w:pPr>
        <w:pStyle w:val="Normalny10"/>
        <w:tabs>
          <w:tab w:val="left" w:pos="420"/>
        </w:tabs>
        <w:spacing w:after="0" w:line="276" w:lineRule="auto"/>
        <w:ind w:left="708"/>
        <w:jc w:val="both"/>
      </w:pPr>
      <w:r>
        <w:rPr>
          <w:rFonts w:ascii="Times New Roman" w:hAnsi="Times New Roman" w:cs="Times New Roman"/>
        </w:rPr>
        <w:t>Wykonawca zobowiązany jest  zrealizować zadanie zgodnie z opracowaną przez siebie i zatwierdzoną przez Zamawiającego oraz właściwe organy administracji państwowej dokumentacją projektową i techniczną. Wykonawca zobowiązany jest zabezpieczyć plac budowy. Realizacja powyższego zakresu winna być wykonana w oparciu o obowiązujące przepisy, a w szczególności ustawy Prawo budowlane wraz z przepisami wykonawczymi, przez Wykonawcę posiadającego stosowne doświadczenie i potencjał wykonawczy.</w:t>
      </w:r>
    </w:p>
    <w:p w:rsidR="003613D9" w:rsidRDefault="000B092A">
      <w:pPr>
        <w:pStyle w:val="Normalny10"/>
        <w:shd w:val="clear" w:color="auto" w:fill="FFFFFF"/>
        <w:tabs>
          <w:tab w:val="left" w:pos="426"/>
        </w:tabs>
        <w:spacing w:after="0"/>
        <w:jc w:val="both"/>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t>Wykonanie dokumentacji powykonawczej, zgodnie z zapisami umowy.</w:t>
      </w:r>
    </w:p>
    <w:p w:rsidR="003613D9" w:rsidRDefault="000B092A">
      <w:pPr>
        <w:pStyle w:val="Normalny10"/>
        <w:spacing w:after="0" w:line="276" w:lineRule="auto"/>
        <w:ind w:left="708"/>
        <w:jc w:val="both"/>
        <w:rPr>
          <w:rFonts w:ascii="Times New Roman" w:hAnsi="Times New Roman" w:cs="Times New Roman"/>
        </w:rPr>
      </w:pPr>
      <w:r>
        <w:rPr>
          <w:rFonts w:ascii="Times New Roman" w:hAnsi="Times New Roman" w:cs="Times New Roman"/>
        </w:rPr>
        <w:t>Zamawiający wymaga, aby Wykonawca w imieniu Zamawiającego wystąpił o Dziennik Budowy, a rozpoczęcie robót budowlanych było podjęte po uzyskaniu stosownego pozwolenia na budowę – jeśli wymagane.</w:t>
      </w:r>
    </w:p>
    <w:p w:rsidR="003613D9" w:rsidRDefault="000B092A">
      <w:pPr>
        <w:pStyle w:val="Normalny10"/>
        <w:spacing w:after="0" w:line="276" w:lineRule="auto"/>
        <w:ind w:left="708"/>
        <w:jc w:val="both"/>
      </w:pPr>
      <w:r>
        <w:rPr>
          <w:rFonts w:ascii="Times New Roman" w:hAnsi="Times New Roman" w:cs="Times New Roman"/>
        </w:rPr>
        <w:t>Przed złożeniem wniosku o wydanie pozwolenia na budowę (jeśli wymagane) Wykonawca jest zobowiązany uzyskać akceptację Zamawiającego w zakresie przyjętych rozwiązań projektowych i zastosowanych materiałów oraz właściciela sieci energetycznej w zakresie zgodności z wydanymi warunkami technicznymi przyłączenia.</w:t>
      </w:r>
    </w:p>
    <w:p w:rsidR="003613D9" w:rsidRDefault="000B092A">
      <w:pPr>
        <w:pStyle w:val="Normalny10"/>
        <w:spacing w:after="0" w:line="276" w:lineRule="auto"/>
        <w:ind w:left="708"/>
        <w:jc w:val="both"/>
      </w:pPr>
      <w:r>
        <w:rPr>
          <w:rFonts w:ascii="Times New Roman" w:hAnsi="Times New Roman" w:cs="Times New Roman"/>
        </w:rPr>
        <w:t>Wszelkie zmiany uzgodnionych już z Zamawiającym rozwiązań technicznych i materiałowych wymagają ponownego uzgodnienia.</w:t>
      </w:r>
    </w:p>
    <w:p w:rsidR="003613D9" w:rsidRDefault="000B092A">
      <w:pPr>
        <w:pStyle w:val="Normalny10"/>
        <w:spacing w:after="0" w:line="276" w:lineRule="auto"/>
        <w:ind w:left="708"/>
        <w:jc w:val="both"/>
        <w:rPr>
          <w:rFonts w:ascii="Times New Roman" w:hAnsi="Times New Roman" w:cs="Times New Roman"/>
        </w:rPr>
      </w:pPr>
      <w:r>
        <w:rPr>
          <w:rFonts w:ascii="Times New Roman" w:hAnsi="Times New Roman" w:cs="Times New Roman"/>
        </w:rPr>
        <w:t>Prowadzenie prac w pasie drogowym wymaga przygotowania przez Wykonawcę robót projektu organizacji ruchu oraz uzyskania jego zatwierdzenia (jeżeli będzie konieczne).</w:t>
      </w:r>
    </w:p>
    <w:p w:rsidR="003613D9" w:rsidRDefault="000B092A">
      <w:pPr>
        <w:pStyle w:val="Normalny10"/>
        <w:spacing w:after="0" w:line="276" w:lineRule="auto"/>
        <w:ind w:left="708"/>
        <w:jc w:val="both"/>
      </w:pPr>
      <w:r>
        <w:rPr>
          <w:rFonts w:ascii="Times New Roman" w:hAnsi="Times New Roman" w:cs="Times New Roman"/>
        </w:rPr>
        <w:t>Wykonawca złoży do Powiatowego Inspektora Nadzoru Budowlanego zawiadomienie o zakończeniu robót oraz wniosek o pozwolenie na użytkowanie (jeżeli będzie wymagane).</w:t>
      </w:r>
    </w:p>
    <w:p w:rsidR="003613D9" w:rsidRDefault="000B092A">
      <w:pPr>
        <w:pStyle w:val="Normalny10"/>
        <w:numPr>
          <w:ilvl w:val="0"/>
          <w:numId w:val="22"/>
        </w:numPr>
        <w:spacing w:after="0" w:line="276" w:lineRule="auto"/>
        <w:ind w:right="23"/>
        <w:jc w:val="both"/>
        <w:rPr>
          <w:rFonts w:ascii="Times New Roman" w:hAnsi="Times New Roman" w:cs="Times New Roman"/>
          <w:lang w:eastAsia="pl-PL"/>
        </w:rPr>
      </w:pPr>
      <w:r>
        <w:rPr>
          <w:rFonts w:ascii="Times New Roman" w:hAnsi="Times New Roman" w:cs="Times New Roman"/>
          <w:b/>
          <w:bCs/>
          <w:lang w:eastAsia="pl-PL"/>
        </w:rPr>
        <w:t>Wymiana 206 sztuk slupów, zgodnie z PFU</w:t>
      </w:r>
    </w:p>
    <w:p w:rsidR="003613D9" w:rsidRDefault="000B092A">
      <w:pPr>
        <w:pStyle w:val="Normalny10"/>
        <w:tabs>
          <w:tab w:val="left" w:pos="420"/>
        </w:tabs>
        <w:spacing w:after="0" w:line="276" w:lineRule="auto"/>
        <w:ind w:left="708"/>
        <w:jc w:val="both"/>
        <w:rPr>
          <w:rFonts w:ascii="Times New Roman" w:hAnsi="Times New Roman" w:cs="Times New Roman"/>
        </w:rPr>
      </w:pPr>
      <w:r>
        <w:rPr>
          <w:rFonts w:ascii="Times New Roman" w:hAnsi="Times New Roman" w:cs="Times New Roman"/>
          <w:bCs/>
        </w:rPr>
        <w:t>Wykonanie projektów technicznych nowych słupów, uzyskanie niezbędnych uzgodnień i zatwierdzeń oraz dokonanie zgłoszeń – jeśli wymagane.</w:t>
      </w:r>
    </w:p>
    <w:p w:rsidR="003613D9" w:rsidRDefault="000B092A">
      <w:pPr>
        <w:pStyle w:val="Normalny10"/>
        <w:spacing w:after="0" w:line="276" w:lineRule="auto"/>
        <w:ind w:left="708"/>
        <w:jc w:val="both"/>
        <w:rPr>
          <w:rFonts w:ascii="Times New Roman" w:hAnsi="Times New Roman" w:cs="Times New Roman"/>
        </w:rPr>
      </w:pPr>
      <w:r>
        <w:rPr>
          <w:rFonts w:ascii="Times New Roman" w:hAnsi="Times New Roman" w:cs="Times New Roman"/>
        </w:rPr>
        <w:t>Prowadzenie prac w pasie drogowym wymaga przygotowania przez Wykonawcę robót projektu organizacji ruchu oraz uzyskania jego zatwierdzenia (jeżeli będzie konieczne).</w:t>
      </w:r>
    </w:p>
    <w:p w:rsidR="003613D9" w:rsidRDefault="000B092A">
      <w:pPr>
        <w:pStyle w:val="Normalny10"/>
        <w:spacing w:after="0" w:line="276" w:lineRule="auto"/>
        <w:ind w:left="708"/>
        <w:jc w:val="both"/>
      </w:pPr>
      <w:r>
        <w:rPr>
          <w:rFonts w:ascii="Times New Roman" w:hAnsi="Times New Roman" w:cs="Times New Roman"/>
        </w:rPr>
        <w:lastRenderedPageBreak/>
        <w:t>Wykonawca złoży do Powiatowego Inspektora Nadzoru Budowlanego zawiadomienie o zakończeniu robót oraz wniosek o pozwolenie na użytkowanie (jeżeli będzie wymagane).</w:t>
      </w:r>
    </w:p>
    <w:p w:rsidR="003613D9" w:rsidRPr="0036143B" w:rsidRDefault="000B092A">
      <w:pPr>
        <w:pStyle w:val="Normalny10"/>
        <w:numPr>
          <w:ilvl w:val="0"/>
          <w:numId w:val="22"/>
        </w:numPr>
        <w:spacing w:after="0" w:line="276" w:lineRule="auto"/>
        <w:ind w:right="23"/>
        <w:jc w:val="both"/>
        <w:rPr>
          <w:color w:val="auto"/>
        </w:rPr>
      </w:pPr>
      <w:r w:rsidRPr="0036143B">
        <w:rPr>
          <w:rFonts w:ascii="Times New Roman" w:hAnsi="Times New Roman" w:cs="Times New Roman"/>
          <w:b/>
          <w:bCs/>
          <w:color w:val="auto"/>
          <w:lang w:eastAsia="pl-PL"/>
        </w:rPr>
        <w:t>montaż łącznie około 16</w:t>
      </w:r>
      <w:r w:rsidRPr="0036143B">
        <w:rPr>
          <w:rFonts w:ascii="Times New Roman" w:hAnsi="Times New Roman" w:cs="Times New Roman"/>
          <w:b/>
          <w:color w:val="auto"/>
          <w:lang w:eastAsia="pl-PL"/>
        </w:rPr>
        <w:t xml:space="preserve"> nowych szafek oświetleniowych SOU (ilość szacunkowa) w miejsce dotychczasowych szafek zabudowanych w stacjach transformatorowych (wymóg TAURON SA).</w:t>
      </w:r>
      <w:r w:rsidRPr="0036143B">
        <w:rPr>
          <w:rFonts w:ascii="Times New Roman" w:hAnsi="Times New Roman" w:cs="Times New Roman"/>
          <w:color w:val="auto"/>
          <w:lang w:eastAsia="pl-PL"/>
        </w:rPr>
        <w:t xml:space="preserve">  </w:t>
      </w:r>
    </w:p>
    <w:p w:rsidR="003613D9" w:rsidRPr="0036143B" w:rsidRDefault="000B092A">
      <w:pPr>
        <w:pStyle w:val="Normalny10"/>
        <w:spacing w:after="0" w:line="276" w:lineRule="auto"/>
        <w:ind w:left="708" w:right="23"/>
        <w:jc w:val="both"/>
        <w:rPr>
          <w:color w:val="auto"/>
        </w:rPr>
      </w:pPr>
      <w:r w:rsidRPr="0036143B">
        <w:rPr>
          <w:rFonts w:ascii="Times New Roman" w:hAnsi="Times New Roman" w:cs="Times New Roman"/>
          <w:color w:val="auto"/>
          <w:lang w:eastAsia="pl-PL"/>
        </w:rPr>
        <w:t>Wykonawca przed przystąpieniem do prac budowlanych jest zobowiązany</w:t>
      </w:r>
      <w:r w:rsidRPr="0036143B">
        <w:rPr>
          <w:rFonts w:ascii="Times New Roman" w:hAnsi="Times New Roman" w:cs="Times New Roman"/>
          <w:bCs/>
          <w:color w:val="auto"/>
          <w:lang w:eastAsia="pl-PL"/>
        </w:rPr>
        <w:t xml:space="preserve"> zaproponować zmniejszenie liczby istniejących szafek SOU poprzez połączenie niektórych obwodów zasilania i redukcję ilości liczników. Ostateczną propozycję wyniesienia szafek SOU oraz redukcji obwodów zasilania zatwierdzi Zamawiający. Po wykonaniu montażu Zamawiający oczekuje od Wykonawcy sporządzenia inwentaryzacji powykonawczej, określającej ilości szafek SOU oraz poziomy zainstalowanej mocy opraw na każdym indywidualnym obwodzie z szafką SOU. Wykonawca zobowiązany jest do wystąpienia do OSD </w:t>
      </w:r>
      <w:r w:rsidR="00A142B0" w:rsidRPr="0036143B">
        <w:rPr>
          <w:rFonts w:ascii="Times New Roman" w:hAnsi="Times New Roman" w:cs="Times New Roman"/>
          <w:bCs/>
          <w:color w:val="auto"/>
          <w:lang w:eastAsia="pl-PL"/>
        </w:rPr>
        <w:t xml:space="preserve">w imieniu Zamawiającego </w:t>
      </w:r>
      <w:r w:rsidRPr="0036143B">
        <w:rPr>
          <w:rFonts w:ascii="Times New Roman" w:hAnsi="Times New Roman" w:cs="Times New Roman"/>
          <w:bCs/>
          <w:color w:val="auto"/>
          <w:lang w:eastAsia="pl-PL"/>
        </w:rPr>
        <w:t xml:space="preserve">z wnioskiem o redukcję mocy zainstalowanej. </w:t>
      </w:r>
    </w:p>
    <w:p w:rsidR="003613D9" w:rsidRDefault="000B092A">
      <w:pPr>
        <w:pStyle w:val="Normalny10"/>
        <w:numPr>
          <w:ilvl w:val="0"/>
          <w:numId w:val="22"/>
        </w:numPr>
        <w:spacing w:after="0" w:line="276" w:lineRule="auto"/>
        <w:jc w:val="both"/>
      </w:pPr>
      <w:r w:rsidRPr="0036143B">
        <w:rPr>
          <w:rFonts w:ascii="Times New Roman" w:hAnsi="Times New Roman" w:cs="Times New Roman"/>
          <w:b/>
          <w:bCs/>
          <w:color w:val="auto"/>
          <w:lang w:eastAsia="pl-PL"/>
        </w:rPr>
        <w:t xml:space="preserve">Łącznie nie mniej niż 50 instalacji wyprowadzającej </w:t>
      </w:r>
      <w:r>
        <w:rPr>
          <w:rFonts w:ascii="Times New Roman" w:hAnsi="Times New Roman" w:cs="Times New Roman"/>
          <w:b/>
          <w:bCs/>
          <w:lang w:eastAsia="pl-PL"/>
        </w:rPr>
        <w:t>zasilanie do opraw ozdobnych we wskazanych przez Zamawiającego punktach (ilość szacunkowa)</w:t>
      </w:r>
      <w:r>
        <w:rPr>
          <w:rFonts w:ascii="Times New Roman" w:hAnsi="Times New Roman" w:cs="Times New Roman"/>
          <w:lang w:eastAsia="pl-PL"/>
        </w:rPr>
        <w:t>.</w:t>
      </w:r>
    </w:p>
    <w:p w:rsidR="003613D9" w:rsidRDefault="000B092A">
      <w:pPr>
        <w:pStyle w:val="Normalny10"/>
        <w:spacing w:after="0" w:line="276" w:lineRule="auto"/>
        <w:ind w:left="708"/>
        <w:jc w:val="both"/>
        <w:rPr>
          <w:rFonts w:ascii="Times New Roman" w:hAnsi="Times New Roman" w:cs="Times New Roman"/>
          <w:bCs/>
          <w:lang w:eastAsia="pl-PL"/>
        </w:rPr>
      </w:pPr>
      <w:r>
        <w:rPr>
          <w:rFonts w:ascii="Times New Roman" w:hAnsi="Times New Roman" w:cs="Times New Roman"/>
          <w:bCs/>
          <w:lang w:eastAsia="pl-PL"/>
        </w:rPr>
        <w:t>Wykonawca powinien umożliwić Zamawiającemu podpięcie ozdób świątecznych lub innych instalacji okazjonalnych pod zasilanie opraw na słupach poprzez wyciągnięcie linii zasilającej dwu- lub trzyżyłowej (w zależności od istniejącego stanu) ze złączki na słupie oraz zakończyć linię puszką hermetyczną umożliwiającą późniejsze podłączenie ozdób lub innych instalacji (zarobionymi przewodami, bez gniazdek). Wysokość mocowania puszek hermetycznych: około 4,5 m.</w:t>
      </w:r>
    </w:p>
    <w:p w:rsidR="003613D9" w:rsidRDefault="000B092A">
      <w:pPr>
        <w:pStyle w:val="Normalny10"/>
        <w:spacing w:after="0" w:line="276" w:lineRule="auto"/>
        <w:ind w:left="708"/>
        <w:jc w:val="both"/>
        <w:rPr>
          <w:rFonts w:ascii="Times New Roman" w:hAnsi="Times New Roman" w:cs="Times New Roman"/>
          <w:bCs/>
          <w:lang w:eastAsia="pl-PL"/>
        </w:rPr>
      </w:pPr>
      <w:r>
        <w:rPr>
          <w:rFonts w:ascii="Times New Roman" w:hAnsi="Times New Roman" w:cs="Times New Roman"/>
          <w:bCs/>
          <w:lang w:eastAsia="pl-PL"/>
        </w:rPr>
        <w:t xml:space="preserve">Prace należy wykonać razem z montażem/demontażem opraw i wymianą bezpieczników i złączek. </w:t>
      </w:r>
    </w:p>
    <w:p w:rsidR="003613D9" w:rsidRDefault="000B092A">
      <w:pPr>
        <w:pStyle w:val="Normalny10"/>
        <w:spacing w:after="0" w:line="276" w:lineRule="auto"/>
        <w:ind w:left="708"/>
        <w:jc w:val="both"/>
      </w:pPr>
      <w:r>
        <w:rPr>
          <w:rFonts w:ascii="Times New Roman" w:hAnsi="Times New Roman" w:cs="Times New Roman"/>
          <w:bCs/>
          <w:lang w:eastAsia="pl-PL"/>
        </w:rPr>
        <w:t>Zamawiający wskaże Wykonawcy punkty oświetleniowe, na których należy wykonać instalację zasilania opraw świątecznych lub innych okazjonalnych.</w:t>
      </w:r>
    </w:p>
    <w:p w:rsidR="003613D9" w:rsidRDefault="003613D9">
      <w:pPr>
        <w:pStyle w:val="Normalny10"/>
        <w:tabs>
          <w:tab w:val="left" w:pos="420"/>
        </w:tabs>
        <w:spacing w:after="0" w:line="276" w:lineRule="auto"/>
        <w:jc w:val="both"/>
        <w:rPr>
          <w:rFonts w:ascii="Times New Roman" w:hAnsi="Times New Roman" w:cs="Times New Roman"/>
          <w:b/>
          <w:bCs/>
        </w:rPr>
      </w:pPr>
    </w:p>
    <w:p w:rsidR="003613D9" w:rsidRDefault="000B092A">
      <w:pPr>
        <w:pStyle w:val="Normalny10"/>
        <w:numPr>
          <w:ilvl w:val="0"/>
          <w:numId w:val="7"/>
        </w:numPr>
        <w:spacing w:after="0" w:line="276" w:lineRule="auto"/>
        <w:jc w:val="both"/>
        <w:rPr>
          <w:rFonts w:ascii="Times New Roman" w:hAnsi="Times New Roman" w:cs="Times New Roman"/>
        </w:rPr>
      </w:pPr>
      <w:r>
        <w:rPr>
          <w:rFonts w:ascii="Times New Roman" w:hAnsi="Times New Roman" w:cs="Times New Roman"/>
          <w:b/>
          <w:bCs/>
        </w:rPr>
        <w:t>Ubezpieczenie</w:t>
      </w:r>
      <w:r>
        <w:rPr>
          <w:rFonts w:ascii="Times New Roman" w:hAnsi="Times New Roman" w:cs="Times New Roman"/>
        </w:rPr>
        <w:t xml:space="preserve"> – zgodnie  z zapisami umowy</w:t>
      </w:r>
    </w:p>
    <w:p w:rsidR="003613D9" w:rsidRDefault="003613D9">
      <w:pPr>
        <w:pStyle w:val="Normalny10"/>
        <w:spacing w:after="0" w:line="276" w:lineRule="auto"/>
        <w:ind w:left="1080"/>
        <w:jc w:val="both"/>
        <w:rPr>
          <w:rFonts w:ascii="Times New Roman" w:hAnsi="Times New Roman" w:cs="Times New Roman"/>
        </w:rPr>
      </w:pPr>
    </w:p>
    <w:p w:rsidR="003613D9" w:rsidRDefault="000B092A">
      <w:pPr>
        <w:pStyle w:val="Normalny10"/>
        <w:numPr>
          <w:ilvl w:val="0"/>
          <w:numId w:val="7"/>
        </w:numPr>
        <w:spacing w:after="0" w:line="276" w:lineRule="auto"/>
        <w:jc w:val="both"/>
        <w:rPr>
          <w:rFonts w:ascii="Times New Roman" w:hAnsi="Times New Roman" w:cs="Times New Roman"/>
          <w:b/>
          <w:bCs/>
        </w:rPr>
      </w:pPr>
      <w:r>
        <w:rPr>
          <w:rFonts w:ascii="Times New Roman" w:hAnsi="Times New Roman" w:cs="Times New Roman"/>
          <w:b/>
          <w:bCs/>
        </w:rPr>
        <w:t>Oznakowanie</w:t>
      </w:r>
    </w:p>
    <w:p w:rsidR="003613D9" w:rsidRDefault="0036143B">
      <w:pPr>
        <w:pStyle w:val="Normalny10"/>
        <w:spacing w:after="0" w:line="276" w:lineRule="auto"/>
        <w:jc w:val="both"/>
      </w:pPr>
      <w:r>
        <w:rPr>
          <w:rFonts w:ascii="Times New Roman" w:hAnsi="Times New Roman" w:cs="Times New Roman"/>
        </w:rPr>
        <w:t>1.</w:t>
      </w:r>
      <w:r>
        <w:rPr>
          <w:rFonts w:ascii="Times New Roman" w:hAnsi="Times New Roman" w:cs="Times New Roman"/>
        </w:rPr>
        <w:tab/>
        <w:t>Szafki SOU – szafkom</w:t>
      </w:r>
      <w:r w:rsidR="000B092A">
        <w:rPr>
          <w:rFonts w:ascii="Times New Roman" w:hAnsi="Times New Roman" w:cs="Times New Roman"/>
        </w:rPr>
        <w:t xml:space="preserve"> SOU</w:t>
      </w:r>
      <w:r>
        <w:rPr>
          <w:rFonts w:ascii="Times New Roman" w:hAnsi="Times New Roman" w:cs="Times New Roman"/>
        </w:rPr>
        <w:t xml:space="preserve"> zostanie </w:t>
      </w:r>
      <w:r w:rsidR="000B092A">
        <w:rPr>
          <w:rFonts w:ascii="Times New Roman" w:hAnsi="Times New Roman" w:cs="Times New Roman"/>
        </w:rPr>
        <w:t>nadan</w:t>
      </w:r>
      <w:r>
        <w:rPr>
          <w:rFonts w:ascii="Times New Roman" w:hAnsi="Times New Roman" w:cs="Times New Roman"/>
        </w:rPr>
        <w:t>a</w:t>
      </w:r>
      <w:r w:rsidR="000B092A">
        <w:rPr>
          <w:rFonts w:ascii="Times New Roman" w:hAnsi="Times New Roman" w:cs="Times New Roman"/>
        </w:rPr>
        <w:t xml:space="preserve"> now</w:t>
      </w:r>
      <w:r>
        <w:rPr>
          <w:rFonts w:ascii="Times New Roman" w:hAnsi="Times New Roman" w:cs="Times New Roman"/>
        </w:rPr>
        <w:t>a</w:t>
      </w:r>
      <w:r w:rsidR="000B092A">
        <w:rPr>
          <w:rFonts w:ascii="Times New Roman" w:hAnsi="Times New Roman" w:cs="Times New Roman"/>
        </w:rPr>
        <w:t xml:space="preserve"> numeracj</w:t>
      </w:r>
      <w:r>
        <w:rPr>
          <w:rFonts w:ascii="Times New Roman" w:hAnsi="Times New Roman" w:cs="Times New Roman"/>
        </w:rPr>
        <w:t>a</w:t>
      </w:r>
      <w:r w:rsidR="000B092A">
        <w:rPr>
          <w:rFonts w:ascii="Times New Roman" w:hAnsi="Times New Roman" w:cs="Times New Roman"/>
        </w:rPr>
        <w:t xml:space="preserve"> według miejscowości w postaci tabliczek.</w:t>
      </w:r>
    </w:p>
    <w:p w:rsidR="003613D9" w:rsidRDefault="000B092A">
      <w:pPr>
        <w:pStyle w:val="Normalny10"/>
        <w:spacing w:after="0" w:line="276" w:lineRule="auto"/>
        <w:jc w:val="both"/>
      </w:pPr>
      <w:r>
        <w:rPr>
          <w:rFonts w:ascii="Times New Roman" w:hAnsi="Times New Roman" w:cs="Times New Roman"/>
        </w:rPr>
        <w:t>a)</w:t>
      </w:r>
      <w:r>
        <w:rPr>
          <w:rFonts w:ascii="Times New Roman" w:hAnsi="Times New Roman" w:cs="Times New Roman"/>
        </w:rPr>
        <w:tab/>
        <w:t xml:space="preserve">Np. SOU1, Nazwa Gminy, Numer telefonu - do uzgodnienia z Zamawiającym </w:t>
      </w: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Tabliczki powinny być nowe, wykonane z blachy aluminiowej gatunku 10525 lub wykonane z blachy aluminiowej powlekanej hutniczo, grubość blachy minimum 0,8 mm, powinny być zabezpieczone przed wpływem czynników środowiskowych poprzez zastosowanie podkładu w postaci powłoki powlekanej hutniczo (z wykluczeniem malowania proszkowego), powinny być przystosowane do mocowania poprzez odpowiednie otwory do nitowania lub mocowania taśmą stalową. Napisy i obramowania na tabliczce powinny być wytłaczane. Wytłoczone miejsca powinny być pokryte farbą polietylenową. Dopuszcza się stosowanie innych materiałów zapewniających trwałość tabliczek nie mniejszą niż tabliczek wykonanych wg powyższych wymagań.</w:t>
      </w: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Dodatkowa tabliczka ostrzegawcza – nie dotykać urządzenie elektryczne – wymagania jw.</w:t>
      </w:r>
    </w:p>
    <w:p w:rsidR="003613D9" w:rsidRDefault="000B092A">
      <w:pPr>
        <w:pStyle w:val="Normalny10"/>
        <w:spacing w:after="0" w:line="276" w:lineRule="auto"/>
        <w:jc w:val="both"/>
      </w:pPr>
      <w:r>
        <w:rPr>
          <w:rFonts w:ascii="Times New Roman" w:hAnsi="Times New Roman" w:cs="Times New Roman"/>
        </w:rPr>
        <w:t>2.</w:t>
      </w:r>
      <w:r>
        <w:rPr>
          <w:rFonts w:ascii="Times New Roman" w:hAnsi="Times New Roman" w:cs="Times New Roman"/>
        </w:rPr>
        <w:tab/>
        <w:t xml:space="preserve">Słupy oświetleniowe powinny być oznakowane w sposób trwały. Dopuszcza się zarówno tabliczki opisane w punkcie dotyczącym szafek lub malowane bezpośrednio na słupach.  Wykonawca jest zobowiązany do nadania nowych numerów wszystkich istniejących i nowobudowanych słupów. Numerację słupów należy wykonać poprzez wskazanie pierwszej litery miejscowości (lub liter), </w:t>
      </w:r>
      <w:r>
        <w:rPr>
          <w:rFonts w:ascii="Times New Roman" w:hAnsi="Times New Roman" w:cs="Times New Roman"/>
        </w:rPr>
        <w:lastRenderedPageBreak/>
        <w:t>numeru szafki SOU, numeru obwodu, nadawanie kolejnych numerów stanowiskom w obwodzie poczynając od SOU uwzględniając obwó</w:t>
      </w:r>
      <w:r w:rsidRPr="00BC73E2">
        <w:rPr>
          <w:rFonts w:ascii="Times New Roman" w:hAnsi="Times New Roman" w:cs="Times New Roman"/>
          <w:color w:val="auto"/>
        </w:rPr>
        <w:t>d, wskazanie słupa istniejącego bądź nowo</w:t>
      </w:r>
      <w:r w:rsidR="00A142B0" w:rsidRPr="00BC73E2">
        <w:rPr>
          <w:rFonts w:ascii="Times New Roman" w:hAnsi="Times New Roman" w:cs="Times New Roman"/>
          <w:color w:val="auto"/>
        </w:rPr>
        <w:t xml:space="preserve"> </w:t>
      </w:r>
      <w:r w:rsidRPr="00BC73E2">
        <w:rPr>
          <w:rFonts w:ascii="Times New Roman" w:hAnsi="Times New Roman" w:cs="Times New Roman"/>
          <w:color w:val="auto"/>
        </w:rPr>
        <w:t>wybudowanego. Np. BRU/1/L1/2/I  (Brunów, SOU nr 1, obwód pierwszy, druga lampa, istniejący słup) bądź Np. BRU/1/L1/2/N (Brunów, SOU nr 1, obwód pierwszy, druga lampa, nowo</w:t>
      </w:r>
      <w:r w:rsidR="00A142B0" w:rsidRPr="00BC73E2">
        <w:rPr>
          <w:rFonts w:ascii="Times New Roman" w:hAnsi="Times New Roman" w:cs="Times New Roman"/>
          <w:color w:val="auto"/>
        </w:rPr>
        <w:t xml:space="preserve"> </w:t>
      </w:r>
      <w:r w:rsidRPr="00BC73E2">
        <w:rPr>
          <w:rFonts w:ascii="Times New Roman" w:hAnsi="Times New Roman" w:cs="Times New Roman"/>
          <w:color w:val="auto"/>
        </w:rPr>
        <w:t>wybudowany).</w:t>
      </w:r>
    </w:p>
    <w:p w:rsidR="003613D9" w:rsidRDefault="003613D9">
      <w:pPr>
        <w:pStyle w:val="Normalny10"/>
        <w:spacing w:after="0" w:line="276" w:lineRule="auto"/>
        <w:jc w:val="both"/>
        <w:rPr>
          <w:rFonts w:ascii="Times New Roman" w:hAnsi="Times New Roman" w:cs="Times New Roman"/>
          <w:color w:val="3333FF"/>
        </w:rPr>
      </w:pPr>
    </w:p>
    <w:p w:rsidR="003613D9" w:rsidRDefault="000B092A">
      <w:pPr>
        <w:pStyle w:val="Normalny10"/>
        <w:spacing w:after="0" w:line="276" w:lineRule="auto"/>
        <w:jc w:val="both"/>
        <w:rPr>
          <w:rFonts w:ascii="Times New Roman" w:hAnsi="Times New Roman" w:cs="Times New Roman"/>
        </w:rPr>
      </w:pPr>
      <w:r>
        <w:rPr>
          <w:rFonts w:ascii="Times New Roman" w:hAnsi="Times New Roman" w:cs="Times New Roman"/>
          <w:b/>
          <w:bCs/>
        </w:rPr>
        <w:t xml:space="preserve">VI. Dokumentacja powykonawcza </w:t>
      </w:r>
      <w:r>
        <w:rPr>
          <w:rFonts w:ascii="Times New Roman" w:hAnsi="Times New Roman" w:cs="Times New Roman"/>
        </w:rPr>
        <w:t xml:space="preserve">zawierającą szczegółową inwentaryzację nowobudowanego i istniejącego oświetlania, stacji zasilających oraz linii drogowego oświetlenia. </w:t>
      </w:r>
    </w:p>
    <w:p w:rsidR="003613D9" w:rsidRDefault="003613D9">
      <w:pPr>
        <w:pStyle w:val="Normalny10"/>
        <w:spacing w:after="0" w:line="276" w:lineRule="auto"/>
        <w:jc w:val="both"/>
        <w:rPr>
          <w:rFonts w:ascii="Times New Roman" w:hAnsi="Times New Roman" w:cs="Times New Roman"/>
        </w:rPr>
      </w:pPr>
    </w:p>
    <w:p w:rsidR="003613D9" w:rsidRDefault="000B092A">
      <w:pPr>
        <w:pStyle w:val="Normalny10"/>
        <w:spacing w:after="0" w:line="276" w:lineRule="auto"/>
        <w:jc w:val="both"/>
        <w:rPr>
          <w:rFonts w:ascii="Times New Roman" w:hAnsi="Times New Roman" w:cs="Times New Roman"/>
          <w:b/>
          <w:bCs/>
        </w:rPr>
      </w:pPr>
      <w:r>
        <w:rPr>
          <w:rFonts w:ascii="Times New Roman" w:hAnsi="Times New Roman" w:cs="Times New Roman"/>
          <w:b/>
          <w:bCs/>
        </w:rPr>
        <w:t>1.3 Wymagania odnośnie sprzętu, materiałów, urządzeń</w:t>
      </w:r>
    </w:p>
    <w:p w:rsidR="003613D9" w:rsidRDefault="003613D9">
      <w:pPr>
        <w:pStyle w:val="Normalny10"/>
        <w:spacing w:after="0" w:line="276" w:lineRule="auto"/>
        <w:ind w:left="390" w:hanging="360"/>
        <w:jc w:val="both"/>
        <w:rPr>
          <w:rFonts w:ascii="Times New Roman" w:hAnsi="Times New Roman" w:cs="Times New Roman"/>
          <w:b/>
          <w:bCs/>
        </w:rPr>
      </w:pPr>
    </w:p>
    <w:p w:rsidR="003613D9" w:rsidRDefault="000B092A">
      <w:pPr>
        <w:pStyle w:val="Normalny10"/>
        <w:spacing w:after="0" w:line="276" w:lineRule="auto"/>
        <w:ind w:left="390" w:hanging="360"/>
        <w:jc w:val="both"/>
        <w:rPr>
          <w:rFonts w:ascii="Times New Roman" w:hAnsi="Times New Roman" w:cs="Times New Roman"/>
          <w:b/>
          <w:bCs/>
        </w:rPr>
      </w:pPr>
      <w:r>
        <w:rPr>
          <w:rFonts w:ascii="Times New Roman" w:hAnsi="Times New Roman" w:cs="Times New Roman"/>
          <w:b/>
          <w:bCs/>
        </w:rPr>
        <w:t>1.3.1 Słupy, Fundamenty i Wysięgniki</w:t>
      </w:r>
    </w:p>
    <w:p w:rsidR="003613D9" w:rsidRDefault="003613D9">
      <w:pPr>
        <w:pStyle w:val="Default"/>
        <w:spacing w:line="276" w:lineRule="auto"/>
        <w:jc w:val="both"/>
        <w:rPr>
          <w:rFonts w:ascii="Times New Roman" w:hAnsi="Times New Roman" w:cs="Times New Roman"/>
          <w:sz w:val="22"/>
          <w:szCs w:val="22"/>
        </w:rPr>
      </w:pPr>
    </w:p>
    <w:p w:rsidR="003613D9" w:rsidRDefault="000B092A">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Projektowane nowe słupy i wysięgniki</w:t>
      </w:r>
      <w:r>
        <w:rPr>
          <w:rFonts w:ascii="Times New Roman" w:hAnsi="Times New Roman" w:cs="Times New Roman"/>
          <w:color w:val="7030A0"/>
          <w:sz w:val="22"/>
          <w:szCs w:val="22"/>
        </w:rPr>
        <w:t xml:space="preserve"> </w:t>
      </w:r>
      <w:r>
        <w:rPr>
          <w:rFonts w:ascii="Times New Roman" w:hAnsi="Times New Roman" w:cs="Times New Roman"/>
          <w:sz w:val="22"/>
          <w:szCs w:val="22"/>
        </w:rPr>
        <w:t xml:space="preserve">powinny być wykonane ze stali ocynkowanej bez konieczności stosowania w okresie gwarancji zabiegów konserwacyjnych w postaci malowania. Słupy powinny być osadzone na fundamencie. </w:t>
      </w:r>
    </w:p>
    <w:p w:rsidR="003613D9" w:rsidRDefault="003613D9">
      <w:pPr>
        <w:pStyle w:val="Default"/>
        <w:spacing w:line="276" w:lineRule="auto"/>
        <w:jc w:val="both"/>
        <w:rPr>
          <w:rFonts w:ascii="Times New Roman" w:hAnsi="Times New Roman" w:cs="Times New Roman"/>
          <w:sz w:val="22"/>
          <w:szCs w:val="22"/>
        </w:rPr>
      </w:pPr>
    </w:p>
    <w:p w:rsidR="003613D9" w:rsidRDefault="000B092A">
      <w:pPr>
        <w:pStyle w:val="Default"/>
        <w:spacing w:line="276" w:lineRule="auto"/>
        <w:jc w:val="both"/>
        <w:rPr>
          <w:rFonts w:ascii="Times New Roman" w:eastAsia="Calibri, Calibri" w:hAnsi="Times New Roman" w:cs="Times New Roman"/>
          <w:sz w:val="22"/>
          <w:szCs w:val="22"/>
        </w:rPr>
      </w:pPr>
      <w:r>
        <w:rPr>
          <w:rFonts w:ascii="Times New Roman" w:eastAsia="Calibri, Calibri" w:hAnsi="Times New Roman" w:cs="Times New Roman"/>
          <w:sz w:val="22"/>
          <w:szCs w:val="22"/>
        </w:rPr>
        <w:t>Wymagania techniczne dla słupów:</w:t>
      </w:r>
    </w:p>
    <w:p w:rsidR="003613D9" w:rsidRDefault="000B092A">
      <w:pPr>
        <w:pStyle w:val="Akapitzlist"/>
        <w:numPr>
          <w:ilvl w:val="0"/>
          <w:numId w:val="3"/>
        </w:numPr>
        <w:spacing w:after="0"/>
        <w:jc w:val="both"/>
      </w:pPr>
      <w:r>
        <w:rPr>
          <w:rFonts w:ascii="Times New Roman" w:hAnsi="Times New Roman" w:cs="Times New Roman"/>
          <w:color w:val="000000"/>
        </w:rPr>
        <w:t>słup stalowy ocynkowany wg. normy EN ISO 1461  z wysi</w:t>
      </w:r>
      <w:r>
        <w:rPr>
          <w:rFonts w:ascii="Times New Roman" w:eastAsia="TimesNewRoman" w:hAnsi="Times New Roman" w:cs="Times New Roman"/>
          <w:color w:val="000000"/>
        </w:rPr>
        <w:t>ę</w:t>
      </w:r>
      <w:r>
        <w:rPr>
          <w:rFonts w:ascii="Times New Roman" w:hAnsi="Times New Roman" w:cs="Times New Roman"/>
          <w:color w:val="000000"/>
        </w:rPr>
        <w:t>gnikiem o wysokości całkowitej 8 metrów,</w:t>
      </w:r>
    </w:p>
    <w:p w:rsidR="003613D9" w:rsidRDefault="000B092A">
      <w:pPr>
        <w:pStyle w:val="Akapitzlist"/>
        <w:numPr>
          <w:ilvl w:val="0"/>
          <w:numId w:val="3"/>
        </w:numPr>
        <w:spacing w:after="0"/>
        <w:jc w:val="both"/>
      </w:pPr>
      <w:r>
        <w:rPr>
          <w:rFonts w:ascii="Times New Roman" w:eastAsia="Times New Roman" w:hAnsi="Times New Roman" w:cs="Times New Roman"/>
          <w:lang w:eastAsia="pl-PL"/>
        </w:rPr>
        <w:t>słupy stalowe wykonane ze stali o minimalnej grubości 3mm o wysokości całkowitej 8-9 m, o przekroju okrągłym i stałej zbieżności, ocynkowane, spawane jednym spawem wzdłużnym który charakteryzuje się brakiem lica spoiny,</w:t>
      </w:r>
    </w:p>
    <w:p w:rsidR="003613D9" w:rsidRDefault="000B092A">
      <w:pPr>
        <w:pStyle w:val="Akapitzlist"/>
        <w:numPr>
          <w:ilvl w:val="0"/>
          <w:numId w:val="3"/>
        </w:numPr>
        <w:spacing w:after="0"/>
        <w:jc w:val="both"/>
      </w:pPr>
      <w:r>
        <w:rPr>
          <w:rFonts w:ascii="Times New Roman" w:eastAsia="Times New Roman" w:hAnsi="Times New Roman" w:cs="Times New Roman"/>
          <w:lang w:eastAsia="pl-PL"/>
        </w:rPr>
        <w:t>słupy powinny przenosić siły wynikające z obciążeń urządzeniami oświetleniowymi oraz od obciążeń uwzględniających lokalizację w strefach wiatrowych Polski zgodnie z PN-EN 1991-1-4, PN-77/B-02011,</w:t>
      </w:r>
    </w:p>
    <w:p w:rsidR="003613D9" w:rsidRDefault="000B092A">
      <w:pPr>
        <w:pStyle w:val="Akapitzlist"/>
        <w:numPr>
          <w:ilvl w:val="0"/>
          <w:numId w:val="4"/>
        </w:numPr>
        <w:spacing w:after="0"/>
        <w:jc w:val="both"/>
      </w:pPr>
      <w:r>
        <w:rPr>
          <w:rFonts w:ascii="Times New Roman" w:eastAsia="Times New Roman" w:hAnsi="Times New Roman" w:cs="Times New Roman"/>
          <w:color w:val="000000"/>
          <w:lang w:eastAsia="pl-PL"/>
        </w:rPr>
        <w:t>stopa słupa (element połączenia z fundamentem) wykonana z przetłoczonej blachy, zapewniającą wysoką sztywność połączenia z  fundamentem,</w:t>
      </w:r>
    </w:p>
    <w:p w:rsidR="003613D9" w:rsidRDefault="000B092A">
      <w:pPr>
        <w:pStyle w:val="Akapitzlist"/>
        <w:numPr>
          <w:ilvl w:val="0"/>
          <w:numId w:val="4"/>
        </w:numPr>
        <w:spacing w:after="0"/>
        <w:jc w:val="both"/>
      </w:pPr>
      <w:r>
        <w:rPr>
          <w:rFonts w:ascii="Times New Roman" w:eastAsia="Times New Roman" w:hAnsi="Times New Roman" w:cs="Times New Roman"/>
          <w:color w:val="000000"/>
          <w:lang w:eastAsia="pl-PL"/>
        </w:rPr>
        <w:t>słupy powinny zostać zaprojektowane zgodnie z normami zharmonizowanymi PN EN-40 oraz posiadać certyfikaty oraz deklaracje niezbędne do wprowadzenia i zastosow</w:t>
      </w:r>
      <w:r w:rsidR="00BC73E2">
        <w:rPr>
          <w:rFonts w:ascii="Times New Roman" w:eastAsia="Times New Roman" w:hAnsi="Times New Roman" w:cs="Times New Roman"/>
          <w:color w:val="000000"/>
          <w:lang w:eastAsia="pl-PL"/>
        </w:rPr>
        <w:t>ania  wyrobów na rynku krajowym</w:t>
      </w:r>
      <w:r>
        <w:rPr>
          <w:rFonts w:ascii="Times New Roman" w:eastAsia="Times New Roman" w:hAnsi="Times New Roman" w:cs="Times New Roman"/>
          <w:color w:val="000000"/>
          <w:lang w:eastAsia="pl-PL"/>
        </w:rPr>
        <w:t>,</w:t>
      </w:r>
    </w:p>
    <w:p w:rsidR="003613D9" w:rsidRDefault="000B092A">
      <w:pPr>
        <w:pStyle w:val="Akapitzlist"/>
        <w:numPr>
          <w:ilvl w:val="0"/>
          <w:numId w:val="4"/>
        </w:numPr>
        <w:spacing w:after="0"/>
        <w:jc w:val="both"/>
        <w:rPr>
          <w:rFonts w:ascii="Times New Roman" w:hAnsi="Times New Roman" w:cs="Times New Roman"/>
          <w:color w:val="000000"/>
        </w:rPr>
      </w:pPr>
      <w:r>
        <w:rPr>
          <w:rFonts w:ascii="Times New Roman" w:hAnsi="Times New Roman" w:cs="Times New Roman"/>
          <w:color w:val="000000"/>
        </w:rPr>
        <w:t>zasilanie opraw przewodem co najmniej YDY 3x1,5 mm2,</w:t>
      </w:r>
    </w:p>
    <w:p w:rsidR="003613D9" w:rsidRDefault="000B092A">
      <w:pPr>
        <w:pStyle w:val="Akapitzlist"/>
        <w:numPr>
          <w:ilvl w:val="0"/>
          <w:numId w:val="4"/>
        </w:numPr>
        <w:spacing w:after="0"/>
        <w:jc w:val="both"/>
      </w:pPr>
      <w:r>
        <w:rPr>
          <w:rFonts w:ascii="Times New Roman" w:hAnsi="Times New Roman" w:cs="Times New Roman"/>
          <w:color w:val="000000"/>
        </w:rPr>
        <w:t>zabezpieczenia we wn</w:t>
      </w:r>
      <w:r>
        <w:rPr>
          <w:rFonts w:ascii="Times New Roman" w:eastAsia="TimesNewRoman" w:hAnsi="Times New Roman" w:cs="Times New Roman"/>
          <w:color w:val="000000"/>
        </w:rPr>
        <w:t>ę</w:t>
      </w:r>
      <w:r>
        <w:rPr>
          <w:rFonts w:ascii="Times New Roman" w:hAnsi="Times New Roman" w:cs="Times New Roman"/>
          <w:color w:val="000000"/>
        </w:rPr>
        <w:t>ce słupa bezpiecznikami topikowymi normalno-gabarytowymi o charakterystyce zwłocznej, zł</w:t>
      </w:r>
      <w:r>
        <w:rPr>
          <w:rFonts w:ascii="Times New Roman" w:eastAsia="TimesNewRoman" w:hAnsi="Times New Roman" w:cs="Times New Roman"/>
          <w:color w:val="000000"/>
        </w:rPr>
        <w:t>ą</w:t>
      </w:r>
      <w:r>
        <w:rPr>
          <w:rFonts w:ascii="Times New Roman" w:hAnsi="Times New Roman" w:cs="Times New Roman"/>
          <w:color w:val="000000"/>
        </w:rPr>
        <w:t>cza słupowe typu IZK-2 lub tabliczka bezpiecznikowa z listwami zaciskowymi LZ 95mm2,</w:t>
      </w:r>
    </w:p>
    <w:p w:rsidR="003613D9" w:rsidRDefault="000B092A">
      <w:pPr>
        <w:pStyle w:val="Akapitzlist"/>
        <w:numPr>
          <w:ilvl w:val="0"/>
          <w:numId w:val="4"/>
        </w:numPr>
        <w:suppressAutoHyphens w:val="0"/>
        <w:spacing w:after="0"/>
        <w:jc w:val="both"/>
        <w:textAlignment w:val="auto"/>
      </w:pPr>
      <w:r>
        <w:rPr>
          <w:rFonts w:ascii="Times New Roman" w:eastAsia="Times New Roman" w:hAnsi="Times New Roman" w:cs="Times New Roman"/>
          <w:lang w:eastAsia="pl-PL"/>
        </w:rPr>
        <w:t>słupy należy posadowić na betonowych fundamentach prefabrykowanych dobranych do  rodzaju słupa, zgodnie z zaleceniami Producenta</w:t>
      </w:r>
    </w:p>
    <w:p w:rsidR="003613D9" w:rsidRDefault="000B092A">
      <w:pPr>
        <w:pStyle w:val="Akapitzlist"/>
        <w:numPr>
          <w:ilvl w:val="0"/>
          <w:numId w:val="4"/>
        </w:numPr>
        <w:suppressAutoHyphens w:val="0"/>
        <w:spacing w:after="0"/>
        <w:jc w:val="both"/>
        <w:textAlignment w:val="auto"/>
      </w:pPr>
      <w:r>
        <w:rPr>
          <w:rFonts w:ascii="Times New Roman" w:eastAsia="Times New Roman" w:hAnsi="Times New Roman" w:cs="Times New Roman"/>
          <w:lang w:eastAsia="pl-PL"/>
        </w:rPr>
        <w:t>wysięgniki słupów powinny posiadać możliwość regulacji kąta obrotu wokół osi słupa w celu dodatkowej regulacji położenia oprawy,</w:t>
      </w:r>
    </w:p>
    <w:p w:rsidR="003613D9" w:rsidRDefault="000B092A">
      <w:pPr>
        <w:pStyle w:val="Akapitzlist"/>
        <w:numPr>
          <w:ilvl w:val="0"/>
          <w:numId w:val="4"/>
        </w:numPr>
        <w:suppressAutoHyphens w:val="0"/>
        <w:spacing w:after="0"/>
        <w:jc w:val="both"/>
        <w:textAlignment w:val="auto"/>
      </w:pPr>
      <w:r>
        <w:rPr>
          <w:rFonts w:ascii="Times New Roman" w:eastAsia="Times New Roman" w:hAnsi="Times New Roman" w:cs="Times New Roman"/>
          <w:lang w:eastAsia="pl-PL"/>
        </w:rPr>
        <w:t>słupy i wysięgniki należy cynkować zgodnie z normą PN-EN ISO 1461,</w:t>
      </w:r>
    </w:p>
    <w:p w:rsidR="003613D9" w:rsidRDefault="000B092A">
      <w:pPr>
        <w:pStyle w:val="Akapitzlist"/>
        <w:numPr>
          <w:ilvl w:val="0"/>
          <w:numId w:val="4"/>
        </w:numPr>
        <w:suppressAutoHyphens w:val="0"/>
        <w:spacing w:after="0"/>
        <w:jc w:val="both"/>
        <w:textAlignment w:val="auto"/>
      </w:pPr>
      <w:r>
        <w:rPr>
          <w:rFonts w:ascii="Times New Roman" w:eastAsia="Times New Roman" w:hAnsi="Times New Roman" w:cs="Times New Roman"/>
          <w:lang w:eastAsia="pl-PL"/>
        </w:rPr>
        <w:t>wysięgniki powinny być  zabezpieczone antykorozyjnie powłokami cynkowymi i być dostosowane do opraw i słupów oświetleniowych używanych do oświetlenia dróg,</w:t>
      </w:r>
    </w:p>
    <w:p w:rsidR="003613D9" w:rsidRDefault="000B092A">
      <w:pPr>
        <w:pStyle w:val="Akapitzlist"/>
        <w:numPr>
          <w:ilvl w:val="0"/>
          <w:numId w:val="4"/>
        </w:numPr>
        <w:spacing w:after="0"/>
        <w:jc w:val="both"/>
      </w:pPr>
      <w:r>
        <w:rPr>
          <w:rFonts w:ascii="Times New Roman" w:hAnsi="Times New Roman" w:cs="Times New Roman"/>
          <w:color w:val="000000"/>
        </w:rPr>
        <w:t xml:space="preserve"> gwarancja producenta co najmniej 10 lat,</w:t>
      </w:r>
    </w:p>
    <w:p w:rsidR="003613D9" w:rsidRDefault="000B092A">
      <w:pPr>
        <w:pStyle w:val="Akapitzlist"/>
        <w:numPr>
          <w:ilvl w:val="0"/>
          <w:numId w:val="4"/>
        </w:numPr>
        <w:jc w:val="both"/>
      </w:pPr>
      <w:r>
        <w:rPr>
          <w:rFonts w:ascii="Times New Roman" w:hAnsi="Times New Roman" w:cs="Times New Roman"/>
          <w:color w:val="000000"/>
        </w:rPr>
        <w:t xml:space="preserve"> wszystkie u</w:t>
      </w:r>
      <w:r>
        <w:rPr>
          <w:rFonts w:ascii="Times New Roman" w:eastAsia="TimesNewRoman" w:hAnsi="Times New Roman" w:cs="Times New Roman"/>
          <w:color w:val="000000"/>
        </w:rPr>
        <w:t>ż</w:t>
      </w:r>
      <w:r>
        <w:rPr>
          <w:rFonts w:ascii="Times New Roman" w:hAnsi="Times New Roman" w:cs="Times New Roman"/>
          <w:color w:val="000000"/>
        </w:rPr>
        <w:t>yte materiały musz</w:t>
      </w:r>
      <w:r>
        <w:rPr>
          <w:rFonts w:ascii="Times New Roman" w:eastAsia="TimesNewRoman" w:hAnsi="Times New Roman" w:cs="Times New Roman"/>
          <w:color w:val="000000"/>
        </w:rPr>
        <w:t xml:space="preserve">ą </w:t>
      </w:r>
      <w:r>
        <w:rPr>
          <w:rFonts w:ascii="Times New Roman" w:hAnsi="Times New Roman" w:cs="Times New Roman"/>
          <w:color w:val="000000"/>
        </w:rPr>
        <w:t>posiada</w:t>
      </w:r>
      <w:r>
        <w:rPr>
          <w:rFonts w:ascii="Times New Roman" w:eastAsia="TimesNewRoman" w:hAnsi="Times New Roman" w:cs="Times New Roman"/>
          <w:color w:val="000000"/>
        </w:rPr>
        <w:t xml:space="preserve">ć </w:t>
      </w:r>
      <w:r>
        <w:rPr>
          <w:rFonts w:ascii="Times New Roman" w:hAnsi="Times New Roman" w:cs="Times New Roman"/>
          <w:color w:val="000000"/>
        </w:rPr>
        <w:t>certyfikat CE.</w:t>
      </w:r>
    </w:p>
    <w:p w:rsidR="003613D9" w:rsidRDefault="000B092A">
      <w:pPr>
        <w:pStyle w:val="Default"/>
        <w:spacing w:line="276" w:lineRule="auto"/>
        <w:jc w:val="both"/>
        <w:rPr>
          <w:rFonts w:ascii="Times New Roman" w:eastAsia="Calibri, Calibri" w:hAnsi="Times New Roman" w:cs="Times New Roman"/>
          <w:sz w:val="22"/>
          <w:szCs w:val="22"/>
        </w:rPr>
      </w:pPr>
      <w:r>
        <w:rPr>
          <w:rFonts w:ascii="Times New Roman" w:eastAsia="Calibri, Calibri" w:hAnsi="Times New Roman" w:cs="Times New Roman"/>
          <w:sz w:val="22"/>
          <w:szCs w:val="22"/>
        </w:rPr>
        <w:lastRenderedPageBreak/>
        <w:t>Słupy oświetleniowe powinny być oznakowane trwałymi tabliczkami znamionowymi z nazwą producenta, datą realizacji inwestycji oraz kolejnym numerem począwszy od rozdzielnicy oświetleniowej.</w:t>
      </w:r>
    </w:p>
    <w:p w:rsidR="003613D9" w:rsidRDefault="000B092A">
      <w:pPr>
        <w:pStyle w:val="Default"/>
        <w:spacing w:line="276" w:lineRule="auto"/>
        <w:jc w:val="both"/>
        <w:rPr>
          <w:rFonts w:ascii="Times New Roman" w:eastAsia="Calibri, Calibri" w:hAnsi="Times New Roman" w:cs="Times New Roman"/>
          <w:sz w:val="22"/>
          <w:szCs w:val="22"/>
        </w:rPr>
      </w:pPr>
      <w:r>
        <w:rPr>
          <w:rFonts w:ascii="Times New Roman" w:eastAsia="Calibri, Calibri" w:hAnsi="Times New Roman" w:cs="Times New Roman"/>
          <w:sz w:val="22"/>
          <w:szCs w:val="22"/>
        </w:rPr>
        <w:t>Należy przewidzieć szafy oświetleniowe, jeżeli będą wymagalne.</w:t>
      </w:r>
    </w:p>
    <w:p w:rsidR="003613D9" w:rsidRDefault="003613D9">
      <w:pPr>
        <w:pStyle w:val="Normalny10"/>
        <w:spacing w:after="0" w:line="276" w:lineRule="auto"/>
        <w:jc w:val="both"/>
      </w:pPr>
    </w:p>
    <w:p w:rsidR="003613D9" w:rsidRDefault="000B092A">
      <w:pPr>
        <w:pStyle w:val="Normalny10"/>
        <w:spacing w:line="276" w:lineRule="auto"/>
        <w:jc w:val="both"/>
        <w:rPr>
          <w:rFonts w:ascii="Times New Roman" w:hAnsi="Times New Roman" w:cs="Times New Roman"/>
        </w:rPr>
      </w:pPr>
      <w:r>
        <w:rPr>
          <w:rFonts w:ascii="Times New Roman" w:hAnsi="Times New Roman" w:cs="Times New Roman"/>
        </w:rPr>
        <w:t>Obudowy Szaf Oświetlenia Ulicznego powinny być wykonane z tworzywa termoutwardzalnego. Szafa powinna być zamykana  z górną i dolną blokadą drzwi. W szafach oświetlenia ulicznego należy zastosować zegary astronomiczne. Szafy SO mają być w wersji wolnostojącej wspartej fundamentem dopasowanym do obudowy. </w:t>
      </w:r>
    </w:p>
    <w:p w:rsidR="003613D9" w:rsidRDefault="000B092A">
      <w:pPr>
        <w:pStyle w:val="Default"/>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Wyposażenie szafki oświetlenia ulicznego:</w:t>
      </w:r>
    </w:p>
    <w:p w:rsidR="003613D9" w:rsidRDefault="000B092A">
      <w:pPr>
        <w:pStyle w:val="Default"/>
        <w:numPr>
          <w:ilvl w:val="0"/>
          <w:numId w:val="18"/>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Obudowa termoutwardzalna na fundamencie, stopień ochrony IP –  44</w:t>
      </w:r>
      <w:r w:rsidR="00BC73E2">
        <w:rPr>
          <w:rFonts w:ascii="Times New Roman" w:hAnsi="Times New Roman" w:cs="Times New Roman"/>
          <w:color w:val="00000A"/>
          <w:sz w:val="22"/>
          <w:szCs w:val="22"/>
        </w:rPr>
        <w:t>,</w:t>
      </w:r>
    </w:p>
    <w:p w:rsidR="003613D9" w:rsidRDefault="000B092A">
      <w:pPr>
        <w:pStyle w:val="Default"/>
        <w:numPr>
          <w:ilvl w:val="0"/>
          <w:numId w:val="18"/>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tablica licznikowa 3f</w:t>
      </w:r>
      <w:r w:rsidR="00BC73E2">
        <w:rPr>
          <w:rFonts w:ascii="Times New Roman" w:hAnsi="Times New Roman" w:cs="Times New Roman"/>
          <w:color w:val="00000A"/>
          <w:sz w:val="22"/>
          <w:szCs w:val="22"/>
        </w:rPr>
        <w:t>,</w:t>
      </w:r>
    </w:p>
    <w:p w:rsidR="003613D9" w:rsidRDefault="000B092A">
      <w:pPr>
        <w:pStyle w:val="Default"/>
        <w:numPr>
          <w:ilvl w:val="0"/>
          <w:numId w:val="18"/>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astronomiczny zegar sterujący</w:t>
      </w:r>
      <w:r w:rsidRPr="00BC73E2">
        <w:rPr>
          <w:rFonts w:ascii="Times New Roman" w:hAnsi="Times New Roman" w:cs="Times New Roman"/>
          <w:color w:val="auto"/>
          <w:sz w:val="22"/>
          <w:szCs w:val="22"/>
        </w:rPr>
        <w:t xml:space="preserve"> (o parametrach nie gorszych niż w istnieją</w:t>
      </w:r>
      <w:r w:rsidR="00BC73E2">
        <w:rPr>
          <w:rFonts w:ascii="Times New Roman" w:hAnsi="Times New Roman" w:cs="Times New Roman"/>
          <w:color w:val="auto"/>
          <w:sz w:val="22"/>
          <w:szCs w:val="22"/>
        </w:rPr>
        <w:t>cych szafkach na terenie Gminy),</w:t>
      </w:r>
    </w:p>
    <w:p w:rsidR="003613D9" w:rsidRDefault="000B092A">
      <w:pPr>
        <w:pStyle w:val="Default"/>
        <w:numPr>
          <w:ilvl w:val="0"/>
          <w:numId w:val="18"/>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zabezpieczenie </w:t>
      </w:r>
      <w:proofErr w:type="spellStart"/>
      <w:r>
        <w:rPr>
          <w:rFonts w:ascii="Times New Roman" w:hAnsi="Times New Roman" w:cs="Times New Roman"/>
          <w:color w:val="00000A"/>
          <w:sz w:val="22"/>
          <w:szCs w:val="22"/>
        </w:rPr>
        <w:t>przedlicznikowe</w:t>
      </w:r>
      <w:proofErr w:type="spellEnd"/>
      <w:r>
        <w:rPr>
          <w:rFonts w:ascii="Times New Roman" w:hAnsi="Times New Roman" w:cs="Times New Roman"/>
          <w:color w:val="00000A"/>
          <w:sz w:val="22"/>
          <w:szCs w:val="22"/>
        </w:rPr>
        <w:t xml:space="preserve"> zwłoczne typu S</w:t>
      </w:r>
      <w:r w:rsidR="00BC73E2">
        <w:rPr>
          <w:rFonts w:ascii="Times New Roman" w:hAnsi="Times New Roman" w:cs="Times New Roman"/>
          <w:color w:val="00000A"/>
          <w:sz w:val="22"/>
          <w:szCs w:val="22"/>
        </w:rPr>
        <w:t>,</w:t>
      </w:r>
    </w:p>
    <w:p w:rsidR="003613D9" w:rsidRDefault="000B092A">
      <w:pPr>
        <w:pStyle w:val="Default"/>
        <w:numPr>
          <w:ilvl w:val="0"/>
          <w:numId w:val="18"/>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zabezpieczenia odpływowe typu S301</w:t>
      </w:r>
      <w:r w:rsidR="00BC73E2">
        <w:rPr>
          <w:rFonts w:ascii="Times New Roman" w:hAnsi="Times New Roman" w:cs="Times New Roman"/>
          <w:color w:val="00000A"/>
          <w:sz w:val="22"/>
          <w:szCs w:val="22"/>
        </w:rPr>
        <w:t>,</w:t>
      </w:r>
    </w:p>
    <w:p w:rsidR="003613D9" w:rsidRDefault="000B092A">
      <w:pPr>
        <w:pStyle w:val="Default"/>
        <w:numPr>
          <w:ilvl w:val="0"/>
          <w:numId w:val="18"/>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zasilanie i odpływy wyprowadzone na listwy przyłączeniowe (jeden dodatkowy odpływ zabezpieczyć na rezerwę)</w:t>
      </w:r>
      <w:r w:rsidR="00BC73E2">
        <w:rPr>
          <w:rFonts w:ascii="Times New Roman" w:hAnsi="Times New Roman" w:cs="Times New Roman"/>
          <w:color w:val="00000A"/>
          <w:sz w:val="22"/>
          <w:szCs w:val="22"/>
        </w:rPr>
        <w:t>,</w:t>
      </w:r>
    </w:p>
    <w:p w:rsidR="003613D9" w:rsidRDefault="000B092A">
      <w:pPr>
        <w:pStyle w:val="Default"/>
        <w:numPr>
          <w:ilvl w:val="0"/>
          <w:numId w:val="18"/>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włącznik/wyłącznik z możliwością przełączenia na sterowanie ręczne/automatyczne</w:t>
      </w:r>
      <w:r w:rsidR="00BC73E2">
        <w:rPr>
          <w:rFonts w:ascii="Times New Roman" w:hAnsi="Times New Roman" w:cs="Times New Roman"/>
          <w:color w:val="00000A"/>
          <w:sz w:val="22"/>
          <w:szCs w:val="22"/>
        </w:rPr>
        <w:t>,</w:t>
      </w:r>
    </w:p>
    <w:p w:rsidR="003613D9" w:rsidRDefault="000B092A">
      <w:pPr>
        <w:pStyle w:val="Default"/>
        <w:numPr>
          <w:ilvl w:val="0"/>
          <w:numId w:val="18"/>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stycznik dobrany do potrzeb</w:t>
      </w:r>
      <w:r w:rsidR="00BC73E2">
        <w:rPr>
          <w:rFonts w:ascii="Times New Roman" w:hAnsi="Times New Roman" w:cs="Times New Roman"/>
          <w:color w:val="00000A"/>
          <w:sz w:val="22"/>
          <w:szCs w:val="22"/>
        </w:rPr>
        <w:t>,</w:t>
      </w:r>
    </w:p>
    <w:p w:rsidR="003613D9" w:rsidRDefault="000B092A">
      <w:pPr>
        <w:pStyle w:val="Default"/>
        <w:numPr>
          <w:ilvl w:val="0"/>
          <w:numId w:val="18"/>
        </w:numPr>
        <w:spacing w:line="276" w:lineRule="auto"/>
        <w:jc w:val="both"/>
        <w:rPr>
          <w:color w:val="00000A"/>
        </w:rPr>
      </w:pPr>
      <w:r>
        <w:rPr>
          <w:rFonts w:ascii="Times New Roman" w:hAnsi="Times New Roman" w:cs="Times New Roman"/>
          <w:color w:val="00000A"/>
          <w:sz w:val="22"/>
          <w:szCs w:val="22"/>
        </w:rPr>
        <w:t>ograniczniki przepięć dostosowane do opraw LED</w:t>
      </w:r>
      <w:r w:rsidR="00BC73E2">
        <w:rPr>
          <w:rFonts w:ascii="Times New Roman" w:hAnsi="Times New Roman" w:cs="Times New Roman"/>
          <w:color w:val="00000A"/>
          <w:sz w:val="22"/>
          <w:szCs w:val="22"/>
        </w:rPr>
        <w:t>,</w:t>
      </w:r>
    </w:p>
    <w:p w:rsidR="003613D9" w:rsidRDefault="000B092A">
      <w:pPr>
        <w:pStyle w:val="Default"/>
        <w:numPr>
          <w:ilvl w:val="0"/>
          <w:numId w:val="18"/>
        </w:numPr>
        <w:spacing w:line="276" w:lineRule="auto"/>
        <w:jc w:val="both"/>
        <w:rPr>
          <w:color w:val="00000A"/>
        </w:rPr>
      </w:pPr>
      <w:r>
        <w:rPr>
          <w:rFonts w:ascii="Times New Roman" w:hAnsi="Times New Roman" w:cs="Times New Roman"/>
          <w:color w:val="00000A"/>
          <w:sz w:val="22"/>
          <w:szCs w:val="22"/>
        </w:rPr>
        <w:t>szafka powinna mieć wielkość umożliwiającą w przyszłości montaż kompensatorów mocy biernej dla danego obwodu</w:t>
      </w:r>
      <w:r w:rsidR="00BC73E2">
        <w:rPr>
          <w:rFonts w:ascii="Times New Roman" w:hAnsi="Times New Roman" w:cs="Times New Roman"/>
          <w:color w:val="00000A"/>
          <w:sz w:val="22"/>
          <w:szCs w:val="22"/>
        </w:rPr>
        <w:t>.</w:t>
      </w:r>
    </w:p>
    <w:p w:rsidR="003613D9" w:rsidRDefault="003613D9">
      <w:pPr>
        <w:pStyle w:val="Normalny10"/>
        <w:spacing w:after="0" w:line="276" w:lineRule="auto"/>
        <w:ind w:left="375"/>
        <w:jc w:val="both"/>
        <w:rPr>
          <w:rFonts w:ascii="Times New Roman" w:hAnsi="Times New Roman" w:cs="Times New Roman"/>
          <w:b/>
          <w:bCs/>
        </w:rPr>
      </w:pPr>
    </w:p>
    <w:p w:rsidR="003613D9" w:rsidRDefault="000B092A">
      <w:pPr>
        <w:pStyle w:val="Normalny10"/>
        <w:numPr>
          <w:ilvl w:val="2"/>
          <w:numId w:val="9"/>
        </w:numPr>
        <w:spacing w:after="0" w:line="276" w:lineRule="auto"/>
        <w:jc w:val="both"/>
        <w:rPr>
          <w:rFonts w:ascii="Times New Roman" w:hAnsi="Times New Roman" w:cs="Times New Roman"/>
          <w:b/>
          <w:bCs/>
        </w:rPr>
      </w:pPr>
      <w:r>
        <w:rPr>
          <w:rFonts w:ascii="Times New Roman" w:hAnsi="Times New Roman" w:cs="Times New Roman"/>
          <w:b/>
          <w:bCs/>
        </w:rPr>
        <w:t>Linia kablowa</w:t>
      </w:r>
    </w:p>
    <w:p w:rsidR="003613D9" w:rsidRDefault="000B092A">
      <w:pPr>
        <w:pStyle w:val="Normalny10"/>
        <w:spacing w:after="0" w:line="276" w:lineRule="auto"/>
        <w:ind w:firstLine="374"/>
        <w:jc w:val="both"/>
        <w:rPr>
          <w:rFonts w:ascii="Times New Roman" w:hAnsi="Times New Roman" w:cs="Times New Roman"/>
        </w:rPr>
      </w:pPr>
      <w:r>
        <w:rPr>
          <w:rFonts w:ascii="Times New Roman" w:hAnsi="Times New Roman" w:cs="Times New Roman"/>
        </w:rPr>
        <w:t xml:space="preserve">W celu dobudowania oświetlenia drogowego należy ułożyć nową odpowiednią linię kablową </w:t>
      </w:r>
      <w:proofErr w:type="spellStart"/>
      <w:r>
        <w:rPr>
          <w:rFonts w:ascii="Times New Roman" w:hAnsi="Times New Roman" w:cs="Times New Roman"/>
        </w:rPr>
        <w:t>nN.</w:t>
      </w:r>
      <w:proofErr w:type="spellEnd"/>
      <w:r>
        <w:rPr>
          <w:rFonts w:ascii="Times New Roman" w:hAnsi="Times New Roman" w:cs="Times New Roman"/>
        </w:rPr>
        <w:t xml:space="preserve"> Linie kablowe oświetleniowe typu YAKXS o przekroju stosownym do potrzeb.</w:t>
      </w:r>
    </w:p>
    <w:p w:rsidR="003613D9" w:rsidRDefault="000B092A">
      <w:pPr>
        <w:pStyle w:val="Normalny10"/>
        <w:spacing w:after="0" w:line="276" w:lineRule="auto"/>
        <w:ind w:left="-15" w:firstLine="15"/>
        <w:jc w:val="both"/>
        <w:rPr>
          <w:rFonts w:ascii="Times New Roman" w:hAnsi="Times New Roman" w:cs="Times New Roman"/>
        </w:rPr>
      </w:pPr>
      <w:r>
        <w:rPr>
          <w:rFonts w:ascii="Times New Roman" w:hAnsi="Times New Roman" w:cs="Times New Roman"/>
        </w:rPr>
        <w:t xml:space="preserve">     W celu wykonania linii kablowej </w:t>
      </w:r>
      <w:proofErr w:type="spellStart"/>
      <w:r>
        <w:rPr>
          <w:rFonts w:ascii="Times New Roman" w:hAnsi="Times New Roman" w:cs="Times New Roman"/>
        </w:rPr>
        <w:t>nN</w:t>
      </w:r>
      <w:proofErr w:type="spellEnd"/>
      <w:r>
        <w:rPr>
          <w:rFonts w:ascii="Times New Roman" w:hAnsi="Times New Roman" w:cs="Times New Roman"/>
        </w:rPr>
        <w:t xml:space="preserve"> należy:</w:t>
      </w:r>
    </w:p>
    <w:p w:rsidR="003613D9" w:rsidRDefault="000B092A">
      <w:pPr>
        <w:pStyle w:val="Normalny10"/>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kabel  układać w wykopie o odpowiedniej głębokości </w:t>
      </w:r>
      <w:r w:rsidR="00217911">
        <w:rPr>
          <w:rFonts w:ascii="Times New Roman" w:hAnsi="Times New Roman" w:cs="Times New Roman"/>
        </w:rPr>
        <w:t xml:space="preserve">i na </w:t>
      </w:r>
      <w:r>
        <w:rPr>
          <w:rFonts w:ascii="Times New Roman" w:hAnsi="Times New Roman" w:cs="Times New Roman"/>
        </w:rPr>
        <w:t>podsypce z piasku, przysypać piaskiem i rodzimym gruntem, przykryć niebieską folią a następnie wykop wypełnić ziemią odpowiednio ją zagęszczając</w:t>
      </w:r>
    </w:p>
    <w:p w:rsidR="003613D9" w:rsidRDefault="000B092A">
      <w:pPr>
        <w:pStyle w:val="Normalny10"/>
        <w:numPr>
          <w:ilvl w:val="0"/>
          <w:numId w:val="10"/>
        </w:numPr>
        <w:spacing w:after="0" w:line="276" w:lineRule="auto"/>
        <w:jc w:val="both"/>
        <w:rPr>
          <w:rFonts w:ascii="Times New Roman" w:hAnsi="Times New Roman" w:cs="Times New Roman"/>
        </w:rPr>
      </w:pPr>
      <w:r>
        <w:rPr>
          <w:rFonts w:ascii="Times New Roman" w:hAnsi="Times New Roman" w:cs="Times New Roman"/>
        </w:rPr>
        <w:t>w miejscach zbliżeń do istniejącej infrastruktury podziemnej kabel należy układać w rurze osłonowej, a przy przekroczeniu dróg, wjazdów lub w celu uniknięcia konieczności rozbiórki chodników czy zatok parkingowych w rurze osłonowej,</w:t>
      </w:r>
    </w:p>
    <w:p w:rsidR="003613D9" w:rsidRDefault="000B092A">
      <w:pPr>
        <w:pStyle w:val="Normalny10"/>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w przypadku przejścia linią kablową </w:t>
      </w:r>
      <w:proofErr w:type="spellStart"/>
      <w:r>
        <w:rPr>
          <w:rFonts w:ascii="Times New Roman" w:hAnsi="Times New Roman" w:cs="Times New Roman"/>
        </w:rPr>
        <w:t>nN</w:t>
      </w:r>
      <w:proofErr w:type="spellEnd"/>
      <w:r>
        <w:rPr>
          <w:rFonts w:ascii="Times New Roman" w:hAnsi="Times New Roman" w:cs="Times New Roman"/>
        </w:rPr>
        <w:t xml:space="preserve"> pod chodnikami lub parkingami na dłuższych odcinkach przekroczenia wykonywać metodą przewiertu sterowanego stosując rury osłonowe,</w:t>
      </w:r>
    </w:p>
    <w:p w:rsidR="003613D9" w:rsidRDefault="000B092A">
      <w:pPr>
        <w:pStyle w:val="Normalny10"/>
        <w:numPr>
          <w:ilvl w:val="0"/>
          <w:numId w:val="10"/>
        </w:numPr>
        <w:spacing w:after="0" w:line="276" w:lineRule="auto"/>
        <w:jc w:val="both"/>
        <w:rPr>
          <w:rFonts w:ascii="Times New Roman" w:hAnsi="Times New Roman" w:cs="Times New Roman"/>
        </w:rPr>
      </w:pPr>
      <w:r>
        <w:rPr>
          <w:rFonts w:ascii="Times New Roman" w:hAnsi="Times New Roman" w:cs="Times New Roman"/>
        </w:rPr>
        <w:t>na kablach należy zamontować oznaczniki kablowe koloru niebieskiego z rokiem produkcji i nazwą właściciela sieci. Oznaczniki należy umieszczać na trasie kabla, na jego końcu, w złączu oraz na końcach przepustów kablowych. Końce rur osłonowych należy uszczelnić.</w:t>
      </w:r>
    </w:p>
    <w:p w:rsidR="003613D9" w:rsidRDefault="000B092A">
      <w:pPr>
        <w:pStyle w:val="Normalny10"/>
        <w:spacing w:after="0" w:line="276" w:lineRule="auto"/>
        <w:ind w:left="360"/>
        <w:jc w:val="both"/>
        <w:rPr>
          <w:rFonts w:ascii="Times New Roman" w:hAnsi="Times New Roman" w:cs="Times New Roman"/>
        </w:rPr>
      </w:pPr>
      <w:r>
        <w:rPr>
          <w:rFonts w:ascii="Times New Roman" w:hAnsi="Times New Roman" w:cs="Times New Roman"/>
        </w:rPr>
        <w:t>Zamawiający nie przewiduje wykonania linii napowietrznych.</w:t>
      </w:r>
    </w:p>
    <w:p w:rsidR="003613D9" w:rsidRDefault="003613D9">
      <w:pPr>
        <w:pStyle w:val="Normalny10"/>
        <w:spacing w:after="0" w:line="276" w:lineRule="auto"/>
        <w:jc w:val="both"/>
        <w:rPr>
          <w:rFonts w:ascii="Times New Roman" w:hAnsi="Times New Roman" w:cs="Times New Roman"/>
          <w:b/>
          <w:bCs/>
        </w:rPr>
      </w:pPr>
    </w:p>
    <w:p w:rsidR="00A142B0" w:rsidRDefault="00A142B0">
      <w:pPr>
        <w:pStyle w:val="Normalny10"/>
        <w:spacing w:after="0" w:line="276" w:lineRule="auto"/>
        <w:jc w:val="both"/>
        <w:rPr>
          <w:rFonts w:ascii="Times New Roman" w:hAnsi="Times New Roman" w:cs="Times New Roman"/>
          <w:b/>
          <w:bCs/>
        </w:rPr>
      </w:pPr>
    </w:p>
    <w:p w:rsidR="00A142B0" w:rsidRDefault="00A142B0">
      <w:pPr>
        <w:pStyle w:val="Normalny10"/>
        <w:spacing w:after="0" w:line="276" w:lineRule="auto"/>
        <w:jc w:val="both"/>
        <w:rPr>
          <w:rFonts w:ascii="Times New Roman" w:hAnsi="Times New Roman" w:cs="Times New Roman"/>
          <w:b/>
          <w:bCs/>
        </w:rPr>
      </w:pPr>
    </w:p>
    <w:p w:rsidR="00A142B0" w:rsidRDefault="00A142B0">
      <w:pPr>
        <w:pStyle w:val="Normalny10"/>
        <w:spacing w:after="0" w:line="276" w:lineRule="auto"/>
        <w:jc w:val="both"/>
        <w:rPr>
          <w:rFonts w:ascii="Times New Roman" w:hAnsi="Times New Roman" w:cs="Times New Roman"/>
          <w:b/>
          <w:bCs/>
        </w:rPr>
      </w:pPr>
    </w:p>
    <w:p w:rsidR="003613D9" w:rsidRDefault="000B092A">
      <w:pPr>
        <w:pStyle w:val="Normalny10"/>
        <w:numPr>
          <w:ilvl w:val="2"/>
          <w:numId w:val="9"/>
        </w:numPr>
        <w:spacing w:after="0" w:line="276" w:lineRule="auto"/>
        <w:jc w:val="both"/>
        <w:rPr>
          <w:rFonts w:ascii="Times New Roman" w:hAnsi="Times New Roman" w:cs="Times New Roman"/>
          <w:b/>
          <w:bCs/>
        </w:rPr>
      </w:pPr>
      <w:r>
        <w:rPr>
          <w:rFonts w:ascii="Times New Roman" w:hAnsi="Times New Roman" w:cs="Times New Roman"/>
          <w:b/>
          <w:bCs/>
        </w:rPr>
        <w:lastRenderedPageBreak/>
        <w:t xml:space="preserve">Oprawy oświetleniowe </w:t>
      </w:r>
    </w:p>
    <w:p w:rsidR="003613D9" w:rsidRDefault="000B092A">
      <w:pPr>
        <w:pStyle w:val="Normalny10"/>
        <w:spacing w:after="0" w:line="276" w:lineRule="auto"/>
        <w:ind w:left="1094"/>
        <w:jc w:val="both"/>
        <w:rPr>
          <w:rFonts w:ascii="Times New Roman" w:hAnsi="Times New Roman" w:cs="Times New Roman"/>
          <w:b/>
          <w:bCs/>
        </w:rPr>
      </w:pPr>
      <w:r>
        <w:rPr>
          <w:rFonts w:ascii="Times New Roman" w:hAnsi="Times New Roman" w:cs="Times New Roman"/>
          <w:b/>
          <w:bCs/>
        </w:rPr>
        <w:t>Oprawy oświetlenia drogowego</w:t>
      </w:r>
    </w:p>
    <w:p w:rsidR="003613D9" w:rsidRDefault="000B092A">
      <w:pPr>
        <w:pStyle w:val="Normalny10"/>
        <w:spacing w:after="0" w:line="276" w:lineRule="auto"/>
        <w:ind w:firstLine="375"/>
        <w:jc w:val="both"/>
      </w:pPr>
      <w:r>
        <w:rPr>
          <w:rFonts w:ascii="Times New Roman" w:hAnsi="Times New Roman" w:cs="Times New Roman"/>
        </w:rPr>
        <w:t xml:space="preserve">W ramach wymiany obecnych opraw oraz dla dobudowy nowych punktów oświetleniowych zakłada się zastosowanie co najmniej 4 typy oprawy na źródła światła LED o określonych w Załączniku </w:t>
      </w:r>
      <w:r w:rsidRPr="00217911">
        <w:rPr>
          <w:rFonts w:ascii="Times New Roman" w:hAnsi="Times New Roman" w:cs="Times New Roman"/>
          <w:color w:val="auto"/>
        </w:rPr>
        <w:t xml:space="preserve">nr 7 – „Tabela równoważności dla opraw oświetlenia drogowego”- parametrach </w:t>
      </w:r>
      <w:r>
        <w:rPr>
          <w:rFonts w:ascii="Times New Roman" w:hAnsi="Times New Roman" w:cs="Times New Roman"/>
        </w:rPr>
        <w:t>oświetleniowych, oraz o następujących cechach wspólnych:</w:t>
      </w:r>
    </w:p>
    <w:p w:rsidR="003613D9" w:rsidRDefault="003613D9">
      <w:pPr>
        <w:pStyle w:val="Default"/>
        <w:spacing w:line="276" w:lineRule="auto"/>
        <w:ind w:left="720"/>
        <w:rPr>
          <w:rFonts w:ascii="Times New Roman" w:hAnsi="Times New Roman" w:cs="Times New Roman"/>
          <w:sz w:val="22"/>
          <w:szCs w:val="22"/>
        </w:rPr>
      </w:pPr>
    </w:p>
    <w:p w:rsidR="003613D9" w:rsidRDefault="000B092A">
      <w:pPr>
        <w:pStyle w:val="Default"/>
        <w:numPr>
          <w:ilvl w:val="1"/>
          <w:numId w:val="13"/>
        </w:numPr>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 xml:space="preserve">Oprawy oświetleniowe przeznaczone do zainstalowania powinny posiadać następujące właściwości i parametry: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 xml:space="preserve">muszą posiadać znak CE, </w:t>
      </w:r>
    </w:p>
    <w:p w:rsidR="003613D9" w:rsidRDefault="000B092A">
      <w:pPr>
        <w:pStyle w:val="Default"/>
        <w:numPr>
          <w:ilvl w:val="1"/>
          <w:numId w:val="11"/>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przy ustawieniu 0˚ w stosunku do podłoża, nie mogą emitować światła w górną półprzestrzeń zgodnie z Rozporządzeniem Komisji Europejskiej nr 245/2009 z dnia 18 marca 2009 (DZ Urzędowy UE z dnia 24.03.2009r.),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 xml:space="preserve">muszą spełniać wymogi bezpieczeństwa fotobiologicznego lamp i systemów lampowych IEC 62471,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 xml:space="preserve">skuteczność świetlna opraw, rozumiana, jako strumień świetlny emitowany przez oprawę z uwzględnieniem wszelkich występujących strat do całkowitej energii zużywanej przez oprawę, jako system, nie może być gorsza niż 110 lumenów/W,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 xml:space="preserve">muszą spełniać wymogi minimum I klasy ochronności.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 xml:space="preserve">stopień szczelności opraw nie może być mniejszy niż IP 66,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zakres temperatur pracy minimum od -35˚ do +45˚.</w:t>
      </w:r>
    </w:p>
    <w:p w:rsidR="003613D9" w:rsidRDefault="000B092A">
      <w:pPr>
        <w:pStyle w:val="Default"/>
        <w:numPr>
          <w:ilvl w:val="1"/>
          <w:numId w:val="13"/>
        </w:numPr>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Korpus opraw powinien spełniać następujące wymagania: </w:t>
      </w:r>
    </w:p>
    <w:p w:rsidR="003613D9" w:rsidRDefault="000B092A">
      <w:pPr>
        <w:pStyle w:val="Default"/>
        <w:numPr>
          <w:ilvl w:val="1"/>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wykonany z wysokociśnieniowo wtryskiwanego odlewu aluminium stanowiącego jednocześnie radiator oprawy, </w:t>
      </w:r>
    </w:p>
    <w:p w:rsidR="003613D9" w:rsidRDefault="000B092A">
      <w:pPr>
        <w:pStyle w:val="Default"/>
        <w:numPr>
          <w:ilvl w:val="1"/>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korpus nie może posiadać zewnętrznego radiatora w postaci użebrowania, </w:t>
      </w:r>
    </w:p>
    <w:p w:rsidR="003613D9" w:rsidRDefault="000B092A">
      <w:pPr>
        <w:pStyle w:val="Default"/>
        <w:numPr>
          <w:ilvl w:val="1"/>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powierzchnia boczna korpusu eksponowana na wiatr nie przekracza 0,04 m²,</w:t>
      </w:r>
    </w:p>
    <w:p w:rsidR="003613D9" w:rsidRDefault="000B092A">
      <w:pPr>
        <w:pStyle w:val="Default"/>
        <w:numPr>
          <w:ilvl w:val="1"/>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konstrukcja korpusu powinna umożliwiać samoczynne oczyszczanie się jego górnej części podczas deszczu,</w:t>
      </w:r>
    </w:p>
    <w:p w:rsidR="003613D9" w:rsidRDefault="000B092A">
      <w:pPr>
        <w:pStyle w:val="Default"/>
        <w:numPr>
          <w:ilvl w:val="1"/>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korpus zbudowany z osobnej komory zasilania i komory oświetlenia, dostęp do komory zasilania od góry oprawy ze względu na ułatwienie prac konserwacyjno-eksploatacyjnych</w:t>
      </w:r>
    </w:p>
    <w:p w:rsidR="003613D9" w:rsidRDefault="000B092A">
      <w:pPr>
        <w:pStyle w:val="Default"/>
        <w:numPr>
          <w:ilvl w:val="1"/>
          <w:numId w:val="12"/>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dostęp do komory zasilania powinien odbywać się beznarzędziowo,</w:t>
      </w:r>
    </w:p>
    <w:p w:rsidR="003613D9" w:rsidRDefault="000B092A">
      <w:pPr>
        <w:pStyle w:val="Default"/>
        <w:numPr>
          <w:ilvl w:val="1"/>
          <w:numId w:val="12"/>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konstrukcja korpusu umożliwia beznarzędziową wymianę układu optycznego wraz z układem zasilającym,</w:t>
      </w:r>
    </w:p>
    <w:p w:rsidR="003613D9" w:rsidRDefault="000B092A">
      <w:pPr>
        <w:pStyle w:val="Default"/>
        <w:numPr>
          <w:ilvl w:val="1"/>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korpus pomalowany proszkowo</w:t>
      </w:r>
    </w:p>
    <w:p w:rsidR="003613D9" w:rsidRDefault="000B092A">
      <w:pPr>
        <w:pStyle w:val="Default"/>
        <w:numPr>
          <w:ilvl w:val="1"/>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źródło światła - panel LED osłonięty płaską szybą ze szkła hartowanego o IK nie niższym niż IK 09.</w:t>
      </w:r>
    </w:p>
    <w:p w:rsidR="003613D9" w:rsidRDefault="003613D9">
      <w:pPr>
        <w:pStyle w:val="Default"/>
        <w:spacing w:line="276" w:lineRule="auto"/>
        <w:rPr>
          <w:rFonts w:ascii="Times New Roman" w:hAnsi="Times New Roman" w:cs="Times New Roman"/>
          <w:sz w:val="22"/>
          <w:szCs w:val="22"/>
        </w:rPr>
      </w:pPr>
    </w:p>
    <w:p w:rsidR="003613D9" w:rsidRDefault="000B092A">
      <w:pPr>
        <w:pStyle w:val="Default"/>
        <w:numPr>
          <w:ilvl w:val="1"/>
          <w:numId w:val="13"/>
        </w:numPr>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Uchwyt montażowy opraw musi umożliwiać: </w:t>
      </w:r>
    </w:p>
    <w:p w:rsidR="003613D9" w:rsidRDefault="000B092A">
      <w:pPr>
        <w:pStyle w:val="Default"/>
        <w:numPr>
          <w:ilvl w:val="1"/>
          <w:numId w:val="14"/>
        </w:numPr>
        <w:spacing w:line="276" w:lineRule="auto"/>
        <w:rPr>
          <w:rFonts w:ascii="Times New Roman" w:hAnsi="Times New Roman" w:cs="Times New Roman"/>
          <w:sz w:val="22"/>
          <w:szCs w:val="22"/>
        </w:rPr>
      </w:pPr>
      <w:r>
        <w:rPr>
          <w:rFonts w:ascii="Times New Roman" w:hAnsi="Times New Roman" w:cs="Times New Roman"/>
          <w:sz w:val="22"/>
          <w:szCs w:val="22"/>
        </w:rPr>
        <w:t xml:space="preserve">montaż opraw zarówno na wysięgniku jak i na słupie o średnicy 50-65 mm, </w:t>
      </w:r>
    </w:p>
    <w:p w:rsidR="003613D9" w:rsidRDefault="000B092A">
      <w:pPr>
        <w:pStyle w:val="Default"/>
        <w:numPr>
          <w:ilvl w:val="1"/>
          <w:numId w:val="14"/>
        </w:numPr>
        <w:spacing w:line="276" w:lineRule="auto"/>
        <w:rPr>
          <w:rFonts w:ascii="Times New Roman" w:hAnsi="Times New Roman" w:cs="Times New Roman"/>
          <w:sz w:val="22"/>
          <w:szCs w:val="22"/>
        </w:rPr>
      </w:pPr>
      <w:r>
        <w:rPr>
          <w:rFonts w:ascii="Times New Roman" w:hAnsi="Times New Roman" w:cs="Times New Roman"/>
          <w:sz w:val="22"/>
          <w:szCs w:val="22"/>
        </w:rPr>
        <w:t xml:space="preserve">regulację położenia opraw w zakresie -15˚ do +15˚ z krokiem nie mniejszym niż 5˚, </w:t>
      </w:r>
    </w:p>
    <w:p w:rsidR="003613D9" w:rsidRDefault="003613D9">
      <w:pPr>
        <w:pStyle w:val="Default"/>
        <w:spacing w:line="276" w:lineRule="auto"/>
        <w:rPr>
          <w:rFonts w:ascii="Times New Roman" w:hAnsi="Times New Roman" w:cs="Times New Roman"/>
          <w:sz w:val="22"/>
          <w:szCs w:val="22"/>
        </w:rPr>
      </w:pPr>
    </w:p>
    <w:p w:rsidR="003613D9" w:rsidRDefault="000B092A">
      <w:pPr>
        <w:pStyle w:val="Default"/>
        <w:numPr>
          <w:ilvl w:val="1"/>
          <w:numId w:val="13"/>
        </w:numPr>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Oprawy mają być wyposażona w panel LED o następujących cechach: </w:t>
      </w:r>
    </w:p>
    <w:p w:rsidR="003613D9" w:rsidRDefault="000B092A">
      <w:pPr>
        <w:pStyle w:val="Default"/>
        <w:numPr>
          <w:ilvl w:val="0"/>
          <w:numId w:val="15"/>
        </w:numPr>
        <w:spacing w:line="276" w:lineRule="auto"/>
        <w:ind w:left="1418" w:hanging="338"/>
        <w:jc w:val="both"/>
        <w:rPr>
          <w:rFonts w:ascii="Times New Roman" w:hAnsi="Times New Roman" w:cs="Times New Roman"/>
          <w:sz w:val="22"/>
          <w:szCs w:val="22"/>
        </w:rPr>
      </w:pPr>
      <w:r>
        <w:rPr>
          <w:rFonts w:ascii="Times New Roman" w:hAnsi="Times New Roman" w:cs="Times New Roman"/>
          <w:sz w:val="22"/>
          <w:szCs w:val="22"/>
        </w:rPr>
        <w:t xml:space="preserve">temperatura barwowa 4000K +/- 5%, </w:t>
      </w:r>
    </w:p>
    <w:p w:rsidR="003613D9" w:rsidRDefault="000B092A">
      <w:pPr>
        <w:pStyle w:val="Default"/>
        <w:numPr>
          <w:ilvl w:val="0"/>
          <w:numId w:val="15"/>
        </w:numPr>
        <w:spacing w:line="276" w:lineRule="auto"/>
        <w:ind w:left="1418" w:hanging="338"/>
        <w:jc w:val="both"/>
        <w:rPr>
          <w:rFonts w:ascii="Times New Roman" w:hAnsi="Times New Roman" w:cs="Times New Roman"/>
          <w:sz w:val="22"/>
          <w:szCs w:val="22"/>
        </w:rPr>
      </w:pPr>
      <w:r>
        <w:rPr>
          <w:rFonts w:ascii="Times New Roman" w:hAnsi="Times New Roman" w:cs="Times New Roman"/>
          <w:sz w:val="22"/>
          <w:szCs w:val="22"/>
        </w:rPr>
        <w:t>co najmniej 80 000 h pracy do L80B10 przy Ta = 25˚ C,</w:t>
      </w:r>
    </w:p>
    <w:p w:rsidR="003613D9" w:rsidRDefault="000B092A">
      <w:pPr>
        <w:pStyle w:val="Default"/>
        <w:numPr>
          <w:ilvl w:val="0"/>
          <w:numId w:val="15"/>
        </w:numPr>
        <w:spacing w:line="276" w:lineRule="auto"/>
        <w:ind w:left="1418" w:hanging="338"/>
        <w:jc w:val="both"/>
        <w:rPr>
          <w:rFonts w:ascii="Times New Roman" w:hAnsi="Times New Roman" w:cs="Times New Roman"/>
          <w:sz w:val="22"/>
          <w:szCs w:val="22"/>
        </w:rPr>
      </w:pPr>
      <w:r>
        <w:rPr>
          <w:rFonts w:ascii="Times New Roman" w:hAnsi="Times New Roman" w:cs="Times New Roman"/>
          <w:sz w:val="22"/>
          <w:szCs w:val="22"/>
        </w:rPr>
        <w:lastRenderedPageBreak/>
        <w:t xml:space="preserve">każda dioda w panelu LED musi być wyposażona w indywidualną soczewkę pozwalającą emitować światło równomiernie na całą oświetlaną przez oprawę powierzchnię. W przypadku przepalenia się którejś z diod zmieni się jedynie strumień świetlny a nie rozsył światła, </w:t>
      </w:r>
    </w:p>
    <w:p w:rsidR="003613D9" w:rsidRDefault="000B092A">
      <w:pPr>
        <w:pStyle w:val="Default"/>
        <w:numPr>
          <w:ilvl w:val="0"/>
          <w:numId w:val="15"/>
        </w:numPr>
        <w:spacing w:line="276" w:lineRule="auto"/>
        <w:ind w:left="1418" w:hanging="338"/>
        <w:jc w:val="both"/>
        <w:rPr>
          <w:rFonts w:ascii="Times New Roman" w:hAnsi="Times New Roman" w:cs="Times New Roman"/>
          <w:sz w:val="22"/>
          <w:szCs w:val="22"/>
        </w:rPr>
      </w:pPr>
      <w:r>
        <w:rPr>
          <w:rFonts w:ascii="Times New Roman" w:hAnsi="Times New Roman" w:cs="Times New Roman"/>
          <w:sz w:val="22"/>
          <w:szCs w:val="22"/>
        </w:rPr>
        <w:t>w przypadku przepalenia się którejś z diod, nie mogą zmienić się parametry zasilania mające wpływ na funkcjonowanie innych diod,</w:t>
      </w:r>
    </w:p>
    <w:p w:rsidR="003613D9" w:rsidRDefault="000B092A">
      <w:pPr>
        <w:pStyle w:val="Default"/>
        <w:numPr>
          <w:ilvl w:val="0"/>
          <w:numId w:val="15"/>
        </w:numPr>
        <w:spacing w:line="276" w:lineRule="auto"/>
        <w:ind w:left="1418" w:hanging="338"/>
        <w:jc w:val="both"/>
        <w:rPr>
          <w:rFonts w:ascii="Times New Roman" w:hAnsi="Times New Roman" w:cs="Times New Roman"/>
          <w:sz w:val="22"/>
          <w:szCs w:val="22"/>
        </w:rPr>
      </w:pPr>
      <w:r>
        <w:rPr>
          <w:rFonts w:ascii="Times New Roman" w:hAnsi="Times New Roman" w:cs="Times New Roman"/>
          <w:sz w:val="22"/>
          <w:szCs w:val="22"/>
        </w:rPr>
        <w:t>deklarowany strumień świetlny opraw ma być mierzony w temperaturze otoczenia oprawy nie mniejszej niż 25˚C i nie powinien być niższy niż 5500 lm (dla oprawy o mocy 50W),</w:t>
      </w:r>
    </w:p>
    <w:p w:rsidR="003613D9" w:rsidRDefault="000B092A">
      <w:pPr>
        <w:pStyle w:val="Default"/>
        <w:numPr>
          <w:ilvl w:val="0"/>
          <w:numId w:val="15"/>
        </w:numPr>
        <w:spacing w:line="276" w:lineRule="auto"/>
        <w:ind w:left="1418" w:hanging="338"/>
        <w:jc w:val="both"/>
        <w:rPr>
          <w:rFonts w:ascii="Times New Roman" w:hAnsi="Times New Roman" w:cs="Times New Roman"/>
          <w:sz w:val="22"/>
          <w:szCs w:val="22"/>
        </w:rPr>
      </w:pPr>
      <w:r>
        <w:rPr>
          <w:rFonts w:ascii="Times New Roman" w:hAnsi="Times New Roman" w:cs="Times New Roman"/>
          <w:sz w:val="22"/>
          <w:szCs w:val="22"/>
        </w:rPr>
        <w:t>panel LED musi umożliwiać jego wymianę bez wykonywania połączeń lutowanych,</w:t>
      </w:r>
    </w:p>
    <w:p w:rsidR="003613D9" w:rsidRDefault="003613D9">
      <w:pPr>
        <w:pStyle w:val="Default"/>
        <w:spacing w:line="276" w:lineRule="auto"/>
        <w:rPr>
          <w:rFonts w:ascii="Times New Roman" w:hAnsi="Times New Roman" w:cs="Times New Roman"/>
          <w:sz w:val="22"/>
          <w:szCs w:val="22"/>
        </w:rPr>
      </w:pPr>
    </w:p>
    <w:p w:rsidR="003613D9" w:rsidRDefault="000B092A">
      <w:pPr>
        <w:pStyle w:val="Default"/>
        <w:numPr>
          <w:ilvl w:val="1"/>
          <w:numId w:val="13"/>
        </w:numPr>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Oprawy mają być wyposażone w układ zasilający o następujących cechach minimalnych: </w:t>
      </w:r>
    </w:p>
    <w:p w:rsidR="003613D9" w:rsidRDefault="000B092A">
      <w:pPr>
        <w:pStyle w:val="Default"/>
        <w:numPr>
          <w:ilvl w:val="1"/>
          <w:numId w:val="16"/>
        </w:numPr>
        <w:spacing w:line="276" w:lineRule="auto"/>
        <w:rPr>
          <w:rFonts w:ascii="Times New Roman" w:hAnsi="Times New Roman" w:cs="Times New Roman"/>
          <w:sz w:val="22"/>
          <w:szCs w:val="22"/>
        </w:rPr>
      </w:pPr>
      <w:r>
        <w:rPr>
          <w:rFonts w:ascii="Times New Roman" w:hAnsi="Times New Roman" w:cs="Times New Roman"/>
          <w:sz w:val="22"/>
          <w:szCs w:val="22"/>
        </w:rPr>
        <w:t>układ zasilający ma posiadać trwałość nie gorszą niż zasilany z niego panel LED, na poziomie 80 000 – 100 000 godzin</w:t>
      </w:r>
    </w:p>
    <w:p w:rsidR="003613D9" w:rsidRDefault="000B092A">
      <w:pPr>
        <w:pStyle w:val="Default"/>
        <w:numPr>
          <w:ilvl w:val="1"/>
          <w:numId w:val="16"/>
        </w:numPr>
        <w:spacing w:line="276" w:lineRule="auto"/>
        <w:rPr>
          <w:rFonts w:ascii="Times New Roman" w:hAnsi="Times New Roman" w:cs="Times New Roman"/>
          <w:sz w:val="22"/>
          <w:szCs w:val="22"/>
        </w:rPr>
      </w:pPr>
      <w:r>
        <w:rPr>
          <w:rFonts w:ascii="Times New Roman" w:hAnsi="Times New Roman" w:cs="Times New Roman"/>
          <w:sz w:val="22"/>
          <w:szCs w:val="22"/>
        </w:rPr>
        <w:t>układ zasilający ma zabezpieczać źródło światła przed przepięciami o napięciu co najmniej 10kV</w:t>
      </w:r>
    </w:p>
    <w:p w:rsidR="003613D9" w:rsidRDefault="000B092A">
      <w:pPr>
        <w:pStyle w:val="Default"/>
        <w:numPr>
          <w:ilvl w:val="1"/>
          <w:numId w:val="16"/>
        </w:numPr>
        <w:spacing w:line="276" w:lineRule="auto"/>
        <w:rPr>
          <w:rFonts w:ascii="Times New Roman" w:hAnsi="Times New Roman" w:cs="Times New Roman"/>
          <w:sz w:val="22"/>
          <w:szCs w:val="22"/>
        </w:rPr>
      </w:pPr>
      <w:r>
        <w:rPr>
          <w:rFonts w:ascii="Times New Roman" w:hAnsi="Times New Roman" w:cs="Times New Roman"/>
          <w:sz w:val="22"/>
          <w:szCs w:val="22"/>
        </w:rPr>
        <w:t xml:space="preserve">układ zasilający ma mieć możliwość zaprogramowania 5-stopniowej autonomicznej redukcji mocy, </w:t>
      </w:r>
    </w:p>
    <w:p w:rsidR="003613D9" w:rsidRDefault="000B092A">
      <w:pPr>
        <w:pStyle w:val="Default"/>
        <w:numPr>
          <w:ilvl w:val="1"/>
          <w:numId w:val="16"/>
        </w:numPr>
        <w:spacing w:line="276" w:lineRule="auto"/>
        <w:rPr>
          <w:rFonts w:ascii="Times New Roman" w:hAnsi="Times New Roman" w:cs="Times New Roman"/>
          <w:sz w:val="22"/>
          <w:szCs w:val="22"/>
        </w:rPr>
      </w:pPr>
      <w:r>
        <w:rPr>
          <w:rFonts w:ascii="Times New Roman" w:hAnsi="Times New Roman" w:cs="Times New Roman"/>
          <w:sz w:val="22"/>
          <w:szCs w:val="22"/>
        </w:rPr>
        <w:t>ponad to oprawa powinna posiadać certyfikat niezależnej, międzynarodowej instytucji certyfikującej typu ENEC, DEKRA, potwierdzający deklarowane parametry techniczne.</w:t>
      </w:r>
    </w:p>
    <w:p w:rsidR="003613D9" w:rsidRDefault="000B092A">
      <w:pPr>
        <w:pStyle w:val="Default"/>
        <w:spacing w:line="276" w:lineRule="auto"/>
        <w:ind w:left="113"/>
      </w:pPr>
      <w:r>
        <w:rPr>
          <w:rFonts w:ascii="Times New Roman" w:hAnsi="Times New Roman" w:cs="Times New Roman"/>
          <w:sz w:val="22"/>
          <w:szCs w:val="22"/>
        </w:rPr>
        <w:t xml:space="preserve">VI. Minimalne parametry świetlne opraw do zamontowania opisane są w załączniku nr </w:t>
      </w:r>
      <w:r w:rsidRPr="00217911">
        <w:rPr>
          <w:rFonts w:ascii="Times New Roman" w:hAnsi="Times New Roman" w:cs="Times New Roman"/>
          <w:color w:val="auto"/>
          <w:sz w:val="22"/>
          <w:szCs w:val="22"/>
        </w:rPr>
        <w:t>7 – „Tabela równoważności dla opraw oświetlenia drogowego”</w:t>
      </w:r>
      <w:r w:rsidR="00217911">
        <w:rPr>
          <w:rFonts w:ascii="Times New Roman" w:hAnsi="Times New Roman" w:cs="Times New Roman"/>
          <w:color w:val="auto"/>
          <w:sz w:val="22"/>
          <w:szCs w:val="22"/>
        </w:rPr>
        <w:t>.</w:t>
      </w:r>
    </w:p>
    <w:p w:rsidR="003613D9" w:rsidRDefault="003613D9">
      <w:pPr>
        <w:pStyle w:val="Default"/>
        <w:spacing w:line="276" w:lineRule="auto"/>
        <w:ind w:left="567"/>
        <w:rPr>
          <w:rFonts w:ascii="Times New Roman" w:hAnsi="Times New Roman" w:cs="Times New Roman"/>
          <w:sz w:val="22"/>
          <w:szCs w:val="22"/>
        </w:rPr>
      </w:pPr>
    </w:p>
    <w:p w:rsidR="003613D9" w:rsidRDefault="000B092A">
      <w:pPr>
        <w:pStyle w:val="Default"/>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Dodatkowe wymagania dotyczące opraw oświetlenia ulicznego:                                                                                                                                                                                  - bezpośredni sposób świecenia                                                                                                                                                                                                                                                                       - efektywność zasilacza &gt;95%                                                                                                                                                                                                                                                                                                                                                                                                                                                                                                                                                                                                                                                                                                                                                                                                                                                                                                                                                                                                                                                                                                                                                                                                                                                                                                                                                                                                            - max. waga 7 kg                                                                                                                                                                                          - max wysokość oprawy 10 cm                                                                                                                                                                             - powierzchnia boczna korpusu eksponowana na wiatr nie może przekroczyć 0,04 m²   </w:t>
      </w:r>
    </w:p>
    <w:p w:rsidR="003613D9" w:rsidRDefault="000B092A">
      <w:pPr>
        <w:pStyle w:val="Default"/>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 CRI (Ra) &gt; 70                                                                                                                    </w:t>
      </w:r>
    </w:p>
    <w:p w:rsidR="003613D9" w:rsidRDefault="003613D9">
      <w:pPr>
        <w:pStyle w:val="Normalny10"/>
        <w:spacing w:after="0" w:line="276" w:lineRule="auto"/>
        <w:jc w:val="center"/>
        <w:rPr>
          <w:rFonts w:ascii="Times New Roman" w:hAnsi="Times New Roman" w:cs="Times New Roman"/>
          <w:b/>
          <w:bCs/>
          <w:color w:val="FF0000"/>
        </w:rPr>
      </w:pPr>
    </w:p>
    <w:p w:rsidR="003613D9" w:rsidRDefault="000B092A">
      <w:pPr>
        <w:pStyle w:val="Normalny10"/>
        <w:spacing w:after="0" w:line="276" w:lineRule="auto"/>
        <w:jc w:val="center"/>
        <w:rPr>
          <w:rFonts w:ascii="Times New Roman" w:hAnsi="Times New Roman" w:cs="Times New Roman"/>
          <w:i/>
          <w:iCs/>
        </w:rPr>
      </w:pPr>
      <w:r>
        <w:rPr>
          <w:rFonts w:ascii="Times New Roman" w:hAnsi="Times New Roman" w:cs="Times New Roman"/>
          <w:i/>
          <w:iCs/>
        </w:rPr>
        <w:t>PRZYKŁADOWY KSZTAŁT OPRAWY</w:t>
      </w:r>
    </w:p>
    <w:p w:rsidR="003613D9" w:rsidRDefault="000B092A">
      <w:pPr>
        <w:pStyle w:val="Normalny10"/>
        <w:tabs>
          <w:tab w:val="left" w:pos="720"/>
        </w:tabs>
        <w:spacing w:after="0" w:line="276" w:lineRule="auto"/>
        <w:ind w:left="705" w:hanging="15"/>
        <w:rPr>
          <w:rFonts w:ascii="Times New Roman" w:hAnsi="Times New Roman" w:cs="Times New Roman"/>
        </w:rPr>
      </w:pPr>
      <w:r>
        <w:rPr>
          <w:noProof/>
          <w:lang w:eastAsia="pl-PL"/>
        </w:rPr>
        <w:drawing>
          <wp:inline distT="0" distB="0" distL="0" distR="0">
            <wp:extent cx="2876550" cy="14859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2876550" cy="1485900"/>
                    </a:xfrm>
                    <a:prstGeom prst="rect">
                      <a:avLst/>
                    </a:prstGeom>
                    <a:noFill/>
                    <a:ln w="9525">
                      <a:noFill/>
                      <a:miter lim="800000"/>
                      <a:headEnd/>
                      <a:tailEnd/>
                    </a:ln>
                  </pic:spPr>
                </pic:pic>
              </a:graphicData>
            </a:graphic>
          </wp:inline>
        </w:drawing>
      </w:r>
      <w:r>
        <w:rPr>
          <w:noProof/>
          <w:lang w:eastAsia="pl-PL"/>
        </w:rPr>
        <w:drawing>
          <wp:inline distT="0" distB="0" distL="0" distR="0">
            <wp:extent cx="2400300" cy="12001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2400300" cy="1200150"/>
                    </a:xfrm>
                    <a:prstGeom prst="rect">
                      <a:avLst/>
                    </a:prstGeom>
                    <a:noFill/>
                    <a:ln w="9525">
                      <a:noFill/>
                      <a:miter lim="800000"/>
                      <a:headEnd/>
                      <a:tailEnd/>
                    </a:ln>
                  </pic:spPr>
                </pic:pic>
              </a:graphicData>
            </a:graphic>
          </wp:inline>
        </w:drawing>
      </w:r>
    </w:p>
    <w:p w:rsidR="003613D9" w:rsidRDefault="003613D9">
      <w:pPr>
        <w:pStyle w:val="Normalny10"/>
        <w:tabs>
          <w:tab w:val="left" w:pos="720"/>
        </w:tabs>
        <w:spacing w:after="0" w:line="276" w:lineRule="auto"/>
        <w:ind w:left="705" w:hanging="15"/>
        <w:rPr>
          <w:rFonts w:ascii="Times New Roman" w:hAnsi="Times New Roman" w:cs="Times New Roman"/>
          <w:b/>
          <w:bCs/>
        </w:rPr>
      </w:pPr>
    </w:p>
    <w:p w:rsidR="003613D9" w:rsidRDefault="000B092A">
      <w:pPr>
        <w:pStyle w:val="Normalny10"/>
        <w:tabs>
          <w:tab w:val="left" w:pos="720"/>
        </w:tabs>
        <w:spacing w:after="0" w:line="276" w:lineRule="auto"/>
        <w:ind w:left="705" w:hanging="15"/>
        <w:jc w:val="both"/>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noProof/>
          <w:lang w:eastAsia="pl-PL"/>
        </w:rPr>
        <w:drawing>
          <wp:inline distT="0" distB="0" distL="0" distR="0">
            <wp:extent cx="3495675" cy="8286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tretch>
                      <a:fillRect/>
                    </a:stretch>
                  </pic:blipFill>
                  <pic:spPr bwMode="auto">
                    <a:xfrm>
                      <a:off x="0" y="0"/>
                      <a:ext cx="3495675" cy="828675"/>
                    </a:xfrm>
                    <a:prstGeom prst="rect">
                      <a:avLst/>
                    </a:prstGeom>
                    <a:noFill/>
                    <a:ln w="9525">
                      <a:noFill/>
                      <a:miter lim="800000"/>
                      <a:headEnd/>
                      <a:tailEnd/>
                    </a:ln>
                  </pic:spPr>
                </pic:pic>
              </a:graphicData>
            </a:graphic>
          </wp:inline>
        </w:drawing>
      </w:r>
    </w:p>
    <w:p w:rsidR="003613D9" w:rsidRDefault="000B092A">
      <w:pPr>
        <w:pStyle w:val="Normalny10"/>
        <w:tabs>
          <w:tab w:val="left" w:pos="720"/>
        </w:tabs>
        <w:spacing w:after="0" w:line="276" w:lineRule="auto"/>
        <w:ind w:left="705" w:hanging="15"/>
        <w:jc w:val="both"/>
      </w:pPr>
      <w:r>
        <w:rPr>
          <w:rFonts w:ascii="Times New Roman" w:hAnsi="Times New Roman" w:cs="Times New Roman"/>
          <w:b/>
        </w:rPr>
        <w:t>Oprawy parkowe i parkowe ozdobne</w:t>
      </w:r>
    </w:p>
    <w:p w:rsidR="003613D9" w:rsidRDefault="000B092A">
      <w:pPr>
        <w:pStyle w:val="Normalny10"/>
        <w:tabs>
          <w:tab w:val="left" w:pos="720"/>
        </w:tabs>
        <w:spacing w:after="0" w:line="276" w:lineRule="auto"/>
        <w:ind w:left="705" w:hanging="15"/>
        <w:jc w:val="both"/>
        <w:rPr>
          <w:rFonts w:ascii="Times New Roman" w:hAnsi="Times New Roman" w:cs="Times New Roman"/>
        </w:rPr>
      </w:pPr>
      <w:r>
        <w:rPr>
          <w:rFonts w:ascii="Times New Roman" w:hAnsi="Times New Roman" w:cs="Times New Roman"/>
        </w:rPr>
        <w:t>Zamawiający dopuszcza wymianę źródeł światła wraz z układem zasilającym wewnątrz opraw, jeżeli Wykonawca zapewni wymaganą gwarancję na całość oprawy.</w:t>
      </w:r>
    </w:p>
    <w:p w:rsidR="003613D9" w:rsidRDefault="000B092A">
      <w:pPr>
        <w:pStyle w:val="Normalny10"/>
        <w:tabs>
          <w:tab w:val="left" w:pos="720"/>
        </w:tabs>
        <w:spacing w:after="0" w:line="276" w:lineRule="auto"/>
        <w:ind w:left="705" w:hanging="15"/>
        <w:jc w:val="both"/>
        <w:rPr>
          <w:rFonts w:ascii="Times New Roman" w:hAnsi="Times New Roman" w:cs="Times New Roman"/>
        </w:rPr>
      </w:pPr>
      <w:r>
        <w:rPr>
          <w:rFonts w:ascii="Times New Roman" w:hAnsi="Times New Roman" w:cs="Times New Roman"/>
        </w:rPr>
        <w:t>W przypadku montażu nowych opraw Wykonawca jest zobowiązany do dostosowania kształtu i wielkości opraw do stanu istniejącego, w szczególności do wymogów Wojewódzkiego Konserwatora Zabytków dla opraw na terenie objętym ochroną konserwatorską.</w:t>
      </w:r>
    </w:p>
    <w:p w:rsidR="003613D9" w:rsidRDefault="000B092A">
      <w:pPr>
        <w:pStyle w:val="Default"/>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 xml:space="preserve">Oprawy parkowe i parkowe ozdobne przeznaczone do zainstalowania powinny posiadać następujące właściwości i parametry: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 xml:space="preserve">muszą posiadać znak CE, </w:t>
      </w:r>
    </w:p>
    <w:p w:rsidR="003613D9" w:rsidRDefault="000B092A">
      <w:pPr>
        <w:pStyle w:val="Default"/>
        <w:numPr>
          <w:ilvl w:val="1"/>
          <w:numId w:val="11"/>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przy ustawieniu 0˚ w stosunku do podłoża, nie mogą emitować światła w górną półprzestrzeń zgodnie z Rozporządzeniem Komisji Europejskiej nr 245/2009 z dnia 18 marca 2009 (DZ Urzędowy UE z dnia 24.03.2009r.),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 xml:space="preserve">muszą spełniać wymogi bezpieczeństwa fotobiologicznego lamp i systemów lampowych IEC 62471,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 xml:space="preserve">skuteczność świetlna opraw, rozumiana, jako strumień świetlny emitowany przez oprawę z uwzględnieniem wszelkich występujących strat do całkowitej energii zużywanej przez oprawę, jako system, nie może być gorsza niż 80 lumenów/W,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 xml:space="preserve">muszą spełniać wymogi minimum I klasy ochronności.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 xml:space="preserve">stopień szczelności opraw nie może być mniejszy niż IP 65, </w:t>
      </w:r>
    </w:p>
    <w:p w:rsidR="003613D9" w:rsidRDefault="000B092A">
      <w:pPr>
        <w:pStyle w:val="Default"/>
        <w:numPr>
          <w:ilvl w:val="1"/>
          <w:numId w:val="11"/>
        </w:numPr>
        <w:spacing w:line="276" w:lineRule="auto"/>
        <w:rPr>
          <w:rFonts w:ascii="Times New Roman" w:hAnsi="Times New Roman" w:cs="Times New Roman"/>
          <w:sz w:val="22"/>
          <w:szCs w:val="22"/>
        </w:rPr>
      </w:pPr>
      <w:r>
        <w:rPr>
          <w:rFonts w:ascii="Times New Roman" w:hAnsi="Times New Roman" w:cs="Times New Roman"/>
          <w:sz w:val="22"/>
          <w:szCs w:val="22"/>
        </w:rPr>
        <w:t>zakres temperatur pracy minimum od -35˚ do +45,</w:t>
      </w:r>
    </w:p>
    <w:p w:rsidR="003613D9" w:rsidRDefault="003613D9">
      <w:pPr>
        <w:pStyle w:val="Normalny10"/>
        <w:tabs>
          <w:tab w:val="left" w:pos="720"/>
        </w:tabs>
        <w:spacing w:after="0" w:line="276" w:lineRule="auto"/>
        <w:jc w:val="both"/>
        <w:rPr>
          <w:rFonts w:ascii="Times New Roman" w:hAnsi="Times New Roman" w:cs="Times New Roman"/>
          <w:b/>
          <w:bCs/>
        </w:rPr>
      </w:pPr>
    </w:p>
    <w:p w:rsidR="003613D9" w:rsidRDefault="000B092A">
      <w:pPr>
        <w:pStyle w:val="Normalny10"/>
        <w:tabs>
          <w:tab w:val="left" w:pos="720"/>
        </w:tabs>
        <w:spacing w:after="0" w:line="276" w:lineRule="auto"/>
        <w:jc w:val="both"/>
        <w:rPr>
          <w:rFonts w:ascii="Times New Roman" w:hAnsi="Times New Roman" w:cs="Times New Roman"/>
          <w:b/>
          <w:bCs/>
        </w:rPr>
      </w:pPr>
      <w:r>
        <w:rPr>
          <w:rFonts w:ascii="Times New Roman" w:hAnsi="Times New Roman" w:cs="Times New Roman"/>
          <w:b/>
          <w:bCs/>
        </w:rPr>
        <w:t>1.4. Uwarunkowania wykonania przedmiotu zamówienia</w:t>
      </w:r>
    </w:p>
    <w:p w:rsidR="003613D9" w:rsidRDefault="003613D9">
      <w:pPr>
        <w:pStyle w:val="Normalny10"/>
        <w:tabs>
          <w:tab w:val="left" w:pos="720"/>
        </w:tabs>
        <w:spacing w:after="0" w:line="276" w:lineRule="auto"/>
        <w:jc w:val="both"/>
        <w:rPr>
          <w:rFonts w:ascii="Times New Roman" w:hAnsi="Times New Roman" w:cs="Times New Roman"/>
          <w:b/>
          <w:bCs/>
        </w:rPr>
      </w:pPr>
    </w:p>
    <w:p w:rsidR="003613D9" w:rsidRDefault="000B092A">
      <w:pPr>
        <w:pStyle w:val="Normalny10"/>
        <w:numPr>
          <w:ilvl w:val="0"/>
          <w:numId w:val="17"/>
        </w:numPr>
        <w:tabs>
          <w:tab w:val="left" w:pos="330"/>
        </w:tabs>
        <w:spacing w:after="0" w:line="276" w:lineRule="auto"/>
        <w:jc w:val="both"/>
      </w:pPr>
      <w:r>
        <w:rPr>
          <w:rFonts w:ascii="Times New Roman" w:hAnsi="Times New Roman" w:cs="Times New Roman"/>
        </w:rPr>
        <w:t>Uzyskanie wszelkich uzgodnień, decyzji, mapy geodezyjne do celów projektowych jest po stronie Wykonawcy na podstawie otrzymanego od Zamawiającego pełnomocnictwa.</w:t>
      </w:r>
    </w:p>
    <w:p w:rsidR="003613D9" w:rsidRDefault="000B092A">
      <w:pPr>
        <w:pStyle w:val="Normalny10"/>
        <w:numPr>
          <w:ilvl w:val="0"/>
          <w:numId w:val="17"/>
        </w:numPr>
        <w:tabs>
          <w:tab w:val="left" w:pos="330"/>
          <w:tab w:val="left" w:pos="510"/>
        </w:tabs>
        <w:spacing w:after="0" w:line="276" w:lineRule="auto"/>
        <w:jc w:val="both"/>
      </w:pPr>
      <w:r>
        <w:rPr>
          <w:rFonts w:ascii="Times New Roman" w:hAnsi="Times New Roman" w:cs="Times New Roman"/>
        </w:rPr>
        <w:t xml:space="preserve">Na etapie ewentualnego projektowania Wykonawca jest zobowiązany do konsultacji </w:t>
      </w:r>
      <w:r>
        <w:rPr>
          <w:rFonts w:ascii="Times New Roman" w:hAnsi="Times New Roman" w:cs="Times New Roman"/>
        </w:rPr>
        <w:br/>
        <w:t>z Zamawiającym i uzyskania jego aprobaty w stosunku do oferowanych rozwiązań technicznych.</w:t>
      </w:r>
    </w:p>
    <w:p w:rsidR="003613D9" w:rsidRDefault="000B092A">
      <w:pPr>
        <w:pStyle w:val="Normalny10"/>
        <w:numPr>
          <w:ilvl w:val="0"/>
          <w:numId w:val="17"/>
        </w:numPr>
        <w:tabs>
          <w:tab w:val="left" w:pos="525"/>
        </w:tabs>
        <w:spacing w:after="0" w:line="276" w:lineRule="auto"/>
        <w:jc w:val="both"/>
      </w:pPr>
      <w:r>
        <w:rPr>
          <w:rFonts w:ascii="Times New Roman" w:hAnsi="Times New Roman" w:cs="Times New Roman"/>
        </w:rPr>
        <w:t>Wykonawca dołączy do ewentualnego projektu oświadczenie, że jest on wykonany zgodnie z umową, obowiązującymi przepisami, normami i wytycznymi, oraz że jest on kompletny z punktu widzenia celu, któremu ma służyć.</w:t>
      </w:r>
    </w:p>
    <w:p w:rsidR="003613D9" w:rsidRDefault="000B092A">
      <w:pPr>
        <w:pStyle w:val="Normalny10"/>
        <w:numPr>
          <w:ilvl w:val="0"/>
          <w:numId w:val="17"/>
        </w:numPr>
        <w:tabs>
          <w:tab w:val="left" w:pos="525"/>
        </w:tabs>
        <w:spacing w:after="0" w:line="276" w:lineRule="auto"/>
        <w:jc w:val="both"/>
      </w:pPr>
      <w:r>
        <w:rPr>
          <w:rFonts w:ascii="Times New Roman" w:hAnsi="Times New Roman" w:cs="Times New Roman"/>
        </w:rPr>
        <w:t>Dla nowych odcinków oświetlenia n</w:t>
      </w:r>
      <w:r>
        <w:rPr>
          <w:rFonts w:ascii="Times New Roman" w:hAnsi="Times New Roman" w:cs="Times New Roman"/>
          <w:color w:val="000000"/>
        </w:rPr>
        <w:t>ależy stosować oprawy oświetleniowe, których charakterystyki świetlne zapewniają maksymalizację odstępów między słupami (przy zachowaniu odpowiedniej równomierności oświetlenia).</w:t>
      </w:r>
    </w:p>
    <w:p w:rsidR="003613D9" w:rsidRDefault="000B092A">
      <w:pPr>
        <w:pStyle w:val="Normalny10"/>
        <w:numPr>
          <w:ilvl w:val="0"/>
          <w:numId w:val="17"/>
        </w:numPr>
        <w:tabs>
          <w:tab w:val="left" w:pos="480"/>
        </w:tabs>
        <w:spacing w:after="0" w:line="276" w:lineRule="auto"/>
        <w:jc w:val="both"/>
      </w:pPr>
      <w:r>
        <w:rPr>
          <w:rFonts w:ascii="Times New Roman" w:hAnsi="Times New Roman" w:cs="Times New Roman"/>
          <w:shd w:val="clear" w:color="auto" w:fill="FFFFFF"/>
        </w:rPr>
        <w:t>Wykonawca będzie zobowiązany zapewnić osobom upoważnionym przez Zamawiającego dostępu na teren budowy.</w:t>
      </w:r>
    </w:p>
    <w:p w:rsidR="003613D9" w:rsidRDefault="000B092A">
      <w:pPr>
        <w:pStyle w:val="Normalny10"/>
        <w:numPr>
          <w:ilvl w:val="0"/>
          <w:numId w:val="17"/>
        </w:numPr>
        <w:tabs>
          <w:tab w:val="left" w:pos="480"/>
        </w:tabs>
        <w:spacing w:after="0" w:line="276" w:lineRule="auto"/>
        <w:jc w:val="both"/>
        <w:rPr>
          <w:rFonts w:ascii="Times New Roman" w:hAnsi="Times New Roman" w:cs="Times New Roman"/>
        </w:rPr>
      </w:pPr>
      <w:r>
        <w:rPr>
          <w:rFonts w:ascii="Times New Roman" w:hAnsi="Times New Roman" w:cs="Times New Roman"/>
        </w:rPr>
        <w:t>Wykonawca w ramach oferowanej ceny za wykonanie przedmiotu zamówienia musi wycenić wszystkie koszty związane z realizacją inwestycji wynikające z niniejszego programu funkcjonalno-użytkowego, związane z robotami przygotowawczymi, porządkowymi, organizacją zaplecza budowy, odbudowy nawierzchni itp.</w:t>
      </w:r>
    </w:p>
    <w:p w:rsidR="003613D9" w:rsidRDefault="000B092A">
      <w:pPr>
        <w:pStyle w:val="Normalny10"/>
        <w:numPr>
          <w:ilvl w:val="0"/>
          <w:numId w:val="17"/>
        </w:numPr>
        <w:spacing w:after="0" w:line="276" w:lineRule="auto"/>
        <w:jc w:val="both"/>
        <w:rPr>
          <w:rFonts w:ascii="Times New Roman" w:hAnsi="Times New Roman" w:cs="Times New Roman"/>
        </w:rPr>
      </w:pPr>
      <w:r>
        <w:rPr>
          <w:rFonts w:ascii="Times New Roman" w:hAnsi="Times New Roman" w:cs="Times New Roman"/>
        </w:rPr>
        <w:lastRenderedPageBreak/>
        <w:t>W miejscach prowadzenia robót teren przywrócić do stanu poprzedniego, nawierzchnie rozbieralne, odtwarzać z wykorzystaniem materiału z rozbiórki, elementy uszkodzone lub zniszczone wymienić na nowe. Trawniki i zieleńce uzupełnić humusem i obsiać trawą.</w:t>
      </w:r>
    </w:p>
    <w:p w:rsidR="003613D9" w:rsidRDefault="000B092A">
      <w:pPr>
        <w:pStyle w:val="Normalny10"/>
        <w:numPr>
          <w:ilvl w:val="0"/>
          <w:numId w:val="17"/>
        </w:numPr>
        <w:tabs>
          <w:tab w:val="left" w:pos="480"/>
        </w:tabs>
        <w:spacing w:after="0" w:line="276" w:lineRule="auto"/>
        <w:jc w:val="both"/>
      </w:pPr>
      <w:r>
        <w:rPr>
          <w:rFonts w:ascii="Times New Roman" w:hAnsi="Times New Roman" w:cs="Times New Roman"/>
          <w:color w:val="000000"/>
        </w:rPr>
        <w:t>Wszystkie urządzenia muszą posiadać znak bezpieczeństwa CE oraz spełniać wymagania obowiązujących norm i przepisów, w szczególności wymagania w zakresie ochrony przeciwporażeniowej.</w:t>
      </w:r>
    </w:p>
    <w:p w:rsidR="003613D9" w:rsidRDefault="003613D9">
      <w:pPr>
        <w:pStyle w:val="Normalny10"/>
        <w:tabs>
          <w:tab w:val="left" w:pos="165"/>
        </w:tabs>
        <w:spacing w:after="0" w:line="276" w:lineRule="auto"/>
        <w:jc w:val="both"/>
        <w:rPr>
          <w:rFonts w:ascii="Times New Roman" w:hAnsi="Times New Roman" w:cs="Times New Roman"/>
        </w:rPr>
      </w:pPr>
    </w:p>
    <w:p w:rsidR="003613D9" w:rsidRDefault="003613D9">
      <w:pPr>
        <w:pStyle w:val="Normalny10"/>
        <w:tabs>
          <w:tab w:val="left" w:pos="165"/>
        </w:tabs>
        <w:spacing w:after="0" w:line="276" w:lineRule="auto"/>
        <w:jc w:val="both"/>
        <w:rPr>
          <w:rFonts w:ascii="Times New Roman" w:hAnsi="Times New Roman" w:cs="Times New Roman"/>
        </w:rPr>
      </w:pPr>
    </w:p>
    <w:p w:rsidR="003613D9" w:rsidRDefault="000B092A">
      <w:pPr>
        <w:pStyle w:val="Normalny10"/>
        <w:spacing w:after="0" w:line="276" w:lineRule="auto"/>
        <w:jc w:val="both"/>
        <w:rPr>
          <w:rFonts w:ascii="Times New Roman" w:hAnsi="Times New Roman" w:cs="Times New Roman"/>
          <w:b/>
          <w:bCs/>
        </w:rPr>
      </w:pPr>
      <w:r>
        <w:rPr>
          <w:rFonts w:ascii="Times New Roman" w:hAnsi="Times New Roman" w:cs="Times New Roman"/>
          <w:b/>
          <w:bCs/>
        </w:rPr>
        <w:t>2. Część informacyjna</w:t>
      </w:r>
    </w:p>
    <w:p w:rsidR="003613D9" w:rsidRDefault="000B092A">
      <w:pPr>
        <w:pStyle w:val="Normalny10"/>
        <w:spacing w:after="0" w:line="276" w:lineRule="auto"/>
        <w:jc w:val="both"/>
      </w:pPr>
      <w:r>
        <w:rPr>
          <w:rFonts w:ascii="Times New Roman" w:hAnsi="Times New Roman" w:cs="Times New Roman"/>
          <w:b/>
          <w:bCs/>
        </w:rPr>
        <w:t xml:space="preserve">2.1 podstawy prawne  </w:t>
      </w:r>
    </w:p>
    <w:p w:rsidR="003613D9" w:rsidRPr="00217911" w:rsidRDefault="000B092A">
      <w:pPr>
        <w:pStyle w:val="NormalnyWeb"/>
        <w:rPr>
          <w:color w:val="auto"/>
        </w:rPr>
      </w:pPr>
      <w:r>
        <w:t xml:space="preserve">1. </w:t>
      </w:r>
      <w:r w:rsidRPr="00217911">
        <w:rPr>
          <w:color w:val="auto"/>
        </w:rPr>
        <w:t>Ustawa z dnia 7 lipca 1994 Prawo budowlane (</w:t>
      </w:r>
      <w:proofErr w:type="spellStart"/>
      <w:r w:rsidRPr="00217911">
        <w:rPr>
          <w:color w:val="auto"/>
        </w:rPr>
        <w:t>t.j</w:t>
      </w:r>
      <w:proofErr w:type="spellEnd"/>
      <w:r w:rsidRPr="00217911">
        <w:rPr>
          <w:color w:val="auto"/>
        </w:rPr>
        <w:t>. Dz. U. z 2017 r., poz. 1332).</w:t>
      </w:r>
      <w:bookmarkStart w:id="5" w:name="listIco"/>
      <w:bookmarkStart w:id="6" w:name="docTitle"/>
      <w:bookmarkEnd w:id="5"/>
      <w:bookmarkEnd w:id="6"/>
      <w:r w:rsidRPr="00217911">
        <w:rPr>
          <w:rFonts w:eastAsia="Times New Roman"/>
          <w:color w:val="auto"/>
          <w:lang w:eastAsia="pl-PL"/>
        </w:rPr>
        <w:t xml:space="preserve"> </w:t>
      </w:r>
    </w:p>
    <w:p w:rsidR="003613D9" w:rsidRPr="00217911" w:rsidRDefault="000B092A">
      <w:pPr>
        <w:pStyle w:val="Normalny10"/>
        <w:spacing w:after="0" w:line="276" w:lineRule="auto"/>
        <w:jc w:val="both"/>
        <w:rPr>
          <w:color w:val="auto"/>
          <w:sz w:val="24"/>
          <w:szCs w:val="24"/>
        </w:rPr>
      </w:pPr>
      <w:r w:rsidRPr="00217911">
        <w:rPr>
          <w:rFonts w:ascii="Times New Roman" w:hAnsi="Times New Roman" w:cs="Times New Roman"/>
          <w:color w:val="auto"/>
          <w:sz w:val="24"/>
          <w:szCs w:val="24"/>
        </w:rPr>
        <w:t>2. Ustawa z dnia z dnia 29 stycznia 2004 r. Prawo zamówień publicznych (</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2017 r., poz. 1579).</w:t>
      </w:r>
      <w:r w:rsidRPr="00217911">
        <w:rPr>
          <w:color w:val="auto"/>
          <w:sz w:val="24"/>
          <w:szCs w:val="24"/>
        </w:rPr>
        <w:t xml:space="preserve"> </w:t>
      </w:r>
    </w:p>
    <w:p w:rsidR="003613D9" w:rsidRPr="00217911" w:rsidRDefault="000B092A">
      <w:pPr>
        <w:pStyle w:val="Normalny10"/>
        <w:spacing w:after="0" w:line="276" w:lineRule="auto"/>
        <w:jc w:val="both"/>
        <w:rPr>
          <w:color w:val="auto"/>
          <w:sz w:val="24"/>
          <w:szCs w:val="24"/>
        </w:rPr>
      </w:pPr>
      <w:r w:rsidRPr="00217911">
        <w:rPr>
          <w:rFonts w:ascii="Times New Roman" w:hAnsi="Times New Roman" w:cs="Times New Roman"/>
          <w:color w:val="auto"/>
          <w:sz w:val="24"/>
          <w:szCs w:val="24"/>
        </w:rPr>
        <w:t>3. Ustawa z dnia 16 kwietnia 2004 r. o wyrobach budowlanych (</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2016 r., poz. 1570).</w:t>
      </w:r>
    </w:p>
    <w:p w:rsidR="003613D9" w:rsidRPr="00217911" w:rsidRDefault="000B092A">
      <w:pPr>
        <w:pStyle w:val="Normalny10"/>
        <w:spacing w:after="0" w:line="276" w:lineRule="auto"/>
        <w:jc w:val="both"/>
        <w:rPr>
          <w:color w:val="auto"/>
          <w:sz w:val="24"/>
          <w:szCs w:val="24"/>
        </w:rPr>
      </w:pPr>
      <w:r w:rsidRPr="00217911">
        <w:rPr>
          <w:rFonts w:ascii="Times New Roman" w:hAnsi="Times New Roman" w:cs="Times New Roman"/>
          <w:color w:val="auto"/>
          <w:sz w:val="24"/>
          <w:szCs w:val="24"/>
        </w:rPr>
        <w:t xml:space="preserve">4. Ustawa z dnia 16 kwietnia 2004 r. o ochronie przyrody </w:t>
      </w:r>
      <w:r w:rsidRPr="00217911">
        <w:rPr>
          <w:rFonts w:ascii="Times New Roman" w:hAnsi="Times New Roman" w:cs="Times New Roman"/>
          <w:strike/>
          <w:color w:val="auto"/>
          <w:sz w:val="24"/>
          <w:szCs w:val="24"/>
        </w:rPr>
        <w:t>(</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2016 r., poz. 2134).</w:t>
      </w:r>
      <w:r w:rsidRPr="00217911">
        <w:rPr>
          <w:color w:val="auto"/>
          <w:sz w:val="24"/>
          <w:szCs w:val="24"/>
        </w:rPr>
        <w:t xml:space="preserve"> </w:t>
      </w:r>
    </w:p>
    <w:p w:rsidR="003613D9" w:rsidRPr="00217911" w:rsidRDefault="000B092A">
      <w:pPr>
        <w:pStyle w:val="Normalny10"/>
        <w:spacing w:after="0" w:line="276" w:lineRule="auto"/>
        <w:jc w:val="both"/>
        <w:rPr>
          <w:color w:val="auto"/>
          <w:sz w:val="24"/>
          <w:szCs w:val="24"/>
        </w:rPr>
      </w:pPr>
      <w:r w:rsidRPr="00217911">
        <w:rPr>
          <w:rFonts w:ascii="Times New Roman" w:hAnsi="Times New Roman" w:cs="Times New Roman"/>
          <w:color w:val="auto"/>
          <w:sz w:val="24"/>
          <w:szCs w:val="24"/>
        </w:rPr>
        <w:t>5. Ustawa z dnia 17 maja 1989 r. Prawo geodezyjne i kartograficzne (</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2017 r., poz. 2101).</w:t>
      </w:r>
    </w:p>
    <w:p w:rsidR="003613D9" w:rsidRPr="00217911" w:rsidRDefault="000B092A">
      <w:pPr>
        <w:pStyle w:val="Normalny10"/>
        <w:spacing w:after="0" w:line="276" w:lineRule="auto"/>
        <w:jc w:val="both"/>
        <w:rPr>
          <w:rFonts w:ascii="Times New Roman" w:hAnsi="Times New Roman" w:cs="Times New Roman"/>
          <w:color w:val="auto"/>
          <w:sz w:val="24"/>
          <w:szCs w:val="24"/>
        </w:rPr>
      </w:pPr>
      <w:r w:rsidRPr="00217911">
        <w:rPr>
          <w:rFonts w:ascii="Times New Roman" w:hAnsi="Times New Roman" w:cs="Times New Roman"/>
          <w:color w:val="auto"/>
          <w:sz w:val="24"/>
          <w:szCs w:val="24"/>
        </w:rPr>
        <w:t>6. Ustawa o normalizacji z dnia 12 września 2002 r. (</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2015 r., poz. 1483).</w:t>
      </w:r>
    </w:p>
    <w:p w:rsidR="003613D9" w:rsidRPr="00217911" w:rsidRDefault="000B092A">
      <w:pPr>
        <w:pStyle w:val="Normalny10"/>
        <w:spacing w:after="0" w:line="276" w:lineRule="auto"/>
        <w:jc w:val="both"/>
        <w:rPr>
          <w:color w:val="auto"/>
          <w:sz w:val="24"/>
          <w:szCs w:val="24"/>
        </w:rPr>
      </w:pPr>
      <w:r w:rsidRPr="00217911">
        <w:rPr>
          <w:rFonts w:ascii="Times New Roman" w:hAnsi="Times New Roman" w:cs="Times New Roman"/>
          <w:color w:val="auto"/>
          <w:sz w:val="24"/>
          <w:szCs w:val="24"/>
        </w:rPr>
        <w:t>7. Ustawa z dnia 10 kwietnia 1997 r. Prawo energetyczne (</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2017 r. poz. 220).</w:t>
      </w:r>
    </w:p>
    <w:p w:rsidR="003613D9" w:rsidRPr="00217911" w:rsidRDefault="000B092A">
      <w:pPr>
        <w:pStyle w:val="Normalny10"/>
        <w:spacing w:after="0" w:line="276" w:lineRule="auto"/>
        <w:jc w:val="both"/>
        <w:rPr>
          <w:color w:val="auto"/>
          <w:sz w:val="24"/>
          <w:szCs w:val="24"/>
        </w:rPr>
      </w:pPr>
      <w:r w:rsidRPr="00217911">
        <w:rPr>
          <w:rFonts w:ascii="Times New Roman" w:hAnsi="Times New Roman" w:cs="Times New Roman"/>
          <w:color w:val="auto"/>
          <w:sz w:val="24"/>
          <w:szCs w:val="24"/>
        </w:rPr>
        <w:t>8. Ustawa z dnia 30 sierpnia 2002 r. o systemie oceny zgodności (</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2017 r., poz. 1226).</w:t>
      </w:r>
    </w:p>
    <w:p w:rsidR="003613D9" w:rsidRPr="00217911" w:rsidRDefault="000B092A">
      <w:pPr>
        <w:pStyle w:val="Normalny10"/>
        <w:spacing w:after="0" w:line="276" w:lineRule="auto"/>
        <w:jc w:val="both"/>
        <w:rPr>
          <w:color w:val="auto"/>
          <w:sz w:val="24"/>
          <w:szCs w:val="24"/>
        </w:rPr>
      </w:pPr>
      <w:r w:rsidRPr="00217911">
        <w:rPr>
          <w:rFonts w:ascii="Times New Roman" w:hAnsi="Times New Roman" w:cs="Times New Roman"/>
          <w:color w:val="auto"/>
          <w:sz w:val="24"/>
          <w:szCs w:val="24"/>
        </w:rPr>
        <w:t>9. Ustawa z dnia 20 czerwca 1997 r. Prawo o ruchu drogowym (</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2017 r. poz. 1260).</w:t>
      </w:r>
    </w:p>
    <w:p w:rsidR="003613D9" w:rsidRPr="00217911" w:rsidRDefault="000B092A">
      <w:pPr>
        <w:pStyle w:val="Normalny10"/>
        <w:spacing w:after="0" w:line="276" w:lineRule="auto"/>
        <w:jc w:val="both"/>
        <w:rPr>
          <w:rFonts w:ascii="Times New Roman" w:hAnsi="Times New Roman" w:cs="Times New Roman"/>
          <w:color w:val="auto"/>
          <w:sz w:val="24"/>
          <w:szCs w:val="24"/>
        </w:rPr>
      </w:pPr>
      <w:r w:rsidRPr="00217911">
        <w:rPr>
          <w:rFonts w:ascii="Times New Roman" w:hAnsi="Times New Roman" w:cs="Times New Roman"/>
          <w:color w:val="auto"/>
          <w:sz w:val="24"/>
          <w:szCs w:val="24"/>
        </w:rPr>
        <w:t>10. Rozporządzenia Ministra Transportu, Budownictwa i Gospodarki Morskiej z dnia 25 kwietnia 2012 r. w sprawie szczegółowego zakresu i formy projektu budowlanego.</w:t>
      </w:r>
    </w:p>
    <w:p w:rsidR="003613D9" w:rsidRPr="00217911" w:rsidRDefault="000B092A">
      <w:pPr>
        <w:pStyle w:val="Normalny10"/>
        <w:spacing w:after="0" w:line="276" w:lineRule="auto"/>
        <w:jc w:val="both"/>
        <w:rPr>
          <w:color w:val="auto"/>
          <w:sz w:val="24"/>
          <w:szCs w:val="24"/>
        </w:rPr>
      </w:pPr>
      <w:r w:rsidRPr="00217911">
        <w:rPr>
          <w:rFonts w:ascii="Times New Roman" w:hAnsi="Times New Roman" w:cs="Times New Roman"/>
          <w:color w:val="auto"/>
          <w:sz w:val="24"/>
          <w:szCs w:val="24"/>
        </w:rPr>
        <w:t>11. Rozporządzenie Ministra Infrastruktury z dnia 2 września 2004 r. w sprawie szczegółowego zakresu i formy dokumentacji projektowej, specyfikacji technicznych wykonania i odbioru robót budowlanych oraz programu funkcjonalno – użytkowego (Dz. U. z 2004 r., Nr 202, poz. 2072) tekst jednolity z 10 maja 2013 r. (Dz. U. z 2013 r. poz. 1129).</w:t>
      </w:r>
    </w:p>
    <w:p w:rsidR="003613D9" w:rsidRPr="00217911" w:rsidRDefault="000B092A">
      <w:pPr>
        <w:pStyle w:val="Normalny10"/>
        <w:spacing w:after="0" w:line="276" w:lineRule="auto"/>
        <w:jc w:val="both"/>
        <w:rPr>
          <w:color w:val="auto"/>
          <w:sz w:val="24"/>
          <w:szCs w:val="24"/>
        </w:rPr>
      </w:pPr>
      <w:r w:rsidRPr="00217911">
        <w:rPr>
          <w:rFonts w:ascii="Times New Roman" w:hAnsi="Times New Roman" w:cs="Times New Roman"/>
          <w:color w:val="auto"/>
          <w:sz w:val="24"/>
          <w:szCs w:val="24"/>
        </w:rPr>
        <w:t>12. Rozporządzenie Ministra Infrastruktury z dnia 18 maja 2004r. w sprawie określenia metod i podstaw sporządzania kosztorysu inwestorskiego, obliczania planowanych kosztów prac projektowych oraz planowanych kosztów robót budowlanych określonych w programie funkcjonalno – użytkowym ( Dz. U. z 2004 r., nr 130, poz. 1389).</w:t>
      </w:r>
    </w:p>
    <w:p w:rsidR="003613D9" w:rsidRPr="00217911" w:rsidRDefault="000B092A">
      <w:pPr>
        <w:pStyle w:val="Normalny10"/>
        <w:spacing w:after="0" w:line="276" w:lineRule="auto"/>
        <w:jc w:val="both"/>
        <w:rPr>
          <w:color w:val="auto"/>
          <w:sz w:val="24"/>
          <w:szCs w:val="24"/>
        </w:rPr>
      </w:pPr>
      <w:r w:rsidRPr="00217911">
        <w:rPr>
          <w:rFonts w:ascii="Times New Roman" w:hAnsi="Times New Roman" w:cs="Times New Roman"/>
          <w:color w:val="auto"/>
          <w:sz w:val="24"/>
          <w:szCs w:val="24"/>
        </w:rPr>
        <w:t>13. Rozporządzenie Ministra Infrastruktury z dnia 23 czerwca 2003 r. w sprawie informacji dotyczącej bezpieczeństwa i ochrony zdrowia oraz planu bezpieczeństwa i ochrony zdrowia (Dz. U. z 2003 r., Nr 120, poz. 1126).</w:t>
      </w:r>
    </w:p>
    <w:p w:rsidR="003613D9" w:rsidRPr="00217911" w:rsidRDefault="000B092A">
      <w:pPr>
        <w:pStyle w:val="Normalny10"/>
        <w:spacing w:after="0" w:line="276" w:lineRule="auto"/>
        <w:jc w:val="both"/>
        <w:rPr>
          <w:rFonts w:ascii="Times New Roman" w:hAnsi="Times New Roman" w:cs="Times New Roman"/>
          <w:color w:val="auto"/>
          <w:sz w:val="24"/>
          <w:szCs w:val="24"/>
        </w:rPr>
      </w:pPr>
      <w:r w:rsidRPr="00217911">
        <w:rPr>
          <w:rFonts w:ascii="Times New Roman" w:hAnsi="Times New Roman" w:cs="Times New Roman"/>
          <w:color w:val="auto"/>
          <w:sz w:val="24"/>
          <w:szCs w:val="24"/>
        </w:rPr>
        <w:t>14. Rozporządzenie Ministra Gospodarki w sprawie bezpieczeństwa i higieny pracy przy urządzeniach</w:t>
      </w:r>
      <w:r w:rsidR="00217911">
        <w:rPr>
          <w:rFonts w:ascii="Times New Roman" w:hAnsi="Times New Roman" w:cs="Times New Roman"/>
          <w:color w:val="auto"/>
          <w:sz w:val="24"/>
          <w:szCs w:val="24"/>
        </w:rPr>
        <w:t xml:space="preserve"> </w:t>
      </w:r>
      <w:r w:rsidRPr="00217911">
        <w:rPr>
          <w:rFonts w:ascii="Times New Roman" w:hAnsi="Times New Roman" w:cs="Times New Roman"/>
          <w:color w:val="auto"/>
          <w:sz w:val="24"/>
          <w:szCs w:val="24"/>
        </w:rPr>
        <w:t>i instalacjach energetycznych z dnia 28 marca 2013 r. (Dz. U. z 2013 r., poz. 492).</w:t>
      </w:r>
    </w:p>
    <w:p w:rsidR="003613D9" w:rsidRPr="00217911" w:rsidRDefault="000B092A">
      <w:pPr>
        <w:pStyle w:val="Normalny10"/>
        <w:spacing w:after="0" w:line="276" w:lineRule="auto"/>
        <w:jc w:val="both"/>
        <w:rPr>
          <w:rFonts w:ascii="Times New Roman" w:hAnsi="Times New Roman" w:cs="Times New Roman"/>
          <w:color w:val="auto"/>
          <w:sz w:val="24"/>
          <w:szCs w:val="24"/>
        </w:rPr>
      </w:pPr>
      <w:r w:rsidRPr="00217911">
        <w:rPr>
          <w:rFonts w:ascii="Times New Roman" w:hAnsi="Times New Roman" w:cs="Times New Roman"/>
          <w:color w:val="auto"/>
          <w:sz w:val="24"/>
          <w:szCs w:val="24"/>
        </w:rPr>
        <w:lastRenderedPageBreak/>
        <w:t>15. Rozporządzenie Ministra Transportu i Gospodarki Morskiej z dnia 2 marca 1999 r. w sprawie warunków technicznych jakim powinny odpowiadać drogi publiczne i ich usytuowanie (</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2016 r., poz. 124).</w:t>
      </w:r>
    </w:p>
    <w:p w:rsidR="003613D9" w:rsidRPr="00217911" w:rsidRDefault="000B092A">
      <w:pPr>
        <w:pStyle w:val="Normalny10"/>
        <w:numPr>
          <w:ilvl w:val="0"/>
          <w:numId w:val="5"/>
        </w:numPr>
        <w:tabs>
          <w:tab w:val="left" w:pos="360"/>
        </w:tabs>
        <w:spacing w:after="0" w:line="276" w:lineRule="auto"/>
        <w:ind w:left="0" w:hanging="15"/>
        <w:jc w:val="both"/>
        <w:rPr>
          <w:color w:val="auto"/>
          <w:sz w:val="24"/>
          <w:szCs w:val="24"/>
        </w:rPr>
      </w:pPr>
      <w:r w:rsidRPr="00217911">
        <w:rPr>
          <w:rFonts w:ascii="Times New Roman" w:hAnsi="Times New Roman" w:cs="Times New Roman"/>
          <w:color w:val="auto"/>
          <w:sz w:val="24"/>
          <w:szCs w:val="24"/>
        </w:rPr>
        <w:t>Rozporządzenie Ministra Gospodarki Przestrzennej i Budownictwa z dnia 21 lutego 1995 r. w sprawie rodzajów i zakresu opracowań geodezyjno – kartograficznych oraz czynności geodezyjnych obowiązujących w budownictwie ( Dz. U. z 1995 r., Nr 25, poz. 133).</w:t>
      </w:r>
    </w:p>
    <w:p w:rsidR="003613D9" w:rsidRPr="00217911" w:rsidRDefault="000B092A">
      <w:pPr>
        <w:pStyle w:val="Normalny10"/>
        <w:numPr>
          <w:ilvl w:val="0"/>
          <w:numId w:val="5"/>
        </w:numPr>
        <w:tabs>
          <w:tab w:val="left" w:pos="360"/>
        </w:tabs>
        <w:spacing w:after="0" w:line="276" w:lineRule="auto"/>
        <w:ind w:left="0" w:hanging="15"/>
        <w:jc w:val="both"/>
        <w:rPr>
          <w:color w:val="auto"/>
          <w:sz w:val="24"/>
          <w:szCs w:val="24"/>
        </w:rPr>
      </w:pPr>
      <w:r w:rsidRPr="00217911">
        <w:rPr>
          <w:rFonts w:ascii="Times New Roman" w:hAnsi="Times New Roman" w:cs="Times New Roman"/>
          <w:color w:val="auto"/>
          <w:sz w:val="24"/>
          <w:szCs w:val="24"/>
        </w:rPr>
        <w:t>Rozporządzenie Ministra Infrastruktury z dnia 6 lutego 2003 r. w sprawie bezpieczeństwa i higieny pracy podczas wykonywania robót budowlanych ( Dz. U. z 2003 r., Nr 47, poz. 401).</w:t>
      </w:r>
    </w:p>
    <w:p w:rsidR="003613D9" w:rsidRPr="00217911" w:rsidRDefault="000B092A">
      <w:pPr>
        <w:pStyle w:val="Normalny10"/>
        <w:numPr>
          <w:ilvl w:val="0"/>
          <w:numId w:val="5"/>
        </w:numPr>
        <w:tabs>
          <w:tab w:val="left" w:pos="360"/>
        </w:tabs>
        <w:spacing w:after="0" w:line="276" w:lineRule="auto"/>
        <w:ind w:left="0" w:hanging="15"/>
        <w:jc w:val="both"/>
        <w:rPr>
          <w:color w:val="auto"/>
          <w:sz w:val="24"/>
          <w:szCs w:val="24"/>
        </w:rPr>
      </w:pPr>
      <w:r w:rsidRPr="00217911">
        <w:rPr>
          <w:rFonts w:ascii="Times New Roman" w:hAnsi="Times New Roman"/>
          <w:color w:val="auto"/>
          <w:sz w:val="24"/>
          <w:szCs w:val="24"/>
        </w:rPr>
        <w:t xml:space="preserve">Obwieszczenie Marszałka Sejmu Rzeczypospolitej Polskiej z dnia 8 września 2016 r. w sprawie ogłoszenia jednolitego tekstu ustawy - Kodeks pracy </w:t>
      </w:r>
      <w:r w:rsidRPr="00217911">
        <w:rPr>
          <w:rFonts w:ascii="Times New Roman" w:hAnsi="Times New Roman" w:cs="Times New Roman"/>
          <w:color w:val="auto"/>
          <w:sz w:val="24"/>
          <w:szCs w:val="24"/>
        </w:rPr>
        <w:t>(</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2016 r., poz. 1666).</w:t>
      </w:r>
    </w:p>
    <w:p w:rsidR="003613D9" w:rsidRPr="00217911" w:rsidRDefault="000B092A">
      <w:pPr>
        <w:pStyle w:val="Normalny10"/>
        <w:numPr>
          <w:ilvl w:val="0"/>
          <w:numId w:val="5"/>
        </w:numPr>
        <w:tabs>
          <w:tab w:val="left" w:pos="360"/>
        </w:tabs>
        <w:spacing w:after="0" w:line="276" w:lineRule="auto"/>
        <w:ind w:left="0" w:hanging="15"/>
        <w:jc w:val="both"/>
        <w:rPr>
          <w:color w:val="auto"/>
          <w:sz w:val="24"/>
          <w:szCs w:val="24"/>
        </w:rPr>
      </w:pPr>
      <w:r w:rsidRPr="00217911">
        <w:rPr>
          <w:rFonts w:ascii="Times New Roman" w:hAnsi="Times New Roman"/>
          <w:color w:val="auto"/>
          <w:sz w:val="24"/>
          <w:szCs w:val="24"/>
        </w:rPr>
        <w:t xml:space="preserve">Rozporządzenie Ministra Pracy i Polityki Społecznej z dnia 6 czerwca 2014 r. w sprawie najwyższych dopuszczalnych stężeń i natężeń czynników szkodliwych dla zdrowia w środowisku pracy </w:t>
      </w:r>
      <w:r w:rsidRPr="00217911">
        <w:rPr>
          <w:rFonts w:ascii="Times New Roman" w:hAnsi="Times New Roman" w:cs="Times New Roman"/>
          <w:color w:val="auto"/>
          <w:sz w:val="24"/>
          <w:szCs w:val="24"/>
        </w:rPr>
        <w:t>(</w:t>
      </w:r>
      <w:proofErr w:type="spellStart"/>
      <w:r w:rsidRPr="00217911">
        <w:rPr>
          <w:rFonts w:ascii="Times New Roman" w:hAnsi="Times New Roman" w:cs="Times New Roman"/>
          <w:color w:val="auto"/>
          <w:sz w:val="24"/>
          <w:szCs w:val="24"/>
        </w:rPr>
        <w:t>t.j</w:t>
      </w:r>
      <w:proofErr w:type="spellEnd"/>
      <w:r w:rsidRPr="00217911">
        <w:rPr>
          <w:rFonts w:ascii="Times New Roman" w:hAnsi="Times New Roman" w:cs="Times New Roman"/>
          <w:color w:val="auto"/>
          <w:sz w:val="24"/>
          <w:szCs w:val="24"/>
        </w:rPr>
        <w:t>. Dz. U. z 2017 r., poz. 1348).</w:t>
      </w:r>
    </w:p>
    <w:p w:rsidR="003613D9" w:rsidRPr="00217911" w:rsidRDefault="000B092A">
      <w:pPr>
        <w:pStyle w:val="Normalny10"/>
        <w:numPr>
          <w:ilvl w:val="0"/>
          <w:numId w:val="5"/>
        </w:numPr>
        <w:tabs>
          <w:tab w:val="left" w:pos="360"/>
        </w:tabs>
        <w:spacing w:after="0" w:line="276" w:lineRule="auto"/>
        <w:ind w:left="0" w:hanging="15"/>
        <w:jc w:val="both"/>
        <w:rPr>
          <w:color w:val="auto"/>
          <w:sz w:val="24"/>
          <w:szCs w:val="24"/>
        </w:rPr>
      </w:pPr>
      <w:r w:rsidRPr="00217911">
        <w:rPr>
          <w:rFonts w:ascii="Times New Roman" w:hAnsi="Times New Roman"/>
          <w:color w:val="auto"/>
          <w:sz w:val="24"/>
          <w:szCs w:val="24"/>
        </w:rPr>
        <w:t xml:space="preserve">Rozporządzenie Ministra Gospodarki z dnia 28 marca 2013 r. w sprawie bezpieczeństwa i higieny pracy przy urządzeniach energetycznych </w:t>
      </w:r>
      <w:r w:rsidRPr="00217911">
        <w:rPr>
          <w:rFonts w:ascii="Times New Roman" w:hAnsi="Times New Roman" w:cs="Times New Roman"/>
          <w:color w:val="auto"/>
          <w:sz w:val="24"/>
          <w:szCs w:val="24"/>
        </w:rPr>
        <w:t>( Dz. U. z 2013 r., poz. 492).</w:t>
      </w:r>
    </w:p>
    <w:p w:rsidR="003613D9" w:rsidRPr="00217911" w:rsidRDefault="000B092A">
      <w:pPr>
        <w:pStyle w:val="Normalny10"/>
        <w:numPr>
          <w:ilvl w:val="0"/>
          <w:numId w:val="5"/>
        </w:numPr>
        <w:tabs>
          <w:tab w:val="left" w:pos="360"/>
        </w:tabs>
        <w:spacing w:after="0" w:line="276" w:lineRule="auto"/>
        <w:ind w:left="0" w:hanging="15"/>
        <w:jc w:val="both"/>
        <w:rPr>
          <w:color w:val="auto"/>
          <w:sz w:val="24"/>
          <w:szCs w:val="24"/>
        </w:rPr>
      </w:pPr>
      <w:r w:rsidRPr="00217911">
        <w:rPr>
          <w:rFonts w:ascii="Times New Roman" w:hAnsi="Times New Roman"/>
          <w:color w:val="auto"/>
          <w:sz w:val="24"/>
          <w:szCs w:val="24"/>
        </w:rPr>
        <w:t xml:space="preserve">Rozporządzenie Ministra Rodziny, Pracy i Polityki Społecznej z dnia 25 kwietnia 2017 r. zmieniające rozporządzenie w sprawie bezpieczeństwa i higieny pracy przy ręcznych pracach transportowych </w:t>
      </w:r>
      <w:r w:rsidRPr="00217911">
        <w:rPr>
          <w:rFonts w:ascii="Times New Roman" w:hAnsi="Times New Roman" w:cs="Times New Roman"/>
          <w:color w:val="auto"/>
          <w:sz w:val="24"/>
          <w:szCs w:val="24"/>
        </w:rPr>
        <w:t>( Dz. U. z 2017 r., poz. 854).</w:t>
      </w:r>
    </w:p>
    <w:p w:rsidR="003613D9" w:rsidRPr="00217911" w:rsidRDefault="000B092A">
      <w:pPr>
        <w:pStyle w:val="Normalny10"/>
        <w:numPr>
          <w:ilvl w:val="0"/>
          <w:numId w:val="5"/>
        </w:numPr>
        <w:tabs>
          <w:tab w:val="left" w:pos="360"/>
        </w:tabs>
        <w:spacing w:after="0" w:line="276" w:lineRule="auto"/>
        <w:ind w:left="0" w:hanging="15"/>
        <w:jc w:val="both"/>
        <w:rPr>
          <w:color w:val="auto"/>
          <w:sz w:val="24"/>
          <w:szCs w:val="24"/>
        </w:rPr>
      </w:pPr>
      <w:r w:rsidRPr="00217911">
        <w:rPr>
          <w:rFonts w:ascii="Times New Roman" w:hAnsi="Times New Roman"/>
          <w:color w:val="auto"/>
          <w:sz w:val="24"/>
          <w:szCs w:val="24"/>
        </w:rPr>
        <w:t xml:space="preserve">Rozporządzenie Rady Ministrów z dnia 28 maja 1996 r. w sprawie profilaktycznych posiłków i napojów </w:t>
      </w:r>
      <w:r w:rsidRPr="00217911">
        <w:rPr>
          <w:rFonts w:ascii="Times New Roman" w:hAnsi="Times New Roman" w:cs="Times New Roman"/>
          <w:color w:val="auto"/>
          <w:sz w:val="24"/>
          <w:szCs w:val="24"/>
        </w:rPr>
        <w:t>( Dz. U. z 1996 r., nr 60, poz. 279).</w:t>
      </w:r>
    </w:p>
    <w:p w:rsidR="003613D9" w:rsidRPr="00217911" w:rsidRDefault="000B092A">
      <w:pPr>
        <w:pStyle w:val="Normalny10"/>
        <w:numPr>
          <w:ilvl w:val="0"/>
          <w:numId w:val="5"/>
        </w:numPr>
        <w:tabs>
          <w:tab w:val="left" w:pos="360"/>
        </w:tabs>
        <w:spacing w:after="0" w:line="276" w:lineRule="auto"/>
        <w:ind w:left="0" w:hanging="15"/>
        <w:jc w:val="both"/>
        <w:rPr>
          <w:color w:val="auto"/>
          <w:sz w:val="24"/>
          <w:szCs w:val="24"/>
        </w:rPr>
      </w:pPr>
      <w:r w:rsidRPr="00217911">
        <w:rPr>
          <w:rFonts w:ascii="Times New Roman" w:hAnsi="Times New Roman" w:cs="Times New Roman"/>
          <w:color w:val="auto"/>
          <w:sz w:val="24"/>
          <w:szCs w:val="24"/>
        </w:rPr>
        <w:t>N-SEP-E-004 Elektroenergetyczne i sygnalizacyjne linie kablowe. Projektowanie i budowa.</w:t>
      </w:r>
    </w:p>
    <w:p w:rsidR="003613D9" w:rsidRDefault="003613D9">
      <w:pPr>
        <w:pStyle w:val="Normalny10"/>
      </w:pPr>
    </w:p>
    <w:sectPr w:rsidR="003613D9">
      <w:headerReference w:type="default" r:id="rId13"/>
      <w:footerReference w:type="default" r:id="rId14"/>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C9" w:rsidRDefault="004031C9">
      <w:pPr>
        <w:spacing w:line="240" w:lineRule="auto"/>
      </w:pPr>
      <w:r>
        <w:separator/>
      </w:r>
    </w:p>
  </w:endnote>
  <w:endnote w:type="continuationSeparator" w:id="0">
    <w:p w:rsidR="004031C9" w:rsidRDefault="00403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libri, Calibri">
    <w:altName w:val="Arial"/>
    <w:charset w:val="00"/>
    <w:family w:val="swiss"/>
    <w:pitch w:val="default"/>
  </w:font>
  <w:font w:name="TimesNewRoman">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D9" w:rsidRDefault="000B092A">
    <w:pPr>
      <w:pStyle w:val="Stopka"/>
      <w:jc w:val="center"/>
      <w:rPr>
        <w:rFonts w:ascii="Times New Roman" w:hAnsi="Times New Roman" w:cs="Times New Roman"/>
        <w:i/>
        <w:iCs/>
        <w:sz w:val="18"/>
        <w:szCs w:val="18"/>
      </w:rPr>
    </w:pPr>
    <w:r>
      <w:rPr>
        <w:rFonts w:ascii="Times New Roman" w:hAnsi="Times New Roman" w:cs="Times New Roman"/>
        <w:i/>
        <w:iCs/>
        <w:sz w:val="18"/>
        <w:szCs w:val="18"/>
      </w:rPr>
      <w:t>„Osiągnięcie efektywności energetycznej poprzez modernizację oświetlenia ulicznego oraz dobudowę nowych punktów oświetleniowych na terenie Gminy i Miasta Lwówek Śląski wraz z zapewnieniem finansowania”</w:t>
    </w:r>
  </w:p>
  <w:p w:rsidR="003613D9" w:rsidRDefault="00361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C9" w:rsidRDefault="004031C9">
      <w:pPr>
        <w:spacing w:line="240" w:lineRule="auto"/>
      </w:pPr>
      <w:r>
        <w:separator/>
      </w:r>
    </w:p>
  </w:footnote>
  <w:footnote w:type="continuationSeparator" w:id="0">
    <w:p w:rsidR="004031C9" w:rsidRDefault="004031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D9" w:rsidRDefault="000B092A">
    <w:pPr>
      <w:pStyle w:val="Gwka"/>
      <w:jc w:val="right"/>
      <w:rPr>
        <w:rFonts w:hint="eastAsia"/>
      </w:rPr>
    </w:pPr>
    <w:r>
      <w:rPr>
        <w:rFonts w:ascii="Times New Roman" w:hAnsi="Times New Roman" w:cs="Times New Roman"/>
        <w:i/>
        <w:iCs/>
        <w:sz w:val="18"/>
        <w:szCs w:val="18"/>
      </w:rPr>
      <w:t xml:space="preserve">Załącznik nr </w:t>
    </w:r>
    <w:r w:rsidRPr="0036143B">
      <w:rPr>
        <w:rFonts w:ascii="Times New Roman" w:hAnsi="Times New Roman" w:cs="Times New Roman"/>
        <w:i/>
        <w:iCs/>
        <w:color w:val="auto"/>
        <w:sz w:val="18"/>
        <w:szCs w:val="18"/>
      </w:rPr>
      <w:t>6</w:t>
    </w:r>
    <w:r>
      <w:rPr>
        <w:rFonts w:ascii="Times New Roman" w:hAnsi="Times New Roman" w:cs="Times New Roman"/>
        <w:i/>
        <w:iCs/>
        <w:color w:val="3333FF"/>
        <w:sz w:val="18"/>
        <w:szCs w:val="18"/>
      </w:rPr>
      <w:t xml:space="preserve"> </w:t>
    </w:r>
    <w:r>
      <w:rPr>
        <w:rFonts w:ascii="Times New Roman" w:hAnsi="Times New Roman" w:cs="Times New Roman"/>
        <w:i/>
        <w:iCs/>
        <w:sz w:val="18"/>
        <w:szCs w:val="18"/>
      </w:rPr>
      <w:t>DO Umowy</w:t>
    </w:r>
  </w:p>
  <w:p w:rsidR="003613D9" w:rsidRDefault="000B092A">
    <w:pPr>
      <w:pStyle w:val="Gwka"/>
      <w:jc w:val="center"/>
      <w:rPr>
        <w:rFonts w:hint="eastAsia"/>
      </w:rPr>
    </w:pPr>
    <w:r>
      <w:rPr>
        <w:rFonts w:ascii="Times New Roman" w:hAnsi="Times New Roman" w:cs="Times New Roman"/>
        <w:b/>
        <w:bCs/>
      </w:rPr>
      <w:t>PROGRAM FUNKCJONALNO-UŻYTKOWY</w:t>
    </w:r>
  </w:p>
  <w:p w:rsidR="003613D9" w:rsidRDefault="003613D9">
    <w:pPr>
      <w:pStyle w:val="Gw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0D7"/>
    <w:multiLevelType w:val="multilevel"/>
    <w:tmpl w:val="578AB56E"/>
    <w:lvl w:ilvl="0">
      <w:start w:val="1"/>
      <w:numFmt w:val="decimal"/>
      <w:lvlText w:val="%1"/>
      <w:lvlJc w:val="left"/>
      <w:pPr>
        <w:ind w:left="480" w:hanging="480"/>
      </w:pPr>
    </w:lvl>
    <w:lvl w:ilvl="1">
      <w:start w:val="3"/>
      <w:numFmt w:val="decimal"/>
      <w:lvlText w:val="%1.%2"/>
      <w:lvlJc w:val="left"/>
      <w:pPr>
        <w:ind w:left="667" w:hanging="480"/>
      </w:pPr>
    </w:lvl>
    <w:lvl w:ilvl="2">
      <w:start w:val="2"/>
      <w:numFmt w:val="decimal"/>
      <w:lvlText w:val="%1.%2.%3"/>
      <w:lvlJc w:val="left"/>
      <w:pPr>
        <w:ind w:left="1094" w:hanging="720"/>
      </w:pPr>
    </w:lvl>
    <w:lvl w:ilvl="3">
      <w:start w:val="1"/>
      <w:numFmt w:val="decimal"/>
      <w:lvlText w:val="%1.%2.%3.%4"/>
      <w:lvlJc w:val="left"/>
      <w:pPr>
        <w:ind w:left="1281" w:hanging="720"/>
      </w:pPr>
    </w:lvl>
    <w:lvl w:ilvl="4">
      <w:start w:val="1"/>
      <w:numFmt w:val="decimal"/>
      <w:lvlText w:val="%1.%2.%3.%4.%5"/>
      <w:lvlJc w:val="left"/>
      <w:pPr>
        <w:ind w:left="1828" w:hanging="1080"/>
      </w:pPr>
    </w:lvl>
    <w:lvl w:ilvl="5">
      <w:start w:val="1"/>
      <w:numFmt w:val="decimal"/>
      <w:lvlText w:val="%1.%2.%3.%4.%5.%6"/>
      <w:lvlJc w:val="left"/>
      <w:pPr>
        <w:ind w:left="2015" w:hanging="1080"/>
      </w:pPr>
    </w:lvl>
    <w:lvl w:ilvl="6">
      <w:start w:val="1"/>
      <w:numFmt w:val="decimal"/>
      <w:lvlText w:val="%1.%2.%3.%4.%5.%6.%7"/>
      <w:lvlJc w:val="left"/>
      <w:pPr>
        <w:ind w:left="2562" w:hanging="1440"/>
      </w:pPr>
    </w:lvl>
    <w:lvl w:ilvl="7">
      <w:start w:val="1"/>
      <w:numFmt w:val="decimal"/>
      <w:lvlText w:val="%1.%2.%3.%4.%5.%6.%7.%8"/>
      <w:lvlJc w:val="left"/>
      <w:pPr>
        <w:ind w:left="2749" w:hanging="1440"/>
      </w:pPr>
    </w:lvl>
    <w:lvl w:ilvl="8">
      <w:start w:val="1"/>
      <w:numFmt w:val="decimal"/>
      <w:lvlText w:val="%1.%2.%3.%4.%5.%6.%7.%8.%9"/>
      <w:lvlJc w:val="left"/>
      <w:pPr>
        <w:ind w:left="2936" w:hanging="1440"/>
      </w:pPr>
    </w:lvl>
  </w:abstractNum>
  <w:abstractNum w:abstractNumId="1">
    <w:nsid w:val="0C762D69"/>
    <w:multiLevelType w:val="multilevel"/>
    <w:tmpl w:val="98B012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690190D"/>
    <w:multiLevelType w:val="multilevel"/>
    <w:tmpl w:val="687E2A90"/>
    <w:lvl w:ilvl="0">
      <w:start w:val="16"/>
      <w:numFmt w:val="decimal"/>
      <w:lvlText w:val="%1."/>
      <w:lvlJc w:val="left"/>
      <w:pPr>
        <w:ind w:left="36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71E5682"/>
    <w:multiLevelType w:val="multilevel"/>
    <w:tmpl w:val="02F23C1C"/>
    <w:lvl w:ilvl="0">
      <w:start w:val="1"/>
      <w:numFmt w:val="lowerLetter"/>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4">
    <w:nsid w:val="304C7EEE"/>
    <w:multiLevelType w:val="multilevel"/>
    <w:tmpl w:val="8738D1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0D06720"/>
    <w:multiLevelType w:val="multilevel"/>
    <w:tmpl w:val="F6A242C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
    <w:nsid w:val="33A45A6C"/>
    <w:multiLevelType w:val="multilevel"/>
    <w:tmpl w:val="307EC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C73A8D"/>
    <w:multiLevelType w:val="multilevel"/>
    <w:tmpl w:val="E188DD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980D06"/>
    <w:multiLevelType w:val="multilevel"/>
    <w:tmpl w:val="A75A9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87700B"/>
    <w:multiLevelType w:val="multilevel"/>
    <w:tmpl w:val="71EA9B2C"/>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A364D0"/>
    <w:multiLevelType w:val="multilevel"/>
    <w:tmpl w:val="A074FAEC"/>
    <w:lvl w:ilvl="0">
      <w:start w:val="1"/>
      <w:numFmt w:val="lowerLetter"/>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4E25DA8"/>
    <w:multiLevelType w:val="multilevel"/>
    <w:tmpl w:val="9410A268"/>
    <w:lvl w:ilvl="0">
      <w:start w:val="3"/>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2">
    <w:nsid w:val="4AE03FC5"/>
    <w:multiLevelType w:val="multilevel"/>
    <w:tmpl w:val="46B27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872E76"/>
    <w:multiLevelType w:val="multilevel"/>
    <w:tmpl w:val="45B0E4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A7C5422"/>
    <w:multiLevelType w:val="multilevel"/>
    <w:tmpl w:val="ED9033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9E324E"/>
    <w:multiLevelType w:val="multilevel"/>
    <w:tmpl w:val="DF80E3D2"/>
    <w:lvl w:ilvl="0">
      <w:start w:val="1"/>
      <w:numFmt w:val="upperRoman"/>
      <w:lvlText w:val="%1."/>
      <w:lvlJc w:val="left"/>
      <w:pPr>
        <w:ind w:left="1137" w:hanging="720"/>
      </w:pPr>
      <w:rPr>
        <w:sz w:val="24"/>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6">
    <w:nsid w:val="76B95D9C"/>
    <w:multiLevelType w:val="multilevel"/>
    <w:tmpl w:val="DB96861E"/>
    <w:lvl w:ilvl="0">
      <w:start w:val="1"/>
      <w:numFmt w:val="lowerLetter"/>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7">
    <w:nsid w:val="779F5A63"/>
    <w:multiLevelType w:val="multilevel"/>
    <w:tmpl w:val="A29479AA"/>
    <w:lvl w:ilvl="0">
      <w:start w:val="3"/>
      <w:numFmt w:val="decimal"/>
      <w:lvlText w:val="%1"/>
      <w:lvlJc w:val="left"/>
      <w:pPr>
        <w:ind w:left="620" w:hanging="620"/>
      </w:pPr>
      <w:rPr>
        <w:b/>
      </w:rPr>
    </w:lvl>
    <w:lvl w:ilvl="1">
      <w:start w:val="1"/>
      <w:numFmt w:val="decimal"/>
      <w:lvlText w:val="%1.%2"/>
      <w:lvlJc w:val="left"/>
      <w:pPr>
        <w:ind w:left="860" w:hanging="620"/>
      </w:pPr>
      <w:rPr>
        <w:b/>
      </w:rPr>
    </w:lvl>
    <w:lvl w:ilvl="2">
      <w:start w:val="2"/>
      <w:numFmt w:val="decimal"/>
      <w:lvlText w:val="%1.%2.%3"/>
      <w:lvlJc w:val="left"/>
      <w:pPr>
        <w:ind w:left="1200" w:hanging="720"/>
      </w:pPr>
      <w:rPr>
        <w:b/>
      </w:rPr>
    </w:lvl>
    <w:lvl w:ilvl="3">
      <w:start w:val="3"/>
      <w:numFmt w:val="decimal"/>
      <w:lvlText w:val="%1.%2.%3.%4"/>
      <w:lvlJc w:val="left"/>
      <w:pPr>
        <w:ind w:left="1440" w:hanging="720"/>
      </w:pPr>
      <w:rPr>
        <w:b/>
      </w:rPr>
    </w:lvl>
    <w:lvl w:ilvl="4">
      <w:start w:val="1"/>
      <w:numFmt w:val="decimal"/>
      <w:lvlText w:val="%1.%2.%3.%4.%5"/>
      <w:lvlJc w:val="left"/>
      <w:pPr>
        <w:ind w:left="2040" w:hanging="1080"/>
      </w:pPr>
      <w:rPr>
        <w:b/>
      </w:rPr>
    </w:lvl>
    <w:lvl w:ilvl="5">
      <w:start w:val="1"/>
      <w:numFmt w:val="decimal"/>
      <w:lvlText w:val="%1.%2.%3.%4.%5.%6"/>
      <w:lvlJc w:val="left"/>
      <w:pPr>
        <w:ind w:left="2280" w:hanging="1080"/>
      </w:pPr>
      <w:rPr>
        <w:b/>
      </w:rPr>
    </w:lvl>
    <w:lvl w:ilvl="6">
      <w:start w:val="1"/>
      <w:numFmt w:val="decimal"/>
      <w:lvlText w:val="%1.%2.%3.%4.%5.%6.%7"/>
      <w:lvlJc w:val="left"/>
      <w:pPr>
        <w:ind w:left="2880" w:hanging="1440"/>
      </w:pPr>
      <w:rPr>
        <w:b/>
      </w:rPr>
    </w:lvl>
    <w:lvl w:ilvl="7">
      <w:start w:val="1"/>
      <w:numFmt w:val="decimal"/>
      <w:lvlText w:val="%1.%2.%3.%4.%5.%6.%7.%8"/>
      <w:lvlJc w:val="left"/>
      <w:pPr>
        <w:ind w:left="3120" w:hanging="1440"/>
      </w:pPr>
      <w:rPr>
        <w:b/>
      </w:rPr>
    </w:lvl>
    <w:lvl w:ilvl="8">
      <w:start w:val="1"/>
      <w:numFmt w:val="decimal"/>
      <w:lvlText w:val="%1.%2.%3.%4.%5.%6.%7.%8.%9"/>
      <w:lvlJc w:val="left"/>
      <w:pPr>
        <w:ind w:left="3360" w:hanging="1440"/>
      </w:pPr>
      <w:rPr>
        <w:b/>
      </w:rPr>
    </w:lvl>
  </w:abstractNum>
  <w:abstractNum w:abstractNumId="18">
    <w:nsid w:val="79DD74AB"/>
    <w:multiLevelType w:val="multilevel"/>
    <w:tmpl w:val="35F44164"/>
    <w:lvl w:ilvl="0">
      <w:start w:val="1"/>
      <w:numFmt w:val="lowerLetter"/>
      <w:lvlText w:val="%1)"/>
      <w:lvlJc w:val="left"/>
      <w:pPr>
        <w:ind w:left="1440" w:hanging="360"/>
      </w:pPr>
    </w:lvl>
    <w:lvl w:ilvl="1">
      <w:start w:val="1"/>
      <w:numFmt w:val="upperRoman"/>
      <w:lvlText w:val="%2."/>
      <w:lvlJc w:val="left"/>
      <w:pPr>
        <w:ind w:left="2265" w:hanging="465"/>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BCE6848"/>
    <w:multiLevelType w:val="multilevel"/>
    <w:tmpl w:val="C95089EA"/>
    <w:lvl w:ilvl="0">
      <w:start w:val="1"/>
      <w:numFmt w:val="upperRoman"/>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2150B6"/>
    <w:multiLevelType w:val="multilevel"/>
    <w:tmpl w:val="224866D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DCB1AEA"/>
    <w:multiLevelType w:val="multilevel"/>
    <w:tmpl w:val="6F7EB188"/>
    <w:lvl w:ilvl="0">
      <w:start w:val="1"/>
      <w:numFmt w:val="lowerLetter"/>
      <w:lvlText w:val="%1)"/>
      <w:lvlJc w:val="left"/>
      <w:pPr>
        <w:ind w:left="1440" w:hanging="360"/>
      </w:pPr>
    </w:lvl>
    <w:lvl w:ilvl="1">
      <w:start w:val="1"/>
      <w:numFmt w:val="lowerLetter"/>
      <w:lvlText w:val="%2)"/>
      <w:lvlJc w:val="left"/>
      <w:pPr>
        <w:ind w:left="1352"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7FA64DF3"/>
    <w:multiLevelType w:val="multilevel"/>
    <w:tmpl w:val="72D828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13"/>
  </w:num>
  <w:num w:numId="4">
    <w:abstractNumId w:val="1"/>
  </w:num>
  <w:num w:numId="5">
    <w:abstractNumId w:val="2"/>
  </w:num>
  <w:num w:numId="6">
    <w:abstractNumId w:val="15"/>
  </w:num>
  <w:num w:numId="7">
    <w:abstractNumId w:val="20"/>
  </w:num>
  <w:num w:numId="8">
    <w:abstractNumId w:val="18"/>
  </w:num>
  <w:num w:numId="9">
    <w:abstractNumId w:val="0"/>
  </w:num>
  <w:num w:numId="10">
    <w:abstractNumId w:val="16"/>
  </w:num>
  <w:num w:numId="11">
    <w:abstractNumId w:val="12"/>
  </w:num>
  <w:num w:numId="12">
    <w:abstractNumId w:val="8"/>
  </w:num>
  <w:num w:numId="13">
    <w:abstractNumId w:val="19"/>
  </w:num>
  <w:num w:numId="14">
    <w:abstractNumId w:val="7"/>
  </w:num>
  <w:num w:numId="15">
    <w:abstractNumId w:val="10"/>
  </w:num>
  <w:num w:numId="16">
    <w:abstractNumId w:val="21"/>
  </w:num>
  <w:num w:numId="17">
    <w:abstractNumId w:val="3"/>
  </w:num>
  <w:num w:numId="18">
    <w:abstractNumId w:val="6"/>
  </w:num>
  <w:num w:numId="19">
    <w:abstractNumId w:val="9"/>
  </w:num>
  <w:num w:numId="20">
    <w:abstractNumId w:val="11"/>
  </w:num>
  <w:num w:numId="21">
    <w:abstractNumId w:val="17"/>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D9"/>
    <w:rsid w:val="00081E97"/>
    <w:rsid w:val="000B092A"/>
    <w:rsid w:val="00217911"/>
    <w:rsid w:val="00326DB0"/>
    <w:rsid w:val="003613D9"/>
    <w:rsid w:val="0036143B"/>
    <w:rsid w:val="004031C9"/>
    <w:rsid w:val="00773080"/>
    <w:rsid w:val="00A142B0"/>
    <w:rsid w:val="00B65BB9"/>
    <w:rsid w:val="00BC73E2"/>
    <w:rsid w:val="00FD52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agwek"/>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774F11"/>
    <w:pPr>
      <w:suppressAutoHyphens/>
      <w:spacing w:after="160" w:line="240" w:lineRule="auto"/>
      <w:textAlignment w:val="baseline"/>
    </w:pPr>
    <w:rPr>
      <w:rFonts w:eastAsia="SimSun" w:cs="Calibri"/>
      <w:color w:val="00000A"/>
      <w:sz w:val="22"/>
    </w:rPr>
  </w:style>
  <w:style w:type="character" w:customStyle="1" w:styleId="TekstdymkaZnak">
    <w:name w:val="Tekst dymka Znak"/>
    <w:basedOn w:val="Domylnaczcionkaakapitu"/>
    <w:link w:val="Tekstdymka"/>
    <w:uiPriority w:val="99"/>
    <w:semiHidden/>
    <w:rsid w:val="005A246F"/>
    <w:rPr>
      <w:rFonts w:ascii="Segoe UI" w:hAnsi="Segoe UI" w:cs="Segoe UI"/>
      <w:sz w:val="18"/>
      <w:szCs w:val="18"/>
    </w:rPr>
  </w:style>
  <w:style w:type="character" w:customStyle="1" w:styleId="NagwekZnak">
    <w:name w:val="Nagłówek Znak"/>
    <w:basedOn w:val="Domylnaczcionkaakapitu"/>
    <w:link w:val="Nagwek"/>
    <w:uiPriority w:val="99"/>
    <w:rsid w:val="008F354A"/>
  </w:style>
  <w:style w:type="character" w:customStyle="1" w:styleId="StopkaZnak">
    <w:name w:val="Stopka Znak"/>
    <w:basedOn w:val="Domylnaczcionkaakapitu"/>
    <w:link w:val="Stopka"/>
    <w:uiPriority w:val="99"/>
    <w:rsid w:val="008F354A"/>
  </w:style>
  <w:style w:type="character" w:customStyle="1" w:styleId="Mocnowyrniony">
    <w:name w:val="Mocno wyróżniony"/>
    <w:uiPriority w:val="99"/>
    <w:rsid w:val="00C72C2B"/>
    <w:rPr>
      <w:b/>
      <w:bCs/>
    </w:rPr>
  </w:style>
  <w:style w:type="character" w:customStyle="1" w:styleId="AkapitzlistZnak">
    <w:name w:val="Akapit z listą Znak"/>
    <w:link w:val="Akapitzlist"/>
    <w:uiPriority w:val="34"/>
    <w:locked/>
    <w:rsid w:val="00CD5347"/>
    <w:rPr>
      <w:rFonts w:ascii="Calibri" w:eastAsia="SimSun" w:hAnsi="Calibri" w:cs="Calibri"/>
    </w:rPr>
  </w:style>
  <w:style w:type="character" w:customStyle="1" w:styleId="ListLabel1">
    <w:name w:val="ListLabel 1"/>
    <w:rPr>
      <w:rFonts w:eastAsia="Times New Roman"/>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b/>
      <w:bCs/>
    </w:rPr>
  </w:style>
  <w:style w:type="character" w:customStyle="1" w:styleId="ListLabel6">
    <w:name w:val="ListLabel 6"/>
    <w:rPr>
      <w:color w:val="00000A"/>
    </w:rPr>
  </w:style>
  <w:style w:type="character" w:customStyle="1" w:styleId="ListLabel7">
    <w:name w:val="ListLabel 7"/>
    <w:rPr>
      <w:b/>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color w:val="00000A"/>
    </w:rPr>
  </w:style>
  <w:style w:type="character" w:customStyle="1" w:styleId="ListLabel12">
    <w:name w:val="ListLabel 12"/>
    <w:rPr>
      <w:b/>
      <w:bCs/>
    </w:rPr>
  </w:style>
  <w:style w:type="character" w:customStyle="1" w:styleId="ListLabel13">
    <w:name w:val="ListLabel 13"/>
    <w:rPr>
      <w:b/>
    </w:rPr>
  </w:style>
  <w:style w:type="character" w:customStyle="1" w:styleId="ListLabel14">
    <w:name w:val="ListLabel 14"/>
    <w:rPr>
      <w:rFonts w:cs="Times New Roman"/>
      <w:b/>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b/>
      <w:bCs/>
    </w:rPr>
  </w:style>
  <w:style w:type="character" w:customStyle="1" w:styleId="ListLabel19">
    <w:name w:val="ListLabel 19"/>
    <w:rPr>
      <w:b/>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b/>
      <w:bCs/>
    </w:rPr>
  </w:style>
  <w:style w:type="character" w:customStyle="1" w:styleId="ListLabel24">
    <w:name w:val="ListLabel 24"/>
    <w:rPr>
      <w:b/>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b/>
      <w:bCs/>
    </w:rPr>
  </w:style>
  <w:style w:type="character" w:customStyle="1" w:styleId="ListLabel29">
    <w:name w:val="ListLabel 29"/>
    <w:rPr>
      <w:b/>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bCs/>
    </w:rPr>
  </w:style>
  <w:style w:type="character" w:customStyle="1" w:styleId="ListLabel34">
    <w:name w:val="ListLabel 34"/>
    <w:rPr>
      <w:b/>
    </w:rPr>
  </w:style>
  <w:style w:type="paragraph" w:styleId="Nagwek">
    <w:name w:val="header"/>
    <w:basedOn w:val="Normalny1"/>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uiPriority w:val="99"/>
    <w:rsid w:val="00C72C2B"/>
    <w:pPr>
      <w:widowControl w:val="0"/>
      <w:spacing w:after="120" w:line="288" w:lineRule="auto"/>
    </w:pPr>
    <w:rPr>
      <w:rFonts w:eastAsiaTheme="minorHAnsi" w:cstheme="minorBidi"/>
    </w:rPr>
  </w:style>
  <w:style w:type="paragraph" w:styleId="Lista">
    <w:name w:val="List"/>
    <w:basedOn w:val="Tretekstu"/>
    <w:rPr>
      <w:rFonts w:cs="Mangal"/>
    </w:rPr>
  </w:style>
  <w:style w:type="paragraph" w:styleId="Podpis">
    <w:name w:val="Signature"/>
    <w:basedOn w:val="Normalny1"/>
    <w:pPr>
      <w:suppressLineNumbers/>
      <w:spacing w:before="120" w:after="120"/>
    </w:pPr>
    <w:rPr>
      <w:rFonts w:cs="Mangal"/>
      <w:i/>
      <w:iCs/>
      <w:sz w:val="24"/>
      <w:szCs w:val="24"/>
    </w:rPr>
  </w:style>
  <w:style w:type="paragraph" w:customStyle="1" w:styleId="Indeks">
    <w:name w:val="Indeks"/>
    <w:basedOn w:val="Normalny1"/>
    <w:pPr>
      <w:widowControl w:val="0"/>
      <w:suppressLineNumbers/>
      <w:spacing w:line="252" w:lineRule="auto"/>
    </w:pPr>
    <w:rPr>
      <w:rFonts w:eastAsiaTheme="minorHAnsi" w:cs="Mangal"/>
    </w:rPr>
  </w:style>
  <w:style w:type="paragraph" w:customStyle="1" w:styleId="Normalny10">
    <w:name w:val="Normalny1"/>
    <w:rsid w:val="00C72C2B"/>
    <w:pPr>
      <w:suppressAutoHyphens/>
      <w:spacing w:after="160" w:line="240" w:lineRule="auto"/>
      <w:textAlignment w:val="baseline"/>
    </w:pPr>
    <w:rPr>
      <w:rFonts w:eastAsia="SimSun" w:cs="Calibri"/>
      <w:color w:val="00000A"/>
      <w:sz w:val="22"/>
    </w:rPr>
  </w:style>
  <w:style w:type="paragraph" w:customStyle="1" w:styleId="Gwka">
    <w:name w:val="Główka"/>
    <w:basedOn w:val="Normalny10"/>
    <w:uiPriority w:val="99"/>
    <w:unhideWhenUsed/>
    <w:rsid w:val="008F354A"/>
    <w:pPr>
      <w:keepNext/>
      <w:tabs>
        <w:tab w:val="center" w:pos="4536"/>
        <w:tab w:val="right" w:pos="9072"/>
      </w:tabs>
      <w:spacing w:before="240" w:after="0"/>
    </w:pPr>
    <w:rPr>
      <w:rFonts w:ascii="Liberation Sans" w:eastAsia="Microsoft YaHei" w:hAnsi="Liberation Sans" w:cs="Mangal"/>
      <w:sz w:val="28"/>
      <w:szCs w:val="28"/>
    </w:rPr>
  </w:style>
  <w:style w:type="paragraph" w:customStyle="1" w:styleId="Sygnatura">
    <w:name w:val="Sygnatura"/>
    <w:basedOn w:val="Normalny10"/>
    <w:pPr>
      <w:suppressLineNumbers/>
      <w:spacing w:before="120" w:after="120"/>
    </w:pPr>
    <w:rPr>
      <w:rFonts w:cs="Mangal"/>
      <w:i/>
      <w:iCs/>
      <w:sz w:val="24"/>
      <w:szCs w:val="24"/>
    </w:rPr>
  </w:style>
  <w:style w:type="paragraph" w:styleId="Tekstdymka">
    <w:name w:val="Balloon Text"/>
    <w:basedOn w:val="Normalny10"/>
    <w:link w:val="TekstdymkaZnak"/>
    <w:uiPriority w:val="99"/>
    <w:semiHidden/>
    <w:unhideWhenUsed/>
    <w:rsid w:val="005A246F"/>
    <w:pPr>
      <w:spacing w:after="0"/>
    </w:pPr>
    <w:rPr>
      <w:rFonts w:ascii="Segoe UI" w:hAnsi="Segoe UI" w:cs="Segoe UI"/>
      <w:sz w:val="18"/>
      <w:szCs w:val="18"/>
    </w:rPr>
  </w:style>
  <w:style w:type="paragraph" w:styleId="Stopka">
    <w:name w:val="footer"/>
    <w:basedOn w:val="Normalny10"/>
    <w:link w:val="StopkaZnak"/>
    <w:uiPriority w:val="99"/>
    <w:unhideWhenUsed/>
    <w:rsid w:val="008F354A"/>
    <w:pPr>
      <w:tabs>
        <w:tab w:val="center" w:pos="4536"/>
        <w:tab w:val="right" w:pos="9072"/>
      </w:tabs>
      <w:spacing w:after="0"/>
    </w:pPr>
  </w:style>
  <w:style w:type="paragraph" w:customStyle="1" w:styleId="Default">
    <w:name w:val="Default"/>
    <w:rsid w:val="00052C73"/>
    <w:pPr>
      <w:suppressAutoHyphens/>
      <w:spacing w:line="240" w:lineRule="auto"/>
      <w:textAlignment w:val="baseline"/>
    </w:pPr>
    <w:rPr>
      <w:rFonts w:ascii="Arial" w:eastAsia="SimSun" w:hAnsi="Arial" w:cs="Arial"/>
      <w:color w:val="000000"/>
      <w:sz w:val="24"/>
      <w:szCs w:val="24"/>
    </w:rPr>
  </w:style>
  <w:style w:type="paragraph" w:styleId="Akapitzlist">
    <w:name w:val="List Paragraph"/>
    <w:basedOn w:val="Normalny10"/>
    <w:link w:val="AkapitzlistZnak"/>
    <w:uiPriority w:val="34"/>
    <w:qFormat/>
    <w:rsid w:val="00052C73"/>
    <w:pPr>
      <w:spacing w:after="200" w:line="276" w:lineRule="auto"/>
      <w:ind w:left="720"/>
    </w:pPr>
    <w:rPr>
      <w:rFonts w:ascii="Calibri" w:hAnsi="Calibri"/>
    </w:rPr>
  </w:style>
  <w:style w:type="paragraph" w:styleId="NormalnyWeb">
    <w:name w:val="Normal (Web)"/>
    <w:basedOn w:val="Normalny1"/>
    <w:uiPriority w:val="99"/>
    <w:unhideWhenUsed/>
    <w:rsid w:val="0009433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agwek"/>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774F11"/>
    <w:pPr>
      <w:suppressAutoHyphens/>
      <w:spacing w:after="160" w:line="240" w:lineRule="auto"/>
      <w:textAlignment w:val="baseline"/>
    </w:pPr>
    <w:rPr>
      <w:rFonts w:eastAsia="SimSun" w:cs="Calibri"/>
      <w:color w:val="00000A"/>
      <w:sz w:val="22"/>
    </w:rPr>
  </w:style>
  <w:style w:type="character" w:customStyle="1" w:styleId="TekstdymkaZnak">
    <w:name w:val="Tekst dymka Znak"/>
    <w:basedOn w:val="Domylnaczcionkaakapitu"/>
    <w:link w:val="Tekstdymka"/>
    <w:uiPriority w:val="99"/>
    <w:semiHidden/>
    <w:rsid w:val="005A246F"/>
    <w:rPr>
      <w:rFonts w:ascii="Segoe UI" w:hAnsi="Segoe UI" w:cs="Segoe UI"/>
      <w:sz w:val="18"/>
      <w:szCs w:val="18"/>
    </w:rPr>
  </w:style>
  <w:style w:type="character" w:customStyle="1" w:styleId="NagwekZnak">
    <w:name w:val="Nagłówek Znak"/>
    <w:basedOn w:val="Domylnaczcionkaakapitu"/>
    <w:link w:val="Nagwek"/>
    <w:uiPriority w:val="99"/>
    <w:rsid w:val="008F354A"/>
  </w:style>
  <w:style w:type="character" w:customStyle="1" w:styleId="StopkaZnak">
    <w:name w:val="Stopka Znak"/>
    <w:basedOn w:val="Domylnaczcionkaakapitu"/>
    <w:link w:val="Stopka"/>
    <w:uiPriority w:val="99"/>
    <w:rsid w:val="008F354A"/>
  </w:style>
  <w:style w:type="character" w:customStyle="1" w:styleId="Mocnowyrniony">
    <w:name w:val="Mocno wyróżniony"/>
    <w:uiPriority w:val="99"/>
    <w:rsid w:val="00C72C2B"/>
    <w:rPr>
      <w:b/>
      <w:bCs/>
    </w:rPr>
  </w:style>
  <w:style w:type="character" w:customStyle="1" w:styleId="AkapitzlistZnak">
    <w:name w:val="Akapit z listą Znak"/>
    <w:link w:val="Akapitzlist"/>
    <w:uiPriority w:val="34"/>
    <w:locked/>
    <w:rsid w:val="00CD5347"/>
    <w:rPr>
      <w:rFonts w:ascii="Calibri" w:eastAsia="SimSun" w:hAnsi="Calibri" w:cs="Calibri"/>
    </w:rPr>
  </w:style>
  <w:style w:type="character" w:customStyle="1" w:styleId="ListLabel1">
    <w:name w:val="ListLabel 1"/>
    <w:rPr>
      <w:rFonts w:eastAsia="Times New Roman"/>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b/>
      <w:bCs/>
    </w:rPr>
  </w:style>
  <w:style w:type="character" w:customStyle="1" w:styleId="ListLabel6">
    <w:name w:val="ListLabel 6"/>
    <w:rPr>
      <w:color w:val="00000A"/>
    </w:rPr>
  </w:style>
  <w:style w:type="character" w:customStyle="1" w:styleId="ListLabel7">
    <w:name w:val="ListLabel 7"/>
    <w:rPr>
      <w:b/>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color w:val="00000A"/>
    </w:rPr>
  </w:style>
  <w:style w:type="character" w:customStyle="1" w:styleId="ListLabel12">
    <w:name w:val="ListLabel 12"/>
    <w:rPr>
      <w:b/>
      <w:bCs/>
    </w:rPr>
  </w:style>
  <w:style w:type="character" w:customStyle="1" w:styleId="ListLabel13">
    <w:name w:val="ListLabel 13"/>
    <w:rPr>
      <w:b/>
    </w:rPr>
  </w:style>
  <w:style w:type="character" w:customStyle="1" w:styleId="ListLabel14">
    <w:name w:val="ListLabel 14"/>
    <w:rPr>
      <w:rFonts w:cs="Times New Roman"/>
      <w:b/>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b/>
      <w:bCs/>
    </w:rPr>
  </w:style>
  <w:style w:type="character" w:customStyle="1" w:styleId="ListLabel19">
    <w:name w:val="ListLabel 19"/>
    <w:rPr>
      <w:b/>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b/>
      <w:bCs/>
    </w:rPr>
  </w:style>
  <w:style w:type="character" w:customStyle="1" w:styleId="ListLabel24">
    <w:name w:val="ListLabel 24"/>
    <w:rPr>
      <w:b/>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b/>
      <w:bCs/>
    </w:rPr>
  </w:style>
  <w:style w:type="character" w:customStyle="1" w:styleId="ListLabel29">
    <w:name w:val="ListLabel 29"/>
    <w:rPr>
      <w:b/>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bCs/>
    </w:rPr>
  </w:style>
  <w:style w:type="character" w:customStyle="1" w:styleId="ListLabel34">
    <w:name w:val="ListLabel 34"/>
    <w:rPr>
      <w:b/>
    </w:rPr>
  </w:style>
  <w:style w:type="paragraph" w:styleId="Nagwek">
    <w:name w:val="header"/>
    <w:basedOn w:val="Normalny1"/>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uiPriority w:val="99"/>
    <w:rsid w:val="00C72C2B"/>
    <w:pPr>
      <w:widowControl w:val="0"/>
      <w:spacing w:after="120" w:line="288" w:lineRule="auto"/>
    </w:pPr>
    <w:rPr>
      <w:rFonts w:eastAsiaTheme="minorHAnsi" w:cstheme="minorBidi"/>
    </w:rPr>
  </w:style>
  <w:style w:type="paragraph" w:styleId="Lista">
    <w:name w:val="List"/>
    <w:basedOn w:val="Tretekstu"/>
    <w:rPr>
      <w:rFonts w:cs="Mangal"/>
    </w:rPr>
  </w:style>
  <w:style w:type="paragraph" w:styleId="Podpis">
    <w:name w:val="Signature"/>
    <w:basedOn w:val="Normalny1"/>
    <w:pPr>
      <w:suppressLineNumbers/>
      <w:spacing w:before="120" w:after="120"/>
    </w:pPr>
    <w:rPr>
      <w:rFonts w:cs="Mangal"/>
      <w:i/>
      <w:iCs/>
      <w:sz w:val="24"/>
      <w:szCs w:val="24"/>
    </w:rPr>
  </w:style>
  <w:style w:type="paragraph" w:customStyle="1" w:styleId="Indeks">
    <w:name w:val="Indeks"/>
    <w:basedOn w:val="Normalny1"/>
    <w:pPr>
      <w:widowControl w:val="0"/>
      <w:suppressLineNumbers/>
      <w:spacing w:line="252" w:lineRule="auto"/>
    </w:pPr>
    <w:rPr>
      <w:rFonts w:eastAsiaTheme="minorHAnsi" w:cs="Mangal"/>
    </w:rPr>
  </w:style>
  <w:style w:type="paragraph" w:customStyle="1" w:styleId="Normalny10">
    <w:name w:val="Normalny1"/>
    <w:rsid w:val="00C72C2B"/>
    <w:pPr>
      <w:suppressAutoHyphens/>
      <w:spacing w:after="160" w:line="240" w:lineRule="auto"/>
      <w:textAlignment w:val="baseline"/>
    </w:pPr>
    <w:rPr>
      <w:rFonts w:eastAsia="SimSun" w:cs="Calibri"/>
      <w:color w:val="00000A"/>
      <w:sz w:val="22"/>
    </w:rPr>
  </w:style>
  <w:style w:type="paragraph" w:customStyle="1" w:styleId="Gwka">
    <w:name w:val="Główka"/>
    <w:basedOn w:val="Normalny10"/>
    <w:uiPriority w:val="99"/>
    <w:unhideWhenUsed/>
    <w:rsid w:val="008F354A"/>
    <w:pPr>
      <w:keepNext/>
      <w:tabs>
        <w:tab w:val="center" w:pos="4536"/>
        <w:tab w:val="right" w:pos="9072"/>
      </w:tabs>
      <w:spacing w:before="240" w:after="0"/>
    </w:pPr>
    <w:rPr>
      <w:rFonts w:ascii="Liberation Sans" w:eastAsia="Microsoft YaHei" w:hAnsi="Liberation Sans" w:cs="Mangal"/>
      <w:sz w:val="28"/>
      <w:szCs w:val="28"/>
    </w:rPr>
  </w:style>
  <w:style w:type="paragraph" w:customStyle="1" w:styleId="Sygnatura">
    <w:name w:val="Sygnatura"/>
    <w:basedOn w:val="Normalny10"/>
    <w:pPr>
      <w:suppressLineNumbers/>
      <w:spacing w:before="120" w:after="120"/>
    </w:pPr>
    <w:rPr>
      <w:rFonts w:cs="Mangal"/>
      <w:i/>
      <w:iCs/>
      <w:sz w:val="24"/>
      <w:szCs w:val="24"/>
    </w:rPr>
  </w:style>
  <w:style w:type="paragraph" w:styleId="Tekstdymka">
    <w:name w:val="Balloon Text"/>
    <w:basedOn w:val="Normalny10"/>
    <w:link w:val="TekstdymkaZnak"/>
    <w:uiPriority w:val="99"/>
    <w:semiHidden/>
    <w:unhideWhenUsed/>
    <w:rsid w:val="005A246F"/>
    <w:pPr>
      <w:spacing w:after="0"/>
    </w:pPr>
    <w:rPr>
      <w:rFonts w:ascii="Segoe UI" w:hAnsi="Segoe UI" w:cs="Segoe UI"/>
      <w:sz w:val="18"/>
      <w:szCs w:val="18"/>
    </w:rPr>
  </w:style>
  <w:style w:type="paragraph" w:styleId="Stopka">
    <w:name w:val="footer"/>
    <w:basedOn w:val="Normalny10"/>
    <w:link w:val="StopkaZnak"/>
    <w:uiPriority w:val="99"/>
    <w:unhideWhenUsed/>
    <w:rsid w:val="008F354A"/>
    <w:pPr>
      <w:tabs>
        <w:tab w:val="center" w:pos="4536"/>
        <w:tab w:val="right" w:pos="9072"/>
      </w:tabs>
      <w:spacing w:after="0"/>
    </w:pPr>
  </w:style>
  <w:style w:type="paragraph" w:customStyle="1" w:styleId="Default">
    <w:name w:val="Default"/>
    <w:rsid w:val="00052C73"/>
    <w:pPr>
      <w:suppressAutoHyphens/>
      <w:spacing w:line="240" w:lineRule="auto"/>
      <w:textAlignment w:val="baseline"/>
    </w:pPr>
    <w:rPr>
      <w:rFonts w:ascii="Arial" w:eastAsia="SimSun" w:hAnsi="Arial" w:cs="Arial"/>
      <w:color w:val="000000"/>
      <w:sz w:val="24"/>
      <w:szCs w:val="24"/>
    </w:rPr>
  </w:style>
  <w:style w:type="paragraph" w:styleId="Akapitzlist">
    <w:name w:val="List Paragraph"/>
    <w:basedOn w:val="Normalny10"/>
    <w:link w:val="AkapitzlistZnak"/>
    <w:uiPriority w:val="34"/>
    <w:qFormat/>
    <w:rsid w:val="00052C73"/>
    <w:pPr>
      <w:spacing w:after="200" w:line="276" w:lineRule="auto"/>
      <w:ind w:left="720"/>
    </w:pPr>
    <w:rPr>
      <w:rFonts w:ascii="Calibri" w:hAnsi="Calibri"/>
    </w:rPr>
  </w:style>
  <w:style w:type="paragraph" w:styleId="NormalnyWeb">
    <w:name w:val="Normal (Web)"/>
    <w:basedOn w:val="Normalny1"/>
    <w:uiPriority w:val="99"/>
    <w:unhideWhenUsed/>
    <w:rsid w:val="000943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F68C-8724-4FDB-933D-89E0CFF4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6077</Words>
  <Characters>36464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Borysiewicz</dc:creator>
  <cp:lastModifiedBy>Angelika Rybak</cp:lastModifiedBy>
  <cp:revision>8</cp:revision>
  <cp:lastPrinted>2017-07-18T12:21:00Z</cp:lastPrinted>
  <dcterms:created xsi:type="dcterms:W3CDTF">2017-12-18T17:57:00Z</dcterms:created>
  <dcterms:modified xsi:type="dcterms:W3CDTF">2017-12-20T11:18:00Z</dcterms:modified>
  <dc:language>pl-PL</dc:language>
</cp:coreProperties>
</file>